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2F4B36" w14:textId="77777777" w:rsidR="00591472" w:rsidRDefault="00591472" w:rsidP="00591472">
      <w:pPr>
        <w:pBdr>
          <w:top w:val="single" w:sz="12" w:space="0" w:color="auto" w:shadow="1"/>
          <w:left w:val="single" w:sz="12" w:space="4" w:color="auto" w:shadow="1"/>
          <w:bottom w:val="single" w:sz="12" w:space="1" w:color="auto" w:shadow="1"/>
          <w:right w:val="single" w:sz="12" w:space="0" w:color="auto" w:shadow="1"/>
        </w:pBdr>
        <w:ind w:right="2792"/>
        <w:rPr>
          <w:rFonts w:cstheme="minorHAnsi"/>
          <w:bCs/>
          <w:szCs w:val="20"/>
        </w:rPr>
      </w:pPr>
      <w:r>
        <w:rPr>
          <w:rFonts w:cstheme="minorHAnsi"/>
          <w:bCs/>
          <w:szCs w:val="20"/>
        </w:rPr>
        <w:t>THE RAMSAR CONVENTION ON WETLANDS</w:t>
      </w:r>
    </w:p>
    <w:p w14:paraId="63652C1C" w14:textId="77777777" w:rsidR="00591472" w:rsidRDefault="00591472" w:rsidP="00591472">
      <w:pPr>
        <w:pBdr>
          <w:top w:val="single" w:sz="12" w:space="0" w:color="auto" w:shadow="1"/>
          <w:left w:val="single" w:sz="12" w:space="4" w:color="auto" w:shadow="1"/>
          <w:bottom w:val="single" w:sz="12" w:space="1" w:color="auto" w:shadow="1"/>
          <w:right w:val="single" w:sz="12" w:space="0" w:color="auto" w:shadow="1"/>
        </w:pBdr>
        <w:ind w:right="2792"/>
      </w:pPr>
      <w:r>
        <w:t>59th Meeting of the Standing Committee</w:t>
      </w:r>
    </w:p>
    <w:p w14:paraId="3B5A11AD" w14:textId="77777777" w:rsidR="00591472" w:rsidRDefault="00591472" w:rsidP="00591472">
      <w:pPr>
        <w:pBdr>
          <w:top w:val="single" w:sz="12" w:space="0" w:color="auto" w:shadow="1"/>
          <w:left w:val="single" w:sz="12" w:space="4" w:color="auto" w:shadow="1"/>
          <w:bottom w:val="single" w:sz="12" w:space="1" w:color="auto" w:shadow="1"/>
          <w:right w:val="single" w:sz="12" w:space="0" w:color="auto" w:shadow="1"/>
        </w:pBdr>
        <w:ind w:right="2792"/>
        <w:rPr>
          <w:rFonts w:cstheme="minorBidi"/>
        </w:rPr>
      </w:pPr>
      <w:r>
        <w:t>Resumed session</w:t>
      </w:r>
    </w:p>
    <w:p w14:paraId="0964FC15" w14:textId="77777777" w:rsidR="00591472" w:rsidRDefault="00591472" w:rsidP="00591472">
      <w:pPr>
        <w:pBdr>
          <w:top w:val="single" w:sz="12" w:space="0" w:color="auto" w:shadow="1"/>
          <w:left w:val="single" w:sz="12" w:space="4" w:color="auto" w:shadow="1"/>
          <w:bottom w:val="single" w:sz="12" w:space="1" w:color="auto" w:shadow="1"/>
          <w:right w:val="single" w:sz="12" w:space="0" w:color="auto" w:shadow="1"/>
        </w:pBdr>
        <w:ind w:right="2792"/>
        <w:rPr>
          <w:rFonts w:cstheme="minorHAnsi"/>
          <w:bCs/>
          <w:szCs w:val="20"/>
        </w:rPr>
      </w:pPr>
      <w:r>
        <w:t>Gland, Switzerland, 23-27 May 2022</w:t>
      </w:r>
    </w:p>
    <w:p w14:paraId="02276A21" w14:textId="77777777" w:rsidR="00591472" w:rsidRDefault="00591472" w:rsidP="00591472">
      <w:pPr>
        <w:rPr>
          <w:rFonts w:cstheme="minorBidi"/>
          <w:sz w:val="28"/>
        </w:rPr>
      </w:pPr>
    </w:p>
    <w:p w14:paraId="3D1F25D1" w14:textId="3320C21B" w:rsidR="00591472" w:rsidRDefault="00591472" w:rsidP="00591472">
      <w:pPr>
        <w:jc w:val="right"/>
        <w:rPr>
          <w:rFonts w:cstheme="minorHAnsi"/>
          <w:b/>
          <w:sz w:val="28"/>
          <w:szCs w:val="28"/>
        </w:rPr>
      </w:pPr>
      <w:r>
        <w:rPr>
          <w:rFonts w:cstheme="minorHAnsi"/>
          <w:b/>
          <w:sz w:val="28"/>
          <w:szCs w:val="28"/>
        </w:rPr>
        <w:t>SC59/2022 Com.2</w:t>
      </w:r>
    </w:p>
    <w:p w14:paraId="6784BAC5" w14:textId="77777777" w:rsidR="00591472" w:rsidRDefault="00591472" w:rsidP="00711D36">
      <w:pPr>
        <w:widowControl/>
        <w:rPr>
          <w:rFonts w:asciiTheme="minorHAnsi" w:hAnsiTheme="minorHAnsi" w:cstheme="minorHAnsi"/>
          <w:b/>
          <w:sz w:val="28"/>
          <w:szCs w:val="28"/>
        </w:rPr>
      </w:pPr>
      <w:bookmarkStart w:id="0" w:name="_GoBack"/>
      <w:bookmarkEnd w:id="0"/>
    </w:p>
    <w:p w14:paraId="7E6EC8DC" w14:textId="6D603E43" w:rsidR="005E3F07" w:rsidRPr="00641B45" w:rsidRDefault="000F77DA" w:rsidP="00591472">
      <w:pPr>
        <w:widowControl/>
        <w:jc w:val="center"/>
        <w:rPr>
          <w:rFonts w:asciiTheme="minorHAnsi" w:hAnsiTheme="minorHAnsi" w:cstheme="minorHAnsi"/>
          <w:b/>
          <w:sz w:val="28"/>
          <w:szCs w:val="28"/>
        </w:rPr>
      </w:pPr>
      <w:r>
        <w:rPr>
          <w:rFonts w:asciiTheme="minorHAnsi" w:hAnsiTheme="minorHAnsi" w:cstheme="minorHAnsi"/>
          <w:b/>
          <w:sz w:val="28"/>
          <w:szCs w:val="28"/>
        </w:rPr>
        <w:t xml:space="preserve">Report </w:t>
      </w:r>
      <w:r w:rsidR="008E1AA5" w:rsidRPr="00641B45">
        <w:rPr>
          <w:rFonts w:asciiTheme="minorHAnsi" w:hAnsiTheme="minorHAnsi" w:cstheme="minorHAnsi"/>
          <w:b/>
          <w:sz w:val="28"/>
          <w:szCs w:val="28"/>
        </w:rPr>
        <w:t>of the Subgroup on Finance, 2</w:t>
      </w:r>
      <w:r w:rsidR="00743F0F" w:rsidRPr="00641B45">
        <w:rPr>
          <w:rFonts w:asciiTheme="minorHAnsi" w:hAnsiTheme="minorHAnsi" w:cstheme="minorHAnsi"/>
          <w:b/>
          <w:sz w:val="28"/>
          <w:szCs w:val="28"/>
        </w:rPr>
        <w:t>3</w:t>
      </w:r>
      <w:r w:rsidR="008E1AA5" w:rsidRPr="00641B45">
        <w:rPr>
          <w:rFonts w:asciiTheme="minorHAnsi" w:hAnsiTheme="minorHAnsi" w:cstheme="minorHAnsi"/>
          <w:b/>
          <w:sz w:val="28"/>
          <w:szCs w:val="28"/>
        </w:rPr>
        <w:t xml:space="preserve"> </w:t>
      </w:r>
      <w:r w:rsidR="00743F0F" w:rsidRPr="00641B45">
        <w:rPr>
          <w:rFonts w:asciiTheme="minorHAnsi" w:hAnsiTheme="minorHAnsi" w:cstheme="minorHAnsi"/>
          <w:b/>
          <w:sz w:val="28"/>
          <w:szCs w:val="28"/>
        </w:rPr>
        <w:t>May</w:t>
      </w:r>
      <w:r w:rsidR="008E1AA5" w:rsidRPr="00641B45">
        <w:rPr>
          <w:rFonts w:asciiTheme="minorHAnsi" w:hAnsiTheme="minorHAnsi" w:cstheme="minorHAnsi"/>
          <w:b/>
          <w:sz w:val="28"/>
          <w:szCs w:val="28"/>
        </w:rPr>
        <w:t xml:space="preserve"> 202</w:t>
      </w:r>
      <w:r w:rsidR="00743F0F" w:rsidRPr="00641B45">
        <w:rPr>
          <w:rFonts w:asciiTheme="minorHAnsi" w:hAnsiTheme="minorHAnsi" w:cstheme="minorHAnsi"/>
          <w:b/>
          <w:sz w:val="28"/>
          <w:szCs w:val="28"/>
        </w:rPr>
        <w:t>2</w:t>
      </w:r>
    </w:p>
    <w:p w14:paraId="1227D19A" w14:textId="6CC09262" w:rsidR="008E1AA5" w:rsidRDefault="008E1AA5" w:rsidP="00711D36">
      <w:pPr>
        <w:pStyle w:val="BodyText"/>
        <w:widowControl/>
        <w:rPr>
          <w:rFonts w:asciiTheme="minorHAnsi" w:hAnsiTheme="minorHAnsi" w:cstheme="minorHAnsi"/>
          <w:b/>
        </w:rPr>
      </w:pPr>
    </w:p>
    <w:p w14:paraId="32BCB0D0" w14:textId="77777777" w:rsidR="00591472" w:rsidRPr="00641B45" w:rsidRDefault="00591472" w:rsidP="00711D36">
      <w:pPr>
        <w:pStyle w:val="BodyText"/>
        <w:widowControl/>
        <w:rPr>
          <w:rFonts w:asciiTheme="minorHAnsi" w:hAnsiTheme="minorHAnsi" w:cstheme="minorHAnsi"/>
          <w:b/>
        </w:rPr>
      </w:pPr>
    </w:p>
    <w:p w14:paraId="7935E27F" w14:textId="2849AD2D" w:rsidR="009F5EF8" w:rsidRPr="00A24BE1" w:rsidRDefault="009F5EF8" w:rsidP="00711D36">
      <w:pPr>
        <w:rPr>
          <w:i/>
        </w:rPr>
      </w:pPr>
      <w:r w:rsidRPr="00A24BE1">
        <w:rPr>
          <w:i/>
        </w:rPr>
        <w:t xml:space="preserve">This Report includes the recommendations for the </w:t>
      </w:r>
      <w:r w:rsidR="00642406" w:rsidRPr="00A24BE1">
        <w:rPr>
          <w:i/>
        </w:rPr>
        <w:t xml:space="preserve">consideration of the </w:t>
      </w:r>
      <w:r w:rsidRPr="00A24BE1">
        <w:rPr>
          <w:i/>
        </w:rPr>
        <w:t xml:space="preserve">Standing Committee made during the meeting of the Subgroup on Finance on 23 May 2022. </w:t>
      </w:r>
      <w:r w:rsidR="000F77DA" w:rsidRPr="00A24BE1">
        <w:rPr>
          <w:i/>
        </w:rPr>
        <w:t xml:space="preserve"> In case it is needed, the Subgroup will meet again during the week </w:t>
      </w:r>
      <w:r w:rsidR="00DC0469">
        <w:rPr>
          <w:i/>
        </w:rPr>
        <w:t>to consider</w:t>
      </w:r>
      <w:r w:rsidR="00642406" w:rsidRPr="00A24BE1">
        <w:rPr>
          <w:i/>
        </w:rPr>
        <w:t xml:space="preserve"> </w:t>
      </w:r>
      <w:r w:rsidR="00BD6489">
        <w:rPr>
          <w:i/>
        </w:rPr>
        <w:t xml:space="preserve">any issues arising from the discussions </w:t>
      </w:r>
      <w:r w:rsidR="00642406" w:rsidRPr="00A24BE1">
        <w:rPr>
          <w:i/>
        </w:rPr>
        <w:t xml:space="preserve">of </w:t>
      </w:r>
      <w:r w:rsidR="000F77DA" w:rsidRPr="00A24BE1">
        <w:rPr>
          <w:i/>
        </w:rPr>
        <w:t>the Standing Committee.</w:t>
      </w:r>
      <w:r w:rsidR="00BD6489">
        <w:rPr>
          <w:i/>
        </w:rPr>
        <w:t xml:space="preserve"> The revised report with the recommendations for the Standing Committee on these issues will be included in the final report of the meeting.</w:t>
      </w:r>
    </w:p>
    <w:p w14:paraId="1F111673" w14:textId="4BAEC739" w:rsidR="0002451C" w:rsidRDefault="0002451C" w:rsidP="00711D36">
      <w:pPr>
        <w:widowControl/>
        <w:tabs>
          <w:tab w:val="left" w:pos="960"/>
        </w:tabs>
        <w:rPr>
          <w:rFonts w:asciiTheme="minorHAnsi" w:hAnsiTheme="minorHAnsi" w:cstheme="minorHAnsi"/>
        </w:rPr>
      </w:pPr>
    </w:p>
    <w:p w14:paraId="54772CFF" w14:textId="2D7FD612" w:rsidR="005E3F07" w:rsidRDefault="006F417C" w:rsidP="00711D36">
      <w:pPr>
        <w:widowControl/>
        <w:rPr>
          <w:rFonts w:asciiTheme="minorHAnsi" w:hAnsiTheme="minorHAnsi" w:cstheme="minorHAnsi"/>
        </w:rPr>
      </w:pPr>
      <w:r w:rsidRPr="00641B45">
        <w:rPr>
          <w:rFonts w:asciiTheme="minorHAnsi" w:hAnsiTheme="minorHAnsi" w:cstheme="minorHAnsi"/>
        </w:rPr>
        <w:t xml:space="preserve">The Chair </w:t>
      </w:r>
      <w:r w:rsidR="00EC1418" w:rsidRPr="00641B45">
        <w:rPr>
          <w:rFonts w:asciiTheme="minorHAnsi" w:hAnsiTheme="minorHAnsi" w:cstheme="minorHAnsi"/>
        </w:rPr>
        <w:t>opened the meeting</w:t>
      </w:r>
      <w:r w:rsidRPr="00641B45">
        <w:rPr>
          <w:rFonts w:asciiTheme="minorHAnsi" w:hAnsiTheme="minorHAnsi" w:cstheme="minorHAnsi"/>
        </w:rPr>
        <w:t xml:space="preserve"> and </w:t>
      </w:r>
      <w:r w:rsidR="009850A6" w:rsidRPr="00641B45">
        <w:rPr>
          <w:rFonts w:asciiTheme="minorHAnsi" w:hAnsiTheme="minorHAnsi" w:cstheme="minorHAnsi"/>
        </w:rPr>
        <w:t>asked the Sub</w:t>
      </w:r>
      <w:r w:rsidR="0042785D" w:rsidRPr="00641B45">
        <w:rPr>
          <w:rFonts w:asciiTheme="minorHAnsi" w:hAnsiTheme="minorHAnsi" w:cstheme="minorHAnsi"/>
        </w:rPr>
        <w:t>g</w:t>
      </w:r>
      <w:r w:rsidR="009850A6" w:rsidRPr="00641B45">
        <w:rPr>
          <w:rFonts w:asciiTheme="minorHAnsi" w:hAnsiTheme="minorHAnsi" w:cstheme="minorHAnsi"/>
        </w:rPr>
        <w:t xml:space="preserve">roup to </w:t>
      </w:r>
      <w:r w:rsidR="0042785D" w:rsidRPr="00641B45">
        <w:rPr>
          <w:rFonts w:asciiTheme="minorHAnsi" w:hAnsiTheme="minorHAnsi" w:cstheme="minorHAnsi"/>
        </w:rPr>
        <w:t xml:space="preserve">refer to the </w:t>
      </w:r>
      <w:r w:rsidR="00743F0F" w:rsidRPr="00641B45">
        <w:rPr>
          <w:rFonts w:asciiTheme="minorHAnsi" w:hAnsiTheme="minorHAnsi" w:cstheme="minorHAnsi"/>
        </w:rPr>
        <w:t>actions requested in documents</w:t>
      </w:r>
      <w:r w:rsidR="009F5EF8" w:rsidRPr="00641B45">
        <w:rPr>
          <w:rFonts w:asciiTheme="minorHAnsi" w:hAnsiTheme="minorHAnsi" w:cstheme="minorHAnsi"/>
        </w:rPr>
        <w:t xml:space="preserve"> on financial and budgetary matters,</w:t>
      </w:r>
      <w:r w:rsidR="00743F0F" w:rsidRPr="00641B45">
        <w:rPr>
          <w:rFonts w:asciiTheme="minorHAnsi" w:hAnsiTheme="minorHAnsi" w:cstheme="minorHAnsi"/>
        </w:rPr>
        <w:t xml:space="preserve"> </w:t>
      </w:r>
      <w:r w:rsidRPr="00641B45">
        <w:rPr>
          <w:rFonts w:asciiTheme="minorHAnsi" w:hAnsiTheme="minorHAnsi" w:cstheme="minorHAnsi"/>
        </w:rPr>
        <w:t>noting that</w:t>
      </w:r>
      <w:r w:rsidR="0042785D" w:rsidRPr="00641B45">
        <w:rPr>
          <w:rFonts w:asciiTheme="minorHAnsi" w:hAnsiTheme="minorHAnsi" w:cstheme="minorHAnsi"/>
        </w:rPr>
        <w:t xml:space="preserve"> </w:t>
      </w:r>
      <w:r w:rsidR="00711D36">
        <w:rPr>
          <w:rFonts w:asciiTheme="minorHAnsi" w:hAnsiTheme="minorHAnsi" w:cstheme="minorHAnsi"/>
        </w:rPr>
        <w:t xml:space="preserve">the </w:t>
      </w:r>
      <w:r w:rsidR="0042785D" w:rsidRPr="00641B45">
        <w:rPr>
          <w:rFonts w:asciiTheme="minorHAnsi" w:hAnsiTheme="minorHAnsi" w:cstheme="minorHAnsi"/>
        </w:rPr>
        <w:t>discussions</w:t>
      </w:r>
      <w:r w:rsidR="0042785D">
        <w:rPr>
          <w:rFonts w:asciiTheme="minorHAnsi" w:hAnsiTheme="minorHAnsi" w:cstheme="minorHAnsi"/>
        </w:rPr>
        <w:t xml:space="preserve"> on surplus, allocation o</w:t>
      </w:r>
      <w:r w:rsidR="001E583C">
        <w:rPr>
          <w:rFonts w:asciiTheme="minorHAnsi" w:hAnsiTheme="minorHAnsi" w:cstheme="minorHAnsi"/>
        </w:rPr>
        <w:t>f</w:t>
      </w:r>
      <w:r w:rsidR="0042785D">
        <w:rPr>
          <w:rFonts w:asciiTheme="minorHAnsi" w:hAnsiTheme="minorHAnsi" w:cstheme="minorHAnsi"/>
        </w:rPr>
        <w:t xml:space="preserve"> surplus and </w:t>
      </w:r>
      <w:r w:rsidR="007B6E89">
        <w:rPr>
          <w:rFonts w:asciiTheme="minorHAnsi" w:hAnsiTheme="minorHAnsi" w:cstheme="minorHAnsi"/>
        </w:rPr>
        <w:t>adjustments to</w:t>
      </w:r>
      <w:r w:rsidR="00642406">
        <w:rPr>
          <w:rFonts w:asciiTheme="minorHAnsi" w:hAnsiTheme="minorHAnsi" w:cstheme="minorHAnsi"/>
        </w:rPr>
        <w:t xml:space="preserve"> the</w:t>
      </w:r>
      <w:r w:rsidR="007B6E89">
        <w:rPr>
          <w:rFonts w:asciiTheme="minorHAnsi" w:hAnsiTheme="minorHAnsi" w:cstheme="minorHAnsi"/>
        </w:rPr>
        <w:t xml:space="preserve"> </w:t>
      </w:r>
      <w:r w:rsidR="0042785D">
        <w:rPr>
          <w:rFonts w:asciiTheme="minorHAnsi" w:hAnsiTheme="minorHAnsi" w:cstheme="minorHAnsi"/>
        </w:rPr>
        <w:t xml:space="preserve">2022 budget </w:t>
      </w:r>
      <w:r w:rsidR="001E583C">
        <w:rPr>
          <w:rFonts w:asciiTheme="minorHAnsi" w:hAnsiTheme="minorHAnsi" w:cstheme="minorHAnsi"/>
        </w:rPr>
        <w:t>would</w:t>
      </w:r>
      <w:r w:rsidR="0042785D">
        <w:rPr>
          <w:rFonts w:asciiTheme="minorHAnsi" w:hAnsiTheme="minorHAnsi" w:cstheme="minorHAnsi"/>
        </w:rPr>
        <w:t xml:space="preserve"> be </w:t>
      </w:r>
      <w:r w:rsidR="00641B45">
        <w:rPr>
          <w:rFonts w:asciiTheme="minorHAnsi" w:hAnsiTheme="minorHAnsi" w:cstheme="minorHAnsi"/>
        </w:rPr>
        <w:t>considered</w:t>
      </w:r>
      <w:r w:rsidR="0042785D">
        <w:rPr>
          <w:rFonts w:asciiTheme="minorHAnsi" w:hAnsiTheme="minorHAnsi" w:cstheme="minorHAnsi"/>
        </w:rPr>
        <w:t xml:space="preserve"> after </w:t>
      </w:r>
      <w:r w:rsidR="00711D36">
        <w:rPr>
          <w:rFonts w:asciiTheme="minorHAnsi" w:hAnsiTheme="minorHAnsi" w:cstheme="minorHAnsi"/>
        </w:rPr>
        <w:t xml:space="preserve">those </w:t>
      </w:r>
      <w:r w:rsidR="0042785D">
        <w:rPr>
          <w:rFonts w:asciiTheme="minorHAnsi" w:hAnsiTheme="minorHAnsi" w:cstheme="minorHAnsi"/>
        </w:rPr>
        <w:t xml:space="preserve">on the </w:t>
      </w:r>
      <w:r w:rsidR="007B6E89">
        <w:rPr>
          <w:rFonts w:asciiTheme="minorHAnsi" w:hAnsiTheme="minorHAnsi" w:cstheme="minorHAnsi"/>
        </w:rPr>
        <w:t xml:space="preserve">annual contributions, </w:t>
      </w:r>
      <w:r w:rsidR="0042785D">
        <w:rPr>
          <w:rFonts w:asciiTheme="minorHAnsi" w:hAnsiTheme="minorHAnsi" w:cstheme="minorHAnsi"/>
        </w:rPr>
        <w:t>budget scenari</w:t>
      </w:r>
      <w:r w:rsidR="001E583C">
        <w:rPr>
          <w:rFonts w:asciiTheme="minorHAnsi" w:hAnsiTheme="minorHAnsi" w:cstheme="minorHAnsi"/>
        </w:rPr>
        <w:t>os</w:t>
      </w:r>
      <w:r w:rsidR="00444C8C">
        <w:rPr>
          <w:rFonts w:asciiTheme="minorHAnsi" w:hAnsiTheme="minorHAnsi" w:cstheme="minorHAnsi"/>
        </w:rPr>
        <w:t xml:space="preserve">, draft resolution on finance </w:t>
      </w:r>
      <w:r w:rsidR="00230B95">
        <w:rPr>
          <w:rFonts w:asciiTheme="minorHAnsi" w:hAnsiTheme="minorHAnsi" w:cstheme="minorHAnsi"/>
        </w:rPr>
        <w:t>and budgetary matters</w:t>
      </w:r>
      <w:r w:rsidR="001E583C">
        <w:rPr>
          <w:rFonts w:asciiTheme="minorHAnsi" w:hAnsiTheme="minorHAnsi" w:cstheme="minorHAnsi"/>
        </w:rPr>
        <w:t xml:space="preserve"> and </w:t>
      </w:r>
      <w:r w:rsidR="00641B45">
        <w:rPr>
          <w:rFonts w:asciiTheme="minorHAnsi" w:hAnsiTheme="minorHAnsi" w:cstheme="minorHAnsi"/>
        </w:rPr>
        <w:t>the f</w:t>
      </w:r>
      <w:r w:rsidR="001E583C">
        <w:rPr>
          <w:rFonts w:asciiTheme="minorHAnsi" w:hAnsiTheme="minorHAnsi" w:cstheme="minorHAnsi"/>
        </w:rPr>
        <w:t>inancial implications of</w:t>
      </w:r>
      <w:r w:rsidR="0042785D">
        <w:rPr>
          <w:rFonts w:asciiTheme="minorHAnsi" w:hAnsiTheme="minorHAnsi" w:cstheme="minorHAnsi"/>
        </w:rPr>
        <w:t xml:space="preserve"> draft resolutions.</w:t>
      </w:r>
    </w:p>
    <w:p w14:paraId="753B5232" w14:textId="245A4403" w:rsidR="00743F0F" w:rsidRDefault="00743F0F" w:rsidP="00711D36"/>
    <w:p w14:paraId="35EFDE8A" w14:textId="77777777" w:rsidR="00642406" w:rsidRDefault="00642406" w:rsidP="00711D36"/>
    <w:p w14:paraId="05590A90" w14:textId="0DAB9EFE" w:rsidR="00356EEC" w:rsidRPr="00711D36" w:rsidRDefault="00711D36" w:rsidP="008F6EDE">
      <w:pPr>
        <w:widowControl/>
        <w:autoSpaceDE/>
        <w:autoSpaceDN/>
        <w:ind w:left="426" w:hanging="426"/>
        <w:rPr>
          <w:rFonts w:asciiTheme="minorHAnsi" w:hAnsiTheme="minorHAnsi" w:cstheme="minorHAnsi"/>
          <w:b/>
        </w:rPr>
      </w:pPr>
      <w:r w:rsidRPr="008F6EDE">
        <w:rPr>
          <w:rFonts w:asciiTheme="minorHAnsi" w:hAnsiTheme="minorHAnsi" w:cstheme="minorHAnsi"/>
          <w:b/>
        </w:rPr>
        <w:t>1.</w:t>
      </w:r>
      <w:r w:rsidRPr="008F6EDE">
        <w:rPr>
          <w:rFonts w:asciiTheme="minorHAnsi" w:hAnsiTheme="minorHAnsi" w:cstheme="minorHAnsi"/>
          <w:b/>
        </w:rPr>
        <w:tab/>
      </w:r>
      <w:r w:rsidR="00356EEC" w:rsidRPr="00711D36">
        <w:rPr>
          <w:rFonts w:asciiTheme="minorHAnsi" w:hAnsiTheme="minorHAnsi" w:cstheme="minorHAnsi"/>
          <w:b/>
        </w:rPr>
        <w:t>Status of annual contributions (</w:t>
      </w:r>
      <w:r w:rsidR="00273A11" w:rsidRPr="00711D36">
        <w:rPr>
          <w:rFonts w:asciiTheme="minorHAnsi" w:hAnsiTheme="minorHAnsi" w:cstheme="minorHAnsi"/>
          <w:b/>
        </w:rPr>
        <w:t xml:space="preserve">document </w:t>
      </w:r>
      <w:r w:rsidR="00356EEC" w:rsidRPr="00711D36">
        <w:rPr>
          <w:rFonts w:asciiTheme="minorHAnsi" w:hAnsiTheme="minorHAnsi" w:cstheme="minorHAnsi"/>
          <w:b/>
        </w:rPr>
        <w:t>SC59/2022 Doc.8.2)</w:t>
      </w:r>
    </w:p>
    <w:p w14:paraId="70C48F73" w14:textId="77777777" w:rsidR="00356EEC" w:rsidRPr="00BE1A1D" w:rsidRDefault="00356EEC" w:rsidP="00711D36">
      <w:pPr>
        <w:widowControl/>
        <w:ind w:left="426" w:hanging="426"/>
        <w:rPr>
          <w:rFonts w:asciiTheme="minorHAnsi" w:hAnsiTheme="minorHAnsi" w:cstheme="minorHAnsi"/>
        </w:rPr>
      </w:pPr>
    </w:p>
    <w:p w14:paraId="53335013" w14:textId="6870C222" w:rsidR="002B56FE" w:rsidRDefault="00356EEC" w:rsidP="00711D36">
      <w:pPr>
        <w:widowControl/>
        <w:rPr>
          <w:rFonts w:asciiTheme="minorHAnsi" w:hAnsiTheme="minorHAnsi" w:cstheme="minorHAnsi"/>
        </w:rPr>
      </w:pPr>
      <w:r w:rsidRPr="00641B45">
        <w:rPr>
          <w:rFonts w:asciiTheme="minorHAnsi" w:hAnsiTheme="minorHAnsi" w:cstheme="minorHAnsi"/>
        </w:rPr>
        <w:t xml:space="preserve">The Secretary General briefly summarized the document, noting that </w:t>
      </w:r>
      <w:r w:rsidR="007B6E89">
        <w:rPr>
          <w:rFonts w:asciiTheme="minorHAnsi" w:hAnsiTheme="minorHAnsi" w:cstheme="minorHAnsi"/>
        </w:rPr>
        <w:t xml:space="preserve">the total of </w:t>
      </w:r>
      <w:r w:rsidR="00C76FD5">
        <w:rPr>
          <w:rFonts w:asciiTheme="minorHAnsi" w:hAnsiTheme="minorHAnsi" w:cstheme="minorHAnsi"/>
        </w:rPr>
        <w:t>contributions</w:t>
      </w:r>
      <w:r w:rsidR="007B6E89">
        <w:rPr>
          <w:rFonts w:asciiTheme="minorHAnsi" w:hAnsiTheme="minorHAnsi" w:cstheme="minorHAnsi"/>
        </w:rPr>
        <w:t xml:space="preserve"> due</w:t>
      </w:r>
      <w:r w:rsidR="00C76FD5">
        <w:rPr>
          <w:rFonts w:asciiTheme="minorHAnsi" w:hAnsiTheme="minorHAnsi" w:cstheme="minorHAnsi"/>
        </w:rPr>
        <w:t xml:space="preserve"> had </w:t>
      </w:r>
      <w:r w:rsidR="007B6E89">
        <w:rPr>
          <w:rFonts w:asciiTheme="minorHAnsi" w:hAnsiTheme="minorHAnsi" w:cstheme="minorHAnsi"/>
        </w:rPr>
        <w:t xml:space="preserve">decreased by 8% compared to </w:t>
      </w:r>
      <w:r w:rsidR="00C76FD5" w:rsidRPr="00641B45">
        <w:rPr>
          <w:rFonts w:asciiTheme="minorHAnsi" w:hAnsiTheme="minorHAnsi" w:cstheme="minorHAnsi"/>
        </w:rPr>
        <w:t>2020</w:t>
      </w:r>
      <w:r w:rsidR="007B6E89">
        <w:rPr>
          <w:rFonts w:asciiTheme="minorHAnsi" w:hAnsiTheme="minorHAnsi" w:cstheme="minorHAnsi"/>
        </w:rPr>
        <w:t>.</w:t>
      </w:r>
      <w:r w:rsidR="00C76FD5">
        <w:rPr>
          <w:rFonts w:asciiTheme="minorHAnsi" w:hAnsiTheme="minorHAnsi" w:cstheme="minorHAnsi"/>
        </w:rPr>
        <w:t xml:space="preserve"> </w:t>
      </w:r>
      <w:r w:rsidR="007B6E89">
        <w:rPr>
          <w:rFonts w:asciiTheme="minorHAnsi" w:hAnsiTheme="minorHAnsi" w:cstheme="minorHAnsi"/>
        </w:rPr>
        <w:t xml:space="preserve">The Secretariat noted </w:t>
      </w:r>
      <w:r w:rsidRPr="00641B45">
        <w:rPr>
          <w:rFonts w:asciiTheme="minorHAnsi" w:hAnsiTheme="minorHAnsi" w:cstheme="minorHAnsi"/>
        </w:rPr>
        <w:t>the actions on group confirmation of outstanding contributions had been effective in meeting the auditor’s requirements.</w:t>
      </w:r>
      <w:r w:rsidR="008F3ABA" w:rsidRPr="00641B45">
        <w:rPr>
          <w:rFonts w:asciiTheme="minorHAnsi" w:hAnsiTheme="minorHAnsi" w:cstheme="minorHAnsi"/>
        </w:rPr>
        <w:t xml:space="preserve"> </w:t>
      </w:r>
    </w:p>
    <w:p w14:paraId="5276DBAE" w14:textId="77777777" w:rsidR="002B56FE" w:rsidRDefault="002B56FE" w:rsidP="00711D36">
      <w:pPr>
        <w:widowControl/>
        <w:rPr>
          <w:rFonts w:asciiTheme="minorHAnsi" w:hAnsiTheme="minorHAnsi" w:cstheme="minorHAnsi"/>
        </w:rPr>
      </w:pPr>
    </w:p>
    <w:p w14:paraId="645E32E1" w14:textId="2D855F6E" w:rsidR="002B56FE" w:rsidRDefault="002B56FE" w:rsidP="00711D36">
      <w:pPr>
        <w:widowControl/>
        <w:rPr>
          <w:rFonts w:asciiTheme="minorHAnsi" w:hAnsiTheme="minorHAnsi" w:cstheme="minorHAnsi"/>
        </w:rPr>
      </w:pPr>
      <w:r>
        <w:rPr>
          <w:rFonts w:asciiTheme="minorHAnsi" w:hAnsiTheme="minorHAnsi" w:cstheme="minorHAnsi"/>
        </w:rPr>
        <w:t xml:space="preserve">The </w:t>
      </w:r>
      <w:r w:rsidR="007B6E89">
        <w:rPr>
          <w:rFonts w:asciiTheme="minorHAnsi" w:hAnsiTheme="minorHAnsi" w:cstheme="minorHAnsi"/>
        </w:rPr>
        <w:t>Sub</w:t>
      </w:r>
      <w:r>
        <w:rPr>
          <w:rFonts w:asciiTheme="minorHAnsi" w:hAnsiTheme="minorHAnsi" w:cstheme="minorHAnsi"/>
        </w:rPr>
        <w:t>group</w:t>
      </w:r>
      <w:r w:rsidR="00BD6489">
        <w:rPr>
          <w:rFonts w:asciiTheme="minorHAnsi" w:hAnsiTheme="minorHAnsi" w:cstheme="minorHAnsi"/>
        </w:rPr>
        <w:t xml:space="preserve"> acknowledged the positive results and thanked the Secretariat and the Subgroup for the good job undertaken. The group also </w:t>
      </w:r>
      <w:r>
        <w:rPr>
          <w:rFonts w:asciiTheme="minorHAnsi" w:hAnsiTheme="minorHAnsi" w:cstheme="minorHAnsi"/>
        </w:rPr>
        <w:t xml:space="preserve">welcomed the decrease in </w:t>
      </w:r>
      <w:r w:rsidR="007B6E89">
        <w:rPr>
          <w:rFonts w:asciiTheme="minorHAnsi" w:hAnsiTheme="minorHAnsi" w:cstheme="minorHAnsi"/>
        </w:rPr>
        <w:t xml:space="preserve">total </w:t>
      </w:r>
      <w:r>
        <w:rPr>
          <w:rFonts w:asciiTheme="minorHAnsi" w:hAnsiTheme="minorHAnsi" w:cstheme="minorHAnsi"/>
        </w:rPr>
        <w:t xml:space="preserve">contributions </w:t>
      </w:r>
      <w:r w:rsidRPr="00641B45">
        <w:rPr>
          <w:rFonts w:asciiTheme="minorHAnsi" w:hAnsiTheme="minorHAnsi" w:cstheme="minorHAnsi"/>
        </w:rPr>
        <w:t>since 2020</w:t>
      </w:r>
      <w:r>
        <w:rPr>
          <w:rFonts w:asciiTheme="minorHAnsi" w:hAnsiTheme="minorHAnsi" w:cstheme="minorHAnsi"/>
        </w:rPr>
        <w:t>,</w:t>
      </w:r>
      <w:r w:rsidR="007B6E89">
        <w:rPr>
          <w:rFonts w:asciiTheme="minorHAnsi" w:hAnsiTheme="minorHAnsi" w:cstheme="minorHAnsi"/>
        </w:rPr>
        <w:t xml:space="preserve"> </w:t>
      </w:r>
      <w:r w:rsidR="00A71988">
        <w:rPr>
          <w:rFonts w:asciiTheme="minorHAnsi" w:hAnsiTheme="minorHAnsi" w:cstheme="minorHAnsi"/>
        </w:rPr>
        <w:t xml:space="preserve">recognizing this outcome as exceptional </w:t>
      </w:r>
      <w:r w:rsidR="00F60AB1">
        <w:rPr>
          <w:rFonts w:asciiTheme="minorHAnsi" w:hAnsiTheme="minorHAnsi" w:cstheme="minorHAnsi"/>
        </w:rPr>
        <w:t>among comparable organizations</w:t>
      </w:r>
      <w:r w:rsidR="00642406">
        <w:rPr>
          <w:rFonts w:asciiTheme="minorHAnsi" w:hAnsiTheme="minorHAnsi" w:cstheme="minorHAnsi"/>
        </w:rPr>
        <w:t>,</w:t>
      </w:r>
      <w:r>
        <w:rPr>
          <w:rFonts w:asciiTheme="minorHAnsi" w:hAnsiTheme="minorHAnsi" w:cstheme="minorHAnsi"/>
        </w:rPr>
        <w:t xml:space="preserve"> and acknowledged the Secretariat’s actions </w:t>
      </w:r>
      <w:r w:rsidR="00642406">
        <w:rPr>
          <w:rFonts w:asciiTheme="minorHAnsi" w:hAnsiTheme="minorHAnsi" w:cstheme="minorHAnsi"/>
        </w:rPr>
        <w:t>to this end</w:t>
      </w:r>
      <w:r>
        <w:rPr>
          <w:rFonts w:asciiTheme="minorHAnsi" w:hAnsiTheme="minorHAnsi" w:cstheme="minorHAnsi"/>
        </w:rPr>
        <w:t>.</w:t>
      </w:r>
    </w:p>
    <w:p w14:paraId="16ED0A09" w14:textId="77777777" w:rsidR="002B56FE" w:rsidRDefault="002B56FE" w:rsidP="00711D36">
      <w:pPr>
        <w:widowControl/>
        <w:rPr>
          <w:rFonts w:asciiTheme="minorHAnsi" w:hAnsiTheme="minorHAnsi" w:cstheme="minorHAnsi"/>
        </w:rPr>
      </w:pPr>
      <w:r w:rsidRPr="00641B45">
        <w:rPr>
          <w:rFonts w:asciiTheme="minorHAnsi" w:hAnsiTheme="minorHAnsi" w:cstheme="minorHAnsi"/>
        </w:rPr>
        <w:t xml:space="preserve"> </w:t>
      </w:r>
    </w:p>
    <w:p w14:paraId="3FC032E0" w14:textId="70AACEC2" w:rsidR="00356EEC" w:rsidRDefault="00711D36" w:rsidP="00711D36">
      <w:pPr>
        <w:widowControl/>
        <w:rPr>
          <w:rFonts w:asciiTheme="minorHAnsi" w:hAnsiTheme="minorHAnsi" w:cstheme="minorHAnsi"/>
        </w:rPr>
      </w:pPr>
      <w:r w:rsidRPr="00641B45">
        <w:rPr>
          <w:rFonts w:asciiTheme="minorHAnsi" w:hAnsiTheme="minorHAnsi" w:cstheme="minorHAnsi"/>
        </w:rPr>
        <w:t xml:space="preserve">The Secretary General </w:t>
      </w:r>
      <w:r w:rsidR="008F3ABA" w:rsidRPr="00641B45">
        <w:rPr>
          <w:rFonts w:asciiTheme="minorHAnsi" w:hAnsiTheme="minorHAnsi" w:cstheme="minorHAnsi"/>
        </w:rPr>
        <w:t xml:space="preserve">noted that the role of the regional representatives in the Standing Committee had been an important factor in the decrease, as well as efforts by the Secretariat to raise </w:t>
      </w:r>
      <w:r w:rsidR="00B24FC7">
        <w:rPr>
          <w:rFonts w:asciiTheme="minorHAnsi" w:hAnsiTheme="minorHAnsi" w:cstheme="minorHAnsi"/>
        </w:rPr>
        <w:t xml:space="preserve">the </w:t>
      </w:r>
      <w:r w:rsidR="008F3ABA" w:rsidRPr="00641B45">
        <w:rPr>
          <w:rFonts w:asciiTheme="minorHAnsi" w:hAnsiTheme="minorHAnsi" w:cstheme="minorHAnsi"/>
        </w:rPr>
        <w:t>awareness of the Contracting Parties</w:t>
      </w:r>
      <w:r w:rsidR="00641B45">
        <w:rPr>
          <w:rFonts w:asciiTheme="minorHAnsi" w:hAnsiTheme="minorHAnsi" w:cstheme="minorHAnsi"/>
        </w:rPr>
        <w:t xml:space="preserve">, including </w:t>
      </w:r>
      <w:r w:rsidR="00BD6489">
        <w:rPr>
          <w:rFonts w:asciiTheme="minorHAnsi" w:hAnsiTheme="minorHAnsi" w:cstheme="minorHAnsi"/>
        </w:rPr>
        <w:t xml:space="preserve">the regular reminders sent to the Parties and by </w:t>
      </w:r>
      <w:r w:rsidR="00B24FC7">
        <w:rPr>
          <w:rFonts w:asciiTheme="minorHAnsi" w:hAnsiTheme="minorHAnsi" w:cstheme="minorHAnsi"/>
        </w:rPr>
        <w:t xml:space="preserve">highlighting the issue </w:t>
      </w:r>
      <w:r w:rsidR="008F3ABA" w:rsidRPr="00641B45">
        <w:rPr>
          <w:rFonts w:asciiTheme="minorHAnsi" w:hAnsiTheme="minorHAnsi" w:cstheme="minorHAnsi"/>
        </w:rPr>
        <w:t xml:space="preserve">during the regional meetings held in preparation for the </w:t>
      </w:r>
      <w:r w:rsidR="00BD6489">
        <w:rPr>
          <w:rFonts w:asciiTheme="minorHAnsi" w:hAnsiTheme="minorHAnsi" w:cstheme="minorHAnsi"/>
        </w:rPr>
        <w:t xml:space="preserve">Third </w:t>
      </w:r>
      <w:r w:rsidR="008F3ABA" w:rsidRPr="00641B45">
        <w:rPr>
          <w:rFonts w:asciiTheme="minorHAnsi" w:hAnsiTheme="minorHAnsi" w:cstheme="minorHAnsi"/>
        </w:rPr>
        <w:t xml:space="preserve">Extraordinary meeting of the COP </w:t>
      </w:r>
      <w:r w:rsidR="00641B45" w:rsidRPr="00641B45">
        <w:rPr>
          <w:rFonts w:asciiTheme="minorHAnsi" w:hAnsiTheme="minorHAnsi" w:cstheme="minorHAnsi"/>
        </w:rPr>
        <w:t>in 2021 and COP14 in 2022.</w:t>
      </w:r>
      <w:r w:rsidR="00641B45">
        <w:rPr>
          <w:rFonts w:asciiTheme="minorHAnsi" w:hAnsiTheme="minorHAnsi" w:cstheme="minorHAnsi"/>
        </w:rPr>
        <w:t xml:space="preserve"> She noted that the actions of single Parties could influence the ongoing positive trend and noted the risks associated with long-term outstanding contributions.</w:t>
      </w:r>
    </w:p>
    <w:p w14:paraId="7DD4E26F" w14:textId="4F17DE7C" w:rsidR="00641B45" w:rsidRDefault="00641B45" w:rsidP="00711D36">
      <w:pPr>
        <w:widowControl/>
        <w:rPr>
          <w:rFonts w:asciiTheme="minorHAnsi" w:hAnsiTheme="minorHAnsi" w:cstheme="minorHAnsi"/>
        </w:rPr>
      </w:pPr>
    </w:p>
    <w:p w14:paraId="61BF2764" w14:textId="140EC9E5" w:rsidR="00641B45" w:rsidRDefault="002B56FE" w:rsidP="00711D36">
      <w:pPr>
        <w:widowControl/>
        <w:rPr>
          <w:rFonts w:asciiTheme="minorHAnsi" w:hAnsiTheme="minorHAnsi" w:cstheme="minorHAnsi"/>
        </w:rPr>
      </w:pPr>
      <w:r>
        <w:rPr>
          <w:rFonts w:asciiTheme="minorHAnsi" w:hAnsiTheme="minorHAnsi" w:cstheme="minorHAnsi"/>
        </w:rPr>
        <w:t xml:space="preserve">The Secretariat clarified its conservative approach to the calculation of related provisions given the new </w:t>
      </w:r>
      <w:r w:rsidR="00D434D9">
        <w:rPr>
          <w:rFonts w:asciiTheme="minorHAnsi" w:hAnsiTheme="minorHAnsi" w:cstheme="minorHAnsi"/>
        </w:rPr>
        <w:t>calculation methodology that has been introduced</w:t>
      </w:r>
      <w:r w:rsidR="00A24BE1">
        <w:rPr>
          <w:rFonts w:asciiTheme="minorHAnsi" w:hAnsiTheme="minorHAnsi" w:cstheme="minorHAnsi"/>
        </w:rPr>
        <w:t xml:space="preserve"> in 2019</w:t>
      </w:r>
      <w:r>
        <w:rPr>
          <w:rFonts w:asciiTheme="minorHAnsi" w:hAnsiTheme="minorHAnsi" w:cstheme="minorHAnsi"/>
        </w:rPr>
        <w:t xml:space="preserve">. </w:t>
      </w:r>
      <w:r w:rsidR="00D434D9">
        <w:rPr>
          <w:rFonts w:asciiTheme="minorHAnsi" w:hAnsiTheme="minorHAnsi" w:cstheme="minorHAnsi"/>
        </w:rPr>
        <w:t xml:space="preserve">The Secretariat has therefore recommended that any unused funds allocated </w:t>
      </w:r>
      <w:r>
        <w:rPr>
          <w:rFonts w:asciiTheme="minorHAnsi" w:hAnsiTheme="minorHAnsi" w:cstheme="minorHAnsi"/>
        </w:rPr>
        <w:t xml:space="preserve">from savings </w:t>
      </w:r>
      <w:r w:rsidR="00D434D9">
        <w:rPr>
          <w:rFonts w:asciiTheme="minorHAnsi" w:hAnsiTheme="minorHAnsi" w:cstheme="minorHAnsi"/>
        </w:rPr>
        <w:t xml:space="preserve">to </w:t>
      </w:r>
      <w:r w:rsidR="00642406">
        <w:rPr>
          <w:rFonts w:asciiTheme="minorHAnsi" w:hAnsiTheme="minorHAnsi" w:cstheme="minorHAnsi"/>
        </w:rPr>
        <w:t xml:space="preserve">provisions </w:t>
      </w:r>
      <w:r w:rsidR="00D434D9">
        <w:rPr>
          <w:rFonts w:asciiTheme="minorHAnsi" w:hAnsiTheme="minorHAnsi" w:cstheme="minorHAnsi"/>
        </w:rPr>
        <w:t xml:space="preserve">for outstanding contributions </w:t>
      </w:r>
      <w:r>
        <w:rPr>
          <w:rFonts w:asciiTheme="minorHAnsi" w:hAnsiTheme="minorHAnsi" w:cstheme="minorHAnsi"/>
        </w:rPr>
        <w:t xml:space="preserve">be returned </w:t>
      </w:r>
      <w:r w:rsidR="00D434D9">
        <w:rPr>
          <w:rFonts w:asciiTheme="minorHAnsi" w:hAnsiTheme="minorHAnsi" w:cstheme="minorHAnsi"/>
        </w:rPr>
        <w:t xml:space="preserve">to the surplus for future allocation </w:t>
      </w:r>
      <w:r>
        <w:rPr>
          <w:rFonts w:asciiTheme="minorHAnsi" w:hAnsiTheme="minorHAnsi" w:cstheme="minorHAnsi"/>
        </w:rPr>
        <w:t>under this approach.</w:t>
      </w:r>
    </w:p>
    <w:p w14:paraId="11A4C452" w14:textId="34F0A3B6" w:rsidR="002B56FE" w:rsidRDefault="002B56FE" w:rsidP="00711D36">
      <w:pPr>
        <w:widowControl/>
        <w:rPr>
          <w:rFonts w:asciiTheme="minorHAnsi" w:hAnsiTheme="minorHAnsi" w:cstheme="minorHAnsi"/>
        </w:rPr>
      </w:pPr>
    </w:p>
    <w:p w14:paraId="25BD72B1" w14:textId="137F756A" w:rsidR="00356EEC" w:rsidRPr="00DD6746" w:rsidRDefault="00356EEC" w:rsidP="00711D36">
      <w:pPr>
        <w:widowControl/>
        <w:rPr>
          <w:rFonts w:asciiTheme="minorHAnsi" w:hAnsiTheme="minorHAnsi" w:cstheme="minorHAnsi"/>
          <w:i/>
          <w:iCs/>
          <w:color w:val="0000FF"/>
          <w:lang w:eastAsia="ja-JP"/>
        </w:rPr>
      </w:pPr>
      <w:r w:rsidRPr="00DD6746">
        <w:rPr>
          <w:rFonts w:asciiTheme="minorHAnsi" w:hAnsiTheme="minorHAnsi" w:cstheme="minorHAnsi"/>
          <w:i/>
          <w:color w:val="0000FF"/>
        </w:rPr>
        <w:t>Recommendation</w:t>
      </w:r>
      <w:r w:rsidRPr="00DD6746">
        <w:rPr>
          <w:rFonts w:asciiTheme="minorHAnsi" w:hAnsiTheme="minorHAnsi" w:cstheme="minorHAnsi"/>
          <w:i/>
          <w:iCs/>
          <w:color w:val="0000FF"/>
          <w:lang w:eastAsia="ja-JP"/>
        </w:rPr>
        <w:t xml:space="preserve"> for decision by the Standing Committee:</w:t>
      </w:r>
    </w:p>
    <w:p w14:paraId="6FE5BBC0" w14:textId="77777777" w:rsidR="00356EEC" w:rsidRDefault="00356EEC" w:rsidP="00711D36">
      <w:pPr>
        <w:widowControl/>
        <w:rPr>
          <w:rFonts w:asciiTheme="minorHAnsi" w:hAnsiTheme="minorHAnsi" w:cstheme="minorHAnsi"/>
          <w:b/>
          <w:i/>
        </w:rPr>
      </w:pPr>
    </w:p>
    <w:p w14:paraId="5B60B194" w14:textId="77777777" w:rsidR="00356EEC" w:rsidRPr="00065C05" w:rsidRDefault="00356EEC" w:rsidP="00711D36">
      <w:pPr>
        <w:widowControl/>
        <w:rPr>
          <w:rFonts w:asciiTheme="minorHAnsi" w:hAnsiTheme="minorHAnsi" w:cstheme="minorHAnsi"/>
          <w:b/>
          <w:i/>
        </w:rPr>
      </w:pPr>
      <w:r w:rsidRPr="00065C05">
        <w:rPr>
          <w:rFonts w:asciiTheme="minorHAnsi" w:hAnsiTheme="minorHAnsi" w:cstheme="minorHAnsi"/>
          <w:b/>
          <w:i/>
        </w:rPr>
        <w:t xml:space="preserve">The Subgroup on Finance recommends that the Standing Committee: </w:t>
      </w:r>
    </w:p>
    <w:p w14:paraId="27896C49" w14:textId="27E847CA" w:rsidR="00356EEC" w:rsidRPr="00B24FC7" w:rsidRDefault="00B24FC7" w:rsidP="00B24FC7">
      <w:pPr>
        <w:widowControl/>
        <w:ind w:left="426" w:hanging="426"/>
        <w:rPr>
          <w:rFonts w:asciiTheme="minorHAnsi" w:hAnsiTheme="minorHAnsi" w:cstheme="minorHAnsi"/>
          <w:b/>
          <w:i/>
        </w:rPr>
      </w:pPr>
      <w:r w:rsidRPr="00B24FC7">
        <w:rPr>
          <w:rFonts w:asciiTheme="minorHAnsi" w:hAnsiTheme="minorHAnsi" w:cstheme="minorHAnsi"/>
          <w:b/>
          <w:i/>
        </w:rPr>
        <w:lastRenderedPageBreak/>
        <w:t>i.</w:t>
      </w:r>
      <w:r w:rsidRPr="00B24FC7">
        <w:rPr>
          <w:rFonts w:asciiTheme="minorHAnsi" w:hAnsiTheme="minorHAnsi" w:cstheme="minorHAnsi"/>
          <w:b/>
          <w:i/>
        </w:rPr>
        <w:tab/>
      </w:r>
      <w:r w:rsidR="00356EEC" w:rsidRPr="00B24FC7">
        <w:rPr>
          <w:rFonts w:asciiTheme="minorHAnsi" w:hAnsiTheme="minorHAnsi" w:cstheme="minorHAnsi"/>
          <w:b/>
          <w:i/>
        </w:rPr>
        <w:t xml:space="preserve">take note of the status of annual contributions; </w:t>
      </w:r>
    </w:p>
    <w:p w14:paraId="5E0BE71D" w14:textId="0466953C" w:rsidR="00356EEC" w:rsidRPr="00B24FC7" w:rsidRDefault="00B24FC7" w:rsidP="00B24FC7">
      <w:pPr>
        <w:widowControl/>
        <w:ind w:left="426" w:hanging="426"/>
        <w:rPr>
          <w:rFonts w:asciiTheme="minorHAnsi" w:hAnsiTheme="minorHAnsi" w:cstheme="minorHAnsi"/>
          <w:b/>
          <w:i/>
        </w:rPr>
      </w:pPr>
      <w:r w:rsidRPr="00B24FC7">
        <w:rPr>
          <w:b/>
          <w:i/>
        </w:rPr>
        <w:t>ii.</w:t>
      </w:r>
      <w:r w:rsidRPr="00B24FC7">
        <w:rPr>
          <w:b/>
          <w:i/>
        </w:rPr>
        <w:tab/>
      </w:r>
      <w:r w:rsidR="00356EEC" w:rsidRPr="00B24FC7">
        <w:rPr>
          <w:rFonts w:asciiTheme="minorHAnsi" w:hAnsiTheme="minorHAnsi" w:cstheme="minorHAnsi"/>
          <w:b/>
          <w:i/>
        </w:rPr>
        <w:t xml:space="preserve">note the actions listed in paragraphs 12 and 13 </w:t>
      </w:r>
      <w:r w:rsidR="00711D36" w:rsidRPr="00B24FC7">
        <w:rPr>
          <w:rFonts w:asciiTheme="minorHAnsi" w:hAnsiTheme="minorHAnsi" w:cstheme="minorHAnsi"/>
          <w:b/>
          <w:i/>
        </w:rPr>
        <w:t xml:space="preserve">of document SC59/2022 Doc.8.2 </w:t>
      </w:r>
      <w:r w:rsidR="00356EEC" w:rsidRPr="00B24FC7">
        <w:rPr>
          <w:rFonts w:asciiTheme="minorHAnsi" w:hAnsiTheme="minorHAnsi" w:cstheme="minorHAnsi"/>
          <w:b/>
          <w:i/>
        </w:rPr>
        <w:t>on group confirmation of outstanding contributions as part of the audit process;</w:t>
      </w:r>
    </w:p>
    <w:p w14:paraId="09AE1F07" w14:textId="01C847C1" w:rsidR="00356EEC" w:rsidRPr="00B24FC7" w:rsidRDefault="00B24FC7" w:rsidP="00B24FC7">
      <w:pPr>
        <w:widowControl/>
        <w:ind w:left="426" w:hanging="426"/>
        <w:rPr>
          <w:rFonts w:asciiTheme="minorHAnsi" w:hAnsiTheme="minorHAnsi" w:cstheme="minorHAnsi"/>
          <w:b/>
          <w:i/>
        </w:rPr>
      </w:pPr>
      <w:r w:rsidRPr="00B24FC7">
        <w:rPr>
          <w:b/>
          <w:i/>
        </w:rPr>
        <w:t>iii.</w:t>
      </w:r>
      <w:r w:rsidRPr="00B24FC7">
        <w:rPr>
          <w:b/>
          <w:i/>
        </w:rPr>
        <w:tab/>
      </w:r>
      <w:r w:rsidR="00356EEC" w:rsidRPr="00B24FC7">
        <w:rPr>
          <w:rFonts w:asciiTheme="minorHAnsi" w:hAnsiTheme="minorHAnsi" w:cstheme="minorHAnsi"/>
          <w:b/>
          <w:i/>
        </w:rPr>
        <w:t>note the actions listed in paragraphs 16, 18, 19 and 20</w:t>
      </w:r>
      <w:r w:rsidR="00711D36" w:rsidRPr="00B24FC7">
        <w:rPr>
          <w:rFonts w:asciiTheme="minorHAnsi" w:hAnsiTheme="minorHAnsi" w:cstheme="minorHAnsi"/>
          <w:b/>
          <w:i/>
        </w:rPr>
        <w:t xml:space="preserve"> of document SC59/2022 Doc.8.2 </w:t>
      </w:r>
      <w:r w:rsidR="00356EEC" w:rsidRPr="00B24FC7">
        <w:rPr>
          <w:rFonts w:asciiTheme="minorHAnsi" w:hAnsiTheme="minorHAnsi" w:cstheme="minorHAnsi"/>
          <w:b/>
          <w:i/>
        </w:rPr>
        <w:t>to continue encouraging the payment of annual contributions</w:t>
      </w:r>
      <w:r w:rsidR="00D434D9">
        <w:rPr>
          <w:rFonts w:asciiTheme="minorHAnsi" w:hAnsiTheme="minorHAnsi" w:cstheme="minorHAnsi"/>
          <w:b/>
          <w:i/>
        </w:rPr>
        <w:t xml:space="preserve"> by the Contracting Parties</w:t>
      </w:r>
      <w:r w:rsidR="00356EEC" w:rsidRPr="00B24FC7">
        <w:rPr>
          <w:rFonts w:asciiTheme="minorHAnsi" w:hAnsiTheme="minorHAnsi" w:cstheme="minorHAnsi"/>
          <w:b/>
          <w:i/>
        </w:rPr>
        <w:t>;</w:t>
      </w:r>
    </w:p>
    <w:p w14:paraId="77E8FAB3" w14:textId="787CCB59" w:rsidR="00356EEC" w:rsidRPr="00B24FC7" w:rsidRDefault="00B24FC7" w:rsidP="00B24FC7">
      <w:pPr>
        <w:widowControl/>
        <w:ind w:left="426" w:hanging="426"/>
        <w:rPr>
          <w:rFonts w:asciiTheme="minorHAnsi" w:hAnsiTheme="minorHAnsi" w:cstheme="minorHAnsi"/>
          <w:b/>
          <w:i/>
        </w:rPr>
      </w:pPr>
      <w:r w:rsidRPr="00B24FC7">
        <w:rPr>
          <w:rFonts w:asciiTheme="minorHAnsi" w:hAnsiTheme="minorHAnsi" w:cstheme="minorHAnsi"/>
          <w:b/>
          <w:i/>
        </w:rPr>
        <w:t>iv.</w:t>
      </w:r>
      <w:r w:rsidRPr="00B24FC7">
        <w:rPr>
          <w:rFonts w:asciiTheme="minorHAnsi" w:hAnsiTheme="minorHAnsi" w:cstheme="minorHAnsi"/>
          <w:b/>
          <w:i/>
        </w:rPr>
        <w:tab/>
      </w:r>
      <w:r w:rsidR="00356EEC" w:rsidRPr="00B24FC7">
        <w:rPr>
          <w:rFonts w:asciiTheme="minorHAnsi" w:hAnsiTheme="minorHAnsi" w:cstheme="minorHAnsi"/>
          <w:b/>
          <w:i/>
        </w:rPr>
        <w:t>note the change</w:t>
      </w:r>
      <w:r w:rsidR="00642406">
        <w:rPr>
          <w:rFonts w:asciiTheme="minorHAnsi" w:hAnsiTheme="minorHAnsi" w:cstheme="minorHAnsi"/>
          <w:b/>
          <w:i/>
        </w:rPr>
        <w:t>s</w:t>
      </w:r>
      <w:r w:rsidR="00356EEC" w:rsidRPr="00B24FC7">
        <w:rPr>
          <w:rFonts w:asciiTheme="minorHAnsi" w:hAnsiTheme="minorHAnsi" w:cstheme="minorHAnsi"/>
          <w:b/>
          <w:i/>
        </w:rPr>
        <w:t xml:space="preserve"> in annual contributions receivable and in the annual provision against contributions receivable; and </w:t>
      </w:r>
    </w:p>
    <w:p w14:paraId="3FE696D8" w14:textId="38FDFA56" w:rsidR="00356EEC" w:rsidRPr="00B24FC7" w:rsidRDefault="00B24FC7" w:rsidP="00B24FC7">
      <w:pPr>
        <w:widowControl/>
        <w:ind w:left="426" w:hanging="426"/>
        <w:rPr>
          <w:rFonts w:asciiTheme="minorHAnsi" w:hAnsiTheme="minorHAnsi" w:cstheme="minorHAnsi"/>
          <w:b/>
          <w:i/>
        </w:rPr>
      </w:pPr>
      <w:r w:rsidRPr="00B24FC7">
        <w:rPr>
          <w:rFonts w:asciiTheme="minorHAnsi" w:hAnsiTheme="minorHAnsi" w:cstheme="minorHAnsi"/>
          <w:b/>
          <w:i/>
        </w:rPr>
        <w:t>v.</w:t>
      </w:r>
      <w:r w:rsidRPr="00B24FC7">
        <w:rPr>
          <w:rFonts w:asciiTheme="minorHAnsi" w:hAnsiTheme="minorHAnsi" w:cstheme="minorHAnsi"/>
          <w:b/>
          <w:i/>
        </w:rPr>
        <w:tab/>
      </w:r>
      <w:r w:rsidR="00356EEC" w:rsidRPr="00B24FC7">
        <w:rPr>
          <w:rFonts w:asciiTheme="minorHAnsi" w:hAnsiTheme="minorHAnsi" w:cstheme="minorHAnsi"/>
          <w:b/>
          <w:i/>
        </w:rPr>
        <w:t>note the status of the African voluntary contributions.</w:t>
      </w:r>
    </w:p>
    <w:p w14:paraId="4BF1EFAA" w14:textId="3963D904" w:rsidR="0066724B" w:rsidRDefault="0066724B" w:rsidP="00711D36">
      <w:pPr>
        <w:widowControl/>
        <w:rPr>
          <w:rFonts w:asciiTheme="minorHAnsi" w:hAnsiTheme="minorHAnsi" w:cstheme="minorHAnsi"/>
          <w:b/>
          <w:i/>
        </w:rPr>
      </w:pPr>
    </w:p>
    <w:p w14:paraId="46895208" w14:textId="4D90B10B" w:rsidR="0066724B" w:rsidRDefault="0066724B" w:rsidP="00711D36">
      <w:pPr>
        <w:widowControl/>
        <w:rPr>
          <w:rFonts w:asciiTheme="minorHAnsi" w:hAnsiTheme="minorHAnsi" w:cstheme="minorHAnsi"/>
          <w:b/>
          <w:i/>
        </w:rPr>
      </w:pPr>
    </w:p>
    <w:p w14:paraId="4CE74308" w14:textId="00EF430D" w:rsidR="009F5EF8" w:rsidRPr="008F6EDE" w:rsidRDefault="00711D36" w:rsidP="008F6EDE">
      <w:pPr>
        <w:widowControl/>
        <w:autoSpaceDE/>
        <w:autoSpaceDN/>
        <w:ind w:left="426" w:hanging="426"/>
        <w:rPr>
          <w:rFonts w:asciiTheme="minorHAnsi" w:hAnsiTheme="minorHAnsi" w:cstheme="minorHAnsi"/>
          <w:b/>
        </w:rPr>
      </w:pPr>
      <w:r w:rsidRPr="008F6EDE">
        <w:rPr>
          <w:rFonts w:asciiTheme="minorHAnsi" w:hAnsiTheme="minorHAnsi" w:cstheme="minorHAnsi"/>
          <w:b/>
        </w:rPr>
        <w:t>2.</w:t>
      </w:r>
      <w:r w:rsidRPr="008F6EDE">
        <w:rPr>
          <w:rFonts w:asciiTheme="minorHAnsi" w:hAnsiTheme="minorHAnsi" w:cstheme="minorHAnsi"/>
          <w:b/>
        </w:rPr>
        <w:tab/>
      </w:r>
      <w:r w:rsidR="009F5EF8" w:rsidRPr="008F6EDE">
        <w:rPr>
          <w:rFonts w:asciiTheme="minorHAnsi" w:hAnsiTheme="minorHAnsi" w:cstheme="minorHAnsi"/>
          <w:b/>
        </w:rPr>
        <w:t>Report on financial matters for 2019-2021 and 2022 (</w:t>
      </w:r>
      <w:r w:rsidRPr="008F6EDE">
        <w:rPr>
          <w:rFonts w:asciiTheme="minorHAnsi" w:hAnsiTheme="minorHAnsi" w:cstheme="minorHAnsi"/>
          <w:b/>
        </w:rPr>
        <w:t>d</w:t>
      </w:r>
      <w:r w:rsidR="009F5EF8" w:rsidRPr="008F6EDE">
        <w:rPr>
          <w:rFonts w:asciiTheme="minorHAnsi" w:hAnsiTheme="minorHAnsi" w:cstheme="minorHAnsi"/>
          <w:b/>
        </w:rPr>
        <w:t xml:space="preserve">ocument </w:t>
      </w:r>
      <w:r w:rsidR="00E04963" w:rsidRPr="008F6EDE">
        <w:rPr>
          <w:rFonts w:asciiTheme="minorHAnsi" w:hAnsiTheme="minorHAnsi" w:cstheme="minorHAnsi"/>
          <w:b/>
        </w:rPr>
        <w:t>SC59</w:t>
      </w:r>
      <w:r w:rsidR="00743F0F" w:rsidRPr="008F6EDE">
        <w:rPr>
          <w:rFonts w:asciiTheme="minorHAnsi" w:hAnsiTheme="minorHAnsi" w:cstheme="minorHAnsi"/>
          <w:b/>
        </w:rPr>
        <w:t>/2022</w:t>
      </w:r>
      <w:r w:rsidR="00E04963" w:rsidRPr="008F6EDE">
        <w:rPr>
          <w:rFonts w:asciiTheme="minorHAnsi" w:hAnsiTheme="minorHAnsi" w:cstheme="minorHAnsi"/>
          <w:b/>
        </w:rPr>
        <w:t xml:space="preserve"> </w:t>
      </w:r>
      <w:r w:rsidR="009F5EF8" w:rsidRPr="008F6EDE">
        <w:rPr>
          <w:rFonts w:asciiTheme="minorHAnsi" w:hAnsiTheme="minorHAnsi" w:cstheme="minorHAnsi"/>
          <w:b/>
        </w:rPr>
        <w:t>D</w:t>
      </w:r>
      <w:r w:rsidR="00E04963" w:rsidRPr="008F6EDE">
        <w:rPr>
          <w:rFonts w:asciiTheme="minorHAnsi" w:hAnsiTheme="minorHAnsi" w:cstheme="minorHAnsi"/>
          <w:b/>
        </w:rPr>
        <w:t>oc.8.1</w:t>
      </w:r>
      <w:r w:rsidR="009F5EF8" w:rsidRPr="008F6EDE">
        <w:rPr>
          <w:rFonts w:asciiTheme="minorHAnsi" w:hAnsiTheme="minorHAnsi" w:cstheme="minorHAnsi"/>
          <w:b/>
        </w:rPr>
        <w:t>)</w:t>
      </w:r>
      <w:r w:rsidR="002C2CCE">
        <w:rPr>
          <w:rStyle w:val="FootnoteReference"/>
          <w:rFonts w:asciiTheme="minorHAnsi" w:hAnsiTheme="minorHAnsi" w:cstheme="minorHAnsi"/>
          <w:b/>
        </w:rPr>
        <w:footnoteReference w:id="1"/>
      </w:r>
      <w:r w:rsidR="00E04963" w:rsidRPr="008F6EDE">
        <w:rPr>
          <w:rFonts w:asciiTheme="minorHAnsi" w:hAnsiTheme="minorHAnsi" w:cstheme="minorHAnsi"/>
          <w:b/>
        </w:rPr>
        <w:t xml:space="preserve"> </w:t>
      </w:r>
    </w:p>
    <w:p w14:paraId="19B1EDE6" w14:textId="77777777" w:rsidR="00F63469" w:rsidRDefault="00F63469" w:rsidP="00711D36">
      <w:pPr>
        <w:widowControl/>
        <w:ind w:left="426" w:hanging="426"/>
        <w:rPr>
          <w:rFonts w:asciiTheme="minorHAnsi" w:hAnsiTheme="minorHAnsi" w:cstheme="minorHAnsi"/>
        </w:rPr>
      </w:pPr>
    </w:p>
    <w:p w14:paraId="28AB9AFE" w14:textId="48BF55EF" w:rsidR="00BA28A6" w:rsidRDefault="00F63469" w:rsidP="00711D36">
      <w:pPr>
        <w:widowControl/>
        <w:rPr>
          <w:rFonts w:asciiTheme="minorHAnsi" w:hAnsiTheme="minorHAnsi" w:cstheme="minorHAnsi"/>
        </w:rPr>
      </w:pPr>
      <w:r w:rsidRPr="00C76FD5">
        <w:rPr>
          <w:rFonts w:asciiTheme="minorHAnsi" w:hAnsiTheme="minorHAnsi" w:cstheme="minorHAnsi"/>
        </w:rPr>
        <w:t>The Secretary General introduced the elements of document SC59</w:t>
      </w:r>
      <w:r w:rsidR="009F5EF8" w:rsidRPr="00C76FD5">
        <w:rPr>
          <w:rFonts w:asciiTheme="minorHAnsi" w:hAnsiTheme="minorHAnsi" w:cstheme="minorHAnsi"/>
        </w:rPr>
        <w:t xml:space="preserve">/2022 </w:t>
      </w:r>
      <w:r w:rsidRPr="00C76FD5">
        <w:rPr>
          <w:rFonts w:asciiTheme="minorHAnsi" w:hAnsiTheme="minorHAnsi" w:cstheme="minorHAnsi"/>
        </w:rPr>
        <w:t xml:space="preserve">Doc.8.1 relating to the </w:t>
      </w:r>
      <w:r w:rsidR="00E9401C" w:rsidRPr="00C76FD5">
        <w:rPr>
          <w:rFonts w:asciiTheme="minorHAnsi" w:hAnsiTheme="minorHAnsi" w:cstheme="minorHAnsi"/>
        </w:rPr>
        <w:t>202</w:t>
      </w:r>
      <w:r w:rsidR="009F5EF8" w:rsidRPr="00C76FD5">
        <w:rPr>
          <w:rFonts w:asciiTheme="minorHAnsi" w:hAnsiTheme="minorHAnsi" w:cstheme="minorHAnsi"/>
        </w:rPr>
        <w:t>1</w:t>
      </w:r>
      <w:r w:rsidR="00E9401C" w:rsidRPr="00C76FD5">
        <w:rPr>
          <w:rFonts w:asciiTheme="minorHAnsi" w:hAnsiTheme="minorHAnsi" w:cstheme="minorHAnsi"/>
        </w:rPr>
        <w:t xml:space="preserve"> financial statements, highlighting the inclusion of the audited statements, and </w:t>
      </w:r>
      <w:r w:rsidR="00B24FC7">
        <w:rPr>
          <w:rFonts w:asciiTheme="minorHAnsi" w:hAnsiTheme="minorHAnsi" w:cstheme="minorHAnsi"/>
        </w:rPr>
        <w:t xml:space="preserve">noting that the </w:t>
      </w:r>
      <w:r w:rsidR="00FC5734">
        <w:rPr>
          <w:rFonts w:asciiTheme="minorHAnsi" w:hAnsiTheme="minorHAnsi" w:cstheme="minorHAnsi"/>
        </w:rPr>
        <w:t xml:space="preserve">external </w:t>
      </w:r>
      <w:r w:rsidR="00B24FC7">
        <w:rPr>
          <w:rFonts w:asciiTheme="minorHAnsi" w:hAnsiTheme="minorHAnsi" w:cstheme="minorHAnsi"/>
        </w:rPr>
        <w:t xml:space="preserve">auditors had </w:t>
      </w:r>
      <w:r w:rsidR="008F6EDE">
        <w:rPr>
          <w:rFonts w:asciiTheme="minorHAnsi" w:hAnsiTheme="minorHAnsi" w:cstheme="minorHAnsi"/>
        </w:rPr>
        <w:t xml:space="preserve">found </w:t>
      </w:r>
      <w:r w:rsidR="00B24FC7">
        <w:rPr>
          <w:rFonts w:asciiTheme="minorHAnsi" w:hAnsiTheme="minorHAnsi" w:cstheme="minorHAnsi"/>
        </w:rPr>
        <w:t>no issues</w:t>
      </w:r>
      <w:r w:rsidR="008F6EDE" w:rsidRPr="008F6EDE">
        <w:rPr>
          <w:rFonts w:asciiTheme="minorHAnsi" w:hAnsiTheme="minorHAnsi" w:cstheme="minorHAnsi"/>
        </w:rPr>
        <w:t xml:space="preserve"> </w:t>
      </w:r>
      <w:r w:rsidR="008F6EDE">
        <w:rPr>
          <w:rFonts w:asciiTheme="minorHAnsi" w:hAnsiTheme="minorHAnsi" w:cstheme="minorHAnsi"/>
        </w:rPr>
        <w:t>to raise</w:t>
      </w:r>
      <w:r w:rsidR="00991376">
        <w:rPr>
          <w:rFonts w:asciiTheme="minorHAnsi" w:hAnsiTheme="minorHAnsi" w:cstheme="minorHAnsi"/>
        </w:rPr>
        <w:t>, thus confirming the positive results and improvements of the past years</w:t>
      </w:r>
      <w:r w:rsidR="00B24FC7">
        <w:rPr>
          <w:rFonts w:asciiTheme="minorHAnsi" w:hAnsiTheme="minorHAnsi" w:cstheme="minorHAnsi"/>
        </w:rPr>
        <w:t>. S</w:t>
      </w:r>
      <w:r w:rsidR="00E9401C" w:rsidRPr="00C76FD5">
        <w:rPr>
          <w:rFonts w:asciiTheme="minorHAnsi" w:hAnsiTheme="minorHAnsi" w:cstheme="minorHAnsi"/>
        </w:rPr>
        <w:t xml:space="preserve">he noted the </w:t>
      </w:r>
      <w:r w:rsidR="00B24FC7">
        <w:rPr>
          <w:rFonts w:asciiTheme="minorHAnsi" w:hAnsiTheme="minorHAnsi" w:cstheme="minorHAnsi"/>
        </w:rPr>
        <w:t xml:space="preserve">savings accumulated in </w:t>
      </w:r>
      <w:r w:rsidR="00BA28A6">
        <w:rPr>
          <w:rFonts w:asciiTheme="minorHAnsi" w:hAnsiTheme="minorHAnsi" w:cstheme="minorHAnsi"/>
        </w:rPr>
        <w:t>2019-</w:t>
      </w:r>
      <w:r w:rsidR="00B24FC7">
        <w:rPr>
          <w:rFonts w:asciiTheme="minorHAnsi" w:hAnsiTheme="minorHAnsi" w:cstheme="minorHAnsi"/>
        </w:rPr>
        <w:t xml:space="preserve">2021 </w:t>
      </w:r>
      <w:r w:rsidR="00BA28A6">
        <w:rPr>
          <w:rFonts w:asciiTheme="minorHAnsi" w:hAnsiTheme="minorHAnsi" w:cstheme="minorHAnsi"/>
        </w:rPr>
        <w:t xml:space="preserve">triennium </w:t>
      </w:r>
      <w:r w:rsidR="00B24FC7">
        <w:rPr>
          <w:rFonts w:asciiTheme="minorHAnsi" w:hAnsiTheme="minorHAnsi" w:cstheme="minorHAnsi"/>
        </w:rPr>
        <w:t xml:space="preserve">due to </w:t>
      </w:r>
      <w:r w:rsidR="00E9401C" w:rsidRPr="00C76FD5">
        <w:rPr>
          <w:rFonts w:asciiTheme="minorHAnsi" w:hAnsiTheme="minorHAnsi" w:cstheme="minorHAnsi"/>
        </w:rPr>
        <w:t xml:space="preserve">the </w:t>
      </w:r>
      <w:r w:rsidR="00A51A5D">
        <w:rPr>
          <w:rFonts w:asciiTheme="minorHAnsi" w:hAnsiTheme="minorHAnsi" w:cstheme="minorHAnsi"/>
        </w:rPr>
        <w:t xml:space="preserve">impact of the </w:t>
      </w:r>
      <w:r w:rsidR="00E9401C" w:rsidRPr="00C76FD5">
        <w:rPr>
          <w:rFonts w:asciiTheme="minorHAnsi" w:hAnsiTheme="minorHAnsi" w:cstheme="minorHAnsi"/>
        </w:rPr>
        <w:t>COVID-19 pandemic</w:t>
      </w:r>
      <w:r w:rsidR="00991376">
        <w:rPr>
          <w:rFonts w:asciiTheme="minorHAnsi" w:hAnsiTheme="minorHAnsi" w:cstheme="minorHAnsi"/>
        </w:rPr>
        <w:t>, resulting in low</w:t>
      </w:r>
      <w:r w:rsidR="007A443A">
        <w:rPr>
          <w:rFonts w:asciiTheme="minorHAnsi" w:hAnsiTheme="minorHAnsi" w:cstheme="minorHAnsi"/>
        </w:rPr>
        <w:t xml:space="preserve"> implementation </w:t>
      </w:r>
      <w:r w:rsidR="00991376">
        <w:rPr>
          <w:rFonts w:asciiTheme="minorHAnsi" w:hAnsiTheme="minorHAnsi" w:cstheme="minorHAnsi"/>
        </w:rPr>
        <w:t>in</w:t>
      </w:r>
      <w:r w:rsidR="007A443A">
        <w:rPr>
          <w:rFonts w:asciiTheme="minorHAnsi" w:hAnsiTheme="minorHAnsi" w:cstheme="minorHAnsi"/>
        </w:rPr>
        <w:t xml:space="preserve"> budget lines</w:t>
      </w:r>
      <w:r w:rsidR="00E9401C" w:rsidRPr="00C76FD5">
        <w:rPr>
          <w:rFonts w:asciiTheme="minorHAnsi" w:hAnsiTheme="minorHAnsi" w:cstheme="minorHAnsi"/>
        </w:rPr>
        <w:t xml:space="preserve">, </w:t>
      </w:r>
      <w:r w:rsidR="00B24FC7">
        <w:rPr>
          <w:rFonts w:asciiTheme="minorHAnsi" w:hAnsiTheme="minorHAnsi" w:cstheme="minorHAnsi"/>
        </w:rPr>
        <w:t>in particular on travel, Ramsar Advisory Missions and meetings</w:t>
      </w:r>
      <w:r w:rsidR="006D71F2" w:rsidRPr="00C76FD5">
        <w:rPr>
          <w:rFonts w:asciiTheme="minorHAnsi" w:hAnsiTheme="minorHAnsi" w:cstheme="minorHAnsi"/>
        </w:rPr>
        <w:t>.</w:t>
      </w:r>
      <w:r w:rsidR="00E9401C" w:rsidRPr="00C76FD5">
        <w:rPr>
          <w:rFonts w:asciiTheme="minorHAnsi" w:hAnsiTheme="minorHAnsi" w:cstheme="minorHAnsi"/>
        </w:rPr>
        <w:t xml:space="preserve"> </w:t>
      </w:r>
    </w:p>
    <w:p w14:paraId="23A7E0BA" w14:textId="138836DB" w:rsidR="00A51A5D" w:rsidRDefault="00A51A5D" w:rsidP="00711D36">
      <w:pPr>
        <w:widowControl/>
        <w:rPr>
          <w:rFonts w:asciiTheme="minorHAnsi" w:hAnsiTheme="minorHAnsi" w:cstheme="minorHAnsi"/>
        </w:rPr>
      </w:pPr>
    </w:p>
    <w:p w14:paraId="6BAD2248" w14:textId="3C7C12B3" w:rsidR="00A51A5D" w:rsidRDefault="00A51A5D" w:rsidP="00711D36">
      <w:pPr>
        <w:widowControl/>
        <w:rPr>
          <w:rFonts w:asciiTheme="minorHAnsi" w:hAnsiTheme="minorHAnsi" w:cstheme="minorHAnsi"/>
        </w:rPr>
      </w:pPr>
      <w:r>
        <w:rPr>
          <w:rFonts w:asciiTheme="minorHAnsi" w:hAnsiTheme="minorHAnsi" w:cstheme="minorHAnsi"/>
        </w:rPr>
        <w:t xml:space="preserve">The </w:t>
      </w:r>
      <w:r w:rsidR="00F60AB1">
        <w:rPr>
          <w:rFonts w:asciiTheme="minorHAnsi" w:hAnsiTheme="minorHAnsi" w:cstheme="minorHAnsi"/>
        </w:rPr>
        <w:t>Sub</w:t>
      </w:r>
      <w:r>
        <w:rPr>
          <w:rFonts w:asciiTheme="minorHAnsi" w:hAnsiTheme="minorHAnsi" w:cstheme="minorHAnsi"/>
        </w:rPr>
        <w:t xml:space="preserve">group </w:t>
      </w:r>
      <w:r w:rsidR="00991376">
        <w:rPr>
          <w:rFonts w:asciiTheme="minorHAnsi" w:hAnsiTheme="minorHAnsi" w:cstheme="minorHAnsi"/>
        </w:rPr>
        <w:t xml:space="preserve">noted </w:t>
      </w:r>
      <w:r>
        <w:rPr>
          <w:rFonts w:asciiTheme="minorHAnsi" w:hAnsiTheme="minorHAnsi" w:cstheme="minorHAnsi"/>
        </w:rPr>
        <w:t xml:space="preserve">the relatively high budget implementation (89%) on salary costs, </w:t>
      </w:r>
      <w:r w:rsidR="00AF5120">
        <w:rPr>
          <w:rFonts w:asciiTheme="minorHAnsi" w:hAnsiTheme="minorHAnsi" w:cstheme="minorHAnsi"/>
        </w:rPr>
        <w:t>which has a positive outcome in the context of the COVID-19 pandemic compared to other</w:t>
      </w:r>
      <w:r>
        <w:rPr>
          <w:rFonts w:asciiTheme="minorHAnsi" w:hAnsiTheme="minorHAnsi" w:cstheme="minorHAnsi"/>
        </w:rPr>
        <w:t xml:space="preserve"> organizations</w:t>
      </w:r>
      <w:r w:rsidR="00AF5120">
        <w:rPr>
          <w:rFonts w:asciiTheme="minorHAnsi" w:hAnsiTheme="minorHAnsi" w:cstheme="minorHAnsi"/>
        </w:rPr>
        <w:t xml:space="preserve"> and acknowledged the Secretariat for efforts in this regard</w:t>
      </w:r>
      <w:r>
        <w:rPr>
          <w:rFonts w:asciiTheme="minorHAnsi" w:hAnsiTheme="minorHAnsi" w:cstheme="minorHAnsi"/>
        </w:rPr>
        <w:t>.</w:t>
      </w:r>
      <w:r w:rsidR="00F60AB1">
        <w:rPr>
          <w:rFonts w:asciiTheme="minorHAnsi" w:hAnsiTheme="minorHAnsi" w:cstheme="minorHAnsi"/>
        </w:rPr>
        <w:t xml:space="preserve"> </w:t>
      </w:r>
    </w:p>
    <w:p w14:paraId="20587F9C" w14:textId="654E5970" w:rsidR="00C76FD5" w:rsidRDefault="00C76FD5" w:rsidP="00711D36">
      <w:pPr>
        <w:widowControl/>
        <w:rPr>
          <w:rFonts w:asciiTheme="minorHAnsi" w:hAnsiTheme="minorHAnsi" w:cstheme="minorHAnsi"/>
        </w:rPr>
      </w:pPr>
    </w:p>
    <w:p w14:paraId="14E4B75C" w14:textId="77777777" w:rsidR="00312AAB" w:rsidRPr="00DD6746" w:rsidRDefault="00312AAB" w:rsidP="00711D36">
      <w:pPr>
        <w:widowControl/>
        <w:rPr>
          <w:rFonts w:asciiTheme="minorHAnsi" w:hAnsiTheme="minorHAnsi" w:cstheme="minorHAnsi"/>
          <w:i/>
          <w:iCs/>
          <w:color w:val="0000FF"/>
          <w:lang w:eastAsia="ja-JP"/>
        </w:rPr>
      </w:pPr>
      <w:r w:rsidRPr="00DD6746">
        <w:rPr>
          <w:rFonts w:asciiTheme="minorHAnsi" w:hAnsiTheme="minorHAnsi" w:cstheme="minorHAnsi"/>
          <w:i/>
          <w:color w:val="0000FF"/>
        </w:rPr>
        <w:t>Recommendation</w:t>
      </w:r>
      <w:r w:rsidRPr="00DD6746">
        <w:rPr>
          <w:rFonts w:asciiTheme="minorHAnsi" w:hAnsiTheme="minorHAnsi" w:cstheme="minorHAnsi"/>
          <w:i/>
          <w:iCs/>
          <w:color w:val="0000FF"/>
          <w:lang w:eastAsia="ja-JP"/>
        </w:rPr>
        <w:t xml:space="preserve"> for decision by the Standing Committee:</w:t>
      </w:r>
    </w:p>
    <w:p w14:paraId="5C2B8825" w14:textId="77777777" w:rsidR="00312AAB" w:rsidRDefault="00312AAB" w:rsidP="00711D36">
      <w:pPr>
        <w:widowControl/>
        <w:ind w:left="426" w:hanging="426"/>
        <w:rPr>
          <w:rFonts w:asciiTheme="minorHAnsi" w:hAnsiTheme="minorHAnsi" w:cstheme="minorHAnsi"/>
        </w:rPr>
      </w:pPr>
    </w:p>
    <w:p w14:paraId="755DCA2A" w14:textId="77777777" w:rsidR="006302C1" w:rsidRPr="006302C1" w:rsidRDefault="006302C1" w:rsidP="00711D36">
      <w:pPr>
        <w:widowControl/>
        <w:rPr>
          <w:rFonts w:asciiTheme="minorHAnsi" w:hAnsiTheme="minorHAnsi" w:cstheme="minorHAnsi"/>
          <w:b/>
          <w:i/>
        </w:rPr>
      </w:pPr>
      <w:r w:rsidRPr="006302C1">
        <w:rPr>
          <w:rFonts w:asciiTheme="minorHAnsi" w:hAnsiTheme="minorHAnsi" w:cstheme="minorHAnsi"/>
          <w:b/>
          <w:i/>
        </w:rPr>
        <w:t>The Subgroup on Finance recommends that the Standing Committee:</w:t>
      </w:r>
    </w:p>
    <w:p w14:paraId="2A21A73E" w14:textId="2846FB68" w:rsidR="006302C1" w:rsidRPr="00A51A5D" w:rsidRDefault="008F6EDE" w:rsidP="00A51A5D">
      <w:pPr>
        <w:widowControl/>
        <w:ind w:left="426" w:hanging="426"/>
        <w:rPr>
          <w:rFonts w:asciiTheme="minorHAnsi" w:hAnsiTheme="minorHAnsi" w:cstheme="minorHAnsi"/>
          <w:b/>
          <w:i/>
        </w:rPr>
      </w:pPr>
      <w:r w:rsidRPr="008F6EDE">
        <w:rPr>
          <w:b/>
          <w:i/>
        </w:rPr>
        <w:t>i.</w:t>
      </w:r>
      <w:r w:rsidRPr="008F6EDE">
        <w:rPr>
          <w:b/>
          <w:i/>
        </w:rPr>
        <w:tab/>
      </w:r>
      <w:r w:rsidR="00FC5734">
        <w:rPr>
          <w:b/>
          <w:i/>
        </w:rPr>
        <w:t xml:space="preserve">review and </w:t>
      </w:r>
      <w:r w:rsidR="006302C1" w:rsidRPr="00A51A5D">
        <w:rPr>
          <w:rFonts w:asciiTheme="minorHAnsi" w:hAnsiTheme="minorHAnsi" w:cstheme="minorHAnsi"/>
          <w:b/>
          <w:i/>
        </w:rPr>
        <w:t>accept the 202</w:t>
      </w:r>
      <w:r w:rsidR="009F5EF8" w:rsidRPr="00A51A5D">
        <w:rPr>
          <w:rFonts w:asciiTheme="minorHAnsi" w:hAnsiTheme="minorHAnsi" w:cstheme="minorHAnsi"/>
          <w:b/>
          <w:i/>
        </w:rPr>
        <w:t>1</w:t>
      </w:r>
      <w:r w:rsidR="006302C1" w:rsidRPr="00A51A5D">
        <w:rPr>
          <w:rFonts w:asciiTheme="minorHAnsi" w:hAnsiTheme="minorHAnsi" w:cstheme="minorHAnsi"/>
          <w:b/>
          <w:i/>
        </w:rPr>
        <w:t xml:space="preserve"> audited financial statements as of 31 December 202</w:t>
      </w:r>
      <w:r w:rsidR="009F5EF8" w:rsidRPr="00A51A5D">
        <w:rPr>
          <w:rFonts w:asciiTheme="minorHAnsi" w:hAnsiTheme="minorHAnsi" w:cstheme="minorHAnsi"/>
          <w:b/>
          <w:i/>
        </w:rPr>
        <w:t>1</w:t>
      </w:r>
      <w:r w:rsidR="006302C1" w:rsidRPr="00A51A5D">
        <w:rPr>
          <w:rFonts w:asciiTheme="minorHAnsi" w:hAnsiTheme="minorHAnsi" w:cstheme="minorHAnsi"/>
          <w:b/>
          <w:i/>
        </w:rPr>
        <w:t>;</w:t>
      </w:r>
    </w:p>
    <w:p w14:paraId="6819C445" w14:textId="59440DF9" w:rsidR="006302C1" w:rsidRPr="00A51A5D" w:rsidRDefault="008F6EDE" w:rsidP="00A51A5D">
      <w:pPr>
        <w:widowControl/>
        <w:ind w:left="426" w:hanging="426"/>
        <w:rPr>
          <w:rFonts w:asciiTheme="minorHAnsi" w:hAnsiTheme="minorHAnsi" w:cstheme="minorHAnsi"/>
          <w:b/>
          <w:i/>
        </w:rPr>
      </w:pPr>
      <w:r>
        <w:rPr>
          <w:rFonts w:asciiTheme="minorHAnsi" w:hAnsiTheme="minorHAnsi" w:cstheme="minorHAnsi"/>
          <w:b/>
          <w:i/>
        </w:rPr>
        <w:t>ii.</w:t>
      </w:r>
      <w:r>
        <w:rPr>
          <w:rFonts w:asciiTheme="minorHAnsi" w:hAnsiTheme="minorHAnsi" w:cstheme="minorHAnsi"/>
          <w:b/>
          <w:i/>
        </w:rPr>
        <w:tab/>
      </w:r>
      <w:r w:rsidR="006302C1" w:rsidRPr="00A51A5D">
        <w:rPr>
          <w:rFonts w:asciiTheme="minorHAnsi" w:hAnsiTheme="minorHAnsi" w:cstheme="minorHAnsi"/>
          <w:b/>
          <w:i/>
        </w:rPr>
        <w:t>note the core budget results for 202</w:t>
      </w:r>
      <w:r w:rsidR="009F5EF8" w:rsidRPr="00A51A5D">
        <w:rPr>
          <w:rFonts w:asciiTheme="minorHAnsi" w:hAnsiTheme="minorHAnsi" w:cstheme="minorHAnsi"/>
          <w:b/>
          <w:i/>
        </w:rPr>
        <w:t>1</w:t>
      </w:r>
      <w:r w:rsidR="006302C1" w:rsidRPr="00A51A5D">
        <w:rPr>
          <w:rFonts w:asciiTheme="minorHAnsi" w:hAnsiTheme="minorHAnsi" w:cstheme="minorHAnsi"/>
          <w:b/>
          <w:i/>
        </w:rPr>
        <w:t>;</w:t>
      </w:r>
    </w:p>
    <w:p w14:paraId="3F8B8799" w14:textId="62C0FAD4" w:rsidR="006302C1" w:rsidRDefault="008F6EDE" w:rsidP="00A51A5D">
      <w:pPr>
        <w:widowControl/>
        <w:ind w:left="426" w:hanging="426"/>
        <w:rPr>
          <w:rFonts w:asciiTheme="minorHAnsi" w:hAnsiTheme="minorHAnsi" w:cstheme="minorHAnsi"/>
          <w:b/>
          <w:i/>
        </w:rPr>
      </w:pPr>
      <w:r>
        <w:rPr>
          <w:rFonts w:asciiTheme="minorHAnsi" w:hAnsiTheme="minorHAnsi" w:cstheme="minorHAnsi"/>
          <w:b/>
          <w:i/>
        </w:rPr>
        <w:t>iii.</w:t>
      </w:r>
      <w:r>
        <w:rPr>
          <w:rFonts w:asciiTheme="minorHAnsi" w:hAnsiTheme="minorHAnsi" w:cstheme="minorHAnsi"/>
          <w:b/>
          <w:i/>
        </w:rPr>
        <w:tab/>
      </w:r>
      <w:r w:rsidR="006302C1" w:rsidRPr="00A51A5D">
        <w:rPr>
          <w:rFonts w:asciiTheme="minorHAnsi" w:hAnsiTheme="minorHAnsi" w:cstheme="minorHAnsi"/>
          <w:b/>
          <w:i/>
        </w:rPr>
        <w:t xml:space="preserve">note the </w:t>
      </w:r>
      <w:r w:rsidR="00FC5734">
        <w:rPr>
          <w:rFonts w:asciiTheme="minorHAnsi" w:hAnsiTheme="minorHAnsi" w:cstheme="minorHAnsi"/>
          <w:b/>
          <w:i/>
        </w:rPr>
        <w:t xml:space="preserve">status of the </w:t>
      </w:r>
      <w:r w:rsidR="006302C1" w:rsidRPr="00A51A5D">
        <w:rPr>
          <w:rFonts w:asciiTheme="minorHAnsi" w:hAnsiTheme="minorHAnsi" w:cstheme="minorHAnsi"/>
          <w:b/>
          <w:i/>
        </w:rPr>
        <w:t>non-core balances and voluntary contributions for 202</w:t>
      </w:r>
      <w:r w:rsidR="009F5EF8" w:rsidRPr="00A51A5D">
        <w:rPr>
          <w:rFonts w:asciiTheme="minorHAnsi" w:hAnsiTheme="minorHAnsi" w:cstheme="minorHAnsi"/>
          <w:b/>
          <w:i/>
        </w:rPr>
        <w:t>1</w:t>
      </w:r>
      <w:r w:rsidR="006302C1" w:rsidRPr="00A51A5D">
        <w:rPr>
          <w:rFonts w:asciiTheme="minorHAnsi" w:hAnsiTheme="minorHAnsi" w:cstheme="minorHAnsi"/>
          <w:b/>
          <w:i/>
        </w:rPr>
        <w:t xml:space="preserve">; </w:t>
      </w:r>
    </w:p>
    <w:p w14:paraId="46D968B0" w14:textId="3B06842C" w:rsidR="008F6EDE" w:rsidRPr="00A51A5D" w:rsidRDefault="008F6EDE" w:rsidP="008F6EDE">
      <w:pPr>
        <w:widowControl/>
        <w:ind w:left="426" w:hanging="426"/>
        <w:rPr>
          <w:rFonts w:asciiTheme="minorHAnsi" w:hAnsiTheme="minorHAnsi" w:cstheme="minorHAnsi"/>
          <w:b/>
          <w:i/>
        </w:rPr>
      </w:pPr>
      <w:r>
        <w:rPr>
          <w:rFonts w:asciiTheme="minorHAnsi" w:hAnsiTheme="minorHAnsi" w:cstheme="minorHAnsi"/>
          <w:b/>
          <w:i/>
        </w:rPr>
        <w:t>iv.</w:t>
      </w:r>
      <w:r>
        <w:rPr>
          <w:rFonts w:asciiTheme="minorHAnsi" w:hAnsiTheme="minorHAnsi" w:cstheme="minorHAnsi"/>
          <w:b/>
          <w:i/>
        </w:rPr>
        <w:tab/>
      </w:r>
      <w:r w:rsidRPr="00A51A5D">
        <w:rPr>
          <w:rFonts w:asciiTheme="minorHAnsi" w:hAnsiTheme="minorHAnsi" w:cstheme="minorHAnsi"/>
          <w:b/>
          <w:i/>
        </w:rPr>
        <w:t>approve the Secretariat’s proposed adjustments to 2021, as described in paragraphs 9.f, 13, 14 and 15 and presented in column H of the table in Annex 2</w:t>
      </w:r>
      <w:r w:rsidR="00FC5734">
        <w:rPr>
          <w:rFonts w:asciiTheme="minorHAnsi" w:hAnsiTheme="minorHAnsi" w:cstheme="minorHAnsi"/>
          <w:b/>
          <w:i/>
        </w:rPr>
        <w:t xml:space="preserve"> of document SC59/2022 Doc. 8.1</w:t>
      </w:r>
      <w:r w:rsidRPr="00A51A5D">
        <w:rPr>
          <w:rFonts w:asciiTheme="minorHAnsi" w:hAnsiTheme="minorHAnsi" w:cstheme="minorHAnsi"/>
          <w:b/>
          <w:i/>
        </w:rPr>
        <w:t>;</w:t>
      </w:r>
      <w:r>
        <w:rPr>
          <w:rFonts w:asciiTheme="minorHAnsi" w:hAnsiTheme="minorHAnsi" w:cstheme="minorHAnsi"/>
          <w:b/>
          <w:i/>
        </w:rPr>
        <w:t xml:space="preserve"> and</w:t>
      </w:r>
    </w:p>
    <w:p w14:paraId="3E753356" w14:textId="6C8DDE16" w:rsidR="009850A6" w:rsidRDefault="008F6EDE" w:rsidP="00A51A5D">
      <w:pPr>
        <w:widowControl/>
        <w:ind w:left="426" w:hanging="426"/>
        <w:rPr>
          <w:rFonts w:asciiTheme="minorHAnsi" w:hAnsiTheme="minorHAnsi" w:cstheme="minorHAnsi"/>
          <w:b/>
          <w:i/>
        </w:rPr>
      </w:pPr>
      <w:r>
        <w:rPr>
          <w:rFonts w:asciiTheme="minorHAnsi" w:hAnsiTheme="minorHAnsi" w:cstheme="minorHAnsi"/>
          <w:b/>
          <w:i/>
        </w:rPr>
        <w:t>v.</w:t>
      </w:r>
      <w:r>
        <w:rPr>
          <w:rFonts w:asciiTheme="minorHAnsi" w:hAnsiTheme="minorHAnsi" w:cstheme="minorHAnsi"/>
          <w:b/>
          <w:i/>
        </w:rPr>
        <w:tab/>
      </w:r>
      <w:r w:rsidR="009850A6" w:rsidRPr="00A51A5D">
        <w:rPr>
          <w:rFonts w:asciiTheme="minorHAnsi" w:hAnsiTheme="minorHAnsi" w:cstheme="minorHAnsi"/>
          <w:b/>
          <w:i/>
        </w:rPr>
        <w:t>approve that the pre-committed funds are carried forward from 2021 to 2022, as described in paragraph 10 and presented in column C of the table in Annex 4</w:t>
      </w:r>
      <w:r w:rsidR="00FC5734">
        <w:rPr>
          <w:rFonts w:asciiTheme="minorHAnsi" w:hAnsiTheme="minorHAnsi" w:cstheme="minorHAnsi"/>
          <w:b/>
          <w:i/>
        </w:rPr>
        <w:t xml:space="preserve"> of document SC59/2022 Doc. 8.1 and </w:t>
      </w:r>
      <w:r w:rsidR="00347815">
        <w:rPr>
          <w:rFonts w:asciiTheme="minorHAnsi" w:hAnsiTheme="minorHAnsi" w:cstheme="minorHAnsi"/>
          <w:b/>
          <w:i/>
        </w:rPr>
        <w:t xml:space="preserve">also in </w:t>
      </w:r>
      <w:r w:rsidR="00FC5734">
        <w:rPr>
          <w:rFonts w:asciiTheme="minorHAnsi" w:hAnsiTheme="minorHAnsi" w:cstheme="minorHAnsi"/>
          <w:b/>
          <w:i/>
        </w:rPr>
        <w:t xml:space="preserve">column C of the table in Annex 1 </w:t>
      </w:r>
      <w:r w:rsidR="007A443A">
        <w:rPr>
          <w:rFonts w:asciiTheme="minorHAnsi" w:hAnsiTheme="minorHAnsi" w:cstheme="minorHAnsi"/>
          <w:b/>
          <w:i/>
        </w:rPr>
        <w:t xml:space="preserve">Core Budget 2022 </w:t>
      </w:r>
      <w:r w:rsidR="00FC5734">
        <w:rPr>
          <w:rFonts w:asciiTheme="minorHAnsi" w:hAnsiTheme="minorHAnsi" w:cstheme="minorHAnsi"/>
          <w:b/>
          <w:i/>
        </w:rPr>
        <w:t>of the present report.</w:t>
      </w:r>
    </w:p>
    <w:p w14:paraId="6A65A0A0" w14:textId="03079784" w:rsidR="008F6EDE" w:rsidRDefault="008F6EDE" w:rsidP="00A51A5D">
      <w:pPr>
        <w:widowControl/>
        <w:ind w:left="426" w:hanging="426"/>
        <w:rPr>
          <w:rFonts w:asciiTheme="minorHAnsi" w:hAnsiTheme="minorHAnsi" w:cstheme="minorHAnsi"/>
          <w:b/>
          <w:i/>
        </w:rPr>
      </w:pPr>
    </w:p>
    <w:p w14:paraId="554C4412" w14:textId="77777777" w:rsidR="008F6EDE" w:rsidRPr="00A51A5D" w:rsidRDefault="008F6EDE" w:rsidP="00A51A5D">
      <w:pPr>
        <w:widowControl/>
        <w:ind w:left="426" w:hanging="426"/>
        <w:rPr>
          <w:rFonts w:asciiTheme="minorHAnsi" w:hAnsiTheme="minorHAnsi" w:cstheme="minorHAnsi"/>
          <w:b/>
          <w:i/>
        </w:rPr>
      </w:pPr>
    </w:p>
    <w:p w14:paraId="00EAC129" w14:textId="2F879F19" w:rsidR="0077382A" w:rsidRDefault="008F6EDE" w:rsidP="008F6EDE">
      <w:pPr>
        <w:widowControl/>
        <w:autoSpaceDE/>
        <w:autoSpaceDN/>
        <w:ind w:left="426" w:hanging="426"/>
        <w:rPr>
          <w:rFonts w:asciiTheme="minorHAnsi" w:hAnsiTheme="minorHAnsi" w:cstheme="minorHAnsi"/>
          <w:b/>
        </w:rPr>
      </w:pPr>
      <w:r>
        <w:rPr>
          <w:rFonts w:asciiTheme="minorHAnsi" w:hAnsiTheme="minorHAnsi" w:cstheme="minorHAnsi"/>
          <w:b/>
        </w:rPr>
        <w:t>3.</w:t>
      </w:r>
      <w:r>
        <w:rPr>
          <w:rFonts w:asciiTheme="minorHAnsi" w:hAnsiTheme="minorHAnsi" w:cstheme="minorHAnsi"/>
          <w:b/>
        </w:rPr>
        <w:tab/>
      </w:r>
      <w:r w:rsidR="0077382A" w:rsidRPr="008F6EDE">
        <w:rPr>
          <w:rFonts w:asciiTheme="minorHAnsi" w:hAnsiTheme="minorHAnsi" w:cstheme="minorHAnsi"/>
          <w:b/>
        </w:rPr>
        <w:t>Budget scenarios for 2023-2025 and draft resolution on financial and budgetary matters</w:t>
      </w:r>
      <w:r w:rsidR="0077382A">
        <w:rPr>
          <w:rFonts w:asciiTheme="minorHAnsi" w:hAnsiTheme="minorHAnsi" w:cstheme="minorHAnsi"/>
          <w:b/>
        </w:rPr>
        <w:t xml:space="preserve"> (</w:t>
      </w:r>
      <w:r>
        <w:rPr>
          <w:rFonts w:asciiTheme="minorHAnsi" w:hAnsiTheme="minorHAnsi" w:cstheme="minorHAnsi"/>
          <w:b/>
        </w:rPr>
        <w:t xml:space="preserve">document </w:t>
      </w:r>
      <w:r w:rsidR="0077382A" w:rsidRPr="0077382A">
        <w:rPr>
          <w:rFonts w:asciiTheme="minorHAnsi" w:hAnsiTheme="minorHAnsi" w:cstheme="minorHAnsi"/>
          <w:b/>
        </w:rPr>
        <w:t>SC59/2022 Doc.8.3</w:t>
      </w:r>
      <w:r w:rsidR="0077382A">
        <w:rPr>
          <w:rFonts w:asciiTheme="minorHAnsi" w:hAnsiTheme="minorHAnsi" w:cstheme="minorHAnsi"/>
          <w:b/>
        </w:rPr>
        <w:t>)</w:t>
      </w:r>
    </w:p>
    <w:p w14:paraId="458A1053" w14:textId="77777777" w:rsidR="007E32B3" w:rsidRDefault="007E32B3" w:rsidP="00711D36">
      <w:pPr>
        <w:widowControl/>
        <w:rPr>
          <w:rFonts w:asciiTheme="minorHAnsi" w:hAnsiTheme="minorHAnsi" w:cstheme="minorHAnsi"/>
          <w:b/>
        </w:rPr>
      </w:pPr>
    </w:p>
    <w:p w14:paraId="45702812" w14:textId="7A4D3224" w:rsidR="0077382A" w:rsidRPr="007E32B3" w:rsidRDefault="007E32B3" w:rsidP="00711D36">
      <w:pPr>
        <w:widowControl/>
        <w:rPr>
          <w:rFonts w:asciiTheme="minorHAnsi" w:hAnsiTheme="minorHAnsi" w:cstheme="minorHAnsi"/>
          <w:u w:val="single"/>
        </w:rPr>
      </w:pPr>
      <w:r w:rsidRPr="007E32B3">
        <w:rPr>
          <w:rFonts w:asciiTheme="minorHAnsi" w:hAnsiTheme="minorHAnsi" w:cstheme="minorHAnsi"/>
          <w:u w:val="single"/>
        </w:rPr>
        <w:t>Budget scenarios</w:t>
      </w:r>
      <w:r>
        <w:rPr>
          <w:rFonts w:asciiTheme="minorHAnsi" w:hAnsiTheme="minorHAnsi" w:cstheme="minorHAnsi"/>
          <w:u w:val="single"/>
        </w:rPr>
        <w:t xml:space="preserve"> </w:t>
      </w:r>
      <w:r w:rsidRPr="007E32B3">
        <w:rPr>
          <w:rFonts w:asciiTheme="minorHAnsi" w:hAnsiTheme="minorHAnsi" w:cstheme="minorHAnsi"/>
          <w:u w:val="single"/>
        </w:rPr>
        <w:t>for 2023-2025</w:t>
      </w:r>
    </w:p>
    <w:p w14:paraId="23892210" w14:textId="77777777" w:rsidR="007E32B3" w:rsidRDefault="007E32B3" w:rsidP="00711D36">
      <w:pPr>
        <w:widowControl/>
        <w:rPr>
          <w:rFonts w:asciiTheme="minorHAnsi" w:hAnsiTheme="minorHAnsi" w:cstheme="minorHAnsi"/>
        </w:rPr>
      </w:pPr>
    </w:p>
    <w:p w14:paraId="0649DA48" w14:textId="77777777" w:rsidR="00AF5120" w:rsidRDefault="005B5816" w:rsidP="00711D36">
      <w:pPr>
        <w:widowControl/>
        <w:rPr>
          <w:rFonts w:asciiTheme="minorHAnsi" w:hAnsiTheme="minorHAnsi" w:cstheme="minorHAnsi"/>
        </w:rPr>
      </w:pPr>
      <w:r w:rsidRPr="00F71148">
        <w:rPr>
          <w:rFonts w:asciiTheme="minorHAnsi" w:hAnsiTheme="minorHAnsi" w:cstheme="minorHAnsi"/>
        </w:rPr>
        <w:t xml:space="preserve">The </w:t>
      </w:r>
      <w:r w:rsidR="00E36717">
        <w:rPr>
          <w:rFonts w:asciiTheme="minorHAnsi" w:hAnsiTheme="minorHAnsi" w:cstheme="minorHAnsi"/>
        </w:rPr>
        <w:t>Secretariat</w:t>
      </w:r>
      <w:r w:rsidRPr="00F71148">
        <w:rPr>
          <w:rFonts w:asciiTheme="minorHAnsi" w:hAnsiTheme="minorHAnsi" w:cstheme="minorHAnsi"/>
        </w:rPr>
        <w:t xml:space="preserve"> presented the three scenarios </w:t>
      </w:r>
      <w:r w:rsidR="00356EEC" w:rsidRPr="00F71148">
        <w:rPr>
          <w:rFonts w:asciiTheme="minorHAnsi" w:hAnsiTheme="minorHAnsi" w:cstheme="minorHAnsi"/>
        </w:rPr>
        <w:t>prepared</w:t>
      </w:r>
      <w:r w:rsidRPr="00F71148">
        <w:rPr>
          <w:rFonts w:asciiTheme="minorHAnsi" w:hAnsiTheme="minorHAnsi" w:cstheme="minorHAnsi"/>
        </w:rPr>
        <w:t xml:space="preserve"> for the 202</w:t>
      </w:r>
      <w:r w:rsidR="0077382A" w:rsidRPr="00F71148">
        <w:rPr>
          <w:rFonts w:asciiTheme="minorHAnsi" w:hAnsiTheme="minorHAnsi" w:cstheme="minorHAnsi"/>
        </w:rPr>
        <w:t>3</w:t>
      </w:r>
      <w:r w:rsidRPr="00F71148">
        <w:rPr>
          <w:rFonts w:asciiTheme="minorHAnsi" w:hAnsiTheme="minorHAnsi" w:cstheme="minorHAnsi"/>
        </w:rPr>
        <w:t>-202</w:t>
      </w:r>
      <w:r w:rsidR="0077382A" w:rsidRPr="00F71148">
        <w:rPr>
          <w:rFonts w:asciiTheme="minorHAnsi" w:hAnsiTheme="minorHAnsi" w:cstheme="minorHAnsi"/>
        </w:rPr>
        <w:t>5</w:t>
      </w:r>
      <w:r w:rsidRPr="00F71148">
        <w:rPr>
          <w:rFonts w:asciiTheme="minorHAnsi" w:hAnsiTheme="minorHAnsi" w:cstheme="minorHAnsi"/>
        </w:rPr>
        <w:t xml:space="preserve"> triennium in document SC59 Doc.8.3</w:t>
      </w:r>
      <w:r w:rsidR="00F71148">
        <w:rPr>
          <w:rFonts w:asciiTheme="minorHAnsi" w:hAnsiTheme="minorHAnsi" w:cstheme="minorHAnsi"/>
        </w:rPr>
        <w:t>:</w:t>
      </w:r>
      <w:r w:rsidRPr="00F71148">
        <w:rPr>
          <w:rFonts w:asciiTheme="minorHAnsi" w:hAnsiTheme="minorHAnsi" w:cstheme="minorHAnsi"/>
        </w:rPr>
        <w:t xml:space="preserve"> Scenario A </w:t>
      </w:r>
      <w:r w:rsidR="00F71148" w:rsidRPr="00F71148">
        <w:rPr>
          <w:rFonts w:asciiTheme="minorHAnsi" w:hAnsiTheme="minorHAnsi" w:cstheme="minorHAnsi"/>
        </w:rPr>
        <w:t>(0% core budget increase)</w:t>
      </w:r>
      <w:r w:rsidR="00F71148">
        <w:rPr>
          <w:rFonts w:asciiTheme="minorHAnsi" w:hAnsiTheme="minorHAnsi" w:cstheme="minorHAnsi"/>
        </w:rPr>
        <w:t>; Scenario B (2.8% increase, with contributions increasing by 2.7%) and Scenario C (4.4%</w:t>
      </w:r>
      <w:r w:rsidR="00E36717">
        <w:rPr>
          <w:rStyle w:val="FootnoteReference"/>
          <w:rFonts w:asciiTheme="minorHAnsi" w:hAnsiTheme="minorHAnsi" w:cstheme="minorHAnsi"/>
        </w:rPr>
        <w:footnoteReference w:id="2"/>
      </w:r>
      <w:r w:rsidR="00F71148">
        <w:rPr>
          <w:rFonts w:asciiTheme="minorHAnsi" w:hAnsiTheme="minorHAnsi" w:cstheme="minorHAnsi"/>
        </w:rPr>
        <w:t xml:space="preserve"> increase, with a 4.3% increase in contributions)</w:t>
      </w:r>
      <w:r w:rsidR="00356EEC" w:rsidRPr="00F71148">
        <w:rPr>
          <w:rFonts w:asciiTheme="minorHAnsi" w:hAnsiTheme="minorHAnsi" w:cstheme="minorHAnsi"/>
        </w:rPr>
        <w:t>.</w:t>
      </w:r>
      <w:r w:rsidRPr="00F71148">
        <w:rPr>
          <w:rFonts w:asciiTheme="minorHAnsi" w:hAnsiTheme="minorHAnsi" w:cstheme="minorHAnsi"/>
        </w:rPr>
        <w:t xml:space="preserve"> </w:t>
      </w:r>
    </w:p>
    <w:p w14:paraId="5CD0A606" w14:textId="77777777" w:rsidR="00AF5120" w:rsidRDefault="00AF5120" w:rsidP="00711D36">
      <w:pPr>
        <w:widowControl/>
        <w:rPr>
          <w:rFonts w:asciiTheme="minorHAnsi" w:hAnsiTheme="minorHAnsi" w:cstheme="minorHAnsi"/>
        </w:rPr>
      </w:pPr>
    </w:p>
    <w:p w14:paraId="31A0D19E" w14:textId="3DD4641F" w:rsidR="005B5816" w:rsidRDefault="00AF5120" w:rsidP="00711D36">
      <w:pPr>
        <w:widowControl/>
        <w:rPr>
          <w:rFonts w:asciiTheme="minorHAnsi" w:hAnsiTheme="minorHAnsi" w:cstheme="minorHAnsi"/>
        </w:rPr>
      </w:pPr>
      <w:r>
        <w:rPr>
          <w:rFonts w:asciiTheme="minorHAnsi" w:hAnsiTheme="minorHAnsi" w:cstheme="minorHAnsi"/>
        </w:rPr>
        <w:t xml:space="preserve">Scenario A requires the allocation of surplus to cover the gap in the budget </w:t>
      </w:r>
      <w:r w:rsidRPr="00AF5120">
        <w:rPr>
          <w:rFonts w:asciiTheme="minorHAnsi" w:hAnsiTheme="minorHAnsi" w:cstheme="minorHAnsi"/>
        </w:rPr>
        <w:t>created with the addition of a position of the Finance and Accounting Assistant</w:t>
      </w:r>
      <w:r>
        <w:rPr>
          <w:rFonts w:asciiTheme="minorHAnsi" w:hAnsiTheme="minorHAnsi" w:cstheme="minorHAnsi"/>
        </w:rPr>
        <w:t xml:space="preserve"> and for the increase in the provision for outstanding contributions. </w:t>
      </w:r>
      <w:r w:rsidR="005B5816" w:rsidRPr="00F71148">
        <w:rPr>
          <w:rFonts w:asciiTheme="minorHAnsi" w:hAnsiTheme="minorHAnsi" w:cstheme="minorHAnsi"/>
        </w:rPr>
        <w:t xml:space="preserve">Scenario B would include </w:t>
      </w:r>
      <w:r>
        <w:rPr>
          <w:rFonts w:asciiTheme="minorHAnsi" w:hAnsiTheme="minorHAnsi" w:cstheme="minorHAnsi"/>
        </w:rPr>
        <w:t xml:space="preserve">in addition </w:t>
      </w:r>
      <w:r w:rsidR="005B5816" w:rsidRPr="00F71148">
        <w:rPr>
          <w:rFonts w:asciiTheme="minorHAnsi" w:hAnsiTheme="minorHAnsi" w:cstheme="minorHAnsi"/>
        </w:rPr>
        <w:t>funds for</w:t>
      </w:r>
      <w:r w:rsidR="00143B34" w:rsidRPr="00F71148">
        <w:rPr>
          <w:rFonts w:asciiTheme="minorHAnsi" w:hAnsiTheme="minorHAnsi" w:cstheme="minorHAnsi"/>
        </w:rPr>
        <w:t xml:space="preserve"> increases in salaries as a </w:t>
      </w:r>
      <w:r w:rsidR="00143B34" w:rsidRPr="00F71148">
        <w:rPr>
          <w:rFonts w:asciiTheme="minorHAnsi" w:hAnsiTheme="minorHAnsi" w:cstheme="minorHAnsi"/>
        </w:rPr>
        <w:lastRenderedPageBreak/>
        <w:t xml:space="preserve">result of </w:t>
      </w:r>
      <w:r w:rsidR="005B5816" w:rsidRPr="00F71148">
        <w:rPr>
          <w:rFonts w:asciiTheme="minorHAnsi" w:hAnsiTheme="minorHAnsi" w:cstheme="minorHAnsi"/>
        </w:rPr>
        <w:t>staff performance management and promotions</w:t>
      </w:r>
      <w:r w:rsidR="000F4BA3">
        <w:rPr>
          <w:rFonts w:asciiTheme="minorHAnsi" w:hAnsiTheme="minorHAnsi" w:cstheme="minorHAnsi"/>
        </w:rPr>
        <w:t xml:space="preserve"> </w:t>
      </w:r>
      <w:r w:rsidR="000F4BA3" w:rsidRPr="000F4BA3">
        <w:rPr>
          <w:rFonts w:asciiTheme="minorHAnsi" w:hAnsiTheme="minorHAnsi" w:cstheme="minorHAnsi"/>
        </w:rPr>
        <w:t xml:space="preserve">as per </w:t>
      </w:r>
      <w:r>
        <w:rPr>
          <w:rFonts w:asciiTheme="minorHAnsi" w:hAnsiTheme="minorHAnsi" w:cstheme="minorHAnsi"/>
        </w:rPr>
        <w:t xml:space="preserve">IUCN </w:t>
      </w:r>
      <w:r w:rsidR="000F4BA3" w:rsidRPr="000F4BA3">
        <w:rPr>
          <w:rFonts w:asciiTheme="minorHAnsi" w:hAnsiTheme="minorHAnsi" w:cstheme="minorHAnsi"/>
        </w:rPr>
        <w:t>guidelines implemented by the Secretariat</w:t>
      </w:r>
      <w:r>
        <w:rPr>
          <w:rFonts w:asciiTheme="minorHAnsi" w:hAnsiTheme="minorHAnsi" w:cstheme="minorHAnsi"/>
        </w:rPr>
        <w:t xml:space="preserve"> since</w:t>
      </w:r>
      <w:r w:rsidR="000F4BA3" w:rsidRPr="000F4BA3">
        <w:rPr>
          <w:rFonts w:asciiTheme="minorHAnsi" w:hAnsiTheme="minorHAnsi" w:cstheme="minorHAnsi"/>
        </w:rPr>
        <w:t xml:space="preserve"> 2019</w:t>
      </w:r>
      <w:r>
        <w:rPr>
          <w:rFonts w:asciiTheme="minorHAnsi" w:hAnsiTheme="minorHAnsi" w:cstheme="minorHAnsi"/>
        </w:rPr>
        <w:t xml:space="preserve">; and </w:t>
      </w:r>
      <w:r w:rsidR="00204595">
        <w:rPr>
          <w:rFonts w:asciiTheme="minorHAnsi" w:hAnsiTheme="minorHAnsi" w:cstheme="minorHAnsi"/>
        </w:rPr>
        <w:t>S</w:t>
      </w:r>
      <w:r w:rsidR="005B5816" w:rsidRPr="00F71148">
        <w:rPr>
          <w:rFonts w:asciiTheme="minorHAnsi" w:hAnsiTheme="minorHAnsi" w:cstheme="minorHAnsi"/>
        </w:rPr>
        <w:t>cenario C would include COP</w:t>
      </w:r>
      <w:r w:rsidR="00143B34" w:rsidRPr="00F71148">
        <w:rPr>
          <w:rFonts w:asciiTheme="minorHAnsi" w:hAnsiTheme="minorHAnsi" w:cstheme="minorHAnsi"/>
        </w:rPr>
        <w:t>15</w:t>
      </w:r>
      <w:r w:rsidR="005B5816" w:rsidRPr="00F71148">
        <w:rPr>
          <w:rFonts w:asciiTheme="minorHAnsi" w:hAnsiTheme="minorHAnsi" w:cstheme="minorHAnsi"/>
        </w:rPr>
        <w:t xml:space="preserve"> hosting costs in the core budget</w:t>
      </w:r>
      <w:r>
        <w:rPr>
          <w:rFonts w:asciiTheme="minorHAnsi" w:hAnsiTheme="minorHAnsi" w:cstheme="minorHAnsi"/>
        </w:rPr>
        <w:t xml:space="preserve"> as it is the practice in other comparable Conventions.</w:t>
      </w:r>
    </w:p>
    <w:p w14:paraId="7B818FF2" w14:textId="5CDB84B0" w:rsidR="00FB512A" w:rsidRPr="00F71148" w:rsidRDefault="00FB512A" w:rsidP="00711D36">
      <w:pPr>
        <w:widowControl/>
        <w:rPr>
          <w:rFonts w:asciiTheme="minorHAnsi" w:hAnsiTheme="minorHAnsi" w:cstheme="minorHAnsi"/>
        </w:rPr>
      </w:pPr>
    </w:p>
    <w:p w14:paraId="0833FA72" w14:textId="485EC526" w:rsidR="00DD5F2D" w:rsidRDefault="005B2C0F" w:rsidP="00711D36">
      <w:pPr>
        <w:widowControl/>
        <w:rPr>
          <w:rFonts w:asciiTheme="minorHAnsi" w:hAnsiTheme="minorHAnsi" w:cstheme="minorHAnsi"/>
        </w:rPr>
      </w:pPr>
      <w:r>
        <w:rPr>
          <w:rFonts w:asciiTheme="minorHAnsi" w:hAnsiTheme="minorHAnsi" w:cstheme="minorHAnsi"/>
        </w:rPr>
        <w:t xml:space="preserve">The group </w:t>
      </w:r>
      <w:r w:rsidR="00A00F0F">
        <w:rPr>
          <w:rFonts w:asciiTheme="minorHAnsi" w:hAnsiTheme="minorHAnsi" w:cstheme="minorHAnsi"/>
        </w:rPr>
        <w:t xml:space="preserve">thanked the Secretariat for the information and the transparency on issues related to the surplus. It considered that the </w:t>
      </w:r>
      <w:r w:rsidR="00FB66BD">
        <w:rPr>
          <w:rFonts w:asciiTheme="minorHAnsi" w:hAnsiTheme="minorHAnsi" w:cstheme="minorHAnsi"/>
        </w:rPr>
        <w:t xml:space="preserve">large </w:t>
      </w:r>
      <w:r w:rsidR="00A00F0F">
        <w:rPr>
          <w:rFonts w:asciiTheme="minorHAnsi" w:hAnsiTheme="minorHAnsi" w:cstheme="minorHAnsi"/>
        </w:rPr>
        <w:t xml:space="preserve">surplus makes the cases for </w:t>
      </w:r>
      <w:r w:rsidR="00B501A6">
        <w:rPr>
          <w:rFonts w:asciiTheme="minorHAnsi" w:hAnsiTheme="minorHAnsi" w:cstheme="minorHAnsi"/>
        </w:rPr>
        <w:t>s</w:t>
      </w:r>
      <w:r w:rsidR="00A00F0F">
        <w:rPr>
          <w:rFonts w:asciiTheme="minorHAnsi" w:hAnsiTheme="minorHAnsi" w:cstheme="minorHAnsi"/>
        </w:rPr>
        <w:t>cenarios B and C more difficult, and</w:t>
      </w:r>
      <w:r w:rsidR="00AF5120">
        <w:rPr>
          <w:rFonts w:asciiTheme="minorHAnsi" w:hAnsiTheme="minorHAnsi" w:cstheme="minorHAnsi"/>
        </w:rPr>
        <w:t xml:space="preserve"> recommended to present the Scenario A of 0% in core budget increase for the COP14 approval. The Subgroup agreed </w:t>
      </w:r>
      <w:r w:rsidR="00DD5F2D">
        <w:rPr>
          <w:rFonts w:asciiTheme="minorHAnsi" w:hAnsiTheme="minorHAnsi" w:cstheme="minorHAnsi"/>
        </w:rPr>
        <w:t xml:space="preserve">to </w:t>
      </w:r>
      <w:r w:rsidR="00FB66BD">
        <w:rPr>
          <w:rFonts w:asciiTheme="minorHAnsi" w:hAnsiTheme="minorHAnsi" w:cstheme="minorHAnsi"/>
        </w:rPr>
        <w:t>continue to fund</w:t>
      </w:r>
      <w:r w:rsidR="00DD5F2D">
        <w:rPr>
          <w:rFonts w:asciiTheme="minorHAnsi" w:hAnsiTheme="minorHAnsi" w:cstheme="minorHAnsi"/>
        </w:rPr>
        <w:t xml:space="preserve"> the addition of </w:t>
      </w:r>
      <w:r w:rsidR="00FB66BD">
        <w:rPr>
          <w:rFonts w:asciiTheme="minorHAnsi" w:hAnsiTheme="minorHAnsi" w:cstheme="minorHAnsi"/>
        </w:rPr>
        <w:t>a</w:t>
      </w:r>
      <w:r w:rsidR="00DD5F2D">
        <w:rPr>
          <w:rFonts w:asciiTheme="minorHAnsi" w:hAnsiTheme="minorHAnsi" w:cstheme="minorHAnsi"/>
        </w:rPr>
        <w:t xml:space="preserve"> Finance and Accounting Assistant and the estimated increase in outstanding provisions with the 2019-2021 </w:t>
      </w:r>
      <w:r w:rsidR="00A00F0F">
        <w:rPr>
          <w:rFonts w:asciiTheme="minorHAnsi" w:hAnsiTheme="minorHAnsi" w:cstheme="minorHAnsi"/>
        </w:rPr>
        <w:t>surplus</w:t>
      </w:r>
      <w:r w:rsidR="00DD5F2D">
        <w:rPr>
          <w:rFonts w:asciiTheme="minorHAnsi" w:hAnsiTheme="minorHAnsi" w:cstheme="minorHAnsi"/>
        </w:rPr>
        <w:t xml:space="preserve">. </w:t>
      </w:r>
    </w:p>
    <w:p w14:paraId="71DF75E5" w14:textId="77777777" w:rsidR="00DD5F2D" w:rsidRDefault="00DD5F2D" w:rsidP="00711D36">
      <w:pPr>
        <w:widowControl/>
        <w:rPr>
          <w:rFonts w:asciiTheme="minorHAnsi" w:hAnsiTheme="minorHAnsi" w:cstheme="minorHAnsi"/>
        </w:rPr>
      </w:pPr>
    </w:p>
    <w:p w14:paraId="776D9F4B" w14:textId="049815A4" w:rsidR="00356EEC" w:rsidRDefault="00DD5F2D" w:rsidP="00DD5F2D">
      <w:pPr>
        <w:widowControl/>
        <w:rPr>
          <w:rFonts w:asciiTheme="minorHAnsi" w:hAnsiTheme="minorHAnsi" w:cstheme="minorHAnsi"/>
        </w:rPr>
      </w:pPr>
      <w:r>
        <w:rPr>
          <w:rFonts w:asciiTheme="minorHAnsi" w:hAnsiTheme="minorHAnsi" w:cstheme="minorHAnsi"/>
        </w:rPr>
        <w:t xml:space="preserve">The Subgroup highlighted that </w:t>
      </w:r>
      <w:r w:rsidR="00E97A2C">
        <w:rPr>
          <w:rFonts w:asciiTheme="minorHAnsi" w:hAnsiTheme="minorHAnsi" w:cstheme="minorHAnsi"/>
        </w:rPr>
        <w:t xml:space="preserve">in light of recent </w:t>
      </w:r>
      <w:r w:rsidR="00FB66BD">
        <w:rPr>
          <w:rFonts w:asciiTheme="minorHAnsi" w:hAnsiTheme="minorHAnsi" w:cstheme="minorHAnsi"/>
        </w:rPr>
        <w:t>reforms,</w:t>
      </w:r>
      <w:r>
        <w:rPr>
          <w:rFonts w:asciiTheme="minorHAnsi" w:hAnsiTheme="minorHAnsi" w:cstheme="minorHAnsi"/>
        </w:rPr>
        <w:t xml:space="preserve"> it was important to </w:t>
      </w:r>
      <w:r w:rsidR="00E97A2C">
        <w:rPr>
          <w:rFonts w:asciiTheme="minorHAnsi" w:hAnsiTheme="minorHAnsi" w:cstheme="minorHAnsi"/>
        </w:rPr>
        <w:t xml:space="preserve">continue to </w:t>
      </w:r>
      <w:r>
        <w:rPr>
          <w:rFonts w:asciiTheme="minorHAnsi" w:hAnsiTheme="minorHAnsi" w:cstheme="minorHAnsi"/>
        </w:rPr>
        <w:t xml:space="preserve">keep the </w:t>
      </w:r>
      <w:r w:rsidR="00637101">
        <w:rPr>
          <w:rFonts w:asciiTheme="minorHAnsi" w:hAnsiTheme="minorHAnsi" w:cstheme="minorHAnsi"/>
        </w:rPr>
        <w:t xml:space="preserve">budgeting </w:t>
      </w:r>
      <w:r>
        <w:rPr>
          <w:rFonts w:asciiTheme="minorHAnsi" w:hAnsiTheme="minorHAnsi" w:cstheme="minorHAnsi"/>
        </w:rPr>
        <w:t>discipline of what is covered by the core and what is covered by non-core funds</w:t>
      </w:r>
      <w:r w:rsidR="00FD6050">
        <w:rPr>
          <w:rFonts w:asciiTheme="minorHAnsi" w:hAnsiTheme="minorHAnsi" w:cstheme="minorHAnsi"/>
        </w:rPr>
        <w:t xml:space="preserve"> under the Convention</w:t>
      </w:r>
      <w:r>
        <w:rPr>
          <w:rFonts w:asciiTheme="minorHAnsi" w:hAnsiTheme="minorHAnsi" w:cstheme="minorHAnsi"/>
        </w:rPr>
        <w:t>.</w:t>
      </w:r>
      <w:r w:rsidR="00FD6050">
        <w:rPr>
          <w:rFonts w:asciiTheme="minorHAnsi" w:hAnsiTheme="minorHAnsi" w:cstheme="minorHAnsi"/>
        </w:rPr>
        <w:t xml:space="preserve"> </w:t>
      </w:r>
      <w:r>
        <w:rPr>
          <w:rFonts w:asciiTheme="minorHAnsi" w:hAnsiTheme="minorHAnsi" w:cstheme="minorHAnsi"/>
        </w:rPr>
        <w:t xml:space="preserve"> Also, it was recommended to include in the report a s</w:t>
      </w:r>
      <w:r w:rsidR="00B501A6">
        <w:rPr>
          <w:rFonts w:asciiTheme="minorHAnsi" w:hAnsiTheme="minorHAnsi" w:cstheme="minorHAnsi"/>
        </w:rPr>
        <w:t xml:space="preserve">entence </w:t>
      </w:r>
      <w:r>
        <w:rPr>
          <w:rFonts w:asciiTheme="minorHAnsi" w:hAnsiTheme="minorHAnsi" w:cstheme="minorHAnsi"/>
        </w:rPr>
        <w:t>to</w:t>
      </w:r>
      <w:r w:rsidR="00B501A6">
        <w:rPr>
          <w:rFonts w:asciiTheme="minorHAnsi" w:hAnsiTheme="minorHAnsi" w:cstheme="minorHAnsi"/>
        </w:rPr>
        <w:t xml:space="preserve"> highlight the exceptional circumstances </w:t>
      </w:r>
      <w:r>
        <w:rPr>
          <w:rFonts w:asciiTheme="minorHAnsi" w:hAnsiTheme="minorHAnsi" w:cstheme="minorHAnsi"/>
        </w:rPr>
        <w:t>on which the choice of 0% increase budget was made</w:t>
      </w:r>
      <w:r w:rsidR="00B501A6">
        <w:rPr>
          <w:rFonts w:asciiTheme="minorHAnsi" w:hAnsiTheme="minorHAnsi" w:cstheme="minorHAnsi"/>
        </w:rPr>
        <w:t>.</w:t>
      </w:r>
    </w:p>
    <w:p w14:paraId="579EF02E" w14:textId="20A0052A" w:rsidR="007E32B3" w:rsidRDefault="007E32B3" w:rsidP="00711D36">
      <w:pPr>
        <w:widowControl/>
        <w:rPr>
          <w:rFonts w:asciiTheme="minorHAnsi" w:hAnsiTheme="minorHAnsi" w:cstheme="minorHAnsi"/>
        </w:rPr>
      </w:pPr>
    </w:p>
    <w:p w14:paraId="35F2EF81" w14:textId="2F847DF0" w:rsidR="007E32B3" w:rsidRPr="007E32B3" w:rsidRDefault="007E32B3" w:rsidP="00711D36">
      <w:pPr>
        <w:widowControl/>
        <w:rPr>
          <w:rFonts w:asciiTheme="minorHAnsi" w:hAnsiTheme="minorHAnsi" w:cstheme="minorHAnsi"/>
          <w:u w:val="single"/>
        </w:rPr>
      </w:pPr>
      <w:r w:rsidRPr="007E32B3">
        <w:rPr>
          <w:rFonts w:asciiTheme="minorHAnsi" w:hAnsiTheme="minorHAnsi" w:cstheme="minorHAnsi"/>
          <w:u w:val="single"/>
        </w:rPr>
        <w:t>Draft resolution on financial and budgetary matters</w:t>
      </w:r>
    </w:p>
    <w:p w14:paraId="6183011B" w14:textId="77777777" w:rsidR="00356EEC" w:rsidRDefault="00356EEC" w:rsidP="00711D36">
      <w:pPr>
        <w:widowControl/>
        <w:rPr>
          <w:rFonts w:asciiTheme="minorHAnsi" w:hAnsiTheme="minorHAnsi" w:cstheme="minorHAnsi"/>
        </w:rPr>
      </w:pPr>
    </w:p>
    <w:p w14:paraId="48739E93" w14:textId="1B30848E" w:rsidR="00B501A6" w:rsidRDefault="007E32B3" w:rsidP="00AF4B37">
      <w:pPr>
        <w:widowControl/>
        <w:rPr>
          <w:rFonts w:asciiTheme="minorHAnsi" w:hAnsiTheme="minorHAnsi" w:cstheme="minorHAnsi"/>
        </w:rPr>
      </w:pPr>
      <w:r>
        <w:rPr>
          <w:rFonts w:asciiTheme="minorHAnsi" w:hAnsiTheme="minorHAnsi" w:cstheme="minorHAnsi"/>
        </w:rPr>
        <w:t xml:space="preserve">The Secretariat highlighted that the draft resolution </w:t>
      </w:r>
      <w:r w:rsidR="00F237D4">
        <w:rPr>
          <w:rFonts w:asciiTheme="minorHAnsi" w:hAnsiTheme="minorHAnsi" w:cstheme="minorHAnsi"/>
        </w:rPr>
        <w:t xml:space="preserve">is prepared at the same basis as the Resolution XIII.2 and includes </w:t>
      </w:r>
      <w:r w:rsidR="00D86184">
        <w:rPr>
          <w:rFonts w:asciiTheme="minorHAnsi" w:hAnsiTheme="minorHAnsi" w:cstheme="minorHAnsi"/>
        </w:rPr>
        <w:t xml:space="preserve">the amendments made by the </w:t>
      </w:r>
      <w:r w:rsidR="00F237D4">
        <w:rPr>
          <w:rFonts w:asciiTheme="minorHAnsi" w:hAnsiTheme="minorHAnsi" w:cstheme="minorHAnsi"/>
        </w:rPr>
        <w:t>Subgroup in June 2021, as reported in</w:t>
      </w:r>
      <w:r w:rsidR="00A25CC9">
        <w:rPr>
          <w:rFonts w:asciiTheme="minorHAnsi" w:hAnsiTheme="minorHAnsi" w:cstheme="minorHAnsi"/>
        </w:rPr>
        <w:t xml:space="preserve"> the June 2021 report – Part I</w:t>
      </w:r>
      <w:r w:rsidR="00AF4B37">
        <w:rPr>
          <w:rFonts w:asciiTheme="minorHAnsi" w:hAnsiTheme="minorHAnsi" w:cstheme="minorHAnsi"/>
        </w:rPr>
        <w:t>.</w:t>
      </w:r>
    </w:p>
    <w:p w14:paraId="07B5B88F" w14:textId="1C906FCD" w:rsidR="00AF4B37" w:rsidRDefault="00AF4B37" w:rsidP="00D86184">
      <w:pPr>
        <w:widowControl/>
        <w:rPr>
          <w:rFonts w:asciiTheme="minorHAnsi" w:hAnsiTheme="minorHAnsi" w:cstheme="minorHAnsi"/>
        </w:rPr>
      </w:pPr>
    </w:p>
    <w:p w14:paraId="6C1DDDF7" w14:textId="7DF691C4" w:rsidR="00DD5F2D" w:rsidRDefault="00DD5F2D" w:rsidP="00D86184">
      <w:pPr>
        <w:widowControl/>
        <w:rPr>
          <w:rFonts w:asciiTheme="minorHAnsi" w:hAnsiTheme="minorHAnsi" w:cstheme="minorHAnsi"/>
        </w:rPr>
      </w:pPr>
      <w:r>
        <w:rPr>
          <w:rFonts w:asciiTheme="minorHAnsi" w:hAnsiTheme="minorHAnsi" w:cstheme="minorHAnsi"/>
        </w:rPr>
        <w:t>The Subgroup agreed on the draft resolution on finance and budgetary matters and no amendments were proposed</w:t>
      </w:r>
      <w:r w:rsidR="00FF743C">
        <w:rPr>
          <w:rFonts w:asciiTheme="minorHAnsi" w:hAnsiTheme="minorHAnsi" w:cstheme="minorHAnsi"/>
        </w:rPr>
        <w:t xml:space="preserve"> (see Annex 2 of this report)</w:t>
      </w:r>
      <w:r>
        <w:rPr>
          <w:rFonts w:asciiTheme="minorHAnsi" w:hAnsiTheme="minorHAnsi" w:cstheme="minorHAnsi"/>
        </w:rPr>
        <w:t>.</w:t>
      </w:r>
    </w:p>
    <w:p w14:paraId="64277059" w14:textId="77777777" w:rsidR="00DD5F2D" w:rsidRDefault="00DD5F2D" w:rsidP="00D86184">
      <w:pPr>
        <w:widowControl/>
        <w:rPr>
          <w:rFonts w:asciiTheme="minorHAnsi" w:hAnsiTheme="minorHAnsi" w:cstheme="minorHAnsi"/>
        </w:rPr>
      </w:pPr>
    </w:p>
    <w:p w14:paraId="5FF350A0" w14:textId="11E0E014" w:rsidR="00DD5F2D" w:rsidRDefault="00AF4B37" w:rsidP="00AF4B37">
      <w:pPr>
        <w:widowControl/>
        <w:rPr>
          <w:rFonts w:asciiTheme="minorHAnsi" w:hAnsiTheme="minorHAnsi" w:cstheme="minorHAnsi"/>
        </w:rPr>
      </w:pPr>
      <w:r>
        <w:rPr>
          <w:rFonts w:asciiTheme="minorHAnsi" w:hAnsiTheme="minorHAnsi" w:cstheme="minorHAnsi"/>
        </w:rPr>
        <w:t xml:space="preserve">The </w:t>
      </w:r>
      <w:r w:rsidR="002C2CCE">
        <w:rPr>
          <w:rFonts w:asciiTheme="minorHAnsi" w:hAnsiTheme="minorHAnsi" w:cstheme="minorHAnsi"/>
        </w:rPr>
        <w:t>Sub</w:t>
      </w:r>
      <w:r>
        <w:rPr>
          <w:rFonts w:asciiTheme="minorHAnsi" w:hAnsiTheme="minorHAnsi" w:cstheme="minorHAnsi"/>
        </w:rPr>
        <w:t xml:space="preserve">group requested that the list of </w:t>
      </w:r>
      <w:r>
        <w:t xml:space="preserve">2019-2021 budgeted non-core items, in order of recommended priority, that was included as Annex 3 of </w:t>
      </w:r>
      <w:r>
        <w:rPr>
          <w:rFonts w:asciiTheme="minorHAnsi" w:hAnsiTheme="minorHAnsi" w:cstheme="minorHAnsi"/>
        </w:rPr>
        <w:t xml:space="preserve">Resolution XIII.2, be shared </w:t>
      </w:r>
      <w:r w:rsidR="00DD5F2D">
        <w:rPr>
          <w:rFonts w:asciiTheme="minorHAnsi" w:hAnsiTheme="minorHAnsi" w:cstheme="minorHAnsi"/>
        </w:rPr>
        <w:t xml:space="preserve">by email </w:t>
      </w:r>
      <w:r w:rsidR="00FF743C">
        <w:rPr>
          <w:rFonts w:asciiTheme="minorHAnsi" w:hAnsiTheme="minorHAnsi" w:cstheme="minorHAnsi"/>
        </w:rPr>
        <w:t xml:space="preserve">with the Subgroup, so that they can share views and start development of the new list of the priorities </w:t>
      </w:r>
      <w:r w:rsidR="00A672A1">
        <w:rPr>
          <w:rFonts w:asciiTheme="minorHAnsi" w:hAnsiTheme="minorHAnsi" w:cstheme="minorHAnsi"/>
        </w:rPr>
        <w:t xml:space="preserve">at the Standing Committee </w:t>
      </w:r>
      <w:r w:rsidR="00FF743C">
        <w:rPr>
          <w:rFonts w:asciiTheme="minorHAnsi" w:hAnsiTheme="minorHAnsi" w:cstheme="minorHAnsi"/>
        </w:rPr>
        <w:t xml:space="preserve">to be included </w:t>
      </w:r>
      <w:r w:rsidR="00A672A1">
        <w:rPr>
          <w:rFonts w:asciiTheme="minorHAnsi" w:hAnsiTheme="minorHAnsi" w:cstheme="minorHAnsi"/>
        </w:rPr>
        <w:t xml:space="preserve">in </w:t>
      </w:r>
      <w:r w:rsidR="00FF743C">
        <w:rPr>
          <w:rFonts w:asciiTheme="minorHAnsi" w:hAnsiTheme="minorHAnsi" w:cstheme="minorHAnsi"/>
        </w:rPr>
        <w:t>the draft resolution</w:t>
      </w:r>
      <w:r w:rsidR="00A672A1">
        <w:rPr>
          <w:rFonts w:asciiTheme="minorHAnsi" w:hAnsiTheme="minorHAnsi" w:cstheme="minorHAnsi"/>
        </w:rPr>
        <w:t xml:space="preserve"> for consideration at the COP</w:t>
      </w:r>
      <w:r w:rsidR="00FF743C">
        <w:rPr>
          <w:rFonts w:asciiTheme="minorHAnsi" w:hAnsiTheme="minorHAnsi" w:cstheme="minorHAnsi"/>
        </w:rPr>
        <w:t>.</w:t>
      </w:r>
    </w:p>
    <w:p w14:paraId="24ADF08E" w14:textId="77777777" w:rsidR="00DD5F2D" w:rsidRDefault="00DD5F2D" w:rsidP="00AF4B37">
      <w:pPr>
        <w:widowControl/>
        <w:rPr>
          <w:rFonts w:asciiTheme="minorHAnsi" w:hAnsiTheme="minorHAnsi" w:cstheme="minorHAnsi"/>
        </w:rPr>
      </w:pPr>
    </w:p>
    <w:p w14:paraId="246C4469" w14:textId="10631698" w:rsidR="00312AAB" w:rsidRPr="00DD6746" w:rsidRDefault="00312AAB" w:rsidP="00711D36">
      <w:pPr>
        <w:widowControl/>
        <w:rPr>
          <w:rFonts w:asciiTheme="minorHAnsi" w:hAnsiTheme="minorHAnsi" w:cstheme="minorHAnsi"/>
          <w:i/>
          <w:iCs/>
          <w:color w:val="0000FF"/>
          <w:lang w:eastAsia="ja-JP"/>
        </w:rPr>
      </w:pPr>
      <w:r w:rsidRPr="00DD6746">
        <w:rPr>
          <w:rFonts w:asciiTheme="minorHAnsi" w:hAnsiTheme="minorHAnsi" w:cstheme="minorHAnsi"/>
          <w:i/>
          <w:color w:val="0000FF"/>
        </w:rPr>
        <w:t>Recommendation</w:t>
      </w:r>
      <w:r w:rsidRPr="00DD6746">
        <w:rPr>
          <w:rFonts w:asciiTheme="minorHAnsi" w:hAnsiTheme="minorHAnsi" w:cstheme="minorHAnsi"/>
          <w:i/>
          <w:iCs/>
          <w:color w:val="0000FF"/>
          <w:lang w:eastAsia="ja-JP"/>
        </w:rPr>
        <w:t xml:space="preserve"> for decision by the Standing Committee:</w:t>
      </w:r>
    </w:p>
    <w:p w14:paraId="6966D1EB" w14:textId="77777777" w:rsidR="00312AAB" w:rsidRDefault="00312AAB" w:rsidP="00711D36">
      <w:pPr>
        <w:widowControl/>
        <w:ind w:left="426" w:hanging="426"/>
        <w:rPr>
          <w:rFonts w:asciiTheme="minorHAnsi" w:hAnsiTheme="minorHAnsi" w:cstheme="minorHAnsi"/>
        </w:rPr>
      </w:pPr>
    </w:p>
    <w:p w14:paraId="367BE7C8" w14:textId="77777777" w:rsidR="005B5816" w:rsidRDefault="005B5816" w:rsidP="00711D36">
      <w:pPr>
        <w:pStyle w:val="NormalWeb"/>
        <w:spacing w:before="0" w:beforeAutospacing="0" w:after="0" w:afterAutospacing="0"/>
        <w:rPr>
          <w:rFonts w:ascii="Calibri" w:hAnsi="Calibri" w:cs="Calibri"/>
          <w:color w:val="002451"/>
          <w:sz w:val="22"/>
          <w:szCs w:val="22"/>
          <w:lang w:val="en-US" w:eastAsia="ja-JP"/>
        </w:rPr>
      </w:pPr>
      <w:r w:rsidRPr="00065C05">
        <w:rPr>
          <w:rFonts w:asciiTheme="minorHAnsi" w:hAnsiTheme="minorHAnsi" w:cstheme="minorHAnsi"/>
          <w:b/>
          <w:i/>
          <w:sz w:val="22"/>
          <w:szCs w:val="22"/>
          <w:lang w:val="en-US" w:eastAsia="en-US"/>
        </w:rPr>
        <w:t>The Subgroup on Finance recommends that the Standing Committee:</w:t>
      </w:r>
    </w:p>
    <w:p w14:paraId="4A77A43E" w14:textId="0A6EE3E8" w:rsidR="005B5816" w:rsidRPr="00E414EA" w:rsidRDefault="005B5816" w:rsidP="00711D36">
      <w:pPr>
        <w:widowControl/>
        <w:ind w:left="426" w:hanging="426"/>
        <w:rPr>
          <w:rFonts w:asciiTheme="minorHAnsi" w:hAnsiTheme="minorHAnsi" w:cstheme="minorHAnsi"/>
          <w:b/>
          <w:i/>
        </w:rPr>
      </w:pPr>
      <w:r w:rsidRPr="00E414EA">
        <w:rPr>
          <w:rFonts w:asciiTheme="minorHAnsi" w:hAnsiTheme="minorHAnsi" w:cstheme="minorHAnsi"/>
          <w:b/>
          <w:i/>
        </w:rPr>
        <w:t xml:space="preserve">i. </w:t>
      </w:r>
      <w:r w:rsidRPr="00E414EA">
        <w:rPr>
          <w:rFonts w:asciiTheme="minorHAnsi" w:hAnsiTheme="minorHAnsi" w:cstheme="minorHAnsi"/>
          <w:b/>
          <w:i/>
        </w:rPr>
        <w:tab/>
        <w:t>take note of the contents of document SC59</w:t>
      </w:r>
      <w:r w:rsidR="0077382A">
        <w:rPr>
          <w:rFonts w:asciiTheme="minorHAnsi" w:hAnsiTheme="minorHAnsi" w:cstheme="minorHAnsi"/>
          <w:b/>
          <w:i/>
        </w:rPr>
        <w:t>/2022</w:t>
      </w:r>
      <w:r w:rsidRPr="00E414EA">
        <w:rPr>
          <w:rFonts w:asciiTheme="minorHAnsi" w:hAnsiTheme="minorHAnsi" w:cstheme="minorHAnsi"/>
          <w:b/>
          <w:i/>
        </w:rPr>
        <w:t xml:space="preserve"> doc.8.3; </w:t>
      </w:r>
    </w:p>
    <w:p w14:paraId="6AE4CE64" w14:textId="1DC25FFF" w:rsidR="005B5816" w:rsidRPr="00E414EA" w:rsidRDefault="005B5816" w:rsidP="00711D36">
      <w:pPr>
        <w:widowControl/>
        <w:ind w:left="426" w:hanging="426"/>
        <w:rPr>
          <w:rFonts w:asciiTheme="minorHAnsi" w:hAnsiTheme="minorHAnsi" w:cstheme="minorHAnsi"/>
          <w:b/>
          <w:i/>
        </w:rPr>
      </w:pPr>
      <w:r w:rsidRPr="00E414EA">
        <w:rPr>
          <w:rFonts w:asciiTheme="minorHAnsi" w:hAnsiTheme="minorHAnsi" w:cstheme="minorHAnsi"/>
          <w:b/>
          <w:i/>
        </w:rPr>
        <w:t xml:space="preserve">ii. </w:t>
      </w:r>
      <w:r w:rsidRPr="00E414EA">
        <w:rPr>
          <w:rFonts w:asciiTheme="minorHAnsi" w:hAnsiTheme="minorHAnsi" w:cstheme="minorHAnsi"/>
          <w:b/>
          <w:i/>
        </w:rPr>
        <w:tab/>
      </w:r>
      <w:r w:rsidR="001F11ED">
        <w:rPr>
          <w:rFonts w:asciiTheme="minorHAnsi" w:hAnsiTheme="minorHAnsi" w:cstheme="minorHAnsi"/>
          <w:b/>
          <w:i/>
        </w:rPr>
        <w:t xml:space="preserve">instruct the Secretariat </w:t>
      </w:r>
      <w:r w:rsidR="00E36717">
        <w:rPr>
          <w:rFonts w:asciiTheme="minorHAnsi" w:hAnsiTheme="minorHAnsi" w:cstheme="minorHAnsi"/>
          <w:b/>
          <w:i/>
        </w:rPr>
        <w:t xml:space="preserve">due to exceptional circumstances </w:t>
      </w:r>
      <w:r w:rsidR="001F11ED">
        <w:rPr>
          <w:rFonts w:asciiTheme="minorHAnsi" w:hAnsiTheme="minorHAnsi" w:cstheme="minorHAnsi"/>
          <w:b/>
          <w:i/>
        </w:rPr>
        <w:t xml:space="preserve">to present </w:t>
      </w:r>
      <w:r w:rsidR="00347815">
        <w:rPr>
          <w:rFonts w:asciiTheme="minorHAnsi" w:hAnsiTheme="minorHAnsi" w:cstheme="minorHAnsi"/>
          <w:b/>
          <w:i/>
        </w:rPr>
        <w:t>to</w:t>
      </w:r>
      <w:r w:rsidR="00347815" w:rsidRPr="007E32B3">
        <w:rPr>
          <w:rFonts w:asciiTheme="minorHAnsi" w:hAnsiTheme="minorHAnsi" w:cstheme="minorHAnsi"/>
          <w:b/>
          <w:i/>
        </w:rPr>
        <w:t xml:space="preserve"> the 14th meeting of the Conference of</w:t>
      </w:r>
      <w:r w:rsidR="00347815">
        <w:rPr>
          <w:rFonts w:asciiTheme="minorHAnsi" w:hAnsiTheme="minorHAnsi" w:cstheme="minorHAnsi"/>
          <w:b/>
          <w:i/>
        </w:rPr>
        <w:t xml:space="preserve"> </w:t>
      </w:r>
      <w:r w:rsidR="00347815" w:rsidRPr="007E32B3">
        <w:rPr>
          <w:rFonts w:asciiTheme="minorHAnsi" w:hAnsiTheme="minorHAnsi" w:cstheme="minorHAnsi"/>
          <w:b/>
          <w:i/>
        </w:rPr>
        <w:t>the Contracting Parties</w:t>
      </w:r>
      <w:r w:rsidR="00347815">
        <w:rPr>
          <w:rFonts w:asciiTheme="minorHAnsi" w:hAnsiTheme="minorHAnsi" w:cstheme="minorHAnsi"/>
          <w:b/>
          <w:i/>
        </w:rPr>
        <w:t xml:space="preserve"> </w:t>
      </w:r>
      <w:r w:rsidR="00E36717">
        <w:rPr>
          <w:rFonts w:asciiTheme="minorHAnsi" w:hAnsiTheme="minorHAnsi" w:cstheme="minorHAnsi"/>
          <w:b/>
          <w:i/>
        </w:rPr>
        <w:t xml:space="preserve">only one </w:t>
      </w:r>
      <w:r w:rsidR="001F11ED">
        <w:rPr>
          <w:rFonts w:asciiTheme="minorHAnsi" w:hAnsiTheme="minorHAnsi" w:cstheme="minorHAnsi"/>
          <w:b/>
          <w:i/>
        </w:rPr>
        <w:t>budget scenario A</w:t>
      </w:r>
      <w:r w:rsidR="00E36717">
        <w:rPr>
          <w:rFonts w:asciiTheme="minorHAnsi" w:hAnsiTheme="minorHAnsi" w:cstheme="minorHAnsi"/>
          <w:b/>
          <w:i/>
        </w:rPr>
        <w:t xml:space="preserve">, </w:t>
      </w:r>
      <w:r w:rsidR="00347815">
        <w:rPr>
          <w:rFonts w:asciiTheme="minorHAnsi" w:hAnsiTheme="minorHAnsi" w:cstheme="minorHAnsi"/>
          <w:b/>
          <w:i/>
        </w:rPr>
        <w:t xml:space="preserve">representing a </w:t>
      </w:r>
      <w:r w:rsidR="00E36717">
        <w:rPr>
          <w:rFonts w:asciiTheme="minorHAnsi" w:hAnsiTheme="minorHAnsi" w:cstheme="minorHAnsi"/>
          <w:b/>
          <w:i/>
        </w:rPr>
        <w:t xml:space="preserve">0% increase compared to </w:t>
      </w:r>
      <w:r w:rsidR="00347815">
        <w:rPr>
          <w:rFonts w:asciiTheme="minorHAnsi" w:hAnsiTheme="minorHAnsi" w:cstheme="minorHAnsi"/>
          <w:b/>
          <w:i/>
        </w:rPr>
        <w:t xml:space="preserve">the </w:t>
      </w:r>
      <w:r w:rsidR="005F25FF">
        <w:rPr>
          <w:rFonts w:asciiTheme="minorHAnsi" w:hAnsiTheme="minorHAnsi" w:cstheme="minorHAnsi"/>
          <w:b/>
          <w:i/>
        </w:rPr>
        <w:t xml:space="preserve">2016-2018 and 2019-2021 </w:t>
      </w:r>
      <w:r w:rsidR="002E00B9">
        <w:rPr>
          <w:rFonts w:asciiTheme="minorHAnsi" w:hAnsiTheme="minorHAnsi" w:cstheme="minorHAnsi"/>
          <w:b/>
          <w:i/>
        </w:rPr>
        <w:t xml:space="preserve">triennia </w:t>
      </w:r>
      <w:r w:rsidR="005F25FF">
        <w:rPr>
          <w:rFonts w:asciiTheme="minorHAnsi" w:hAnsiTheme="minorHAnsi" w:cstheme="minorHAnsi"/>
          <w:b/>
          <w:i/>
        </w:rPr>
        <w:t>and 2022, as</w:t>
      </w:r>
      <w:r w:rsidR="001F11ED">
        <w:rPr>
          <w:rFonts w:asciiTheme="minorHAnsi" w:hAnsiTheme="minorHAnsi" w:cstheme="minorHAnsi"/>
          <w:b/>
          <w:i/>
        </w:rPr>
        <w:t xml:space="preserve"> described in document </w:t>
      </w:r>
      <w:r w:rsidR="001F11ED" w:rsidRPr="007E32B3">
        <w:rPr>
          <w:b/>
          <w:i/>
        </w:rPr>
        <w:t>SC59/2022 Doc.8.3</w:t>
      </w:r>
      <w:r>
        <w:rPr>
          <w:rFonts w:asciiTheme="minorHAnsi" w:hAnsiTheme="minorHAnsi" w:cstheme="minorHAnsi"/>
          <w:b/>
          <w:i/>
        </w:rPr>
        <w:t>;</w:t>
      </w:r>
      <w:r w:rsidRPr="00E414EA">
        <w:rPr>
          <w:rFonts w:asciiTheme="minorHAnsi" w:hAnsiTheme="minorHAnsi" w:cstheme="minorHAnsi"/>
          <w:b/>
          <w:i/>
        </w:rPr>
        <w:t xml:space="preserve"> and </w:t>
      </w:r>
    </w:p>
    <w:p w14:paraId="66CEB36F" w14:textId="1A917BC7" w:rsidR="005B5816" w:rsidRPr="00E414EA" w:rsidRDefault="005B5816" w:rsidP="00711D36">
      <w:pPr>
        <w:widowControl/>
        <w:ind w:left="426" w:hanging="426"/>
        <w:rPr>
          <w:rFonts w:asciiTheme="minorHAnsi" w:hAnsiTheme="minorHAnsi" w:cstheme="minorHAnsi"/>
          <w:b/>
          <w:i/>
        </w:rPr>
      </w:pPr>
      <w:r w:rsidRPr="00E414EA">
        <w:rPr>
          <w:rFonts w:asciiTheme="minorHAnsi" w:hAnsiTheme="minorHAnsi" w:cstheme="minorHAnsi"/>
          <w:b/>
          <w:i/>
        </w:rPr>
        <w:t xml:space="preserve">iii. </w:t>
      </w:r>
      <w:r>
        <w:rPr>
          <w:rFonts w:asciiTheme="minorHAnsi" w:hAnsiTheme="minorHAnsi" w:cstheme="minorHAnsi"/>
          <w:b/>
          <w:i/>
        </w:rPr>
        <w:tab/>
      </w:r>
      <w:r w:rsidR="00FF743C">
        <w:rPr>
          <w:rFonts w:asciiTheme="minorHAnsi" w:hAnsiTheme="minorHAnsi" w:cstheme="minorHAnsi"/>
          <w:b/>
          <w:i/>
        </w:rPr>
        <w:t>approve</w:t>
      </w:r>
      <w:r w:rsidR="00381076">
        <w:rPr>
          <w:rFonts w:asciiTheme="minorHAnsi" w:hAnsiTheme="minorHAnsi" w:cstheme="minorHAnsi"/>
          <w:b/>
          <w:i/>
        </w:rPr>
        <w:t xml:space="preserve"> </w:t>
      </w:r>
      <w:r w:rsidR="00F02BAA">
        <w:rPr>
          <w:rFonts w:asciiTheme="minorHAnsi" w:hAnsiTheme="minorHAnsi" w:cstheme="minorHAnsi"/>
          <w:b/>
          <w:i/>
        </w:rPr>
        <w:t xml:space="preserve">the </w:t>
      </w:r>
      <w:r w:rsidRPr="00E414EA">
        <w:rPr>
          <w:rFonts w:asciiTheme="minorHAnsi" w:hAnsiTheme="minorHAnsi" w:cstheme="minorHAnsi"/>
          <w:b/>
          <w:i/>
        </w:rPr>
        <w:t xml:space="preserve">draft resolution on the </w:t>
      </w:r>
      <w:r w:rsidR="0077382A" w:rsidRPr="0077382A">
        <w:rPr>
          <w:rFonts w:asciiTheme="minorHAnsi" w:hAnsiTheme="minorHAnsi" w:cstheme="minorHAnsi"/>
          <w:b/>
          <w:i/>
        </w:rPr>
        <w:t>financial and budgetary matters</w:t>
      </w:r>
      <w:r w:rsidR="0077382A">
        <w:rPr>
          <w:rFonts w:asciiTheme="minorHAnsi" w:hAnsiTheme="minorHAnsi" w:cstheme="minorHAnsi"/>
          <w:b/>
          <w:i/>
        </w:rPr>
        <w:t xml:space="preserve"> </w:t>
      </w:r>
      <w:r w:rsidR="00381076">
        <w:rPr>
          <w:rFonts w:asciiTheme="minorHAnsi" w:hAnsiTheme="minorHAnsi" w:cstheme="minorHAnsi"/>
          <w:b/>
          <w:i/>
        </w:rPr>
        <w:t xml:space="preserve">to be considered at </w:t>
      </w:r>
      <w:r w:rsidRPr="00E414EA">
        <w:rPr>
          <w:rFonts w:asciiTheme="minorHAnsi" w:hAnsiTheme="minorHAnsi" w:cstheme="minorHAnsi"/>
          <w:b/>
          <w:i/>
        </w:rPr>
        <w:t>COP</w:t>
      </w:r>
      <w:r w:rsidR="0077382A">
        <w:rPr>
          <w:rFonts w:asciiTheme="minorHAnsi" w:hAnsiTheme="minorHAnsi" w:cstheme="minorHAnsi"/>
          <w:b/>
          <w:i/>
        </w:rPr>
        <w:t>14</w:t>
      </w:r>
      <w:r w:rsidR="00B44B75">
        <w:rPr>
          <w:rFonts w:asciiTheme="minorHAnsi" w:hAnsiTheme="minorHAnsi" w:cstheme="minorHAnsi"/>
          <w:b/>
          <w:i/>
        </w:rPr>
        <w:t>, as presented in the Annex 2 of this report</w:t>
      </w:r>
      <w:r>
        <w:rPr>
          <w:rFonts w:asciiTheme="minorHAnsi" w:hAnsiTheme="minorHAnsi" w:cstheme="minorHAnsi"/>
          <w:b/>
          <w:i/>
        </w:rPr>
        <w:t>.</w:t>
      </w:r>
    </w:p>
    <w:p w14:paraId="22C692C0" w14:textId="086570F6" w:rsidR="005B5816" w:rsidRDefault="005B5816" w:rsidP="00711D36">
      <w:pPr>
        <w:widowControl/>
        <w:ind w:left="426" w:hanging="426"/>
        <w:rPr>
          <w:rFonts w:asciiTheme="minorHAnsi" w:hAnsiTheme="minorHAnsi" w:cstheme="minorHAnsi"/>
        </w:rPr>
      </w:pPr>
    </w:p>
    <w:p w14:paraId="729B18E8" w14:textId="77777777" w:rsidR="00CA2A73" w:rsidRDefault="00CA2A73" w:rsidP="00711D36">
      <w:pPr>
        <w:widowControl/>
        <w:rPr>
          <w:rFonts w:asciiTheme="minorHAnsi" w:hAnsiTheme="minorHAnsi" w:cstheme="minorHAnsi"/>
        </w:rPr>
      </w:pPr>
    </w:p>
    <w:p w14:paraId="60F5EB33" w14:textId="05759BFB" w:rsidR="00CA2A73" w:rsidRDefault="001F11ED" w:rsidP="001F11ED">
      <w:pPr>
        <w:widowControl/>
        <w:autoSpaceDE/>
        <w:autoSpaceDN/>
        <w:ind w:left="426" w:hanging="426"/>
        <w:rPr>
          <w:rFonts w:asciiTheme="minorHAnsi" w:hAnsiTheme="minorHAnsi" w:cstheme="minorHAnsi"/>
          <w:b/>
        </w:rPr>
      </w:pPr>
      <w:r>
        <w:rPr>
          <w:rFonts w:asciiTheme="minorHAnsi" w:hAnsiTheme="minorHAnsi" w:cstheme="minorHAnsi"/>
          <w:b/>
        </w:rPr>
        <w:t>4.</w:t>
      </w:r>
      <w:r>
        <w:rPr>
          <w:rFonts w:asciiTheme="minorHAnsi" w:hAnsiTheme="minorHAnsi" w:cstheme="minorHAnsi"/>
          <w:b/>
        </w:rPr>
        <w:tab/>
      </w:r>
      <w:r w:rsidR="00C07ED3" w:rsidRPr="00C07ED3">
        <w:rPr>
          <w:rFonts w:asciiTheme="minorHAnsi" w:hAnsiTheme="minorHAnsi" w:cstheme="minorHAnsi"/>
          <w:b/>
        </w:rPr>
        <w:t>Potential financial implications of draft resolutions</w:t>
      </w:r>
      <w:r w:rsidR="00C07ED3">
        <w:rPr>
          <w:rFonts w:asciiTheme="minorHAnsi" w:hAnsiTheme="minorHAnsi" w:cstheme="minorHAnsi"/>
          <w:b/>
        </w:rPr>
        <w:t xml:space="preserve"> </w:t>
      </w:r>
      <w:r w:rsidR="005A32A8">
        <w:rPr>
          <w:rFonts w:asciiTheme="minorHAnsi" w:hAnsiTheme="minorHAnsi" w:cstheme="minorHAnsi"/>
          <w:b/>
        </w:rPr>
        <w:t>(</w:t>
      </w:r>
      <w:r>
        <w:rPr>
          <w:rFonts w:asciiTheme="minorHAnsi" w:hAnsiTheme="minorHAnsi" w:cstheme="minorHAnsi"/>
          <w:b/>
        </w:rPr>
        <w:t xml:space="preserve">document </w:t>
      </w:r>
      <w:r w:rsidR="005A32A8" w:rsidRPr="005A32A8">
        <w:rPr>
          <w:rFonts w:asciiTheme="minorHAnsi" w:hAnsiTheme="minorHAnsi" w:cstheme="minorHAnsi"/>
          <w:b/>
        </w:rPr>
        <w:t>SC59/2022 Doc.8.4</w:t>
      </w:r>
      <w:r w:rsidR="005A32A8">
        <w:rPr>
          <w:rFonts w:asciiTheme="minorHAnsi" w:hAnsiTheme="minorHAnsi" w:cstheme="minorHAnsi"/>
          <w:b/>
        </w:rPr>
        <w:t>)</w:t>
      </w:r>
    </w:p>
    <w:p w14:paraId="00CB758A" w14:textId="03839761" w:rsidR="005A32A8" w:rsidRDefault="005A32A8" w:rsidP="00711D36">
      <w:pPr>
        <w:widowControl/>
        <w:rPr>
          <w:rFonts w:asciiTheme="minorHAnsi" w:hAnsiTheme="minorHAnsi" w:cstheme="minorHAnsi"/>
          <w:b/>
        </w:rPr>
      </w:pPr>
    </w:p>
    <w:p w14:paraId="75DCE08F" w14:textId="28E38F14" w:rsidR="000C231F" w:rsidRDefault="005A32A8" w:rsidP="00711D36">
      <w:pPr>
        <w:widowControl/>
        <w:rPr>
          <w:rFonts w:asciiTheme="minorHAnsi" w:hAnsiTheme="minorHAnsi" w:cstheme="minorHAnsi"/>
        </w:rPr>
      </w:pPr>
      <w:r>
        <w:rPr>
          <w:rFonts w:asciiTheme="minorHAnsi" w:hAnsiTheme="minorHAnsi" w:cstheme="minorHAnsi"/>
        </w:rPr>
        <w:t xml:space="preserve">The Secretary General </w:t>
      </w:r>
      <w:r w:rsidR="001F11ED">
        <w:rPr>
          <w:rFonts w:asciiTheme="minorHAnsi" w:hAnsiTheme="minorHAnsi" w:cstheme="minorHAnsi"/>
        </w:rPr>
        <w:t xml:space="preserve">introduced the document and </w:t>
      </w:r>
      <w:r w:rsidR="000C231F">
        <w:rPr>
          <w:rFonts w:asciiTheme="minorHAnsi" w:hAnsiTheme="minorHAnsi" w:cstheme="minorHAnsi"/>
        </w:rPr>
        <w:t>explained that this was a preliminary document, that the estimates were presented on the basis of the estimates made by the Parties. She further described that the Secretariat had added input when required and that the staff days</w:t>
      </w:r>
      <w:r w:rsidR="000C231F" w:rsidRPr="000C231F">
        <w:t xml:space="preserve"> </w:t>
      </w:r>
      <w:r w:rsidR="000C231F" w:rsidRPr="000C231F">
        <w:rPr>
          <w:rFonts w:asciiTheme="minorHAnsi" w:hAnsiTheme="minorHAnsi" w:cstheme="minorHAnsi"/>
        </w:rPr>
        <w:t>required to fulfil activities and task that are already included in the core areas of work of the Secretariat and its work plan are not included.</w:t>
      </w:r>
      <w:r w:rsidR="000C231F">
        <w:rPr>
          <w:rFonts w:asciiTheme="minorHAnsi" w:hAnsiTheme="minorHAnsi" w:cstheme="minorHAnsi"/>
        </w:rPr>
        <w:t xml:space="preserve"> The Secretary General noted that the financial and administrative implications of the draft resolutions will depend on the </w:t>
      </w:r>
      <w:r w:rsidR="00D23279">
        <w:rPr>
          <w:rFonts w:asciiTheme="minorHAnsi" w:hAnsiTheme="minorHAnsi" w:cstheme="minorHAnsi"/>
        </w:rPr>
        <w:t>decisions made by the Standing Committee regarding the content of the draft resolutions. The document will thus need to be revised after the Standing Committee and submitted to the COP14.</w:t>
      </w:r>
    </w:p>
    <w:p w14:paraId="18FA96CE" w14:textId="328073D9" w:rsidR="00356EEC" w:rsidRDefault="00356EEC" w:rsidP="00711D36">
      <w:pPr>
        <w:widowControl/>
        <w:rPr>
          <w:rFonts w:asciiTheme="minorHAnsi" w:hAnsiTheme="minorHAnsi" w:cstheme="minorHAnsi"/>
        </w:rPr>
      </w:pPr>
    </w:p>
    <w:p w14:paraId="3956549D" w14:textId="77777777" w:rsidR="001F11ED" w:rsidRDefault="001F11ED" w:rsidP="001F11ED">
      <w:pPr>
        <w:pStyle w:val="NormalWeb"/>
        <w:spacing w:before="0" w:beforeAutospacing="0" w:after="0" w:afterAutospacing="0"/>
        <w:rPr>
          <w:rFonts w:ascii="Calibri" w:hAnsi="Calibri" w:cs="Calibri"/>
          <w:color w:val="002451"/>
          <w:sz w:val="22"/>
          <w:szCs w:val="22"/>
          <w:lang w:val="en-US" w:eastAsia="ja-JP"/>
        </w:rPr>
      </w:pPr>
      <w:r w:rsidRPr="00065C05">
        <w:rPr>
          <w:rFonts w:asciiTheme="minorHAnsi" w:hAnsiTheme="minorHAnsi" w:cstheme="minorHAnsi"/>
          <w:b/>
          <w:i/>
          <w:sz w:val="22"/>
          <w:szCs w:val="22"/>
          <w:lang w:val="en-US" w:eastAsia="en-US"/>
        </w:rPr>
        <w:t>The Subgroup on Finance recommends that the Standing Committee:</w:t>
      </w:r>
    </w:p>
    <w:p w14:paraId="04E91245" w14:textId="06DE92A9" w:rsidR="001F11ED" w:rsidRDefault="001F11ED" w:rsidP="007163B4">
      <w:pPr>
        <w:widowControl/>
        <w:ind w:left="426" w:hanging="426"/>
        <w:rPr>
          <w:rFonts w:asciiTheme="minorHAnsi" w:hAnsiTheme="minorHAnsi" w:cstheme="minorHAnsi"/>
        </w:rPr>
      </w:pPr>
      <w:r w:rsidRPr="00E414EA">
        <w:rPr>
          <w:rFonts w:asciiTheme="minorHAnsi" w:hAnsiTheme="minorHAnsi" w:cstheme="minorHAnsi"/>
          <w:b/>
          <w:i/>
        </w:rPr>
        <w:t xml:space="preserve">i. </w:t>
      </w:r>
      <w:r w:rsidRPr="00E414EA">
        <w:rPr>
          <w:rFonts w:asciiTheme="minorHAnsi" w:hAnsiTheme="minorHAnsi" w:cstheme="minorHAnsi"/>
          <w:b/>
          <w:i/>
        </w:rPr>
        <w:tab/>
      </w:r>
      <w:r w:rsidR="007163B4">
        <w:rPr>
          <w:rFonts w:asciiTheme="minorHAnsi" w:hAnsiTheme="minorHAnsi" w:cstheme="minorHAnsi"/>
          <w:b/>
          <w:i/>
        </w:rPr>
        <w:t>take</w:t>
      </w:r>
      <w:r w:rsidR="007163B4" w:rsidRPr="007163B4">
        <w:rPr>
          <w:rFonts w:asciiTheme="minorHAnsi" w:hAnsiTheme="minorHAnsi" w:cstheme="minorHAnsi"/>
          <w:b/>
          <w:i/>
        </w:rPr>
        <w:t xml:space="preserve"> note </w:t>
      </w:r>
      <w:r w:rsidR="007163B4">
        <w:rPr>
          <w:rFonts w:asciiTheme="minorHAnsi" w:hAnsiTheme="minorHAnsi" w:cstheme="minorHAnsi"/>
          <w:b/>
          <w:i/>
        </w:rPr>
        <w:t xml:space="preserve">of </w:t>
      </w:r>
      <w:r w:rsidR="007163B4" w:rsidRPr="007163B4">
        <w:rPr>
          <w:rFonts w:asciiTheme="minorHAnsi" w:hAnsiTheme="minorHAnsi" w:cstheme="minorHAnsi"/>
          <w:b/>
          <w:i/>
        </w:rPr>
        <w:t>the projected administrative and financial implications</w:t>
      </w:r>
      <w:r w:rsidR="007163B4">
        <w:rPr>
          <w:rFonts w:asciiTheme="minorHAnsi" w:hAnsiTheme="minorHAnsi" w:cstheme="minorHAnsi"/>
          <w:b/>
          <w:i/>
        </w:rPr>
        <w:t xml:space="preserve"> </w:t>
      </w:r>
      <w:r w:rsidR="007163B4" w:rsidRPr="007163B4">
        <w:rPr>
          <w:rFonts w:asciiTheme="minorHAnsi" w:hAnsiTheme="minorHAnsi" w:cstheme="minorHAnsi"/>
          <w:b/>
          <w:i/>
        </w:rPr>
        <w:t xml:space="preserve">of draft resolutions submitted to SC59/2022 </w:t>
      </w:r>
      <w:r w:rsidR="000C231F">
        <w:rPr>
          <w:rFonts w:asciiTheme="minorHAnsi" w:hAnsiTheme="minorHAnsi" w:cstheme="minorHAnsi"/>
          <w:b/>
          <w:i/>
        </w:rPr>
        <w:t>which would be revised on the basis of the draft resolutions agreed by the SC59/2022</w:t>
      </w:r>
      <w:r w:rsidR="007163B4" w:rsidRPr="007163B4">
        <w:rPr>
          <w:rFonts w:asciiTheme="minorHAnsi" w:hAnsiTheme="minorHAnsi" w:cstheme="minorHAnsi"/>
          <w:b/>
          <w:i/>
        </w:rPr>
        <w:t>.</w:t>
      </w:r>
    </w:p>
    <w:p w14:paraId="7B35E64A" w14:textId="5DD09905" w:rsidR="00356EEC" w:rsidRDefault="00356EEC" w:rsidP="00711D36">
      <w:pPr>
        <w:widowControl/>
        <w:rPr>
          <w:rFonts w:asciiTheme="minorHAnsi" w:hAnsiTheme="minorHAnsi" w:cstheme="minorHAnsi"/>
        </w:rPr>
      </w:pPr>
    </w:p>
    <w:p w14:paraId="268B43A3" w14:textId="62E0FE67" w:rsidR="00356EEC" w:rsidRDefault="00356EEC" w:rsidP="00711D36">
      <w:pPr>
        <w:widowControl/>
        <w:rPr>
          <w:rFonts w:asciiTheme="minorHAnsi" w:hAnsiTheme="minorHAnsi" w:cstheme="minorHAnsi"/>
        </w:rPr>
      </w:pPr>
    </w:p>
    <w:p w14:paraId="40A68D2C" w14:textId="578064E0" w:rsidR="00356EEC" w:rsidRPr="007163B4" w:rsidRDefault="007163B4" w:rsidP="007163B4">
      <w:pPr>
        <w:widowControl/>
        <w:autoSpaceDE/>
        <w:autoSpaceDN/>
        <w:ind w:left="426" w:hanging="426"/>
        <w:rPr>
          <w:rFonts w:asciiTheme="minorHAnsi" w:hAnsiTheme="minorHAnsi" w:cstheme="minorHAnsi"/>
          <w:b/>
        </w:rPr>
      </w:pPr>
      <w:r>
        <w:rPr>
          <w:rFonts w:asciiTheme="minorHAnsi" w:hAnsiTheme="minorHAnsi" w:cstheme="minorHAnsi"/>
          <w:b/>
        </w:rPr>
        <w:t>5.</w:t>
      </w:r>
      <w:r>
        <w:rPr>
          <w:rFonts w:asciiTheme="minorHAnsi" w:hAnsiTheme="minorHAnsi" w:cstheme="minorHAnsi"/>
          <w:b/>
        </w:rPr>
        <w:tab/>
      </w:r>
      <w:r w:rsidR="00356EEC" w:rsidRPr="009F5EF8">
        <w:rPr>
          <w:rFonts w:asciiTheme="minorHAnsi" w:hAnsiTheme="minorHAnsi" w:cstheme="minorHAnsi"/>
          <w:b/>
        </w:rPr>
        <w:t>Report on financial matters for 2019-2021 and 2022</w:t>
      </w:r>
      <w:r w:rsidR="00356EEC">
        <w:rPr>
          <w:rFonts w:asciiTheme="minorHAnsi" w:hAnsiTheme="minorHAnsi" w:cstheme="minorHAnsi"/>
          <w:b/>
        </w:rPr>
        <w:t xml:space="preserve"> (</w:t>
      </w:r>
      <w:r>
        <w:rPr>
          <w:rFonts w:asciiTheme="minorHAnsi" w:hAnsiTheme="minorHAnsi" w:cstheme="minorHAnsi"/>
          <w:b/>
        </w:rPr>
        <w:t>d</w:t>
      </w:r>
      <w:r w:rsidR="00356EEC" w:rsidRPr="0042785D">
        <w:rPr>
          <w:rFonts w:asciiTheme="minorHAnsi" w:hAnsiTheme="minorHAnsi" w:cstheme="minorHAnsi"/>
          <w:b/>
        </w:rPr>
        <w:t>ocument SC59/2022 Doc.8.1)</w:t>
      </w:r>
      <w:r w:rsidR="00356EEC" w:rsidRPr="007163B4">
        <w:rPr>
          <w:rFonts w:asciiTheme="minorHAnsi" w:hAnsiTheme="minorHAnsi" w:cstheme="minorHAnsi"/>
          <w:b/>
        </w:rPr>
        <w:t xml:space="preserve"> </w:t>
      </w:r>
      <w:r>
        <w:rPr>
          <w:rFonts w:asciiTheme="minorHAnsi" w:hAnsiTheme="minorHAnsi" w:cstheme="minorHAnsi"/>
          <w:b/>
        </w:rPr>
        <w:t>- continued</w:t>
      </w:r>
      <w:r w:rsidR="00AD079A">
        <w:rPr>
          <w:rStyle w:val="FootnoteReference"/>
          <w:rFonts w:asciiTheme="minorHAnsi" w:hAnsiTheme="minorHAnsi" w:cstheme="minorHAnsi"/>
          <w:b/>
        </w:rPr>
        <w:footnoteReference w:id="3"/>
      </w:r>
    </w:p>
    <w:p w14:paraId="50F43379" w14:textId="000D0A39" w:rsidR="00356EEC" w:rsidRDefault="00356EEC" w:rsidP="00763865">
      <w:pPr>
        <w:widowControl/>
        <w:rPr>
          <w:rFonts w:asciiTheme="minorHAnsi" w:hAnsiTheme="minorHAnsi" w:cstheme="minorHAnsi"/>
        </w:rPr>
      </w:pPr>
    </w:p>
    <w:p w14:paraId="0F4DD060" w14:textId="29407D2F" w:rsidR="0052223D" w:rsidRDefault="0052223D" w:rsidP="00763865">
      <w:pPr>
        <w:widowControl/>
        <w:rPr>
          <w:rFonts w:asciiTheme="minorHAnsi" w:hAnsiTheme="minorHAnsi" w:cstheme="minorHAnsi"/>
        </w:rPr>
      </w:pPr>
      <w:r>
        <w:rPr>
          <w:rFonts w:asciiTheme="minorHAnsi" w:hAnsiTheme="minorHAnsi" w:cstheme="minorHAnsi"/>
        </w:rPr>
        <w:t xml:space="preserve">The Secretariat introduced the elements of the core budget surplus as of the end of 2021, as summarized in Table </w:t>
      </w:r>
      <w:r w:rsidR="00426C7C">
        <w:rPr>
          <w:rFonts w:asciiTheme="minorHAnsi" w:hAnsiTheme="minorHAnsi" w:cstheme="minorHAnsi"/>
        </w:rPr>
        <w:t>1</w:t>
      </w:r>
      <w:r>
        <w:rPr>
          <w:rFonts w:asciiTheme="minorHAnsi" w:hAnsiTheme="minorHAnsi" w:cstheme="minorHAnsi"/>
        </w:rPr>
        <w:t xml:space="preserve"> below.</w:t>
      </w:r>
    </w:p>
    <w:p w14:paraId="67375531" w14:textId="77777777" w:rsidR="002E00B9" w:rsidRDefault="002E00B9" w:rsidP="00763865">
      <w:pPr>
        <w:widowControl/>
        <w:rPr>
          <w:rFonts w:asciiTheme="minorHAnsi" w:hAnsiTheme="minorHAnsi" w:cstheme="minorHAnsi"/>
        </w:rPr>
      </w:pPr>
    </w:p>
    <w:p w14:paraId="436781D2" w14:textId="3239D49D" w:rsidR="00356EEC" w:rsidRDefault="00356EEC" w:rsidP="00711D36">
      <w:pPr>
        <w:rPr>
          <w:rFonts w:cs="Times New Roman"/>
          <w:i/>
          <w:lang w:val="en-GB"/>
        </w:rPr>
      </w:pPr>
      <w:r>
        <w:rPr>
          <w:i/>
        </w:rPr>
        <w:t xml:space="preserve">Table </w:t>
      </w:r>
      <w:r w:rsidR="00426C7C">
        <w:rPr>
          <w:i/>
        </w:rPr>
        <w:t>1</w:t>
      </w:r>
      <w:r>
        <w:rPr>
          <w:i/>
        </w:rPr>
        <w:t>: 2021 core surplus to be allocated (in ‘000 CHF)</w:t>
      </w:r>
    </w:p>
    <w:tbl>
      <w:tblPr>
        <w:tblW w:w="8926" w:type="dxa"/>
        <w:tblLook w:val="04A0" w:firstRow="1" w:lastRow="0" w:firstColumn="1" w:lastColumn="0" w:noHBand="0" w:noVBand="1"/>
      </w:tblPr>
      <w:tblGrid>
        <w:gridCol w:w="7225"/>
        <w:gridCol w:w="1701"/>
      </w:tblGrid>
      <w:tr w:rsidR="00356EEC" w14:paraId="38A616F3" w14:textId="77777777" w:rsidTr="00AB178F">
        <w:trPr>
          <w:trHeight w:val="780"/>
        </w:trPr>
        <w:tc>
          <w:tcPr>
            <w:tcW w:w="7225"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74EC3F76" w14:textId="77777777" w:rsidR="00356EEC" w:rsidRDefault="00356EEC" w:rsidP="00711D36">
            <w:pPr>
              <w:rPr>
                <w:b/>
                <w:bCs/>
                <w:color w:val="000000"/>
                <w:lang w:eastAsia="en-GB"/>
              </w:rPr>
            </w:pPr>
            <w:r>
              <w:rPr>
                <w:b/>
                <w:bCs/>
                <w:color w:val="000000"/>
                <w:lang w:eastAsia="en-GB"/>
              </w:rPr>
              <w:t>(I) Fund balance at 31 December 2021 per audited statements</w:t>
            </w:r>
          </w:p>
        </w:tc>
        <w:tc>
          <w:tcPr>
            <w:tcW w:w="1701" w:type="dxa"/>
            <w:tcBorders>
              <w:top w:val="single" w:sz="4" w:space="0" w:color="auto"/>
              <w:left w:val="nil"/>
              <w:bottom w:val="single" w:sz="4" w:space="0" w:color="auto"/>
              <w:right w:val="single" w:sz="4" w:space="0" w:color="auto"/>
            </w:tcBorders>
            <w:shd w:val="clear" w:color="auto" w:fill="DBE5F1"/>
            <w:noWrap/>
            <w:vAlign w:val="center"/>
            <w:hideMark/>
          </w:tcPr>
          <w:p w14:paraId="264B7A78" w14:textId="77777777" w:rsidR="00356EEC" w:rsidRDefault="00356EEC" w:rsidP="00711D36">
            <w:pPr>
              <w:jc w:val="right"/>
              <w:rPr>
                <w:b/>
                <w:bCs/>
                <w:color w:val="000000"/>
                <w:lang w:eastAsia="en-GB"/>
              </w:rPr>
            </w:pPr>
            <w:r>
              <w:rPr>
                <w:b/>
                <w:bCs/>
                <w:color w:val="000000"/>
                <w:lang w:eastAsia="en-GB"/>
              </w:rPr>
              <w:t>3,738</w:t>
            </w:r>
          </w:p>
        </w:tc>
      </w:tr>
      <w:tr w:rsidR="00356EEC" w14:paraId="1F22CC29" w14:textId="77777777" w:rsidTr="00AB178F">
        <w:trPr>
          <w:trHeight w:val="375"/>
        </w:trPr>
        <w:tc>
          <w:tcPr>
            <w:tcW w:w="7225" w:type="dxa"/>
            <w:tcBorders>
              <w:top w:val="nil"/>
              <w:left w:val="single" w:sz="4" w:space="0" w:color="auto"/>
              <w:bottom w:val="single" w:sz="4" w:space="0" w:color="auto"/>
              <w:right w:val="single" w:sz="4" w:space="0" w:color="auto"/>
            </w:tcBorders>
            <w:vAlign w:val="center"/>
            <w:hideMark/>
          </w:tcPr>
          <w:p w14:paraId="56CB3B72" w14:textId="77777777" w:rsidR="00356EEC" w:rsidRDefault="00356EEC" w:rsidP="00711D36">
            <w:pPr>
              <w:rPr>
                <w:b/>
                <w:bCs/>
                <w:color w:val="000000"/>
                <w:lang w:eastAsia="en-GB"/>
              </w:rPr>
            </w:pPr>
            <w:r>
              <w:rPr>
                <w:b/>
                <w:bCs/>
                <w:color w:val="000000"/>
                <w:lang w:eastAsia="en-GB"/>
              </w:rPr>
              <w:t>Reserve, approved and pre-committed:</w:t>
            </w:r>
          </w:p>
        </w:tc>
        <w:tc>
          <w:tcPr>
            <w:tcW w:w="1701" w:type="dxa"/>
            <w:tcBorders>
              <w:top w:val="nil"/>
              <w:left w:val="nil"/>
              <w:bottom w:val="single" w:sz="4" w:space="0" w:color="auto"/>
              <w:right w:val="single" w:sz="4" w:space="0" w:color="auto"/>
            </w:tcBorders>
            <w:noWrap/>
            <w:vAlign w:val="center"/>
            <w:hideMark/>
          </w:tcPr>
          <w:p w14:paraId="4DB47614" w14:textId="77777777" w:rsidR="00356EEC" w:rsidRDefault="00356EEC" w:rsidP="00711D36">
            <w:pPr>
              <w:jc w:val="right"/>
              <w:rPr>
                <w:color w:val="000000"/>
                <w:lang w:eastAsia="en-GB"/>
              </w:rPr>
            </w:pPr>
            <w:r>
              <w:rPr>
                <w:color w:val="000000"/>
                <w:lang w:eastAsia="en-GB"/>
              </w:rPr>
              <w:t> </w:t>
            </w:r>
          </w:p>
        </w:tc>
      </w:tr>
      <w:tr w:rsidR="00356EEC" w14:paraId="5EECF01A" w14:textId="77777777" w:rsidTr="00AB178F">
        <w:trPr>
          <w:trHeight w:val="375"/>
        </w:trPr>
        <w:tc>
          <w:tcPr>
            <w:tcW w:w="7225" w:type="dxa"/>
            <w:tcBorders>
              <w:top w:val="nil"/>
              <w:left w:val="single" w:sz="4" w:space="0" w:color="auto"/>
              <w:bottom w:val="single" w:sz="4" w:space="0" w:color="auto"/>
              <w:right w:val="single" w:sz="4" w:space="0" w:color="auto"/>
            </w:tcBorders>
            <w:vAlign w:val="center"/>
            <w:hideMark/>
          </w:tcPr>
          <w:p w14:paraId="14FF1425" w14:textId="77777777" w:rsidR="00356EEC" w:rsidRDefault="00356EEC" w:rsidP="00711D36">
            <w:pPr>
              <w:rPr>
                <w:color w:val="000000"/>
                <w:lang w:eastAsia="en-GB"/>
              </w:rPr>
            </w:pPr>
            <w:r>
              <w:rPr>
                <w:color w:val="000000"/>
                <w:lang w:eastAsia="en-GB"/>
              </w:rPr>
              <w:t>Reserve fund at 15% (Resolution XIII.2, paragraph 33)</w:t>
            </w:r>
          </w:p>
        </w:tc>
        <w:tc>
          <w:tcPr>
            <w:tcW w:w="1701" w:type="dxa"/>
            <w:tcBorders>
              <w:top w:val="nil"/>
              <w:left w:val="nil"/>
              <w:bottom w:val="single" w:sz="4" w:space="0" w:color="auto"/>
              <w:right w:val="single" w:sz="4" w:space="0" w:color="auto"/>
            </w:tcBorders>
            <w:noWrap/>
            <w:vAlign w:val="center"/>
            <w:hideMark/>
          </w:tcPr>
          <w:p w14:paraId="18B47B5A" w14:textId="77777777" w:rsidR="00356EEC" w:rsidRDefault="00356EEC" w:rsidP="00711D36">
            <w:pPr>
              <w:jc w:val="right"/>
              <w:rPr>
                <w:color w:val="000000"/>
                <w:lang w:eastAsia="en-GB"/>
              </w:rPr>
            </w:pPr>
            <w:r>
              <w:rPr>
                <w:color w:val="000000"/>
                <w:lang w:eastAsia="en-GB"/>
              </w:rPr>
              <w:t>762</w:t>
            </w:r>
          </w:p>
        </w:tc>
      </w:tr>
      <w:tr w:rsidR="00356EEC" w14:paraId="29CAC549" w14:textId="77777777" w:rsidTr="00AB178F">
        <w:trPr>
          <w:trHeight w:val="375"/>
        </w:trPr>
        <w:tc>
          <w:tcPr>
            <w:tcW w:w="7225" w:type="dxa"/>
            <w:tcBorders>
              <w:top w:val="nil"/>
              <w:left w:val="single" w:sz="4" w:space="0" w:color="auto"/>
              <w:bottom w:val="single" w:sz="4" w:space="0" w:color="auto"/>
              <w:right w:val="single" w:sz="4" w:space="0" w:color="auto"/>
            </w:tcBorders>
            <w:vAlign w:val="center"/>
            <w:hideMark/>
          </w:tcPr>
          <w:p w14:paraId="42C40F6E" w14:textId="77777777" w:rsidR="00356EEC" w:rsidRDefault="00356EEC" w:rsidP="00711D36">
            <w:pPr>
              <w:rPr>
                <w:lang w:eastAsia="en-GB"/>
              </w:rPr>
            </w:pPr>
            <w:r>
              <w:rPr>
                <w:lang w:eastAsia="en-GB"/>
              </w:rPr>
              <w:t>ExCOP3-approved use of 2020 budget savings (to fill the gap and for outstanding provisions)</w:t>
            </w:r>
          </w:p>
        </w:tc>
        <w:tc>
          <w:tcPr>
            <w:tcW w:w="1701" w:type="dxa"/>
            <w:tcBorders>
              <w:top w:val="nil"/>
              <w:left w:val="nil"/>
              <w:bottom w:val="single" w:sz="4" w:space="0" w:color="auto"/>
              <w:right w:val="single" w:sz="4" w:space="0" w:color="auto"/>
            </w:tcBorders>
            <w:noWrap/>
            <w:vAlign w:val="center"/>
            <w:hideMark/>
          </w:tcPr>
          <w:p w14:paraId="7690BDB5" w14:textId="77777777" w:rsidR="00356EEC" w:rsidRDefault="00356EEC" w:rsidP="00711D36">
            <w:pPr>
              <w:jc w:val="right"/>
              <w:rPr>
                <w:color w:val="000000"/>
                <w:lang w:eastAsia="en-GB"/>
              </w:rPr>
            </w:pPr>
            <w:r>
              <w:rPr>
                <w:color w:val="000000"/>
                <w:lang w:eastAsia="en-GB"/>
              </w:rPr>
              <w:t>196</w:t>
            </w:r>
          </w:p>
        </w:tc>
      </w:tr>
      <w:tr w:rsidR="00356EEC" w14:paraId="6D030A3B" w14:textId="77777777" w:rsidTr="00AB178F">
        <w:trPr>
          <w:trHeight w:val="375"/>
        </w:trPr>
        <w:tc>
          <w:tcPr>
            <w:tcW w:w="7225" w:type="dxa"/>
            <w:tcBorders>
              <w:top w:val="nil"/>
              <w:left w:val="single" w:sz="4" w:space="0" w:color="auto"/>
              <w:bottom w:val="single" w:sz="4" w:space="0" w:color="auto"/>
              <w:right w:val="single" w:sz="4" w:space="0" w:color="auto"/>
            </w:tcBorders>
            <w:vAlign w:val="center"/>
            <w:hideMark/>
          </w:tcPr>
          <w:p w14:paraId="62FF5729" w14:textId="47EB732F" w:rsidR="00356EEC" w:rsidRDefault="00356EEC" w:rsidP="00711D36">
            <w:pPr>
              <w:rPr>
                <w:color w:val="000000"/>
                <w:lang w:eastAsia="en-GB"/>
              </w:rPr>
            </w:pPr>
            <w:r>
              <w:rPr>
                <w:color w:val="000000"/>
                <w:lang w:eastAsia="en-GB"/>
              </w:rPr>
              <w:t>Pre-committed balances (Table 1</w:t>
            </w:r>
            <w:r w:rsidR="00AD079A">
              <w:rPr>
                <w:color w:val="000000"/>
                <w:lang w:eastAsia="en-GB"/>
              </w:rPr>
              <w:t xml:space="preserve"> of document SC59/2022 Doc 8.1</w:t>
            </w:r>
            <w:r>
              <w:rPr>
                <w:color w:val="000000"/>
                <w:lang w:eastAsia="en-GB"/>
              </w:rPr>
              <w:t>)</w:t>
            </w:r>
          </w:p>
        </w:tc>
        <w:tc>
          <w:tcPr>
            <w:tcW w:w="1701" w:type="dxa"/>
            <w:tcBorders>
              <w:top w:val="nil"/>
              <w:left w:val="nil"/>
              <w:bottom w:val="single" w:sz="4" w:space="0" w:color="auto"/>
              <w:right w:val="single" w:sz="4" w:space="0" w:color="auto"/>
            </w:tcBorders>
            <w:noWrap/>
            <w:vAlign w:val="center"/>
            <w:hideMark/>
          </w:tcPr>
          <w:p w14:paraId="78BFB155" w14:textId="415FDC20" w:rsidR="00356EEC" w:rsidRDefault="00356EEC" w:rsidP="00F068B4">
            <w:pPr>
              <w:jc w:val="right"/>
              <w:rPr>
                <w:color w:val="000000"/>
                <w:lang w:eastAsia="en-GB"/>
              </w:rPr>
            </w:pPr>
            <w:r>
              <w:rPr>
                <w:color w:val="000000"/>
                <w:lang w:eastAsia="en-GB"/>
              </w:rPr>
              <w:t xml:space="preserve">767 </w:t>
            </w:r>
          </w:p>
        </w:tc>
      </w:tr>
      <w:tr w:rsidR="00356EEC" w14:paraId="0769AEE2" w14:textId="77777777" w:rsidTr="00AB178F">
        <w:trPr>
          <w:trHeight w:val="375"/>
        </w:trPr>
        <w:tc>
          <w:tcPr>
            <w:tcW w:w="7225" w:type="dxa"/>
            <w:tcBorders>
              <w:top w:val="nil"/>
              <w:left w:val="single" w:sz="4" w:space="0" w:color="auto"/>
              <w:bottom w:val="single" w:sz="4" w:space="0" w:color="auto"/>
              <w:right w:val="single" w:sz="4" w:space="0" w:color="auto"/>
            </w:tcBorders>
            <w:vAlign w:val="center"/>
            <w:hideMark/>
          </w:tcPr>
          <w:p w14:paraId="1CD265AD" w14:textId="77777777" w:rsidR="00356EEC" w:rsidRDefault="00356EEC" w:rsidP="00711D36">
            <w:pPr>
              <w:rPr>
                <w:color w:val="000000"/>
                <w:lang w:eastAsia="en-GB"/>
              </w:rPr>
            </w:pPr>
            <w:r>
              <w:rPr>
                <w:color w:val="000000"/>
                <w:lang w:eastAsia="en-GB"/>
              </w:rPr>
              <w:t>April 2022 SC intersessional budget approval for the recruitment of the next Secretary General</w:t>
            </w:r>
          </w:p>
        </w:tc>
        <w:tc>
          <w:tcPr>
            <w:tcW w:w="1701" w:type="dxa"/>
            <w:tcBorders>
              <w:top w:val="nil"/>
              <w:left w:val="nil"/>
              <w:bottom w:val="single" w:sz="4" w:space="0" w:color="auto"/>
              <w:right w:val="single" w:sz="4" w:space="0" w:color="auto"/>
            </w:tcBorders>
            <w:noWrap/>
            <w:vAlign w:val="center"/>
            <w:hideMark/>
          </w:tcPr>
          <w:p w14:paraId="4E9363D5" w14:textId="77777777" w:rsidR="00356EEC" w:rsidRDefault="00356EEC" w:rsidP="00711D36">
            <w:pPr>
              <w:jc w:val="right"/>
              <w:rPr>
                <w:color w:val="000000"/>
                <w:lang w:eastAsia="en-GB"/>
              </w:rPr>
            </w:pPr>
            <w:r>
              <w:rPr>
                <w:color w:val="000000"/>
                <w:lang w:eastAsia="en-GB"/>
              </w:rPr>
              <w:t>89.5</w:t>
            </w:r>
          </w:p>
        </w:tc>
      </w:tr>
      <w:tr w:rsidR="00356EEC" w14:paraId="0D61E4AE" w14:textId="77777777" w:rsidTr="00AB178F">
        <w:trPr>
          <w:trHeight w:val="375"/>
        </w:trPr>
        <w:tc>
          <w:tcPr>
            <w:tcW w:w="7225" w:type="dxa"/>
            <w:tcBorders>
              <w:top w:val="nil"/>
              <w:left w:val="single" w:sz="4" w:space="0" w:color="auto"/>
              <w:bottom w:val="single" w:sz="4" w:space="0" w:color="auto"/>
              <w:right w:val="single" w:sz="4" w:space="0" w:color="auto"/>
            </w:tcBorders>
            <w:shd w:val="clear" w:color="auto" w:fill="DDEBF7"/>
            <w:vAlign w:val="center"/>
            <w:hideMark/>
          </w:tcPr>
          <w:p w14:paraId="7C66D908" w14:textId="77777777" w:rsidR="00356EEC" w:rsidRDefault="00356EEC" w:rsidP="00711D36">
            <w:pPr>
              <w:rPr>
                <w:b/>
                <w:bCs/>
                <w:color w:val="000000"/>
                <w:lang w:eastAsia="en-GB"/>
              </w:rPr>
            </w:pPr>
            <w:r>
              <w:rPr>
                <w:b/>
                <w:bCs/>
                <w:color w:val="000000"/>
                <w:lang w:eastAsia="en-GB"/>
              </w:rPr>
              <w:t>(II) Total reserve, approved and pre-committed</w:t>
            </w:r>
          </w:p>
        </w:tc>
        <w:tc>
          <w:tcPr>
            <w:tcW w:w="1701" w:type="dxa"/>
            <w:tcBorders>
              <w:top w:val="nil"/>
              <w:left w:val="nil"/>
              <w:bottom w:val="single" w:sz="4" w:space="0" w:color="auto"/>
              <w:right w:val="single" w:sz="4" w:space="0" w:color="auto"/>
            </w:tcBorders>
            <w:shd w:val="clear" w:color="auto" w:fill="DBE5F1"/>
            <w:noWrap/>
            <w:vAlign w:val="center"/>
            <w:hideMark/>
          </w:tcPr>
          <w:p w14:paraId="10A10C4F" w14:textId="550F446B" w:rsidR="00356EEC" w:rsidRDefault="00AD079A" w:rsidP="00711D36">
            <w:pPr>
              <w:jc w:val="right"/>
              <w:rPr>
                <w:b/>
                <w:bCs/>
                <w:color w:val="000000"/>
                <w:lang w:eastAsia="en-GB"/>
              </w:rPr>
            </w:pPr>
            <w:r>
              <w:rPr>
                <w:b/>
                <w:bCs/>
                <w:color w:val="000000"/>
                <w:lang w:eastAsia="en-GB"/>
              </w:rPr>
              <w:t>1,815</w:t>
            </w:r>
          </w:p>
        </w:tc>
      </w:tr>
      <w:tr w:rsidR="00356EEC" w14:paraId="260A9E80" w14:textId="77777777" w:rsidTr="00AB178F">
        <w:trPr>
          <w:trHeight w:val="495"/>
        </w:trPr>
        <w:tc>
          <w:tcPr>
            <w:tcW w:w="7225" w:type="dxa"/>
            <w:tcBorders>
              <w:top w:val="nil"/>
              <w:left w:val="single" w:sz="4" w:space="0" w:color="auto"/>
              <w:bottom w:val="single" w:sz="4" w:space="0" w:color="auto"/>
              <w:right w:val="single" w:sz="4" w:space="0" w:color="auto"/>
            </w:tcBorders>
            <w:shd w:val="clear" w:color="auto" w:fill="9BC2E6"/>
            <w:vAlign w:val="center"/>
            <w:hideMark/>
          </w:tcPr>
          <w:p w14:paraId="7F8EA09A" w14:textId="77777777" w:rsidR="00356EEC" w:rsidRDefault="00356EEC" w:rsidP="00711D36">
            <w:pPr>
              <w:rPr>
                <w:b/>
                <w:bCs/>
                <w:color w:val="000000"/>
                <w:lang w:eastAsia="en-GB"/>
              </w:rPr>
            </w:pPr>
            <w:r>
              <w:rPr>
                <w:b/>
                <w:bCs/>
                <w:color w:val="000000"/>
                <w:lang w:eastAsia="en-GB"/>
              </w:rPr>
              <w:t xml:space="preserve">(III=I-II) 2021 core surplus after approved and pre-committed - to be allocated </w:t>
            </w:r>
          </w:p>
        </w:tc>
        <w:tc>
          <w:tcPr>
            <w:tcW w:w="1701" w:type="dxa"/>
            <w:tcBorders>
              <w:top w:val="nil"/>
              <w:left w:val="nil"/>
              <w:bottom w:val="single" w:sz="4" w:space="0" w:color="auto"/>
              <w:right w:val="single" w:sz="4" w:space="0" w:color="auto"/>
            </w:tcBorders>
            <w:shd w:val="clear" w:color="auto" w:fill="9BC2E6"/>
            <w:noWrap/>
            <w:vAlign w:val="center"/>
            <w:hideMark/>
          </w:tcPr>
          <w:p w14:paraId="1DB43965" w14:textId="0B8F981B" w:rsidR="00356EEC" w:rsidRDefault="00356EEC" w:rsidP="00711D36">
            <w:pPr>
              <w:jc w:val="right"/>
              <w:rPr>
                <w:b/>
                <w:bCs/>
                <w:color w:val="000000"/>
                <w:lang w:eastAsia="en-GB"/>
              </w:rPr>
            </w:pPr>
            <w:r>
              <w:rPr>
                <w:b/>
                <w:bCs/>
                <w:color w:val="000000"/>
                <w:lang w:eastAsia="en-GB"/>
              </w:rPr>
              <w:t xml:space="preserve">                     </w:t>
            </w:r>
            <w:r w:rsidR="00AD079A">
              <w:rPr>
                <w:b/>
                <w:bCs/>
                <w:color w:val="000000"/>
                <w:lang w:eastAsia="en-GB"/>
              </w:rPr>
              <w:t>1,924</w:t>
            </w:r>
            <w:r>
              <w:rPr>
                <w:b/>
                <w:bCs/>
                <w:color w:val="000000"/>
                <w:lang w:eastAsia="en-GB"/>
              </w:rPr>
              <w:t xml:space="preserve"> </w:t>
            </w:r>
          </w:p>
        </w:tc>
      </w:tr>
    </w:tbl>
    <w:p w14:paraId="006F60EE" w14:textId="77777777" w:rsidR="00356EEC" w:rsidRDefault="00356EEC" w:rsidP="00711D36">
      <w:pPr>
        <w:widowControl/>
        <w:ind w:left="426" w:hanging="426"/>
        <w:rPr>
          <w:rFonts w:asciiTheme="minorHAnsi" w:hAnsiTheme="minorHAnsi" w:cstheme="minorHAnsi"/>
        </w:rPr>
      </w:pPr>
    </w:p>
    <w:p w14:paraId="4BE6486D" w14:textId="5CAA3C22" w:rsidR="00356EEC" w:rsidRDefault="00356EEC" w:rsidP="00711D36">
      <w:pPr>
        <w:widowControl/>
        <w:ind w:left="426" w:hanging="426"/>
        <w:rPr>
          <w:rFonts w:asciiTheme="minorHAnsi" w:hAnsiTheme="minorHAnsi" w:cstheme="minorHAnsi"/>
        </w:rPr>
      </w:pPr>
    </w:p>
    <w:p w14:paraId="7E181AD4" w14:textId="00CD3080" w:rsidR="001B7BC0" w:rsidRDefault="0052223D" w:rsidP="0052223D">
      <w:pPr>
        <w:widowControl/>
        <w:rPr>
          <w:rFonts w:asciiTheme="minorHAnsi" w:hAnsiTheme="minorHAnsi" w:cstheme="minorHAnsi"/>
        </w:rPr>
      </w:pPr>
      <w:r>
        <w:rPr>
          <w:rFonts w:asciiTheme="minorHAnsi" w:hAnsiTheme="minorHAnsi" w:cstheme="minorHAnsi"/>
        </w:rPr>
        <w:t xml:space="preserve">The Secretary General listed the options </w:t>
      </w:r>
      <w:r w:rsidRPr="0052223D">
        <w:rPr>
          <w:rFonts w:asciiTheme="minorHAnsi" w:hAnsiTheme="minorHAnsi" w:cstheme="minorHAnsi"/>
        </w:rPr>
        <w:t xml:space="preserve">for possible use of 2021 savings </w:t>
      </w:r>
      <w:r>
        <w:rPr>
          <w:rFonts w:asciiTheme="minorHAnsi" w:hAnsiTheme="minorHAnsi" w:cstheme="minorHAnsi"/>
        </w:rPr>
        <w:t xml:space="preserve">suggested in paragraph 40 of </w:t>
      </w:r>
      <w:r w:rsidRPr="0052223D">
        <w:rPr>
          <w:rFonts w:asciiTheme="minorHAnsi" w:hAnsiTheme="minorHAnsi" w:cstheme="minorHAnsi"/>
        </w:rPr>
        <w:t>document SC59/2022 Doc.8.1</w:t>
      </w:r>
      <w:r w:rsidR="001B7BC0">
        <w:rPr>
          <w:rFonts w:asciiTheme="minorHAnsi" w:hAnsiTheme="minorHAnsi" w:cstheme="minorHAnsi"/>
        </w:rPr>
        <w:t xml:space="preserve">. Regarding the option c) on funding COP14 sponsored delegates’ travel costs, the Secretariat explained that the fundraising the full costs would be very challenging given the number international meetings taking place this year for which other Secretariats were fundraising and the economic impact of the COVID-19 pandemic. The Subgroup expressed preference that the non-core </w:t>
      </w:r>
      <w:r w:rsidR="00B1398E">
        <w:rPr>
          <w:rFonts w:asciiTheme="minorHAnsi" w:hAnsiTheme="minorHAnsi" w:cstheme="minorHAnsi"/>
        </w:rPr>
        <w:t>budget items</w:t>
      </w:r>
      <w:r w:rsidR="001B7BC0">
        <w:rPr>
          <w:rFonts w:asciiTheme="minorHAnsi" w:hAnsiTheme="minorHAnsi" w:cstheme="minorHAnsi"/>
        </w:rPr>
        <w:t xml:space="preserve"> </w:t>
      </w:r>
      <w:r w:rsidR="00B1398E">
        <w:rPr>
          <w:rFonts w:asciiTheme="minorHAnsi" w:hAnsiTheme="minorHAnsi" w:cstheme="minorHAnsi"/>
        </w:rPr>
        <w:t xml:space="preserve">continue to </w:t>
      </w:r>
      <w:r w:rsidR="001B7BC0">
        <w:rPr>
          <w:rFonts w:asciiTheme="minorHAnsi" w:hAnsiTheme="minorHAnsi" w:cstheme="minorHAnsi"/>
        </w:rPr>
        <w:t>be covered by the non-core resources. They trusted that the Secretariat will continue its efforts to fundraise for this purpose.</w:t>
      </w:r>
    </w:p>
    <w:p w14:paraId="324F3E63" w14:textId="6651C9CC" w:rsidR="00D32871" w:rsidRDefault="00D32871" w:rsidP="0052223D">
      <w:pPr>
        <w:widowControl/>
      </w:pPr>
    </w:p>
    <w:p w14:paraId="6AB78F71" w14:textId="2028C9EE" w:rsidR="00D32871" w:rsidRDefault="00D32871" w:rsidP="0052223D">
      <w:pPr>
        <w:widowControl/>
      </w:pPr>
      <w:r>
        <w:t xml:space="preserve">The group expressed approval of option a) of allocating CHF 228K to cover the core budget gap for core </w:t>
      </w:r>
      <w:r w:rsidRPr="003563E9">
        <w:t>activities of the Secretariat</w:t>
      </w:r>
      <w:r w:rsidR="00C77D35" w:rsidRPr="003563E9">
        <w:t xml:space="preserve"> in 2023-2025 triennium. The Subgroup </w:t>
      </w:r>
      <w:r w:rsidRPr="003563E9">
        <w:t xml:space="preserve">suggested that </w:t>
      </w:r>
      <w:r w:rsidR="00FD6050" w:rsidRPr="003563E9">
        <w:t xml:space="preserve">it was premature to consider </w:t>
      </w:r>
      <w:r w:rsidRPr="003563E9">
        <w:t>option b) to allocate additional resources for the consolidation of Resolutions</w:t>
      </w:r>
      <w:r w:rsidR="00FD6050" w:rsidRPr="003563E9">
        <w:t>, as it needed to</w:t>
      </w:r>
      <w:r w:rsidRPr="003563E9">
        <w:t xml:space="preserve"> be </w:t>
      </w:r>
      <w:r w:rsidR="00FD6050" w:rsidRPr="003563E9">
        <w:t>subject to</w:t>
      </w:r>
      <w:r w:rsidRPr="003563E9">
        <w:t xml:space="preserve"> further discussion </w:t>
      </w:r>
      <w:r w:rsidR="00FD6050" w:rsidRPr="003563E9">
        <w:t xml:space="preserve">and a decision </w:t>
      </w:r>
      <w:r w:rsidRPr="003563E9">
        <w:t xml:space="preserve">by the </w:t>
      </w:r>
      <w:r w:rsidR="000159B6" w:rsidRPr="003563E9">
        <w:t>Standing Committee</w:t>
      </w:r>
      <w:r w:rsidR="008519D6" w:rsidRPr="003563E9">
        <w:t>.</w:t>
      </w:r>
      <w:r w:rsidR="008519D6" w:rsidRPr="008519D6">
        <w:t xml:space="preserve"> </w:t>
      </w:r>
    </w:p>
    <w:p w14:paraId="012EC8FB" w14:textId="4CFE9454" w:rsidR="00C77D35" w:rsidRDefault="00C77D35" w:rsidP="0052223D">
      <w:pPr>
        <w:widowControl/>
      </w:pPr>
    </w:p>
    <w:p w14:paraId="5D8D3DB8" w14:textId="32C4D62E" w:rsidR="00C77D35" w:rsidRDefault="00C77D35" w:rsidP="0052223D">
      <w:pPr>
        <w:widowControl/>
      </w:pPr>
      <w:r>
        <w:t xml:space="preserve">The Subgroup also approved the allocation of CHF 360K for the increase of outstanding provisions with the condition that any </w:t>
      </w:r>
      <w:r w:rsidRPr="00C77D35">
        <w:t>unused portion be returned to the surplus for allocation at the end of each year within 2023-2025 triennium</w:t>
      </w:r>
      <w:r>
        <w:t>.</w:t>
      </w:r>
    </w:p>
    <w:p w14:paraId="437CC46B" w14:textId="72D83586" w:rsidR="00763865" w:rsidRDefault="00763865" w:rsidP="0052223D">
      <w:pPr>
        <w:widowControl/>
      </w:pPr>
    </w:p>
    <w:p w14:paraId="17C83412" w14:textId="381CF961" w:rsidR="00F068B4" w:rsidRDefault="00F068B4" w:rsidP="003F3625">
      <w:pPr>
        <w:widowControl/>
      </w:pPr>
      <w:r>
        <w:lastRenderedPageBreak/>
        <w:t>The Secre</w:t>
      </w:r>
      <w:r w:rsidR="00763865">
        <w:t xml:space="preserve">tary General </w:t>
      </w:r>
      <w:r w:rsidR="00BC0A3B">
        <w:t xml:space="preserve">presented </w:t>
      </w:r>
      <w:r w:rsidR="00763865">
        <w:t xml:space="preserve">the proposal to allocate </w:t>
      </w:r>
      <w:r w:rsidR="00763865" w:rsidRPr="00763865">
        <w:t>the remaining balances of “SC58 - 2020 budget and uncommitted carry forward savings” as additional reserve fund savings</w:t>
      </w:r>
      <w:r w:rsidR="00C77D35">
        <w:t>. T</w:t>
      </w:r>
      <w:r>
        <w:t xml:space="preserve">he </w:t>
      </w:r>
      <w:r w:rsidR="003F3625">
        <w:t>Sub</w:t>
      </w:r>
      <w:r>
        <w:t xml:space="preserve">group </w:t>
      </w:r>
      <w:r w:rsidR="00C77D35">
        <w:t>expressed that these resources should be maintained</w:t>
      </w:r>
      <w:r>
        <w:t xml:space="preserve"> </w:t>
      </w:r>
      <w:r w:rsidR="003F3625">
        <w:t>in the surplus for allocation by the Standing Committee</w:t>
      </w:r>
      <w:r>
        <w:t xml:space="preserve"> rather than the creation of a new operational reserve</w:t>
      </w:r>
      <w:r w:rsidR="00FD6050">
        <w:t>, in the absence of a relevant reserve policy</w:t>
      </w:r>
      <w:r>
        <w:t>.</w:t>
      </w:r>
    </w:p>
    <w:p w14:paraId="1679A6B9" w14:textId="53FDCEEA" w:rsidR="00AD079A" w:rsidRDefault="00AD079A" w:rsidP="00763865">
      <w:pPr>
        <w:widowControl/>
      </w:pPr>
    </w:p>
    <w:p w14:paraId="4AF7BA54" w14:textId="244488B0" w:rsidR="00AD079A" w:rsidRDefault="00AD079A" w:rsidP="00763865">
      <w:pPr>
        <w:widowControl/>
      </w:pPr>
      <w:r>
        <w:t xml:space="preserve">The Subgroup recommended </w:t>
      </w:r>
      <w:r w:rsidR="002E00B9">
        <w:t xml:space="preserve">that </w:t>
      </w:r>
      <w:r>
        <w:t xml:space="preserve">the Standing Committee approve the allocation of 2021 surplus as summarized in Table </w:t>
      </w:r>
      <w:r w:rsidR="00426C7C">
        <w:t>2</w:t>
      </w:r>
      <w:r>
        <w:t xml:space="preserve"> below</w:t>
      </w:r>
      <w:r w:rsidR="003F3625">
        <w:t xml:space="preserve"> and in the Annex 1 of the present report</w:t>
      </w:r>
      <w:r>
        <w:t>:</w:t>
      </w:r>
    </w:p>
    <w:p w14:paraId="750295F0" w14:textId="3AAE4991" w:rsidR="002E00B9" w:rsidRDefault="002E00B9" w:rsidP="00763865">
      <w:pPr>
        <w:widowControl/>
      </w:pPr>
    </w:p>
    <w:p w14:paraId="4B491984" w14:textId="51798A9B" w:rsidR="002E00B9" w:rsidRDefault="002E00B9" w:rsidP="00763865">
      <w:pPr>
        <w:widowControl/>
      </w:pPr>
      <w:r w:rsidRPr="002E00B9">
        <w:rPr>
          <w:i/>
        </w:rPr>
        <w:t xml:space="preserve">Table </w:t>
      </w:r>
      <w:r w:rsidR="00426C7C">
        <w:rPr>
          <w:i/>
        </w:rPr>
        <w:t>2</w:t>
      </w:r>
      <w:r w:rsidRPr="002E00B9">
        <w:rPr>
          <w:i/>
        </w:rPr>
        <w:t>: Allocation of 2021 core surplus (in '000 CHF)</w:t>
      </w:r>
    </w:p>
    <w:tbl>
      <w:tblPr>
        <w:tblW w:w="8931" w:type="dxa"/>
        <w:tblInd w:w="-5" w:type="dxa"/>
        <w:tblLook w:val="04A0" w:firstRow="1" w:lastRow="0" w:firstColumn="1" w:lastColumn="0" w:noHBand="0" w:noVBand="1"/>
      </w:tblPr>
      <w:tblGrid>
        <w:gridCol w:w="7797"/>
        <w:gridCol w:w="1134"/>
      </w:tblGrid>
      <w:tr w:rsidR="00AD079A" w:rsidRPr="00AD079A" w14:paraId="33ADCE0D" w14:textId="77777777" w:rsidTr="00951EDA">
        <w:trPr>
          <w:trHeight w:val="575"/>
        </w:trPr>
        <w:tc>
          <w:tcPr>
            <w:tcW w:w="7797" w:type="dxa"/>
            <w:tcBorders>
              <w:top w:val="single" w:sz="4" w:space="0" w:color="auto"/>
              <w:left w:val="single" w:sz="4" w:space="0" w:color="auto"/>
              <w:bottom w:val="single" w:sz="4" w:space="0" w:color="auto"/>
              <w:right w:val="single" w:sz="4" w:space="0" w:color="auto"/>
            </w:tcBorders>
            <w:shd w:val="clear" w:color="000000" w:fill="D9E2F3" w:themeFill="accent5" w:themeFillTint="33"/>
            <w:vAlign w:val="center"/>
            <w:hideMark/>
          </w:tcPr>
          <w:p w14:paraId="24F3BCCF" w14:textId="350E0DBA" w:rsidR="00AD079A" w:rsidRPr="00AD079A" w:rsidRDefault="002E00B9" w:rsidP="00AD079A">
            <w:pPr>
              <w:widowControl/>
              <w:autoSpaceDE/>
              <w:autoSpaceDN/>
              <w:rPr>
                <w:b/>
                <w:bCs/>
                <w:lang w:val="en-GB" w:eastAsia="en-GB"/>
              </w:rPr>
            </w:pPr>
            <w:r w:rsidDel="002E00B9">
              <w:t xml:space="preserve"> </w:t>
            </w:r>
            <w:r w:rsidR="00AD079A" w:rsidRPr="00AD079A">
              <w:rPr>
                <w:b/>
                <w:bCs/>
                <w:lang w:val="en-GB" w:eastAsia="en-GB"/>
              </w:rPr>
              <w:t>(I) SC59/2022 Allocation of core surplus:</w:t>
            </w:r>
          </w:p>
        </w:tc>
        <w:tc>
          <w:tcPr>
            <w:tcW w:w="1134" w:type="dxa"/>
            <w:tcBorders>
              <w:top w:val="single" w:sz="4" w:space="0" w:color="auto"/>
              <w:left w:val="nil"/>
              <w:bottom w:val="single" w:sz="4" w:space="0" w:color="auto"/>
              <w:right w:val="single" w:sz="4" w:space="0" w:color="auto"/>
            </w:tcBorders>
            <w:shd w:val="clear" w:color="000000" w:fill="D9E2F3" w:themeFill="accent5" w:themeFillTint="33"/>
            <w:noWrap/>
            <w:vAlign w:val="center"/>
            <w:hideMark/>
          </w:tcPr>
          <w:p w14:paraId="359F19CE" w14:textId="592AD097" w:rsidR="00AD079A" w:rsidRPr="00AD079A" w:rsidRDefault="00AD079A" w:rsidP="002E00B9">
            <w:pPr>
              <w:widowControl/>
              <w:autoSpaceDE/>
              <w:autoSpaceDN/>
              <w:jc w:val="right"/>
              <w:rPr>
                <w:b/>
                <w:bCs/>
                <w:color w:val="000000"/>
                <w:lang w:val="en-GB" w:eastAsia="en-GB"/>
              </w:rPr>
            </w:pPr>
            <w:r w:rsidRPr="00AD079A">
              <w:rPr>
                <w:b/>
                <w:bCs/>
                <w:color w:val="000000"/>
                <w:lang w:val="en-GB" w:eastAsia="en-GB"/>
              </w:rPr>
              <w:t xml:space="preserve">1,924 </w:t>
            </w:r>
          </w:p>
        </w:tc>
      </w:tr>
      <w:tr w:rsidR="00AD079A" w:rsidRPr="003563E9" w14:paraId="0D316EEA" w14:textId="77777777" w:rsidTr="003563E9">
        <w:trPr>
          <w:trHeight w:val="570"/>
        </w:trPr>
        <w:tc>
          <w:tcPr>
            <w:tcW w:w="77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3E08C8" w14:textId="72B68119" w:rsidR="00AD079A" w:rsidRPr="003563E9" w:rsidRDefault="00AD079A" w:rsidP="00AD079A">
            <w:pPr>
              <w:widowControl/>
              <w:autoSpaceDE/>
              <w:autoSpaceDN/>
              <w:rPr>
                <w:color w:val="FF0000"/>
                <w:lang w:val="en-GB" w:eastAsia="en-GB"/>
              </w:rPr>
            </w:pPr>
            <w:r w:rsidRPr="003563E9">
              <w:rPr>
                <w:color w:val="FF0000"/>
                <w:lang w:val="en-GB" w:eastAsia="en-GB"/>
              </w:rPr>
              <w:t>Review of resolutions</w:t>
            </w:r>
            <w:r w:rsidR="000D3076" w:rsidRPr="003563E9">
              <w:rPr>
                <w:color w:val="FF0000"/>
                <w:lang w:val="en-GB" w:eastAsia="en-GB"/>
              </w:rPr>
              <w:t>*</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7AE3B8B2" w14:textId="5E838DAC" w:rsidR="00AD079A" w:rsidRPr="003563E9" w:rsidRDefault="00AD079A" w:rsidP="002E00B9">
            <w:pPr>
              <w:widowControl/>
              <w:autoSpaceDE/>
              <w:autoSpaceDN/>
              <w:jc w:val="right"/>
              <w:rPr>
                <w:color w:val="FF0000"/>
                <w:lang w:val="en-GB" w:eastAsia="en-GB"/>
              </w:rPr>
            </w:pPr>
            <w:r w:rsidRPr="003563E9">
              <w:rPr>
                <w:color w:val="FF0000"/>
                <w:lang w:val="en-GB" w:eastAsia="en-GB"/>
              </w:rPr>
              <w:t>10</w:t>
            </w:r>
            <w:r w:rsidR="000D3076" w:rsidRPr="003563E9">
              <w:rPr>
                <w:color w:val="FF0000"/>
                <w:lang w:val="en-GB" w:eastAsia="en-GB"/>
              </w:rPr>
              <w:t xml:space="preserve">* </w:t>
            </w:r>
          </w:p>
        </w:tc>
      </w:tr>
      <w:tr w:rsidR="00AD079A" w:rsidRPr="003563E9" w14:paraId="69450FBB" w14:textId="77777777" w:rsidTr="00D869E7">
        <w:trPr>
          <w:trHeight w:val="615"/>
        </w:trPr>
        <w:tc>
          <w:tcPr>
            <w:tcW w:w="7797" w:type="dxa"/>
            <w:tcBorders>
              <w:top w:val="nil"/>
              <w:left w:val="single" w:sz="4" w:space="0" w:color="auto"/>
              <w:bottom w:val="single" w:sz="4" w:space="0" w:color="auto"/>
              <w:right w:val="single" w:sz="4" w:space="0" w:color="auto"/>
            </w:tcBorders>
            <w:shd w:val="clear" w:color="auto" w:fill="auto"/>
            <w:vAlign w:val="center"/>
            <w:hideMark/>
          </w:tcPr>
          <w:p w14:paraId="7FAA27E3" w14:textId="77DEE768" w:rsidR="00AD079A" w:rsidRPr="003563E9" w:rsidRDefault="00C77D35" w:rsidP="00AD079A">
            <w:pPr>
              <w:widowControl/>
              <w:autoSpaceDE/>
              <w:autoSpaceDN/>
              <w:rPr>
                <w:color w:val="000000"/>
                <w:lang w:val="en-GB" w:eastAsia="en-GB"/>
              </w:rPr>
            </w:pPr>
            <w:r w:rsidRPr="003563E9">
              <w:rPr>
                <w:color w:val="000000"/>
                <w:lang w:val="en-GB" w:eastAsia="en-GB"/>
              </w:rPr>
              <w:t>Authorised use of surplus</w:t>
            </w:r>
            <w:r w:rsidR="00AD079A" w:rsidRPr="003563E9">
              <w:rPr>
                <w:color w:val="000000"/>
                <w:lang w:val="en-GB" w:eastAsia="en-GB"/>
              </w:rPr>
              <w:t xml:space="preserve"> to cover the core budget gap in 2023-2025 triennium, the same as in Resolution XIII.2, paragraph 15</w:t>
            </w:r>
          </w:p>
        </w:tc>
        <w:tc>
          <w:tcPr>
            <w:tcW w:w="1134" w:type="dxa"/>
            <w:tcBorders>
              <w:top w:val="nil"/>
              <w:left w:val="nil"/>
              <w:bottom w:val="single" w:sz="4" w:space="0" w:color="auto"/>
              <w:right w:val="single" w:sz="4" w:space="0" w:color="auto"/>
            </w:tcBorders>
            <w:shd w:val="clear" w:color="auto" w:fill="auto"/>
            <w:noWrap/>
            <w:vAlign w:val="center"/>
            <w:hideMark/>
          </w:tcPr>
          <w:p w14:paraId="3DC92960" w14:textId="047845B7" w:rsidR="00AD079A" w:rsidRPr="003563E9" w:rsidRDefault="00AD079A" w:rsidP="002E00B9">
            <w:pPr>
              <w:widowControl/>
              <w:autoSpaceDE/>
              <w:autoSpaceDN/>
              <w:jc w:val="right"/>
              <w:rPr>
                <w:color w:val="000000"/>
                <w:lang w:val="en-GB" w:eastAsia="en-GB"/>
              </w:rPr>
            </w:pPr>
            <w:r w:rsidRPr="003563E9">
              <w:rPr>
                <w:color w:val="000000"/>
                <w:lang w:val="en-GB" w:eastAsia="en-GB"/>
              </w:rPr>
              <w:t xml:space="preserve">228 </w:t>
            </w:r>
          </w:p>
        </w:tc>
      </w:tr>
      <w:tr w:rsidR="00AD079A" w:rsidRPr="003563E9" w14:paraId="2D27AB83" w14:textId="77777777" w:rsidTr="00D869E7">
        <w:trPr>
          <w:trHeight w:val="600"/>
        </w:trPr>
        <w:tc>
          <w:tcPr>
            <w:tcW w:w="7797" w:type="dxa"/>
            <w:tcBorders>
              <w:top w:val="nil"/>
              <w:left w:val="single" w:sz="4" w:space="0" w:color="auto"/>
              <w:bottom w:val="single" w:sz="4" w:space="0" w:color="auto"/>
              <w:right w:val="single" w:sz="4" w:space="0" w:color="auto"/>
            </w:tcBorders>
            <w:shd w:val="clear" w:color="auto" w:fill="auto"/>
            <w:vAlign w:val="center"/>
            <w:hideMark/>
          </w:tcPr>
          <w:p w14:paraId="19795A31" w14:textId="3D607E83" w:rsidR="00AD079A" w:rsidRPr="003563E9" w:rsidRDefault="00C77D35" w:rsidP="00AD079A">
            <w:pPr>
              <w:widowControl/>
              <w:autoSpaceDE/>
              <w:autoSpaceDN/>
              <w:rPr>
                <w:color w:val="000000"/>
                <w:lang w:val="en-GB" w:eastAsia="en-GB"/>
              </w:rPr>
            </w:pPr>
            <w:r w:rsidRPr="003563E9">
              <w:rPr>
                <w:color w:val="000000"/>
                <w:lang w:val="en-GB" w:eastAsia="en-GB"/>
              </w:rPr>
              <w:t>Authorised use of surplus</w:t>
            </w:r>
            <w:r w:rsidR="00AD079A" w:rsidRPr="003563E9">
              <w:rPr>
                <w:color w:val="000000"/>
                <w:lang w:val="en-GB" w:eastAsia="en-GB"/>
              </w:rPr>
              <w:t xml:space="preserve"> to cover increase in provision of outstanding contributions</w:t>
            </w:r>
            <w:r w:rsidR="00DC23F7" w:rsidRPr="003563E9">
              <w:rPr>
                <w:color w:val="000000"/>
                <w:lang w:val="en-GB" w:eastAsia="en-GB"/>
              </w:rPr>
              <w:t xml:space="preserve"> in</w:t>
            </w:r>
            <w:r w:rsidR="00AD079A" w:rsidRPr="003563E9">
              <w:rPr>
                <w:color w:val="000000"/>
                <w:lang w:val="en-GB" w:eastAsia="en-GB"/>
              </w:rPr>
              <w:t xml:space="preserve"> 2023-2025</w:t>
            </w:r>
            <w:r w:rsidR="0062629D" w:rsidRPr="003563E9">
              <w:rPr>
                <w:color w:val="000000"/>
                <w:lang w:val="en-GB" w:eastAsia="en-GB"/>
              </w:rPr>
              <w:t xml:space="preserve"> </w:t>
            </w:r>
            <w:r w:rsidR="003F3625" w:rsidRPr="003563E9">
              <w:rPr>
                <w:color w:val="000000"/>
                <w:lang w:val="en-GB" w:eastAsia="en-GB"/>
              </w:rPr>
              <w:t>triennium</w:t>
            </w:r>
            <w:r w:rsidR="00AD079A" w:rsidRPr="003563E9">
              <w:rPr>
                <w:color w:val="000000"/>
                <w:lang w:val="en-GB" w:eastAsia="en-GB"/>
              </w:rPr>
              <w:t>, the same as in Resolution ExCOP3.2**</w:t>
            </w:r>
          </w:p>
        </w:tc>
        <w:tc>
          <w:tcPr>
            <w:tcW w:w="1134" w:type="dxa"/>
            <w:tcBorders>
              <w:top w:val="nil"/>
              <w:left w:val="nil"/>
              <w:bottom w:val="single" w:sz="4" w:space="0" w:color="auto"/>
              <w:right w:val="single" w:sz="4" w:space="0" w:color="auto"/>
            </w:tcBorders>
            <w:shd w:val="clear" w:color="auto" w:fill="auto"/>
            <w:noWrap/>
            <w:vAlign w:val="center"/>
            <w:hideMark/>
          </w:tcPr>
          <w:p w14:paraId="5F85DACC" w14:textId="6D4B9698" w:rsidR="00AD079A" w:rsidRPr="003563E9" w:rsidRDefault="00AD079A" w:rsidP="002E00B9">
            <w:pPr>
              <w:widowControl/>
              <w:autoSpaceDE/>
              <w:autoSpaceDN/>
              <w:jc w:val="right"/>
              <w:rPr>
                <w:color w:val="000000"/>
                <w:lang w:val="en-GB" w:eastAsia="en-GB"/>
              </w:rPr>
            </w:pPr>
            <w:r w:rsidRPr="003563E9">
              <w:rPr>
                <w:color w:val="000000"/>
                <w:lang w:val="en-GB" w:eastAsia="en-GB"/>
              </w:rPr>
              <w:t xml:space="preserve">360 </w:t>
            </w:r>
          </w:p>
        </w:tc>
      </w:tr>
      <w:tr w:rsidR="00AD079A" w:rsidRPr="003563E9" w14:paraId="1396DE0D" w14:textId="77777777" w:rsidTr="0062629D">
        <w:trPr>
          <w:trHeight w:val="474"/>
        </w:trPr>
        <w:tc>
          <w:tcPr>
            <w:tcW w:w="7797" w:type="dxa"/>
            <w:tcBorders>
              <w:top w:val="nil"/>
              <w:left w:val="single" w:sz="4" w:space="0" w:color="auto"/>
              <w:bottom w:val="single" w:sz="4" w:space="0" w:color="auto"/>
              <w:right w:val="single" w:sz="4" w:space="0" w:color="auto"/>
            </w:tcBorders>
            <w:shd w:val="clear" w:color="000000" w:fill="D9E1F2"/>
            <w:vAlign w:val="center"/>
            <w:hideMark/>
          </w:tcPr>
          <w:p w14:paraId="65EB8D8A" w14:textId="36C9F815" w:rsidR="00AD079A" w:rsidRPr="003563E9" w:rsidRDefault="00AD079A" w:rsidP="00AD079A">
            <w:pPr>
              <w:widowControl/>
              <w:autoSpaceDE/>
              <w:autoSpaceDN/>
              <w:rPr>
                <w:b/>
                <w:bCs/>
                <w:color w:val="000000"/>
                <w:lang w:val="en-GB" w:eastAsia="en-GB"/>
              </w:rPr>
            </w:pPr>
            <w:r w:rsidRPr="003563E9">
              <w:rPr>
                <w:b/>
                <w:bCs/>
                <w:color w:val="000000"/>
                <w:lang w:val="en-GB" w:eastAsia="en-GB"/>
              </w:rPr>
              <w:t>(I</w:t>
            </w:r>
            <w:r w:rsidR="00C77D35" w:rsidRPr="003563E9">
              <w:rPr>
                <w:b/>
                <w:bCs/>
                <w:color w:val="000000"/>
                <w:lang w:val="en-GB" w:eastAsia="en-GB"/>
              </w:rPr>
              <w:t>I</w:t>
            </w:r>
            <w:r w:rsidRPr="003563E9">
              <w:rPr>
                <w:b/>
                <w:bCs/>
                <w:color w:val="000000"/>
                <w:lang w:val="en-GB" w:eastAsia="en-GB"/>
              </w:rPr>
              <w:t xml:space="preserve">) Subtotal 2021 surplus allocated </w:t>
            </w:r>
          </w:p>
        </w:tc>
        <w:tc>
          <w:tcPr>
            <w:tcW w:w="1134" w:type="dxa"/>
            <w:tcBorders>
              <w:top w:val="nil"/>
              <w:left w:val="nil"/>
              <w:bottom w:val="single" w:sz="4" w:space="0" w:color="auto"/>
              <w:right w:val="single" w:sz="4" w:space="0" w:color="auto"/>
            </w:tcBorders>
            <w:shd w:val="clear" w:color="000000" w:fill="D9E1F2"/>
            <w:noWrap/>
            <w:vAlign w:val="center"/>
            <w:hideMark/>
          </w:tcPr>
          <w:p w14:paraId="18A1D5E1" w14:textId="7D3F1D9C" w:rsidR="00AD079A" w:rsidRPr="003563E9" w:rsidRDefault="00595B92" w:rsidP="002E00B9">
            <w:pPr>
              <w:widowControl/>
              <w:autoSpaceDE/>
              <w:autoSpaceDN/>
              <w:jc w:val="right"/>
              <w:rPr>
                <w:b/>
                <w:lang w:val="en-GB" w:eastAsia="en-GB"/>
              </w:rPr>
            </w:pPr>
            <w:r w:rsidRPr="003563E9">
              <w:rPr>
                <w:b/>
                <w:lang w:val="en-GB" w:eastAsia="en-GB"/>
              </w:rPr>
              <w:t>5</w:t>
            </w:r>
            <w:r w:rsidR="00C77D35" w:rsidRPr="003563E9">
              <w:rPr>
                <w:b/>
                <w:lang w:val="en-GB" w:eastAsia="en-GB"/>
              </w:rPr>
              <w:t>9</w:t>
            </w:r>
            <w:r w:rsidRPr="003563E9">
              <w:rPr>
                <w:b/>
                <w:lang w:val="en-GB" w:eastAsia="en-GB"/>
              </w:rPr>
              <w:t xml:space="preserve">8 </w:t>
            </w:r>
          </w:p>
        </w:tc>
      </w:tr>
      <w:tr w:rsidR="00AD079A" w:rsidRPr="003563E9" w14:paraId="7DF1C0EE" w14:textId="77777777" w:rsidTr="0062629D">
        <w:trPr>
          <w:trHeight w:val="552"/>
        </w:trPr>
        <w:tc>
          <w:tcPr>
            <w:tcW w:w="7797" w:type="dxa"/>
            <w:tcBorders>
              <w:top w:val="nil"/>
              <w:left w:val="single" w:sz="4" w:space="0" w:color="auto"/>
              <w:bottom w:val="single" w:sz="4" w:space="0" w:color="auto"/>
              <w:right w:val="single" w:sz="4" w:space="0" w:color="auto"/>
            </w:tcBorders>
            <w:shd w:val="clear" w:color="000000" w:fill="8EA9DB"/>
            <w:noWrap/>
            <w:vAlign w:val="center"/>
            <w:hideMark/>
          </w:tcPr>
          <w:p w14:paraId="1DD14CE0" w14:textId="6DC77D20" w:rsidR="00AD079A" w:rsidRPr="003563E9" w:rsidRDefault="00AD079A" w:rsidP="00AD079A">
            <w:pPr>
              <w:widowControl/>
              <w:autoSpaceDE/>
              <w:autoSpaceDN/>
              <w:rPr>
                <w:b/>
                <w:bCs/>
                <w:color w:val="000000"/>
                <w:lang w:val="en-GB" w:eastAsia="en-GB"/>
              </w:rPr>
            </w:pPr>
            <w:r w:rsidRPr="003563E9">
              <w:rPr>
                <w:b/>
                <w:bCs/>
                <w:color w:val="000000"/>
                <w:lang w:val="en-GB" w:eastAsia="en-GB"/>
              </w:rPr>
              <w:t>(I</w:t>
            </w:r>
            <w:r w:rsidR="00C77D35" w:rsidRPr="003563E9">
              <w:rPr>
                <w:b/>
                <w:bCs/>
                <w:color w:val="000000"/>
                <w:lang w:val="en-GB" w:eastAsia="en-GB"/>
              </w:rPr>
              <w:t>II</w:t>
            </w:r>
            <w:r w:rsidRPr="003563E9">
              <w:rPr>
                <w:b/>
                <w:bCs/>
                <w:color w:val="000000"/>
                <w:lang w:val="en-GB" w:eastAsia="en-GB"/>
              </w:rPr>
              <w:t>=I-II) Core surplus balance remaining for future allocations</w:t>
            </w:r>
          </w:p>
        </w:tc>
        <w:tc>
          <w:tcPr>
            <w:tcW w:w="1134" w:type="dxa"/>
            <w:tcBorders>
              <w:top w:val="nil"/>
              <w:left w:val="nil"/>
              <w:bottom w:val="single" w:sz="4" w:space="0" w:color="auto"/>
              <w:right w:val="single" w:sz="4" w:space="0" w:color="auto"/>
            </w:tcBorders>
            <w:shd w:val="clear" w:color="000000" w:fill="8EA9DB"/>
            <w:noWrap/>
            <w:vAlign w:val="center"/>
            <w:hideMark/>
          </w:tcPr>
          <w:p w14:paraId="017EF10A" w14:textId="6FF0060B" w:rsidR="00AD079A" w:rsidRPr="003563E9" w:rsidRDefault="00AD079A" w:rsidP="002E00B9">
            <w:pPr>
              <w:widowControl/>
              <w:autoSpaceDE/>
              <w:autoSpaceDN/>
              <w:jc w:val="right"/>
              <w:rPr>
                <w:b/>
                <w:bCs/>
                <w:color w:val="000000"/>
                <w:lang w:val="en-GB" w:eastAsia="en-GB"/>
              </w:rPr>
            </w:pPr>
            <w:r w:rsidRPr="003563E9">
              <w:rPr>
                <w:b/>
                <w:bCs/>
                <w:color w:val="000000"/>
                <w:lang w:val="en-GB" w:eastAsia="en-GB"/>
              </w:rPr>
              <w:t>1,</w:t>
            </w:r>
            <w:r w:rsidR="00595B92" w:rsidRPr="003563E9">
              <w:rPr>
                <w:b/>
                <w:bCs/>
                <w:color w:val="000000"/>
                <w:lang w:val="en-GB" w:eastAsia="en-GB"/>
              </w:rPr>
              <w:t xml:space="preserve">326 </w:t>
            </w:r>
          </w:p>
        </w:tc>
      </w:tr>
    </w:tbl>
    <w:p w14:paraId="68DBD267" w14:textId="7F7F044C" w:rsidR="00AD079A" w:rsidRPr="003563E9" w:rsidRDefault="00AD079A" w:rsidP="00763865">
      <w:pPr>
        <w:widowControl/>
        <w:rPr>
          <w:color w:val="FF0000"/>
        </w:rPr>
      </w:pPr>
      <w:r w:rsidRPr="003563E9">
        <w:rPr>
          <w:color w:val="FF0000"/>
        </w:rPr>
        <w:t>*</w:t>
      </w:r>
      <w:r w:rsidR="000D3076" w:rsidRPr="003563E9">
        <w:rPr>
          <w:color w:val="FF0000"/>
        </w:rPr>
        <w:t xml:space="preserve"> </w:t>
      </w:r>
      <w:r w:rsidRPr="003563E9">
        <w:rPr>
          <w:color w:val="FF0000"/>
        </w:rPr>
        <w:t xml:space="preserve">Subject to outcome of discussions by the </w:t>
      </w:r>
      <w:r w:rsidR="00DC23F7" w:rsidRPr="003563E9">
        <w:rPr>
          <w:color w:val="FF0000"/>
        </w:rPr>
        <w:t xml:space="preserve">resumed </w:t>
      </w:r>
      <w:r w:rsidRPr="003563E9">
        <w:rPr>
          <w:color w:val="FF0000"/>
        </w:rPr>
        <w:t>SC</w:t>
      </w:r>
      <w:r w:rsidR="00DC23F7" w:rsidRPr="003563E9">
        <w:rPr>
          <w:color w:val="FF0000"/>
        </w:rPr>
        <w:t>59/</w:t>
      </w:r>
      <w:r w:rsidRPr="003563E9">
        <w:rPr>
          <w:color w:val="FF0000"/>
        </w:rPr>
        <w:t>2022</w:t>
      </w:r>
    </w:p>
    <w:p w14:paraId="7608C7AA" w14:textId="50EDCE1E" w:rsidR="00AD079A" w:rsidRPr="00763865" w:rsidRDefault="00AD079A" w:rsidP="00763865">
      <w:pPr>
        <w:widowControl/>
      </w:pPr>
      <w:r w:rsidRPr="003563E9">
        <w:t>** Any unused portion to be returned to the surplus for allocation at</w:t>
      </w:r>
      <w:r w:rsidRPr="00AD079A">
        <w:t xml:space="preserve"> the end of each year within 2023-2025 triennium</w:t>
      </w:r>
    </w:p>
    <w:p w14:paraId="6B8A46E5" w14:textId="77777777" w:rsidR="00763865" w:rsidRDefault="00763865" w:rsidP="0052223D">
      <w:pPr>
        <w:widowControl/>
        <w:rPr>
          <w:rFonts w:asciiTheme="minorHAnsi" w:hAnsiTheme="minorHAnsi" w:cstheme="minorHAnsi"/>
        </w:rPr>
      </w:pPr>
    </w:p>
    <w:p w14:paraId="63A53AED" w14:textId="77777777" w:rsidR="00356EEC" w:rsidRDefault="00356EEC" w:rsidP="00711D36">
      <w:pPr>
        <w:widowControl/>
        <w:rPr>
          <w:rFonts w:asciiTheme="minorHAnsi" w:hAnsiTheme="minorHAnsi" w:cstheme="minorHAnsi"/>
          <w:b/>
          <w:i/>
        </w:rPr>
      </w:pPr>
    </w:p>
    <w:p w14:paraId="54D28AFC" w14:textId="77777777" w:rsidR="00356EEC" w:rsidRPr="00DD6746" w:rsidRDefault="00356EEC" w:rsidP="00711D36">
      <w:pPr>
        <w:widowControl/>
        <w:rPr>
          <w:rFonts w:asciiTheme="minorHAnsi" w:hAnsiTheme="minorHAnsi" w:cstheme="minorHAnsi"/>
          <w:i/>
          <w:iCs/>
          <w:color w:val="0000FF"/>
          <w:lang w:eastAsia="ja-JP"/>
        </w:rPr>
      </w:pPr>
      <w:r w:rsidRPr="00DD6746">
        <w:rPr>
          <w:rFonts w:asciiTheme="minorHAnsi" w:hAnsiTheme="minorHAnsi" w:cstheme="minorHAnsi"/>
          <w:i/>
          <w:color w:val="0000FF"/>
        </w:rPr>
        <w:t>Recommendation</w:t>
      </w:r>
      <w:r w:rsidRPr="00DD6746">
        <w:rPr>
          <w:rFonts w:asciiTheme="minorHAnsi" w:hAnsiTheme="minorHAnsi" w:cstheme="minorHAnsi"/>
          <w:i/>
          <w:iCs/>
          <w:color w:val="0000FF"/>
          <w:lang w:eastAsia="ja-JP"/>
        </w:rPr>
        <w:t xml:space="preserve"> for decision by the Standing Committee:</w:t>
      </w:r>
    </w:p>
    <w:p w14:paraId="2C2ACD2D" w14:textId="77777777" w:rsidR="00356EEC" w:rsidRDefault="00356EEC" w:rsidP="00711D36">
      <w:pPr>
        <w:widowControl/>
        <w:rPr>
          <w:rFonts w:asciiTheme="minorHAnsi" w:hAnsiTheme="minorHAnsi" w:cstheme="minorHAnsi"/>
          <w:b/>
          <w:i/>
        </w:rPr>
      </w:pPr>
    </w:p>
    <w:p w14:paraId="010DF2D8" w14:textId="1DD3B3D1" w:rsidR="00356EEC" w:rsidRDefault="00356EEC" w:rsidP="00711D36">
      <w:pPr>
        <w:widowControl/>
        <w:rPr>
          <w:rFonts w:asciiTheme="minorHAnsi" w:hAnsiTheme="minorHAnsi" w:cstheme="minorHAnsi"/>
          <w:b/>
          <w:i/>
        </w:rPr>
      </w:pPr>
      <w:r w:rsidRPr="006302C1">
        <w:rPr>
          <w:rFonts w:asciiTheme="minorHAnsi" w:hAnsiTheme="minorHAnsi" w:cstheme="minorHAnsi"/>
          <w:b/>
          <w:i/>
        </w:rPr>
        <w:t>The Subgroup on Finance recommends that the Standing Committee:</w:t>
      </w:r>
    </w:p>
    <w:p w14:paraId="46B7FD19" w14:textId="207436C8" w:rsidR="000D3076" w:rsidRDefault="00F068B4" w:rsidP="00974A00">
      <w:pPr>
        <w:widowControl/>
        <w:ind w:left="426" w:hanging="426"/>
        <w:rPr>
          <w:rFonts w:asciiTheme="minorHAnsi" w:hAnsiTheme="minorHAnsi" w:cstheme="minorHAnsi"/>
          <w:b/>
          <w:i/>
        </w:rPr>
      </w:pPr>
      <w:r>
        <w:rPr>
          <w:rFonts w:asciiTheme="minorHAnsi" w:hAnsiTheme="minorHAnsi" w:cstheme="minorHAnsi"/>
          <w:b/>
          <w:i/>
        </w:rPr>
        <w:t>i.</w:t>
      </w:r>
      <w:r>
        <w:rPr>
          <w:rFonts w:asciiTheme="minorHAnsi" w:hAnsiTheme="minorHAnsi" w:cstheme="minorHAnsi"/>
          <w:b/>
          <w:i/>
        </w:rPr>
        <w:tab/>
      </w:r>
      <w:r w:rsidR="000D3076">
        <w:rPr>
          <w:rFonts w:asciiTheme="minorHAnsi" w:hAnsiTheme="minorHAnsi" w:cstheme="minorHAnsi"/>
          <w:b/>
          <w:i/>
        </w:rPr>
        <w:t>approve</w:t>
      </w:r>
      <w:r w:rsidR="000159B6" w:rsidRPr="00974A00">
        <w:rPr>
          <w:rFonts w:asciiTheme="minorHAnsi" w:hAnsiTheme="minorHAnsi" w:cstheme="minorHAnsi"/>
          <w:b/>
          <w:i/>
        </w:rPr>
        <w:t xml:space="preserve"> </w:t>
      </w:r>
      <w:r w:rsidR="000159B6" w:rsidRPr="003563E9">
        <w:rPr>
          <w:rFonts w:asciiTheme="minorHAnsi" w:hAnsiTheme="minorHAnsi" w:cstheme="minorHAnsi"/>
          <w:b/>
          <w:i/>
        </w:rPr>
        <w:t>allocation</w:t>
      </w:r>
      <w:r w:rsidR="000D3076" w:rsidRPr="003563E9">
        <w:rPr>
          <w:rFonts w:asciiTheme="minorHAnsi" w:hAnsiTheme="minorHAnsi" w:cstheme="minorHAnsi"/>
          <w:b/>
          <w:i/>
        </w:rPr>
        <w:t xml:space="preserve"> of 2021 surplus </w:t>
      </w:r>
      <w:r w:rsidR="000159B6" w:rsidRPr="003563E9">
        <w:rPr>
          <w:rFonts w:asciiTheme="minorHAnsi" w:hAnsiTheme="minorHAnsi" w:cstheme="minorHAnsi"/>
          <w:b/>
          <w:i/>
        </w:rPr>
        <w:t xml:space="preserve">and </w:t>
      </w:r>
      <w:r w:rsidR="00974A00" w:rsidRPr="003563E9">
        <w:rPr>
          <w:rFonts w:asciiTheme="minorHAnsi" w:hAnsiTheme="minorHAnsi" w:cstheme="minorHAnsi"/>
          <w:b/>
          <w:i/>
        </w:rPr>
        <w:t>approve</w:t>
      </w:r>
      <w:r w:rsidR="000159B6" w:rsidRPr="003563E9">
        <w:rPr>
          <w:rFonts w:asciiTheme="minorHAnsi" w:hAnsiTheme="minorHAnsi" w:cstheme="minorHAnsi"/>
          <w:b/>
          <w:i/>
        </w:rPr>
        <w:t xml:space="preserve"> option</w:t>
      </w:r>
      <w:r w:rsidR="00974A00" w:rsidRPr="003563E9">
        <w:rPr>
          <w:rFonts w:asciiTheme="minorHAnsi" w:hAnsiTheme="minorHAnsi" w:cstheme="minorHAnsi"/>
          <w:b/>
          <w:i/>
        </w:rPr>
        <w:t xml:space="preserve"> a</w:t>
      </w:r>
      <w:r w:rsidR="00763865" w:rsidRPr="003563E9">
        <w:rPr>
          <w:rFonts w:asciiTheme="minorHAnsi" w:hAnsiTheme="minorHAnsi" w:cstheme="minorHAnsi"/>
          <w:b/>
          <w:i/>
        </w:rPr>
        <w:t>)</w:t>
      </w:r>
      <w:r w:rsidR="00974A00" w:rsidRPr="003563E9">
        <w:rPr>
          <w:rFonts w:asciiTheme="minorHAnsi" w:hAnsiTheme="minorHAnsi" w:cstheme="minorHAnsi"/>
          <w:b/>
          <w:i/>
        </w:rPr>
        <w:t xml:space="preserve"> </w:t>
      </w:r>
      <w:r w:rsidR="000D3076" w:rsidRPr="003563E9">
        <w:rPr>
          <w:rFonts w:asciiTheme="minorHAnsi" w:hAnsiTheme="minorHAnsi" w:cstheme="minorHAnsi"/>
          <w:b/>
          <w:i/>
        </w:rPr>
        <w:t xml:space="preserve">to allocate CHF 228K to cover the budget gap as per the Resolution XIII.2, paragraph 15 </w:t>
      </w:r>
      <w:r w:rsidR="00974A00" w:rsidRPr="003563E9">
        <w:rPr>
          <w:rFonts w:asciiTheme="minorHAnsi" w:hAnsiTheme="minorHAnsi" w:cstheme="minorHAnsi"/>
          <w:b/>
          <w:i/>
          <w:color w:val="FF0000"/>
        </w:rPr>
        <w:t>and option b)</w:t>
      </w:r>
      <w:r w:rsidR="000D3076" w:rsidRPr="003563E9">
        <w:rPr>
          <w:rFonts w:asciiTheme="minorHAnsi" w:hAnsiTheme="minorHAnsi" w:cstheme="minorHAnsi"/>
          <w:b/>
          <w:i/>
          <w:color w:val="FF0000"/>
        </w:rPr>
        <w:t xml:space="preserve"> to allocate CHF 10K (tbc) for the review of resolutions</w:t>
      </w:r>
      <w:r w:rsidR="00974A00" w:rsidRPr="003563E9">
        <w:rPr>
          <w:rFonts w:asciiTheme="minorHAnsi" w:hAnsiTheme="minorHAnsi" w:cstheme="minorHAnsi"/>
          <w:b/>
          <w:i/>
          <w:color w:val="FF0000"/>
        </w:rPr>
        <w:t xml:space="preserve"> </w:t>
      </w:r>
      <w:r w:rsidR="006E54A5" w:rsidRPr="003563E9">
        <w:rPr>
          <w:rFonts w:asciiTheme="minorHAnsi" w:hAnsiTheme="minorHAnsi" w:cstheme="minorHAnsi"/>
          <w:b/>
          <w:i/>
          <w:color w:val="FF0000"/>
        </w:rPr>
        <w:t>subject to the approval</w:t>
      </w:r>
      <w:r w:rsidR="00974A00" w:rsidRPr="003563E9">
        <w:rPr>
          <w:rFonts w:asciiTheme="minorHAnsi" w:hAnsiTheme="minorHAnsi" w:cstheme="minorHAnsi"/>
          <w:b/>
          <w:i/>
          <w:color w:val="FF0000"/>
        </w:rPr>
        <w:t xml:space="preserve"> by the Standing Committee</w:t>
      </w:r>
      <w:r w:rsidR="00293327" w:rsidRPr="003563E9">
        <w:rPr>
          <w:rFonts w:asciiTheme="minorHAnsi" w:hAnsiTheme="minorHAnsi" w:cstheme="minorHAnsi"/>
          <w:b/>
          <w:i/>
          <w:color w:val="FF0000"/>
        </w:rPr>
        <w:t xml:space="preserve">, </w:t>
      </w:r>
      <w:r w:rsidR="000D3076" w:rsidRPr="003563E9">
        <w:rPr>
          <w:rFonts w:asciiTheme="minorHAnsi" w:hAnsiTheme="minorHAnsi" w:cstheme="minorHAnsi"/>
          <w:b/>
          <w:i/>
          <w:color w:val="FF0000"/>
        </w:rPr>
        <w:t xml:space="preserve">as </w:t>
      </w:r>
      <w:r w:rsidR="00293327" w:rsidRPr="003563E9">
        <w:rPr>
          <w:rFonts w:asciiTheme="minorHAnsi" w:hAnsiTheme="minorHAnsi" w:cstheme="minorHAnsi"/>
          <w:b/>
          <w:i/>
          <w:color w:val="FF0000"/>
        </w:rPr>
        <w:t>described</w:t>
      </w:r>
      <w:r w:rsidR="000D3076" w:rsidRPr="003563E9">
        <w:rPr>
          <w:rFonts w:asciiTheme="minorHAnsi" w:hAnsiTheme="minorHAnsi" w:cstheme="minorHAnsi"/>
          <w:b/>
          <w:i/>
          <w:color w:val="FF0000"/>
        </w:rPr>
        <w:t xml:space="preserve"> in paragraph 40 of the document SC59/2022 Doc. 8.1</w:t>
      </w:r>
      <w:r w:rsidRPr="00293327">
        <w:rPr>
          <w:rFonts w:asciiTheme="minorHAnsi" w:hAnsiTheme="minorHAnsi" w:cstheme="minorHAnsi"/>
          <w:b/>
          <w:i/>
        </w:rPr>
        <w:t>;</w:t>
      </w:r>
      <w:r>
        <w:rPr>
          <w:rFonts w:asciiTheme="minorHAnsi" w:hAnsiTheme="minorHAnsi" w:cstheme="minorHAnsi"/>
          <w:b/>
          <w:i/>
        </w:rPr>
        <w:t xml:space="preserve"> </w:t>
      </w:r>
    </w:p>
    <w:p w14:paraId="69A86F62" w14:textId="0D2F278E" w:rsidR="000159B6" w:rsidRDefault="000D3076" w:rsidP="00974A00">
      <w:pPr>
        <w:widowControl/>
        <w:ind w:left="426" w:hanging="426"/>
        <w:rPr>
          <w:rFonts w:asciiTheme="minorHAnsi" w:hAnsiTheme="minorHAnsi" w:cstheme="minorHAnsi"/>
          <w:b/>
          <w:i/>
        </w:rPr>
      </w:pPr>
      <w:r>
        <w:rPr>
          <w:rFonts w:asciiTheme="minorHAnsi" w:hAnsiTheme="minorHAnsi" w:cstheme="minorHAnsi"/>
          <w:b/>
          <w:i/>
        </w:rPr>
        <w:t>ii.</w:t>
      </w:r>
      <w:r>
        <w:rPr>
          <w:rFonts w:asciiTheme="minorHAnsi" w:hAnsiTheme="minorHAnsi" w:cstheme="minorHAnsi"/>
          <w:b/>
          <w:i/>
        </w:rPr>
        <w:tab/>
      </w:r>
      <w:r w:rsidR="00293327">
        <w:rPr>
          <w:rFonts w:asciiTheme="minorHAnsi" w:hAnsiTheme="minorHAnsi" w:cstheme="minorHAnsi"/>
          <w:b/>
          <w:i/>
        </w:rPr>
        <w:t>approve</w:t>
      </w:r>
      <w:r w:rsidR="00293327" w:rsidRPr="00974A00">
        <w:rPr>
          <w:rFonts w:asciiTheme="minorHAnsi" w:hAnsiTheme="minorHAnsi" w:cstheme="minorHAnsi"/>
          <w:b/>
          <w:i/>
        </w:rPr>
        <w:t xml:space="preserve"> allocation</w:t>
      </w:r>
      <w:r w:rsidR="00293327">
        <w:rPr>
          <w:rFonts w:asciiTheme="minorHAnsi" w:hAnsiTheme="minorHAnsi" w:cstheme="minorHAnsi"/>
          <w:b/>
          <w:i/>
        </w:rPr>
        <w:t xml:space="preserve"> of 2021 surplus</w:t>
      </w:r>
      <w:r w:rsidR="00293327" w:rsidRPr="00293327">
        <w:t xml:space="preserve"> </w:t>
      </w:r>
      <w:r w:rsidR="00293327">
        <w:rPr>
          <w:rFonts w:asciiTheme="minorHAnsi" w:hAnsiTheme="minorHAnsi" w:cstheme="minorHAnsi"/>
          <w:b/>
          <w:i/>
        </w:rPr>
        <w:t>of CHF 360K f</w:t>
      </w:r>
      <w:r w:rsidR="00293327" w:rsidRPr="00293327">
        <w:rPr>
          <w:rFonts w:asciiTheme="minorHAnsi" w:hAnsiTheme="minorHAnsi" w:cstheme="minorHAnsi"/>
          <w:b/>
          <w:i/>
        </w:rPr>
        <w:t xml:space="preserve">or the increase of outstanding provisions </w:t>
      </w:r>
      <w:r w:rsidR="00293327">
        <w:rPr>
          <w:rFonts w:asciiTheme="minorHAnsi" w:hAnsiTheme="minorHAnsi" w:cstheme="minorHAnsi"/>
          <w:b/>
          <w:i/>
        </w:rPr>
        <w:t xml:space="preserve">in 2023-2025 triennium </w:t>
      </w:r>
      <w:r w:rsidR="00293327" w:rsidRPr="00293327">
        <w:rPr>
          <w:rFonts w:asciiTheme="minorHAnsi" w:hAnsiTheme="minorHAnsi" w:cstheme="minorHAnsi"/>
          <w:b/>
          <w:i/>
        </w:rPr>
        <w:t xml:space="preserve">with the condition that any unused portion be returned to the surplus for </w:t>
      </w:r>
      <w:r w:rsidR="00293327">
        <w:rPr>
          <w:rFonts w:asciiTheme="minorHAnsi" w:hAnsiTheme="minorHAnsi" w:cstheme="minorHAnsi"/>
          <w:b/>
          <w:i/>
        </w:rPr>
        <w:t xml:space="preserve">further </w:t>
      </w:r>
      <w:r w:rsidR="00293327" w:rsidRPr="00293327">
        <w:rPr>
          <w:rFonts w:asciiTheme="minorHAnsi" w:hAnsiTheme="minorHAnsi" w:cstheme="minorHAnsi"/>
          <w:b/>
          <w:i/>
        </w:rPr>
        <w:t>allocation at the end of each year within 2023-2025 triennium</w:t>
      </w:r>
      <w:r>
        <w:rPr>
          <w:rFonts w:asciiTheme="minorHAnsi" w:hAnsiTheme="minorHAnsi" w:cstheme="minorHAnsi"/>
          <w:b/>
          <w:i/>
        </w:rPr>
        <w:t xml:space="preserve">; </w:t>
      </w:r>
      <w:r w:rsidR="00F068B4">
        <w:rPr>
          <w:rFonts w:asciiTheme="minorHAnsi" w:hAnsiTheme="minorHAnsi" w:cstheme="minorHAnsi"/>
          <w:b/>
          <w:i/>
        </w:rPr>
        <w:t>and</w:t>
      </w:r>
    </w:p>
    <w:p w14:paraId="2FF943F5" w14:textId="25665885" w:rsidR="00AB178F" w:rsidRDefault="00F068B4" w:rsidP="00254B41">
      <w:pPr>
        <w:widowControl/>
        <w:ind w:left="426" w:hanging="426"/>
        <w:rPr>
          <w:rFonts w:asciiTheme="minorHAnsi" w:hAnsiTheme="minorHAnsi" w:cstheme="minorHAnsi"/>
          <w:b/>
          <w:i/>
        </w:rPr>
      </w:pPr>
      <w:r w:rsidRPr="00F068B4">
        <w:rPr>
          <w:rFonts w:asciiTheme="minorHAnsi" w:hAnsiTheme="minorHAnsi" w:cstheme="minorHAnsi"/>
          <w:b/>
          <w:i/>
        </w:rPr>
        <w:t>ii</w:t>
      </w:r>
      <w:r w:rsidR="000D3076">
        <w:rPr>
          <w:rFonts w:asciiTheme="minorHAnsi" w:hAnsiTheme="minorHAnsi" w:cstheme="minorHAnsi"/>
          <w:b/>
          <w:i/>
        </w:rPr>
        <w:t>i</w:t>
      </w:r>
      <w:r w:rsidRPr="00F068B4">
        <w:rPr>
          <w:rFonts w:asciiTheme="minorHAnsi" w:hAnsiTheme="minorHAnsi" w:cstheme="minorHAnsi"/>
          <w:b/>
          <w:i/>
        </w:rPr>
        <w:t xml:space="preserve">. </w:t>
      </w:r>
      <w:r>
        <w:rPr>
          <w:rFonts w:asciiTheme="minorHAnsi" w:hAnsiTheme="minorHAnsi" w:cstheme="minorHAnsi"/>
          <w:b/>
          <w:i/>
        </w:rPr>
        <w:tab/>
      </w:r>
      <w:r w:rsidRPr="00F068B4">
        <w:rPr>
          <w:rFonts w:asciiTheme="minorHAnsi" w:hAnsiTheme="minorHAnsi" w:cstheme="minorHAnsi"/>
          <w:b/>
          <w:i/>
        </w:rPr>
        <w:t>note the intersessional allocation of funds to adjust to the ExCOP3-approved core budget for</w:t>
      </w:r>
      <w:r>
        <w:rPr>
          <w:rFonts w:asciiTheme="minorHAnsi" w:hAnsiTheme="minorHAnsi" w:cstheme="minorHAnsi"/>
          <w:b/>
          <w:i/>
        </w:rPr>
        <w:t xml:space="preserve"> </w:t>
      </w:r>
      <w:r w:rsidRPr="00F068B4">
        <w:rPr>
          <w:rFonts w:asciiTheme="minorHAnsi" w:hAnsiTheme="minorHAnsi" w:cstheme="minorHAnsi"/>
          <w:b/>
          <w:i/>
        </w:rPr>
        <w:t>2022, as described in paragraph</w:t>
      </w:r>
      <w:r w:rsidR="00D869E7">
        <w:rPr>
          <w:rFonts w:asciiTheme="minorHAnsi" w:hAnsiTheme="minorHAnsi" w:cstheme="minorHAnsi"/>
          <w:b/>
          <w:i/>
        </w:rPr>
        <w:t>s</w:t>
      </w:r>
      <w:r w:rsidRPr="00F068B4">
        <w:rPr>
          <w:rFonts w:asciiTheme="minorHAnsi" w:hAnsiTheme="minorHAnsi" w:cstheme="minorHAnsi"/>
          <w:b/>
          <w:i/>
        </w:rPr>
        <w:t xml:space="preserve"> 22</w:t>
      </w:r>
      <w:r w:rsidR="00CE0166">
        <w:rPr>
          <w:rFonts w:asciiTheme="minorHAnsi" w:hAnsiTheme="minorHAnsi" w:cstheme="minorHAnsi"/>
          <w:b/>
          <w:i/>
        </w:rPr>
        <w:t xml:space="preserve"> and 38 </w:t>
      </w:r>
      <w:r w:rsidR="006E54A5">
        <w:rPr>
          <w:rFonts w:asciiTheme="minorHAnsi" w:hAnsiTheme="minorHAnsi" w:cstheme="minorHAnsi"/>
          <w:b/>
          <w:i/>
        </w:rPr>
        <w:t xml:space="preserve">of </w:t>
      </w:r>
      <w:r w:rsidR="00CE0166" w:rsidRPr="00CE0166">
        <w:rPr>
          <w:rFonts w:asciiTheme="minorHAnsi" w:hAnsiTheme="minorHAnsi" w:cstheme="minorHAnsi"/>
          <w:b/>
          <w:i/>
        </w:rPr>
        <w:t>document SC59/2022 Doc 8.1</w:t>
      </w:r>
      <w:r>
        <w:rPr>
          <w:rFonts w:asciiTheme="minorHAnsi" w:hAnsiTheme="minorHAnsi" w:cstheme="minorHAnsi"/>
          <w:b/>
          <w:i/>
        </w:rPr>
        <w:t>.</w:t>
      </w:r>
      <w:r w:rsidR="00254B41">
        <w:rPr>
          <w:rFonts w:asciiTheme="minorHAnsi" w:hAnsiTheme="minorHAnsi" w:cstheme="minorHAnsi"/>
          <w:b/>
          <w:i/>
        </w:rPr>
        <w:t xml:space="preserve"> and </w:t>
      </w:r>
      <w:r w:rsidR="00261AFB">
        <w:rPr>
          <w:rFonts w:asciiTheme="minorHAnsi" w:hAnsiTheme="minorHAnsi" w:cstheme="minorHAnsi"/>
          <w:b/>
          <w:i/>
        </w:rPr>
        <w:t xml:space="preserve">as presented in Annex 1 of </w:t>
      </w:r>
      <w:r w:rsidR="00E15918">
        <w:rPr>
          <w:rFonts w:asciiTheme="minorHAnsi" w:hAnsiTheme="minorHAnsi" w:cstheme="minorHAnsi"/>
          <w:b/>
          <w:i/>
        </w:rPr>
        <w:t xml:space="preserve">the present </w:t>
      </w:r>
      <w:r w:rsidR="00261AFB">
        <w:rPr>
          <w:rFonts w:asciiTheme="minorHAnsi" w:hAnsiTheme="minorHAnsi" w:cstheme="minorHAnsi"/>
          <w:b/>
          <w:i/>
        </w:rPr>
        <w:t>report.</w:t>
      </w:r>
    </w:p>
    <w:p w14:paraId="15486EF7" w14:textId="77777777" w:rsidR="00AB178F" w:rsidRDefault="00AB178F">
      <w:pPr>
        <w:widowControl/>
        <w:autoSpaceDE/>
        <w:autoSpaceDN/>
        <w:spacing w:after="160" w:line="259" w:lineRule="auto"/>
        <w:rPr>
          <w:rFonts w:asciiTheme="minorHAnsi" w:hAnsiTheme="minorHAnsi" w:cstheme="minorHAnsi"/>
          <w:b/>
          <w:i/>
        </w:rPr>
      </w:pPr>
      <w:r>
        <w:rPr>
          <w:rFonts w:asciiTheme="minorHAnsi" w:hAnsiTheme="minorHAnsi" w:cstheme="minorHAnsi"/>
          <w:b/>
          <w:i/>
        </w:rPr>
        <w:br w:type="page"/>
      </w:r>
    </w:p>
    <w:p w14:paraId="53625FE2" w14:textId="77777777" w:rsidR="00AB178F" w:rsidRDefault="00AB178F" w:rsidP="00AB178F">
      <w:pPr>
        <w:rPr>
          <w:rFonts w:asciiTheme="minorHAnsi" w:hAnsiTheme="minorHAnsi" w:cs="Arial"/>
          <w:b/>
          <w:bCs/>
          <w:sz w:val="24"/>
          <w:szCs w:val="24"/>
          <w:lang w:eastAsia="en-GB"/>
        </w:rPr>
        <w:sectPr w:rsidR="00AB178F" w:rsidSect="00591472">
          <w:footerReference w:type="default" r:id="rId11"/>
          <w:pgSz w:w="11906" w:h="16838"/>
          <w:pgMar w:top="1440" w:right="1440" w:bottom="1440" w:left="1440" w:header="708" w:footer="708" w:gutter="0"/>
          <w:cols w:space="708"/>
          <w:titlePg/>
          <w:docGrid w:linePitch="360"/>
        </w:sectPr>
      </w:pPr>
    </w:p>
    <w:p w14:paraId="3D3A271A" w14:textId="195B01D7" w:rsidR="00AB178F" w:rsidRPr="00861214" w:rsidRDefault="00AB178F" w:rsidP="00AB178F">
      <w:pPr>
        <w:rPr>
          <w:rFonts w:asciiTheme="minorHAnsi" w:hAnsiTheme="minorHAnsi" w:cs="Arial"/>
          <w:b/>
          <w:bCs/>
          <w:sz w:val="24"/>
          <w:szCs w:val="24"/>
          <w:lang w:eastAsia="en-GB"/>
        </w:rPr>
      </w:pPr>
      <w:r w:rsidRPr="00861214">
        <w:rPr>
          <w:rFonts w:asciiTheme="minorHAnsi" w:hAnsiTheme="minorHAnsi" w:cs="Arial"/>
          <w:b/>
          <w:bCs/>
          <w:sz w:val="24"/>
          <w:szCs w:val="24"/>
          <w:lang w:eastAsia="en-GB"/>
        </w:rPr>
        <w:lastRenderedPageBreak/>
        <w:t xml:space="preserve">Annex </w:t>
      </w:r>
      <w:r>
        <w:rPr>
          <w:rFonts w:asciiTheme="minorHAnsi" w:hAnsiTheme="minorHAnsi" w:cs="Arial"/>
          <w:b/>
          <w:bCs/>
          <w:sz w:val="24"/>
          <w:szCs w:val="24"/>
          <w:lang w:eastAsia="en-GB"/>
        </w:rPr>
        <w:t>1 to the Report of the Subgroup on Finance</w:t>
      </w:r>
    </w:p>
    <w:p w14:paraId="7AFAF7EB" w14:textId="77777777" w:rsidR="00AB178F" w:rsidRPr="00861214" w:rsidRDefault="00AB178F" w:rsidP="00AB178F">
      <w:pPr>
        <w:rPr>
          <w:rFonts w:asciiTheme="minorHAnsi" w:hAnsiTheme="minorHAnsi" w:cs="Arial"/>
          <w:b/>
          <w:bCs/>
          <w:sz w:val="24"/>
          <w:szCs w:val="24"/>
          <w:lang w:eastAsia="en-GB"/>
        </w:rPr>
      </w:pPr>
      <w:r w:rsidRPr="00861214">
        <w:rPr>
          <w:rFonts w:asciiTheme="minorHAnsi" w:hAnsiTheme="minorHAnsi" w:cs="Arial"/>
          <w:b/>
          <w:bCs/>
          <w:sz w:val="24"/>
          <w:szCs w:val="24"/>
          <w:lang w:eastAsia="en-GB"/>
        </w:rPr>
        <w:t xml:space="preserve">Core Budget 2022 </w:t>
      </w:r>
    </w:p>
    <w:p w14:paraId="0905ECA8" w14:textId="77777777" w:rsidR="00AB178F" w:rsidRDefault="00AB178F" w:rsidP="00AB178F">
      <w:pPr>
        <w:rPr>
          <w:rFonts w:asciiTheme="minorHAnsi" w:hAnsiTheme="minorHAnsi" w:cs="Arial"/>
          <w:bCs/>
          <w:i/>
          <w:sz w:val="20"/>
          <w:szCs w:val="20"/>
          <w:lang w:eastAsia="en-GB"/>
        </w:rPr>
      </w:pPr>
      <w:r w:rsidRPr="00861214">
        <w:rPr>
          <w:rFonts w:asciiTheme="minorHAnsi" w:hAnsiTheme="minorHAnsi" w:cs="Arial"/>
          <w:bCs/>
          <w:i/>
          <w:sz w:val="20"/>
          <w:szCs w:val="20"/>
          <w:lang w:eastAsia="en-GB"/>
        </w:rPr>
        <w:t>(CHF ‘000s, includes possible rounding differences)</w:t>
      </w:r>
    </w:p>
    <w:p w14:paraId="4354AD4B" w14:textId="77777777" w:rsidR="00AB178F" w:rsidRPr="00861214" w:rsidRDefault="00AB178F" w:rsidP="00AB178F">
      <w:pPr>
        <w:rPr>
          <w:rFonts w:asciiTheme="minorHAnsi" w:hAnsiTheme="minorHAnsi" w:cs="Arial"/>
          <w:bCs/>
          <w:i/>
          <w:sz w:val="20"/>
          <w:szCs w:val="20"/>
          <w:lang w:eastAsia="en-GB"/>
        </w:rPr>
      </w:pPr>
    </w:p>
    <w:tbl>
      <w:tblPr>
        <w:tblW w:w="12132" w:type="dxa"/>
        <w:tblLook w:val="04A0" w:firstRow="1" w:lastRow="0" w:firstColumn="1" w:lastColumn="0" w:noHBand="0" w:noVBand="1"/>
      </w:tblPr>
      <w:tblGrid>
        <w:gridCol w:w="4962"/>
        <w:gridCol w:w="1291"/>
        <w:gridCol w:w="1252"/>
        <w:gridCol w:w="1271"/>
        <w:gridCol w:w="1555"/>
        <w:gridCol w:w="1801"/>
      </w:tblGrid>
      <w:tr w:rsidR="00AB178F" w:rsidRPr="00861214" w14:paraId="3CEA3096" w14:textId="77777777" w:rsidTr="003563E9">
        <w:trPr>
          <w:trHeight w:val="1260"/>
          <w:tblHeader/>
        </w:trPr>
        <w:tc>
          <w:tcPr>
            <w:tcW w:w="4962" w:type="dxa"/>
            <w:tcBorders>
              <w:top w:val="single" w:sz="4" w:space="0" w:color="auto"/>
              <w:left w:val="single" w:sz="4" w:space="0" w:color="auto"/>
              <w:bottom w:val="nil"/>
              <w:right w:val="nil"/>
            </w:tcBorders>
            <w:shd w:val="clear" w:color="auto" w:fill="E2EFD9" w:themeFill="accent6" w:themeFillTint="33"/>
            <w:vAlign w:val="center"/>
            <w:hideMark/>
          </w:tcPr>
          <w:p w14:paraId="2288DBEE" w14:textId="77777777" w:rsidR="00AB178F" w:rsidRPr="00861214" w:rsidRDefault="00AB178F" w:rsidP="00AB178F">
            <w:pPr>
              <w:jc w:val="center"/>
              <w:rPr>
                <w:b/>
                <w:bCs/>
                <w:sz w:val="20"/>
                <w:szCs w:val="20"/>
                <w:lang w:eastAsia="en-GB"/>
              </w:rPr>
            </w:pPr>
            <w:r w:rsidRPr="00861214">
              <w:rPr>
                <w:b/>
                <w:bCs/>
                <w:sz w:val="20"/>
                <w:szCs w:val="20"/>
                <w:lang w:eastAsia="en-GB"/>
              </w:rPr>
              <w:t>2022 Ramsar Budget</w:t>
            </w:r>
            <w:r w:rsidRPr="00861214">
              <w:rPr>
                <w:b/>
                <w:bCs/>
                <w:sz w:val="20"/>
                <w:szCs w:val="20"/>
                <w:lang w:eastAsia="en-GB"/>
              </w:rPr>
              <w:br/>
            </w:r>
            <w:r w:rsidRPr="00861214">
              <w:rPr>
                <w:b/>
                <w:bCs/>
                <w:sz w:val="20"/>
                <w:szCs w:val="20"/>
                <w:lang w:eastAsia="en-GB"/>
              </w:rPr>
              <w:br/>
              <w:t>ExCOP3 Approved</w:t>
            </w:r>
          </w:p>
        </w:tc>
        <w:tc>
          <w:tcPr>
            <w:tcW w:w="1291" w:type="dxa"/>
            <w:tcBorders>
              <w:top w:val="single" w:sz="4" w:space="0" w:color="auto"/>
              <w:left w:val="single" w:sz="4" w:space="0" w:color="auto"/>
              <w:bottom w:val="nil"/>
              <w:right w:val="single" w:sz="4" w:space="0" w:color="auto"/>
            </w:tcBorders>
            <w:shd w:val="clear" w:color="auto" w:fill="E2EFD9" w:themeFill="accent6" w:themeFillTint="33"/>
            <w:vAlign w:val="center"/>
            <w:hideMark/>
          </w:tcPr>
          <w:p w14:paraId="776A1073" w14:textId="77777777" w:rsidR="00AB178F" w:rsidRPr="00861214" w:rsidRDefault="00AB178F" w:rsidP="00AB178F">
            <w:pPr>
              <w:jc w:val="center"/>
              <w:rPr>
                <w:b/>
                <w:bCs/>
                <w:sz w:val="20"/>
                <w:szCs w:val="20"/>
                <w:lang w:eastAsia="en-GB"/>
              </w:rPr>
            </w:pPr>
            <w:r w:rsidRPr="00861214">
              <w:rPr>
                <w:b/>
                <w:bCs/>
                <w:sz w:val="20"/>
                <w:szCs w:val="20"/>
                <w:lang w:eastAsia="en-GB"/>
              </w:rPr>
              <w:t>Approved budget (ExCOP3-approved)</w:t>
            </w:r>
          </w:p>
        </w:tc>
        <w:tc>
          <w:tcPr>
            <w:tcW w:w="1252" w:type="dxa"/>
            <w:tcBorders>
              <w:top w:val="single" w:sz="4" w:space="0" w:color="auto"/>
              <w:left w:val="nil"/>
              <w:bottom w:val="nil"/>
              <w:right w:val="single" w:sz="4" w:space="0" w:color="auto"/>
            </w:tcBorders>
            <w:shd w:val="clear" w:color="auto" w:fill="E2EFD9" w:themeFill="accent6" w:themeFillTint="33"/>
            <w:vAlign w:val="center"/>
            <w:hideMark/>
          </w:tcPr>
          <w:p w14:paraId="3B06078F" w14:textId="77777777" w:rsidR="00AB178F" w:rsidRPr="00861214" w:rsidRDefault="00AB178F" w:rsidP="00AB178F">
            <w:pPr>
              <w:jc w:val="center"/>
              <w:rPr>
                <w:b/>
                <w:bCs/>
                <w:sz w:val="20"/>
                <w:szCs w:val="20"/>
                <w:lang w:eastAsia="en-GB"/>
              </w:rPr>
            </w:pPr>
            <w:r w:rsidRPr="00861214">
              <w:rPr>
                <w:b/>
                <w:bCs/>
                <w:sz w:val="20"/>
                <w:szCs w:val="20"/>
                <w:lang w:eastAsia="en-GB"/>
              </w:rPr>
              <w:t>SC59 authorised use of 2020 budget savings (ExCOP3 approved)</w:t>
            </w:r>
          </w:p>
        </w:tc>
        <w:tc>
          <w:tcPr>
            <w:tcW w:w="1271" w:type="dxa"/>
            <w:tcBorders>
              <w:top w:val="single" w:sz="4" w:space="0" w:color="auto"/>
              <w:left w:val="single" w:sz="4" w:space="0" w:color="auto"/>
              <w:right w:val="single" w:sz="4" w:space="0" w:color="auto"/>
            </w:tcBorders>
            <w:shd w:val="clear" w:color="auto" w:fill="E2EFD9" w:themeFill="accent6" w:themeFillTint="33"/>
            <w:vAlign w:val="center"/>
            <w:hideMark/>
          </w:tcPr>
          <w:p w14:paraId="715CD57C" w14:textId="77777777" w:rsidR="00AB178F" w:rsidRPr="00861214" w:rsidRDefault="00AB178F" w:rsidP="00AB178F">
            <w:pPr>
              <w:jc w:val="center"/>
              <w:rPr>
                <w:b/>
                <w:bCs/>
                <w:sz w:val="20"/>
                <w:szCs w:val="20"/>
                <w:lang w:eastAsia="en-GB"/>
              </w:rPr>
            </w:pPr>
            <w:r w:rsidRPr="00861214">
              <w:rPr>
                <w:b/>
                <w:bCs/>
                <w:sz w:val="20"/>
                <w:szCs w:val="20"/>
                <w:lang w:eastAsia="en-GB"/>
              </w:rPr>
              <w:t>Pre-committed 2021 to be spent in 2022</w:t>
            </w:r>
          </w:p>
        </w:tc>
        <w:tc>
          <w:tcPr>
            <w:tcW w:w="1555" w:type="dxa"/>
            <w:tcBorders>
              <w:top w:val="single" w:sz="4" w:space="0" w:color="auto"/>
              <w:left w:val="single" w:sz="4" w:space="0" w:color="auto"/>
              <w:right w:val="single" w:sz="4" w:space="0" w:color="auto"/>
            </w:tcBorders>
            <w:shd w:val="clear" w:color="auto" w:fill="E2EFD9" w:themeFill="accent6" w:themeFillTint="33"/>
            <w:vAlign w:val="center"/>
            <w:hideMark/>
          </w:tcPr>
          <w:p w14:paraId="1176DC67" w14:textId="77777777" w:rsidR="00AB178F" w:rsidRPr="0051214A" w:rsidRDefault="00AB178F" w:rsidP="0051214A">
            <w:pPr>
              <w:widowControl/>
              <w:autoSpaceDE/>
              <w:autoSpaceDN/>
              <w:jc w:val="center"/>
              <w:rPr>
                <w:b/>
                <w:bCs/>
                <w:sz w:val="20"/>
                <w:szCs w:val="20"/>
                <w:lang w:val="en-GB" w:eastAsia="en-GB"/>
              </w:rPr>
            </w:pPr>
            <w:r w:rsidRPr="0051214A">
              <w:rPr>
                <w:b/>
                <w:bCs/>
                <w:sz w:val="20"/>
                <w:szCs w:val="20"/>
                <w:lang w:val="en-GB" w:eastAsia="en-GB"/>
              </w:rPr>
              <w:t>SC59/2022 adjustments to 2022 ExCOP3 approved budget</w:t>
            </w:r>
          </w:p>
        </w:tc>
        <w:tc>
          <w:tcPr>
            <w:tcW w:w="1801" w:type="dxa"/>
            <w:tcBorders>
              <w:top w:val="single" w:sz="4" w:space="0" w:color="auto"/>
              <w:left w:val="single" w:sz="4" w:space="0" w:color="auto"/>
              <w:right w:val="single" w:sz="4" w:space="0" w:color="auto"/>
            </w:tcBorders>
            <w:shd w:val="clear" w:color="auto" w:fill="E2EFD9" w:themeFill="accent6" w:themeFillTint="33"/>
            <w:vAlign w:val="center"/>
            <w:hideMark/>
          </w:tcPr>
          <w:p w14:paraId="17F213B1" w14:textId="77777777" w:rsidR="00AB178F" w:rsidRPr="0051214A" w:rsidRDefault="00AB178F" w:rsidP="0051214A">
            <w:pPr>
              <w:widowControl/>
              <w:autoSpaceDE/>
              <w:autoSpaceDN/>
              <w:jc w:val="center"/>
              <w:rPr>
                <w:b/>
                <w:bCs/>
                <w:sz w:val="20"/>
                <w:szCs w:val="20"/>
                <w:lang w:val="en-GB" w:eastAsia="en-GB"/>
              </w:rPr>
            </w:pPr>
            <w:r w:rsidRPr="0051214A">
              <w:rPr>
                <w:b/>
                <w:bCs/>
                <w:sz w:val="20"/>
                <w:szCs w:val="20"/>
                <w:lang w:val="en-GB" w:eastAsia="en-GB"/>
              </w:rPr>
              <w:t>Total 2022 budget</w:t>
            </w:r>
          </w:p>
        </w:tc>
      </w:tr>
      <w:tr w:rsidR="00AB178F" w:rsidRPr="00861214" w14:paraId="3BD5B4AD" w14:textId="77777777" w:rsidTr="003563E9">
        <w:trPr>
          <w:trHeight w:val="360"/>
          <w:tblHeader/>
        </w:trPr>
        <w:tc>
          <w:tcPr>
            <w:tcW w:w="4962" w:type="dxa"/>
            <w:tcBorders>
              <w:top w:val="nil"/>
              <w:left w:val="single" w:sz="4" w:space="0" w:color="auto"/>
              <w:bottom w:val="nil"/>
              <w:right w:val="nil"/>
            </w:tcBorders>
            <w:shd w:val="clear" w:color="auto" w:fill="E2EFD9" w:themeFill="accent6" w:themeFillTint="33"/>
            <w:vAlign w:val="center"/>
            <w:hideMark/>
          </w:tcPr>
          <w:p w14:paraId="7F56C8AC" w14:textId="77777777" w:rsidR="00AB178F" w:rsidRPr="00861214" w:rsidRDefault="00AB178F" w:rsidP="00AB178F">
            <w:pPr>
              <w:jc w:val="center"/>
              <w:rPr>
                <w:b/>
                <w:bCs/>
                <w:color w:val="000000"/>
                <w:sz w:val="20"/>
                <w:szCs w:val="20"/>
                <w:lang w:eastAsia="en-GB"/>
              </w:rPr>
            </w:pPr>
            <w:r w:rsidRPr="00861214">
              <w:rPr>
                <w:b/>
                <w:bCs/>
                <w:color w:val="000000"/>
                <w:sz w:val="20"/>
                <w:szCs w:val="20"/>
                <w:lang w:eastAsia="en-GB"/>
              </w:rPr>
              <w:t>CHF ‘000s</w:t>
            </w:r>
          </w:p>
        </w:tc>
        <w:tc>
          <w:tcPr>
            <w:tcW w:w="1291" w:type="dxa"/>
            <w:vMerge w:val="restart"/>
            <w:tcBorders>
              <w:top w:val="nil"/>
              <w:left w:val="single" w:sz="4" w:space="0" w:color="auto"/>
              <w:bottom w:val="single" w:sz="4" w:space="0" w:color="000000"/>
              <w:right w:val="single" w:sz="4" w:space="0" w:color="auto"/>
            </w:tcBorders>
            <w:shd w:val="clear" w:color="auto" w:fill="E2EFD9" w:themeFill="accent6" w:themeFillTint="33"/>
            <w:vAlign w:val="center"/>
            <w:hideMark/>
          </w:tcPr>
          <w:p w14:paraId="3F5D7B0D" w14:textId="77777777" w:rsidR="00AB178F" w:rsidRPr="00861214" w:rsidRDefault="00AB178F" w:rsidP="00AB178F">
            <w:pPr>
              <w:jc w:val="center"/>
              <w:rPr>
                <w:b/>
                <w:bCs/>
                <w:color w:val="000000"/>
                <w:sz w:val="20"/>
                <w:szCs w:val="20"/>
                <w:lang w:eastAsia="en-GB"/>
              </w:rPr>
            </w:pPr>
            <w:r w:rsidRPr="00861214">
              <w:rPr>
                <w:b/>
                <w:bCs/>
                <w:color w:val="000000"/>
                <w:sz w:val="20"/>
                <w:szCs w:val="20"/>
                <w:lang w:eastAsia="en-GB"/>
              </w:rPr>
              <w:t>(A)</w:t>
            </w:r>
          </w:p>
        </w:tc>
        <w:tc>
          <w:tcPr>
            <w:tcW w:w="1252" w:type="dxa"/>
            <w:vMerge w:val="restart"/>
            <w:tcBorders>
              <w:top w:val="nil"/>
              <w:left w:val="single" w:sz="4" w:space="0" w:color="auto"/>
              <w:bottom w:val="single" w:sz="4" w:space="0" w:color="000000"/>
              <w:right w:val="single" w:sz="4" w:space="0" w:color="auto"/>
            </w:tcBorders>
            <w:shd w:val="clear" w:color="auto" w:fill="E2EFD9" w:themeFill="accent6" w:themeFillTint="33"/>
            <w:vAlign w:val="center"/>
            <w:hideMark/>
          </w:tcPr>
          <w:p w14:paraId="00467246" w14:textId="77777777" w:rsidR="00AB178F" w:rsidRPr="00861214" w:rsidRDefault="00AB178F" w:rsidP="00AB178F">
            <w:pPr>
              <w:jc w:val="center"/>
              <w:rPr>
                <w:b/>
                <w:bCs/>
                <w:color w:val="000000"/>
                <w:sz w:val="20"/>
                <w:szCs w:val="20"/>
                <w:lang w:eastAsia="en-GB"/>
              </w:rPr>
            </w:pPr>
            <w:r w:rsidRPr="00861214">
              <w:rPr>
                <w:b/>
                <w:bCs/>
                <w:color w:val="000000"/>
                <w:sz w:val="20"/>
                <w:szCs w:val="20"/>
                <w:lang w:eastAsia="en-GB"/>
              </w:rPr>
              <w:t>(B)</w:t>
            </w:r>
          </w:p>
        </w:tc>
        <w:tc>
          <w:tcPr>
            <w:tcW w:w="1271" w:type="dxa"/>
            <w:vMerge w:val="restart"/>
            <w:tcBorders>
              <w:top w:val="nil"/>
              <w:left w:val="single" w:sz="4" w:space="0" w:color="auto"/>
              <w:bottom w:val="single" w:sz="4" w:space="0" w:color="000000"/>
              <w:right w:val="single" w:sz="4" w:space="0" w:color="auto"/>
            </w:tcBorders>
            <w:shd w:val="clear" w:color="auto" w:fill="E2EFD9" w:themeFill="accent6" w:themeFillTint="33"/>
            <w:vAlign w:val="center"/>
            <w:hideMark/>
          </w:tcPr>
          <w:p w14:paraId="299AA506" w14:textId="77777777" w:rsidR="00AB178F" w:rsidRPr="00861214" w:rsidRDefault="00AB178F" w:rsidP="00AB178F">
            <w:pPr>
              <w:jc w:val="center"/>
              <w:rPr>
                <w:b/>
                <w:bCs/>
                <w:color w:val="000000"/>
                <w:sz w:val="20"/>
                <w:szCs w:val="20"/>
                <w:lang w:eastAsia="en-GB"/>
              </w:rPr>
            </w:pPr>
            <w:r w:rsidRPr="00861214">
              <w:rPr>
                <w:b/>
                <w:bCs/>
                <w:color w:val="000000"/>
                <w:sz w:val="20"/>
                <w:szCs w:val="20"/>
                <w:lang w:eastAsia="en-GB"/>
              </w:rPr>
              <w:t>(C)</w:t>
            </w:r>
          </w:p>
        </w:tc>
        <w:tc>
          <w:tcPr>
            <w:tcW w:w="1555" w:type="dxa"/>
            <w:vMerge w:val="restart"/>
            <w:tcBorders>
              <w:top w:val="nil"/>
              <w:left w:val="single" w:sz="4" w:space="0" w:color="auto"/>
              <w:bottom w:val="single" w:sz="4" w:space="0" w:color="auto"/>
              <w:right w:val="single" w:sz="4" w:space="0" w:color="auto"/>
            </w:tcBorders>
            <w:shd w:val="clear" w:color="auto" w:fill="E2EFD9" w:themeFill="accent6" w:themeFillTint="33"/>
            <w:vAlign w:val="center"/>
            <w:hideMark/>
          </w:tcPr>
          <w:p w14:paraId="2CB9967F" w14:textId="77777777" w:rsidR="00AB178F" w:rsidRPr="0051214A" w:rsidRDefault="00AB178F" w:rsidP="0051214A">
            <w:pPr>
              <w:widowControl/>
              <w:autoSpaceDE/>
              <w:autoSpaceDN/>
              <w:jc w:val="center"/>
              <w:rPr>
                <w:b/>
                <w:bCs/>
                <w:sz w:val="20"/>
                <w:szCs w:val="20"/>
                <w:lang w:val="en-GB" w:eastAsia="en-GB"/>
              </w:rPr>
            </w:pPr>
            <w:r w:rsidRPr="0051214A">
              <w:rPr>
                <w:b/>
                <w:bCs/>
                <w:sz w:val="20"/>
                <w:szCs w:val="20"/>
                <w:lang w:val="en-GB" w:eastAsia="en-GB"/>
              </w:rPr>
              <w:t>(D)</w:t>
            </w:r>
          </w:p>
        </w:tc>
        <w:tc>
          <w:tcPr>
            <w:tcW w:w="1801" w:type="dxa"/>
            <w:vMerge w:val="restart"/>
            <w:tcBorders>
              <w:top w:val="nil"/>
              <w:left w:val="single" w:sz="4" w:space="0" w:color="auto"/>
              <w:bottom w:val="single" w:sz="4" w:space="0" w:color="auto"/>
              <w:right w:val="single" w:sz="4" w:space="0" w:color="auto"/>
            </w:tcBorders>
            <w:shd w:val="clear" w:color="auto" w:fill="E2EFD9" w:themeFill="accent6" w:themeFillTint="33"/>
            <w:vAlign w:val="center"/>
            <w:hideMark/>
          </w:tcPr>
          <w:p w14:paraId="66CF5AA7" w14:textId="77777777" w:rsidR="00AB178F" w:rsidRPr="0051214A" w:rsidRDefault="00AB178F" w:rsidP="0051214A">
            <w:pPr>
              <w:widowControl/>
              <w:autoSpaceDE/>
              <w:autoSpaceDN/>
              <w:jc w:val="center"/>
              <w:rPr>
                <w:b/>
                <w:bCs/>
                <w:sz w:val="20"/>
                <w:szCs w:val="20"/>
                <w:lang w:val="en-GB" w:eastAsia="en-GB"/>
              </w:rPr>
            </w:pPr>
            <w:r w:rsidRPr="0051214A">
              <w:rPr>
                <w:b/>
                <w:bCs/>
                <w:sz w:val="20"/>
                <w:szCs w:val="20"/>
                <w:lang w:val="en-GB" w:eastAsia="en-GB"/>
              </w:rPr>
              <w:t>(E)=(A)+(B)+(C)+(D)</w:t>
            </w:r>
          </w:p>
        </w:tc>
      </w:tr>
      <w:tr w:rsidR="00AB178F" w:rsidRPr="00861214" w14:paraId="719D14BE" w14:textId="77777777" w:rsidTr="001037CE">
        <w:trPr>
          <w:trHeight w:val="70"/>
        </w:trPr>
        <w:tc>
          <w:tcPr>
            <w:tcW w:w="4962" w:type="dxa"/>
            <w:tcBorders>
              <w:top w:val="nil"/>
              <w:left w:val="single" w:sz="4" w:space="0" w:color="auto"/>
              <w:bottom w:val="single" w:sz="4" w:space="0" w:color="auto"/>
              <w:right w:val="nil"/>
            </w:tcBorders>
            <w:shd w:val="clear" w:color="auto" w:fill="E2EFD9" w:themeFill="accent6" w:themeFillTint="33"/>
            <w:vAlign w:val="center"/>
            <w:hideMark/>
          </w:tcPr>
          <w:p w14:paraId="10811BEE" w14:textId="77777777" w:rsidR="00AB178F" w:rsidRPr="00861214" w:rsidRDefault="00AB178F" w:rsidP="00AB178F">
            <w:pPr>
              <w:rPr>
                <w:rFonts w:ascii="Arial" w:hAnsi="Arial" w:cs="Arial"/>
                <w:color w:val="000000"/>
                <w:sz w:val="20"/>
                <w:szCs w:val="20"/>
                <w:lang w:eastAsia="en-GB"/>
              </w:rPr>
            </w:pPr>
          </w:p>
        </w:tc>
        <w:tc>
          <w:tcPr>
            <w:tcW w:w="1291" w:type="dxa"/>
            <w:vMerge/>
            <w:tcBorders>
              <w:top w:val="nil"/>
              <w:left w:val="single" w:sz="4" w:space="0" w:color="auto"/>
              <w:bottom w:val="single" w:sz="4" w:space="0" w:color="000000"/>
              <w:right w:val="single" w:sz="4" w:space="0" w:color="auto"/>
            </w:tcBorders>
            <w:vAlign w:val="center"/>
            <w:hideMark/>
          </w:tcPr>
          <w:p w14:paraId="44192D16" w14:textId="77777777" w:rsidR="00AB178F" w:rsidRPr="00861214" w:rsidRDefault="00AB178F" w:rsidP="00AB178F">
            <w:pPr>
              <w:rPr>
                <w:b/>
                <w:bCs/>
                <w:color w:val="000000"/>
                <w:sz w:val="20"/>
                <w:szCs w:val="20"/>
                <w:lang w:eastAsia="en-GB"/>
              </w:rPr>
            </w:pPr>
          </w:p>
        </w:tc>
        <w:tc>
          <w:tcPr>
            <w:tcW w:w="1252" w:type="dxa"/>
            <w:vMerge/>
            <w:tcBorders>
              <w:top w:val="nil"/>
              <w:left w:val="single" w:sz="4" w:space="0" w:color="auto"/>
              <w:bottom w:val="single" w:sz="4" w:space="0" w:color="000000"/>
              <w:right w:val="single" w:sz="4" w:space="0" w:color="auto"/>
            </w:tcBorders>
            <w:vAlign w:val="center"/>
            <w:hideMark/>
          </w:tcPr>
          <w:p w14:paraId="14E3849B" w14:textId="77777777" w:rsidR="00AB178F" w:rsidRPr="00861214" w:rsidRDefault="00AB178F" w:rsidP="00AB178F">
            <w:pPr>
              <w:rPr>
                <w:b/>
                <w:bCs/>
                <w:color w:val="000000"/>
                <w:sz w:val="20"/>
                <w:szCs w:val="20"/>
                <w:lang w:eastAsia="en-GB"/>
              </w:rPr>
            </w:pPr>
          </w:p>
        </w:tc>
        <w:tc>
          <w:tcPr>
            <w:tcW w:w="1271" w:type="dxa"/>
            <w:vMerge/>
            <w:tcBorders>
              <w:top w:val="single" w:sz="4" w:space="0" w:color="000000"/>
              <w:left w:val="single" w:sz="4" w:space="0" w:color="auto"/>
              <w:bottom w:val="single" w:sz="4" w:space="0" w:color="000000"/>
              <w:right w:val="single" w:sz="4" w:space="0" w:color="auto"/>
            </w:tcBorders>
            <w:vAlign w:val="center"/>
            <w:hideMark/>
          </w:tcPr>
          <w:p w14:paraId="7762D917" w14:textId="77777777" w:rsidR="00AB178F" w:rsidRPr="00861214" w:rsidRDefault="00AB178F" w:rsidP="00AB178F">
            <w:pPr>
              <w:rPr>
                <w:b/>
                <w:bCs/>
                <w:color w:val="000000"/>
                <w:sz w:val="20"/>
                <w:szCs w:val="20"/>
                <w:lang w:eastAsia="en-GB"/>
              </w:rPr>
            </w:pPr>
          </w:p>
        </w:tc>
        <w:tc>
          <w:tcPr>
            <w:tcW w:w="1555"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262F3CB2" w14:textId="77777777" w:rsidR="00AB178F" w:rsidRPr="00861214" w:rsidRDefault="00AB178F" w:rsidP="00AB178F">
            <w:pPr>
              <w:rPr>
                <w:b/>
                <w:bCs/>
                <w:color w:val="000000"/>
                <w:sz w:val="20"/>
                <w:szCs w:val="20"/>
                <w:lang w:eastAsia="en-GB"/>
              </w:rPr>
            </w:pPr>
          </w:p>
        </w:tc>
        <w:tc>
          <w:tcPr>
            <w:tcW w:w="1801"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7D383D85" w14:textId="77777777" w:rsidR="00AB178F" w:rsidRPr="00861214" w:rsidRDefault="00AB178F" w:rsidP="00AB178F">
            <w:pPr>
              <w:rPr>
                <w:b/>
                <w:bCs/>
                <w:color w:val="000000"/>
                <w:sz w:val="20"/>
                <w:szCs w:val="20"/>
                <w:lang w:eastAsia="en-GB"/>
              </w:rPr>
            </w:pPr>
          </w:p>
        </w:tc>
      </w:tr>
      <w:tr w:rsidR="00AB178F" w:rsidRPr="00861214" w14:paraId="41B2AA8D" w14:textId="77777777" w:rsidTr="0051214A">
        <w:trPr>
          <w:trHeight w:val="270"/>
        </w:trPr>
        <w:tc>
          <w:tcPr>
            <w:tcW w:w="4962" w:type="dxa"/>
            <w:tcBorders>
              <w:top w:val="single" w:sz="4" w:space="0" w:color="auto"/>
              <w:left w:val="single" w:sz="4" w:space="0" w:color="auto"/>
              <w:bottom w:val="single" w:sz="4" w:space="0" w:color="auto"/>
              <w:right w:val="nil"/>
            </w:tcBorders>
            <w:shd w:val="clear" w:color="auto" w:fill="auto"/>
            <w:noWrap/>
            <w:vAlign w:val="center"/>
            <w:hideMark/>
          </w:tcPr>
          <w:p w14:paraId="3231BFED" w14:textId="77777777" w:rsidR="00AB178F" w:rsidRDefault="00AB178F" w:rsidP="00AB178F">
            <w:pPr>
              <w:rPr>
                <w:b/>
                <w:bCs/>
                <w:color w:val="000000"/>
                <w:sz w:val="20"/>
                <w:szCs w:val="20"/>
                <w:lang w:eastAsia="en-GB"/>
              </w:rPr>
            </w:pPr>
          </w:p>
          <w:p w14:paraId="399CA729" w14:textId="77777777" w:rsidR="00AB178F" w:rsidRPr="00861214" w:rsidRDefault="00AB178F" w:rsidP="00AB178F">
            <w:pPr>
              <w:rPr>
                <w:b/>
                <w:bCs/>
                <w:color w:val="000000"/>
                <w:sz w:val="20"/>
                <w:szCs w:val="20"/>
                <w:lang w:eastAsia="en-GB"/>
              </w:rPr>
            </w:pPr>
            <w:r w:rsidRPr="00861214">
              <w:rPr>
                <w:b/>
                <w:bCs/>
                <w:color w:val="000000"/>
                <w:sz w:val="20"/>
                <w:szCs w:val="20"/>
                <w:lang w:eastAsia="en-GB"/>
              </w:rPr>
              <w:t>INCOME</w:t>
            </w:r>
          </w:p>
        </w:tc>
        <w:tc>
          <w:tcPr>
            <w:tcW w:w="1291" w:type="dxa"/>
            <w:tcBorders>
              <w:top w:val="nil"/>
              <w:left w:val="nil"/>
              <w:bottom w:val="nil"/>
              <w:right w:val="nil"/>
            </w:tcBorders>
            <w:shd w:val="clear" w:color="auto" w:fill="auto"/>
            <w:noWrap/>
            <w:vAlign w:val="center"/>
            <w:hideMark/>
          </w:tcPr>
          <w:p w14:paraId="49C5B559" w14:textId="77777777" w:rsidR="00AB178F" w:rsidRPr="00861214" w:rsidRDefault="00AB178F" w:rsidP="00AB178F">
            <w:pPr>
              <w:rPr>
                <w:b/>
                <w:bCs/>
                <w:color w:val="000000"/>
                <w:sz w:val="20"/>
                <w:szCs w:val="20"/>
                <w:lang w:eastAsia="en-GB"/>
              </w:rPr>
            </w:pPr>
          </w:p>
        </w:tc>
        <w:tc>
          <w:tcPr>
            <w:tcW w:w="1252" w:type="dxa"/>
            <w:tcBorders>
              <w:top w:val="nil"/>
              <w:left w:val="nil"/>
              <w:bottom w:val="nil"/>
              <w:right w:val="nil"/>
            </w:tcBorders>
            <w:shd w:val="clear" w:color="auto" w:fill="auto"/>
            <w:noWrap/>
            <w:vAlign w:val="center"/>
            <w:hideMark/>
          </w:tcPr>
          <w:p w14:paraId="40CAEEEC" w14:textId="77777777" w:rsidR="00AB178F" w:rsidRPr="00861214" w:rsidRDefault="00AB178F" w:rsidP="00AB178F">
            <w:pPr>
              <w:rPr>
                <w:rFonts w:ascii="Times New Roman" w:hAnsi="Times New Roman"/>
                <w:sz w:val="20"/>
                <w:szCs w:val="20"/>
                <w:lang w:eastAsia="en-GB"/>
              </w:rPr>
            </w:pPr>
          </w:p>
        </w:tc>
        <w:tc>
          <w:tcPr>
            <w:tcW w:w="1271" w:type="dxa"/>
            <w:tcBorders>
              <w:top w:val="nil"/>
              <w:left w:val="single" w:sz="4" w:space="0" w:color="auto"/>
              <w:bottom w:val="nil"/>
              <w:right w:val="nil"/>
            </w:tcBorders>
            <w:shd w:val="clear" w:color="auto" w:fill="auto"/>
            <w:noWrap/>
            <w:vAlign w:val="bottom"/>
            <w:hideMark/>
          </w:tcPr>
          <w:p w14:paraId="443CBA89" w14:textId="77777777" w:rsidR="00AB178F" w:rsidRPr="00861214" w:rsidRDefault="00AB178F" w:rsidP="00AB178F">
            <w:pPr>
              <w:rPr>
                <w:rFonts w:ascii="Arial" w:hAnsi="Arial" w:cs="Arial"/>
                <w:color w:val="000000"/>
                <w:sz w:val="20"/>
                <w:szCs w:val="20"/>
                <w:lang w:eastAsia="en-GB"/>
              </w:rPr>
            </w:pPr>
            <w:r w:rsidRPr="00861214">
              <w:rPr>
                <w:rFonts w:ascii="Arial" w:hAnsi="Arial" w:cs="Arial"/>
                <w:color w:val="000000"/>
                <w:sz w:val="20"/>
                <w:szCs w:val="20"/>
                <w:lang w:eastAsia="en-GB"/>
              </w:rPr>
              <w:t> </w:t>
            </w:r>
          </w:p>
        </w:tc>
        <w:tc>
          <w:tcPr>
            <w:tcW w:w="1555" w:type="dxa"/>
            <w:tcBorders>
              <w:top w:val="single" w:sz="4" w:space="0" w:color="auto"/>
              <w:left w:val="nil"/>
              <w:bottom w:val="nil"/>
              <w:right w:val="nil"/>
            </w:tcBorders>
            <w:shd w:val="clear" w:color="auto" w:fill="auto"/>
            <w:noWrap/>
            <w:vAlign w:val="bottom"/>
            <w:hideMark/>
          </w:tcPr>
          <w:p w14:paraId="68CCFBB3" w14:textId="77777777" w:rsidR="00AB178F" w:rsidRPr="00861214" w:rsidRDefault="00AB178F" w:rsidP="00AB178F">
            <w:pPr>
              <w:rPr>
                <w:rFonts w:ascii="Arial" w:hAnsi="Arial" w:cs="Arial"/>
                <w:color w:val="000000"/>
                <w:sz w:val="20"/>
                <w:szCs w:val="20"/>
                <w:lang w:eastAsia="en-GB"/>
              </w:rPr>
            </w:pPr>
          </w:p>
        </w:tc>
        <w:tc>
          <w:tcPr>
            <w:tcW w:w="1801" w:type="dxa"/>
            <w:tcBorders>
              <w:top w:val="single" w:sz="4" w:space="0" w:color="auto"/>
              <w:left w:val="nil"/>
              <w:bottom w:val="single" w:sz="4" w:space="0" w:color="auto"/>
              <w:right w:val="single" w:sz="4" w:space="0" w:color="auto"/>
            </w:tcBorders>
            <w:shd w:val="clear" w:color="auto" w:fill="auto"/>
            <w:noWrap/>
            <w:vAlign w:val="bottom"/>
            <w:hideMark/>
          </w:tcPr>
          <w:p w14:paraId="1AE0EB61" w14:textId="77777777" w:rsidR="00AB178F" w:rsidRPr="00861214" w:rsidRDefault="00AB178F" w:rsidP="00AB178F">
            <w:pPr>
              <w:rPr>
                <w:rFonts w:ascii="Times New Roman" w:hAnsi="Times New Roman"/>
                <w:sz w:val="20"/>
                <w:szCs w:val="20"/>
                <w:lang w:eastAsia="en-GB"/>
              </w:rPr>
            </w:pPr>
          </w:p>
        </w:tc>
      </w:tr>
      <w:tr w:rsidR="00AB178F" w:rsidRPr="00861214" w14:paraId="1AE50290" w14:textId="77777777" w:rsidTr="00AB178F">
        <w:trPr>
          <w:trHeight w:val="270"/>
        </w:trPr>
        <w:tc>
          <w:tcPr>
            <w:tcW w:w="4962" w:type="dxa"/>
            <w:tcBorders>
              <w:top w:val="nil"/>
              <w:left w:val="single" w:sz="4" w:space="0" w:color="auto"/>
              <w:bottom w:val="single" w:sz="4" w:space="0" w:color="auto"/>
              <w:right w:val="single" w:sz="4" w:space="0" w:color="auto"/>
            </w:tcBorders>
            <w:shd w:val="clear" w:color="auto" w:fill="auto"/>
            <w:noWrap/>
            <w:vAlign w:val="center"/>
            <w:hideMark/>
          </w:tcPr>
          <w:p w14:paraId="7E45B38B" w14:textId="77777777" w:rsidR="00AB178F" w:rsidRPr="00861214" w:rsidRDefault="00AB178F" w:rsidP="00AB178F">
            <w:pPr>
              <w:rPr>
                <w:color w:val="000000"/>
                <w:sz w:val="20"/>
                <w:szCs w:val="20"/>
                <w:lang w:eastAsia="en-GB"/>
              </w:rPr>
            </w:pPr>
            <w:r w:rsidRPr="00861214">
              <w:rPr>
                <w:color w:val="000000"/>
                <w:sz w:val="20"/>
                <w:szCs w:val="20"/>
                <w:lang w:eastAsia="en-GB"/>
              </w:rPr>
              <w:t>Parties’ Contributions</w:t>
            </w:r>
          </w:p>
        </w:tc>
        <w:tc>
          <w:tcPr>
            <w:tcW w:w="1291" w:type="dxa"/>
            <w:tcBorders>
              <w:top w:val="single" w:sz="4" w:space="0" w:color="auto"/>
              <w:left w:val="nil"/>
              <w:bottom w:val="single" w:sz="4" w:space="0" w:color="auto"/>
              <w:right w:val="single" w:sz="4" w:space="0" w:color="auto"/>
            </w:tcBorders>
            <w:shd w:val="clear" w:color="auto" w:fill="auto"/>
            <w:noWrap/>
            <w:vAlign w:val="center"/>
            <w:hideMark/>
          </w:tcPr>
          <w:p w14:paraId="5305D0E8" w14:textId="77777777" w:rsidR="00AB178F" w:rsidRPr="00861214" w:rsidRDefault="00AB178F" w:rsidP="00AB178F">
            <w:pPr>
              <w:jc w:val="right"/>
              <w:rPr>
                <w:color w:val="000000"/>
                <w:sz w:val="20"/>
                <w:szCs w:val="20"/>
                <w:lang w:eastAsia="en-GB"/>
              </w:rPr>
            </w:pPr>
            <w:r w:rsidRPr="00861214">
              <w:rPr>
                <w:color w:val="000000"/>
                <w:sz w:val="20"/>
                <w:szCs w:val="20"/>
                <w:lang w:eastAsia="en-GB"/>
              </w:rPr>
              <w:t>3,779</w:t>
            </w:r>
          </w:p>
        </w:tc>
        <w:tc>
          <w:tcPr>
            <w:tcW w:w="1252" w:type="dxa"/>
            <w:tcBorders>
              <w:top w:val="single" w:sz="4" w:space="0" w:color="auto"/>
              <w:left w:val="nil"/>
              <w:bottom w:val="single" w:sz="4" w:space="0" w:color="auto"/>
              <w:right w:val="single" w:sz="4" w:space="0" w:color="auto"/>
            </w:tcBorders>
            <w:shd w:val="clear" w:color="auto" w:fill="auto"/>
            <w:noWrap/>
            <w:vAlign w:val="center"/>
            <w:hideMark/>
          </w:tcPr>
          <w:p w14:paraId="212C4666" w14:textId="77777777" w:rsidR="00AB178F" w:rsidRPr="00861214" w:rsidRDefault="00AB178F" w:rsidP="00AB178F">
            <w:pPr>
              <w:jc w:val="right"/>
              <w:rPr>
                <w:color w:val="000000"/>
                <w:sz w:val="20"/>
                <w:szCs w:val="20"/>
                <w:lang w:eastAsia="en-GB"/>
              </w:rPr>
            </w:pPr>
            <w:r w:rsidRPr="00861214">
              <w:rPr>
                <w:color w:val="000000"/>
                <w:sz w:val="20"/>
                <w:szCs w:val="20"/>
                <w:lang w:eastAsia="en-GB"/>
              </w:rPr>
              <w:t>0</w:t>
            </w:r>
          </w:p>
        </w:tc>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958308" w14:textId="77777777" w:rsidR="00AB178F" w:rsidRPr="00861214" w:rsidRDefault="00AB178F" w:rsidP="00AB178F">
            <w:pPr>
              <w:jc w:val="right"/>
              <w:rPr>
                <w:color w:val="000000"/>
                <w:sz w:val="20"/>
                <w:szCs w:val="20"/>
                <w:lang w:eastAsia="en-GB"/>
              </w:rPr>
            </w:pPr>
            <w:r w:rsidRPr="00861214">
              <w:rPr>
                <w:color w:val="000000"/>
                <w:sz w:val="20"/>
                <w:szCs w:val="20"/>
                <w:lang w:eastAsia="en-GB"/>
              </w:rPr>
              <w:t>0</w:t>
            </w:r>
          </w:p>
        </w:tc>
        <w:tc>
          <w:tcPr>
            <w:tcW w:w="1555" w:type="dxa"/>
            <w:tcBorders>
              <w:top w:val="single" w:sz="4" w:space="0" w:color="auto"/>
              <w:left w:val="nil"/>
              <w:bottom w:val="single" w:sz="4" w:space="0" w:color="auto"/>
              <w:right w:val="single" w:sz="4" w:space="0" w:color="auto"/>
            </w:tcBorders>
            <w:shd w:val="clear" w:color="auto" w:fill="auto"/>
            <w:noWrap/>
            <w:vAlign w:val="center"/>
            <w:hideMark/>
          </w:tcPr>
          <w:p w14:paraId="14D0AACB" w14:textId="77777777" w:rsidR="00AB178F" w:rsidRPr="00861214" w:rsidRDefault="00AB178F" w:rsidP="00AB178F">
            <w:pPr>
              <w:jc w:val="right"/>
              <w:rPr>
                <w:color w:val="000000"/>
                <w:sz w:val="20"/>
                <w:szCs w:val="20"/>
                <w:lang w:eastAsia="en-GB"/>
              </w:rPr>
            </w:pPr>
            <w:r w:rsidRPr="00861214">
              <w:rPr>
                <w:color w:val="000000"/>
                <w:sz w:val="20"/>
                <w:szCs w:val="20"/>
                <w:lang w:eastAsia="en-GB"/>
              </w:rPr>
              <w:t>0</w:t>
            </w:r>
          </w:p>
        </w:tc>
        <w:tc>
          <w:tcPr>
            <w:tcW w:w="1801" w:type="dxa"/>
            <w:tcBorders>
              <w:top w:val="single" w:sz="4" w:space="0" w:color="auto"/>
              <w:left w:val="nil"/>
              <w:bottom w:val="single" w:sz="4" w:space="0" w:color="auto"/>
              <w:right w:val="single" w:sz="4" w:space="0" w:color="auto"/>
            </w:tcBorders>
            <w:shd w:val="clear" w:color="auto" w:fill="auto"/>
            <w:noWrap/>
            <w:vAlign w:val="center"/>
            <w:hideMark/>
          </w:tcPr>
          <w:p w14:paraId="2434DBE7" w14:textId="77777777" w:rsidR="00AB178F" w:rsidRPr="00861214" w:rsidRDefault="00AB178F" w:rsidP="00AB178F">
            <w:pPr>
              <w:jc w:val="right"/>
              <w:rPr>
                <w:color w:val="000000"/>
                <w:sz w:val="20"/>
                <w:szCs w:val="20"/>
                <w:lang w:eastAsia="en-GB"/>
              </w:rPr>
            </w:pPr>
            <w:r w:rsidRPr="00861214">
              <w:rPr>
                <w:color w:val="000000"/>
                <w:sz w:val="20"/>
                <w:szCs w:val="20"/>
                <w:lang w:eastAsia="en-GB"/>
              </w:rPr>
              <w:t>3,779</w:t>
            </w:r>
          </w:p>
        </w:tc>
      </w:tr>
      <w:tr w:rsidR="00AB178F" w:rsidRPr="00861214" w14:paraId="4361C5B3" w14:textId="77777777" w:rsidTr="00AB178F">
        <w:trPr>
          <w:trHeight w:val="270"/>
        </w:trPr>
        <w:tc>
          <w:tcPr>
            <w:tcW w:w="4962" w:type="dxa"/>
            <w:tcBorders>
              <w:top w:val="nil"/>
              <w:left w:val="single" w:sz="4" w:space="0" w:color="auto"/>
              <w:bottom w:val="single" w:sz="4" w:space="0" w:color="auto"/>
              <w:right w:val="single" w:sz="4" w:space="0" w:color="auto"/>
            </w:tcBorders>
            <w:shd w:val="clear" w:color="auto" w:fill="auto"/>
            <w:noWrap/>
            <w:vAlign w:val="center"/>
            <w:hideMark/>
          </w:tcPr>
          <w:p w14:paraId="5EA01964" w14:textId="77777777" w:rsidR="00AB178F" w:rsidRPr="00861214" w:rsidRDefault="00AB178F" w:rsidP="00AB178F">
            <w:pPr>
              <w:rPr>
                <w:color w:val="000000"/>
                <w:sz w:val="20"/>
                <w:szCs w:val="20"/>
                <w:lang w:eastAsia="en-GB"/>
              </w:rPr>
            </w:pPr>
            <w:r w:rsidRPr="00861214">
              <w:rPr>
                <w:color w:val="000000"/>
                <w:sz w:val="20"/>
                <w:szCs w:val="20"/>
                <w:lang w:eastAsia="en-GB"/>
              </w:rPr>
              <w:t>Voluntary contributions</w:t>
            </w:r>
          </w:p>
        </w:tc>
        <w:tc>
          <w:tcPr>
            <w:tcW w:w="1291" w:type="dxa"/>
            <w:tcBorders>
              <w:top w:val="nil"/>
              <w:left w:val="nil"/>
              <w:bottom w:val="single" w:sz="4" w:space="0" w:color="auto"/>
              <w:right w:val="single" w:sz="4" w:space="0" w:color="auto"/>
            </w:tcBorders>
            <w:shd w:val="clear" w:color="auto" w:fill="auto"/>
            <w:noWrap/>
            <w:vAlign w:val="center"/>
            <w:hideMark/>
          </w:tcPr>
          <w:p w14:paraId="3EFAEB51" w14:textId="77777777" w:rsidR="00AB178F" w:rsidRPr="00861214" w:rsidRDefault="00AB178F" w:rsidP="00AB178F">
            <w:pPr>
              <w:jc w:val="right"/>
              <w:rPr>
                <w:color w:val="000000"/>
                <w:sz w:val="20"/>
                <w:szCs w:val="20"/>
                <w:lang w:eastAsia="en-GB"/>
              </w:rPr>
            </w:pPr>
            <w:r w:rsidRPr="00861214">
              <w:rPr>
                <w:color w:val="000000"/>
                <w:sz w:val="20"/>
                <w:szCs w:val="20"/>
                <w:lang w:eastAsia="en-GB"/>
              </w:rPr>
              <w:t>1,065</w:t>
            </w:r>
          </w:p>
        </w:tc>
        <w:tc>
          <w:tcPr>
            <w:tcW w:w="1252" w:type="dxa"/>
            <w:tcBorders>
              <w:top w:val="nil"/>
              <w:left w:val="nil"/>
              <w:bottom w:val="single" w:sz="4" w:space="0" w:color="auto"/>
              <w:right w:val="single" w:sz="4" w:space="0" w:color="auto"/>
            </w:tcBorders>
            <w:shd w:val="clear" w:color="auto" w:fill="auto"/>
            <w:noWrap/>
            <w:vAlign w:val="center"/>
            <w:hideMark/>
          </w:tcPr>
          <w:p w14:paraId="3B226209" w14:textId="77777777" w:rsidR="00AB178F" w:rsidRPr="00861214" w:rsidRDefault="00AB178F" w:rsidP="00AB178F">
            <w:pPr>
              <w:jc w:val="right"/>
              <w:rPr>
                <w:color w:val="000000"/>
                <w:sz w:val="20"/>
                <w:szCs w:val="20"/>
                <w:lang w:eastAsia="en-GB"/>
              </w:rPr>
            </w:pPr>
            <w:r w:rsidRPr="00861214">
              <w:rPr>
                <w:color w:val="000000"/>
                <w:sz w:val="20"/>
                <w:szCs w:val="20"/>
                <w:lang w:eastAsia="en-GB"/>
              </w:rPr>
              <w:t>0</w:t>
            </w:r>
          </w:p>
        </w:tc>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3117C46B" w14:textId="77777777" w:rsidR="00AB178F" w:rsidRPr="00861214" w:rsidRDefault="00AB178F" w:rsidP="00AB178F">
            <w:pPr>
              <w:jc w:val="right"/>
              <w:rPr>
                <w:color w:val="000000"/>
                <w:sz w:val="20"/>
                <w:szCs w:val="20"/>
                <w:lang w:eastAsia="en-GB"/>
              </w:rPr>
            </w:pPr>
            <w:r w:rsidRPr="00861214">
              <w:rPr>
                <w:color w:val="000000"/>
                <w:sz w:val="20"/>
                <w:szCs w:val="20"/>
                <w:lang w:eastAsia="en-GB"/>
              </w:rPr>
              <w:t>0</w:t>
            </w:r>
          </w:p>
        </w:tc>
        <w:tc>
          <w:tcPr>
            <w:tcW w:w="1555" w:type="dxa"/>
            <w:tcBorders>
              <w:top w:val="nil"/>
              <w:left w:val="nil"/>
              <w:bottom w:val="single" w:sz="4" w:space="0" w:color="auto"/>
              <w:right w:val="single" w:sz="4" w:space="0" w:color="auto"/>
            </w:tcBorders>
            <w:shd w:val="clear" w:color="auto" w:fill="auto"/>
            <w:noWrap/>
            <w:vAlign w:val="center"/>
            <w:hideMark/>
          </w:tcPr>
          <w:p w14:paraId="77D70BD8" w14:textId="77777777" w:rsidR="00AB178F" w:rsidRPr="00861214" w:rsidRDefault="00AB178F" w:rsidP="00AB178F">
            <w:pPr>
              <w:jc w:val="right"/>
              <w:rPr>
                <w:color w:val="000000"/>
                <w:sz w:val="20"/>
                <w:szCs w:val="20"/>
                <w:lang w:eastAsia="en-GB"/>
              </w:rPr>
            </w:pPr>
            <w:r w:rsidRPr="00861214">
              <w:rPr>
                <w:color w:val="000000"/>
                <w:sz w:val="20"/>
                <w:szCs w:val="20"/>
                <w:lang w:eastAsia="en-GB"/>
              </w:rPr>
              <w:t>0</w:t>
            </w:r>
          </w:p>
        </w:tc>
        <w:tc>
          <w:tcPr>
            <w:tcW w:w="1801" w:type="dxa"/>
            <w:tcBorders>
              <w:top w:val="nil"/>
              <w:left w:val="nil"/>
              <w:bottom w:val="single" w:sz="4" w:space="0" w:color="auto"/>
              <w:right w:val="single" w:sz="4" w:space="0" w:color="auto"/>
            </w:tcBorders>
            <w:shd w:val="clear" w:color="auto" w:fill="auto"/>
            <w:noWrap/>
            <w:vAlign w:val="center"/>
            <w:hideMark/>
          </w:tcPr>
          <w:p w14:paraId="0FEE488B" w14:textId="77777777" w:rsidR="00AB178F" w:rsidRPr="00861214" w:rsidRDefault="00AB178F" w:rsidP="00AB178F">
            <w:pPr>
              <w:jc w:val="right"/>
              <w:rPr>
                <w:color w:val="000000"/>
                <w:sz w:val="20"/>
                <w:szCs w:val="20"/>
                <w:lang w:eastAsia="en-GB"/>
              </w:rPr>
            </w:pPr>
            <w:r w:rsidRPr="00861214">
              <w:rPr>
                <w:color w:val="000000"/>
                <w:sz w:val="20"/>
                <w:szCs w:val="20"/>
                <w:lang w:eastAsia="en-GB"/>
              </w:rPr>
              <w:t>1,065</w:t>
            </w:r>
          </w:p>
        </w:tc>
      </w:tr>
      <w:tr w:rsidR="00AB178F" w:rsidRPr="00861214" w14:paraId="606261D3" w14:textId="77777777" w:rsidTr="00AB178F">
        <w:trPr>
          <w:trHeight w:val="270"/>
        </w:trPr>
        <w:tc>
          <w:tcPr>
            <w:tcW w:w="4962" w:type="dxa"/>
            <w:tcBorders>
              <w:top w:val="nil"/>
              <w:left w:val="single" w:sz="4" w:space="0" w:color="auto"/>
              <w:bottom w:val="single" w:sz="4" w:space="0" w:color="auto"/>
              <w:right w:val="single" w:sz="4" w:space="0" w:color="auto"/>
            </w:tcBorders>
            <w:shd w:val="clear" w:color="auto" w:fill="auto"/>
            <w:noWrap/>
            <w:vAlign w:val="center"/>
            <w:hideMark/>
          </w:tcPr>
          <w:p w14:paraId="18EA4FA1" w14:textId="77777777" w:rsidR="00AB178F" w:rsidRPr="00861214" w:rsidRDefault="00AB178F" w:rsidP="00AB178F">
            <w:pPr>
              <w:rPr>
                <w:color w:val="000000"/>
                <w:sz w:val="20"/>
                <w:szCs w:val="20"/>
                <w:lang w:eastAsia="en-GB"/>
              </w:rPr>
            </w:pPr>
            <w:r w:rsidRPr="00861214">
              <w:rPr>
                <w:color w:val="000000"/>
                <w:sz w:val="20"/>
                <w:szCs w:val="20"/>
                <w:lang w:eastAsia="en-GB"/>
              </w:rPr>
              <w:t>Income Tax</w:t>
            </w:r>
          </w:p>
        </w:tc>
        <w:tc>
          <w:tcPr>
            <w:tcW w:w="1291" w:type="dxa"/>
            <w:tcBorders>
              <w:top w:val="nil"/>
              <w:left w:val="nil"/>
              <w:bottom w:val="single" w:sz="4" w:space="0" w:color="auto"/>
              <w:right w:val="single" w:sz="4" w:space="0" w:color="auto"/>
            </w:tcBorders>
            <w:shd w:val="clear" w:color="auto" w:fill="auto"/>
            <w:noWrap/>
            <w:vAlign w:val="center"/>
            <w:hideMark/>
          </w:tcPr>
          <w:p w14:paraId="6FFD80AB" w14:textId="77777777" w:rsidR="00AB178F" w:rsidRPr="00861214" w:rsidRDefault="00AB178F" w:rsidP="00AB178F">
            <w:pPr>
              <w:jc w:val="right"/>
              <w:rPr>
                <w:color w:val="000000"/>
                <w:sz w:val="20"/>
                <w:szCs w:val="20"/>
                <w:lang w:eastAsia="en-GB"/>
              </w:rPr>
            </w:pPr>
            <w:r w:rsidRPr="00861214">
              <w:rPr>
                <w:color w:val="000000"/>
                <w:sz w:val="20"/>
                <w:szCs w:val="20"/>
                <w:lang w:eastAsia="en-GB"/>
              </w:rPr>
              <w:t>225</w:t>
            </w:r>
          </w:p>
        </w:tc>
        <w:tc>
          <w:tcPr>
            <w:tcW w:w="1252" w:type="dxa"/>
            <w:tcBorders>
              <w:top w:val="nil"/>
              <w:left w:val="nil"/>
              <w:bottom w:val="single" w:sz="4" w:space="0" w:color="auto"/>
              <w:right w:val="single" w:sz="4" w:space="0" w:color="auto"/>
            </w:tcBorders>
            <w:shd w:val="clear" w:color="auto" w:fill="auto"/>
            <w:noWrap/>
            <w:vAlign w:val="center"/>
            <w:hideMark/>
          </w:tcPr>
          <w:p w14:paraId="6B3E0E43" w14:textId="77777777" w:rsidR="00AB178F" w:rsidRPr="00861214" w:rsidRDefault="00AB178F" w:rsidP="00AB178F">
            <w:pPr>
              <w:jc w:val="right"/>
              <w:rPr>
                <w:color w:val="000000"/>
                <w:sz w:val="20"/>
                <w:szCs w:val="20"/>
                <w:lang w:eastAsia="en-GB"/>
              </w:rPr>
            </w:pPr>
            <w:r w:rsidRPr="00861214">
              <w:rPr>
                <w:color w:val="000000"/>
                <w:sz w:val="20"/>
                <w:szCs w:val="20"/>
                <w:lang w:eastAsia="en-GB"/>
              </w:rPr>
              <w:t>0</w:t>
            </w:r>
          </w:p>
        </w:tc>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46B62124" w14:textId="77777777" w:rsidR="00AB178F" w:rsidRPr="00861214" w:rsidRDefault="00AB178F" w:rsidP="00AB178F">
            <w:pPr>
              <w:jc w:val="right"/>
              <w:rPr>
                <w:color w:val="000000"/>
                <w:sz w:val="20"/>
                <w:szCs w:val="20"/>
                <w:lang w:eastAsia="en-GB"/>
              </w:rPr>
            </w:pPr>
            <w:r w:rsidRPr="00861214">
              <w:rPr>
                <w:color w:val="000000"/>
                <w:sz w:val="20"/>
                <w:szCs w:val="20"/>
                <w:lang w:eastAsia="en-GB"/>
              </w:rPr>
              <w:t>0</w:t>
            </w:r>
          </w:p>
        </w:tc>
        <w:tc>
          <w:tcPr>
            <w:tcW w:w="1555" w:type="dxa"/>
            <w:tcBorders>
              <w:top w:val="nil"/>
              <w:left w:val="nil"/>
              <w:bottom w:val="single" w:sz="4" w:space="0" w:color="auto"/>
              <w:right w:val="single" w:sz="4" w:space="0" w:color="auto"/>
            </w:tcBorders>
            <w:shd w:val="clear" w:color="auto" w:fill="auto"/>
            <w:noWrap/>
            <w:vAlign w:val="center"/>
            <w:hideMark/>
          </w:tcPr>
          <w:p w14:paraId="54224535" w14:textId="77777777" w:rsidR="00AB178F" w:rsidRPr="00861214" w:rsidRDefault="00AB178F" w:rsidP="00AB178F">
            <w:pPr>
              <w:jc w:val="right"/>
              <w:rPr>
                <w:color w:val="000000"/>
                <w:sz w:val="20"/>
                <w:szCs w:val="20"/>
                <w:lang w:eastAsia="en-GB"/>
              </w:rPr>
            </w:pPr>
            <w:r w:rsidRPr="00861214">
              <w:rPr>
                <w:color w:val="000000"/>
                <w:sz w:val="20"/>
                <w:szCs w:val="20"/>
                <w:lang w:eastAsia="en-GB"/>
              </w:rPr>
              <w:t>0</w:t>
            </w:r>
          </w:p>
        </w:tc>
        <w:tc>
          <w:tcPr>
            <w:tcW w:w="1801" w:type="dxa"/>
            <w:tcBorders>
              <w:top w:val="nil"/>
              <w:left w:val="nil"/>
              <w:bottom w:val="single" w:sz="4" w:space="0" w:color="auto"/>
              <w:right w:val="single" w:sz="4" w:space="0" w:color="auto"/>
            </w:tcBorders>
            <w:shd w:val="clear" w:color="auto" w:fill="auto"/>
            <w:noWrap/>
            <w:vAlign w:val="center"/>
            <w:hideMark/>
          </w:tcPr>
          <w:p w14:paraId="41C5E802" w14:textId="77777777" w:rsidR="00AB178F" w:rsidRPr="00861214" w:rsidRDefault="00AB178F" w:rsidP="00AB178F">
            <w:pPr>
              <w:jc w:val="right"/>
              <w:rPr>
                <w:color w:val="000000"/>
                <w:sz w:val="20"/>
                <w:szCs w:val="20"/>
                <w:lang w:eastAsia="en-GB"/>
              </w:rPr>
            </w:pPr>
            <w:r w:rsidRPr="00861214">
              <w:rPr>
                <w:color w:val="000000"/>
                <w:sz w:val="20"/>
                <w:szCs w:val="20"/>
                <w:lang w:eastAsia="en-GB"/>
              </w:rPr>
              <w:t>225</w:t>
            </w:r>
          </w:p>
        </w:tc>
      </w:tr>
      <w:tr w:rsidR="00AB178F" w:rsidRPr="00861214" w14:paraId="4B39295F" w14:textId="77777777" w:rsidTr="00AB178F">
        <w:trPr>
          <w:trHeight w:val="270"/>
        </w:trPr>
        <w:tc>
          <w:tcPr>
            <w:tcW w:w="4962" w:type="dxa"/>
            <w:tcBorders>
              <w:top w:val="nil"/>
              <w:left w:val="single" w:sz="4" w:space="0" w:color="auto"/>
              <w:bottom w:val="single" w:sz="4" w:space="0" w:color="auto"/>
              <w:right w:val="single" w:sz="4" w:space="0" w:color="auto"/>
            </w:tcBorders>
            <w:shd w:val="clear" w:color="auto" w:fill="auto"/>
            <w:noWrap/>
            <w:vAlign w:val="center"/>
            <w:hideMark/>
          </w:tcPr>
          <w:p w14:paraId="394FD855" w14:textId="77777777" w:rsidR="00AB178F" w:rsidRPr="00861214" w:rsidRDefault="00AB178F" w:rsidP="00AB178F">
            <w:pPr>
              <w:rPr>
                <w:color w:val="000000"/>
                <w:sz w:val="20"/>
                <w:szCs w:val="20"/>
                <w:lang w:eastAsia="en-GB"/>
              </w:rPr>
            </w:pPr>
            <w:r w:rsidRPr="00861214">
              <w:rPr>
                <w:color w:val="000000"/>
                <w:sz w:val="20"/>
                <w:szCs w:val="20"/>
                <w:lang w:eastAsia="en-GB"/>
              </w:rPr>
              <w:t>Other Income (including Interest Income)</w:t>
            </w:r>
          </w:p>
        </w:tc>
        <w:tc>
          <w:tcPr>
            <w:tcW w:w="1291" w:type="dxa"/>
            <w:tcBorders>
              <w:top w:val="nil"/>
              <w:left w:val="nil"/>
              <w:bottom w:val="single" w:sz="4" w:space="0" w:color="auto"/>
              <w:right w:val="single" w:sz="4" w:space="0" w:color="auto"/>
            </w:tcBorders>
            <w:shd w:val="clear" w:color="auto" w:fill="auto"/>
            <w:noWrap/>
            <w:vAlign w:val="center"/>
            <w:hideMark/>
          </w:tcPr>
          <w:p w14:paraId="472B184F" w14:textId="77777777" w:rsidR="00AB178F" w:rsidRPr="00861214" w:rsidRDefault="00AB178F" w:rsidP="00AB178F">
            <w:pPr>
              <w:jc w:val="right"/>
              <w:rPr>
                <w:color w:val="000000"/>
                <w:sz w:val="20"/>
                <w:szCs w:val="20"/>
                <w:lang w:eastAsia="en-GB"/>
              </w:rPr>
            </w:pPr>
            <w:r w:rsidRPr="00861214">
              <w:rPr>
                <w:color w:val="000000"/>
                <w:sz w:val="20"/>
                <w:szCs w:val="20"/>
                <w:lang w:eastAsia="en-GB"/>
              </w:rPr>
              <w:t>12</w:t>
            </w:r>
          </w:p>
        </w:tc>
        <w:tc>
          <w:tcPr>
            <w:tcW w:w="1252" w:type="dxa"/>
            <w:tcBorders>
              <w:top w:val="nil"/>
              <w:left w:val="nil"/>
              <w:bottom w:val="single" w:sz="4" w:space="0" w:color="auto"/>
              <w:right w:val="single" w:sz="4" w:space="0" w:color="auto"/>
            </w:tcBorders>
            <w:shd w:val="clear" w:color="auto" w:fill="auto"/>
            <w:noWrap/>
            <w:vAlign w:val="center"/>
            <w:hideMark/>
          </w:tcPr>
          <w:p w14:paraId="5B5069F6" w14:textId="77777777" w:rsidR="00AB178F" w:rsidRPr="00861214" w:rsidRDefault="00AB178F" w:rsidP="00AB178F">
            <w:pPr>
              <w:jc w:val="right"/>
              <w:rPr>
                <w:color w:val="000000"/>
                <w:sz w:val="20"/>
                <w:szCs w:val="20"/>
                <w:lang w:eastAsia="en-GB"/>
              </w:rPr>
            </w:pPr>
            <w:r w:rsidRPr="00861214">
              <w:rPr>
                <w:color w:val="000000"/>
                <w:sz w:val="20"/>
                <w:szCs w:val="20"/>
                <w:lang w:eastAsia="en-GB"/>
              </w:rPr>
              <w:t>0</w:t>
            </w:r>
          </w:p>
        </w:tc>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36FDE559" w14:textId="77777777" w:rsidR="00AB178F" w:rsidRPr="00861214" w:rsidRDefault="00AB178F" w:rsidP="00AB178F">
            <w:pPr>
              <w:jc w:val="right"/>
              <w:rPr>
                <w:color w:val="000000"/>
                <w:sz w:val="20"/>
                <w:szCs w:val="20"/>
                <w:lang w:eastAsia="en-GB"/>
              </w:rPr>
            </w:pPr>
            <w:r w:rsidRPr="00861214">
              <w:rPr>
                <w:color w:val="000000"/>
                <w:sz w:val="20"/>
                <w:szCs w:val="20"/>
                <w:lang w:eastAsia="en-GB"/>
              </w:rPr>
              <w:t>0</w:t>
            </w:r>
          </w:p>
        </w:tc>
        <w:tc>
          <w:tcPr>
            <w:tcW w:w="1555" w:type="dxa"/>
            <w:tcBorders>
              <w:top w:val="nil"/>
              <w:left w:val="nil"/>
              <w:bottom w:val="single" w:sz="4" w:space="0" w:color="auto"/>
              <w:right w:val="single" w:sz="4" w:space="0" w:color="auto"/>
            </w:tcBorders>
            <w:shd w:val="clear" w:color="auto" w:fill="auto"/>
            <w:noWrap/>
            <w:vAlign w:val="center"/>
            <w:hideMark/>
          </w:tcPr>
          <w:p w14:paraId="45545F26" w14:textId="77777777" w:rsidR="00AB178F" w:rsidRPr="00861214" w:rsidRDefault="00AB178F" w:rsidP="00AB178F">
            <w:pPr>
              <w:jc w:val="right"/>
              <w:rPr>
                <w:color w:val="000000"/>
                <w:sz w:val="20"/>
                <w:szCs w:val="20"/>
                <w:lang w:eastAsia="en-GB"/>
              </w:rPr>
            </w:pPr>
            <w:r w:rsidRPr="00861214">
              <w:rPr>
                <w:color w:val="000000"/>
                <w:sz w:val="20"/>
                <w:szCs w:val="20"/>
                <w:lang w:eastAsia="en-GB"/>
              </w:rPr>
              <w:t>0</w:t>
            </w:r>
          </w:p>
        </w:tc>
        <w:tc>
          <w:tcPr>
            <w:tcW w:w="1801" w:type="dxa"/>
            <w:tcBorders>
              <w:top w:val="nil"/>
              <w:left w:val="nil"/>
              <w:bottom w:val="single" w:sz="4" w:space="0" w:color="auto"/>
              <w:right w:val="single" w:sz="4" w:space="0" w:color="auto"/>
            </w:tcBorders>
            <w:shd w:val="clear" w:color="auto" w:fill="auto"/>
            <w:noWrap/>
            <w:vAlign w:val="center"/>
            <w:hideMark/>
          </w:tcPr>
          <w:p w14:paraId="50D30A26" w14:textId="77777777" w:rsidR="00AB178F" w:rsidRPr="00861214" w:rsidRDefault="00AB178F" w:rsidP="00AB178F">
            <w:pPr>
              <w:jc w:val="right"/>
              <w:rPr>
                <w:color w:val="000000"/>
                <w:sz w:val="20"/>
                <w:szCs w:val="20"/>
                <w:lang w:eastAsia="en-GB"/>
              </w:rPr>
            </w:pPr>
            <w:r w:rsidRPr="00861214">
              <w:rPr>
                <w:color w:val="000000"/>
                <w:sz w:val="20"/>
                <w:szCs w:val="20"/>
                <w:lang w:eastAsia="en-GB"/>
              </w:rPr>
              <w:t>12</w:t>
            </w:r>
          </w:p>
        </w:tc>
      </w:tr>
      <w:tr w:rsidR="00AB178F" w:rsidRPr="00861214" w14:paraId="33B95653" w14:textId="77777777" w:rsidTr="001037CE">
        <w:trPr>
          <w:trHeight w:val="270"/>
        </w:trPr>
        <w:tc>
          <w:tcPr>
            <w:tcW w:w="496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6AF50BFC" w14:textId="77777777" w:rsidR="00AB178F" w:rsidRPr="00861214" w:rsidRDefault="00AB178F" w:rsidP="00AB178F">
            <w:pPr>
              <w:rPr>
                <w:b/>
                <w:bCs/>
                <w:color w:val="000000"/>
                <w:sz w:val="20"/>
                <w:szCs w:val="20"/>
                <w:lang w:eastAsia="en-GB"/>
              </w:rPr>
            </w:pPr>
            <w:r w:rsidRPr="00861214">
              <w:rPr>
                <w:b/>
                <w:bCs/>
                <w:color w:val="000000"/>
                <w:sz w:val="20"/>
                <w:szCs w:val="20"/>
                <w:lang w:eastAsia="en-GB"/>
              </w:rPr>
              <w:t>TOTAL INCOME</w:t>
            </w:r>
          </w:p>
        </w:tc>
        <w:tc>
          <w:tcPr>
            <w:tcW w:w="1291" w:type="dxa"/>
            <w:tcBorders>
              <w:top w:val="nil"/>
              <w:left w:val="nil"/>
              <w:bottom w:val="single" w:sz="4" w:space="0" w:color="auto"/>
              <w:right w:val="single" w:sz="4" w:space="0" w:color="auto"/>
            </w:tcBorders>
            <w:shd w:val="clear" w:color="auto" w:fill="E2EFD9" w:themeFill="accent6" w:themeFillTint="33"/>
            <w:noWrap/>
            <w:vAlign w:val="center"/>
            <w:hideMark/>
          </w:tcPr>
          <w:p w14:paraId="55D9A0A8" w14:textId="77777777" w:rsidR="00AB178F" w:rsidRPr="00861214" w:rsidRDefault="00AB178F" w:rsidP="00AB178F">
            <w:pPr>
              <w:jc w:val="right"/>
              <w:rPr>
                <w:b/>
                <w:bCs/>
                <w:color w:val="000000"/>
                <w:sz w:val="20"/>
                <w:szCs w:val="20"/>
                <w:lang w:eastAsia="en-GB"/>
              </w:rPr>
            </w:pPr>
            <w:r w:rsidRPr="00861214">
              <w:rPr>
                <w:b/>
                <w:bCs/>
                <w:color w:val="000000"/>
                <w:sz w:val="20"/>
                <w:szCs w:val="20"/>
                <w:lang w:eastAsia="en-GB"/>
              </w:rPr>
              <w:t>5,081</w:t>
            </w:r>
          </w:p>
        </w:tc>
        <w:tc>
          <w:tcPr>
            <w:tcW w:w="1252" w:type="dxa"/>
            <w:tcBorders>
              <w:top w:val="nil"/>
              <w:left w:val="nil"/>
              <w:bottom w:val="single" w:sz="4" w:space="0" w:color="auto"/>
              <w:right w:val="single" w:sz="4" w:space="0" w:color="auto"/>
            </w:tcBorders>
            <w:shd w:val="clear" w:color="auto" w:fill="E2EFD9" w:themeFill="accent6" w:themeFillTint="33"/>
            <w:noWrap/>
            <w:vAlign w:val="center"/>
            <w:hideMark/>
          </w:tcPr>
          <w:p w14:paraId="18F52C45" w14:textId="77777777" w:rsidR="00AB178F" w:rsidRPr="00861214" w:rsidRDefault="00AB178F" w:rsidP="00AB178F">
            <w:pPr>
              <w:jc w:val="right"/>
              <w:rPr>
                <w:b/>
                <w:bCs/>
                <w:color w:val="000000"/>
                <w:sz w:val="20"/>
                <w:szCs w:val="20"/>
                <w:lang w:eastAsia="en-GB"/>
              </w:rPr>
            </w:pPr>
            <w:r w:rsidRPr="00861214">
              <w:rPr>
                <w:b/>
                <w:bCs/>
                <w:color w:val="000000"/>
                <w:sz w:val="20"/>
                <w:szCs w:val="20"/>
                <w:lang w:eastAsia="en-GB"/>
              </w:rPr>
              <w:t>0</w:t>
            </w:r>
          </w:p>
        </w:tc>
        <w:tc>
          <w:tcPr>
            <w:tcW w:w="1271" w:type="dxa"/>
            <w:tcBorders>
              <w:top w:val="nil"/>
              <w:left w:val="single" w:sz="4" w:space="0" w:color="auto"/>
              <w:bottom w:val="single" w:sz="4" w:space="0" w:color="auto"/>
              <w:right w:val="single" w:sz="4" w:space="0" w:color="auto"/>
            </w:tcBorders>
            <w:shd w:val="clear" w:color="auto" w:fill="E2EFD9" w:themeFill="accent6" w:themeFillTint="33"/>
            <w:noWrap/>
            <w:vAlign w:val="center"/>
            <w:hideMark/>
          </w:tcPr>
          <w:p w14:paraId="10B00160" w14:textId="77777777" w:rsidR="00AB178F" w:rsidRPr="00861214" w:rsidRDefault="00AB178F" w:rsidP="00AB178F">
            <w:pPr>
              <w:jc w:val="right"/>
              <w:rPr>
                <w:b/>
                <w:bCs/>
                <w:color w:val="000000"/>
                <w:sz w:val="20"/>
                <w:szCs w:val="20"/>
                <w:lang w:eastAsia="en-GB"/>
              </w:rPr>
            </w:pPr>
            <w:r w:rsidRPr="00861214">
              <w:rPr>
                <w:b/>
                <w:bCs/>
                <w:color w:val="000000"/>
                <w:sz w:val="20"/>
                <w:szCs w:val="20"/>
                <w:lang w:eastAsia="en-GB"/>
              </w:rPr>
              <w:t>0</w:t>
            </w:r>
          </w:p>
        </w:tc>
        <w:tc>
          <w:tcPr>
            <w:tcW w:w="1555" w:type="dxa"/>
            <w:tcBorders>
              <w:top w:val="nil"/>
              <w:left w:val="nil"/>
              <w:bottom w:val="single" w:sz="4" w:space="0" w:color="auto"/>
              <w:right w:val="single" w:sz="4" w:space="0" w:color="auto"/>
            </w:tcBorders>
            <w:shd w:val="clear" w:color="auto" w:fill="E2EFD9" w:themeFill="accent6" w:themeFillTint="33"/>
            <w:noWrap/>
            <w:vAlign w:val="center"/>
            <w:hideMark/>
          </w:tcPr>
          <w:p w14:paraId="4B317D17" w14:textId="77777777" w:rsidR="00AB178F" w:rsidRPr="00861214" w:rsidRDefault="00AB178F" w:rsidP="00AB178F">
            <w:pPr>
              <w:jc w:val="right"/>
              <w:rPr>
                <w:b/>
                <w:bCs/>
                <w:color w:val="000000"/>
                <w:sz w:val="20"/>
                <w:szCs w:val="20"/>
                <w:lang w:eastAsia="en-GB"/>
              </w:rPr>
            </w:pPr>
            <w:r w:rsidRPr="00861214">
              <w:rPr>
                <w:b/>
                <w:bCs/>
                <w:color w:val="000000"/>
                <w:sz w:val="20"/>
                <w:szCs w:val="20"/>
                <w:lang w:eastAsia="en-GB"/>
              </w:rPr>
              <w:t>0</w:t>
            </w:r>
          </w:p>
        </w:tc>
        <w:tc>
          <w:tcPr>
            <w:tcW w:w="1801" w:type="dxa"/>
            <w:tcBorders>
              <w:top w:val="nil"/>
              <w:left w:val="nil"/>
              <w:bottom w:val="single" w:sz="4" w:space="0" w:color="auto"/>
              <w:right w:val="single" w:sz="4" w:space="0" w:color="auto"/>
            </w:tcBorders>
            <w:shd w:val="clear" w:color="auto" w:fill="E2EFD9" w:themeFill="accent6" w:themeFillTint="33"/>
            <w:noWrap/>
            <w:vAlign w:val="center"/>
            <w:hideMark/>
          </w:tcPr>
          <w:p w14:paraId="4498C48E" w14:textId="77777777" w:rsidR="00AB178F" w:rsidRPr="00861214" w:rsidRDefault="00AB178F" w:rsidP="00AB178F">
            <w:pPr>
              <w:jc w:val="right"/>
              <w:rPr>
                <w:b/>
                <w:bCs/>
                <w:color w:val="000000"/>
                <w:sz w:val="20"/>
                <w:szCs w:val="20"/>
                <w:lang w:eastAsia="en-GB"/>
              </w:rPr>
            </w:pPr>
            <w:r w:rsidRPr="00861214">
              <w:rPr>
                <w:b/>
                <w:bCs/>
                <w:color w:val="000000"/>
                <w:sz w:val="20"/>
                <w:szCs w:val="20"/>
                <w:lang w:eastAsia="en-GB"/>
              </w:rPr>
              <w:t>5,081</w:t>
            </w:r>
          </w:p>
        </w:tc>
      </w:tr>
      <w:tr w:rsidR="00AB178F" w:rsidRPr="00861214" w14:paraId="79BCED7F" w14:textId="77777777" w:rsidTr="00AB178F">
        <w:trPr>
          <w:trHeight w:val="270"/>
        </w:trPr>
        <w:tc>
          <w:tcPr>
            <w:tcW w:w="4962" w:type="dxa"/>
            <w:tcBorders>
              <w:top w:val="single" w:sz="4" w:space="0" w:color="auto"/>
              <w:left w:val="single" w:sz="4" w:space="0" w:color="auto"/>
            </w:tcBorders>
            <w:shd w:val="clear" w:color="auto" w:fill="auto"/>
            <w:noWrap/>
            <w:vAlign w:val="center"/>
            <w:hideMark/>
          </w:tcPr>
          <w:p w14:paraId="683186B7" w14:textId="77777777" w:rsidR="00AB178F" w:rsidRPr="00861214" w:rsidRDefault="00AB178F" w:rsidP="00AB178F">
            <w:pPr>
              <w:rPr>
                <w:b/>
                <w:bCs/>
                <w:color w:val="000000"/>
                <w:sz w:val="20"/>
                <w:szCs w:val="20"/>
                <w:lang w:eastAsia="en-GB"/>
              </w:rPr>
            </w:pPr>
            <w:r w:rsidRPr="00861214">
              <w:rPr>
                <w:b/>
                <w:bCs/>
                <w:color w:val="000000"/>
                <w:sz w:val="20"/>
                <w:szCs w:val="20"/>
                <w:lang w:eastAsia="en-GB"/>
              </w:rPr>
              <w:t> </w:t>
            </w:r>
          </w:p>
        </w:tc>
        <w:tc>
          <w:tcPr>
            <w:tcW w:w="1291" w:type="dxa"/>
            <w:tcBorders>
              <w:top w:val="single" w:sz="4" w:space="0" w:color="auto"/>
              <w:left w:val="nil"/>
              <w:bottom w:val="nil"/>
              <w:right w:val="nil"/>
            </w:tcBorders>
            <w:shd w:val="clear" w:color="auto" w:fill="auto"/>
            <w:noWrap/>
            <w:vAlign w:val="bottom"/>
            <w:hideMark/>
          </w:tcPr>
          <w:p w14:paraId="4F0A0F25" w14:textId="77777777" w:rsidR="00AB178F" w:rsidRPr="00861214" w:rsidRDefault="00AB178F" w:rsidP="00AB178F">
            <w:pPr>
              <w:rPr>
                <w:b/>
                <w:bCs/>
                <w:color w:val="000000"/>
                <w:sz w:val="20"/>
                <w:szCs w:val="20"/>
                <w:lang w:eastAsia="en-GB"/>
              </w:rPr>
            </w:pPr>
          </w:p>
        </w:tc>
        <w:tc>
          <w:tcPr>
            <w:tcW w:w="1252" w:type="dxa"/>
            <w:tcBorders>
              <w:top w:val="single" w:sz="4" w:space="0" w:color="auto"/>
              <w:left w:val="nil"/>
              <w:right w:val="nil"/>
            </w:tcBorders>
            <w:shd w:val="clear" w:color="auto" w:fill="auto"/>
            <w:noWrap/>
            <w:vAlign w:val="bottom"/>
            <w:hideMark/>
          </w:tcPr>
          <w:p w14:paraId="4FF3D129" w14:textId="77777777" w:rsidR="00AB178F" w:rsidRPr="00861214" w:rsidRDefault="00AB178F" w:rsidP="00AB178F">
            <w:pPr>
              <w:rPr>
                <w:rFonts w:ascii="Times New Roman" w:hAnsi="Times New Roman"/>
                <w:sz w:val="20"/>
                <w:szCs w:val="20"/>
                <w:lang w:eastAsia="en-GB"/>
              </w:rPr>
            </w:pPr>
          </w:p>
        </w:tc>
        <w:tc>
          <w:tcPr>
            <w:tcW w:w="1271" w:type="dxa"/>
            <w:tcBorders>
              <w:top w:val="single" w:sz="4" w:space="0" w:color="auto"/>
              <w:left w:val="nil"/>
              <w:bottom w:val="nil"/>
              <w:right w:val="nil"/>
            </w:tcBorders>
            <w:shd w:val="clear" w:color="auto" w:fill="auto"/>
            <w:noWrap/>
            <w:vAlign w:val="bottom"/>
            <w:hideMark/>
          </w:tcPr>
          <w:p w14:paraId="57AC001D" w14:textId="77777777" w:rsidR="00AB178F" w:rsidRPr="00861214" w:rsidRDefault="00AB178F" w:rsidP="00AB178F">
            <w:pPr>
              <w:rPr>
                <w:rFonts w:ascii="Times New Roman" w:hAnsi="Times New Roman"/>
                <w:sz w:val="20"/>
                <w:szCs w:val="20"/>
                <w:lang w:eastAsia="en-GB"/>
              </w:rPr>
            </w:pPr>
          </w:p>
        </w:tc>
        <w:tc>
          <w:tcPr>
            <w:tcW w:w="1555" w:type="dxa"/>
            <w:tcBorders>
              <w:top w:val="single" w:sz="4" w:space="0" w:color="auto"/>
              <w:left w:val="nil"/>
              <w:bottom w:val="nil"/>
              <w:right w:val="nil"/>
            </w:tcBorders>
            <w:shd w:val="clear" w:color="auto" w:fill="auto"/>
            <w:noWrap/>
            <w:vAlign w:val="bottom"/>
            <w:hideMark/>
          </w:tcPr>
          <w:p w14:paraId="7C8D39CA" w14:textId="77777777" w:rsidR="00AB178F" w:rsidRPr="00861214" w:rsidRDefault="00AB178F" w:rsidP="00AB178F">
            <w:pPr>
              <w:rPr>
                <w:rFonts w:ascii="Times New Roman" w:hAnsi="Times New Roman"/>
                <w:sz w:val="20"/>
                <w:szCs w:val="20"/>
                <w:lang w:eastAsia="en-GB"/>
              </w:rPr>
            </w:pPr>
          </w:p>
        </w:tc>
        <w:tc>
          <w:tcPr>
            <w:tcW w:w="1801" w:type="dxa"/>
            <w:tcBorders>
              <w:top w:val="single" w:sz="4" w:space="0" w:color="auto"/>
              <w:left w:val="nil"/>
              <w:bottom w:val="nil"/>
              <w:right w:val="single" w:sz="4" w:space="0" w:color="auto"/>
            </w:tcBorders>
            <w:shd w:val="clear" w:color="auto" w:fill="auto"/>
            <w:noWrap/>
            <w:vAlign w:val="bottom"/>
            <w:hideMark/>
          </w:tcPr>
          <w:p w14:paraId="50EEF1BE" w14:textId="77777777" w:rsidR="00AB178F" w:rsidRPr="00861214" w:rsidRDefault="00AB178F" w:rsidP="00AB178F">
            <w:pPr>
              <w:rPr>
                <w:rFonts w:ascii="Times New Roman" w:hAnsi="Times New Roman"/>
                <w:sz w:val="20"/>
                <w:szCs w:val="20"/>
                <w:lang w:eastAsia="en-GB"/>
              </w:rPr>
            </w:pPr>
          </w:p>
        </w:tc>
      </w:tr>
      <w:tr w:rsidR="00AB178F" w:rsidRPr="00861214" w14:paraId="3E6F176E" w14:textId="77777777" w:rsidTr="00AB178F">
        <w:trPr>
          <w:trHeight w:val="270"/>
        </w:trPr>
        <w:tc>
          <w:tcPr>
            <w:tcW w:w="4962" w:type="dxa"/>
            <w:tcBorders>
              <w:left w:val="single" w:sz="4" w:space="0" w:color="auto"/>
              <w:bottom w:val="single" w:sz="4" w:space="0" w:color="auto"/>
              <w:right w:val="nil"/>
            </w:tcBorders>
            <w:shd w:val="clear" w:color="auto" w:fill="auto"/>
            <w:noWrap/>
            <w:vAlign w:val="center"/>
            <w:hideMark/>
          </w:tcPr>
          <w:p w14:paraId="5FF01B6B" w14:textId="77777777" w:rsidR="00AB178F" w:rsidRPr="00861214" w:rsidRDefault="00AB178F" w:rsidP="00AB178F">
            <w:pPr>
              <w:rPr>
                <w:b/>
                <w:bCs/>
                <w:color w:val="000000"/>
                <w:sz w:val="20"/>
                <w:szCs w:val="20"/>
                <w:lang w:eastAsia="en-GB"/>
              </w:rPr>
            </w:pPr>
            <w:r w:rsidRPr="00861214">
              <w:rPr>
                <w:b/>
                <w:bCs/>
                <w:color w:val="000000"/>
                <w:sz w:val="20"/>
                <w:szCs w:val="20"/>
                <w:lang w:eastAsia="en-GB"/>
              </w:rPr>
              <w:t>EXPENDITURES</w:t>
            </w:r>
          </w:p>
        </w:tc>
        <w:tc>
          <w:tcPr>
            <w:tcW w:w="1291" w:type="dxa"/>
            <w:tcBorders>
              <w:top w:val="nil"/>
              <w:left w:val="nil"/>
              <w:bottom w:val="single" w:sz="4" w:space="0" w:color="auto"/>
              <w:right w:val="nil"/>
            </w:tcBorders>
            <w:shd w:val="clear" w:color="auto" w:fill="auto"/>
            <w:noWrap/>
            <w:vAlign w:val="bottom"/>
            <w:hideMark/>
          </w:tcPr>
          <w:p w14:paraId="1958C27F" w14:textId="77777777" w:rsidR="00AB178F" w:rsidRPr="00861214" w:rsidRDefault="00AB178F" w:rsidP="00AB178F">
            <w:pPr>
              <w:rPr>
                <w:b/>
                <w:bCs/>
                <w:color w:val="000000"/>
                <w:sz w:val="20"/>
                <w:szCs w:val="20"/>
                <w:lang w:eastAsia="en-GB"/>
              </w:rPr>
            </w:pPr>
          </w:p>
        </w:tc>
        <w:tc>
          <w:tcPr>
            <w:tcW w:w="1252" w:type="dxa"/>
            <w:tcBorders>
              <w:top w:val="nil"/>
              <w:left w:val="nil"/>
              <w:bottom w:val="single" w:sz="4" w:space="0" w:color="auto"/>
            </w:tcBorders>
            <w:shd w:val="clear" w:color="auto" w:fill="auto"/>
            <w:noWrap/>
            <w:vAlign w:val="bottom"/>
            <w:hideMark/>
          </w:tcPr>
          <w:p w14:paraId="7D2A47D1" w14:textId="77777777" w:rsidR="00AB178F" w:rsidRPr="00861214" w:rsidRDefault="00AB178F" w:rsidP="00AB178F">
            <w:pPr>
              <w:rPr>
                <w:rFonts w:ascii="Times New Roman" w:hAnsi="Times New Roman"/>
                <w:sz w:val="20"/>
                <w:szCs w:val="20"/>
                <w:lang w:eastAsia="en-GB"/>
              </w:rPr>
            </w:pPr>
          </w:p>
        </w:tc>
        <w:tc>
          <w:tcPr>
            <w:tcW w:w="1271" w:type="dxa"/>
            <w:tcBorders>
              <w:top w:val="nil"/>
              <w:left w:val="nil"/>
              <w:bottom w:val="single" w:sz="4" w:space="0" w:color="auto"/>
              <w:right w:val="nil"/>
            </w:tcBorders>
            <w:shd w:val="clear" w:color="auto" w:fill="auto"/>
            <w:noWrap/>
            <w:vAlign w:val="bottom"/>
            <w:hideMark/>
          </w:tcPr>
          <w:p w14:paraId="5A121A48" w14:textId="77777777" w:rsidR="00AB178F" w:rsidRPr="00861214" w:rsidRDefault="00AB178F" w:rsidP="00AB178F">
            <w:pPr>
              <w:rPr>
                <w:rFonts w:ascii="Arial" w:hAnsi="Arial" w:cs="Arial"/>
                <w:color w:val="000000"/>
                <w:sz w:val="20"/>
                <w:szCs w:val="20"/>
                <w:lang w:eastAsia="en-GB"/>
              </w:rPr>
            </w:pPr>
            <w:r w:rsidRPr="00861214">
              <w:rPr>
                <w:rFonts w:ascii="Arial" w:hAnsi="Arial" w:cs="Arial"/>
                <w:color w:val="000000"/>
                <w:sz w:val="20"/>
                <w:szCs w:val="20"/>
                <w:lang w:eastAsia="en-GB"/>
              </w:rPr>
              <w:t> </w:t>
            </w:r>
          </w:p>
        </w:tc>
        <w:tc>
          <w:tcPr>
            <w:tcW w:w="1555" w:type="dxa"/>
            <w:tcBorders>
              <w:top w:val="nil"/>
              <w:left w:val="nil"/>
              <w:bottom w:val="single" w:sz="4" w:space="0" w:color="auto"/>
              <w:right w:val="nil"/>
            </w:tcBorders>
            <w:shd w:val="clear" w:color="auto" w:fill="auto"/>
            <w:noWrap/>
            <w:vAlign w:val="bottom"/>
            <w:hideMark/>
          </w:tcPr>
          <w:p w14:paraId="038711A7" w14:textId="77777777" w:rsidR="00AB178F" w:rsidRPr="00861214" w:rsidRDefault="00AB178F" w:rsidP="00AB178F">
            <w:pPr>
              <w:rPr>
                <w:rFonts w:ascii="Arial" w:hAnsi="Arial" w:cs="Arial"/>
                <w:color w:val="000000"/>
                <w:sz w:val="20"/>
                <w:szCs w:val="20"/>
                <w:lang w:eastAsia="en-GB"/>
              </w:rPr>
            </w:pPr>
          </w:p>
        </w:tc>
        <w:tc>
          <w:tcPr>
            <w:tcW w:w="1801" w:type="dxa"/>
            <w:tcBorders>
              <w:top w:val="nil"/>
              <w:left w:val="nil"/>
              <w:bottom w:val="single" w:sz="4" w:space="0" w:color="auto"/>
              <w:right w:val="single" w:sz="4" w:space="0" w:color="auto"/>
            </w:tcBorders>
            <w:shd w:val="clear" w:color="auto" w:fill="auto"/>
            <w:noWrap/>
            <w:vAlign w:val="bottom"/>
            <w:hideMark/>
          </w:tcPr>
          <w:p w14:paraId="6FBCF0CF" w14:textId="77777777" w:rsidR="00AB178F" w:rsidRPr="00861214" w:rsidRDefault="00AB178F" w:rsidP="00AB178F">
            <w:pPr>
              <w:rPr>
                <w:rFonts w:ascii="Times New Roman" w:hAnsi="Times New Roman"/>
                <w:sz w:val="20"/>
                <w:szCs w:val="20"/>
                <w:lang w:eastAsia="en-GB"/>
              </w:rPr>
            </w:pPr>
          </w:p>
        </w:tc>
      </w:tr>
      <w:tr w:rsidR="00AB178F" w:rsidRPr="00861214" w14:paraId="6E11E333" w14:textId="77777777" w:rsidTr="001037CE">
        <w:trPr>
          <w:trHeight w:val="270"/>
        </w:trPr>
        <w:tc>
          <w:tcPr>
            <w:tcW w:w="496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46E2B5E5" w14:textId="77777777" w:rsidR="00AB178F" w:rsidRPr="00861214" w:rsidRDefault="00AB178F" w:rsidP="00AB178F">
            <w:pPr>
              <w:rPr>
                <w:color w:val="000000"/>
                <w:sz w:val="20"/>
                <w:szCs w:val="20"/>
                <w:lang w:eastAsia="en-GB"/>
              </w:rPr>
            </w:pPr>
            <w:r w:rsidRPr="00861214">
              <w:rPr>
                <w:color w:val="000000"/>
                <w:sz w:val="20"/>
                <w:szCs w:val="20"/>
                <w:lang w:eastAsia="en-GB"/>
              </w:rPr>
              <w:t>A.  Secretariat Senior Management</w:t>
            </w:r>
          </w:p>
        </w:tc>
        <w:tc>
          <w:tcPr>
            <w:tcW w:w="1291" w:type="dxa"/>
            <w:tcBorders>
              <w:top w:val="single" w:sz="4" w:space="0" w:color="auto"/>
              <w:left w:val="nil"/>
              <w:bottom w:val="single" w:sz="4" w:space="0" w:color="auto"/>
              <w:right w:val="single" w:sz="4" w:space="0" w:color="auto"/>
            </w:tcBorders>
            <w:shd w:val="clear" w:color="auto" w:fill="E2EFD9" w:themeFill="accent6" w:themeFillTint="33"/>
            <w:noWrap/>
            <w:vAlign w:val="center"/>
            <w:hideMark/>
          </w:tcPr>
          <w:p w14:paraId="0268F15B" w14:textId="77777777" w:rsidR="00AB178F" w:rsidRPr="00861214" w:rsidRDefault="00AB178F" w:rsidP="00AB178F">
            <w:pPr>
              <w:jc w:val="right"/>
              <w:rPr>
                <w:b/>
                <w:bCs/>
                <w:color w:val="000000"/>
                <w:sz w:val="20"/>
                <w:szCs w:val="20"/>
                <w:lang w:eastAsia="en-GB"/>
              </w:rPr>
            </w:pPr>
            <w:r w:rsidRPr="00861214">
              <w:rPr>
                <w:b/>
                <w:bCs/>
                <w:color w:val="000000"/>
                <w:sz w:val="20"/>
                <w:szCs w:val="20"/>
                <w:lang w:eastAsia="en-GB"/>
              </w:rPr>
              <w:t>1,030</w:t>
            </w:r>
          </w:p>
        </w:tc>
        <w:tc>
          <w:tcPr>
            <w:tcW w:w="1252" w:type="dxa"/>
            <w:tcBorders>
              <w:top w:val="single" w:sz="4" w:space="0" w:color="auto"/>
              <w:left w:val="nil"/>
              <w:bottom w:val="single" w:sz="4" w:space="0" w:color="auto"/>
              <w:right w:val="single" w:sz="4" w:space="0" w:color="auto"/>
            </w:tcBorders>
            <w:shd w:val="clear" w:color="auto" w:fill="E2EFD9" w:themeFill="accent6" w:themeFillTint="33"/>
            <w:noWrap/>
            <w:vAlign w:val="center"/>
            <w:hideMark/>
          </w:tcPr>
          <w:p w14:paraId="0EFFD766" w14:textId="77777777" w:rsidR="00AB178F" w:rsidRPr="00861214" w:rsidRDefault="00AB178F" w:rsidP="00AB178F">
            <w:pPr>
              <w:jc w:val="right"/>
              <w:rPr>
                <w:b/>
                <w:bCs/>
                <w:color w:val="000000"/>
                <w:sz w:val="20"/>
                <w:szCs w:val="20"/>
                <w:lang w:eastAsia="en-GB"/>
              </w:rPr>
            </w:pPr>
            <w:r w:rsidRPr="00861214">
              <w:rPr>
                <w:b/>
                <w:bCs/>
                <w:color w:val="000000"/>
                <w:sz w:val="20"/>
                <w:szCs w:val="20"/>
                <w:lang w:eastAsia="en-GB"/>
              </w:rPr>
              <w:t>5</w:t>
            </w:r>
          </w:p>
        </w:tc>
        <w:tc>
          <w:tcPr>
            <w:tcW w:w="1271"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center"/>
            <w:hideMark/>
          </w:tcPr>
          <w:p w14:paraId="07F72566" w14:textId="77777777" w:rsidR="00AB178F" w:rsidRPr="00861214" w:rsidRDefault="00AB178F" w:rsidP="00AB178F">
            <w:pPr>
              <w:jc w:val="right"/>
              <w:rPr>
                <w:b/>
                <w:bCs/>
                <w:color w:val="000000"/>
                <w:sz w:val="20"/>
                <w:szCs w:val="20"/>
                <w:lang w:eastAsia="en-GB"/>
              </w:rPr>
            </w:pPr>
            <w:r w:rsidRPr="00861214">
              <w:rPr>
                <w:b/>
                <w:bCs/>
                <w:color w:val="000000"/>
                <w:sz w:val="20"/>
                <w:szCs w:val="20"/>
                <w:lang w:eastAsia="en-GB"/>
              </w:rPr>
              <w:t>0</w:t>
            </w:r>
          </w:p>
        </w:tc>
        <w:tc>
          <w:tcPr>
            <w:tcW w:w="1555" w:type="dxa"/>
            <w:tcBorders>
              <w:top w:val="single" w:sz="4" w:space="0" w:color="auto"/>
              <w:left w:val="nil"/>
              <w:bottom w:val="single" w:sz="4" w:space="0" w:color="auto"/>
              <w:right w:val="single" w:sz="4" w:space="0" w:color="auto"/>
            </w:tcBorders>
            <w:shd w:val="clear" w:color="auto" w:fill="E2EFD9" w:themeFill="accent6" w:themeFillTint="33"/>
            <w:noWrap/>
            <w:vAlign w:val="center"/>
            <w:hideMark/>
          </w:tcPr>
          <w:p w14:paraId="2F626D28" w14:textId="77777777" w:rsidR="00AB178F" w:rsidRPr="00861214" w:rsidRDefault="00AB178F" w:rsidP="00AB178F">
            <w:pPr>
              <w:jc w:val="right"/>
              <w:rPr>
                <w:b/>
                <w:bCs/>
                <w:color w:val="000000"/>
                <w:sz w:val="20"/>
                <w:szCs w:val="20"/>
                <w:lang w:eastAsia="en-GB"/>
              </w:rPr>
            </w:pPr>
            <w:r w:rsidRPr="00861214">
              <w:rPr>
                <w:b/>
                <w:bCs/>
                <w:color w:val="000000"/>
                <w:sz w:val="20"/>
                <w:szCs w:val="20"/>
                <w:lang w:eastAsia="en-GB"/>
              </w:rPr>
              <w:t>0</w:t>
            </w:r>
          </w:p>
        </w:tc>
        <w:tc>
          <w:tcPr>
            <w:tcW w:w="1801" w:type="dxa"/>
            <w:tcBorders>
              <w:top w:val="single" w:sz="4" w:space="0" w:color="auto"/>
              <w:left w:val="nil"/>
              <w:bottom w:val="single" w:sz="4" w:space="0" w:color="auto"/>
              <w:right w:val="single" w:sz="4" w:space="0" w:color="auto"/>
            </w:tcBorders>
            <w:shd w:val="clear" w:color="auto" w:fill="E2EFD9" w:themeFill="accent6" w:themeFillTint="33"/>
            <w:noWrap/>
            <w:vAlign w:val="center"/>
            <w:hideMark/>
          </w:tcPr>
          <w:p w14:paraId="6E026CB9" w14:textId="77777777" w:rsidR="00AB178F" w:rsidRPr="00861214" w:rsidRDefault="00AB178F" w:rsidP="00AB178F">
            <w:pPr>
              <w:jc w:val="right"/>
              <w:rPr>
                <w:b/>
                <w:bCs/>
                <w:color w:val="000000"/>
                <w:sz w:val="20"/>
                <w:szCs w:val="20"/>
                <w:lang w:eastAsia="en-GB"/>
              </w:rPr>
            </w:pPr>
            <w:r w:rsidRPr="00861214">
              <w:rPr>
                <w:b/>
                <w:bCs/>
                <w:color w:val="000000"/>
                <w:sz w:val="20"/>
                <w:szCs w:val="20"/>
                <w:lang w:eastAsia="en-GB"/>
              </w:rPr>
              <w:t>1,035</w:t>
            </w:r>
          </w:p>
        </w:tc>
      </w:tr>
      <w:tr w:rsidR="00AB178F" w:rsidRPr="00861214" w14:paraId="00C27505" w14:textId="77777777" w:rsidTr="00AB178F">
        <w:trPr>
          <w:trHeight w:val="270"/>
        </w:trPr>
        <w:tc>
          <w:tcPr>
            <w:tcW w:w="4962" w:type="dxa"/>
            <w:tcBorders>
              <w:top w:val="single" w:sz="4" w:space="0" w:color="auto"/>
              <w:left w:val="single" w:sz="4" w:space="0" w:color="auto"/>
              <w:bottom w:val="single" w:sz="4" w:space="0" w:color="auto"/>
              <w:right w:val="nil"/>
            </w:tcBorders>
            <w:shd w:val="clear" w:color="auto" w:fill="auto"/>
            <w:noWrap/>
            <w:vAlign w:val="center"/>
            <w:hideMark/>
          </w:tcPr>
          <w:p w14:paraId="3F460E3E" w14:textId="77777777" w:rsidR="00AB178F" w:rsidRPr="00861214" w:rsidRDefault="00AB178F" w:rsidP="00AB178F">
            <w:pPr>
              <w:rPr>
                <w:sz w:val="20"/>
                <w:szCs w:val="20"/>
                <w:lang w:eastAsia="en-GB"/>
              </w:rPr>
            </w:pPr>
            <w:r w:rsidRPr="00861214">
              <w:rPr>
                <w:sz w:val="20"/>
                <w:szCs w:val="20"/>
                <w:lang w:eastAsia="en-GB"/>
              </w:rPr>
              <w:t>Salaries, social costs and other benefits</w:t>
            </w:r>
          </w:p>
        </w:tc>
        <w:tc>
          <w:tcPr>
            <w:tcW w:w="1291" w:type="dxa"/>
            <w:tcBorders>
              <w:top w:val="nil"/>
              <w:left w:val="single" w:sz="4" w:space="0" w:color="auto"/>
              <w:bottom w:val="single" w:sz="4" w:space="0" w:color="auto"/>
              <w:right w:val="single" w:sz="4" w:space="0" w:color="auto"/>
            </w:tcBorders>
            <w:shd w:val="clear" w:color="auto" w:fill="auto"/>
            <w:noWrap/>
            <w:vAlign w:val="center"/>
            <w:hideMark/>
          </w:tcPr>
          <w:p w14:paraId="7D9D3DF5" w14:textId="77777777" w:rsidR="00AB178F" w:rsidRPr="00861214" w:rsidRDefault="00AB178F" w:rsidP="00AB178F">
            <w:pPr>
              <w:jc w:val="right"/>
              <w:rPr>
                <w:sz w:val="20"/>
                <w:szCs w:val="20"/>
                <w:lang w:eastAsia="en-GB"/>
              </w:rPr>
            </w:pPr>
            <w:r w:rsidRPr="00861214">
              <w:rPr>
                <w:sz w:val="20"/>
                <w:szCs w:val="20"/>
                <w:lang w:eastAsia="en-GB"/>
              </w:rPr>
              <w:t>990</w:t>
            </w:r>
          </w:p>
        </w:tc>
        <w:tc>
          <w:tcPr>
            <w:tcW w:w="1252" w:type="dxa"/>
            <w:tcBorders>
              <w:top w:val="nil"/>
              <w:left w:val="nil"/>
              <w:bottom w:val="single" w:sz="4" w:space="0" w:color="auto"/>
              <w:right w:val="single" w:sz="4" w:space="0" w:color="auto"/>
            </w:tcBorders>
            <w:shd w:val="clear" w:color="auto" w:fill="auto"/>
            <w:noWrap/>
            <w:vAlign w:val="center"/>
            <w:hideMark/>
          </w:tcPr>
          <w:p w14:paraId="145ECD41" w14:textId="77777777" w:rsidR="00AB178F" w:rsidRPr="00861214" w:rsidRDefault="00AB178F" w:rsidP="00AB178F">
            <w:pPr>
              <w:jc w:val="right"/>
              <w:rPr>
                <w:sz w:val="20"/>
                <w:szCs w:val="20"/>
                <w:lang w:eastAsia="en-GB"/>
              </w:rPr>
            </w:pPr>
            <w:r w:rsidRPr="00861214">
              <w:rPr>
                <w:sz w:val="20"/>
                <w:szCs w:val="20"/>
                <w:lang w:eastAsia="en-GB"/>
              </w:rPr>
              <w:t>0</w:t>
            </w:r>
          </w:p>
        </w:tc>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13F4E3CC" w14:textId="77777777" w:rsidR="00AB178F" w:rsidRPr="00861214" w:rsidRDefault="00AB178F" w:rsidP="00AB178F">
            <w:pPr>
              <w:jc w:val="right"/>
              <w:rPr>
                <w:color w:val="000000"/>
                <w:sz w:val="20"/>
                <w:szCs w:val="20"/>
                <w:lang w:eastAsia="en-GB"/>
              </w:rPr>
            </w:pPr>
            <w:r w:rsidRPr="00861214">
              <w:rPr>
                <w:color w:val="000000"/>
                <w:sz w:val="20"/>
                <w:szCs w:val="20"/>
                <w:lang w:eastAsia="en-GB"/>
              </w:rPr>
              <w:t>0</w:t>
            </w:r>
          </w:p>
        </w:tc>
        <w:tc>
          <w:tcPr>
            <w:tcW w:w="1555" w:type="dxa"/>
            <w:tcBorders>
              <w:top w:val="nil"/>
              <w:left w:val="nil"/>
              <w:bottom w:val="single" w:sz="4" w:space="0" w:color="auto"/>
              <w:right w:val="single" w:sz="4" w:space="0" w:color="auto"/>
            </w:tcBorders>
            <w:shd w:val="clear" w:color="auto" w:fill="auto"/>
            <w:noWrap/>
            <w:vAlign w:val="center"/>
            <w:hideMark/>
          </w:tcPr>
          <w:p w14:paraId="34D3D0E4" w14:textId="77777777" w:rsidR="00AB178F" w:rsidRPr="00861214" w:rsidRDefault="00AB178F" w:rsidP="00AB178F">
            <w:pPr>
              <w:rPr>
                <w:sz w:val="20"/>
                <w:szCs w:val="20"/>
                <w:lang w:eastAsia="en-GB"/>
              </w:rPr>
            </w:pPr>
            <w:r w:rsidRPr="00861214">
              <w:rPr>
                <w:sz w:val="20"/>
                <w:szCs w:val="20"/>
                <w:lang w:eastAsia="en-GB"/>
              </w:rPr>
              <w:t> </w:t>
            </w:r>
          </w:p>
        </w:tc>
        <w:tc>
          <w:tcPr>
            <w:tcW w:w="1801" w:type="dxa"/>
            <w:tcBorders>
              <w:top w:val="nil"/>
              <w:left w:val="nil"/>
              <w:bottom w:val="single" w:sz="4" w:space="0" w:color="auto"/>
              <w:right w:val="single" w:sz="4" w:space="0" w:color="auto"/>
            </w:tcBorders>
            <w:shd w:val="clear" w:color="auto" w:fill="auto"/>
            <w:noWrap/>
            <w:vAlign w:val="center"/>
            <w:hideMark/>
          </w:tcPr>
          <w:p w14:paraId="3D01951E" w14:textId="77777777" w:rsidR="00AB178F" w:rsidRPr="00861214" w:rsidRDefault="00AB178F" w:rsidP="00AB178F">
            <w:pPr>
              <w:jc w:val="right"/>
              <w:rPr>
                <w:color w:val="000000"/>
                <w:sz w:val="20"/>
                <w:szCs w:val="20"/>
                <w:lang w:eastAsia="en-GB"/>
              </w:rPr>
            </w:pPr>
            <w:r w:rsidRPr="00861214">
              <w:rPr>
                <w:color w:val="000000"/>
                <w:sz w:val="20"/>
                <w:szCs w:val="20"/>
                <w:lang w:eastAsia="en-GB"/>
              </w:rPr>
              <w:t>990</w:t>
            </w:r>
          </w:p>
        </w:tc>
      </w:tr>
      <w:tr w:rsidR="00AB178F" w:rsidRPr="00861214" w14:paraId="0E3AA637" w14:textId="77777777" w:rsidTr="00AB178F">
        <w:trPr>
          <w:trHeight w:val="270"/>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10017B" w14:textId="77777777" w:rsidR="00AB178F" w:rsidRPr="00861214" w:rsidRDefault="00AB178F" w:rsidP="00AB178F">
            <w:pPr>
              <w:rPr>
                <w:sz w:val="20"/>
                <w:szCs w:val="20"/>
                <w:lang w:eastAsia="en-GB"/>
              </w:rPr>
            </w:pPr>
            <w:r w:rsidRPr="00861214">
              <w:rPr>
                <w:sz w:val="20"/>
                <w:szCs w:val="20"/>
                <w:lang w:eastAsia="en-GB"/>
              </w:rPr>
              <w:t>Travel</w:t>
            </w:r>
          </w:p>
        </w:tc>
        <w:tc>
          <w:tcPr>
            <w:tcW w:w="1291" w:type="dxa"/>
            <w:tcBorders>
              <w:top w:val="nil"/>
              <w:left w:val="nil"/>
              <w:bottom w:val="single" w:sz="4" w:space="0" w:color="auto"/>
              <w:right w:val="single" w:sz="4" w:space="0" w:color="auto"/>
            </w:tcBorders>
            <w:shd w:val="clear" w:color="auto" w:fill="auto"/>
            <w:noWrap/>
            <w:vAlign w:val="center"/>
            <w:hideMark/>
          </w:tcPr>
          <w:p w14:paraId="64159C28" w14:textId="77777777" w:rsidR="00AB178F" w:rsidRPr="00861214" w:rsidRDefault="00AB178F" w:rsidP="00AB178F">
            <w:pPr>
              <w:jc w:val="right"/>
              <w:rPr>
                <w:sz w:val="20"/>
                <w:szCs w:val="20"/>
                <w:lang w:eastAsia="en-GB"/>
              </w:rPr>
            </w:pPr>
            <w:r w:rsidRPr="00861214">
              <w:rPr>
                <w:sz w:val="20"/>
                <w:szCs w:val="20"/>
                <w:lang w:eastAsia="en-GB"/>
              </w:rPr>
              <w:t>40</w:t>
            </w:r>
          </w:p>
        </w:tc>
        <w:tc>
          <w:tcPr>
            <w:tcW w:w="1252" w:type="dxa"/>
            <w:tcBorders>
              <w:top w:val="nil"/>
              <w:left w:val="nil"/>
              <w:bottom w:val="single" w:sz="4" w:space="0" w:color="auto"/>
              <w:right w:val="single" w:sz="4" w:space="0" w:color="auto"/>
            </w:tcBorders>
            <w:shd w:val="clear" w:color="auto" w:fill="auto"/>
            <w:noWrap/>
            <w:vAlign w:val="center"/>
            <w:hideMark/>
          </w:tcPr>
          <w:p w14:paraId="2C1492FC" w14:textId="77777777" w:rsidR="00AB178F" w:rsidRPr="00861214" w:rsidRDefault="00AB178F" w:rsidP="00AB178F">
            <w:pPr>
              <w:jc w:val="right"/>
              <w:rPr>
                <w:sz w:val="20"/>
                <w:szCs w:val="20"/>
                <w:lang w:eastAsia="en-GB"/>
              </w:rPr>
            </w:pPr>
            <w:r w:rsidRPr="00861214">
              <w:rPr>
                <w:sz w:val="20"/>
                <w:szCs w:val="20"/>
                <w:lang w:eastAsia="en-GB"/>
              </w:rPr>
              <w:t>5</w:t>
            </w:r>
          </w:p>
        </w:tc>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2C5788F7" w14:textId="77777777" w:rsidR="00AB178F" w:rsidRPr="00861214" w:rsidRDefault="00AB178F" w:rsidP="00AB178F">
            <w:pPr>
              <w:jc w:val="right"/>
              <w:rPr>
                <w:color w:val="000000"/>
                <w:sz w:val="20"/>
                <w:szCs w:val="20"/>
                <w:lang w:eastAsia="en-GB"/>
              </w:rPr>
            </w:pPr>
            <w:r w:rsidRPr="00861214">
              <w:rPr>
                <w:color w:val="000000"/>
                <w:sz w:val="20"/>
                <w:szCs w:val="20"/>
                <w:lang w:eastAsia="en-GB"/>
              </w:rPr>
              <w:t>0</w:t>
            </w:r>
          </w:p>
        </w:tc>
        <w:tc>
          <w:tcPr>
            <w:tcW w:w="1555" w:type="dxa"/>
            <w:tcBorders>
              <w:top w:val="nil"/>
              <w:left w:val="nil"/>
              <w:bottom w:val="single" w:sz="4" w:space="0" w:color="auto"/>
              <w:right w:val="single" w:sz="4" w:space="0" w:color="auto"/>
            </w:tcBorders>
            <w:shd w:val="clear" w:color="auto" w:fill="auto"/>
            <w:noWrap/>
            <w:vAlign w:val="center"/>
            <w:hideMark/>
          </w:tcPr>
          <w:p w14:paraId="352E4725" w14:textId="77777777" w:rsidR="00AB178F" w:rsidRPr="00861214" w:rsidRDefault="00AB178F" w:rsidP="00AB178F">
            <w:pPr>
              <w:rPr>
                <w:sz w:val="20"/>
                <w:szCs w:val="20"/>
                <w:lang w:eastAsia="en-GB"/>
              </w:rPr>
            </w:pPr>
            <w:r w:rsidRPr="00861214">
              <w:rPr>
                <w:sz w:val="20"/>
                <w:szCs w:val="20"/>
                <w:lang w:eastAsia="en-GB"/>
              </w:rPr>
              <w:t> </w:t>
            </w:r>
          </w:p>
        </w:tc>
        <w:tc>
          <w:tcPr>
            <w:tcW w:w="1801" w:type="dxa"/>
            <w:tcBorders>
              <w:top w:val="nil"/>
              <w:left w:val="nil"/>
              <w:bottom w:val="single" w:sz="4" w:space="0" w:color="auto"/>
              <w:right w:val="single" w:sz="4" w:space="0" w:color="auto"/>
            </w:tcBorders>
            <w:shd w:val="clear" w:color="auto" w:fill="auto"/>
            <w:noWrap/>
            <w:vAlign w:val="center"/>
            <w:hideMark/>
          </w:tcPr>
          <w:p w14:paraId="4B6C20FF" w14:textId="77777777" w:rsidR="00AB178F" w:rsidRPr="00861214" w:rsidRDefault="00AB178F" w:rsidP="00AB178F">
            <w:pPr>
              <w:jc w:val="right"/>
              <w:rPr>
                <w:color w:val="000000"/>
                <w:sz w:val="20"/>
                <w:szCs w:val="20"/>
                <w:lang w:eastAsia="en-GB"/>
              </w:rPr>
            </w:pPr>
            <w:r w:rsidRPr="00861214">
              <w:rPr>
                <w:color w:val="000000"/>
                <w:sz w:val="20"/>
                <w:szCs w:val="20"/>
                <w:lang w:eastAsia="en-GB"/>
              </w:rPr>
              <w:t>45</w:t>
            </w:r>
          </w:p>
        </w:tc>
      </w:tr>
      <w:tr w:rsidR="00AB178F" w:rsidRPr="00861214" w14:paraId="3CD2C2F3" w14:textId="77777777" w:rsidTr="001037CE">
        <w:trPr>
          <w:trHeight w:val="270"/>
        </w:trPr>
        <w:tc>
          <w:tcPr>
            <w:tcW w:w="4962" w:type="dxa"/>
            <w:tcBorders>
              <w:top w:val="nil"/>
              <w:left w:val="single" w:sz="4" w:space="0" w:color="auto"/>
              <w:bottom w:val="single" w:sz="4" w:space="0" w:color="auto"/>
              <w:right w:val="single" w:sz="4" w:space="0" w:color="auto"/>
            </w:tcBorders>
            <w:shd w:val="clear" w:color="auto" w:fill="E2EFD9" w:themeFill="accent6" w:themeFillTint="33"/>
            <w:vAlign w:val="center"/>
            <w:hideMark/>
          </w:tcPr>
          <w:p w14:paraId="7B073BB5" w14:textId="77777777" w:rsidR="00AB178F" w:rsidRPr="00861214" w:rsidRDefault="00AB178F" w:rsidP="00AB178F">
            <w:pPr>
              <w:rPr>
                <w:color w:val="000000"/>
                <w:sz w:val="20"/>
                <w:szCs w:val="20"/>
                <w:lang w:eastAsia="en-GB"/>
              </w:rPr>
            </w:pPr>
            <w:r w:rsidRPr="00861214">
              <w:rPr>
                <w:color w:val="000000"/>
                <w:sz w:val="20"/>
                <w:szCs w:val="20"/>
                <w:lang w:eastAsia="en-GB"/>
              </w:rPr>
              <w:t>B.  Resource Mobilization and Outreach</w:t>
            </w:r>
          </w:p>
        </w:tc>
        <w:tc>
          <w:tcPr>
            <w:tcW w:w="1291" w:type="dxa"/>
            <w:tcBorders>
              <w:top w:val="nil"/>
              <w:left w:val="nil"/>
              <w:bottom w:val="single" w:sz="4" w:space="0" w:color="auto"/>
              <w:right w:val="single" w:sz="4" w:space="0" w:color="auto"/>
            </w:tcBorders>
            <w:shd w:val="clear" w:color="auto" w:fill="E2EFD9" w:themeFill="accent6" w:themeFillTint="33"/>
            <w:noWrap/>
            <w:vAlign w:val="center"/>
            <w:hideMark/>
          </w:tcPr>
          <w:p w14:paraId="5F8A83A4" w14:textId="77777777" w:rsidR="00AB178F" w:rsidRPr="00861214" w:rsidRDefault="00AB178F" w:rsidP="00AB178F">
            <w:pPr>
              <w:jc w:val="right"/>
              <w:rPr>
                <w:b/>
                <w:bCs/>
                <w:color w:val="000000"/>
                <w:sz w:val="20"/>
                <w:szCs w:val="20"/>
                <w:lang w:eastAsia="en-GB"/>
              </w:rPr>
            </w:pPr>
            <w:r w:rsidRPr="00861214">
              <w:rPr>
                <w:b/>
                <w:bCs/>
                <w:color w:val="000000"/>
                <w:sz w:val="20"/>
                <w:szCs w:val="20"/>
                <w:lang w:eastAsia="en-GB"/>
              </w:rPr>
              <w:t>594</w:t>
            </w:r>
          </w:p>
        </w:tc>
        <w:tc>
          <w:tcPr>
            <w:tcW w:w="1252" w:type="dxa"/>
            <w:tcBorders>
              <w:top w:val="nil"/>
              <w:left w:val="nil"/>
              <w:bottom w:val="single" w:sz="4" w:space="0" w:color="auto"/>
              <w:right w:val="single" w:sz="4" w:space="0" w:color="auto"/>
            </w:tcBorders>
            <w:shd w:val="clear" w:color="auto" w:fill="E2EFD9" w:themeFill="accent6" w:themeFillTint="33"/>
            <w:noWrap/>
            <w:vAlign w:val="center"/>
            <w:hideMark/>
          </w:tcPr>
          <w:p w14:paraId="5FE91234" w14:textId="77777777" w:rsidR="00AB178F" w:rsidRPr="00861214" w:rsidRDefault="00AB178F" w:rsidP="00AB178F">
            <w:pPr>
              <w:jc w:val="right"/>
              <w:rPr>
                <w:b/>
                <w:bCs/>
                <w:color w:val="000000"/>
                <w:sz w:val="20"/>
                <w:szCs w:val="20"/>
                <w:lang w:eastAsia="en-GB"/>
              </w:rPr>
            </w:pPr>
            <w:r w:rsidRPr="00861214">
              <w:rPr>
                <w:b/>
                <w:bCs/>
                <w:color w:val="000000"/>
                <w:sz w:val="20"/>
                <w:szCs w:val="20"/>
                <w:lang w:eastAsia="en-GB"/>
              </w:rPr>
              <w:t>45</w:t>
            </w:r>
          </w:p>
        </w:tc>
        <w:tc>
          <w:tcPr>
            <w:tcW w:w="1271" w:type="dxa"/>
            <w:tcBorders>
              <w:top w:val="nil"/>
              <w:left w:val="single" w:sz="4" w:space="0" w:color="auto"/>
              <w:bottom w:val="single" w:sz="4" w:space="0" w:color="auto"/>
              <w:right w:val="single" w:sz="4" w:space="0" w:color="auto"/>
            </w:tcBorders>
            <w:shd w:val="clear" w:color="auto" w:fill="E2EFD9" w:themeFill="accent6" w:themeFillTint="33"/>
            <w:noWrap/>
            <w:vAlign w:val="center"/>
            <w:hideMark/>
          </w:tcPr>
          <w:p w14:paraId="0B6C36C0" w14:textId="77777777" w:rsidR="00AB178F" w:rsidRPr="00861214" w:rsidRDefault="00AB178F" w:rsidP="00AB178F">
            <w:pPr>
              <w:jc w:val="right"/>
              <w:rPr>
                <w:b/>
                <w:bCs/>
                <w:color w:val="000000"/>
                <w:sz w:val="20"/>
                <w:szCs w:val="20"/>
                <w:lang w:eastAsia="en-GB"/>
              </w:rPr>
            </w:pPr>
            <w:r w:rsidRPr="00861214">
              <w:rPr>
                <w:b/>
                <w:bCs/>
                <w:color w:val="000000"/>
                <w:sz w:val="20"/>
                <w:szCs w:val="20"/>
                <w:lang w:eastAsia="en-GB"/>
              </w:rPr>
              <w:t>211</w:t>
            </w:r>
          </w:p>
        </w:tc>
        <w:tc>
          <w:tcPr>
            <w:tcW w:w="1555" w:type="dxa"/>
            <w:tcBorders>
              <w:top w:val="nil"/>
              <w:left w:val="nil"/>
              <w:bottom w:val="single" w:sz="4" w:space="0" w:color="auto"/>
              <w:right w:val="single" w:sz="4" w:space="0" w:color="auto"/>
            </w:tcBorders>
            <w:shd w:val="clear" w:color="auto" w:fill="E2EFD9" w:themeFill="accent6" w:themeFillTint="33"/>
            <w:noWrap/>
            <w:vAlign w:val="center"/>
            <w:hideMark/>
          </w:tcPr>
          <w:p w14:paraId="517D1FC4" w14:textId="77777777" w:rsidR="00AB178F" w:rsidRPr="00861214" w:rsidRDefault="00AB178F" w:rsidP="00AB178F">
            <w:pPr>
              <w:jc w:val="right"/>
              <w:rPr>
                <w:b/>
                <w:bCs/>
                <w:color w:val="000000"/>
                <w:sz w:val="20"/>
                <w:szCs w:val="20"/>
                <w:lang w:eastAsia="en-GB"/>
              </w:rPr>
            </w:pPr>
            <w:r w:rsidRPr="00861214">
              <w:rPr>
                <w:b/>
                <w:bCs/>
                <w:color w:val="000000"/>
                <w:sz w:val="20"/>
                <w:szCs w:val="20"/>
                <w:lang w:eastAsia="en-GB"/>
              </w:rPr>
              <w:t>0</w:t>
            </w:r>
          </w:p>
        </w:tc>
        <w:tc>
          <w:tcPr>
            <w:tcW w:w="1801" w:type="dxa"/>
            <w:tcBorders>
              <w:top w:val="nil"/>
              <w:left w:val="nil"/>
              <w:bottom w:val="single" w:sz="4" w:space="0" w:color="auto"/>
              <w:right w:val="single" w:sz="4" w:space="0" w:color="auto"/>
            </w:tcBorders>
            <w:shd w:val="clear" w:color="auto" w:fill="E2EFD9" w:themeFill="accent6" w:themeFillTint="33"/>
            <w:noWrap/>
            <w:vAlign w:val="center"/>
            <w:hideMark/>
          </w:tcPr>
          <w:p w14:paraId="48388F00" w14:textId="77777777" w:rsidR="00AB178F" w:rsidRPr="00861214" w:rsidRDefault="00AB178F" w:rsidP="00AB178F">
            <w:pPr>
              <w:jc w:val="right"/>
              <w:rPr>
                <w:b/>
                <w:bCs/>
                <w:color w:val="000000"/>
                <w:sz w:val="20"/>
                <w:szCs w:val="20"/>
                <w:lang w:eastAsia="en-GB"/>
              </w:rPr>
            </w:pPr>
            <w:r w:rsidRPr="00861214">
              <w:rPr>
                <w:b/>
                <w:bCs/>
                <w:color w:val="000000"/>
                <w:sz w:val="20"/>
                <w:szCs w:val="20"/>
                <w:lang w:eastAsia="en-GB"/>
              </w:rPr>
              <w:t>850</w:t>
            </w:r>
          </w:p>
        </w:tc>
      </w:tr>
      <w:tr w:rsidR="00AB178F" w:rsidRPr="00861214" w14:paraId="117D0191" w14:textId="77777777" w:rsidTr="00AB178F">
        <w:trPr>
          <w:trHeight w:val="270"/>
        </w:trPr>
        <w:tc>
          <w:tcPr>
            <w:tcW w:w="4962" w:type="dxa"/>
            <w:tcBorders>
              <w:top w:val="single" w:sz="4" w:space="0" w:color="auto"/>
              <w:left w:val="single" w:sz="4" w:space="0" w:color="auto"/>
              <w:bottom w:val="single" w:sz="4" w:space="0" w:color="auto"/>
              <w:right w:val="nil"/>
            </w:tcBorders>
            <w:shd w:val="clear" w:color="auto" w:fill="auto"/>
            <w:noWrap/>
            <w:vAlign w:val="center"/>
            <w:hideMark/>
          </w:tcPr>
          <w:p w14:paraId="7C8DB6D8" w14:textId="77777777" w:rsidR="00AB178F" w:rsidRPr="00861214" w:rsidRDefault="00AB178F" w:rsidP="00AB178F">
            <w:pPr>
              <w:rPr>
                <w:sz w:val="20"/>
                <w:szCs w:val="20"/>
                <w:lang w:eastAsia="en-GB"/>
              </w:rPr>
            </w:pPr>
            <w:r w:rsidRPr="00861214">
              <w:rPr>
                <w:sz w:val="20"/>
                <w:szCs w:val="20"/>
                <w:lang w:eastAsia="en-GB"/>
              </w:rPr>
              <w:t>Salaries, social costs and other benefits</w:t>
            </w:r>
          </w:p>
        </w:tc>
        <w:tc>
          <w:tcPr>
            <w:tcW w:w="1291" w:type="dxa"/>
            <w:tcBorders>
              <w:top w:val="nil"/>
              <w:left w:val="single" w:sz="4" w:space="0" w:color="auto"/>
              <w:bottom w:val="single" w:sz="4" w:space="0" w:color="auto"/>
              <w:right w:val="single" w:sz="4" w:space="0" w:color="auto"/>
            </w:tcBorders>
            <w:shd w:val="clear" w:color="auto" w:fill="auto"/>
            <w:noWrap/>
            <w:vAlign w:val="center"/>
            <w:hideMark/>
          </w:tcPr>
          <w:p w14:paraId="63AC831D" w14:textId="77777777" w:rsidR="00AB178F" w:rsidRPr="00861214" w:rsidRDefault="00AB178F" w:rsidP="00AB178F">
            <w:pPr>
              <w:jc w:val="right"/>
              <w:rPr>
                <w:sz w:val="20"/>
                <w:szCs w:val="20"/>
                <w:lang w:eastAsia="en-GB"/>
              </w:rPr>
            </w:pPr>
            <w:r w:rsidRPr="00861214">
              <w:rPr>
                <w:sz w:val="20"/>
                <w:szCs w:val="20"/>
                <w:lang w:eastAsia="en-GB"/>
              </w:rPr>
              <w:t>438</w:t>
            </w:r>
          </w:p>
        </w:tc>
        <w:tc>
          <w:tcPr>
            <w:tcW w:w="1252" w:type="dxa"/>
            <w:tcBorders>
              <w:top w:val="nil"/>
              <w:left w:val="nil"/>
              <w:bottom w:val="single" w:sz="4" w:space="0" w:color="auto"/>
              <w:right w:val="single" w:sz="4" w:space="0" w:color="auto"/>
            </w:tcBorders>
            <w:shd w:val="clear" w:color="auto" w:fill="auto"/>
            <w:noWrap/>
            <w:vAlign w:val="center"/>
            <w:hideMark/>
          </w:tcPr>
          <w:p w14:paraId="6C2ED91B" w14:textId="77777777" w:rsidR="00AB178F" w:rsidRPr="00861214" w:rsidRDefault="00AB178F" w:rsidP="00AB178F">
            <w:pPr>
              <w:jc w:val="right"/>
              <w:rPr>
                <w:sz w:val="20"/>
                <w:szCs w:val="20"/>
                <w:lang w:eastAsia="en-GB"/>
              </w:rPr>
            </w:pPr>
            <w:r w:rsidRPr="00861214">
              <w:rPr>
                <w:sz w:val="20"/>
                <w:szCs w:val="20"/>
                <w:lang w:eastAsia="en-GB"/>
              </w:rPr>
              <w:t>0</w:t>
            </w:r>
          </w:p>
        </w:tc>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5C4BDE63" w14:textId="77777777" w:rsidR="00AB178F" w:rsidRPr="00861214" w:rsidRDefault="00AB178F" w:rsidP="00AB178F">
            <w:pPr>
              <w:jc w:val="right"/>
              <w:rPr>
                <w:color w:val="000000"/>
                <w:sz w:val="20"/>
                <w:szCs w:val="20"/>
                <w:lang w:eastAsia="en-GB"/>
              </w:rPr>
            </w:pPr>
            <w:r w:rsidRPr="00861214">
              <w:rPr>
                <w:color w:val="000000"/>
                <w:sz w:val="20"/>
                <w:szCs w:val="20"/>
                <w:lang w:eastAsia="en-GB"/>
              </w:rPr>
              <w:t>0</w:t>
            </w:r>
          </w:p>
        </w:tc>
        <w:tc>
          <w:tcPr>
            <w:tcW w:w="1555" w:type="dxa"/>
            <w:tcBorders>
              <w:top w:val="nil"/>
              <w:left w:val="nil"/>
              <w:bottom w:val="single" w:sz="4" w:space="0" w:color="auto"/>
              <w:right w:val="single" w:sz="4" w:space="0" w:color="auto"/>
            </w:tcBorders>
            <w:shd w:val="clear" w:color="auto" w:fill="auto"/>
            <w:noWrap/>
            <w:vAlign w:val="center"/>
            <w:hideMark/>
          </w:tcPr>
          <w:p w14:paraId="659F6649" w14:textId="77777777" w:rsidR="00AB178F" w:rsidRPr="00861214" w:rsidRDefault="00AB178F" w:rsidP="00AB178F">
            <w:pPr>
              <w:rPr>
                <w:color w:val="000000"/>
                <w:sz w:val="20"/>
                <w:szCs w:val="20"/>
                <w:lang w:eastAsia="en-GB"/>
              </w:rPr>
            </w:pPr>
            <w:r w:rsidRPr="00861214">
              <w:rPr>
                <w:color w:val="000000"/>
                <w:sz w:val="20"/>
                <w:szCs w:val="20"/>
                <w:lang w:eastAsia="en-GB"/>
              </w:rPr>
              <w:t> </w:t>
            </w:r>
          </w:p>
        </w:tc>
        <w:tc>
          <w:tcPr>
            <w:tcW w:w="1801" w:type="dxa"/>
            <w:tcBorders>
              <w:top w:val="nil"/>
              <w:left w:val="nil"/>
              <w:bottom w:val="single" w:sz="4" w:space="0" w:color="auto"/>
              <w:right w:val="single" w:sz="4" w:space="0" w:color="auto"/>
            </w:tcBorders>
            <w:shd w:val="clear" w:color="auto" w:fill="auto"/>
            <w:noWrap/>
            <w:vAlign w:val="center"/>
            <w:hideMark/>
          </w:tcPr>
          <w:p w14:paraId="2F23F50F" w14:textId="77777777" w:rsidR="00AB178F" w:rsidRPr="00861214" w:rsidRDefault="00AB178F" w:rsidP="00AB178F">
            <w:pPr>
              <w:jc w:val="right"/>
              <w:rPr>
                <w:color w:val="000000"/>
                <w:sz w:val="20"/>
                <w:szCs w:val="20"/>
                <w:lang w:eastAsia="en-GB"/>
              </w:rPr>
            </w:pPr>
            <w:r w:rsidRPr="00861214">
              <w:rPr>
                <w:color w:val="000000"/>
                <w:sz w:val="20"/>
                <w:szCs w:val="20"/>
                <w:lang w:eastAsia="en-GB"/>
              </w:rPr>
              <w:t>438</w:t>
            </w:r>
          </w:p>
        </w:tc>
      </w:tr>
      <w:tr w:rsidR="00AB178F" w:rsidRPr="00861214" w14:paraId="211B42DB" w14:textId="77777777" w:rsidTr="00AB178F">
        <w:trPr>
          <w:trHeight w:val="240"/>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B1C53C" w14:textId="77777777" w:rsidR="00AB178F" w:rsidRPr="00861214" w:rsidRDefault="00AB178F" w:rsidP="00AB178F">
            <w:pPr>
              <w:rPr>
                <w:sz w:val="20"/>
                <w:szCs w:val="20"/>
                <w:lang w:eastAsia="en-GB"/>
              </w:rPr>
            </w:pPr>
            <w:r w:rsidRPr="00861214">
              <w:rPr>
                <w:sz w:val="20"/>
                <w:szCs w:val="20"/>
                <w:lang w:eastAsia="en-GB"/>
              </w:rPr>
              <w:t>CEPA Program</w:t>
            </w:r>
          </w:p>
        </w:tc>
        <w:tc>
          <w:tcPr>
            <w:tcW w:w="1291" w:type="dxa"/>
            <w:tcBorders>
              <w:top w:val="nil"/>
              <w:left w:val="nil"/>
              <w:bottom w:val="single" w:sz="4" w:space="0" w:color="auto"/>
              <w:right w:val="single" w:sz="4" w:space="0" w:color="auto"/>
            </w:tcBorders>
            <w:shd w:val="clear" w:color="auto" w:fill="auto"/>
            <w:noWrap/>
            <w:vAlign w:val="center"/>
            <w:hideMark/>
          </w:tcPr>
          <w:p w14:paraId="55E8530E" w14:textId="77777777" w:rsidR="00AB178F" w:rsidRPr="00861214" w:rsidRDefault="00AB178F" w:rsidP="00AB178F">
            <w:pPr>
              <w:jc w:val="right"/>
              <w:rPr>
                <w:sz w:val="20"/>
                <w:szCs w:val="20"/>
                <w:lang w:eastAsia="en-GB"/>
              </w:rPr>
            </w:pPr>
            <w:r w:rsidRPr="00861214">
              <w:rPr>
                <w:sz w:val="20"/>
                <w:szCs w:val="20"/>
                <w:lang w:eastAsia="en-GB"/>
              </w:rPr>
              <w:t>30</w:t>
            </w:r>
          </w:p>
        </w:tc>
        <w:tc>
          <w:tcPr>
            <w:tcW w:w="1252" w:type="dxa"/>
            <w:tcBorders>
              <w:top w:val="nil"/>
              <w:left w:val="nil"/>
              <w:bottom w:val="single" w:sz="4" w:space="0" w:color="auto"/>
              <w:right w:val="single" w:sz="4" w:space="0" w:color="auto"/>
            </w:tcBorders>
            <w:shd w:val="clear" w:color="auto" w:fill="auto"/>
            <w:noWrap/>
            <w:vAlign w:val="center"/>
            <w:hideMark/>
          </w:tcPr>
          <w:p w14:paraId="4CC72C22" w14:textId="77777777" w:rsidR="00AB178F" w:rsidRPr="00861214" w:rsidRDefault="00AB178F" w:rsidP="00AB178F">
            <w:pPr>
              <w:jc w:val="right"/>
              <w:rPr>
                <w:sz w:val="20"/>
                <w:szCs w:val="20"/>
                <w:lang w:eastAsia="en-GB"/>
              </w:rPr>
            </w:pPr>
            <w:r w:rsidRPr="00861214">
              <w:rPr>
                <w:sz w:val="20"/>
                <w:szCs w:val="20"/>
                <w:lang w:eastAsia="en-GB"/>
              </w:rPr>
              <w:t>0</w:t>
            </w:r>
          </w:p>
        </w:tc>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0FF4EB59" w14:textId="77777777" w:rsidR="00AB178F" w:rsidRPr="00861214" w:rsidRDefault="00AB178F" w:rsidP="00AB178F">
            <w:pPr>
              <w:jc w:val="right"/>
              <w:rPr>
                <w:sz w:val="20"/>
                <w:szCs w:val="20"/>
                <w:lang w:eastAsia="en-GB"/>
              </w:rPr>
            </w:pPr>
            <w:r w:rsidRPr="00861214">
              <w:rPr>
                <w:sz w:val="20"/>
                <w:szCs w:val="20"/>
                <w:lang w:eastAsia="en-GB"/>
              </w:rPr>
              <w:t>56</w:t>
            </w:r>
          </w:p>
        </w:tc>
        <w:tc>
          <w:tcPr>
            <w:tcW w:w="1555" w:type="dxa"/>
            <w:tcBorders>
              <w:top w:val="nil"/>
              <w:left w:val="nil"/>
              <w:bottom w:val="single" w:sz="4" w:space="0" w:color="auto"/>
              <w:right w:val="single" w:sz="4" w:space="0" w:color="auto"/>
            </w:tcBorders>
            <w:shd w:val="clear" w:color="auto" w:fill="auto"/>
            <w:noWrap/>
            <w:vAlign w:val="center"/>
            <w:hideMark/>
          </w:tcPr>
          <w:p w14:paraId="41F56463" w14:textId="77777777" w:rsidR="00AB178F" w:rsidRPr="00861214" w:rsidRDefault="00AB178F" w:rsidP="00AB178F">
            <w:pPr>
              <w:rPr>
                <w:color w:val="0070C0"/>
                <w:sz w:val="20"/>
                <w:szCs w:val="20"/>
                <w:lang w:eastAsia="en-GB"/>
              </w:rPr>
            </w:pPr>
            <w:r w:rsidRPr="00861214">
              <w:rPr>
                <w:color w:val="0070C0"/>
                <w:sz w:val="20"/>
                <w:szCs w:val="20"/>
                <w:lang w:eastAsia="en-GB"/>
              </w:rPr>
              <w:t> </w:t>
            </w:r>
          </w:p>
        </w:tc>
        <w:tc>
          <w:tcPr>
            <w:tcW w:w="1801" w:type="dxa"/>
            <w:tcBorders>
              <w:top w:val="nil"/>
              <w:left w:val="nil"/>
              <w:bottom w:val="single" w:sz="4" w:space="0" w:color="auto"/>
              <w:right w:val="single" w:sz="4" w:space="0" w:color="auto"/>
            </w:tcBorders>
            <w:shd w:val="clear" w:color="auto" w:fill="auto"/>
            <w:noWrap/>
            <w:vAlign w:val="center"/>
            <w:hideMark/>
          </w:tcPr>
          <w:p w14:paraId="7E19067F" w14:textId="77777777" w:rsidR="00AB178F" w:rsidRPr="00861214" w:rsidRDefault="00AB178F" w:rsidP="00AB178F">
            <w:pPr>
              <w:jc w:val="right"/>
              <w:rPr>
                <w:color w:val="000000"/>
                <w:sz w:val="20"/>
                <w:szCs w:val="20"/>
                <w:lang w:eastAsia="en-GB"/>
              </w:rPr>
            </w:pPr>
            <w:r w:rsidRPr="00861214">
              <w:rPr>
                <w:color w:val="000000"/>
                <w:sz w:val="20"/>
                <w:szCs w:val="20"/>
                <w:lang w:eastAsia="en-GB"/>
              </w:rPr>
              <w:t>86</w:t>
            </w:r>
          </w:p>
        </w:tc>
      </w:tr>
      <w:tr w:rsidR="00AB178F" w:rsidRPr="00861214" w14:paraId="7ED3CA02" w14:textId="77777777" w:rsidTr="00AB178F">
        <w:trPr>
          <w:trHeight w:val="525"/>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2DE083D5" w14:textId="77777777" w:rsidR="00AB178F" w:rsidRPr="00861214" w:rsidRDefault="00AB178F" w:rsidP="00AB178F">
            <w:pPr>
              <w:rPr>
                <w:sz w:val="20"/>
                <w:szCs w:val="20"/>
                <w:lang w:eastAsia="en-GB"/>
              </w:rPr>
            </w:pPr>
            <w:r w:rsidRPr="00861214">
              <w:rPr>
                <w:sz w:val="20"/>
                <w:szCs w:val="20"/>
                <w:lang w:eastAsia="en-GB"/>
              </w:rPr>
              <w:t>Comms, Translations, Publications and Reporting Implementation</w:t>
            </w:r>
          </w:p>
        </w:tc>
        <w:tc>
          <w:tcPr>
            <w:tcW w:w="1291" w:type="dxa"/>
            <w:tcBorders>
              <w:top w:val="nil"/>
              <w:left w:val="nil"/>
              <w:bottom w:val="single" w:sz="4" w:space="0" w:color="auto"/>
              <w:right w:val="single" w:sz="4" w:space="0" w:color="auto"/>
            </w:tcBorders>
            <w:shd w:val="clear" w:color="auto" w:fill="auto"/>
            <w:noWrap/>
            <w:vAlign w:val="center"/>
            <w:hideMark/>
          </w:tcPr>
          <w:p w14:paraId="192E45AB" w14:textId="77777777" w:rsidR="00AB178F" w:rsidRPr="00861214" w:rsidRDefault="00AB178F" w:rsidP="00AB178F">
            <w:pPr>
              <w:jc w:val="right"/>
              <w:rPr>
                <w:sz w:val="20"/>
                <w:szCs w:val="20"/>
                <w:lang w:eastAsia="en-GB"/>
              </w:rPr>
            </w:pPr>
            <w:r w:rsidRPr="00861214">
              <w:rPr>
                <w:sz w:val="20"/>
                <w:szCs w:val="20"/>
                <w:lang w:eastAsia="en-GB"/>
              </w:rPr>
              <w:t>60</w:t>
            </w:r>
          </w:p>
        </w:tc>
        <w:tc>
          <w:tcPr>
            <w:tcW w:w="1252" w:type="dxa"/>
            <w:tcBorders>
              <w:top w:val="nil"/>
              <w:left w:val="nil"/>
              <w:bottom w:val="single" w:sz="4" w:space="0" w:color="auto"/>
              <w:right w:val="single" w:sz="4" w:space="0" w:color="auto"/>
            </w:tcBorders>
            <w:shd w:val="clear" w:color="auto" w:fill="auto"/>
            <w:noWrap/>
            <w:vAlign w:val="center"/>
            <w:hideMark/>
          </w:tcPr>
          <w:p w14:paraId="1F3368F2" w14:textId="77777777" w:rsidR="00AB178F" w:rsidRPr="00861214" w:rsidRDefault="00AB178F" w:rsidP="00AB178F">
            <w:pPr>
              <w:jc w:val="right"/>
              <w:rPr>
                <w:sz w:val="20"/>
                <w:szCs w:val="20"/>
                <w:lang w:eastAsia="en-GB"/>
              </w:rPr>
            </w:pPr>
            <w:r w:rsidRPr="00861214">
              <w:rPr>
                <w:sz w:val="20"/>
                <w:szCs w:val="20"/>
                <w:lang w:eastAsia="en-GB"/>
              </w:rPr>
              <w:t>40</w:t>
            </w:r>
          </w:p>
        </w:tc>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124DCBC2" w14:textId="77777777" w:rsidR="00AB178F" w:rsidRPr="00861214" w:rsidRDefault="00AB178F" w:rsidP="00AB178F">
            <w:pPr>
              <w:jc w:val="right"/>
              <w:rPr>
                <w:sz w:val="20"/>
                <w:szCs w:val="20"/>
                <w:lang w:eastAsia="en-GB"/>
              </w:rPr>
            </w:pPr>
            <w:r w:rsidRPr="00861214">
              <w:rPr>
                <w:sz w:val="20"/>
                <w:szCs w:val="20"/>
                <w:lang w:eastAsia="en-GB"/>
              </w:rPr>
              <w:t>57</w:t>
            </w:r>
          </w:p>
        </w:tc>
        <w:tc>
          <w:tcPr>
            <w:tcW w:w="1555" w:type="dxa"/>
            <w:tcBorders>
              <w:top w:val="nil"/>
              <w:left w:val="nil"/>
              <w:bottom w:val="single" w:sz="4" w:space="0" w:color="auto"/>
              <w:right w:val="single" w:sz="4" w:space="0" w:color="auto"/>
            </w:tcBorders>
            <w:shd w:val="clear" w:color="auto" w:fill="auto"/>
            <w:noWrap/>
            <w:vAlign w:val="center"/>
            <w:hideMark/>
          </w:tcPr>
          <w:p w14:paraId="4D8E7BA9" w14:textId="77777777" w:rsidR="00AB178F" w:rsidRPr="00861214" w:rsidRDefault="00AB178F" w:rsidP="00AB178F">
            <w:pPr>
              <w:rPr>
                <w:sz w:val="20"/>
                <w:szCs w:val="20"/>
                <w:lang w:eastAsia="en-GB"/>
              </w:rPr>
            </w:pPr>
            <w:r w:rsidRPr="00861214">
              <w:rPr>
                <w:sz w:val="20"/>
                <w:szCs w:val="20"/>
                <w:lang w:eastAsia="en-GB"/>
              </w:rPr>
              <w:t> </w:t>
            </w:r>
          </w:p>
        </w:tc>
        <w:tc>
          <w:tcPr>
            <w:tcW w:w="1801" w:type="dxa"/>
            <w:tcBorders>
              <w:top w:val="nil"/>
              <w:left w:val="nil"/>
              <w:bottom w:val="single" w:sz="4" w:space="0" w:color="auto"/>
              <w:right w:val="single" w:sz="4" w:space="0" w:color="auto"/>
            </w:tcBorders>
            <w:shd w:val="clear" w:color="auto" w:fill="auto"/>
            <w:noWrap/>
            <w:vAlign w:val="center"/>
            <w:hideMark/>
          </w:tcPr>
          <w:p w14:paraId="6E2AE659" w14:textId="77777777" w:rsidR="00AB178F" w:rsidRPr="00861214" w:rsidRDefault="00AB178F" w:rsidP="00AB178F">
            <w:pPr>
              <w:jc w:val="right"/>
              <w:rPr>
                <w:color w:val="000000"/>
                <w:sz w:val="20"/>
                <w:szCs w:val="20"/>
                <w:lang w:eastAsia="en-GB"/>
              </w:rPr>
            </w:pPr>
            <w:r w:rsidRPr="00861214">
              <w:rPr>
                <w:color w:val="000000"/>
                <w:sz w:val="20"/>
                <w:szCs w:val="20"/>
                <w:lang w:eastAsia="en-GB"/>
              </w:rPr>
              <w:t>157</w:t>
            </w:r>
          </w:p>
        </w:tc>
      </w:tr>
      <w:tr w:rsidR="00AB178F" w:rsidRPr="00861214" w14:paraId="55989039" w14:textId="77777777" w:rsidTr="00AB178F">
        <w:trPr>
          <w:trHeight w:val="270"/>
        </w:trPr>
        <w:tc>
          <w:tcPr>
            <w:tcW w:w="4962" w:type="dxa"/>
            <w:tcBorders>
              <w:top w:val="nil"/>
              <w:left w:val="single" w:sz="4" w:space="0" w:color="auto"/>
              <w:bottom w:val="single" w:sz="4" w:space="0" w:color="auto"/>
              <w:right w:val="nil"/>
            </w:tcBorders>
            <w:shd w:val="clear" w:color="auto" w:fill="auto"/>
            <w:noWrap/>
            <w:vAlign w:val="center"/>
            <w:hideMark/>
          </w:tcPr>
          <w:p w14:paraId="1DF99B4D" w14:textId="77777777" w:rsidR="00AB178F" w:rsidRPr="00861214" w:rsidRDefault="00AB178F" w:rsidP="00AB178F">
            <w:pPr>
              <w:rPr>
                <w:sz w:val="20"/>
                <w:szCs w:val="20"/>
                <w:lang w:eastAsia="en-GB"/>
              </w:rPr>
            </w:pPr>
            <w:r w:rsidRPr="00861214">
              <w:rPr>
                <w:sz w:val="20"/>
                <w:szCs w:val="20"/>
                <w:lang w:eastAsia="en-GB"/>
              </w:rPr>
              <w:t>WWD</w:t>
            </w:r>
          </w:p>
        </w:tc>
        <w:tc>
          <w:tcPr>
            <w:tcW w:w="1291" w:type="dxa"/>
            <w:tcBorders>
              <w:top w:val="nil"/>
              <w:left w:val="single" w:sz="4" w:space="0" w:color="auto"/>
              <w:bottom w:val="single" w:sz="4" w:space="0" w:color="auto"/>
              <w:right w:val="single" w:sz="4" w:space="0" w:color="auto"/>
            </w:tcBorders>
            <w:shd w:val="clear" w:color="auto" w:fill="auto"/>
            <w:noWrap/>
            <w:vAlign w:val="center"/>
            <w:hideMark/>
          </w:tcPr>
          <w:p w14:paraId="0BC79418" w14:textId="77777777" w:rsidR="00AB178F" w:rsidRPr="00861214" w:rsidRDefault="00AB178F" w:rsidP="00AB178F">
            <w:pPr>
              <w:jc w:val="right"/>
              <w:rPr>
                <w:sz w:val="20"/>
                <w:szCs w:val="20"/>
                <w:lang w:eastAsia="en-GB"/>
              </w:rPr>
            </w:pPr>
            <w:r w:rsidRPr="00861214">
              <w:rPr>
                <w:sz w:val="20"/>
                <w:szCs w:val="20"/>
                <w:lang w:eastAsia="en-GB"/>
              </w:rPr>
              <w:t>0</w:t>
            </w:r>
          </w:p>
        </w:tc>
        <w:tc>
          <w:tcPr>
            <w:tcW w:w="1252" w:type="dxa"/>
            <w:tcBorders>
              <w:top w:val="nil"/>
              <w:left w:val="nil"/>
              <w:bottom w:val="single" w:sz="4" w:space="0" w:color="auto"/>
              <w:right w:val="single" w:sz="4" w:space="0" w:color="auto"/>
            </w:tcBorders>
            <w:shd w:val="clear" w:color="auto" w:fill="auto"/>
            <w:noWrap/>
            <w:vAlign w:val="center"/>
            <w:hideMark/>
          </w:tcPr>
          <w:p w14:paraId="02891C43" w14:textId="77777777" w:rsidR="00AB178F" w:rsidRPr="00861214" w:rsidRDefault="00AB178F" w:rsidP="00AB178F">
            <w:pPr>
              <w:jc w:val="right"/>
              <w:rPr>
                <w:sz w:val="20"/>
                <w:szCs w:val="20"/>
                <w:lang w:eastAsia="en-GB"/>
              </w:rPr>
            </w:pPr>
            <w:r w:rsidRPr="00861214">
              <w:rPr>
                <w:sz w:val="20"/>
                <w:szCs w:val="20"/>
                <w:lang w:eastAsia="en-GB"/>
              </w:rPr>
              <w:t>0</w:t>
            </w:r>
          </w:p>
        </w:tc>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610DEB03" w14:textId="77777777" w:rsidR="00AB178F" w:rsidRPr="00861214" w:rsidRDefault="00AB178F" w:rsidP="00AB178F">
            <w:pPr>
              <w:jc w:val="right"/>
              <w:rPr>
                <w:sz w:val="20"/>
                <w:szCs w:val="20"/>
                <w:lang w:eastAsia="en-GB"/>
              </w:rPr>
            </w:pPr>
            <w:r w:rsidRPr="00861214">
              <w:rPr>
                <w:sz w:val="20"/>
                <w:szCs w:val="20"/>
                <w:lang w:eastAsia="en-GB"/>
              </w:rPr>
              <w:t>12</w:t>
            </w:r>
          </w:p>
        </w:tc>
        <w:tc>
          <w:tcPr>
            <w:tcW w:w="1555" w:type="dxa"/>
            <w:tcBorders>
              <w:top w:val="nil"/>
              <w:left w:val="nil"/>
              <w:bottom w:val="single" w:sz="4" w:space="0" w:color="auto"/>
              <w:right w:val="single" w:sz="4" w:space="0" w:color="auto"/>
            </w:tcBorders>
            <w:shd w:val="clear" w:color="auto" w:fill="auto"/>
            <w:noWrap/>
            <w:vAlign w:val="center"/>
            <w:hideMark/>
          </w:tcPr>
          <w:p w14:paraId="6DFDC687" w14:textId="77777777" w:rsidR="00AB178F" w:rsidRPr="00861214" w:rsidRDefault="00AB178F" w:rsidP="00AB178F">
            <w:pPr>
              <w:rPr>
                <w:color w:val="0070C0"/>
                <w:sz w:val="20"/>
                <w:szCs w:val="20"/>
                <w:lang w:eastAsia="en-GB"/>
              </w:rPr>
            </w:pPr>
            <w:r w:rsidRPr="00861214">
              <w:rPr>
                <w:color w:val="0070C0"/>
                <w:sz w:val="20"/>
                <w:szCs w:val="20"/>
                <w:lang w:eastAsia="en-GB"/>
              </w:rPr>
              <w:t> </w:t>
            </w:r>
          </w:p>
        </w:tc>
        <w:tc>
          <w:tcPr>
            <w:tcW w:w="1801" w:type="dxa"/>
            <w:tcBorders>
              <w:top w:val="nil"/>
              <w:left w:val="nil"/>
              <w:bottom w:val="single" w:sz="4" w:space="0" w:color="auto"/>
              <w:right w:val="single" w:sz="4" w:space="0" w:color="auto"/>
            </w:tcBorders>
            <w:shd w:val="clear" w:color="auto" w:fill="auto"/>
            <w:noWrap/>
            <w:vAlign w:val="center"/>
            <w:hideMark/>
          </w:tcPr>
          <w:p w14:paraId="3BB6243A" w14:textId="77777777" w:rsidR="00AB178F" w:rsidRPr="00861214" w:rsidRDefault="00AB178F" w:rsidP="00AB178F">
            <w:pPr>
              <w:jc w:val="right"/>
              <w:rPr>
                <w:color w:val="000000"/>
                <w:sz w:val="20"/>
                <w:szCs w:val="20"/>
                <w:lang w:eastAsia="en-GB"/>
              </w:rPr>
            </w:pPr>
            <w:r w:rsidRPr="00861214">
              <w:rPr>
                <w:color w:val="000000"/>
                <w:sz w:val="20"/>
                <w:szCs w:val="20"/>
                <w:lang w:eastAsia="en-GB"/>
              </w:rPr>
              <w:t>12</w:t>
            </w:r>
          </w:p>
        </w:tc>
      </w:tr>
      <w:tr w:rsidR="00AB178F" w:rsidRPr="00861214" w14:paraId="45FEC70D" w14:textId="77777777" w:rsidTr="00AB178F">
        <w:trPr>
          <w:trHeight w:val="270"/>
        </w:trPr>
        <w:tc>
          <w:tcPr>
            <w:tcW w:w="4962" w:type="dxa"/>
            <w:tcBorders>
              <w:top w:val="nil"/>
              <w:left w:val="single" w:sz="4" w:space="0" w:color="auto"/>
              <w:bottom w:val="single" w:sz="4" w:space="0" w:color="auto"/>
              <w:right w:val="single" w:sz="4" w:space="0" w:color="auto"/>
            </w:tcBorders>
            <w:shd w:val="clear" w:color="auto" w:fill="auto"/>
            <w:noWrap/>
            <w:vAlign w:val="center"/>
            <w:hideMark/>
          </w:tcPr>
          <w:p w14:paraId="58E1BBAA" w14:textId="77777777" w:rsidR="00AB178F" w:rsidRPr="00861214" w:rsidRDefault="00AB178F" w:rsidP="00AB178F">
            <w:pPr>
              <w:rPr>
                <w:sz w:val="20"/>
                <w:szCs w:val="20"/>
                <w:lang w:eastAsia="en-GB"/>
              </w:rPr>
            </w:pPr>
            <w:r w:rsidRPr="00861214">
              <w:rPr>
                <w:sz w:val="20"/>
                <w:szCs w:val="20"/>
                <w:lang w:eastAsia="en-GB"/>
              </w:rPr>
              <w:t>Web/IT support and Development</w:t>
            </w:r>
          </w:p>
        </w:tc>
        <w:tc>
          <w:tcPr>
            <w:tcW w:w="1291" w:type="dxa"/>
            <w:tcBorders>
              <w:top w:val="nil"/>
              <w:left w:val="nil"/>
              <w:bottom w:val="single" w:sz="4" w:space="0" w:color="auto"/>
              <w:right w:val="single" w:sz="4" w:space="0" w:color="auto"/>
            </w:tcBorders>
            <w:shd w:val="clear" w:color="auto" w:fill="auto"/>
            <w:noWrap/>
            <w:vAlign w:val="center"/>
            <w:hideMark/>
          </w:tcPr>
          <w:p w14:paraId="66E9443E" w14:textId="77777777" w:rsidR="00AB178F" w:rsidRPr="00861214" w:rsidRDefault="00AB178F" w:rsidP="00AB178F">
            <w:pPr>
              <w:jc w:val="right"/>
              <w:rPr>
                <w:sz w:val="20"/>
                <w:szCs w:val="20"/>
                <w:lang w:eastAsia="en-GB"/>
              </w:rPr>
            </w:pPr>
            <w:r w:rsidRPr="00861214">
              <w:rPr>
                <w:sz w:val="20"/>
                <w:szCs w:val="20"/>
                <w:lang w:eastAsia="en-GB"/>
              </w:rPr>
              <w:t>56</w:t>
            </w:r>
          </w:p>
        </w:tc>
        <w:tc>
          <w:tcPr>
            <w:tcW w:w="1252" w:type="dxa"/>
            <w:tcBorders>
              <w:top w:val="nil"/>
              <w:left w:val="nil"/>
              <w:bottom w:val="single" w:sz="4" w:space="0" w:color="auto"/>
              <w:right w:val="single" w:sz="4" w:space="0" w:color="auto"/>
            </w:tcBorders>
            <w:shd w:val="clear" w:color="auto" w:fill="auto"/>
            <w:noWrap/>
            <w:vAlign w:val="center"/>
            <w:hideMark/>
          </w:tcPr>
          <w:p w14:paraId="1DEBF669" w14:textId="77777777" w:rsidR="00AB178F" w:rsidRPr="00861214" w:rsidRDefault="00AB178F" w:rsidP="00AB178F">
            <w:pPr>
              <w:jc w:val="right"/>
              <w:rPr>
                <w:sz w:val="20"/>
                <w:szCs w:val="20"/>
                <w:lang w:eastAsia="en-GB"/>
              </w:rPr>
            </w:pPr>
            <w:r w:rsidRPr="00861214">
              <w:rPr>
                <w:sz w:val="20"/>
                <w:szCs w:val="20"/>
                <w:lang w:eastAsia="en-GB"/>
              </w:rPr>
              <w:t>0</w:t>
            </w:r>
          </w:p>
        </w:tc>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0058E59A" w14:textId="77777777" w:rsidR="00AB178F" w:rsidRPr="00861214" w:rsidRDefault="00AB178F" w:rsidP="00AB178F">
            <w:pPr>
              <w:jc w:val="right"/>
              <w:rPr>
                <w:sz w:val="20"/>
                <w:szCs w:val="20"/>
                <w:lang w:eastAsia="en-GB"/>
              </w:rPr>
            </w:pPr>
            <w:r w:rsidRPr="00861214">
              <w:rPr>
                <w:sz w:val="20"/>
                <w:szCs w:val="20"/>
                <w:lang w:eastAsia="en-GB"/>
              </w:rPr>
              <w:t>0</w:t>
            </w:r>
          </w:p>
        </w:tc>
        <w:tc>
          <w:tcPr>
            <w:tcW w:w="1555" w:type="dxa"/>
            <w:tcBorders>
              <w:top w:val="nil"/>
              <w:left w:val="nil"/>
              <w:bottom w:val="single" w:sz="4" w:space="0" w:color="auto"/>
              <w:right w:val="single" w:sz="4" w:space="0" w:color="auto"/>
            </w:tcBorders>
            <w:shd w:val="clear" w:color="auto" w:fill="auto"/>
            <w:noWrap/>
            <w:vAlign w:val="center"/>
            <w:hideMark/>
          </w:tcPr>
          <w:p w14:paraId="6D6CF50C" w14:textId="77777777" w:rsidR="00AB178F" w:rsidRPr="00861214" w:rsidRDefault="00AB178F" w:rsidP="00AB178F">
            <w:pPr>
              <w:rPr>
                <w:color w:val="0070C0"/>
                <w:sz w:val="20"/>
                <w:szCs w:val="20"/>
                <w:lang w:eastAsia="en-GB"/>
              </w:rPr>
            </w:pPr>
            <w:r w:rsidRPr="00861214">
              <w:rPr>
                <w:color w:val="0070C0"/>
                <w:sz w:val="20"/>
                <w:szCs w:val="20"/>
                <w:lang w:eastAsia="en-GB"/>
              </w:rPr>
              <w:t> </w:t>
            </w:r>
          </w:p>
        </w:tc>
        <w:tc>
          <w:tcPr>
            <w:tcW w:w="1801" w:type="dxa"/>
            <w:tcBorders>
              <w:top w:val="nil"/>
              <w:left w:val="nil"/>
              <w:bottom w:val="single" w:sz="4" w:space="0" w:color="auto"/>
              <w:right w:val="single" w:sz="4" w:space="0" w:color="auto"/>
            </w:tcBorders>
            <w:shd w:val="clear" w:color="auto" w:fill="auto"/>
            <w:noWrap/>
            <w:vAlign w:val="center"/>
            <w:hideMark/>
          </w:tcPr>
          <w:p w14:paraId="0801BEBB" w14:textId="77777777" w:rsidR="00AB178F" w:rsidRPr="00861214" w:rsidRDefault="00AB178F" w:rsidP="00AB178F">
            <w:pPr>
              <w:jc w:val="right"/>
              <w:rPr>
                <w:color w:val="000000"/>
                <w:sz w:val="20"/>
                <w:szCs w:val="20"/>
                <w:lang w:eastAsia="en-GB"/>
              </w:rPr>
            </w:pPr>
            <w:r w:rsidRPr="00861214">
              <w:rPr>
                <w:color w:val="000000"/>
                <w:sz w:val="20"/>
                <w:szCs w:val="20"/>
                <w:lang w:eastAsia="en-GB"/>
              </w:rPr>
              <w:t>56</w:t>
            </w:r>
          </w:p>
        </w:tc>
      </w:tr>
      <w:tr w:rsidR="00AB178F" w:rsidRPr="00861214" w14:paraId="22A62E2E" w14:textId="77777777" w:rsidTr="00AB178F">
        <w:trPr>
          <w:trHeight w:val="270"/>
        </w:trPr>
        <w:tc>
          <w:tcPr>
            <w:tcW w:w="4962" w:type="dxa"/>
            <w:tcBorders>
              <w:top w:val="nil"/>
              <w:left w:val="single" w:sz="4" w:space="0" w:color="auto"/>
              <w:bottom w:val="single" w:sz="4" w:space="0" w:color="auto"/>
              <w:right w:val="single" w:sz="4" w:space="0" w:color="auto"/>
            </w:tcBorders>
            <w:shd w:val="clear" w:color="auto" w:fill="auto"/>
            <w:noWrap/>
            <w:vAlign w:val="center"/>
            <w:hideMark/>
          </w:tcPr>
          <w:p w14:paraId="5A2723A0" w14:textId="77777777" w:rsidR="00AB178F" w:rsidRPr="00861214" w:rsidRDefault="00AB178F" w:rsidP="00AB178F">
            <w:pPr>
              <w:rPr>
                <w:sz w:val="20"/>
                <w:szCs w:val="20"/>
                <w:lang w:eastAsia="en-GB"/>
              </w:rPr>
            </w:pPr>
            <w:r w:rsidRPr="00861214">
              <w:rPr>
                <w:sz w:val="20"/>
                <w:szCs w:val="20"/>
                <w:lang w:eastAsia="en-GB"/>
              </w:rPr>
              <w:t>Web re-development</w:t>
            </w:r>
          </w:p>
        </w:tc>
        <w:tc>
          <w:tcPr>
            <w:tcW w:w="1291" w:type="dxa"/>
            <w:tcBorders>
              <w:top w:val="nil"/>
              <w:left w:val="nil"/>
              <w:bottom w:val="single" w:sz="4" w:space="0" w:color="auto"/>
              <w:right w:val="single" w:sz="4" w:space="0" w:color="auto"/>
            </w:tcBorders>
            <w:shd w:val="clear" w:color="auto" w:fill="auto"/>
            <w:noWrap/>
            <w:vAlign w:val="center"/>
            <w:hideMark/>
          </w:tcPr>
          <w:p w14:paraId="2A8E8C2A" w14:textId="77777777" w:rsidR="00AB178F" w:rsidRPr="00861214" w:rsidRDefault="00AB178F" w:rsidP="00AB178F">
            <w:pPr>
              <w:jc w:val="right"/>
              <w:rPr>
                <w:sz w:val="20"/>
                <w:szCs w:val="20"/>
                <w:lang w:eastAsia="en-GB"/>
              </w:rPr>
            </w:pPr>
            <w:r w:rsidRPr="00861214">
              <w:rPr>
                <w:sz w:val="20"/>
                <w:szCs w:val="20"/>
                <w:lang w:eastAsia="en-GB"/>
              </w:rPr>
              <w:t>0</w:t>
            </w:r>
          </w:p>
        </w:tc>
        <w:tc>
          <w:tcPr>
            <w:tcW w:w="1252" w:type="dxa"/>
            <w:tcBorders>
              <w:top w:val="nil"/>
              <w:left w:val="nil"/>
              <w:bottom w:val="single" w:sz="4" w:space="0" w:color="auto"/>
              <w:right w:val="single" w:sz="4" w:space="0" w:color="auto"/>
            </w:tcBorders>
            <w:shd w:val="clear" w:color="auto" w:fill="auto"/>
            <w:noWrap/>
            <w:vAlign w:val="center"/>
            <w:hideMark/>
          </w:tcPr>
          <w:p w14:paraId="39A3F555" w14:textId="77777777" w:rsidR="00AB178F" w:rsidRPr="00861214" w:rsidRDefault="00AB178F" w:rsidP="00AB178F">
            <w:pPr>
              <w:jc w:val="right"/>
              <w:rPr>
                <w:sz w:val="20"/>
                <w:szCs w:val="20"/>
                <w:lang w:eastAsia="en-GB"/>
              </w:rPr>
            </w:pPr>
            <w:r w:rsidRPr="00861214">
              <w:rPr>
                <w:sz w:val="20"/>
                <w:szCs w:val="20"/>
                <w:lang w:eastAsia="en-GB"/>
              </w:rPr>
              <w:t>0</w:t>
            </w:r>
          </w:p>
        </w:tc>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6207A20E" w14:textId="77777777" w:rsidR="00AB178F" w:rsidRPr="00861214" w:rsidRDefault="00AB178F" w:rsidP="00AB178F">
            <w:pPr>
              <w:jc w:val="right"/>
              <w:rPr>
                <w:sz w:val="20"/>
                <w:szCs w:val="20"/>
                <w:lang w:eastAsia="en-GB"/>
              </w:rPr>
            </w:pPr>
            <w:r w:rsidRPr="00861214">
              <w:rPr>
                <w:sz w:val="20"/>
                <w:szCs w:val="20"/>
                <w:lang w:eastAsia="en-GB"/>
              </w:rPr>
              <w:t>86</w:t>
            </w:r>
          </w:p>
        </w:tc>
        <w:tc>
          <w:tcPr>
            <w:tcW w:w="1555" w:type="dxa"/>
            <w:tcBorders>
              <w:top w:val="nil"/>
              <w:left w:val="nil"/>
              <w:bottom w:val="single" w:sz="4" w:space="0" w:color="auto"/>
              <w:right w:val="single" w:sz="4" w:space="0" w:color="auto"/>
            </w:tcBorders>
            <w:shd w:val="clear" w:color="auto" w:fill="auto"/>
            <w:noWrap/>
            <w:vAlign w:val="center"/>
            <w:hideMark/>
          </w:tcPr>
          <w:p w14:paraId="59E0EDAB" w14:textId="77777777" w:rsidR="00AB178F" w:rsidRPr="00861214" w:rsidRDefault="00AB178F" w:rsidP="00AB178F">
            <w:pPr>
              <w:rPr>
                <w:color w:val="0070C0"/>
                <w:sz w:val="20"/>
                <w:szCs w:val="20"/>
                <w:lang w:eastAsia="en-GB"/>
              </w:rPr>
            </w:pPr>
            <w:r w:rsidRPr="00861214">
              <w:rPr>
                <w:color w:val="0070C0"/>
                <w:sz w:val="20"/>
                <w:szCs w:val="20"/>
                <w:lang w:eastAsia="en-GB"/>
              </w:rPr>
              <w:t> </w:t>
            </w:r>
          </w:p>
        </w:tc>
        <w:tc>
          <w:tcPr>
            <w:tcW w:w="1801" w:type="dxa"/>
            <w:tcBorders>
              <w:top w:val="nil"/>
              <w:left w:val="nil"/>
              <w:bottom w:val="single" w:sz="4" w:space="0" w:color="auto"/>
              <w:right w:val="single" w:sz="4" w:space="0" w:color="auto"/>
            </w:tcBorders>
            <w:shd w:val="clear" w:color="auto" w:fill="auto"/>
            <w:noWrap/>
            <w:vAlign w:val="center"/>
            <w:hideMark/>
          </w:tcPr>
          <w:p w14:paraId="250A9942" w14:textId="77777777" w:rsidR="00AB178F" w:rsidRPr="00861214" w:rsidRDefault="00AB178F" w:rsidP="00AB178F">
            <w:pPr>
              <w:jc w:val="right"/>
              <w:rPr>
                <w:color w:val="000000"/>
                <w:sz w:val="20"/>
                <w:szCs w:val="20"/>
                <w:lang w:eastAsia="en-GB"/>
              </w:rPr>
            </w:pPr>
            <w:r w:rsidRPr="00861214">
              <w:rPr>
                <w:color w:val="000000"/>
                <w:sz w:val="20"/>
                <w:szCs w:val="20"/>
                <w:lang w:eastAsia="en-GB"/>
              </w:rPr>
              <w:t>86</w:t>
            </w:r>
          </w:p>
        </w:tc>
      </w:tr>
      <w:tr w:rsidR="00AB178F" w:rsidRPr="00861214" w14:paraId="05B22828" w14:textId="77777777" w:rsidTr="00AB178F">
        <w:trPr>
          <w:trHeight w:val="270"/>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464CD6" w14:textId="77777777" w:rsidR="00AB178F" w:rsidRPr="00861214" w:rsidRDefault="00AB178F" w:rsidP="00AB178F">
            <w:pPr>
              <w:rPr>
                <w:sz w:val="20"/>
                <w:szCs w:val="20"/>
                <w:lang w:eastAsia="en-GB"/>
              </w:rPr>
            </w:pPr>
            <w:r w:rsidRPr="00861214">
              <w:rPr>
                <w:sz w:val="20"/>
                <w:szCs w:val="20"/>
                <w:lang w:eastAsia="en-GB"/>
              </w:rPr>
              <w:lastRenderedPageBreak/>
              <w:t>Travel</w:t>
            </w:r>
          </w:p>
        </w:tc>
        <w:tc>
          <w:tcPr>
            <w:tcW w:w="1291" w:type="dxa"/>
            <w:tcBorders>
              <w:top w:val="single" w:sz="4" w:space="0" w:color="auto"/>
              <w:left w:val="nil"/>
              <w:bottom w:val="single" w:sz="4" w:space="0" w:color="auto"/>
              <w:right w:val="single" w:sz="4" w:space="0" w:color="auto"/>
            </w:tcBorders>
            <w:shd w:val="clear" w:color="auto" w:fill="auto"/>
            <w:noWrap/>
            <w:vAlign w:val="center"/>
            <w:hideMark/>
          </w:tcPr>
          <w:p w14:paraId="0FFE9B71" w14:textId="77777777" w:rsidR="00AB178F" w:rsidRPr="00861214" w:rsidRDefault="00AB178F" w:rsidP="00AB178F">
            <w:pPr>
              <w:jc w:val="right"/>
              <w:rPr>
                <w:sz w:val="20"/>
                <w:szCs w:val="20"/>
                <w:lang w:eastAsia="en-GB"/>
              </w:rPr>
            </w:pPr>
            <w:r w:rsidRPr="00861214">
              <w:rPr>
                <w:sz w:val="20"/>
                <w:szCs w:val="20"/>
                <w:lang w:eastAsia="en-GB"/>
              </w:rPr>
              <w:t>10</w:t>
            </w:r>
          </w:p>
        </w:tc>
        <w:tc>
          <w:tcPr>
            <w:tcW w:w="1252" w:type="dxa"/>
            <w:tcBorders>
              <w:top w:val="single" w:sz="4" w:space="0" w:color="auto"/>
              <w:left w:val="nil"/>
              <w:bottom w:val="single" w:sz="4" w:space="0" w:color="auto"/>
              <w:right w:val="single" w:sz="4" w:space="0" w:color="auto"/>
            </w:tcBorders>
            <w:shd w:val="clear" w:color="auto" w:fill="auto"/>
            <w:noWrap/>
            <w:vAlign w:val="center"/>
            <w:hideMark/>
          </w:tcPr>
          <w:p w14:paraId="359DEE88" w14:textId="77777777" w:rsidR="00AB178F" w:rsidRPr="00861214" w:rsidRDefault="00AB178F" w:rsidP="00AB178F">
            <w:pPr>
              <w:jc w:val="right"/>
              <w:rPr>
                <w:sz w:val="20"/>
                <w:szCs w:val="20"/>
                <w:lang w:eastAsia="en-GB"/>
              </w:rPr>
            </w:pPr>
            <w:r w:rsidRPr="00861214">
              <w:rPr>
                <w:sz w:val="20"/>
                <w:szCs w:val="20"/>
                <w:lang w:eastAsia="en-GB"/>
              </w:rPr>
              <w:t>5</w:t>
            </w:r>
          </w:p>
        </w:tc>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D49EE4" w14:textId="77777777" w:rsidR="00AB178F" w:rsidRPr="00861214" w:rsidRDefault="00AB178F" w:rsidP="00AB178F">
            <w:pPr>
              <w:jc w:val="right"/>
              <w:rPr>
                <w:color w:val="000000"/>
                <w:sz w:val="20"/>
                <w:szCs w:val="20"/>
                <w:lang w:eastAsia="en-GB"/>
              </w:rPr>
            </w:pPr>
            <w:r w:rsidRPr="00861214">
              <w:rPr>
                <w:color w:val="000000"/>
                <w:sz w:val="20"/>
                <w:szCs w:val="20"/>
                <w:lang w:eastAsia="en-GB"/>
              </w:rPr>
              <w:t>0</w:t>
            </w:r>
          </w:p>
        </w:tc>
        <w:tc>
          <w:tcPr>
            <w:tcW w:w="1555" w:type="dxa"/>
            <w:tcBorders>
              <w:top w:val="single" w:sz="4" w:space="0" w:color="auto"/>
              <w:left w:val="nil"/>
              <w:bottom w:val="single" w:sz="4" w:space="0" w:color="auto"/>
              <w:right w:val="single" w:sz="4" w:space="0" w:color="auto"/>
            </w:tcBorders>
            <w:shd w:val="clear" w:color="auto" w:fill="auto"/>
            <w:noWrap/>
            <w:vAlign w:val="center"/>
            <w:hideMark/>
          </w:tcPr>
          <w:p w14:paraId="25E04F3F" w14:textId="77777777" w:rsidR="00AB178F" w:rsidRPr="00861214" w:rsidRDefault="00AB178F" w:rsidP="00AB178F">
            <w:pPr>
              <w:rPr>
                <w:sz w:val="20"/>
                <w:szCs w:val="20"/>
                <w:lang w:eastAsia="en-GB"/>
              </w:rPr>
            </w:pPr>
            <w:r w:rsidRPr="00861214">
              <w:rPr>
                <w:sz w:val="20"/>
                <w:szCs w:val="20"/>
                <w:lang w:eastAsia="en-GB"/>
              </w:rPr>
              <w:t> </w:t>
            </w:r>
          </w:p>
        </w:tc>
        <w:tc>
          <w:tcPr>
            <w:tcW w:w="1801" w:type="dxa"/>
            <w:tcBorders>
              <w:top w:val="single" w:sz="4" w:space="0" w:color="auto"/>
              <w:left w:val="nil"/>
              <w:bottom w:val="single" w:sz="4" w:space="0" w:color="auto"/>
              <w:right w:val="single" w:sz="4" w:space="0" w:color="auto"/>
            </w:tcBorders>
            <w:shd w:val="clear" w:color="auto" w:fill="auto"/>
            <w:noWrap/>
            <w:vAlign w:val="center"/>
            <w:hideMark/>
          </w:tcPr>
          <w:p w14:paraId="294CE321" w14:textId="77777777" w:rsidR="00AB178F" w:rsidRPr="00861214" w:rsidRDefault="00AB178F" w:rsidP="00AB178F">
            <w:pPr>
              <w:jc w:val="right"/>
              <w:rPr>
                <w:color w:val="000000"/>
                <w:sz w:val="20"/>
                <w:szCs w:val="20"/>
                <w:lang w:eastAsia="en-GB"/>
              </w:rPr>
            </w:pPr>
            <w:r w:rsidRPr="00861214">
              <w:rPr>
                <w:color w:val="000000"/>
                <w:sz w:val="20"/>
                <w:szCs w:val="20"/>
                <w:lang w:eastAsia="en-GB"/>
              </w:rPr>
              <w:t>15</w:t>
            </w:r>
          </w:p>
        </w:tc>
      </w:tr>
      <w:tr w:rsidR="00AB178F" w:rsidRPr="00861214" w14:paraId="50685BEA" w14:textId="77777777" w:rsidTr="001037CE">
        <w:trPr>
          <w:trHeight w:val="270"/>
        </w:trPr>
        <w:tc>
          <w:tcPr>
            <w:tcW w:w="496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1EBB3EBB" w14:textId="77777777" w:rsidR="00AB178F" w:rsidRPr="00861214" w:rsidRDefault="00AB178F" w:rsidP="00AB178F">
            <w:pPr>
              <w:rPr>
                <w:sz w:val="20"/>
                <w:szCs w:val="20"/>
                <w:lang w:eastAsia="en-GB"/>
              </w:rPr>
            </w:pPr>
            <w:r w:rsidRPr="00861214">
              <w:rPr>
                <w:sz w:val="20"/>
                <w:szCs w:val="20"/>
                <w:lang w:eastAsia="en-GB"/>
              </w:rPr>
              <w:t>C.  Regional Advice and Support</w:t>
            </w:r>
          </w:p>
        </w:tc>
        <w:tc>
          <w:tcPr>
            <w:tcW w:w="1291" w:type="dxa"/>
            <w:tcBorders>
              <w:top w:val="single" w:sz="4" w:space="0" w:color="auto"/>
              <w:left w:val="nil"/>
              <w:bottom w:val="single" w:sz="4" w:space="0" w:color="auto"/>
              <w:right w:val="single" w:sz="4" w:space="0" w:color="auto"/>
            </w:tcBorders>
            <w:shd w:val="clear" w:color="auto" w:fill="E2EFD9" w:themeFill="accent6" w:themeFillTint="33"/>
            <w:noWrap/>
            <w:vAlign w:val="center"/>
            <w:hideMark/>
          </w:tcPr>
          <w:p w14:paraId="10624841" w14:textId="77777777" w:rsidR="00AB178F" w:rsidRPr="00861214" w:rsidRDefault="00AB178F" w:rsidP="00AB178F">
            <w:pPr>
              <w:jc w:val="right"/>
              <w:rPr>
                <w:b/>
                <w:bCs/>
                <w:sz w:val="20"/>
                <w:szCs w:val="20"/>
                <w:lang w:eastAsia="en-GB"/>
              </w:rPr>
            </w:pPr>
            <w:r w:rsidRPr="00861214">
              <w:rPr>
                <w:b/>
                <w:bCs/>
                <w:sz w:val="20"/>
                <w:szCs w:val="20"/>
                <w:lang w:eastAsia="en-GB"/>
              </w:rPr>
              <w:t>1,237</w:t>
            </w:r>
          </w:p>
        </w:tc>
        <w:tc>
          <w:tcPr>
            <w:tcW w:w="1252" w:type="dxa"/>
            <w:tcBorders>
              <w:top w:val="single" w:sz="4" w:space="0" w:color="auto"/>
              <w:left w:val="nil"/>
              <w:bottom w:val="single" w:sz="4" w:space="0" w:color="auto"/>
              <w:right w:val="single" w:sz="4" w:space="0" w:color="auto"/>
            </w:tcBorders>
            <w:shd w:val="clear" w:color="auto" w:fill="E2EFD9" w:themeFill="accent6" w:themeFillTint="33"/>
            <w:noWrap/>
            <w:vAlign w:val="center"/>
            <w:hideMark/>
          </w:tcPr>
          <w:p w14:paraId="257AA18F" w14:textId="77777777" w:rsidR="00AB178F" w:rsidRPr="00861214" w:rsidRDefault="00AB178F" w:rsidP="00AB178F">
            <w:pPr>
              <w:jc w:val="right"/>
              <w:rPr>
                <w:b/>
                <w:bCs/>
                <w:sz w:val="20"/>
                <w:szCs w:val="20"/>
                <w:lang w:eastAsia="en-GB"/>
              </w:rPr>
            </w:pPr>
            <w:r w:rsidRPr="00861214">
              <w:rPr>
                <w:b/>
                <w:bCs/>
                <w:sz w:val="20"/>
                <w:szCs w:val="20"/>
                <w:lang w:eastAsia="en-GB"/>
              </w:rPr>
              <w:t>10</w:t>
            </w:r>
          </w:p>
        </w:tc>
        <w:tc>
          <w:tcPr>
            <w:tcW w:w="1271"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center"/>
            <w:hideMark/>
          </w:tcPr>
          <w:p w14:paraId="6C94AA69" w14:textId="77777777" w:rsidR="00AB178F" w:rsidRPr="00861214" w:rsidRDefault="00AB178F" w:rsidP="00AB178F">
            <w:pPr>
              <w:jc w:val="right"/>
              <w:rPr>
                <w:b/>
                <w:bCs/>
                <w:color w:val="000000"/>
                <w:sz w:val="20"/>
                <w:szCs w:val="20"/>
                <w:lang w:eastAsia="en-GB"/>
              </w:rPr>
            </w:pPr>
            <w:r w:rsidRPr="00861214">
              <w:rPr>
                <w:b/>
                <w:bCs/>
                <w:color w:val="000000"/>
                <w:sz w:val="20"/>
                <w:szCs w:val="20"/>
                <w:lang w:eastAsia="en-GB"/>
              </w:rPr>
              <w:t>96</w:t>
            </w:r>
          </w:p>
        </w:tc>
        <w:tc>
          <w:tcPr>
            <w:tcW w:w="1555" w:type="dxa"/>
            <w:tcBorders>
              <w:top w:val="single" w:sz="4" w:space="0" w:color="auto"/>
              <w:left w:val="nil"/>
              <w:bottom w:val="single" w:sz="4" w:space="0" w:color="auto"/>
              <w:right w:val="single" w:sz="4" w:space="0" w:color="auto"/>
            </w:tcBorders>
            <w:shd w:val="clear" w:color="auto" w:fill="E2EFD9" w:themeFill="accent6" w:themeFillTint="33"/>
            <w:noWrap/>
            <w:vAlign w:val="center"/>
            <w:hideMark/>
          </w:tcPr>
          <w:p w14:paraId="1E5A7894" w14:textId="77777777" w:rsidR="00AB178F" w:rsidRPr="00861214" w:rsidRDefault="00AB178F" w:rsidP="00AB178F">
            <w:pPr>
              <w:jc w:val="right"/>
              <w:rPr>
                <w:b/>
                <w:bCs/>
                <w:color w:val="000000"/>
                <w:sz w:val="20"/>
                <w:szCs w:val="20"/>
                <w:lang w:eastAsia="en-GB"/>
              </w:rPr>
            </w:pPr>
            <w:r w:rsidRPr="00861214">
              <w:rPr>
                <w:b/>
                <w:bCs/>
                <w:color w:val="000000"/>
                <w:sz w:val="20"/>
                <w:szCs w:val="20"/>
                <w:lang w:eastAsia="en-GB"/>
              </w:rPr>
              <w:t>0</w:t>
            </w:r>
          </w:p>
        </w:tc>
        <w:tc>
          <w:tcPr>
            <w:tcW w:w="1801" w:type="dxa"/>
            <w:tcBorders>
              <w:top w:val="single" w:sz="4" w:space="0" w:color="auto"/>
              <w:left w:val="nil"/>
              <w:bottom w:val="single" w:sz="4" w:space="0" w:color="auto"/>
              <w:right w:val="single" w:sz="4" w:space="0" w:color="auto"/>
            </w:tcBorders>
            <w:shd w:val="clear" w:color="auto" w:fill="E2EFD9" w:themeFill="accent6" w:themeFillTint="33"/>
            <w:noWrap/>
            <w:vAlign w:val="center"/>
            <w:hideMark/>
          </w:tcPr>
          <w:p w14:paraId="0FD0981D" w14:textId="77777777" w:rsidR="00AB178F" w:rsidRPr="00861214" w:rsidRDefault="00AB178F" w:rsidP="00AB178F">
            <w:pPr>
              <w:jc w:val="right"/>
              <w:rPr>
                <w:b/>
                <w:bCs/>
                <w:color w:val="000000"/>
                <w:sz w:val="20"/>
                <w:szCs w:val="20"/>
                <w:lang w:eastAsia="en-GB"/>
              </w:rPr>
            </w:pPr>
            <w:r w:rsidRPr="00861214">
              <w:rPr>
                <w:b/>
                <w:bCs/>
                <w:color w:val="000000"/>
                <w:sz w:val="20"/>
                <w:szCs w:val="20"/>
                <w:lang w:eastAsia="en-GB"/>
              </w:rPr>
              <w:t>1,343</w:t>
            </w:r>
          </w:p>
        </w:tc>
      </w:tr>
      <w:tr w:rsidR="00AB178F" w:rsidRPr="00861214" w14:paraId="24832920" w14:textId="77777777" w:rsidTr="00AB178F">
        <w:trPr>
          <w:trHeight w:val="270"/>
        </w:trPr>
        <w:tc>
          <w:tcPr>
            <w:tcW w:w="4962" w:type="dxa"/>
            <w:tcBorders>
              <w:top w:val="single" w:sz="4" w:space="0" w:color="auto"/>
              <w:left w:val="single" w:sz="4" w:space="0" w:color="auto"/>
              <w:bottom w:val="single" w:sz="4" w:space="0" w:color="auto"/>
              <w:right w:val="nil"/>
            </w:tcBorders>
            <w:shd w:val="clear" w:color="auto" w:fill="auto"/>
            <w:noWrap/>
            <w:vAlign w:val="center"/>
            <w:hideMark/>
          </w:tcPr>
          <w:p w14:paraId="4E9AEF82" w14:textId="77777777" w:rsidR="00AB178F" w:rsidRPr="00861214" w:rsidRDefault="00AB178F" w:rsidP="00AB178F">
            <w:pPr>
              <w:rPr>
                <w:sz w:val="20"/>
                <w:szCs w:val="20"/>
                <w:lang w:eastAsia="en-GB"/>
              </w:rPr>
            </w:pPr>
            <w:r w:rsidRPr="00861214">
              <w:rPr>
                <w:sz w:val="20"/>
                <w:szCs w:val="20"/>
                <w:lang w:eastAsia="en-GB"/>
              </w:rPr>
              <w:t>Salaries, social costs and other benefits</w:t>
            </w:r>
          </w:p>
        </w:tc>
        <w:tc>
          <w:tcPr>
            <w:tcW w:w="1291" w:type="dxa"/>
            <w:tcBorders>
              <w:top w:val="nil"/>
              <w:left w:val="single" w:sz="4" w:space="0" w:color="auto"/>
              <w:bottom w:val="single" w:sz="4" w:space="0" w:color="auto"/>
              <w:right w:val="single" w:sz="4" w:space="0" w:color="auto"/>
            </w:tcBorders>
            <w:shd w:val="clear" w:color="auto" w:fill="auto"/>
            <w:noWrap/>
            <w:vAlign w:val="center"/>
            <w:hideMark/>
          </w:tcPr>
          <w:p w14:paraId="28E31D5A" w14:textId="77777777" w:rsidR="00AB178F" w:rsidRPr="00861214" w:rsidRDefault="00AB178F" w:rsidP="00AB178F">
            <w:pPr>
              <w:jc w:val="right"/>
              <w:rPr>
                <w:sz w:val="20"/>
                <w:szCs w:val="20"/>
                <w:lang w:eastAsia="en-GB"/>
              </w:rPr>
            </w:pPr>
            <w:r w:rsidRPr="00861214">
              <w:rPr>
                <w:sz w:val="20"/>
                <w:szCs w:val="20"/>
                <w:lang w:eastAsia="en-GB"/>
              </w:rPr>
              <w:t>1,170</w:t>
            </w:r>
          </w:p>
        </w:tc>
        <w:tc>
          <w:tcPr>
            <w:tcW w:w="1252" w:type="dxa"/>
            <w:tcBorders>
              <w:top w:val="nil"/>
              <w:left w:val="nil"/>
              <w:bottom w:val="single" w:sz="4" w:space="0" w:color="auto"/>
              <w:right w:val="single" w:sz="4" w:space="0" w:color="auto"/>
            </w:tcBorders>
            <w:shd w:val="clear" w:color="auto" w:fill="auto"/>
            <w:noWrap/>
            <w:vAlign w:val="center"/>
            <w:hideMark/>
          </w:tcPr>
          <w:p w14:paraId="2BE9D858" w14:textId="77777777" w:rsidR="00AB178F" w:rsidRPr="00861214" w:rsidRDefault="00AB178F" w:rsidP="00AB178F">
            <w:pPr>
              <w:jc w:val="right"/>
              <w:rPr>
                <w:sz w:val="20"/>
                <w:szCs w:val="20"/>
                <w:lang w:eastAsia="en-GB"/>
              </w:rPr>
            </w:pPr>
            <w:r w:rsidRPr="00861214">
              <w:rPr>
                <w:sz w:val="20"/>
                <w:szCs w:val="20"/>
                <w:lang w:eastAsia="en-GB"/>
              </w:rPr>
              <w:t>0</w:t>
            </w:r>
          </w:p>
        </w:tc>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451D68DB" w14:textId="77777777" w:rsidR="00AB178F" w:rsidRPr="00861214" w:rsidRDefault="00AB178F" w:rsidP="00AB178F">
            <w:pPr>
              <w:jc w:val="right"/>
              <w:rPr>
                <w:color w:val="000000"/>
                <w:sz w:val="20"/>
                <w:szCs w:val="20"/>
                <w:lang w:eastAsia="en-GB"/>
              </w:rPr>
            </w:pPr>
            <w:r w:rsidRPr="00861214">
              <w:rPr>
                <w:color w:val="000000"/>
                <w:sz w:val="20"/>
                <w:szCs w:val="20"/>
                <w:lang w:eastAsia="en-GB"/>
              </w:rPr>
              <w:t>0</w:t>
            </w:r>
          </w:p>
        </w:tc>
        <w:tc>
          <w:tcPr>
            <w:tcW w:w="1555" w:type="dxa"/>
            <w:tcBorders>
              <w:top w:val="nil"/>
              <w:left w:val="nil"/>
              <w:bottom w:val="single" w:sz="4" w:space="0" w:color="auto"/>
              <w:right w:val="single" w:sz="4" w:space="0" w:color="auto"/>
            </w:tcBorders>
            <w:shd w:val="clear" w:color="auto" w:fill="auto"/>
            <w:noWrap/>
            <w:vAlign w:val="center"/>
            <w:hideMark/>
          </w:tcPr>
          <w:p w14:paraId="144C7EF1" w14:textId="77777777" w:rsidR="00AB178F" w:rsidRPr="00861214" w:rsidRDefault="00AB178F" w:rsidP="00AB178F">
            <w:pPr>
              <w:rPr>
                <w:sz w:val="20"/>
                <w:szCs w:val="20"/>
                <w:lang w:eastAsia="en-GB"/>
              </w:rPr>
            </w:pPr>
            <w:r w:rsidRPr="00861214">
              <w:rPr>
                <w:sz w:val="20"/>
                <w:szCs w:val="20"/>
                <w:lang w:eastAsia="en-GB"/>
              </w:rPr>
              <w:t> </w:t>
            </w:r>
          </w:p>
        </w:tc>
        <w:tc>
          <w:tcPr>
            <w:tcW w:w="1801" w:type="dxa"/>
            <w:tcBorders>
              <w:top w:val="nil"/>
              <w:left w:val="nil"/>
              <w:bottom w:val="single" w:sz="4" w:space="0" w:color="auto"/>
              <w:right w:val="single" w:sz="4" w:space="0" w:color="auto"/>
            </w:tcBorders>
            <w:shd w:val="clear" w:color="auto" w:fill="auto"/>
            <w:noWrap/>
            <w:vAlign w:val="center"/>
            <w:hideMark/>
          </w:tcPr>
          <w:p w14:paraId="55AE8DCF" w14:textId="77777777" w:rsidR="00AB178F" w:rsidRPr="00861214" w:rsidRDefault="00AB178F" w:rsidP="00AB178F">
            <w:pPr>
              <w:jc w:val="right"/>
              <w:rPr>
                <w:color w:val="000000"/>
                <w:sz w:val="20"/>
                <w:szCs w:val="20"/>
                <w:lang w:eastAsia="en-GB"/>
              </w:rPr>
            </w:pPr>
            <w:r w:rsidRPr="00861214">
              <w:rPr>
                <w:color w:val="000000"/>
                <w:sz w:val="20"/>
                <w:szCs w:val="20"/>
                <w:lang w:eastAsia="en-GB"/>
              </w:rPr>
              <w:t>1,170</w:t>
            </w:r>
          </w:p>
        </w:tc>
      </w:tr>
      <w:tr w:rsidR="00AB178F" w:rsidRPr="00861214" w14:paraId="46123EB2" w14:textId="77777777" w:rsidTr="00AB178F">
        <w:trPr>
          <w:trHeight w:val="270"/>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CD6BD1" w14:textId="77777777" w:rsidR="00AB178F" w:rsidRPr="00861214" w:rsidRDefault="00AB178F" w:rsidP="00AB178F">
            <w:pPr>
              <w:rPr>
                <w:sz w:val="20"/>
                <w:szCs w:val="20"/>
                <w:lang w:eastAsia="en-GB"/>
              </w:rPr>
            </w:pPr>
            <w:r w:rsidRPr="00861214">
              <w:rPr>
                <w:sz w:val="20"/>
                <w:szCs w:val="20"/>
                <w:lang w:eastAsia="en-GB"/>
              </w:rPr>
              <w:t>Travel</w:t>
            </w:r>
          </w:p>
        </w:tc>
        <w:tc>
          <w:tcPr>
            <w:tcW w:w="1291" w:type="dxa"/>
            <w:tcBorders>
              <w:top w:val="nil"/>
              <w:left w:val="nil"/>
              <w:bottom w:val="single" w:sz="4" w:space="0" w:color="auto"/>
              <w:right w:val="single" w:sz="4" w:space="0" w:color="auto"/>
            </w:tcBorders>
            <w:shd w:val="clear" w:color="auto" w:fill="auto"/>
            <w:noWrap/>
            <w:vAlign w:val="center"/>
            <w:hideMark/>
          </w:tcPr>
          <w:p w14:paraId="21AE1DCC" w14:textId="77777777" w:rsidR="00AB178F" w:rsidRPr="00861214" w:rsidRDefault="00AB178F" w:rsidP="00AB178F">
            <w:pPr>
              <w:jc w:val="right"/>
              <w:rPr>
                <w:sz w:val="20"/>
                <w:szCs w:val="20"/>
                <w:lang w:eastAsia="en-GB"/>
              </w:rPr>
            </w:pPr>
            <w:r w:rsidRPr="00861214">
              <w:rPr>
                <w:sz w:val="20"/>
                <w:szCs w:val="20"/>
                <w:lang w:eastAsia="en-GB"/>
              </w:rPr>
              <w:t>67</w:t>
            </w:r>
          </w:p>
        </w:tc>
        <w:tc>
          <w:tcPr>
            <w:tcW w:w="1252" w:type="dxa"/>
            <w:tcBorders>
              <w:top w:val="nil"/>
              <w:left w:val="nil"/>
              <w:bottom w:val="single" w:sz="4" w:space="0" w:color="auto"/>
              <w:right w:val="single" w:sz="4" w:space="0" w:color="auto"/>
            </w:tcBorders>
            <w:shd w:val="clear" w:color="auto" w:fill="auto"/>
            <w:noWrap/>
            <w:vAlign w:val="center"/>
            <w:hideMark/>
          </w:tcPr>
          <w:p w14:paraId="2FB9F207" w14:textId="77777777" w:rsidR="00AB178F" w:rsidRPr="00861214" w:rsidRDefault="00AB178F" w:rsidP="00AB178F">
            <w:pPr>
              <w:jc w:val="right"/>
              <w:rPr>
                <w:sz w:val="20"/>
                <w:szCs w:val="20"/>
                <w:lang w:eastAsia="en-GB"/>
              </w:rPr>
            </w:pPr>
            <w:r w:rsidRPr="00861214">
              <w:rPr>
                <w:sz w:val="20"/>
                <w:szCs w:val="20"/>
                <w:lang w:eastAsia="en-GB"/>
              </w:rPr>
              <w:t>10</w:t>
            </w:r>
          </w:p>
        </w:tc>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0B86C4FF" w14:textId="77777777" w:rsidR="00AB178F" w:rsidRPr="00861214" w:rsidRDefault="00AB178F" w:rsidP="00AB178F">
            <w:pPr>
              <w:jc w:val="right"/>
              <w:rPr>
                <w:color w:val="000000"/>
                <w:sz w:val="20"/>
                <w:szCs w:val="20"/>
                <w:lang w:eastAsia="en-GB"/>
              </w:rPr>
            </w:pPr>
            <w:r w:rsidRPr="00861214">
              <w:rPr>
                <w:color w:val="000000"/>
                <w:sz w:val="20"/>
                <w:szCs w:val="20"/>
                <w:lang w:eastAsia="en-GB"/>
              </w:rPr>
              <w:t>0</w:t>
            </w:r>
          </w:p>
        </w:tc>
        <w:tc>
          <w:tcPr>
            <w:tcW w:w="1555" w:type="dxa"/>
            <w:tcBorders>
              <w:top w:val="nil"/>
              <w:left w:val="nil"/>
              <w:bottom w:val="single" w:sz="4" w:space="0" w:color="auto"/>
              <w:right w:val="single" w:sz="4" w:space="0" w:color="auto"/>
            </w:tcBorders>
            <w:shd w:val="clear" w:color="auto" w:fill="auto"/>
            <w:noWrap/>
            <w:vAlign w:val="center"/>
            <w:hideMark/>
          </w:tcPr>
          <w:p w14:paraId="4C4024EE" w14:textId="77777777" w:rsidR="00AB178F" w:rsidRPr="00861214" w:rsidRDefault="00AB178F" w:rsidP="00AB178F">
            <w:pPr>
              <w:rPr>
                <w:sz w:val="20"/>
                <w:szCs w:val="20"/>
                <w:lang w:eastAsia="en-GB"/>
              </w:rPr>
            </w:pPr>
            <w:r w:rsidRPr="00861214">
              <w:rPr>
                <w:sz w:val="20"/>
                <w:szCs w:val="20"/>
                <w:lang w:eastAsia="en-GB"/>
              </w:rPr>
              <w:t> </w:t>
            </w:r>
          </w:p>
        </w:tc>
        <w:tc>
          <w:tcPr>
            <w:tcW w:w="1801" w:type="dxa"/>
            <w:tcBorders>
              <w:top w:val="nil"/>
              <w:left w:val="nil"/>
              <w:bottom w:val="single" w:sz="4" w:space="0" w:color="auto"/>
              <w:right w:val="single" w:sz="4" w:space="0" w:color="auto"/>
            </w:tcBorders>
            <w:shd w:val="clear" w:color="auto" w:fill="auto"/>
            <w:noWrap/>
            <w:vAlign w:val="center"/>
            <w:hideMark/>
          </w:tcPr>
          <w:p w14:paraId="53D5A470" w14:textId="77777777" w:rsidR="00AB178F" w:rsidRPr="00861214" w:rsidRDefault="00AB178F" w:rsidP="00AB178F">
            <w:pPr>
              <w:jc w:val="right"/>
              <w:rPr>
                <w:color w:val="000000"/>
                <w:sz w:val="20"/>
                <w:szCs w:val="20"/>
                <w:lang w:eastAsia="en-GB"/>
              </w:rPr>
            </w:pPr>
            <w:r w:rsidRPr="00861214">
              <w:rPr>
                <w:color w:val="000000"/>
                <w:sz w:val="20"/>
                <w:szCs w:val="20"/>
                <w:lang w:eastAsia="en-GB"/>
              </w:rPr>
              <w:t>77</w:t>
            </w:r>
          </w:p>
        </w:tc>
      </w:tr>
      <w:tr w:rsidR="00AB178F" w:rsidRPr="00861214" w14:paraId="106EF01A" w14:textId="77777777" w:rsidTr="00AB178F">
        <w:trPr>
          <w:trHeight w:val="270"/>
        </w:trPr>
        <w:tc>
          <w:tcPr>
            <w:tcW w:w="4962" w:type="dxa"/>
            <w:tcBorders>
              <w:top w:val="nil"/>
              <w:left w:val="single" w:sz="4" w:space="0" w:color="auto"/>
              <w:bottom w:val="single" w:sz="4" w:space="0" w:color="auto"/>
              <w:right w:val="single" w:sz="4" w:space="0" w:color="auto"/>
            </w:tcBorders>
            <w:shd w:val="clear" w:color="auto" w:fill="auto"/>
            <w:noWrap/>
            <w:vAlign w:val="center"/>
            <w:hideMark/>
          </w:tcPr>
          <w:p w14:paraId="44FBFC9E" w14:textId="77777777" w:rsidR="00AB178F" w:rsidRPr="00861214" w:rsidRDefault="00AB178F" w:rsidP="00AB178F">
            <w:pPr>
              <w:rPr>
                <w:sz w:val="20"/>
                <w:szCs w:val="20"/>
                <w:lang w:eastAsia="en-GB"/>
              </w:rPr>
            </w:pPr>
            <w:r w:rsidRPr="00861214">
              <w:rPr>
                <w:sz w:val="20"/>
                <w:szCs w:val="20"/>
                <w:lang w:eastAsia="en-GB"/>
              </w:rPr>
              <w:t>Ramsar Advisory Missions</w:t>
            </w:r>
          </w:p>
        </w:tc>
        <w:tc>
          <w:tcPr>
            <w:tcW w:w="1291" w:type="dxa"/>
            <w:tcBorders>
              <w:top w:val="nil"/>
              <w:left w:val="nil"/>
              <w:bottom w:val="single" w:sz="4" w:space="0" w:color="auto"/>
              <w:right w:val="single" w:sz="4" w:space="0" w:color="auto"/>
            </w:tcBorders>
            <w:shd w:val="clear" w:color="auto" w:fill="auto"/>
            <w:noWrap/>
            <w:vAlign w:val="center"/>
            <w:hideMark/>
          </w:tcPr>
          <w:p w14:paraId="12171DF5" w14:textId="77777777" w:rsidR="00AB178F" w:rsidRPr="00861214" w:rsidRDefault="00AB178F" w:rsidP="00AB178F">
            <w:pPr>
              <w:jc w:val="right"/>
              <w:rPr>
                <w:sz w:val="20"/>
                <w:szCs w:val="20"/>
                <w:lang w:eastAsia="en-GB"/>
              </w:rPr>
            </w:pPr>
            <w:r w:rsidRPr="00861214">
              <w:rPr>
                <w:sz w:val="20"/>
                <w:szCs w:val="20"/>
                <w:lang w:eastAsia="en-GB"/>
              </w:rPr>
              <w:t>0</w:t>
            </w:r>
          </w:p>
        </w:tc>
        <w:tc>
          <w:tcPr>
            <w:tcW w:w="1252" w:type="dxa"/>
            <w:tcBorders>
              <w:top w:val="nil"/>
              <w:left w:val="nil"/>
              <w:bottom w:val="single" w:sz="4" w:space="0" w:color="auto"/>
              <w:right w:val="single" w:sz="4" w:space="0" w:color="auto"/>
            </w:tcBorders>
            <w:shd w:val="clear" w:color="auto" w:fill="auto"/>
            <w:noWrap/>
            <w:vAlign w:val="center"/>
            <w:hideMark/>
          </w:tcPr>
          <w:p w14:paraId="1BE4EA57" w14:textId="77777777" w:rsidR="00AB178F" w:rsidRPr="00861214" w:rsidRDefault="00AB178F" w:rsidP="00AB178F">
            <w:pPr>
              <w:jc w:val="right"/>
              <w:rPr>
                <w:sz w:val="20"/>
                <w:szCs w:val="20"/>
                <w:lang w:eastAsia="en-GB"/>
              </w:rPr>
            </w:pPr>
            <w:r w:rsidRPr="00861214">
              <w:rPr>
                <w:sz w:val="20"/>
                <w:szCs w:val="20"/>
                <w:lang w:eastAsia="en-GB"/>
              </w:rPr>
              <w:t>0</w:t>
            </w:r>
          </w:p>
        </w:tc>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37FED722" w14:textId="77777777" w:rsidR="00AB178F" w:rsidRPr="00861214" w:rsidRDefault="00AB178F" w:rsidP="00AB178F">
            <w:pPr>
              <w:jc w:val="right"/>
              <w:rPr>
                <w:color w:val="000000"/>
                <w:sz w:val="20"/>
                <w:szCs w:val="20"/>
                <w:lang w:eastAsia="en-GB"/>
              </w:rPr>
            </w:pPr>
            <w:r w:rsidRPr="00861214">
              <w:rPr>
                <w:color w:val="000000"/>
                <w:sz w:val="20"/>
                <w:szCs w:val="20"/>
                <w:lang w:eastAsia="en-GB"/>
              </w:rPr>
              <w:t>96</w:t>
            </w:r>
          </w:p>
        </w:tc>
        <w:tc>
          <w:tcPr>
            <w:tcW w:w="1555" w:type="dxa"/>
            <w:tcBorders>
              <w:top w:val="nil"/>
              <w:left w:val="nil"/>
              <w:bottom w:val="single" w:sz="4" w:space="0" w:color="auto"/>
              <w:right w:val="single" w:sz="4" w:space="0" w:color="auto"/>
            </w:tcBorders>
            <w:shd w:val="clear" w:color="auto" w:fill="auto"/>
            <w:noWrap/>
            <w:vAlign w:val="center"/>
            <w:hideMark/>
          </w:tcPr>
          <w:p w14:paraId="469010C9" w14:textId="77777777" w:rsidR="00AB178F" w:rsidRPr="00861214" w:rsidRDefault="00AB178F" w:rsidP="00AB178F">
            <w:pPr>
              <w:rPr>
                <w:sz w:val="20"/>
                <w:szCs w:val="20"/>
                <w:lang w:eastAsia="en-GB"/>
              </w:rPr>
            </w:pPr>
            <w:r w:rsidRPr="00861214">
              <w:rPr>
                <w:sz w:val="20"/>
                <w:szCs w:val="20"/>
                <w:lang w:eastAsia="en-GB"/>
              </w:rPr>
              <w:t> </w:t>
            </w:r>
          </w:p>
        </w:tc>
        <w:tc>
          <w:tcPr>
            <w:tcW w:w="1801" w:type="dxa"/>
            <w:tcBorders>
              <w:top w:val="nil"/>
              <w:left w:val="nil"/>
              <w:bottom w:val="single" w:sz="4" w:space="0" w:color="auto"/>
              <w:right w:val="single" w:sz="4" w:space="0" w:color="auto"/>
            </w:tcBorders>
            <w:shd w:val="clear" w:color="auto" w:fill="auto"/>
            <w:noWrap/>
            <w:vAlign w:val="center"/>
            <w:hideMark/>
          </w:tcPr>
          <w:p w14:paraId="1FE0DC44" w14:textId="77777777" w:rsidR="00AB178F" w:rsidRPr="00861214" w:rsidRDefault="00AB178F" w:rsidP="00AB178F">
            <w:pPr>
              <w:jc w:val="right"/>
              <w:rPr>
                <w:color w:val="000000"/>
                <w:sz w:val="20"/>
                <w:szCs w:val="20"/>
                <w:lang w:eastAsia="en-GB"/>
              </w:rPr>
            </w:pPr>
            <w:r w:rsidRPr="00861214">
              <w:rPr>
                <w:color w:val="000000"/>
                <w:sz w:val="20"/>
                <w:szCs w:val="20"/>
                <w:lang w:eastAsia="en-GB"/>
              </w:rPr>
              <w:t>96</w:t>
            </w:r>
          </w:p>
        </w:tc>
      </w:tr>
      <w:tr w:rsidR="00AB178F" w:rsidRPr="00861214" w14:paraId="30A19E50" w14:textId="77777777" w:rsidTr="001037CE">
        <w:trPr>
          <w:trHeight w:val="270"/>
        </w:trPr>
        <w:tc>
          <w:tcPr>
            <w:tcW w:w="4962" w:type="dxa"/>
            <w:tcBorders>
              <w:top w:val="nil"/>
              <w:left w:val="single" w:sz="4" w:space="0" w:color="auto"/>
              <w:bottom w:val="single" w:sz="4" w:space="0" w:color="auto"/>
              <w:right w:val="single" w:sz="4" w:space="0" w:color="auto"/>
            </w:tcBorders>
            <w:shd w:val="clear" w:color="auto" w:fill="E2EFD9" w:themeFill="accent6" w:themeFillTint="33"/>
            <w:vAlign w:val="center"/>
            <w:hideMark/>
          </w:tcPr>
          <w:p w14:paraId="0AFDCF4B" w14:textId="77777777" w:rsidR="00AB178F" w:rsidRPr="00861214" w:rsidRDefault="00AB178F" w:rsidP="00AB178F">
            <w:pPr>
              <w:rPr>
                <w:sz w:val="20"/>
                <w:szCs w:val="20"/>
                <w:lang w:eastAsia="en-GB"/>
              </w:rPr>
            </w:pPr>
            <w:r w:rsidRPr="00861214">
              <w:rPr>
                <w:sz w:val="20"/>
                <w:szCs w:val="20"/>
                <w:lang w:eastAsia="en-GB"/>
              </w:rPr>
              <w:t>D.  Support to Regional Initiatives</w:t>
            </w:r>
          </w:p>
        </w:tc>
        <w:tc>
          <w:tcPr>
            <w:tcW w:w="1291" w:type="dxa"/>
            <w:tcBorders>
              <w:top w:val="nil"/>
              <w:left w:val="nil"/>
              <w:bottom w:val="single" w:sz="4" w:space="0" w:color="auto"/>
              <w:right w:val="single" w:sz="4" w:space="0" w:color="auto"/>
            </w:tcBorders>
            <w:shd w:val="clear" w:color="auto" w:fill="E2EFD9" w:themeFill="accent6" w:themeFillTint="33"/>
            <w:noWrap/>
            <w:vAlign w:val="center"/>
            <w:hideMark/>
          </w:tcPr>
          <w:p w14:paraId="46062C6A" w14:textId="77777777" w:rsidR="00AB178F" w:rsidRPr="00861214" w:rsidRDefault="00AB178F" w:rsidP="00AB178F">
            <w:pPr>
              <w:jc w:val="right"/>
              <w:rPr>
                <w:b/>
                <w:bCs/>
                <w:sz w:val="20"/>
                <w:szCs w:val="20"/>
                <w:lang w:eastAsia="en-GB"/>
              </w:rPr>
            </w:pPr>
            <w:r w:rsidRPr="00861214">
              <w:rPr>
                <w:b/>
                <w:bCs/>
                <w:sz w:val="20"/>
                <w:szCs w:val="20"/>
                <w:lang w:eastAsia="en-GB"/>
              </w:rPr>
              <w:t>100</w:t>
            </w:r>
          </w:p>
        </w:tc>
        <w:tc>
          <w:tcPr>
            <w:tcW w:w="1252" w:type="dxa"/>
            <w:tcBorders>
              <w:top w:val="nil"/>
              <w:left w:val="nil"/>
              <w:bottom w:val="single" w:sz="4" w:space="0" w:color="auto"/>
              <w:right w:val="single" w:sz="4" w:space="0" w:color="auto"/>
            </w:tcBorders>
            <w:shd w:val="clear" w:color="auto" w:fill="E2EFD9" w:themeFill="accent6" w:themeFillTint="33"/>
            <w:noWrap/>
            <w:vAlign w:val="center"/>
            <w:hideMark/>
          </w:tcPr>
          <w:p w14:paraId="75E2B2E0" w14:textId="77777777" w:rsidR="00AB178F" w:rsidRPr="00861214" w:rsidRDefault="00AB178F" w:rsidP="00AB178F">
            <w:pPr>
              <w:jc w:val="right"/>
              <w:rPr>
                <w:b/>
                <w:bCs/>
                <w:sz w:val="20"/>
                <w:szCs w:val="20"/>
                <w:lang w:eastAsia="en-GB"/>
              </w:rPr>
            </w:pPr>
            <w:r w:rsidRPr="00861214">
              <w:rPr>
                <w:b/>
                <w:bCs/>
                <w:sz w:val="20"/>
                <w:szCs w:val="20"/>
                <w:lang w:eastAsia="en-GB"/>
              </w:rPr>
              <w:t>0</w:t>
            </w:r>
          </w:p>
        </w:tc>
        <w:tc>
          <w:tcPr>
            <w:tcW w:w="1271" w:type="dxa"/>
            <w:tcBorders>
              <w:top w:val="nil"/>
              <w:left w:val="single" w:sz="4" w:space="0" w:color="auto"/>
              <w:bottom w:val="single" w:sz="4" w:space="0" w:color="auto"/>
              <w:right w:val="single" w:sz="4" w:space="0" w:color="auto"/>
            </w:tcBorders>
            <w:shd w:val="clear" w:color="auto" w:fill="E2EFD9" w:themeFill="accent6" w:themeFillTint="33"/>
            <w:noWrap/>
            <w:vAlign w:val="center"/>
            <w:hideMark/>
          </w:tcPr>
          <w:p w14:paraId="14F52973" w14:textId="77777777" w:rsidR="00AB178F" w:rsidRPr="00861214" w:rsidRDefault="00AB178F" w:rsidP="00AB178F">
            <w:pPr>
              <w:jc w:val="right"/>
              <w:rPr>
                <w:b/>
                <w:bCs/>
                <w:color w:val="000000"/>
                <w:sz w:val="20"/>
                <w:szCs w:val="20"/>
                <w:lang w:eastAsia="en-GB"/>
              </w:rPr>
            </w:pPr>
            <w:r w:rsidRPr="00861214">
              <w:rPr>
                <w:b/>
                <w:bCs/>
                <w:color w:val="000000"/>
                <w:sz w:val="20"/>
                <w:szCs w:val="20"/>
                <w:lang w:eastAsia="en-GB"/>
              </w:rPr>
              <w:t>76</w:t>
            </w:r>
          </w:p>
        </w:tc>
        <w:tc>
          <w:tcPr>
            <w:tcW w:w="1555" w:type="dxa"/>
            <w:tcBorders>
              <w:top w:val="nil"/>
              <w:left w:val="nil"/>
              <w:bottom w:val="single" w:sz="4" w:space="0" w:color="auto"/>
              <w:right w:val="single" w:sz="4" w:space="0" w:color="auto"/>
            </w:tcBorders>
            <w:shd w:val="clear" w:color="auto" w:fill="E2EFD9" w:themeFill="accent6" w:themeFillTint="33"/>
            <w:noWrap/>
            <w:vAlign w:val="center"/>
            <w:hideMark/>
          </w:tcPr>
          <w:p w14:paraId="1C43CDD0" w14:textId="77777777" w:rsidR="00AB178F" w:rsidRPr="00861214" w:rsidRDefault="00AB178F" w:rsidP="00AB178F">
            <w:pPr>
              <w:jc w:val="right"/>
              <w:rPr>
                <w:b/>
                <w:bCs/>
                <w:color w:val="000000"/>
                <w:sz w:val="20"/>
                <w:szCs w:val="20"/>
                <w:lang w:eastAsia="en-GB"/>
              </w:rPr>
            </w:pPr>
            <w:r w:rsidRPr="00861214">
              <w:rPr>
                <w:b/>
                <w:bCs/>
                <w:color w:val="000000"/>
                <w:sz w:val="20"/>
                <w:szCs w:val="20"/>
                <w:lang w:eastAsia="en-GB"/>
              </w:rPr>
              <w:t>0</w:t>
            </w:r>
          </w:p>
        </w:tc>
        <w:tc>
          <w:tcPr>
            <w:tcW w:w="1801" w:type="dxa"/>
            <w:tcBorders>
              <w:top w:val="nil"/>
              <w:left w:val="nil"/>
              <w:bottom w:val="single" w:sz="4" w:space="0" w:color="auto"/>
              <w:right w:val="single" w:sz="4" w:space="0" w:color="auto"/>
            </w:tcBorders>
            <w:shd w:val="clear" w:color="auto" w:fill="E2EFD9" w:themeFill="accent6" w:themeFillTint="33"/>
            <w:noWrap/>
            <w:vAlign w:val="center"/>
            <w:hideMark/>
          </w:tcPr>
          <w:p w14:paraId="703B5E68" w14:textId="77777777" w:rsidR="00AB178F" w:rsidRPr="00861214" w:rsidRDefault="00AB178F" w:rsidP="00AB178F">
            <w:pPr>
              <w:jc w:val="right"/>
              <w:rPr>
                <w:b/>
                <w:bCs/>
                <w:color w:val="000000"/>
                <w:sz w:val="20"/>
                <w:szCs w:val="20"/>
                <w:lang w:eastAsia="en-GB"/>
              </w:rPr>
            </w:pPr>
            <w:r w:rsidRPr="00861214">
              <w:rPr>
                <w:b/>
                <w:bCs/>
                <w:color w:val="000000"/>
                <w:sz w:val="20"/>
                <w:szCs w:val="20"/>
                <w:lang w:eastAsia="en-GB"/>
              </w:rPr>
              <w:t>176</w:t>
            </w:r>
          </w:p>
        </w:tc>
      </w:tr>
      <w:tr w:rsidR="00AB178F" w:rsidRPr="00861214" w14:paraId="790C9FD4" w14:textId="77777777" w:rsidTr="00AB178F">
        <w:trPr>
          <w:trHeight w:val="270"/>
        </w:trPr>
        <w:tc>
          <w:tcPr>
            <w:tcW w:w="4962" w:type="dxa"/>
            <w:tcBorders>
              <w:top w:val="nil"/>
              <w:left w:val="single" w:sz="4" w:space="0" w:color="auto"/>
              <w:bottom w:val="single" w:sz="4" w:space="0" w:color="auto"/>
              <w:right w:val="nil"/>
            </w:tcBorders>
            <w:shd w:val="clear" w:color="auto" w:fill="auto"/>
            <w:noWrap/>
            <w:vAlign w:val="center"/>
            <w:hideMark/>
          </w:tcPr>
          <w:p w14:paraId="43433782" w14:textId="77777777" w:rsidR="00AB178F" w:rsidRPr="00861214" w:rsidRDefault="00AB178F" w:rsidP="00AB178F">
            <w:pPr>
              <w:rPr>
                <w:sz w:val="20"/>
                <w:szCs w:val="20"/>
                <w:lang w:eastAsia="en-GB"/>
              </w:rPr>
            </w:pPr>
            <w:r w:rsidRPr="00861214">
              <w:rPr>
                <w:sz w:val="20"/>
                <w:szCs w:val="20"/>
                <w:lang w:eastAsia="en-GB"/>
              </w:rPr>
              <w:t>Regional networks and centres**</w:t>
            </w:r>
          </w:p>
        </w:tc>
        <w:tc>
          <w:tcPr>
            <w:tcW w:w="1291" w:type="dxa"/>
            <w:tcBorders>
              <w:top w:val="nil"/>
              <w:left w:val="single" w:sz="4" w:space="0" w:color="auto"/>
              <w:bottom w:val="single" w:sz="4" w:space="0" w:color="auto"/>
              <w:right w:val="single" w:sz="4" w:space="0" w:color="auto"/>
            </w:tcBorders>
            <w:shd w:val="clear" w:color="auto" w:fill="auto"/>
            <w:noWrap/>
            <w:vAlign w:val="center"/>
            <w:hideMark/>
          </w:tcPr>
          <w:p w14:paraId="04B544E8" w14:textId="77777777" w:rsidR="00AB178F" w:rsidRPr="00861214" w:rsidRDefault="00AB178F" w:rsidP="00AB178F">
            <w:pPr>
              <w:jc w:val="right"/>
              <w:rPr>
                <w:sz w:val="20"/>
                <w:szCs w:val="20"/>
                <w:lang w:eastAsia="en-GB"/>
              </w:rPr>
            </w:pPr>
            <w:r w:rsidRPr="00861214">
              <w:rPr>
                <w:sz w:val="20"/>
                <w:szCs w:val="20"/>
                <w:lang w:eastAsia="en-GB"/>
              </w:rPr>
              <w:t>100</w:t>
            </w:r>
          </w:p>
        </w:tc>
        <w:tc>
          <w:tcPr>
            <w:tcW w:w="1252" w:type="dxa"/>
            <w:tcBorders>
              <w:top w:val="nil"/>
              <w:left w:val="nil"/>
              <w:bottom w:val="single" w:sz="4" w:space="0" w:color="auto"/>
              <w:right w:val="single" w:sz="4" w:space="0" w:color="auto"/>
            </w:tcBorders>
            <w:shd w:val="clear" w:color="auto" w:fill="auto"/>
            <w:noWrap/>
            <w:vAlign w:val="center"/>
            <w:hideMark/>
          </w:tcPr>
          <w:p w14:paraId="3921211E" w14:textId="77777777" w:rsidR="00AB178F" w:rsidRPr="00861214" w:rsidRDefault="00AB178F" w:rsidP="00AB178F">
            <w:pPr>
              <w:jc w:val="right"/>
              <w:rPr>
                <w:sz w:val="20"/>
                <w:szCs w:val="20"/>
                <w:lang w:eastAsia="en-GB"/>
              </w:rPr>
            </w:pPr>
            <w:r w:rsidRPr="00861214">
              <w:rPr>
                <w:sz w:val="20"/>
                <w:szCs w:val="20"/>
                <w:lang w:eastAsia="en-GB"/>
              </w:rPr>
              <w:t>0</w:t>
            </w:r>
          </w:p>
        </w:tc>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47005583" w14:textId="77777777" w:rsidR="00AB178F" w:rsidRPr="00861214" w:rsidRDefault="00AB178F" w:rsidP="00AB178F">
            <w:pPr>
              <w:jc w:val="right"/>
              <w:rPr>
                <w:color w:val="000000"/>
                <w:sz w:val="20"/>
                <w:szCs w:val="20"/>
                <w:lang w:eastAsia="en-GB"/>
              </w:rPr>
            </w:pPr>
            <w:r w:rsidRPr="00861214">
              <w:rPr>
                <w:color w:val="000000"/>
                <w:sz w:val="20"/>
                <w:szCs w:val="20"/>
                <w:lang w:eastAsia="en-GB"/>
              </w:rPr>
              <w:t>0</w:t>
            </w:r>
          </w:p>
        </w:tc>
        <w:tc>
          <w:tcPr>
            <w:tcW w:w="1555" w:type="dxa"/>
            <w:tcBorders>
              <w:top w:val="nil"/>
              <w:left w:val="nil"/>
              <w:bottom w:val="single" w:sz="4" w:space="0" w:color="auto"/>
              <w:right w:val="single" w:sz="4" w:space="0" w:color="auto"/>
            </w:tcBorders>
            <w:shd w:val="clear" w:color="auto" w:fill="auto"/>
            <w:noWrap/>
            <w:vAlign w:val="center"/>
            <w:hideMark/>
          </w:tcPr>
          <w:p w14:paraId="72DD65B8" w14:textId="77777777" w:rsidR="00AB178F" w:rsidRPr="00861214" w:rsidRDefault="00AB178F" w:rsidP="00AB178F">
            <w:pPr>
              <w:rPr>
                <w:color w:val="000000"/>
                <w:sz w:val="20"/>
                <w:szCs w:val="20"/>
                <w:lang w:eastAsia="en-GB"/>
              </w:rPr>
            </w:pPr>
            <w:r w:rsidRPr="00861214">
              <w:rPr>
                <w:color w:val="000000"/>
                <w:sz w:val="20"/>
                <w:szCs w:val="20"/>
                <w:lang w:eastAsia="en-GB"/>
              </w:rPr>
              <w:t> </w:t>
            </w:r>
          </w:p>
        </w:tc>
        <w:tc>
          <w:tcPr>
            <w:tcW w:w="1801" w:type="dxa"/>
            <w:tcBorders>
              <w:top w:val="nil"/>
              <w:left w:val="nil"/>
              <w:bottom w:val="single" w:sz="4" w:space="0" w:color="auto"/>
              <w:right w:val="single" w:sz="4" w:space="0" w:color="auto"/>
            </w:tcBorders>
            <w:shd w:val="clear" w:color="auto" w:fill="auto"/>
            <w:noWrap/>
            <w:vAlign w:val="center"/>
            <w:hideMark/>
          </w:tcPr>
          <w:p w14:paraId="32942999" w14:textId="77777777" w:rsidR="00AB178F" w:rsidRPr="00861214" w:rsidRDefault="00AB178F" w:rsidP="00AB178F">
            <w:pPr>
              <w:jc w:val="right"/>
              <w:rPr>
                <w:color w:val="000000"/>
                <w:sz w:val="20"/>
                <w:szCs w:val="20"/>
                <w:lang w:eastAsia="en-GB"/>
              </w:rPr>
            </w:pPr>
            <w:r w:rsidRPr="00861214">
              <w:rPr>
                <w:color w:val="000000"/>
                <w:sz w:val="20"/>
                <w:szCs w:val="20"/>
                <w:lang w:eastAsia="en-GB"/>
              </w:rPr>
              <w:t>100</w:t>
            </w:r>
          </w:p>
        </w:tc>
      </w:tr>
      <w:tr w:rsidR="00AB178F" w:rsidRPr="00861214" w14:paraId="0856683D" w14:textId="77777777" w:rsidTr="00AB178F">
        <w:trPr>
          <w:trHeight w:val="270"/>
        </w:trPr>
        <w:tc>
          <w:tcPr>
            <w:tcW w:w="4962" w:type="dxa"/>
            <w:tcBorders>
              <w:top w:val="nil"/>
              <w:left w:val="single" w:sz="4" w:space="0" w:color="auto"/>
              <w:bottom w:val="single" w:sz="4" w:space="0" w:color="auto"/>
              <w:right w:val="single" w:sz="4" w:space="0" w:color="auto"/>
            </w:tcBorders>
            <w:shd w:val="clear" w:color="auto" w:fill="auto"/>
            <w:noWrap/>
            <w:vAlign w:val="center"/>
            <w:hideMark/>
          </w:tcPr>
          <w:p w14:paraId="745C92A1" w14:textId="77777777" w:rsidR="00AB178F" w:rsidRPr="00861214" w:rsidRDefault="00AB178F" w:rsidP="00AB178F">
            <w:pPr>
              <w:rPr>
                <w:sz w:val="20"/>
                <w:szCs w:val="20"/>
                <w:lang w:eastAsia="en-GB"/>
              </w:rPr>
            </w:pPr>
            <w:r w:rsidRPr="00861214">
              <w:rPr>
                <w:sz w:val="20"/>
                <w:szCs w:val="20"/>
                <w:lang w:eastAsia="en-GB"/>
              </w:rPr>
              <w:t>Amazon Basin 2021 carry over</w:t>
            </w:r>
          </w:p>
        </w:tc>
        <w:tc>
          <w:tcPr>
            <w:tcW w:w="1291" w:type="dxa"/>
            <w:tcBorders>
              <w:top w:val="nil"/>
              <w:left w:val="nil"/>
              <w:bottom w:val="single" w:sz="4" w:space="0" w:color="auto"/>
              <w:right w:val="single" w:sz="4" w:space="0" w:color="auto"/>
            </w:tcBorders>
            <w:shd w:val="clear" w:color="auto" w:fill="auto"/>
            <w:noWrap/>
            <w:vAlign w:val="center"/>
            <w:hideMark/>
          </w:tcPr>
          <w:p w14:paraId="1E722C31" w14:textId="77777777" w:rsidR="00AB178F" w:rsidRPr="00861214" w:rsidRDefault="00AB178F" w:rsidP="00AB178F">
            <w:pPr>
              <w:jc w:val="right"/>
              <w:rPr>
                <w:sz w:val="20"/>
                <w:szCs w:val="20"/>
                <w:lang w:eastAsia="en-GB"/>
              </w:rPr>
            </w:pPr>
            <w:r w:rsidRPr="00861214">
              <w:rPr>
                <w:sz w:val="20"/>
                <w:szCs w:val="20"/>
                <w:lang w:eastAsia="en-GB"/>
              </w:rPr>
              <w:t>0</w:t>
            </w:r>
          </w:p>
        </w:tc>
        <w:tc>
          <w:tcPr>
            <w:tcW w:w="1252" w:type="dxa"/>
            <w:tcBorders>
              <w:top w:val="nil"/>
              <w:left w:val="nil"/>
              <w:bottom w:val="single" w:sz="4" w:space="0" w:color="auto"/>
              <w:right w:val="single" w:sz="4" w:space="0" w:color="auto"/>
            </w:tcBorders>
            <w:shd w:val="clear" w:color="auto" w:fill="auto"/>
            <w:noWrap/>
            <w:vAlign w:val="center"/>
            <w:hideMark/>
          </w:tcPr>
          <w:p w14:paraId="1D161777" w14:textId="77777777" w:rsidR="00AB178F" w:rsidRPr="00861214" w:rsidRDefault="00AB178F" w:rsidP="00AB178F">
            <w:pPr>
              <w:jc w:val="right"/>
              <w:rPr>
                <w:sz w:val="20"/>
                <w:szCs w:val="20"/>
                <w:lang w:eastAsia="en-GB"/>
              </w:rPr>
            </w:pPr>
            <w:r w:rsidRPr="00861214">
              <w:rPr>
                <w:sz w:val="20"/>
                <w:szCs w:val="20"/>
                <w:lang w:eastAsia="en-GB"/>
              </w:rPr>
              <w:t>0</w:t>
            </w:r>
          </w:p>
        </w:tc>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738EE487" w14:textId="77777777" w:rsidR="00AB178F" w:rsidRPr="00861214" w:rsidRDefault="00AB178F" w:rsidP="00AB178F">
            <w:pPr>
              <w:jc w:val="right"/>
              <w:rPr>
                <w:sz w:val="20"/>
                <w:szCs w:val="20"/>
                <w:lang w:eastAsia="en-GB"/>
              </w:rPr>
            </w:pPr>
            <w:r w:rsidRPr="00861214">
              <w:rPr>
                <w:sz w:val="20"/>
                <w:szCs w:val="20"/>
                <w:lang w:eastAsia="en-GB"/>
              </w:rPr>
              <w:t>76</w:t>
            </w:r>
          </w:p>
        </w:tc>
        <w:tc>
          <w:tcPr>
            <w:tcW w:w="1555" w:type="dxa"/>
            <w:tcBorders>
              <w:top w:val="nil"/>
              <w:left w:val="nil"/>
              <w:bottom w:val="single" w:sz="4" w:space="0" w:color="auto"/>
              <w:right w:val="single" w:sz="4" w:space="0" w:color="auto"/>
            </w:tcBorders>
            <w:shd w:val="clear" w:color="auto" w:fill="auto"/>
            <w:noWrap/>
            <w:vAlign w:val="center"/>
            <w:hideMark/>
          </w:tcPr>
          <w:p w14:paraId="4BE20701" w14:textId="77777777" w:rsidR="00AB178F" w:rsidRPr="00861214" w:rsidRDefault="00AB178F" w:rsidP="00AB178F">
            <w:pPr>
              <w:rPr>
                <w:color w:val="0070C0"/>
                <w:sz w:val="20"/>
                <w:szCs w:val="20"/>
                <w:lang w:eastAsia="en-GB"/>
              </w:rPr>
            </w:pPr>
            <w:r w:rsidRPr="00861214">
              <w:rPr>
                <w:color w:val="0070C0"/>
                <w:sz w:val="20"/>
                <w:szCs w:val="20"/>
                <w:lang w:eastAsia="en-GB"/>
              </w:rPr>
              <w:t> </w:t>
            </w:r>
          </w:p>
        </w:tc>
        <w:tc>
          <w:tcPr>
            <w:tcW w:w="1801" w:type="dxa"/>
            <w:tcBorders>
              <w:top w:val="nil"/>
              <w:left w:val="nil"/>
              <w:bottom w:val="single" w:sz="4" w:space="0" w:color="auto"/>
              <w:right w:val="single" w:sz="4" w:space="0" w:color="auto"/>
            </w:tcBorders>
            <w:shd w:val="clear" w:color="auto" w:fill="auto"/>
            <w:noWrap/>
            <w:vAlign w:val="center"/>
            <w:hideMark/>
          </w:tcPr>
          <w:p w14:paraId="393383DC" w14:textId="77777777" w:rsidR="00AB178F" w:rsidRPr="00861214" w:rsidRDefault="00AB178F" w:rsidP="00AB178F">
            <w:pPr>
              <w:jc w:val="right"/>
              <w:rPr>
                <w:color w:val="000000"/>
                <w:sz w:val="20"/>
                <w:szCs w:val="20"/>
                <w:lang w:eastAsia="en-GB"/>
              </w:rPr>
            </w:pPr>
            <w:r w:rsidRPr="00861214">
              <w:rPr>
                <w:color w:val="000000"/>
                <w:sz w:val="20"/>
                <w:szCs w:val="20"/>
                <w:lang w:eastAsia="en-GB"/>
              </w:rPr>
              <w:t>76</w:t>
            </w:r>
          </w:p>
        </w:tc>
      </w:tr>
      <w:tr w:rsidR="00AB178F" w:rsidRPr="00861214" w14:paraId="4FAEE6AD" w14:textId="77777777" w:rsidTr="001037CE">
        <w:trPr>
          <w:trHeight w:val="270"/>
        </w:trPr>
        <w:tc>
          <w:tcPr>
            <w:tcW w:w="4962" w:type="dxa"/>
            <w:tcBorders>
              <w:top w:val="nil"/>
              <w:left w:val="single" w:sz="4" w:space="0" w:color="auto"/>
              <w:bottom w:val="single" w:sz="4" w:space="0" w:color="auto"/>
              <w:right w:val="single" w:sz="4" w:space="0" w:color="auto"/>
            </w:tcBorders>
            <w:shd w:val="clear" w:color="auto" w:fill="E2EFD9" w:themeFill="accent6" w:themeFillTint="33"/>
            <w:vAlign w:val="center"/>
            <w:hideMark/>
          </w:tcPr>
          <w:p w14:paraId="75E9B36A" w14:textId="77777777" w:rsidR="00AB178F" w:rsidRPr="00861214" w:rsidRDefault="00AB178F" w:rsidP="00AB178F">
            <w:pPr>
              <w:rPr>
                <w:sz w:val="20"/>
                <w:szCs w:val="20"/>
                <w:lang w:eastAsia="en-GB"/>
              </w:rPr>
            </w:pPr>
            <w:r w:rsidRPr="00861214">
              <w:rPr>
                <w:sz w:val="20"/>
                <w:szCs w:val="20"/>
                <w:lang w:eastAsia="en-GB"/>
              </w:rPr>
              <w:t>E.  Scientific and Technical Services</w:t>
            </w:r>
          </w:p>
        </w:tc>
        <w:tc>
          <w:tcPr>
            <w:tcW w:w="1291" w:type="dxa"/>
            <w:tcBorders>
              <w:top w:val="nil"/>
              <w:left w:val="nil"/>
              <w:bottom w:val="single" w:sz="4" w:space="0" w:color="auto"/>
              <w:right w:val="single" w:sz="4" w:space="0" w:color="auto"/>
            </w:tcBorders>
            <w:shd w:val="clear" w:color="auto" w:fill="E2EFD9" w:themeFill="accent6" w:themeFillTint="33"/>
            <w:noWrap/>
            <w:vAlign w:val="center"/>
            <w:hideMark/>
          </w:tcPr>
          <w:p w14:paraId="2194DFBF" w14:textId="77777777" w:rsidR="00AB178F" w:rsidRPr="00861214" w:rsidRDefault="00AB178F" w:rsidP="00AB178F">
            <w:pPr>
              <w:jc w:val="right"/>
              <w:rPr>
                <w:b/>
                <w:bCs/>
                <w:sz w:val="20"/>
                <w:szCs w:val="20"/>
                <w:lang w:eastAsia="en-GB"/>
              </w:rPr>
            </w:pPr>
            <w:r w:rsidRPr="00861214">
              <w:rPr>
                <w:b/>
                <w:bCs/>
                <w:sz w:val="20"/>
                <w:szCs w:val="20"/>
                <w:lang w:eastAsia="en-GB"/>
              </w:rPr>
              <w:t>839</w:t>
            </w:r>
          </w:p>
        </w:tc>
        <w:tc>
          <w:tcPr>
            <w:tcW w:w="1252" w:type="dxa"/>
            <w:tcBorders>
              <w:top w:val="nil"/>
              <w:left w:val="nil"/>
              <w:bottom w:val="single" w:sz="4" w:space="0" w:color="auto"/>
              <w:right w:val="single" w:sz="4" w:space="0" w:color="auto"/>
            </w:tcBorders>
            <w:shd w:val="clear" w:color="auto" w:fill="E2EFD9" w:themeFill="accent6" w:themeFillTint="33"/>
            <w:noWrap/>
            <w:vAlign w:val="center"/>
            <w:hideMark/>
          </w:tcPr>
          <w:p w14:paraId="67586E23" w14:textId="77777777" w:rsidR="00AB178F" w:rsidRPr="00861214" w:rsidRDefault="00AB178F" w:rsidP="00AB178F">
            <w:pPr>
              <w:jc w:val="right"/>
              <w:rPr>
                <w:b/>
                <w:bCs/>
                <w:sz w:val="20"/>
                <w:szCs w:val="20"/>
                <w:lang w:eastAsia="en-GB"/>
              </w:rPr>
            </w:pPr>
            <w:r w:rsidRPr="00861214">
              <w:rPr>
                <w:b/>
                <w:bCs/>
                <w:sz w:val="20"/>
                <w:szCs w:val="20"/>
                <w:lang w:eastAsia="en-GB"/>
              </w:rPr>
              <w:t>5</w:t>
            </w:r>
          </w:p>
        </w:tc>
        <w:tc>
          <w:tcPr>
            <w:tcW w:w="1271" w:type="dxa"/>
            <w:tcBorders>
              <w:top w:val="nil"/>
              <w:left w:val="single" w:sz="4" w:space="0" w:color="auto"/>
              <w:bottom w:val="single" w:sz="4" w:space="0" w:color="auto"/>
              <w:right w:val="single" w:sz="4" w:space="0" w:color="auto"/>
            </w:tcBorders>
            <w:shd w:val="clear" w:color="auto" w:fill="E2EFD9" w:themeFill="accent6" w:themeFillTint="33"/>
            <w:noWrap/>
            <w:vAlign w:val="center"/>
            <w:hideMark/>
          </w:tcPr>
          <w:p w14:paraId="4686270E" w14:textId="77777777" w:rsidR="00AB178F" w:rsidRPr="00861214" w:rsidRDefault="00AB178F" w:rsidP="00AB178F">
            <w:pPr>
              <w:jc w:val="right"/>
              <w:rPr>
                <w:b/>
                <w:bCs/>
                <w:color w:val="000000"/>
                <w:sz w:val="20"/>
                <w:szCs w:val="20"/>
                <w:lang w:eastAsia="en-GB"/>
              </w:rPr>
            </w:pPr>
            <w:r w:rsidRPr="00861214">
              <w:rPr>
                <w:b/>
                <w:bCs/>
                <w:color w:val="000000"/>
                <w:sz w:val="20"/>
                <w:szCs w:val="20"/>
                <w:lang w:eastAsia="en-GB"/>
              </w:rPr>
              <w:t>224</w:t>
            </w:r>
          </w:p>
        </w:tc>
        <w:tc>
          <w:tcPr>
            <w:tcW w:w="1555" w:type="dxa"/>
            <w:tcBorders>
              <w:top w:val="nil"/>
              <w:left w:val="nil"/>
              <w:bottom w:val="single" w:sz="4" w:space="0" w:color="auto"/>
              <w:right w:val="single" w:sz="4" w:space="0" w:color="auto"/>
            </w:tcBorders>
            <w:shd w:val="clear" w:color="auto" w:fill="E2EFD9" w:themeFill="accent6" w:themeFillTint="33"/>
            <w:noWrap/>
            <w:vAlign w:val="center"/>
            <w:hideMark/>
          </w:tcPr>
          <w:p w14:paraId="239524F8" w14:textId="77777777" w:rsidR="00AB178F" w:rsidRPr="00861214" w:rsidRDefault="00AB178F" w:rsidP="00AB178F">
            <w:pPr>
              <w:jc w:val="right"/>
              <w:rPr>
                <w:b/>
                <w:bCs/>
                <w:color w:val="000000"/>
                <w:sz w:val="20"/>
                <w:szCs w:val="20"/>
                <w:lang w:eastAsia="en-GB"/>
              </w:rPr>
            </w:pPr>
            <w:r w:rsidRPr="00861214">
              <w:rPr>
                <w:b/>
                <w:bCs/>
                <w:color w:val="000000"/>
                <w:sz w:val="20"/>
                <w:szCs w:val="20"/>
                <w:lang w:eastAsia="en-GB"/>
              </w:rPr>
              <w:t>0</w:t>
            </w:r>
          </w:p>
        </w:tc>
        <w:tc>
          <w:tcPr>
            <w:tcW w:w="1801" w:type="dxa"/>
            <w:tcBorders>
              <w:top w:val="nil"/>
              <w:left w:val="nil"/>
              <w:bottom w:val="single" w:sz="4" w:space="0" w:color="auto"/>
              <w:right w:val="single" w:sz="4" w:space="0" w:color="auto"/>
            </w:tcBorders>
            <w:shd w:val="clear" w:color="auto" w:fill="E2EFD9" w:themeFill="accent6" w:themeFillTint="33"/>
            <w:noWrap/>
            <w:vAlign w:val="center"/>
            <w:hideMark/>
          </w:tcPr>
          <w:p w14:paraId="2BB8129D" w14:textId="77777777" w:rsidR="00AB178F" w:rsidRPr="00861214" w:rsidRDefault="00AB178F" w:rsidP="00AB178F">
            <w:pPr>
              <w:jc w:val="right"/>
              <w:rPr>
                <w:b/>
                <w:bCs/>
                <w:color w:val="000000"/>
                <w:sz w:val="20"/>
                <w:szCs w:val="20"/>
                <w:lang w:eastAsia="en-GB"/>
              </w:rPr>
            </w:pPr>
            <w:r w:rsidRPr="00861214">
              <w:rPr>
                <w:b/>
                <w:bCs/>
                <w:color w:val="000000"/>
                <w:sz w:val="20"/>
                <w:szCs w:val="20"/>
                <w:lang w:eastAsia="en-GB"/>
              </w:rPr>
              <w:t>1,068</w:t>
            </w:r>
          </w:p>
        </w:tc>
      </w:tr>
      <w:tr w:rsidR="00AB178F" w:rsidRPr="00861214" w14:paraId="4256BE16" w14:textId="77777777" w:rsidTr="00AB178F">
        <w:trPr>
          <w:trHeight w:val="270"/>
        </w:trPr>
        <w:tc>
          <w:tcPr>
            <w:tcW w:w="4962" w:type="dxa"/>
            <w:tcBorders>
              <w:top w:val="single" w:sz="4" w:space="0" w:color="auto"/>
              <w:left w:val="single" w:sz="4" w:space="0" w:color="auto"/>
              <w:bottom w:val="single" w:sz="4" w:space="0" w:color="auto"/>
              <w:right w:val="nil"/>
            </w:tcBorders>
            <w:shd w:val="clear" w:color="auto" w:fill="auto"/>
            <w:noWrap/>
            <w:vAlign w:val="center"/>
            <w:hideMark/>
          </w:tcPr>
          <w:p w14:paraId="03D46C4B" w14:textId="77777777" w:rsidR="00AB178F" w:rsidRPr="00861214" w:rsidRDefault="00AB178F" w:rsidP="00AB178F">
            <w:pPr>
              <w:rPr>
                <w:sz w:val="20"/>
                <w:szCs w:val="20"/>
                <w:lang w:eastAsia="en-GB"/>
              </w:rPr>
            </w:pPr>
            <w:r w:rsidRPr="00861214">
              <w:rPr>
                <w:sz w:val="20"/>
                <w:szCs w:val="20"/>
                <w:lang w:eastAsia="en-GB"/>
              </w:rPr>
              <w:t>Salaries, social costs and other benefits</w:t>
            </w:r>
          </w:p>
        </w:tc>
        <w:tc>
          <w:tcPr>
            <w:tcW w:w="1291" w:type="dxa"/>
            <w:tcBorders>
              <w:top w:val="nil"/>
              <w:left w:val="single" w:sz="4" w:space="0" w:color="auto"/>
              <w:bottom w:val="single" w:sz="4" w:space="0" w:color="auto"/>
              <w:right w:val="single" w:sz="4" w:space="0" w:color="auto"/>
            </w:tcBorders>
            <w:shd w:val="clear" w:color="auto" w:fill="auto"/>
            <w:noWrap/>
            <w:vAlign w:val="center"/>
            <w:hideMark/>
          </w:tcPr>
          <w:p w14:paraId="074B2CE0" w14:textId="77777777" w:rsidR="00AB178F" w:rsidRPr="00861214" w:rsidRDefault="00AB178F" w:rsidP="00AB178F">
            <w:pPr>
              <w:jc w:val="right"/>
              <w:rPr>
                <w:sz w:val="20"/>
                <w:szCs w:val="20"/>
                <w:lang w:eastAsia="en-GB"/>
              </w:rPr>
            </w:pPr>
            <w:r w:rsidRPr="00861214">
              <w:rPr>
                <w:sz w:val="20"/>
                <w:szCs w:val="20"/>
                <w:lang w:eastAsia="en-GB"/>
              </w:rPr>
              <w:t>651</w:t>
            </w:r>
          </w:p>
        </w:tc>
        <w:tc>
          <w:tcPr>
            <w:tcW w:w="1252" w:type="dxa"/>
            <w:tcBorders>
              <w:top w:val="nil"/>
              <w:left w:val="nil"/>
              <w:bottom w:val="single" w:sz="4" w:space="0" w:color="auto"/>
              <w:right w:val="single" w:sz="4" w:space="0" w:color="auto"/>
            </w:tcBorders>
            <w:shd w:val="clear" w:color="auto" w:fill="auto"/>
            <w:noWrap/>
            <w:vAlign w:val="center"/>
            <w:hideMark/>
          </w:tcPr>
          <w:p w14:paraId="6A05469E" w14:textId="77777777" w:rsidR="00AB178F" w:rsidRPr="00861214" w:rsidRDefault="00AB178F" w:rsidP="00AB178F">
            <w:pPr>
              <w:jc w:val="right"/>
              <w:rPr>
                <w:sz w:val="20"/>
                <w:szCs w:val="20"/>
                <w:lang w:eastAsia="en-GB"/>
              </w:rPr>
            </w:pPr>
            <w:r w:rsidRPr="00861214">
              <w:rPr>
                <w:sz w:val="20"/>
                <w:szCs w:val="20"/>
                <w:lang w:eastAsia="en-GB"/>
              </w:rPr>
              <w:t>0</w:t>
            </w:r>
          </w:p>
        </w:tc>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677312E8" w14:textId="77777777" w:rsidR="00AB178F" w:rsidRPr="00861214" w:rsidRDefault="00AB178F" w:rsidP="00AB178F">
            <w:pPr>
              <w:jc w:val="right"/>
              <w:rPr>
                <w:color w:val="000000"/>
                <w:sz w:val="20"/>
                <w:szCs w:val="20"/>
                <w:lang w:eastAsia="en-GB"/>
              </w:rPr>
            </w:pPr>
            <w:r w:rsidRPr="00861214">
              <w:rPr>
                <w:color w:val="000000"/>
                <w:sz w:val="20"/>
                <w:szCs w:val="20"/>
                <w:lang w:eastAsia="en-GB"/>
              </w:rPr>
              <w:t>0</w:t>
            </w:r>
          </w:p>
        </w:tc>
        <w:tc>
          <w:tcPr>
            <w:tcW w:w="1555" w:type="dxa"/>
            <w:tcBorders>
              <w:top w:val="nil"/>
              <w:left w:val="nil"/>
              <w:bottom w:val="single" w:sz="4" w:space="0" w:color="auto"/>
              <w:right w:val="single" w:sz="4" w:space="0" w:color="auto"/>
            </w:tcBorders>
            <w:shd w:val="clear" w:color="auto" w:fill="auto"/>
            <w:noWrap/>
            <w:vAlign w:val="center"/>
            <w:hideMark/>
          </w:tcPr>
          <w:p w14:paraId="44A9439E" w14:textId="77777777" w:rsidR="00AB178F" w:rsidRPr="00861214" w:rsidRDefault="00AB178F" w:rsidP="00AB178F">
            <w:pPr>
              <w:rPr>
                <w:sz w:val="20"/>
                <w:szCs w:val="20"/>
                <w:lang w:eastAsia="en-GB"/>
              </w:rPr>
            </w:pPr>
            <w:r w:rsidRPr="00861214">
              <w:rPr>
                <w:sz w:val="20"/>
                <w:szCs w:val="20"/>
                <w:lang w:eastAsia="en-GB"/>
              </w:rPr>
              <w:t> </w:t>
            </w:r>
          </w:p>
        </w:tc>
        <w:tc>
          <w:tcPr>
            <w:tcW w:w="1801" w:type="dxa"/>
            <w:tcBorders>
              <w:top w:val="nil"/>
              <w:left w:val="nil"/>
              <w:bottom w:val="single" w:sz="4" w:space="0" w:color="auto"/>
              <w:right w:val="single" w:sz="4" w:space="0" w:color="auto"/>
            </w:tcBorders>
            <w:shd w:val="clear" w:color="auto" w:fill="auto"/>
            <w:noWrap/>
            <w:vAlign w:val="center"/>
            <w:hideMark/>
          </w:tcPr>
          <w:p w14:paraId="2C93EF79" w14:textId="77777777" w:rsidR="00AB178F" w:rsidRPr="00861214" w:rsidRDefault="00AB178F" w:rsidP="00AB178F">
            <w:pPr>
              <w:jc w:val="right"/>
              <w:rPr>
                <w:color w:val="000000"/>
                <w:sz w:val="20"/>
                <w:szCs w:val="20"/>
                <w:lang w:eastAsia="en-GB"/>
              </w:rPr>
            </w:pPr>
            <w:r w:rsidRPr="00861214">
              <w:rPr>
                <w:color w:val="000000"/>
                <w:sz w:val="20"/>
                <w:szCs w:val="20"/>
                <w:lang w:eastAsia="en-GB"/>
              </w:rPr>
              <w:t>651</w:t>
            </w:r>
          </w:p>
        </w:tc>
      </w:tr>
      <w:tr w:rsidR="00AB178F" w:rsidRPr="00861214" w14:paraId="4438764A" w14:textId="77777777" w:rsidTr="00AB178F">
        <w:trPr>
          <w:trHeight w:val="270"/>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C736A0" w14:textId="77777777" w:rsidR="00AB178F" w:rsidRPr="00861214" w:rsidRDefault="00AB178F" w:rsidP="00AB178F">
            <w:pPr>
              <w:rPr>
                <w:sz w:val="20"/>
                <w:szCs w:val="20"/>
                <w:lang w:eastAsia="en-GB"/>
              </w:rPr>
            </w:pPr>
            <w:r w:rsidRPr="00861214">
              <w:rPr>
                <w:sz w:val="20"/>
                <w:szCs w:val="20"/>
                <w:lang w:eastAsia="en-GB"/>
              </w:rPr>
              <w:t>Travel</w:t>
            </w:r>
          </w:p>
        </w:tc>
        <w:tc>
          <w:tcPr>
            <w:tcW w:w="1291" w:type="dxa"/>
            <w:tcBorders>
              <w:top w:val="nil"/>
              <w:left w:val="nil"/>
              <w:bottom w:val="single" w:sz="4" w:space="0" w:color="auto"/>
              <w:right w:val="single" w:sz="4" w:space="0" w:color="auto"/>
            </w:tcBorders>
            <w:shd w:val="clear" w:color="auto" w:fill="auto"/>
            <w:noWrap/>
            <w:vAlign w:val="center"/>
            <w:hideMark/>
          </w:tcPr>
          <w:p w14:paraId="3987496E" w14:textId="77777777" w:rsidR="00AB178F" w:rsidRPr="00861214" w:rsidRDefault="00AB178F" w:rsidP="00AB178F">
            <w:pPr>
              <w:jc w:val="right"/>
              <w:rPr>
                <w:sz w:val="20"/>
                <w:szCs w:val="20"/>
                <w:lang w:eastAsia="en-GB"/>
              </w:rPr>
            </w:pPr>
            <w:r w:rsidRPr="00861214">
              <w:rPr>
                <w:sz w:val="20"/>
                <w:szCs w:val="20"/>
                <w:lang w:eastAsia="en-GB"/>
              </w:rPr>
              <w:t>18</w:t>
            </w:r>
          </w:p>
        </w:tc>
        <w:tc>
          <w:tcPr>
            <w:tcW w:w="1252" w:type="dxa"/>
            <w:tcBorders>
              <w:top w:val="nil"/>
              <w:left w:val="nil"/>
              <w:bottom w:val="single" w:sz="4" w:space="0" w:color="auto"/>
              <w:right w:val="single" w:sz="4" w:space="0" w:color="auto"/>
            </w:tcBorders>
            <w:shd w:val="clear" w:color="auto" w:fill="auto"/>
            <w:noWrap/>
            <w:vAlign w:val="center"/>
            <w:hideMark/>
          </w:tcPr>
          <w:p w14:paraId="1618C85F" w14:textId="77777777" w:rsidR="00AB178F" w:rsidRPr="00861214" w:rsidRDefault="00AB178F" w:rsidP="00AB178F">
            <w:pPr>
              <w:jc w:val="right"/>
              <w:rPr>
                <w:sz w:val="20"/>
                <w:szCs w:val="20"/>
                <w:lang w:eastAsia="en-GB"/>
              </w:rPr>
            </w:pPr>
            <w:r w:rsidRPr="00861214">
              <w:rPr>
                <w:sz w:val="20"/>
                <w:szCs w:val="20"/>
                <w:lang w:eastAsia="en-GB"/>
              </w:rPr>
              <w:t>0</w:t>
            </w:r>
          </w:p>
        </w:tc>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4FCB9BF5" w14:textId="77777777" w:rsidR="00AB178F" w:rsidRPr="00861214" w:rsidRDefault="00AB178F" w:rsidP="00AB178F">
            <w:pPr>
              <w:jc w:val="right"/>
              <w:rPr>
                <w:color w:val="000000"/>
                <w:sz w:val="20"/>
                <w:szCs w:val="20"/>
                <w:lang w:eastAsia="en-GB"/>
              </w:rPr>
            </w:pPr>
            <w:r w:rsidRPr="00861214">
              <w:rPr>
                <w:color w:val="000000"/>
                <w:sz w:val="20"/>
                <w:szCs w:val="20"/>
                <w:lang w:eastAsia="en-GB"/>
              </w:rPr>
              <w:t>10</w:t>
            </w:r>
          </w:p>
        </w:tc>
        <w:tc>
          <w:tcPr>
            <w:tcW w:w="1555" w:type="dxa"/>
            <w:tcBorders>
              <w:top w:val="nil"/>
              <w:left w:val="nil"/>
              <w:bottom w:val="single" w:sz="4" w:space="0" w:color="auto"/>
              <w:right w:val="single" w:sz="4" w:space="0" w:color="auto"/>
            </w:tcBorders>
            <w:shd w:val="clear" w:color="auto" w:fill="auto"/>
            <w:noWrap/>
            <w:vAlign w:val="center"/>
            <w:hideMark/>
          </w:tcPr>
          <w:p w14:paraId="512AEFBA" w14:textId="77777777" w:rsidR="00AB178F" w:rsidRPr="00861214" w:rsidRDefault="00AB178F" w:rsidP="00AB178F">
            <w:pPr>
              <w:rPr>
                <w:sz w:val="20"/>
                <w:szCs w:val="20"/>
                <w:lang w:eastAsia="en-GB"/>
              </w:rPr>
            </w:pPr>
            <w:r w:rsidRPr="00861214">
              <w:rPr>
                <w:sz w:val="20"/>
                <w:szCs w:val="20"/>
                <w:lang w:eastAsia="en-GB"/>
              </w:rPr>
              <w:t> </w:t>
            </w:r>
          </w:p>
        </w:tc>
        <w:tc>
          <w:tcPr>
            <w:tcW w:w="1801" w:type="dxa"/>
            <w:tcBorders>
              <w:top w:val="nil"/>
              <w:left w:val="nil"/>
              <w:bottom w:val="single" w:sz="4" w:space="0" w:color="auto"/>
              <w:right w:val="single" w:sz="4" w:space="0" w:color="auto"/>
            </w:tcBorders>
            <w:shd w:val="clear" w:color="auto" w:fill="auto"/>
            <w:noWrap/>
            <w:vAlign w:val="center"/>
            <w:hideMark/>
          </w:tcPr>
          <w:p w14:paraId="773B97B8" w14:textId="77777777" w:rsidR="00AB178F" w:rsidRPr="00861214" w:rsidRDefault="00AB178F" w:rsidP="00AB178F">
            <w:pPr>
              <w:jc w:val="right"/>
              <w:rPr>
                <w:color w:val="000000"/>
                <w:sz w:val="20"/>
                <w:szCs w:val="20"/>
                <w:lang w:eastAsia="en-GB"/>
              </w:rPr>
            </w:pPr>
            <w:r w:rsidRPr="00861214">
              <w:rPr>
                <w:color w:val="000000"/>
                <w:sz w:val="20"/>
                <w:szCs w:val="20"/>
                <w:lang w:eastAsia="en-GB"/>
              </w:rPr>
              <w:t>28</w:t>
            </w:r>
          </w:p>
        </w:tc>
      </w:tr>
      <w:tr w:rsidR="00AB178F" w:rsidRPr="00861214" w14:paraId="0A57F617" w14:textId="77777777" w:rsidTr="00AB178F">
        <w:trPr>
          <w:trHeight w:val="270"/>
        </w:trPr>
        <w:tc>
          <w:tcPr>
            <w:tcW w:w="4962" w:type="dxa"/>
            <w:tcBorders>
              <w:top w:val="nil"/>
              <w:left w:val="single" w:sz="4" w:space="0" w:color="auto"/>
              <w:bottom w:val="single" w:sz="4" w:space="0" w:color="auto"/>
              <w:right w:val="single" w:sz="4" w:space="0" w:color="auto"/>
            </w:tcBorders>
            <w:shd w:val="clear" w:color="auto" w:fill="auto"/>
            <w:noWrap/>
            <w:vAlign w:val="center"/>
            <w:hideMark/>
          </w:tcPr>
          <w:p w14:paraId="451EC5E1" w14:textId="77777777" w:rsidR="00AB178F" w:rsidRPr="00861214" w:rsidRDefault="00AB178F" w:rsidP="00AB178F">
            <w:pPr>
              <w:rPr>
                <w:sz w:val="20"/>
                <w:szCs w:val="20"/>
                <w:lang w:eastAsia="en-GB"/>
              </w:rPr>
            </w:pPr>
            <w:r w:rsidRPr="00861214">
              <w:rPr>
                <w:sz w:val="20"/>
                <w:szCs w:val="20"/>
                <w:lang w:eastAsia="en-GB"/>
              </w:rPr>
              <w:t>Travel STRP Chair</w:t>
            </w:r>
          </w:p>
        </w:tc>
        <w:tc>
          <w:tcPr>
            <w:tcW w:w="1291" w:type="dxa"/>
            <w:tcBorders>
              <w:top w:val="nil"/>
              <w:left w:val="nil"/>
              <w:bottom w:val="single" w:sz="4" w:space="0" w:color="auto"/>
              <w:right w:val="single" w:sz="4" w:space="0" w:color="auto"/>
            </w:tcBorders>
            <w:shd w:val="clear" w:color="auto" w:fill="auto"/>
            <w:noWrap/>
            <w:vAlign w:val="center"/>
            <w:hideMark/>
          </w:tcPr>
          <w:p w14:paraId="489A3024" w14:textId="77777777" w:rsidR="00AB178F" w:rsidRPr="00861214" w:rsidRDefault="00AB178F" w:rsidP="00AB178F">
            <w:pPr>
              <w:jc w:val="right"/>
              <w:rPr>
                <w:sz w:val="20"/>
                <w:szCs w:val="20"/>
                <w:lang w:eastAsia="en-GB"/>
              </w:rPr>
            </w:pPr>
            <w:r w:rsidRPr="00861214">
              <w:rPr>
                <w:sz w:val="20"/>
                <w:szCs w:val="20"/>
                <w:lang w:eastAsia="en-GB"/>
              </w:rPr>
              <w:t>5</w:t>
            </w:r>
          </w:p>
        </w:tc>
        <w:tc>
          <w:tcPr>
            <w:tcW w:w="1252" w:type="dxa"/>
            <w:tcBorders>
              <w:top w:val="nil"/>
              <w:left w:val="nil"/>
              <w:bottom w:val="single" w:sz="4" w:space="0" w:color="auto"/>
              <w:right w:val="single" w:sz="4" w:space="0" w:color="auto"/>
            </w:tcBorders>
            <w:shd w:val="clear" w:color="auto" w:fill="auto"/>
            <w:noWrap/>
            <w:vAlign w:val="center"/>
            <w:hideMark/>
          </w:tcPr>
          <w:p w14:paraId="5E35A207" w14:textId="77777777" w:rsidR="00AB178F" w:rsidRPr="00861214" w:rsidRDefault="00AB178F" w:rsidP="00AB178F">
            <w:pPr>
              <w:jc w:val="right"/>
              <w:rPr>
                <w:sz w:val="20"/>
                <w:szCs w:val="20"/>
                <w:lang w:eastAsia="en-GB"/>
              </w:rPr>
            </w:pPr>
            <w:r w:rsidRPr="00861214">
              <w:rPr>
                <w:sz w:val="20"/>
                <w:szCs w:val="20"/>
                <w:lang w:eastAsia="en-GB"/>
              </w:rPr>
              <w:t>0</w:t>
            </w:r>
          </w:p>
        </w:tc>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4A95D549" w14:textId="77777777" w:rsidR="00AB178F" w:rsidRPr="00861214" w:rsidRDefault="00AB178F" w:rsidP="00AB178F">
            <w:pPr>
              <w:jc w:val="right"/>
              <w:rPr>
                <w:color w:val="000000"/>
                <w:sz w:val="20"/>
                <w:szCs w:val="20"/>
                <w:lang w:eastAsia="en-GB"/>
              </w:rPr>
            </w:pPr>
            <w:r w:rsidRPr="00861214">
              <w:rPr>
                <w:color w:val="000000"/>
                <w:sz w:val="20"/>
                <w:szCs w:val="20"/>
                <w:lang w:eastAsia="en-GB"/>
              </w:rPr>
              <w:t>12</w:t>
            </w:r>
          </w:p>
        </w:tc>
        <w:tc>
          <w:tcPr>
            <w:tcW w:w="1555" w:type="dxa"/>
            <w:tcBorders>
              <w:top w:val="nil"/>
              <w:left w:val="nil"/>
              <w:bottom w:val="single" w:sz="4" w:space="0" w:color="auto"/>
              <w:right w:val="single" w:sz="4" w:space="0" w:color="auto"/>
            </w:tcBorders>
            <w:shd w:val="clear" w:color="auto" w:fill="auto"/>
            <w:noWrap/>
            <w:vAlign w:val="center"/>
            <w:hideMark/>
          </w:tcPr>
          <w:p w14:paraId="71243D30" w14:textId="77777777" w:rsidR="00AB178F" w:rsidRPr="00861214" w:rsidRDefault="00AB178F" w:rsidP="00AB178F">
            <w:pPr>
              <w:rPr>
                <w:sz w:val="20"/>
                <w:szCs w:val="20"/>
                <w:lang w:eastAsia="en-GB"/>
              </w:rPr>
            </w:pPr>
            <w:r w:rsidRPr="00861214">
              <w:rPr>
                <w:sz w:val="20"/>
                <w:szCs w:val="20"/>
                <w:lang w:eastAsia="en-GB"/>
              </w:rPr>
              <w:t> </w:t>
            </w:r>
          </w:p>
        </w:tc>
        <w:tc>
          <w:tcPr>
            <w:tcW w:w="1801" w:type="dxa"/>
            <w:tcBorders>
              <w:top w:val="nil"/>
              <w:left w:val="nil"/>
              <w:bottom w:val="single" w:sz="4" w:space="0" w:color="auto"/>
              <w:right w:val="single" w:sz="4" w:space="0" w:color="auto"/>
            </w:tcBorders>
            <w:shd w:val="clear" w:color="auto" w:fill="auto"/>
            <w:noWrap/>
            <w:vAlign w:val="center"/>
            <w:hideMark/>
          </w:tcPr>
          <w:p w14:paraId="164C5B51" w14:textId="77777777" w:rsidR="00AB178F" w:rsidRPr="00861214" w:rsidRDefault="00AB178F" w:rsidP="00AB178F">
            <w:pPr>
              <w:jc w:val="right"/>
              <w:rPr>
                <w:color w:val="000000"/>
                <w:sz w:val="20"/>
                <w:szCs w:val="20"/>
                <w:lang w:eastAsia="en-GB"/>
              </w:rPr>
            </w:pPr>
            <w:r w:rsidRPr="00861214">
              <w:rPr>
                <w:color w:val="000000"/>
                <w:sz w:val="20"/>
                <w:szCs w:val="20"/>
                <w:lang w:eastAsia="en-GB"/>
              </w:rPr>
              <w:t>17</w:t>
            </w:r>
          </w:p>
        </w:tc>
      </w:tr>
      <w:tr w:rsidR="00AB178F" w:rsidRPr="00861214" w14:paraId="24BF6165" w14:textId="77777777" w:rsidTr="00AB178F">
        <w:trPr>
          <w:trHeight w:val="270"/>
        </w:trPr>
        <w:tc>
          <w:tcPr>
            <w:tcW w:w="4962" w:type="dxa"/>
            <w:tcBorders>
              <w:top w:val="nil"/>
              <w:left w:val="single" w:sz="4" w:space="0" w:color="auto"/>
              <w:bottom w:val="single" w:sz="4" w:space="0" w:color="auto"/>
              <w:right w:val="single" w:sz="4" w:space="0" w:color="auto"/>
            </w:tcBorders>
            <w:shd w:val="clear" w:color="auto" w:fill="auto"/>
            <w:noWrap/>
            <w:vAlign w:val="center"/>
            <w:hideMark/>
          </w:tcPr>
          <w:p w14:paraId="6B8884A7" w14:textId="77777777" w:rsidR="00AB178F" w:rsidRPr="00861214" w:rsidRDefault="00AB178F" w:rsidP="00AB178F">
            <w:pPr>
              <w:rPr>
                <w:sz w:val="20"/>
                <w:szCs w:val="20"/>
                <w:lang w:eastAsia="en-GB"/>
              </w:rPr>
            </w:pPr>
            <w:r w:rsidRPr="00861214">
              <w:rPr>
                <w:sz w:val="20"/>
                <w:szCs w:val="20"/>
                <w:lang w:eastAsia="en-GB"/>
              </w:rPr>
              <w:t>STRP implementation</w:t>
            </w:r>
          </w:p>
        </w:tc>
        <w:tc>
          <w:tcPr>
            <w:tcW w:w="1291" w:type="dxa"/>
            <w:tcBorders>
              <w:top w:val="nil"/>
              <w:left w:val="nil"/>
              <w:bottom w:val="single" w:sz="4" w:space="0" w:color="auto"/>
              <w:right w:val="single" w:sz="4" w:space="0" w:color="auto"/>
            </w:tcBorders>
            <w:shd w:val="clear" w:color="auto" w:fill="auto"/>
            <w:noWrap/>
            <w:vAlign w:val="center"/>
            <w:hideMark/>
          </w:tcPr>
          <w:p w14:paraId="6F55F2A0" w14:textId="77777777" w:rsidR="00AB178F" w:rsidRPr="00861214" w:rsidRDefault="00AB178F" w:rsidP="00AB178F">
            <w:pPr>
              <w:jc w:val="right"/>
              <w:rPr>
                <w:sz w:val="20"/>
                <w:szCs w:val="20"/>
                <w:lang w:eastAsia="en-GB"/>
              </w:rPr>
            </w:pPr>
            <w:r w:rsidRPr="00861214">
              <w:rPr>
                <w:sz w:val="20"/>
                <w:szCs w:val="20"/>
                <w:lang w:eastAsia="en-GB"/>
              </w:rPr>
              <w:t>35</w:t>
            </w:r>
          </w:p>
        </w:tc>
        <w:tc>
          <w:tcPr>
            <w:tcW w:w="1252" w:type="dxa"/>
            <w:tcBorders>
              <w:top w:val="nil"/>
              <w:left w:val="nil"/>
              <w:bottom w:val="single" w:sz="4" w:space="0" w:color="auto"/>
              <w:right w:val="single" w:sz="4" w:space="0" w:color="auto"/>
            </w:tcBorders>
            <w:shd w:val="clear" w:color="auto" w:fill="auto"/>
            <w:noWrap/>
            <w:vAlign w:val="center"/>
            <w:hideMark/>
          </w:tcPr>
          <w:p w14:paraId="4F49DCFC" w14:textId="77777777" w:rsidR="00AB178F" w:rsidRPr="00861214" w:rsidRDefault="00AB178F" w:rsidP="00AB178F">
            <w:pPr>
              <w:jc w:val="right"/>
              <w:rPr>
                <w:sz w:val="20"/>
                <w:szCs w:val="20"/>
                <w:lang w:eastAsia="en-GB"/>
              </w:rPr>
            </w:pPr>
            <w:r w:rsidRPr="00861214">
              <w:rPr>
                <w:sz w:val="20"/>
                <w:szCs w:val="20"/>
                <w:lang w:eastAsia="en-GB"/>
              </w:rPr>
              <w:t>5</w:t>
            </w:r>
          </w:p>
        </w:tc>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5FAF88EF" w14:textId="77777777" w:rsidR="00AB178F" w:rsidRPr="00861214" w:rsidRDefault="00AB178F" w:rsidP="00AB178F">
            <w:pPr>
              <w:jc w:val="right"/>
              <w:rPr>
                <w:color w:val="000000"/>
                <w:sz w:val="20"/>
                <w:szCs w:val="20"/>
                <w:lang w:eastAsia="en-GB"/>
              </w:rPr>
            </w:pPr>
            <w:r w:rsidRPr="00861214">
              <w:rPr>
                <w:color w:val="000000"/>
                <w:sz w:val="20"/>
                <w:szCs w:val="20"/>
                <w:lang w:eastAsia="en-GB"/>
              </w:rPr>
              <w:t>40</w:t>
            </w:r>
          </w:p>
        </w:tc>
        <w:tc>
          <w:tcPr>
            <w:tcW w:w="1555" w:type="dxa"/>
            <w:tcBorders>
              <w:top w:val="nil"/>
              <w:left w:val="nil"/>
              <w:bottom w:val="single" w:sz="4" w:space="0" w:color="auto"/>
              <w:right w:val="single" w:sz="4" w:space="0" w:color="auto"/>
            </w:tcBorders>
            <w:shd w:val="clear" w:color="auto" w:fill="auto"/>
            <w:noWrap/>
            <w:vAlign w:val="center"/>
            <w:hideMark/>
          </w:tcPr>
          <w:p w14:paraId="6C252D69" w14:textId="77777777" w:rsidR="00AB178F" w:rsidRPr="00861214" w:rsidRDefault="00AB178F" w:rsidP="00AB178F">
            <w:pPr>
              <w:rPr>
                <w:sz w:val="20"/>
                <w:szCs w:val="20"/>
                <w:lang w:eastAsia="en-GB"/>
              </w:rPr>
            </w:pPr>
            <w:r w:rsidRPr="00861214">
              <w:rPr>
                <w:sz w:val="20"/>
                <w:szCs w:val="20"/>
                <w:lang w:eastAsia="en-GB"/>
              </w:rPr>
              <w:t> </w:t>
            </w:r>
          </w:p>
        </w:tc>
        <w:tc>
          <w:tcPr>
            <w:tcW w:w="1801" w:type="dxa"/>
            <w:tcBorders>
              <w:top w:val="nil"/>
              <w:left w:val="nil"/>
              <w:bottom w:val="single" w:sz="4" w:space="0" w:color="auto"/>
              <w:right w:val="single" w:sz="4" w:space="0" w:color="auto"/>
            </w:tcBorders>
            <w:shd w:val="clear" w:color="auto" w:fill="auto"/>
            <w:noWrap/>
            <w:vAlign w:val="center"/>
            <w:hideMark/>
          </w:tcPr>
          <w:p w14:paraId="694C0742" w14:textId="77777777" w:rsidR="00AB178F" w:rsidRPr="00861214" w:rsidRDefault="00AB178F" w:rsidP="00AB178F">
            <w:pPr>
              <w:jc w:val="right"/>
              <w:rPr>
                <w:color w:val="000000"/>
                <w:sz w:val="20"/>
                <w:szCs w:val="20"/>
                <w:lang w:eastAsia="en-GB"/>
              </w:rPr>
            </w:pPr>
            <w:r w:rsidRPr="00861214">
              <w:rPr>
                <w:color w:val="000000"/>
                <w:sz w:val="20"/>
                <w:szCs w:val="20"/>
                <w:lang w:eastAsia="en-GB"/>
              </w:rPr>
              <w:t>80</w:t>
            </w:r>
          </w:p>
        </w:tc>
      </w:tr>
      <w:tr w:rsidR="00AB178F" w:rsidRPr="00861214" w14:paraId="72AF3453" w14:textId="77777777" w:rsidTr="00AB178F">
        <w:trPr>
          <w:trHeight w:val="270"/>
        </w:trPr>
        <w:tc>
          <w:tcPr>
            <w:tcW w:w="4962" w:type="dxa"/>
            <w:tcBorders>
              <w:top w:val="nil"/>
              <w:left w:val="single" w:sz="4" w:space="0" w:color="auto"/>
              <w:bottom w:val="single" w:sz="4" w:space="0" w:color="auto"/>
              <w:right w:val="single" w:sz="4" w:space="0" w:color="auto"/>
            </w:tcBorders>
            <w:shd w:val="clear" w:color="auto" w:fill="auto"/>
            <w:noWrap/>
            <w:vAlign w:val="center"/>
            <w:hideMark/>
          </w:tcPr>
          <w:p w14:paraId="5D08212D" w14:textId="77777777" w:rsidR="00AB178F" w:rsidRPr="00861214" w:rsidRDefault="00AB178F" w:rsidP="00AB178F">
            <w:pPr>
              <w:rPr>
                <w:sz w:val="20"/>
                <w:szCs w:val="20"/>
                <w:lang w:eastAsia="en-GB"/>
              </w:rPr>
            </w:pPr>
            <w:r w:rsidRPr="00861214">
              <w:rPr>
                <w:sz w:val="20"/>
                <w:szCs w:val="20"/>
                <w:lang w:eastAsia="en-GB"/>
              </w:rPr>
              <w:t>STRP meetings</w:t>
            </w:r>
          </w:p>
        </w:tc>
        <w:tc>
          <w:tcPr>
            <w:tcW w:w="1291" w:type="dxa"/>
            <w:tcBorders>
              <w:top w:val="nil"/>
              <w:left w:val="nil"/>
              <w:bottom w:val="single" w:sz="4" w:space="0" w:color="auto"/>
              <w:right w:val="single" w:sz="4" w:space="0" w:color="auto"/>
            </w:tcBorders>
            <w:shd w:val="clear" w:color="auto" w:fill="auto"/>
            <w:noWrap/>
            <w:vAlign w:val="center"/>
            <w:hideMark/>
          </w:tcPr>
          <w:p w14:paraId="1BEDB21D" w14:textId="77777777" w:rsidR="00AB178F" w:rsidRPr="00861214" w:rsidRDefault="00AB178F" w:rsidP="00AB178F">
            <w:pPr>
              <w:jc w:val="right"/>
              <w:rPr>
                <w:sz w:val="20"/>
                <w:szCs w:val="20"/>
                <w:lang w:eastAsia="en-GB"/>
              </w:rPr>
            </w:pPr>
            <w:r w:rsidRPr="00861214">
              <w:rPr>
                <w:sz w:val="20"/>
                <w:szCs w:val="20"/>
                <w:lang w:eastAsia="en-GB"/>
              </w:rPr>
              <w:t>50</w:t>
            </w:r>
          </w:p>
        </w:tc>
        <w:tc>
          <w:tcPr>
            <w:tcW w:w="1252" w:type="dxa"/>
            <w:tcBorders>
              <w:top w:val="nil"/>
              <w:left w:val="nil"/>
              <w:bottom w:val="single" w:sz="4" w:space="0" w:color="auto"/>
              <w:right w:val="single" w:sz="4" w:space="0" w:color="auto"/>
            </w:tcBorders>
            <w:shd w:val="clear" w:color="auto" w:fill="auto"/>
            <w:noWrap/>
            <w:vAlign w:val="center"/>
            <w:hideMark/>
          </w:tcPr>
          <w:p w14:paraId="08D6B231" w14:textId="77777777" w:rsidR="00AB178F" w:rsidRPr="00861214" w:rsidRDefault="00AB178F" w:rsidP="00AB178F">
            <w:pPr>
              <w:jc w:val="right"/>
              <w:rPr>
                <w:sz w:val="20"/>
                <w:szCs w:val="20"/>
                <w:lang w:eastAsia="en-GB"/>
              </w:rPr>
            </w:pPr>
            <w:r w:rsidRPr="00861214">
              <w:rPr>
                <w:sz w:val="20"/>
                <w:szCs w:val="20"/>
                <w:lang w:eastAsia="en-GB"/>
              </w:rPr>
              <w:t>0</w:t>
            </w:r>
          </w:p>
        </w:tc>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2F7EC95C" w14:textId="77777777" w:rsidR="00AB178F" w:rsidRPr="00861214" w:rsidRDefault="00AB178F" w:rsidP="00AB178F">
            <w:pPr>
              <w:jc w:val="right"/>
              <w:rPr>
                <w:color w:val="000000"/>
                <w:sz w:val="20"/>
                <w:szCs w:val="20"/>
                <w:lang w:eastAsia="en-GB"/>
              </w:rPr>
            </w:pPr>
            <w:r w:rsidRPr="00861214">
              <w:rPr>
                <w:color w:val="000000"/>
                <w:sz w:val="20"/>
                <w:szCs w:val="20"/>
                <w:lang w:eastAsia="en-GB"/>
              </w:rPr>
              <w:t>0</w:t>
            </w:r>
          </w:p>
        </w:tc>
        <w:tc>
          <w:tcPr>
            <w:tcW w:w="1555" w:type="dxa"/>
            <w:tcBorders>
              <w:top w:val="nil"/>
              <w:left w:val="nil"/>
              <w:bottom w:val="single" w:sz="4" w:space="0" w:color="auto"/>
              <w:right w:val="single" w:sz="4" w:space="0" w:color="auto"/>
            </w:tcBorders>
            <w:shd w:val="clear" w:color="auto" w:fill="auto"/>
            <w:noWrap/>
            <w:vAlign w:val="center"/>
            <w:hideMark/>
          </w:tcPr>
          <w:p w14:paraId="2DFF93CF" w14:textId="77777777" w:rsidR="00AB178F" w:rsidRPr="00861214" w:rsidRDefault="00AB178F" w:rsidP="00AB178F">
            <w:pPr>
              <w:rPr>
                <w:color w:val="000000"/>
                <w:sz w:val="20"/>
                <w:szCs w:val="20"/>
                <w:lang w:eastAsia="en-GB"/>
              </w:rPr>
            </w:pPr>
            <w:r w:rsidRPr="00861214">
              <w:rPr>
                <w:color w:val="000000"/>
                <w:sz w:val="20"/>
                <w:szCs w:val="20"/>
                <w:lang w:eastAsia="en-GB"/>
              </w:rPr>
              <w:t> </w:t>
            </w:r>
          </w:p>
        </w:tc>
        <w:tc>
          <w:tcPr>
            <w:tcW w:w="1801" w:type="dxa"/>
            <w:tcBorders>
              <w:top w:val="nil"/>
              <w:left w:val="nil"/>
              <w:bottom w:val="single" w:sz="4" w:space="0" w:color="auto"/>
              <w:right w:val="single" w:sz="4" w:space="0" w:color="auto"/>
            </w:tcBorders>
            <w:shd w:val="clear" w:color="auto" w:fill="auto"/>
            <w:noWrap/>
            <w:vAlign w:val="center"/>
            <w:hideMark/>
          </w:tcPr>
          <w:p w14:paraId="40D62751" w14:textId="77777777" w:rsidR="00AB178F" w:rsidRPr="00861214" w:rsidRDefault="00AB178F" w:rsidP="00AB178F">
            <w:pPr>
              <w:jc w:val="right"/>
              <w:rPr>
                <w:color w:val="000000"/>
                <w:sz w:val="20"/>
                <w:szCs w:val="20"/>
                <w:lang w:eastAsia="en-GB"/>
              </w:rPr>
            </w:pPr>
            <w:r w:rsidRPr="00861214">
              <w:rPr>
                <w:color w:val="000000"/>
                <w:sz w:val="20"/>
                <w:szCs w:val="20"/>
                <w:lang w:eastAsia="en-GB"/>
              </w:rPr>
              <w:t>50</w:t>
            </w:r>
          </w:p>
        </w:tc>
      </w:tr>
      <w:tr w:rsidR="00AB178F" w:rsidRPr="00861214" w14:paraId="59961AEA" w14:textId="77777777" w:rsidTr="00AB178F">
        <w:trPr>
          <w:trHeight w:val="270"/>
        </w:trPr>
        <w:tc>
          <w:tcPr>
            <w:tcW w:w="4962" w:type="dxa"/>
            <w:tcBorders>
              <w:top w:val="nil"/>
              <w:left w:val="single" w:sz="4" w:space="0" w:color="auto"/>
              <w:bottom w:val="single" w:sz="4" w:space="0" w:color="auto"/>
              <w:right w:val="single" w:sz="4" w:space="0" w:color="auto"/>
            </w:tcBorders>
            <w:shd w:val="clear" w:color="auto" w:fill="auto"/>
            <w:noWrap/>
            <w:vAlign w:val="center"/>
            <w:hideMark/>
          </w:tcPr>
          <w:p w14:paraId="4677558E" w14:textId="77777777" w:rsidR="00AB178F" w:rsidRPr="00861214" w:rsidRDefault="00AB178F" w:rsidP="00AB178F">
            <w:pPr>
              <w:rPr>
                <w:sz w:val="20"/>
                <w:szCs w:val="20"/>
                <w:lang w:eastAsia="en-GB"/>
              </w:rPr>
            </w:pPr>
            <w:r w:rsidRPr="00861214">
              <w:rPr>
                <w:sz w:val="20"/>
                <w:szCs w:val="20"/>
                <w:lang w:eastAsia="en-GB"/>
              </w:rPr>
              <w:t>Strategic Plan SP5 (2022 - 2024)</w:t>
            </w:r>
          </w:p>
        </w:tc>
        <w:tc>
          <w:tcPr>
            <w:tcW w:w="1291" w:type="dxa"/>
            <w:tcBorders>
              <w:top w:val="nil"/>
              <w:left w:val="nil"/>
              <w:bottom w:val="single" w:sz="4" w:space="0" w:color="auto"/>
              <w:right w:val="single" w:sz="4" w:space="0" w:color="auto"/>
            </w:tcBorders>
            <w:shd w:val="clear" w:color="auto" w:fill="auto"/>
            <w:noWrap/>
            <w:vAlign w:val="center"/>
            <w:hideMark/>
          </w:tcPr>
          <w:p w14:paraId="6B19F6BC" w14:textId="77777777" w:rsidR="00AB178F" w:rsidRPr="00861214" w:rsidRDefault="00AB178F" w:rsidP="00AB178F">
            <w:pPr>
              <w:jc w:val="right"/>
              <w:rPr>
                <w:sz w:val="20"/>
                <w:szCs w:val="20"/>
                <w:lang w:eastAsia="en-GB"/>
              </w:rPr>
            </w:pPr>
            <w:r w:rsidRPr="00861214">
              <w:rPr>
                <w:sz w:val="20"/>
                <w:szCs w:val="20"/>
                <w:lang w:eastAsia="en-GB"/>
              </w:rPr>
              <w:t>0</w:t>
            </w:r>
          </w:p>
        </w:tc>
        <w:tc>
          <w:tcPr>
            <w:tcW w:w="1252" w:type="dxa"/>
            <w:tcBorders>
              <w:top w:val="nil"/>
              <w:left w:val="nil"/>
              <w:bottom w:val="single" w:sz="4" w:space="0" w:color="auto"/>
              <w:right w:val="single" w:sz="4" w:space="0" w:color="auto"/>
            </w:tcBorders>
            <w:shd w:val="clear" w:color="auto" w:fill="auto"/>
            <w:noWrap/>
            <w:vAlign w:val="center"/>
            <w:hideMark/>
          </w:tcPr>
          <w:p w14:paraId="5E1B7571" w14:textId="77777777" w:rsidR="00AB178F" w:rsidRPr="00861214" w:rsidRDefault="00AB178F" w:rsidP="00AB178F">
            <w:pPr>
              <w:jc w:val="right"/>
              <w:rPr>
                <w:sz w:val="20"/>
                <w:szCs w:val="20"/>
                <w:lang w:eastAsia="en-GB"/>
              </w:rPr>
            </w:pPr>
            <w:r w:rsidRPr="00861214">
              <w:rPr>
                <w:sz w:val="20"/>
                <w:szCs w:val="20"/>
                <w:lang w:eastAsia="en-GB"/>
              </w:rPr>
              <w:t>0</w:t>
            </w:r>
          </w:p>
        </w:tc>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5E7566A9" w14:textId="77777777" w:rsidR="00AB178F" w:rsidRPr="00861214" w:rsidRDefault="00AB178F" w:rsidP="00AB178F">
            <w:pPr>
              <w:jc w:val="right"/>
              <w:rPr>
                <w:color w:val="000000"/>
                <w:sz w:val="20"/>
                <w:szCs w:val="20"/>
                <w:lang w:eastAsia="en-GB"/>
              </w:rPr>
            </w:pPr>
            <w:r w:rsidRPr="00861214">
              <w:rPr>
                <w:color w:val="000000"/>
                <w:sz w:val="20"/>
                <w:szCs w:val="20"/>
                <w:lang w:eastAsia="en-GB"/>
              </w:rPr>
              <w:t>90</w:t>
            </w:r>
          </w:p>
        </w:tc>
        <w:tc>
          <w:tcPr>
            <w:tcW w:w="1555" w:type="dxa"/>
            <w:tcBorders>
              <w:top w:val="nil"/>
              <w:left w:val="nil"/>
              <w:bottom w:val="single" w:sz="4" w:space="0" w:color="auto"/>
              <w:right w:val="single" w:sz="4" w:space="0" w:color="auto"/>
            </w:tcBorders>
            <w:shd w:val="clear" w:color="auto" w:fill="auto"/>
            <w:noWrap/>
            <w:vAlign w:val="center"/>
            <w:hideMark/>
          </w:tcPr>
          <w:p w14:paraId="58F04FD6" w14:textId="193D6921" w:rsidR="00AB178F" w:rsidRPr="00861214" w:rsidRDefault="00AB178F" w:rsidP="00AB178F">
            <w:pPr>
              <w:rPr>
                <w:rFonts w:ascii="Calibri Light" w:hAnsi="Calibri Light" w:cs="Calibri Light"/>
                <w:color w:val="FF0000"/>
                <w:sz w:val="20"/>
                <w:szCs w:val="20"/>
                <w:lang w:eastAsia="en-GB"/>
              </w:rPr>
            </w:pPr>
          </w:p>
        </w:tc>
        <w:tc>
          <w:tcPr>
            <w:tcW w:w="1801" w:type="dxa"/>
            <w:tcBorders>
              <w:top w:val="nil"/>
              <w:left w:val="nil"/>
              <w:bottom w:val="single" w:sz="4" w:space="0" w:color="auto"/>
              <w:right w:val="single" w:sz="4" w:space="0" w:color="auto"/>
            </w:tcBorders>
            <w:shd w:val="clear" w:color="auto" w:fill="auto"/>
            <w:noWrap/>
            <w:vAlign w:val="center"/>
            <w:hideMark/>
          </w:tcPr>
          <w:p w14:paraId="1633BAE8" w14:textId="77777777" w:rsidR="00AB178F" w:rsidRPr="00861214" w:rsidRDefault="00AB178F" w:rsidP="00AB178F">
            <w:pPr>
              <w:jc w:val="right"/>
              <w:rPr>
                <w:color w:val="000000"/>
                <w:sz w:val="20"/>
                <w:szCs w:val="20"/>
                <w:lang w:eastAsia="en-GB"/>
              </w:rPr>
            </w:pPr>
            <w:r w:rsidRPr="00861214">
              <w:rPr>
                <w:color w:val="000000"/>
                <w:sz w:val="20"/>
                <w:szCs w:val="20"/>
                <w:lang w:eastAsia="en-GB"/>
              </w:rPr>
              <w:t>90</w:t>
            </w:r>
          </w:p>
        </w:tc>
      </w:tr>
      <w:tr w:rsidR="00AB178F" w:rsidRPr="00861214" w14:paraId="25893674" w14:textId="77777777" w:rsidTr="00AB178F">
        <w:trPr>
          <w:trHeight w:val="270"/>
        </w:trPr>
        <w:tc>
          <w:tcPr>
            <w:tcW w:w="4962" w:type="dxa"/>
            <w:tcBorders>
              <w:top w:val="nil"/>
              <w:left w:val="single" w:sz="4" w:space="0" w:color="auto"/>
              <w:bottom w:val="single" w:sz="4" w:space="0" w:color="auto"/>
              <w:right w:val="single" w:sz="4" w:space="0" w:color="auto"/>
            </w:tcBorders>
            <w:shd w:val="clear" w:color="auto" w:fill="auto"/>
            <w:noWrap/>
            <w:vAlign w:val="center"/>
            <w:hideMark/>
          </w:tcPr>
          <w:p w14:paraId="6E936B88" w14:textId="77777777" w:rsidR="00AB178F" w:rsidRPr="00861214" w:rsidRDefault="00AB178F" w:rsidP="00AB178F">
            <w:pPr>
              <w:rPr>
                <w:sz w:val="20"/>
                <w:szCs w:val="20"/>
                <w:lang w:eastAsia="en-GB"/>
              </w:rPr>
            </w:pPr>
            <w:r w:rsidRPr="00861214">
              <w:rPr>
                <w:sz w:val="20"/>
                <w:szCs w:val="20"/>
                <w:lang w:eastAsia="en-GB"/>
              </w:rPr>
              <w:t>SDG 6.61 (Inventories)</w:t>
            </w:r>
          </w:p>
        </w:tc>
        <w:tc>
          <w:tcPr>
            <w:tcW w:w="1291" w:type="dxa"/>
            <w:tcBorders>
              <w:top w:val="nil"/>
              <w:left w:val="nil"/>
              <w:bottom w:val="single" w:sz="4" w:space="0" w:color="auto"/>
              <w:right w:val="single" w:sz="4" w:space="0" w:color="auto"/>
            </w:tcBorders>
            <w:shd w:val="clear" w:color="auto" w:fill="auto"/>
            <w:noWrap/>
            <w:vAlign w:val="center"/>
            <w:hideMark/>
          </w:tcPr>
          <w:p w14:paraId="28912928" w14:textId="77777777" w:rsidR="00AB178F" w:rsidRPr="00861214" w:rsidRDefault="00AB178F" w:rsidP="00AB178F">
            <w:pPr>
              <w:jc w:val="right"/>
              <w:rPr>
                <w:sz w:val="20"/>
                <w:szCs w:val="20"/>
                <w:lang w:eastAsia="en-GB"/>
              </w:rPr>
            </w:pPr>
            <w:r w:rsidRPr="00861214">
              <w:rPr>
                <w:sz w:val="20"/>
                <w:szCs w:val="20"/>
                <w:lang w:eastAsia="en-GB"/>
              </w:rPr>
              <w:t>0</w:t>
            </w:r>
          </w:p>
        </w:tc>
        <w:tc>
          <w:tcPr>
            <w:tcW w:w="1252" w:type="dxa"/>
            <w:tcBorders>
              <w:top w:val="nil"/>
              <w:left w:val="nil"/>
              <w:bottom w:val="single" w:sz="4" w:space="0" w:color="auto"/>
              <w:right w:val="single" w:sz="4" w:space="0" w:color="auto"/>
            </w:tcBorders>
            <w:shd w:val="clear" w:color="auto" w:fill="auto"/>
            <w:noWrap/>
            <w:vAlign w:val="center"/>
            <w:hideMark/>
          </w:tcPr>
          <w:p w14:paraId="63E4BAF8" w14:textId="77777777" w:rsidR="00AB178F" w:rsidRPr="00861214" w:rsidRDefault="00AB178F" w:rsidP="00AB178F">
            <w:pPr>
              <w:jc w:val="right"/>
              <w:rPr>
                <w:sz w:val="20"/>
                <w:szCs w:val="20"/>
                <w:lang w:eastAsia="en-GB"/>
              </w:rPr>
            </w:pPr>
            <w:r w:rsidRPr="00861214">
              <w:rPr>
                <w:sz w:val="20"/>
                <w:szCs w:val="20"/>
                <w:lang w:eastAsia="en-GB"/>
              </w:rPr>
              <w:t>0</w:t>
            </w:r>
          </w:p>
        </w:tc>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58E5BB52" w14:textId="77777777" w:rsidR="00AB178F" w:rsidRPr="00861214" w:rsidRDefault="00AB178F" w:rsidP="00AB178F">
            <w:pPr>
              <w:jc w:val="right"/>
              <w:rPr>
                <w:color w:val="000000"/>
                <w:sz w:val="20"/>
                <w:szCs w:val="20"/>
                <w:lang w:eastAsia="en-GB"/>
              </w:rPr>
            </w:pPr>
            <w:r w:rsidRPr="00861214">
              <w:rPr>
                <w:color w:val="000000"/>
                <w:sz w:val="20"/>
                <w:szCs w:val="20"/>
                <w:lang w:eastAsia="en-GB"/>
              </w:rPr>
              <w:t>72</w:t>
            </w:r>
          </w:p>
        </w:tc>
        <w:tc>
          <w:tcPr>
            <w:tcW w:w="1555" w:type="dxa"/>
            <w:tcBorders>
              <w:top w:val="nil"/>
              <w:left w:val="nil"/>
              <w:bottom w:val="single" w:sz="4" w:space="0" w:color="auto"/>
              <w:right w:val="single" w:sz="4" w:space="0" w:color="auto"/>
            </w:tcBorders>
            <w:shd w:val="clear" w:color="auto" w:fill="auto"/>
            <w:noWrap/>
            <w:vAlign w:val="center"/>
            <w:hideMark/>
          </w:tcPr>
          <w:p w14:paraId="005022F7" w14:textId="77777777" w:rsidR="00AB178F" w:rsidRPr="00861214" w:rsidRDefault="00AB178F" w:rsidP="00AB178F">
            <w:pPr>
              <w:rPr>
                <w:color w:val="000000"/>
                <w:sz w:val="20"/>
                <w:szCs w:val="20"/>
                <w:lang w:eastAsia="en-GB"/>
              </w:rPr>
            </w:pPr>
            <w:r w:rsidRPr="00861214">
              <w:rPr>
                <w:color w:val="000000"/>
                <w:sz w:val="20"/>
                <w:szCs w:val="20"/>
                <w:lang w:eastAsia="en-GB"/>
              </w:rPr>
              <w:t> </w:t>
            </w:r>
          </w:p>
        </w:tc>
        <w:tc>
          <w:tcPr>
            <w:tcW w:w="1801" w:type="dxa"/>
            <w:tcBorders>
              <w:top w:val="nil"/>
              <w:left w:val="nil"/>
              <w:bottom w:val="single" w:sz="4" w:space="0" w:color="auto"/>
              <w:right w:val="single" w:sz="4" w:space="0" w:color="auto"/>
            </w:tcBorders>
            <w:shd w:val="clear" w:color="auto" w:fill="auto"/>
            <w:noWrap/>
            <w:vAlign w:val="center"/>
            <w:hideMark/>
          </w:tcPr>
          <w:p w14:paraId="1D5A1FF8" w14:textId="77777777" w:rsidR="00AB178F" w:rsidRPr="00861214" w:rsidRDefault="00AB178F" w:rsidP="00AB178F">
            <w:pPr>
              <w:jc w:val="right"/>
              <w:rPr>
                <w:color w:val="000000"/>
                <w:sz w:val="20"/>
                <w:szCs w:val="20"/>
                <w:lang w:eastAsia="en-GB"/>
              </w:rPr>
            </w:pPr>
            <w:r w:rsidRPr="00861214">
              <w:rPr>
                <w:color w:val="000000"/>
                <w:sz w:val="20"/>
                <w:szCs w:val="20"/>
                <w:lang w:eastAsia="en-GB"/>
              </w:rPr>
              <w:t>72</w:t>
            </w:r>
          </w:p>
        </w:tc>
      </w:tr>
      <w:tr w:rsidR="00AB178F" w:rsidRPr="00861214" w14:paraId="57AE4295" w14:textId="77777777" w:rsidTr="00AB178F">
        <w:trPr>
          <w:trHeight w:val="270"/>
        </w:trPr>
        <w:tc>
          <w:tcPr>
            <w:tcW w:w="4962" w:type="dxa"/>
            <w:tcBorders>
              <w:top w:val="nil"/>
              <w:left w:val="single" w:sz="4" w:space="0" w:color="auto"/>
              <w:bottom w:val="single" w:sz="4" w:space="0" w:color="auto"/>
              <w:right w:val="single" w:sz="4" w:space="0" w:color="auto"/>
            </w:tcBorders>
            <w:shd w:val="clear" w:color="auto" w:fill="auto"/>
            <w:noWrap/>
            <w:vAlign w:val="center"/>
            <w:hideMark/>
          </w:tcPr>
          <w:p w14:paraId="1BFABB56" w14:textId="77777777" w:rsidR="00AB178F" w:rsidRPr="00861214" w:rsidRDefault="00AB178F" w:rsidP="00AB178F">
            <w:pPr>
              <w:rPr>
                <w:sz w:val="20"/>
                <w:szCs w:val="20"/>
                <w:lang w:eastAsia="en-GB"/>
              </w:rPr>
            </w:pPr>
            <w:r w:rsidRPr="00861214">
              <w:rPr>
                <w:sz w:val="20"/>
                <w:szCs w:val="20"/>
                <w:lang w:eastAsia="en-GB"/>
              </w:rPr>
              <w:t>Ramsar Sites Information Service (maintenance and develop)</w:t>
            </w:r>
          </w:p>
        </w:tc>
        <w:tc>
          <w:tcPr>
            <w:tcW w:w="1291" w:type="dxa"/>
            <w:tcBorders>
              <w:top w:val="nil"/>
              <w:left w:val="nil"/>
              <w:bottom w:val="single" w:sz="4" w:space="0" w:color="auto"/>
              <w:right w:val="single" w:sz="4" w:space="0" w:color="auto"/>
            </w:tcBorders>
            <w:shd w:val="clear" w:color="auto" w:fill="auto"/>
            <w:noWrap/>
            <w:vAlign w:val="center"/>
            <w:hideMark/>
          </w:tcPr>
          <w:p w14:paraId="7CF198BF" w14:textId="77777777" w:rsidR="00AB178F" w:rsidRPr="00861214" w:rsidRDefault="00AB178F" w:rsidP="00AB178F">
            <w:pPr>
              <w:jc w:val="right"/>
              <w:rPr>
                <w:sz w:val="20"/>
                <w:szCs w:val="20"/>
                <w:lang w:eastAsia="en-GB"/>
              </w:rPr>
            </w:pPr>
            <w:r w:rsidRPr="00861214">
              <w:rPr>
                <w:sz w:val="20"/>
                <w:szCs w:val="20"/>
                <w:lang w:eastAsia="en-GB"/>
              </w:rPr>
              <w:t>80</w:t>
            </w:r>
          </w:p>
        </w:tc>
        <w:tc>
          <w:tcPr>
            <w:tcW w:w="1252" w:type="dxa"/>
            <w:tcBorders>
              <w:top w:val="nil"/>
              <w:left w:val="nil"/>
              <w:bottom w:val="single" w:sz="4" w:space="0" w:color="auto"/>
              <w:right w:val="single" w:sz="4" w:space="0" w:color="auto"/>
            </w:tcBorders>
            <w:shd w:val="clear" w:color="auto" w:fill="auto"/>
            <w:noWrap/>
            <w:vAlign w:val="center"/>
            <w:hideMark/>
          </w:tcPr>
          <w:p w14:paraId="5B7DD4AA" w14:textId="77777777" w:rsidR="00AB178F" w:rsidRPr="00861214" w:rsidRDefault="00AB178F" w:rsidP="00AB178F">
            <w:pPr>
              <w:jc w:val="right"/>
              <w:rPr>
                <w:sz w:val="20"/>
                <w:szCs w:val="20"/>
                <w:lang w:eastAsia="en-GB"/>
              </w:rPr>
            </w:pPr>
            <w:r w:rsidRPr="00861214">
              <w:rPr>
                <w:sz w:val="20"/>
                <w:szCs w:val="20"/>
                <w:lang w:eastAsia="en-GB"/>
              </w:rPr>
              <w:t>0</w:t>
            </w:r>
          </w:p>
        </w:tc>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05547293" w14:textId="77777777" w:rsidR="00AB178F" w:rsidRPr="00861214" w:rsidRDefault="00AB178F" w:rsidP="00AB178F">
            <w:pPr>
              <w:jc w:val="right"/>
              <w:rPr>
                <w:sz w:val="20"/>
                <w:szCs w:val="20"/>
                <w:lang w:eastAsia="en-GB"/>
              </w:rPr>
            </w:pPr>
            <w:r w:rsidRPr="00861214">
              <w:rPr>
                <w:sz w:val="20"/>
                <w:szCs w:val="20"/>
                <w:lang w:eastAsia="en-GB"/>
              </w:rPr>
              <w:t>0</w:t>
            </w:r>
          </w:p>
        </w:tc>
        <w:tc>
          <w:tcPr>
            <w:tcW w:w="1555" w:type="dxa"/>
            <w:tcBorders>
              <w:top w:val="nil"/>
              <w:left w:val="nil"/>
              <w:bottom w:val="single" w:sz="4" w:space="0" w:color="auto"/>
              <w:right w:val="single" w:sz="4" w:space="0" w:color="auto"/>
            </w:tcBorders>
            <w:shd w:val="clear" w:color="auto" w:fill="auto"/>
            <w:noWrap/>
            <w:vAlign w:val="center"/>
            <w:hideMark/>
          </w:tcPr>
          <w:p w14:paraId="13BC2BB3" w14:textId="77777777" w:rsidR="00AB178F" w:rsidRPr="00861214" w:rsidRDefault="00AB178F" w:rsidP="00AB178F">
            <w:pPr>
              <w:rPr>
                <w:color w:val="000000"/>
                <w:sz w:val="20"/>
                <w:szCs w:val="20"/>
                <w:lang w:eastAsia="en-GB"/>
              </w:rPr>
            </w:pPr>
            <w:r w:rsidRPr="00861214">
              <w:rPr>
                <w:color w:val="000000"/>
                <w:sz w:val="20"/>
                <w:szCs w:val="20"/>
                <w:lang w:eastAsia="en-GB"/>
              </w:rPr>
              <w:t> </w:t>
            </w:r>
          </w:p>
        </w:tc>
        <w:tc>
          <w:tcPr>
            <w:tcW w:w="1801" w:type="dxa"/>
            <w:tcBorders>
              <w:top w:val="nil"/>
              <w:left w:val="nil"/>
              <w:bottom w:val="single" w:sz="4" w:space="0" w:color="auto"/>
              <w:right w:val="single" w:sz="4" w:space="0" w:color="auto"/>
            </w:tcBorders>
            <w:shd w:val="clear" w:color="auto" w:fill="auto"/>
            <w:noWrap/>
            <w:vAlign w:val="center"/>
            <w:hideMark/>
          </w:tcPr>
          <w:p w14:paraId="34E531A4" w14:textId="77777777" w:rsidR="00AB178F" w:rsidRPr="00861214" w:rsidRDefault="00AB178F" w:rsidP="00AB178F">
            <w:pPr>
              <w:jc w:val="right"/>
              <w:rPr>
                <w:color w:val="000000"/>
                <w:sz w:val="20"/>
                <w:szCs w:val="20"/>
                <w:lang w:eastAsia="en-GB"/>
              </w:rPr>
            </w:pPr>
            <w:r w:rsidRPr="00861214">
              <w:rPr>
                <w:color w:val="000000"/>
                <w:sz w:val="20"/>
                <w:szCs w:val="20"/>
                <w:lang w:eastAsia="en-GB"/>
              </w:rPr>
              <w:t>80</w:t>
            </w:r>
          </w:p>
        </w:tc>
      </w:tr>
      <w:tr w:rsidR="00AB178F" w:rsidRPr="00861214" w14:paraId="20BAEE02" w14:textId="77777777" w:rsidTr="001037CE">
        <w:trPr>
          <w:trHeight w:val="270"/>
        </w:trPr>
        <w:tc>
          <w:tcPr>
            <w:tcW w:w="4962" w:type="dxa"/>
            <w:tcBorders>
              <w:top w:val="nil"/>
              <w:left w:val="single" w:sz="4" w:space="0" w:color="auto"/>
              <w:bottom w:val="single" w:sz="4" w:space="0" w:color="auto"/>
              <w:right w:val="single" w:sz="4" w:space="0" w:color="auto"/>
            </w:tcBorders>
            <w:shd w:val="clear" w:color="auto" w:fill="E2EFD9" w:themeFill="accent6" w:themeFillTint="33"/>
            <w:noWrap/>
            <w:vAlign w:val="center"/>
            <w:hideMark/>
          </w:tcPr>
          <w:p w14:paraId="533D3E72" w14:textId="77777777" w:rsidR="00AB178F" w:rsidRPr="00861214" w:rsidRDefault="00AB178F" w:rsidP="00AB178F">
            <w:pPr>
              <w:rPr>
                <w:sz w:val="20"/>
                <w:szCs w:val="20"/>
                <w:lang w:eastAsia="en-GB"/>
              </w:rPr>
            </w:pPr>
            <w:r w:rsidRPr="00861214">
              <w:rPr>
                <w:sz w:val="20"/>
                <w:szCs w:val="20"/>
                <w:lang w:eastAsia="en-GB"/>
              </w:rPr>
              <w:t>G.  Administration/Web</w:t>
            </w:r>
          </w:p>
        </w:tc>
        <w:tc>
          <w:tcPr>
            <w:tcW w:w="1291" w:type="dxa"/>
            <w:tcBorders>
              <w:top w:val="nil"/>
              <w:left w:val="nil"/>
              <w:bottom w:val="single" w:sz="4" w:space="0" w:color="auto"/>
              <w:right w:val="single" w:sz="4" w:space="0" w:color="auto"/>
            </w:tcBorders>
            <w:shd w:val="clear" w:color="auto" w:fill="E2EFD9" w:themeFill="accent6" w:themeFillTint="33"/>
            <w:noWrap/>
            <w:vAlign w:val="center"/>
            <w:hideMark/>
          </w:tcPr>
          <w:p w14:paraId="6F917FF7" w14:textId="77777777" w:rsidR="00AB178F" w:rsidRPr="00861214" w:rsidRDefault="00AB178F" w:rsidP="00AB178F">
            <w:pPr>
              <w:jc w:val="right"/>
              <w:rPr>
                <w:b/>
                <w:bCs/>
                <w:sz w:val="20"/>
                <w:szCs w:val="20"/>
                <w:lang w:eastAsia="en-GB"/>
              </w:rPr>
            </w:pPr>
            <w:r w:rsidRPr="00861214">
              <w:rPr>
                <w:b/>
                <w:bCs/>
                <w:sz w:val="20"/>
                <w:szCs w:val="20"/>
                <w:lang w:eastAsia="en-GB"/>
              </w:rPr>
              <w:t>481</w:t>
            </w:r>
          </w:p>
        </w:tc>
        <w:tc>
          <w:tcPr>
            <w:tcW w:w="1252" w:type="dxa"/>
            <w:tcBorders>
              <w:top w:val="nil"/>
              <w:left w:val="nil"/>
              <w:bottom w:val="single" w:sz="4" w:space="0" w:color="auto"/>
              <w:right w:val="single" w:sz="4" w:space="0" w:color="auto"/>
            </w:tcBorders>
            <w:shd w:val="clear" w:color="auto" w:fill="E2EFD9" w:themeFill="accent6" w:themeFillTint="33"/>
            <w:noWrap/>
            <w:vAlign w:val="center"/>
            <w:hideMark/>
          </w:tcPr>
          <w:p w14:paraId="3BE71DCB" w14:textId="77777777" w:rsidR="00AB178F" w:rsidRPr="00861214" w:rsidRDefault="00AB178F" w:rsidP="00AB178F">
            <w:pPr>
              <w:jc w:val="right"/>
              <w:rPr>
                <w:b/>
                <w:bCs/>
                <w:sz w:val="20"/>
                <w:szCs w:val="20"/>
                <w:lang w:eastAsia="en-GB"/>
              </w:rPr>
            </w:pPr>
            <w:r w:rsidRPr="00861214">
              <w:rPr>
                <w:b/>
                <w:bCs/>
                <w:sz w:val="20"/>
                <w:szCs w:val="20"/>
                <w:lang w:eastAsia="en-GB"/>
              </w:rPr>
              <w:t>11</w:t>
            </w:r>
          </w:p>
        </w:tc>
        <w:tc>
          <w:tcPr>
            <w:tcW w:w="1271" w:type="dxa"/>
            <w:tcBorders>
              <w:top w:val="nil"/>
              <w:left w:val="single" w:sz="4" w:space="0" w:color="auto"/>
              <w:bottom w:val="single" w:sz="4" w:space="0" w:color="auto"/>
              <w:right w:val="single" w:sz="4" w:space="0" w:color="auto"/>
            </w:tcBorders>
            <w:shd w:val="clear" w:color="auto" w:fill="E2EFD9" w:themeFill="accent6" w:themeFillTint="33"/>
            <w:noWrap/>
            <w:vAlign w:val="center"/>
            <w:hideMark/>
          </w:tcPr>
          <w:p w14:paraId="2C6EC05A" w14:textId="77777777" w:rsidR="00AB178F" w:rsidRPr="00861214" w:rsidRDefault="00AB178F" w:rsidP="00AB178F">
            <w:pPr>
              <w:jc w:val="right"/>
              <w:rPr>
                <w:b/>
                <w:bCs/>
                <w:color w:val="000000"/>
                <w:sz w:val="20"/>
                <w:szCs w:val="20"/>
                <w:lang w:eastAsia="en-GB"/>
              </w:rPr>
            </w:pPr>
            <w:r w:rsidRPr="00861214">
              <w:rPr>
                <w:b/>
                <w:bCs/>
                <w:color w:val="000000"/>
                <w:sz w:val="20"/>
                <w:szCs w:val="20"/>
                <w:lang w:eastAsia="en-GB"/>
              </w:rPr>
              <w:t>73</w:t>
            </w:r>
          </w:p>
        </w:tc>
        <w:tc>
          <w:tcPr>
            <w:tcW w:w="1555" w:type="dxa"/>
            <w:tcBorders>
              <w:top w:val="nil"/>
              <w:left w:val="nil"/>
              <w:bottom w:val="single" w:sz="4" w:space="0" w:color="auto"/>
              <w:right w:val="single" w:sz="4" w:space="0" w:color="auto"/>
            </w:tcBorders>
            <w:shd w:val="clear" w:color="auto" w:fill="E2EFD9" w:themeFill="accent6" w:themeFillTint="33"/>
            <w:noWrap/>
            <w:vAlign w:val="center"/>
            <w:hideMark/>
          </w:tcPr>
          <w:p w14:paraId="2FD5FABD" w14:textId="77777777" w:rsidR="00AB178F" w:rsidRPr="00861214" w:rsidRDefault="00AB178F" w:rsidP="00AB178F">
            <w:pPr>
              <w:jc w:val="right"/>
              <w:rPr>
                <w:b/>
                <w:bCs/>
                <w:color w:val="000000"/>
                <w:sz w:val="20"/>
                <w:szCs w:val="20"/>
                <w:lang w:eastAsia="en-GB"/>
              </w:rPr>
            </w:pPr>
            <w:r w:rsidRPr="00861214">
              <w:rPr>
                <w:b/>
                <w:bCs/>
                <w:color w:val="000000"/>
                <w:sz w:val="20"/>
                <w:szCs w:val="20"/>
                <w:lang w:eastAsia="en-GB"/>
              </w:rPr>
              <w:t>89.5</w:t>
            </w:r>
          </w:p>
        </w:tc>
        <w:tc>
          <w:tcPr>
            <w:tcW w:w="1801" w:type="dxa"/>
            <w:tcBorders>
              <w:top w:val="nil"/>
              <w:left w:val="nil"/>
              <w:bottom w:val="single" w:sz="4" w:space="0" w:color="auto"/>
              <w:right w:val="single" w:sz="4" w:space="0" w:color="auto"/>
            </w:tcBorders>
            <w:shd w:val="clear" w:color="auto" w:fill="E2EFD9" w:themeFill="accent6" w:themeFillTint="33"/>
            <w:noWrap/>
            <w:vAlign w:val="center"/>
            <w:hideMark/>
          </w:tcPr>
          <w:p w14:paraId="3F00E76C" w14:textId="7D97064F" w:rsidR="00AB178F" w:rsidRPr="00861214" w:rsidRDefault="00963971" w:rsidP="00AB178F">
            <w:pPr>
              <w:jc w:val="right"/>
              <w:rPr>
                <w:b/>
                <w:bCs/>
                <w:color w:val="000000"/>
                <w:sz w:val="20"/>
                <w:szCs w:val="20"/>
                <w:lang w:eastAsia="en-GB"/>
              </w:rPr>
            </w:pPr>
            <w:r w:rsidRPr="00861214">
              <w:rPr>
                <w:b/>
                <w:bCs/>
                <w:color w:val="000000"/>
                <w:sz w:val="20"/>
                <w:szCs w:val="20"/>
                <w:lang w:eastAsia="en-GB"/>
              </w:rPr>
              <w:t>65</w:t>
            </w:r>
            <w:r>
              <w:rPr>
                <w:b/>
                <w:bCs/>
                <w:color w:val="000000"/>
                <w:sz w:val="20"/>
                <w:szCs w:val="20"/>
                <w:lang w:eastAsia="en-GB"/>
              </w:rPr>
              <w:t>5</w:t>
            </w:r>
          </w:p>
        </w:tc>
      </w:tr>
      <w:tr w:rsidR="00AB178F" w:rsidRPr="00861214" w14:paraId="0F225932" w14:textId="77777777" w:rsidTr="00AB178F">
        <w:trPr>
          <w:trHeight w:val="270"/>
        </w:trPr>
        <w:tc>
          <w:tcPr>
            <w:tcW w:w="4962" w:type="dxa"/>
            <w:tcBorders>
              <w:top w:val="single" w:sz="4" w:space="0" w:color="auto"/>
              <w:left w:val="single" w:sz="4" w:space="0" w:color="auto"/>
              <w:bottom w:val="single" w:sz="4" w:space="0" w:color="auto"/>
              <w:right w:val="nil"/>
            </w:tcBorders>
            <w:shd w:val="clear" w:color="auto" w:fill="auto"/>
            <w:noWrap/>
            <w:vAlign w:val="center"/>
            <w:hideMark/>
          </w:tcPr>
          <w:p w14:paraId="3E49790D" w14:textId="77777777" w:rsidR="00AB178F" w:rsidRPr="00861214" w:rsidRDefault="00AB178F" w:rsidP="00AB178F">
            <w:pPr>
              <w:rPr>
                <w:sz w:val="20"/>
                <w:szCs w:val="20"/>
                <w:lang w:eastAsia="en-GB"/>
              </w:rPr>
            </w:pPr>
            <w:r w:rsidRPr="00861214">
              <w:rPr>
                <w:sz w:val="20"/>
                <w:szCs w:val="20"/>
                <w:lang w:eastAsia="en-GB"/>
              </w:rPr>
              <w:t>Salaries, social costs and other benefits</w:t>
            </w:r>
          </w:p>
        </w:tc>
        <w:tc>
          <w:tcPr>
            <w:tcW w:w="1291" w:type="dxa"/>
            <w:tcBorders>
              <w:top w:val="nil"/>
              <w:left w:val="single" w:sz="4" w:space="0" w:color="auto"/>
              <w:bottom w:val="single" w:sz="4" w:space="0" w:color="auto"/>
              <w:right w:val="single" w:sz="4" w:space="0" w:color="auto"/>
            </w:tcBorders>
            <w:shd w:val="clear" w:color="auto" w:fill="auto"/>
            <w:noWrap/>
            <w:vAlign w:val="center"/>
            <w:hideMark/>
          </w:tcPr>
          <w:p w14:paraId="23B5B5A6" w14:textId="77777777" w:rsidR="00AB178F" w:rsidRPr="00861214" w:rsidRDefault="00AB178F" w:rsidP="00AB178F">
            <w:pPr>
              <w:jc w:val="right"/>
              <w:rPr>
                <w:sz w:val="20"/>
                <w:szCs w:val="20"/>
                <w:lang w:eastAsia="en-GB"/>
              </w:rPr>
            </w:pPr>
            <w:r w:rsidRPr="00861214">
              <w:rPr>
                <w:sz w:val="20"/>
                <w:szCs w:val="20"/>
                <w:lang w:eastAsia="en-GB"/>
              </w:rPr>
              <w:t>337</w:t>
            </w:r>
          </w:p>
        </w:tc>
        <w:tc>
          <w:tcPr>
            <w:tcW w:w="1252" w:type="dxa"/>
            <w:tcBorders>
              <w:top w:val="nil"/>
              <w:left w:val="nil"/>
              <w:bottom w:val="single" w:sz="4" w:space="0" w:color="auto"/>
              <w:right w:val="single" w:sz="4" w:space="0" w:color="auto"/>
            </w:tcBorders>
            <w:shd w:val="clear" w:color="auto" w:fill="auto"/>
            <w:noWrap/>
            <w:vAlign w:val="center"/>
            <w:hideMark/>
          </w:tcPr>
          <w:p w14:paraId="0D06778D" w14:textId="77777777" w:rsidR="00AB178F" w:rsidRPr="00861214" w:rsidRDefault="00AB178F" w:rsidP="00AB178F">
            <w:pPr>
              <w:jc w:val="right"/>
              <w:rPr>
                <w:sz w:val="20"/>
                <w:szCs w:val="20"/>
                <w:lang w:eastAsia="en-GB"/>
              </w:rPr>
            </w:pPr>
            <w:r w:rsidRPr="00861214">
              <w:rPr>
                <w:sz w:val="20"/>
                <w:szCs w:val="20"/>
                <w:lang w:eastAsia="en-GB"/>
              </w:rPr>
              <w:t>0</w:t>
            </w:r>
          </w:p>
        </w:tc>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4C251252" w14:textId="77777777" w:rsidR="00AB178F" w:rsidRPr="00861214" w:rsidRDefault="00AB178F" w:rsidP="00AB178F">
            <w:pPr>
              <w:jc w:val="right"/>
              <w:rPr>
                <w:color w:val="000000"/>
                <w:sz w:val="20"/>
                <w:szCs w:val="20"/>
                <w:lang w:eastAsia="en-GB"/>
              </w:rPr>
            </w:pPr>
            <w:r w:rsidRPr="00861214">
              <w:rPr>
                <w:color w:val="000000"/>
                <w:sz w:val="20"/>
                <w:szCs w:val="20"/>
                <w:lang w:eastAsia="en-GB"/>
              </w:rPr>
              <w:t>0</w:t>
            </w:r>
          </w:p>
        </w:tc>
        <w:tc>
          <w:tcPr>
            <w:tcW w:w="1555" w:type="dxa"/>
            <w:tcBorders>
              <w:top w:val="nil"/>
              <w:left w:val="nil"/>
              <w:bottom w:val="single" w:sz="4" w:space="0" w:color="auto"/>
              <w:right w:val="single" w:sz="4" w:space="0" w:color="auto"/>
            </w:tcBorders>
            <w:shd w:val="clear" w:color="auto" w:fill="auto"/>
            <w:noWrap/>
            <w:vAlign w:val="center"/>
            <w:hideMark/>
          </w:tcPr>
          <w:p w14:paraId="453CB32C" w14:textId="77777777" w:rsidR="00AB178F" w:rsidRPr="00861214" w:rsidRDefault="00AB178F" w:rsidP="00AB178F">
            <w:pPr>
              <w:rPr>
                <w:color w:val="000000"/>
                <w:sz w:val="20"/>
                <w:szCs w:val="20"/>
                <w:lang w:eastAsia="en-GB"/>
              </w:rPr>
            </w:pPr>
            <w:r w:rsidRPr="00861214">
              <w:rPr>
                <w:color w:val="000000"/>
                <w:sz w:val="20"/>
                <w:szCs w:val="20"/>
                <w:lang w:eastAsia="en-GB"/>
              </w:rPr>
              <w:t> </w:t>
            </w:r>
          </w:p>
        </w:tc>
        <w:tc>
          <w:tcPr>
            <w:tcW w:w="1801" w:type="dxa"/>
            <w:tcBorders>
              <w:top w:val="nil"/>
              <w:left w:val="nil"/>
              <w:bottom w:val="single" w:sz="4" w:space="0" w:color="auto"/>
              <w:right w:val="single" w:sz="4" w:space="0" w:color="auto"/>
            </w:tcBorders>
            <w:shd w:val="clear" w:color="auto" w:fill="auto"/>
            <w:noWrap/>
            <w:vAlign w:val="center"/>
            <w:hideMark/>
          </w:tcPr>
          <w:p w14:paraId="44B28197" w14:textId="77777777" w:rsidR="00AB178F" w:rsidRPr="00861214" w:rsidRDefault="00AB178F" w:rsidP="00AB178F">
            <w:pPr>
              <w:jc w:val="right"/>
              <w:rPr>
                <w:color w:val="000000"/>
                <w:sz w:val="20"/>
                <w:szCs w:val="20"/>
                <w:lang w:eastAsia="en-GB"/>
              </w:rPr>
            </w:pPr>
            <w:r w:rsidRPr="00861214">
              <w:rPr>
                <w:color w:val="000000"/>
                <w:sz w:val="20"/>
                <w:szCs w:val="20"/>
                <w:lang w:eastAsia="en-GB"/>
              </w:rPr>
              <w:t>337</w:t>
            </w:r>
          </w:p>
        </w:tc>
      </w:tr>
      <w:tr w:rsidR="00AB178F" w:rsidRPr="00861214" w14:paraId="690ACF78" w14:textId="77777777" w:rsidTr="00AB178F">
        <w:trPr>
          <w:trHeight w:val="270"/>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C496C0" w14:textId="77777777" w:rsidR="00AB178F" w:rsidRPr="00861214" w:rsidRDefault="00AB178F" w:rsidP="00AB178F">
            <w:pPr>
              <w:rPr>
                <w:sz w:val="20"/>
                <w:szCs w:val="20"/>
                <w:lang w:eastAsia="en-GB"/>
              </w:rPr>
            </w:pPr>
            <w:r w:rsidRPr="00861214">
              <w:rPr>
                <w:sz w:val="20"/>
                <w:szCs w:val="20"/>
                <w:lang w:eastAsia="en-GB"/>
              </w:rPr>
              <w:t>Staff hiring and departure costs</w:t>
            </w:r>
          </w:p>
        </w:tc>
        <w:tc>
          <w:tcPr>
            <w:tcW w:w="1291" w:type="dxa"/>
            <w:tcBorders>
              <w:top w:val="nil"/>
              <w:left w:val="nil"/>
              <w:bottom w:val="single" w:sz="4" w:space="0" w:color="auto"/>
              <w:right w:val="single" w:sz="4" w:space="0" w:color="auto"/>
            </w:tcBorders>
            <w:shd w:val="clear" w:color="auto" w:fill="auto"/>
            <w:noWrap/>
            <w:vAlign w:val="center"/>
            <w:hideMark/>
          </w:tcPr>
          <w:p w14:paraId="17D81773" w14:textId="77777777" w:rsidR="00AB178F" w:rsidRPr="00861214" w:rsidRDefault="00AB178F" w:rsidP="00AB178F">
            <w:pPr>
              <w:jc w:val="right"/>
              <w:rPr>
                <w:sz w:val="20"/>
                <w:szCs w:val="20"/>
                <w:lang w:eastAsia="en-GB"/>
              </w:rPr>
            </w:pPr>
            <w:r w:rsidRPr="00861214">
              <w:rPr>
                <w:sz w:val="20"/>
                <w:szCs w:val="20"/>
                <w:lang w:eastAsia="en-GB"/>
              </w:rPr>
              <w:t>49</w:t>
            </w:r>
          </w:p>
        </w:tc>
        <w:tc>
          <w:tcPr>
            <w:tcW w:w="1252" w:type="dxa"/>
            <w:tcBorders>
              <w:top w:val="nil"/>
              <w:left w:val="nil"/>
              <w:bottom w:val="single" w:sz="4" w:space="0" w:color="auto"/>
              <w:right w:val="single" w:sz="4" w:space="0" w:color="auto"/>
            </w:tcBorders>
            <w:shd w:val="clear" w:color="auto" w:fill="auto"/>
            <w:noWrap/>
            <w:vAlign w:val="center"/>
            <w:hideMark/>
          </w:tcPr>
          <w:p w14:paraId="58084622" w14:textId="77777777" w:rsidR="00AB178F" w:rsidRPr="00861214" w:rsidRDefault="00AB178F" w:rsidP="00AB178F">
            <w:pPr>
              <w:jc w:val="right"/>
              <w:rPr>
                <w:sz w:val="20"/>
                <w:szCs w:val="20"/>
                <w:lang w:eastAsia="en-GB"/>
              </w:rPr>
            </w:pPr>
            <w:r w:rsidRPr="00861214">
              <w:rPr>
                <w:sz w:val="20"/>
                <w:szCs w:val="20"/>
                <w:lang w:eastAsia="en-GB"/>
              </w:rPr>
              <w:t>0</w:t>
            </w:r>
          </w:p>
        </w:tc>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50775866" w14:textId="77777777" w:rsidR="00AB178F" w:rsidRPr="00861214" w:rsidRDefault="00AB178F" w:rsidP="00AB178F">
            <w:pPr>
              <w:jc w:val="right"/>
              <w:rPr>
                <w:color w:val="000000"/>
                <w:sz w:val="20"/>
                <w:szCs w:val="20"/>
                <w:lang w:eastAsia="en-GB"/>
              </w:rPr>
            </w:pPr>
            <w:r w:rsidRPr="00861214">
              <w:rPr>
                <w:color w:val="000000"/>
                <w:sz w:val="20"/>
                <w:szCs w:val="20"/>
                <w:lang w:eastAsia="en-GB"/>
              </w:rPr>
              <w:t>0</w:t>
            </w:r>
          </w:p>
        </w:tc>
        <w:tc>
          <w:tcPr>
            <w:tcW w:w="1555" w:type="dxa"/>
            <w:tcBorders>
              <w:top w:val="nil"/>
              <w:left w:val="nil"/>
              <w:bottom w:val="single" w:sz="4" w:space="0" w:color="auto"/>
              <w:right w:val="single" w:sz="4" w:space="0" w:color="auto"/>
            </w:tcBorders>
            <w:shd w:val="clear" w:color="auto" w:fill="auto"/>
            <w:noWrap/>
            <w:vAlign w:val="center"/>
            <w:hideMark/>
          </w:tcPr>
          <w:p w14:paraId="0D8716ED" w14:textId="77777777" w:rsidR="00AB178F" w:rsidRPr="00861214" w:rsidRDefault="00AB178F" w:rsidP="00AB178F">
            <w:pPr>
              <w:jc w:val="right"/>
              <w:rPr>
                <w:color w:val="000000"/>
                <w:sz w:val="20"/>
                <w:szCs w:val="20"/>
                <w:lang w:eastAsia="en-GB"/>
              </w:rPr>
            </w:pPr>
            <w:r w:rsidRPr="00861214">
              <w:rPr>
                <w:color w:val="000000"/>
                <w:sz w:val="20"/>
                <w:szCs w:val="20"/>
                <w:lang w:eastAsia="en-GB"/>
              </w:rPr>
              <w:t>89.5</w:t>
            </w:r>
          </w:p>
        </w:tc>
        <w:tc>
          <w:tcPr>
            <w:tcW w:w="1801" w:type="dxa"/>
            <w:tcBorders>
              <w:top w:val="nil"/>
              <w:left w:val="nil"/>
              <w:bottom w:val="single" w:sz="4" w:space="0" w:color="auto"/>
              <w:right w:val="single" w:sz="4" w:space="0" w:color="auto"/>
            </w:tcBorders>
            <w:shd w:val="clear" w:color="auto" w:fill="auto"/>
            <w:noWrap/>
            <w:vAlign w:val="center"/>
            <w:hideMark/>
          </w:tcPr>
          <w:p w14:paraId="12873BB8" w14:textId="7F6E0BDF" w:rsidR="00AB178F" w:rsidRPr="00861214" w:rsidRDefault="00963971" w:rsidP="00AB178F">
            <w:pPr>
              <w:jc w:val="right"/>
              <w:rPr>
                <w:color w:val="000000"/>
                <w:sz w:val="20"/>
                <w:szCs w:val="20"/>
                <w:lang w:eastAsia="en-GB"/>
              </w:rPr>
            </w:pPr>
            <w:r w:rsidRPr="00861214">
              <w:rPr>
                <w:color w:val="000000"/>
                <w:sz w:val="20"/>
                <w:szCs w:val="20"/>
                <w:lang w:eastAsia="en-GB"/>
              </w:rPr>
              <w:t>13</w:t>
            </w:r>
            <w:r>
              <w:rPr>
                <w:color w:val="000000"/>
                <w:sz w:val="20"/>
                <w:szCs w:val="20"/>
                <w:lang w:eastAsia="en-GB"/>
              </w:rPr>
              <w:t>9</w:t>
            </w:r>
          </w:p>
        </w:tc>
      </w:tr>
      <w:tr w:rsidR="00AB178F" w:rsidRPr="00861214" w14:paraId="6870697F" w14:textId="77777777" w:rsidTr="00AB178F">
        <w:trPr>
          <w:trHeight w:val="270"/>
        </w:trPr>
        <w:tc>
          <w:tcPr>
            <w:tcW w:w="4962" w:type="dxa"/>
            <w:tcBorders>
              <w:top w:val="nil"/>
              <w:left w:val="single" w:sz="4" w:space="0" w:color="auto"/>
              <w:bottom w:val="single" w:sz="4" w:space="0" w:color="auto"/>
              <w:right w:val="single" w:sz="4" w:space="0" w:color="auto"/>
            </w:tcBorders>
            <w:shd w:val="clear" w:color="auto" w:fill="auto"/>
            <w:noWrap/>
            <w:vAlign w:val="center"/>
            <w:hideMark/>
          </w:tcPr>
          <w:p w14:paraId="5EC60F53" w14:textId="77777777" w:rsidR="00AB178F" w:rsidRPr="00861214" w:rsidRDefault="00AB178F" w:rsidP="00AB178F">
            <w:pPr>
              <w:rPr>
                <w:sz w:val="20"/>
                <w:szCs w:val="20"/>
                <w:lang w:eastAsia="en-GB"/>
              </w:rPr>
            </w:pPr>
            <w:r w:rsidRPr="00861214">
              <w:rPr>
                <w:sz w:val="20"/>
                <w:szCs w:val="20"/>
                <w:lang w:eastAsia="en-GB"/>
              </w:rPr>
              <w:t>Travel</w:t>
            </w:r>
          </w:p>
        </w:tc>
        <w:tc>
          <w:tcPr>
            <w:tcW w:w="1291" w:type="dxa"/>
            <w:tcBorders>
              <w:top w:val="nil"/>
              <w:left w:val="nil"/>
              <w:bottom w:val="single" w:sz="4" w:space="0" w:color="auto"/>
              <w:right w:val="single" w:sz="4" w:space="0" w:color="auto"/>
            </w:tcBorders>
            <w:shd w:val="clear" w:color="auto" w:fill="auto"/>
            <w:noWrap/>
            <w:vAlign w:val="center"/>
            <w:hideMark/>
          </w:tcPr>
          <w:p w14:paraId="6F46D018" w14:textId="77777777" w:rsidR="00AB178F" w:rsidRPr="00861214" w:rsidRDefault="00AB178F" w:rsidP="00AB178F">
            <w:pPr>
              <w:jc w:val="right"/>
              <w:rPr>
                <w:sz w:val="20"/>
                <w:szCs w:val="20"/>
                <w:lang w:eastAsia="en-GB"/>
              </w:rPr>
            </w:pPr>
            <w:r w:rsidRPr="00861214">
              <w:rPr>
                <w:sz w:val="20"/>
                <w:szCs w:val="20"/>
                <w:lang w:eastAsia="en-GB"/>
              </w:rPr>
              <w:t>0</w:t>
            </w:r>
          </w:p>
        </w:tc>
        <w:tc>
          <w:tcPr>
            <w:tcW w:w="1252" w:type="dxa"/>
            <w:tcBorders>
              <w:top w:val="nil"/>
              <w:left w:val="nil"/>
              <w:bottom w:val="single" w:sz="4" w:space="0" w:color="auto"/>
              <w:right w:val="single" w:sz="4" w:space="0" w:color="auto"/>
            </w:tcBorders>
            <w:shd w:val="clear" w:color="auto" w:fill="auto"/>
            <w:noWrap/>
            <w:vAlign w:val="center"/>
            <w:hideMark/>
          </w:tcPr>
          <w:p w14:paraId="0AAA2CF9" w14:textId="77777777" w:rsidR="00AB178F" w:rsidRPr="00861214" w:rsidRDefault="00AB178F" w:rsidP="00AB178F">
            <w:pPr>
              <w:jc w:val="right"/>
              <w:rPr>
                <w:sz w:val="20"/>
                <w:szCs w:val="20"/>
                <w:lang w:eastAsia="en-GB"/>
              </w:rPr>
            </w:pPr>
            <w:r w:rsidRPr="00861214">
              <w:rPr>
                <w:sz w:val="20"/>
                <w:szCs w:val="20"/>
                <w:lang w:eastAsia="en-GB"/>
              </w:rPr>
              <w:t>0</w:t>
            </w:r>
          </w:p>
        </w:tc>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3D8BF07F" w14:textId="77777777" w:rsidR="00AB178F" w:rsidRPr="00861214" w:rsidRDefault="00AB178F" w:rsidP="00AB178F">
            <w:pPr>
              <w:jc w:val="right"/>
              <w:rPr>
                <w:color w:val="000000"/>
                <w:sz w:val="20"/>
                <w:szCs w:val="20"/>
                <w:lang w:eastAsia="en-GB"/>
              </w:rPr>
            </w:pPr>
            <w:r w:rsidRPr="00861214">
              <w:rPr>
                <w:color w:val="000000"/>
                <w:sz w:val="20"/>
                <w:szCs w:val="20"/>
                <w:lang w:eastAsia="en-GB"/>
              </w:rPr>
              <w:t>0</w:t>
            </w:r>
          </w:p>
        </w:tc>
        <w:tc>
          <w:tcPr>
            <w:tcW w:w="1555" w:type="dxa"/>
            <w:tcBorders>
              <w:top w:val="nil"/>
              <w:left w:val="nil"/>
              <w:bottom w:val="single" w:sz="4" w:space="0" w:color="auto"/>
              <w:right w:val="single" w:sz="4" w:space="0" w:color="auto"/>
            </w:tcBorders>
            <w:shd w:val="clear" w:color="auto" w:fill="auto"/>
            <w:noWrap/>
            <w:vAlign w:val="center"/>
            <w:hideMark/>
          </w:tcPr>
          <w:p w14:paraId="3C962023" w14:textId="77777777" w:rsidR="00AB178F" w:rsidRPr="00861214" w:rsidRDefault="00AB178F" w:rsidP="00AB178F">
            <w:pPr>
              <w:rPr>
                <w:color w:val="000000"/>
                <w:sz w:val="20"/>
                <w:szCs w:val="20"/>
                <w:lang w:eastAsia="en-GB"/>
              </w:rPr>
            </w:pPr>
            <w:r w:rsidRPr="00861214">
              <w:rPr>
                <w:color w:val="000000"/>
                <w:sz w:val="20"/>
                <w:szCs w:val="20"/>
                <w:lang w:eastAsia="en-GB"/>
              </w:rPr>
              <w:t> </w:t>
            </w:r>
          </w:p>
        </w:tc>
        <w:tc>
          <w:tcPr>
            <w:tcW w:w="1801" w:type="dxa"/>
            <w:tcBorders>
              <w:top w:val="nil"/>
              <w:left w:val="nil"/>
              <w:bottom w:val="single" w:sz="4" w:space="0" w:color="auto"/>
              <w:right w:val="single" w:sz="4" w:space="0" w:color="auto"/>
            </w:tcBorders>
            <w:shd w:val="clear" w:color="auto" w:fill="auto"/>
            <w:noWrap/>
            <w:vAlign w:val="center"/>
            <w:hideMark/>
          </w:tcPr>
          <w:p w14:paraId="665BBD0C" w14:textId="77777777" w:rsidR="00AB178F" w:rsidRPr="00861214" w:rsidRDefault="00AB178F" w:rsidP="00AB178F">
            <w:pPr>
              <w:jc w:val="right"/>
              <w:rPr>
                <w:color w:val="000000"/>
                <w:sz w:val="20"/>
                <w:szCs w:val="20"/>
                <w:lang w:eastAsia="en-GB"/>
              </w:rPr>
            </w:pPr>
            <w:r w:rsidRPr="00861214">
              <w:rPr>
                <w:color w:val="000000"/>
                <w:sz w:val="20"/>
                <w:szCs w:val="20"/>
                <w:lang w:eastAsia="en-GB"/>
              </w:rPr>
              <w:t>0</w:t>
            </w:r>
          </w:p>
        </w:tc>
      </w:tr>
      <w:tr w:rsidR="00AB178F" w:rsidRPr="00861214" w14:paraId="42986178" w14:textId="77777777" w:rsidTr="00AB178F">
        <w:trPr>
          <w:trHeight w:val="270"/>
        </w:trPr>
        <w:tc>
          <w:tcPr>
            <w:tcW w:w="4962" w:type="dxa"/>
            <w:tcBorders>
              <w:top w:val="nil"/>
              <w:left w:val="single" w:sz="4" w:space="0" w:color="auto"/>
              <w:bottom w:val="single" w:sz="4" w:space="0" w:color="auto"/>
              <w:right w:val="single" w:sz="4" w:space="0" w:color="auto"/>
            </w:tcBorders>
            <w:shd w:val="clear" w:color="auto" w:fill="auto"/>
            <w:noWrap/>
            <w:vAlign w:val="center"/>
            <w:hideMark/>
          </w:tcPr>
          <w:p w14:paraId="3B8C1BCE" w14:textId="77777777" w:rsidR="00AB178F" w:rsidRPr="00861214" w:rsidRDefault="00AB178F" w:rsidP="00AB178F">
            <w:pPr>
              <w:rPr>
                <w:sz w:val="20"/>
                <w:szCs w:val="20"/>
                <w:lang w:eastAsia="en-GB"/>
              </w:rPr>
            </w:pPr>
            <w:r w:rsidRPr="00861214">
              <w:rPr>
                <w:sz w:val="20"/>
                <w:szCs w:val="20"/>
                <w:lang w:eastAsia="en-GB"/>
              </w:rPr>
              <w:t>Equipment/Office Supplies</w:t>
            </w:r>
          </w:p>
        </w:tc>
        <w:tc>
          <w:tcPr>
            <w:tcW w:w="1291" w:type="dxa"/>
            <w:tcBorders>
              <w:top w:val="nil"/>
              <w:left w:val="nil"/>
              <w:bottom w:val="single" w:sz="4" w:space="0" w:color="auto"/>
              <w:right w:val="single" w:sz="4" w:space="0" w:color="auto"/>
            </w:tcBorders>
            <w:shd w:val="clear" w:color="auto" w:fill="auto"/>
            <w:noWrap/>
            <w:vAlign w:val="center"/>
            <w:hideMark/>
          </w:tcPr>
          <w:p w14:paraId="0913928B" w14:textId="77777777" w:rsidR="00AB178F" w:rsidRPr="00861214" w:rsidRDefault="00AB178F" w:rsidP="00AB178F">
            <w:pPr>
              <w:jc w:val="right"/>
              <w:rPr>
                <w:sz w:val="20"/>
                <w:szCs w:val="20"/>
                <w:lang w:eastAsia="en-GB"/>
              </w:rPr>
            </w:pPr>
            <w:r w:rsidRPr="00861214">
              <w:rPr>
                <w:sz w:val="20"/>
                <w:szCs w:val="20"/>
                <w:lang w:eastAsia="en-GB"/>
              </w:rPr>
              <w:t>95</w:t>
            </w:r>
          </w:p>
        </w:tc>
        <w:tc>
          <w:tcPr>
            <w:tcW w:w="1252" w:type="dxa"/>
            <w:tcBorders>
              <w:top w:val="nil"/>
              <w:left w:val="nil"/>
              <w:bottom w:val="single" w:sz="4" w:space="0" w:color="auto"/>
              <w:right w:val="single" w:sz="4" w:space="0" w:color="auto"/>
            </w:tcBorders>
            <w:shd w:val="clear" w:color="auto" w:fill="auto"/>
            <w:noWrap/>
            <w:vAlign w:val="center"/>
            <w:hideMark/>
          </w:tcPr>
          <w:p w14:paraId="4EE996C4" w14:textId="77777777" w:rsidR="00AB178F" w:rsidRPr="00861214" w:rsidRDefault="00AB178F" w:rsidP="00AB178F">
            <w:pPr>
              <w:jc w:val="right"/>
              <w:rPr>
                <w:sz w:val="20"/>
                <w:szCs w:val="20"/>
                <w:lang w:eastAsia="en-GB"/>
              </w:rPr>
            </w:pPr>
            <w:r w:rsidRPr="00861214">
              <w:rPr>
                <w:sz w:val="20"/>
                <w:szCs w:val="20"/>
                <w:lang w:eastAsia="en-GB"/>
              </w:rPr>
              <w:t>0</w:t>
            </w:r>
          </w:p>
        </w:tc>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7249C6D9" w14:textId="77777777" w:rsidR="00AB178F" w:rsidRPr="00861214" w:rsidRDefault="00AB178F" w:rsidP="00AB178F">
            <w:pPr>
              <w:jc w:val="right"/>
              <w:rPr>
                <w:color w:val="000000"/>
                <w:sz w:val="20"/>
                <w:szCs w:val="20"/>
                <w:lang w:eastAsia="en-GB"/>
              </w:rPr>
            </w:pPr>
            <w:r w:rsidRPr="00861214">
              <w:rPr>
                <w:color w:val="000000"/>
                <w:sz w:val="20"/>
                <w:szCs w:val="20"/>
                <w:lang w:eastAsia="en-GB"/>
              </w:rPr>
              <w:t>0</w:t>
            </w:r>
          </w:p>
        </w:tc>
        <w:tc>
          <w:tcPr>
            <w:tcW w:w="1555" w:type="dxa"/>
            <w:tcBorders>
              <w:top w:val="nil"/>
              <w:left w:val="nil"/>
              <w:bottom w:val="single" w:sz="4" w:space="0" w:color="auto"/>
              <w:right w:val="single" w:sz="4" w:space="0" w:color="auto"/>
            </w:tcBorders>
            <w:shd w:val="clear" w:color="auto" w:fill="auto"/>
            <w:noWrap/>
            <w:vAlign w:val="center"/>
            <w:hideMark/>
          </w:tcPr>
          <w:p w14:paraId="135E7762" w14:textId="77777777" w:rsidR="00AB178F" w:rsidRPr="00861214" w:rsidRDefault="00AB178F" w:rsidP="00AB178F">
            <w:pPr>
              <w:rPr>
                <w:color w:val="000000"/>
                <w:sz w:val="20"/>
                <w:szCs w:val="20"/>
                <w:lang w:eastAsia="en-GB"/>
              </w:rPr>
            </w:pPr>
            <w:r w:rsidRPr="00861214">
              <w:rPr>
                <w:color w:val="000000"/>
                <w:sz w:val="20"/>
                <w:szCs w:val="20"/>
                <w:lang w:eastAsia="en-GB"/>
              </w:rPr>
              <w:t> </w:t>
            </w:r>
          </w:p>
        </w:tc>
        <w:tc>
          <w:tcPr>
            <w:tcW w:w="1801" w:type="dxa"/>
            <w:tcBorders>
              <w:top w:val="nil"/>
              <w:left w:val="nil"/>
              <w:bottom w:val="single" w:sz="4" w:space="0" w:color="auto"/>
              <w:right w:val="single" w:sz="4" w:space="0" w:color="auto"/>
            </w:tcBorders>
            <w:shd w:val="clear" w:color="auto" w:fill="auto"/>
            <w:noWrap/>
            <w:vAlign w:val="center"/>
            <w:hideMark/>
          </w:tcPr>
          <w:p w14:paraId="2A16AA84" w14:textId="77777777" w:rsidR="00AB178F" w:rsidRPr="00861214" w:rsidRDefault="00AB178F" w:rsidP="00AB178F">
            <w:pPr>
              <w:jc w:val="right"/>
              <w:rPr>
                <w:color w:val="000000"/>
                <w:sz w:val="20"/>
                <w:szCs w:val="20"/>
                <w:lang w:eastAsia="en-GB"/>
              </w:rPr>
            </w:pPr>
            <w:r w:rsidRPr="00861214">
              <w:rPr>
                <w:color w:val="000000"/>
                <w:sz w:val="20"/>
                <w:szCs w:val="20"/>
                <w:lang w:eastAsia="en-GB"/>
              </w:rPr>
              <w:t>95</w:t>
            </w:r>
          </w:p>
        </w:tc>
      </w:tr>
      <w:tr w:rsidR="00AB178F" w:rsidRPr="00861214" w14:paraId="3617C02E" w14:textId="77777777" w:rsidTr="00AB178F">
        <w:trPr>
          <w:trHeight w:val="270"/>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E0186D" w14:textId="77777777" w:rsidR="00AB178F" w:rsidRPr="00861214" w:rsidRDefault="00AB178F" w:rsidP="00AB178F">
            <w:pPr>
              <w:rPr>
                <w:sz w:val="20"/>
                <w:szCs w:val="20"/>
                <w:lang w:eastAsia="en-GB"/>
              </w:rPr>
            </w:pPr>
            <w:r w:rsidRPr="00861214">
              <w:rPr>
                <w:sz w:val="20"/>
                <w:szCs w:val="20"/>
                <w:lang w:eastAsia="en-GB"/>
              </w:rPr>
              <w:t>Planning and Capacity building</w:t>
            </w:r>
          </w:p>
        </w:tc>
        <w:tc>
          <w:tcPr>
            <w:tcW w:w="1291" w:type="dxa"/>
            <w:tcBorders>
              <w:top w:val="single" w:sz="4" w:space="0" w:color="auto"/>
              <w:left w:val="nil"/>
              <w:bottom w:val="single" w:sz="4" w:space="0" w:color="auto"/>
              <w:right w:val="single" w:sz="4" w:space="0" w:color="auto"/>
            </w:tcBorders>
            <w:shd w:val="clear" w:color="auto" w:fill="auto"/>
            <w:noWrap/>
            <w:vAlign w:val="center"/>
            <w:hideMark/>
          </w:tcPr>
          <w:p w14:paraId="3215F3A7" w14:textId="77777777" w:rsidR="00AB178F" w:rsidRPr="00861214" w:rsidRDefault="00AB178F" w:rsidP="00AB178F">
            <w:pPr>
              <w:jc w:val="right"/>
              <w:rPr>
                <w:sz w:val="20"/>
                <w:szCs w:val="20"/>
                <w:lang w:eastAsia="en-GB"/>
              </w:rPr>
            </w:pPr>
            <w:r w:rsidRPr="00861214">
              <w:rPr>
                <w:sz w:val="20"/>
                <w:szCs w:val="20"/>
                <w:lang w:eastAsia="en-GB"/>
              </w:rPr>
              <w:t>0</w:t>
            </w:r>
          </w:p>
        </w:tc>
        <w:tc>
          <w:tcPr>
            <w:tcW w:w="1252" w:type="dxa"/>
            <w:tcBorders>
              <w:top w:val="single" w:sz="4" w:space="0" w:color="auto"/>
              <w:left w:val="nil"/>
              <w:bottom w:val="single" w:sz="4" w:space="0" w:color="auto"/>
              <w:right w:val="single" w:sz="4" w:space="0" w:color="auto"/>
            </w:tcBorders>
            <w:shd w:val="clear" w:color="auto" w:fill="auto"/>
            <w:noWrap/>
            <w:vAlign w:val="center"/>
            <w:hideMark/>
          </w:tcPr>
          <w:p w14:paraId="0F31106F" w14:textId="77777777" w:rsidR="00AB178F" w:rsidRPr="00861214" w:rsidRDefault="00AB178F" w:rsidP="00AB178F">
            <w:pPr>
              <w:jc w:val="right"/>
              <w:rPr>
                <w:sz w:val="20"/>
                <w:szCs w:val="20"/>
                <w:lang w:eastAsia="en-GB"/>
              </w:rPr>
            </w:pPr>
            <w:r w:rsidRPr="00861214">
              <w:rPr>
                <w:sz w:val="20"/>
                <w:szCs w:val="20"/>
                <w:lang w:eastAsia="en-GB"/>
              </w:rPr>
              <w:t>11</w:t>
            </w:r>
          </w:p>
        </w:tc>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501FBB" w14:textId="77777777" w:rsidR="00AB178F" w:rsidRPr="00861214" w:rsidRDefault="00AB178F" w:rsidP="00AB178F">
            <w:pPr>
              <w:jc w:val="right"/>
              <w:rPr>
                <w:sz w:val="20"/>
                <w:szCs w:val="20"/>
                <w:lang w:eastAsia="en-GB"/>
              </w:rPr>
            </w:pPr>
            <w:r w:rsidRPr="00861214">
              <w:rPr>
                <w:sz w:val="20"/>
                <w:szCs w:val="20"/>
                <w:lang w:eastAsia="en-GB"/>
              </w:rPr>
              <w:t>73</w:t>
            </w:r>
          </w:p>
        </w:tc>
        <w:tc>
          <w:tcPr>
            <w:tcW w:w="1555" w:type="dxa"/>
            <w:tcBorders>
              <w:top w:val="single" w:sz="4" w:space="0" w:color="auto"/>
              <w:left w:val="nil"/>
              <w:bottom w:val="single" w:sz="4" w:space="0" w:color="auto"/>
              <w:right w:val="single" w:sz="4" w:space="0" w:color="auto"/>
            </w:tcBorders>
            <w:shd w:val="clear" w:color="auto" w:fill="auto"/>
            <w:noWrap/>
            <w:vAlign w:val="center"/>
            <w:hideMark/>
          </w:tcPr>
          <w:p w14:paraId="64DE259E" w14:textId="77777777" w:rsidR="00AB178F" w:rsidRPr="00861214" w:rsidRDefault="00AB178F" w:rsidP="00AB178F">
            <w:pPr>
              <w:rPr>
                <w:sz w:val="20"/>
                <w:szCs w:val="20"/>
                <w:lang w:eastAsia="en-GB"/>
              </w:rPr>
            </w:pPr>
            <w:r w:rsidRPr="00861214">
              <w:rPr>
                <w:sz w:val="20"/>
                <w:szCs w:val="20"/>
                <w:lang w:eastAsia="en-GB"/>
              </w:rPr>
              <w:t> </w:t>
            </w:r>
          </w:p>
        </w:tc>
        <w:tc>
          <w:tcPr>
            <w:tcW w:w="1801" w:type="dxa"/>
            <w:tcBorders>
              <w:top w:val="single" w:sz="4" w:space="0" w:color="auto"/>
              <w:left w:val="nil"/>
              <w:bottom w:val="single" w:sz="4" w:space="0" w:color="auto"/>
              <w:right w:val="single" w:sz="4" w:space="0" w:color="auto"/>
            </w:tcBorders>
            <w:shd w:val="clear" w:color="auto" w:fill="auto"/>
            <w:noWrap/>
            <w:vAlign w:val="center"/>
            <w:hideMark/>
          </w:tcPr>
          <w:p w14:paraId="395612B0" w14:textId="77777777" w:rsidR="00AB178F" w:rsidRPr="00861214" w:rsidRDefault="00AB178F" w:rsidP="00AB178F">
            <w:pPr>
              <w:jc w:val="right"/>
              <w:rPr>
                <w:color w:val="000000"/>
                <w:sz w:val="20"/>
                <w:szCs w:val="20"/>
                <w:lang w:eastAsia="en-GB"/>
              </w:rPr>
            </w:pPr>
            <w:r w:rsidRPr="00861214">
              <w:rPr>
                <w:color w:val="000000"/>
                <w:sz w:val="20"/>
                <w:szCs w:val="20"/>
                <w:lang w:eastAsia="en-GB"/>
              </w:rPr>
              <w:t>84</w:t>
            </w:r>
          </w:p>
        </w:tc>
      </w:tr>
      <w:tr w:rsidR="00AB178F" w:rsidRPr="00861214" w14:paraId="4EDD396C" w14:textId="77777777" w:rsidTr="00AB178F">
        <w:trPr>
          <w:trHeight w:val="270"/>
        </w:trPr>
        <w:tc>
          <w:tcPr>
            <w:tcW w:w="4962" w:type="dxa"/>
            <w:tcBorders>
              <w:top w:val="single" w:sz="4" w:space="0" w:color="auto"/>
            </w:tcBorders>
            <w:shd w:val="clear" w:color="auto" w:fill="auto"/>
            <w:noWrap/>
            <w:vAlign w:val="center"/>
          </w:tcPr>
          <w:p w14:paraId="4834812C" w14:textId="77777777" w:rsidR="00AB178F" w:rsidRPr="00861214" w:rsidRDefault="00AB178F" w:rsidP="00AB178F">
            <w:pPr>
              <w:rPr>
                <w:sz w:val="20"/>
                <w:szCs w:val="20"/>
                <w:lang w:eastAsia="en-GB"/>
              </w:rPr>
            </w:pPr>
          </w:p>
        </w:tc>
        <w:tc>
          <w:tcPr>
            <w:tcW w:w="1291" w:type="dxa"/>
            <w:tcBorders>
              <w:top w:val="single" w:sz="4" w:space="0" w:color="auto"/>
            </w:tcBorders>
            <w:shd w:val="clear" w:color="auto" w:fill="auto"/>
            <w:noWrap/>
            <w:vAlign w:val="center"/>
          </w:tcPr>
          <w:p w14:paraId="214C545F" w14:textId="77777777" w:rsidR="00AB178F" w:rsidRPr="00861214" w:rsidRDefault="00AB178F" w:rsidP="00AB178F">
            <w:pPr>
              <w:jc w:val="right"/>
              <w:rPr>
                <w:sz w:val="20"/>
                <w:szCs w:val="20"/>
                <w:lang w:eastAsia="en-GB"/>
              </w:rPr>
            </w:pPr>
          </w:p>
        </w:tc>
        <w:tc>
          <w:tcPr>
            <w:tcW w:w="1252" w:type="dxa"/>
            <w:tcBorders>
              <w:top w:val="single" w:sz="4" w:space="0" w:color="auto"/>
            </w:tcBorders>
            <w:shd w:val="clear" w:color="auto" w:fill="auto"/>
            <w:noWrap/>
            <w:vAlign w:val="center"/>
          </w:tcPr>
          <w:p w14:paraId="084D7CC2" w14:textId="77777777" w:rsidR="00AB178F" w:rsidRPr="00861214" w:rsidRDefault="00AB178F" w:rsidP="00AB178F">
            <w:pPr>
              <w:jc w:val="right"/>
              <w:rPr>
                <w:sz w:val="20"/>
                <w:szCs w:val="20"/>
                <w:lang w:eastAsia="en-GB"/>
              </w:rPr>
            </w:pPr>
          </w:p>
        </w:tc>
        <w:tc>
          <w:tcPr>
            <w:tcW w:w="1271" w:type="dxa"/>
            <w:tcBorders>
              <w:top w:val="single" w:sz="4" w:space="0" w:color="auto"/>
            </w:tcBorders>
            <w:shd w:val="clear" w:color="auto" w:fill="auto"/>
            <w:noWrap/>
            <w:vAlign w:val="center"/>
          </w:tcPr>
          <w:p w14:paraId="1FB7D374" w14:textId="77777777" w:rsidR="00AB178F" w:rsidRPr="00861214" w:rsidRDefault="00AB178F" w:rsidP="00AB178F">
            <w:pPr>
              <w:jc w:val="right"/>
              <w:rPr>
                <w:sz w:val="20"/>
                <w:szCs w:val="20"/>
                <w:lang w:eastAsia="en-GB"/>
              </w:rPr>
            </w:pPr>
          </w:p>
        </w:tc>
        <w:tc>
          <w:tcPr>
            <w:tcW w:w="1555" w:type="dxa"/>
            <w:tcBorders>
              <w:top w:val="single" w:sz="4" w:space="0" w:color="auto"/>
            </w:tcBorders>
            <w:shd w:val="clear" w:color="auto" w:fill="auto"/>
            <w:noWrap/>
            <w:vAlign w:val="center"/>
          </w:tcPr>
          <w:p w14:paraId="6A37CCB9" w14:textId="77777777" w:rsidR="00AB178F" w:rsidRPr="00861214" w:rsidRDefault="00AB178F" w:rsidP="00AB178F">
            <w:pPr>
              <w:rPr>
                <w:sz w:val="20"/>
                <w:szCs w:val="20"/>
                <w:lang w:eastAsia="en-GB"/>
              </w:rPr>
            </w:pPr>
          </w:p>
        </w:tc>
        <w:tc>
          <w:tcPr>
            <w:tcW w:w="1801" w:type="dxa"/>
            <w:tcBorders>
              <w:top w:val="single" w:sz="4" w:space="0" w:color="auto"/>
            </w:tcBorders>
            <w:shd w:val="clear" w:color="auto" w:fill="auto"/>
            <w:noWrap/>
            <w:vAlign w:val="center"/>
          </w:tcPr>
          <w:p w14:paraId="79B5CF43" w14:textId="77777777" w:rsidR="00AB178F" w:rsidRPr="00861214" w:rsidRDefault="00AB178F" w:rsidP="00AB178F">
            <w:pPr>
              <w:jc w:val="right"/>
              <w:rPr>
                <w:color w:val="000000"/>
                <w:sz w:val="20"/>
                <w:szCs w:val="20"/>
                <w:lang w:eastAsia="en-GB"/>
              </w:rPr>
            </w:pPr>
          </w:p>
        </w:tc>
      </w:tr>
      <w:tr w:rsidR="00AB178F" w:rsidRPr="00861214" w14:paraId="0035F831" w14:textId="77777777" w:rsidTr="001037CE">
        <w:trPr>
          <w:trHeight w:val="270"/>
        </w:trPr>
        <w:tc>
          <w:tcPr>
            <w:tcW w:w="4962" w:type="dxa"/>
            <w:tcBorders>
              <w:left w:val="single" w:sz="4" w:space="0" w:color="auto"/>
              <w:bottom w:val="single" w:sz="4" w:space="0" w:color="auto"/>
              <w:right w:val="single" w:sz="4" w:space="0" w:color="auto"/>
            </w:tcBorders>
            <w:shd w:val="clear" w:color="auto" w:fill="E2EFD9" w:themeFill="accent6" w:themeFillTint="33"/>
            <w:vAlign w:val="center"/>
            <w:hideMark/>
          </w:tcPr>
          <w:p w14:paraId="17F0B649" w14:textId="77777777" w:rsidR="00AB178F" w:rsidRPr="00861214" w:rsidRDefault="00AB178F" w:rsidP="00AB178F">
            <w:pPr>
              <w:rPr>
                <w:sz w:val="20"/>
                <w:szCs w:val="20"/>
                <w:lang w:eastAsia="en-GB"/>
              </w:rPr>
            </w:pPr>
            <w:r w:rsidRPr="00861214">
              <w:rPr>
                <w:sz w:val="20"/>
                <w:szCs w:val="20"/>
                <w:lang w:eastAsia="en-GB"/>
              </w:rPr>
              <w:t>H. Standing Committee Services</w:t>
            </w:r>
          </w:p>
        </w:tc>
        <w:tc>
          <w:tcPr>
            <w:tcW w:w="1291" w:type="dxa"/>
            <w:tcBorders>
              <w:left w:val="nil"/>
              <w:bottom w:val="single" w:sz="4" w:space="0" w:color="auto"/>
              <w:right w:val="single" w:sz="4" w:space="0" w:color="auto"/>
            </w:tcBorders>
            <w:shd w:val="clear" w:color="auto" w:fill="E2EFD9" w:themeFill="accent6" w:themeFillTint="33"/>
            <w:noWrap/>
            <w:vAlign w:val="center"/>
            <w:hideMark/>
          </w:tcPr>
          <w:p w14:paraId="088DBE07" w14:textId="77777777" w:rsidR="00AB178F" w:rsidRPr="00861214" w:rsidRDefault="00AB178F" w:rsidP="00AB178F">
            <w:pPr>
              <w:jc w:val="right"/>
              <w:rPr>
                <w:b/>
                <w:bCs/>
                <w:sz w:val="20"/>
                <w:szCs w:val="20"/>
                <w:lang w:eastAsia="en-GB"/>
              </w:rPr>
            </w:pPr>
            <w:r w:rsidRPr="00861214">
              <w:rPr>
                <w:b/>
                <w:bCs/>
                <w:sz w:val="20"/>
                <w:szCs w:val="20"/>
                <w:lang w:eastAsia="en-GB"/>
              </w:rPr>
              <w:t>150</w:t>
            </w:r>
          </w:p>
        </w:tc>
        <w:tc>
          <w:tcPr>
            <w:tcW w:w="1252" w:type="dxa"/>
            <w:tcBorders>
              <w:left w:val="nil"/>
              <w:bottom w:val="single" w:sz="4" w:space="0" w:color="auto"/>
              <w:right w:val="single" w:sz="4" w:space="0" w:color="auto"/>
            </w:tcBorders>
            <w:shd w:val="clear" w:color="auto" w:fill="E2EFD9" w:themeFill="accent6" w:themeFillTint="33"/>
            <w:noWrap/>
            <w:vAlign w:val="center"/>
            <w:hideMark/>
          </w:tcPr>
          <w:p w14:paraId="40BFCC2A" w14:textId="77777777" w:rsidR="00AB178F" w:rsidRPr="00861214" w:rsidRDefault="00AB178F" w:rsidP="00AB178F">
            <w:pPr>
              <w:jc w:val="right"/>
              <w:rPr>
                <w:b/>
                <w:bCs/>
                <w:sz w:val="20"/>
                <w:szCs w:val="20"/>
                <w:lang w:eastAsia="en-GB"/>
              </w:rPr>
            </w:pPr>
            <w:r w:rsidRPr="00861214">
              <w:rPr>
                <w:b/>
                <w:bCs/>
                <w:sz w:val="20"/>
                <w:szCs w:val="20"/>
                <w:lang w:eastAsia="en-GB"/>
              </w:rPr>
              <w:t>0</w:t>
            </w:r>
          </w:p>
        </w:tc>
        <w:tc>
          <w:tcPr>
            <w:tcW w:w="1271" w:type="dxa"/>
            <w:tcBorders>
              <w:left w:val="single" w:sz="4" w:space="0" w:color="auto"/>
              <w:bottom w:val="single" w:sz="4" w:space="0" w:color="auto"/>
              <w:right w:val="single" w:sz="4" w:space="0" w:color="auto"/>
            </w:tcBorders>
            <w:shd w:val="clear" w:color="auto" w:fill="E2EFD9" w:themeFill="accent6" w:themeFillTint="33"/>
            <w:noWrap/>
            <w:vAlign w:val="center"/>
            <w:hideMark/>
          </w:tcPr>
          <w:p w14:paraId="190834E3" w14:textId="77777777" w:rsidR="00AB178F" w:rsidRPr="00861214" w:rsidRDefault="00AB178F" w:rsidP="00AB178F">
            <w:pPr>
              <w:jc w:val="right"/>
              <w:rPr>
                <w:b/>
                <w:bCs/>
                <w:color w:val="000000"/>
                <w:sz w:val="20"/>
                <w:szCs w:val="20"/>
                <w:lang w:eastAsia="en-GB"/>
              </w:rPr>
            </w:pPr>
            <w:r w:rsidRPr="00861214">
              <w:rPr>
                <w:b/>
                <w:bCs/>
                <w:color w:val="000000"/>
                <w:sz w:val="20"/>
                <w:szCs w:val="20"/>
                <w:lang w:eastAsia="en-GB"/>
              </w:rPr>
              <w:t>25</w:t>
            </w:r>
          </w:p>
        </w:tc>
        <w:tc>
          <w:tcPr>
            <w:tcW w:w="1555" w:type="dxa"/>
            <w:tcBorders>
              <w:left w:val="nil"/>
              <w:bottom w:val="single" w:sz="4" w:space="0" w:color="auto"/>
              <w:right w:val="single" w:sz="4" w:space="0" w:color="auto"/>
            </w:tcBorders>
            <w:shd w:val="clear" w:color="auto" w:fill="E2EFD9" w:themeFill="accent6" w:themeFillTint="33"/>
            <w:noWrap/>
            <w:vAlign w:val="center"/>
            <w:hideMark/>
          </w:tcPr>
          <w:p w14:paraId="6AE1A2D5" w14:textId="77777777" w:rsidR="00AB178F" w:rsidRPr="00861214" w:rsidRDefault="00AB178F" w:rsidP="00AB178F">
            <w:pPr>
              <w:jc w:val="right"/>
              <w:rPr>
                <w:b/>
                <w:bCs/>
                <w:color w:val="000000"/>
                <w:sz w:val="20"/>
                <w:szCs w:val="20"/>
                <w:lang w:eastAsia="en-GB"/>
              </w:rPr>
            </w:pPr>
            <w:r>
              <w:rPr>
                <w:b/>
                <w:bCs/>
                <w:color w:val="000000"/>
                <w:sz w:val="20"/>
                <w:szCs w:val="20"/>
                <w:lang w:eastAsia="en-GB"/>
              </w:rPr>
              <w:t>10</w:t>
            </w:r>
          </w:p>
        </w:tc>
        <w:tc>
          <w:tcPr>
            <w:tcW w:w="1801" w:type="dxa"/>
            <w:tcBorders>
              <w:left w:val="nil"/>
              <w:bottom w:val="single" w:sz="4" w:space="0" w:color="auto"/>
              <w:right w:val="single" w:sz="4" w:space="0" w:color="auto"/>
            </w:tcBorders>
            <w:shd w:val="clear" w:color="auto" w:fill="E2EFD9" w:themeFill="accent6" w:themeFillTint="33"/>
            <w:noWrap/>
            <w:vAlign w:val="center"/>
            <w:hideMark/>
          </w:tcPr>
          <w:p w14:paraId="6D30B252" w14:textId="77777777" w:rsidR="00AB178F" w:rsidRPr="00861214" w:rsidRDefault="00AB178F" w:rsidP="00AB178F">
            <w:pPr>
              <w:jc w:val="right"/>
              <w:rPr>
                <w:b/>
                <w:bCs/>
                <w:color w:val="000000"/>
                <w:sz w:val="20"/>
                <w:szCs w:val="20"/>
                <w:lang w:eastAsia="en-GB"/>
              </w:rPr>
            </w:pPr>
            <w:r w:rsidRPr="003563E9">
              <w:rPr>
                <w:b/>
                <w:bCs/>
                <w:sz w:val="20"/>
                <w:szCs w:val="20"/>
                <w:lang w:eastAsia="en-GB"/>
              </w:rPr>
              <w:t>185</w:t>
            </w:r>
          </w:p>
        </w:tc>
      </w:tr>
      <w:tr w:rsidR="00AB178F" w:rsidRPr="00861214" w14:paraId="1418FE25" w14:textId="77777777" w:rsidTr="00AB178F">
        <w:trPr>
          <w:trHeight w:val="270"/>
        </w:trPr>
        <w:tc>
          <w:tcPr>
            <w:tcW w:w="4962" w:type="dxa"/>
            <w:tcBorders>
              <w:top w:val="nil"/>
              <w:left w:val="single" w:sz="4" w:space="0" w:color="auto"/>
              <w:bottom w:val="single" w:sz="4" w:space="0" w:color="auto"/>
              <w:right w:val="single" w:sz="4" w:space="0" w:color="auto"/>
            </w:tcBorders>
            <w:shd w:val="clear" w:color="auto" w:fill="auto"/>
            <w:noWrap/>
            <w:vAlign w:val="center"/>
            <w:hideMark/>
          </w:tcPr>
          <w:p w14:paraId="317F21C7" w14:textId="77777777" w:rsidR="00AB178F" w:rsidRPr="00861214" w:rsidRDefault="00AB178F" w:rsidP="00AB178F">
            <w:pPr>
              <w:rPr>
                <w:sz w:val="20"/>
                <w:szCs w:val="20"/>
                <w:lang w:eastAsia="en-GB"/>
              </w:rPr>
            </w:pPr>
            <w:r w:rsidRPr="00861214">
              <w:rPr>
                <w:sz w:val="20"/>
                <w:szCs w:val="20"/>
                <w:lang w:eastAsia="en-GB"/>
              </w:rPr>
              <w:t>Standing Committee delegates’ support</w:t>
            </w:r>
          </w:p>
        </w:tc>
        <w:tc>
          <w:tcPr>
            <w:tcW w:w="1291" w:type="dxa"/>
            <w:tcBorders>
              <w:top w:val="nil"/>
              <w:left w:val="nil"/>
              <w:bottom w:val="single" w:sz="4" w:space="0" w:color="auto"/>
              <w:right w:val="single" w:sz="4" w:space="0" w:color="auto"/>
            </w:tcBorders>
            <w:shd w:val="clear" w:color="auto" w:fill="auto"/>
            <w:noWrap/>
            <w:vAlign w:val="center"/>
            <w:hideMark/>
          </w:tcPr>
          <w:p w14:paraId="753FAF0D" w14:textId="77777777" w:rsidR="00AB178F" w:rsidRPr="00861214" w:rsidRDefault="00AB178F" w:rsidP="00AB178F">
            <w:pPr>
              <w:jc w:val="right"/>
              <w:rPr>
                <w:sz w:val="20"/>
                <w:szCs w:val="20"/>
                <w:lang w:eastAsia="en-GB"/>
              </w:rPr>
            </w:pPr>
            <w:r w:rsidRPr="00861214">
              <w:rPr>
                <w:sz w:val="20"/>
                <w:szCs w:val="20"/>
                <w:lang w:eastAsia="en-GB"/>
              </w:rPr>
              <w:t>45</w:t>
            </w:r>
          </w:p>
        </w:tc>
        <w:tc>
          <w:tcPr>
            <w:tcW w:w="1252" w:type="dxa"/>
            <w:tcBorders>
              <w:top w:val="nil"/>
              <w:left w:val="nil"/>
              <w:bottom w:val="single" w:sz="4" w:space="0" w:color="auto"/>
              <w:right w:val="single" w:sz="4" w:space="0" w:color="auto"/>
            </w:tcBorders>
            <w:shd w:val="clear" w:color="auto" w:fill="auto"/>
            <w:noWrap/>
            <w:vAlign w:val="center"/>
            <w:hideMark/>
          </w:tcPr>
          <w:p w14:paraId="272B7332" w14:textId="77777777" w:rsidR="00AB178F" w:rsidRPr="00861214" w:rsidRDefault="00AB178F" w:rsidP="00AB178F">
            <w:pPr>
              <w:jc w:val="right"/>
              <w:rPr>
                <w:sz w:val="20"/>
                <w:szCs w:val="20"/>
                <w:lang w:eastAsia="en-GB"/>
              </w:rPr>
            </w:pPr>
            <w:r w:rsidRPr="00861214">
              <w:rPr>
                <w:sz w:val="20"/>
                <w:szCs w:val="20"/>
                <w:lang w:eastAsia="en-GB"/>
              </w:rPr>
              <w:t>0</w:t>
            </w:r>
          </w:p>
        </w:tc>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48EF072D" w14:textId="77777777" w:rsidR="00AB178F" w:rsidRPr="00861214" w:rsidRDefault="00AB178F" w:rsidP="00AB178F">
            <w:pPr>
              <w:jc w:val="right"/>
              <w:rPr>
                <w:color w:val="000000"/>
                <w:sz w:val="20"/>
                <w:szCs w:val="20"/>
                <w:lang w:eastAsia="en-GB"/>
              </w:rPr>
            </w:pPr>
            <w:r w:rsidRPr="00861214">
              <w:rPr>
                <w:color w:val="000000"/>
                <w:sz w:val="20"/>
                <w:szCs w:val="20"/>
                <w:lang w:eastAsia="en-GB"/>
              </w:rPr>
              <w:t>0</w:t>
            </w:r>
          </w:p>
        </w:tc>
        <w:tc>
          <w:tcPr>
            <w:tcW w:w="1555" w:type="dxa"/>
            <w:tcBorders>
              <w:top w:val="nil"/>
              <w:left w:val="nil"/>
              <w:bottom w:val="single" w:sz="4" w:space="0" w:color="auto"/>
              <w:right w:val="single" w:sz="4" w:space="0" w:color="auto"/>
            </w:tcBorders>
            <w:shd w:val="clear" w:color="auto" w:fill="auto"/>
            <w:noWrap/>
            <w:vAlign w:val="center"/>
            <w:hideMark/>
          </w:tcPr>
          <w:p w14:paraId="14F3242A" w14:textId="77777777" w:rsidR="00AB178F" w:rsidRPr="00861214" w:rsidRDefault="00AB178F" w:rsidP="00AB178F">
            <w:pPr>
              <w:rPr>
                <w:color w:val="000000"/>
                <w:sz w:val="20"/>
                <w:szCs w:val="20"/>
                <w:lang w:eastAsia="en-GB"/>
              </w:rPr>
            </w:pPr>
            <w:r w:rsidRPr="00861214">
              <w:rPr>
                <w:color w:val="000000"/>
                <w:sz w:val="20"/>
                <w:szCs w:val="20"/>
                <w:lang w:eastAsia="en-GB"/>
              </w:rPr>
              <w:t> </w:t>
            </w:r>
          </w:p>
        </w:tc>
        <w:tc>
          <w:tcPr>
            <w:tcW w:w="1801" w:type="dxa"/>
            <w:tcBorders>
              <w:top w:val="nil"/>
              <w:left w:val="nil"/>
              <w:bottom w:val="single" w:sz="4" w:space="0" w:color="auto"/>
              <w:right w:val="single" w:sz="4" w:space="0" w:color="auto"/>
            </w:tcBorders>
            <w:shd w:val="clear" w:color="auto" w:fill="auto"/>
            <w:noWrap/>
            <w:vAlign w:val="center"/>
            <w:hideMark/>
          </w:tcPr>
          <w:p w14:paraId="4EBF186D" w14:textId="77777777" w:rsidR="00AB178F" w:rsidRPr="00861214" w:rsidRDefault="00AB178F" w:rsidP="00AB178F">
            <w:pPr>
              <w:jc w:val="right"/>
              <w:rPr>
                <w:color w:val="000000"/>
                <w:sz w:val="20"/>
                <w:szCs w:val="20"/>
                <w:lang w:eastAsia="en-GB"/>
              </w:rPr>
            </w:pPr>
            <w:r w:rsidRPr="00861214">
              <w:rPr>
                <w:color w:val="000000"/>
                <w:sz w:val="20"/>
                <w:szCs w:val="20"/>
                <w:lang w:eastAsia="en-GB"/>
              </w:rPr>
              <w:t>45</w:t>
            </w:r>
          </w:p>
        </w:tc>
      </w:tr>
      <w:tr w:rsidR="00AB178F" w:rsidRPr="00861214" w14:paraId="2EF4654C" w14:textId="77777777" w:rsidTr="00AB178F">
        <w:trPr>
          <w:trHeight w:val="270"/>
        </w:trPr>
        <w:tc>
          <w:tcPr>
            <w:tcW w:w="4962" w:type="dxa"/>
            <w:tcBorders>
              <w:top w:val="nil"/>
              <w:left w:val="single" w:sz="4" w:space="0" w:color="auto"/>
              <w:bottom w:val="single" w:sz="4" w:space="0" w:color="auto"/>
              <w:right w:val="single" w:sz="4" w:space="0" w:color="auto"/>
            </w:tcBorders>
            <w:shd w:val="clear" w:color="auto" w:fill="auto"/>
            <w:noWrap/>
            <w:vAlign w:val="center"/>
            <w:hideMark/>
          </w:tcPr>
          <w:p w14:paraId="1DDA7E2D" w14:textId="77777777" w:rsidR="00AB178F" w:rsidRPr="00861214" w:rsidRDefault="00AB178F" w:rsidP="00AB178F">
            <w:pPr>
              <w:rPr>
                <w:sz w:val="20"/>
                <w:szCs w:val="20"/>
                <w:lang w:eastAsia="en-GB"/>
              </w:rPr>
            </w:pPr>
            <w:r w:rsidRPr="00861214">
              <w:rPr>
                <w:sz w:val="20"/>
                <w:szCs w:val="20"/>
                <w:lang w:eastAsia="en-GB"/>
              </w:rPr>
              <w:t>Standing Committee meetings</w:t>
            </w:r>
          </w:p>
        </w:tc>
        <w:tc>
          <w:tcPr>
            <w:tcW w:w="1291" w:type="dxa"/>
            <w:tcBorders>
              <w:top w:val="nil"/>
              <w:left w:val="nil"/>
              <w:bottom w:val="single" w:sz="4" w:space="0" w:color="auto"/>
              <w:right w:val="single" w:sz="4" w:space="0" w:color="auto"/>
            </w:tcBorders>
            <w:shd w:val="clear" w:color="auto" w:fill="auto"/>
            <w:noWrap/>
            <w:vAlign w:val="center"/>
            <w:hideMark/>
          </w:tcPr>
          <w:p w14:paraId="622748AE" w14:textId="77777777" w:rsidR="00AB178F" w:rsidRPr="00861214" w:rsidRDefault="00AB178F" w:rsidP="00AB178F">
            <w:pPr>
              <w:jc w:val="right"/>
              <w:rPr>
                <w:sz w:val="20"/>
                <w:szCs w:val="20"/>
                <w:lang w:eastAsia="en-GB"/>
              </w:rPr>
            </w:pPr>
            <w:r w:rsidRPr="00861214">
              <w:rPr>
                <w:sz w:val="20"/>
                <w:szCs w:val="20"/>
                <w:lang w:eastAsia="en-GB"/>
              </w:rPr>
              <w:t>10</w:t>
            </w:r>
          </w:p>
        </w:tc>
        <w:tc>
          <w:tcPr>
            <w:tcW w:w="1252" w:type="dxa"/>
            <w:tcBorders>
              <w:top w:val="nil"/>
              <w:left w:val="nil"/>
              <w:bottom w:val="single" w:sz="4" w:space="0" w:color="auto"/>
              <w:right w:val="single" w:sz="4" w:space="0" w:color="auto"/>
            </w:tcBorders>
            <w:shd w:val="clear" w:color="auto" w:fill="auto"/>
            <w:noWrap/>
            <w:vAlign w:val="center"/>
            <w:hideMark/>
          </w:tcPr>
          <w:p w14:paraId="181C2E3B" w14:textId="77777777" w:rsidR="00AB178F" w:rsidRPr="00861214" w:rsidRDefault="00AB178F" w:rsidP="00AB178F">
            <w:pPr>
              <w:jc w:val="right"/>
              <w:rPr>
                <w:sz w:val="20"/>
                <w:szCs w:val="20"/>
                <w:lang w:eastAsia="en-GB"/>
              </w:rPr>
            </w:pPr>
            <w:r w:rsidRPr="00861214">
              <w:rPr>
                <w:sz w:val="20"/>
                <w:szCs w:val="20"/>
                <w:lang w:eastAsia="en-GB"/>
              </w:rPr>
              <w:t>0</w:t>
            </w:r>
          </w:p>
        </w:tc>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0C2639F2" w14:textId="77777777" w:rsidR="00AB178F" w:rsidRPr="00861214" w:rsidRDefault="00AB178F" w:rsidP="00AB178F">
            <w:pPr>
              <w:jc w:val="right"/>
              <w:rPr>
                <w:color w:val="000000"/>
                <w:sz w:val="20"/>
                <w:szCs w:val="20"/>
                <w:lang w:eastAsia="en-GB"/>
              </w:rPr>
            </w:pPr>
            <w:r w:rsidRPr="00861214">
              <w:rPr>
                <w:color w:val="000000"/>
                <w:sz w:val="20"/>
                <w:szCs w:val="20"/>
                <w:lang w:eastAsia="en-GB"/>
              </w:rPr>
              <w:t>9</w:t>
            </w:r>
          </w:p>
        </w:tc>
        <w:tc>
          <w:tcPr>
            <w:tcW w:w="1555" w:type="dxa"/>
            <w:tcBorders>
              <w:top w:val="nil"/>
              <w:left w:val="nil"/>
              <w:bottom w:val="single" w:sz="4" w:space="0" w:color="auto"/>
              <w:right w:val="single" w:sz="4" w:space="0" w:color="auto"/>
            </w:tcBorders>
            <w:shd w:val="clear" w:color="auto" w:fill="auto"/>
            <w:noWrap/>
            <w:vAlign w:val="center"/>
            <w:hideMark/>
          </w:tcPr>
          <w:p w14:paraId="3189A858" w14:textId="77777777" w:rsidR="00AB178F" w:rsidRPr="00861214" w:rsidRDefault="00AB178F" w:rsidP="00AB178F">
            <w:pPr>
              <w:rPr>
                <w:color w:val="000000"/>
                <w:sz w:val="20"/>
                <w:szCs w:val="20"/>
                <w:lang w:eastAsia="en-GB"/>
              </w:rPr>
            </w:pPr>
            <w:r w:rsidRPr="00861214">
              <w:rPr>
                <w:color w:val="000000"/>
                <w:sz w:val="20"/>
                <w:szCs w:val="20"/>
                <w:lang w:eastAsia="en-GB"/>
              </w:rPr>
              <w:t> </w:t>
            </w:r>
          </w:p>
        </w:tc>
        <w:tc>
          <w:tcPr>
            <w:tcW w:w="1801" w:type="dxa"/>
            <w:tcBorders>
              <w:top w:val="nil"/>
              <w:left w:val="nil"/>
              <w:bottom w:val="single" w:sz="4" w:space="0" w:color="auto"/>
              <w:right w:val="single" w:sz="4" w:space="0" w:color="auto"/>
            </w:tcBorders>
            <w:shd w:val="clear" w:color="auto" w:fill="auto"/>
            <w:noWrap/>
            <w:vAlign w:val="center"/>
            <w:hideMark/>
          </w:tcPr>
          <w:p w14:paraId="090C10FD" w14:textId="77777777" w:rsidR="00AB178F" w:rsidRPr="00861214" w:rsidRDefault="00AB178F" w:rsidP="00AB178F">
            <w:pPr>
              <w:jc w:val="right"/>
              <w:rPr>
                <w:color w:val="000000"/>
                <w:sz w:val="20"/>
                <w:szCs w:val="20"/>
                <w:lang w:eastAsia="en-GB"/>
              </w:rPr>
            </w:pPr>
            <w:r w:rsidRPr="00861214">
              <w:rPr>
                <w:color w:val="000000"/>
                <w:sz w:val="20"/>
                <w:szCs w:val="20"/>
                <w:lang w:eastAsia="en-GB"/>
              </w:rPr>
              <w:t>19</w:t>
            </w:r>
          </w:p>
        </w:tc>
      </w:tr>
      <w:tr w:rsidR="00AB178F" w:rsidRPr="00861214" w14:paraId="0A429734" w14:textId="77777777" w:rsidTr="00AB178F">
        <w:trPr>
          <w:trHeight w:val="270"/>
        </w:trPr>
        <w:tc>
          <w:tcPr>
            <w:tcW w:w="4962" w:type="dxa"/>
            <w:tcBorders>
              <w:top w:val="nil"/>
              <w:left w:val="single" w:sz="4" w:space="0" w:color="auto"/>
              <w:bottom w:val="single" w:sz="4" w:space="0" w:color="auto"/>
              <w:right w:val="single" w:sz="4" w:space="0" w:color="auto"/>
            </w:tcBorders>
            <w:shd w:val="clear" w:color="auto" w:fill="auto"/>
            <w:noWrap/>
            <w:vAlign w:val="center"/>
            <w:hideMark/>
          </w:tcPr>
          <w:p w14:paraId="70DECE9A" w14:textId="77777777" w:rsidR="00AB178F" w:rsidRPr="00861214" w:rsidRDefault="00AB178F" w:rsidP="00AB178F">
            <w:pPr>
              <w:rPr>
                <w:sz w:val="20"/>
                <w:szCs w:val="20"/>
                <w:lang w:eastAsia="en-GB"/>
              </w:rPr>
            </w:pPr>
            <w:r w:rsidRPr="00861214">
              <w:rPr>
                <w:sz w:val="20"/>
                <w:szCs w:val="20"/>
                <w:lang w:eastAsia="en-GB"/>
              </w:rPr>
              <w:t>SC translation</w:t>
            </w:r>
          </w:p>
        </w:tc>
        <w:tc>
          <w:tcPr>
            <w:tcW w:w="1291" w:type="dxa"/>
            <w:tcBorders>
              <w:top w:val="nil"/>
              <w:left w:val="nil"/>
              <w:bottom w:val="single" w:sz="4" w:space="0" w:color="auto"/>
              <w:right w:val="single" w:sz="4" w:space="0" w:color="auto"/>
            </w:tcBorders>
            <w:shd w:val="clear" w:color="auto" w:fill="auto"/>
            <w:noWrap/>
            <w:vAlign w:val="center"/>
            <w:hideMark/>
          </w:tcPr>
          <w:p w14:paraId="2EA8DA6A" w14:textId="77777777" w:rsidR="00AB178F" w:rsidRPr="00861214" w:rsidRDefault="00AB178F" w:rsidP="00AB178F">
            <w:pPr>
              <w:jc w:val="right"/>
              <w:rPr>
                <w:sz w:val="20"/>
                <w:szCs w:val="20"/>
                <w:lang w:eastAsia="en-GB"/>
              </w:rPr>
            </w:pPr>
            <w:r w:rsidRPr="00861214">
              <w:rPr>
                <w:sz w:val="20"/>
                <w:szCs w:val="20"/>
                <w:lang w:eastAsia="en-GB"/>
              </w:rPr>
              <w:t>60</w:t>
            </w:r>
          </w:p>
        </w:tc>
        <w:tc>
          <w:tcPr>
            <w:tcW w:w="1252" w:type="dxa"/>
            <w:tcBorders>
              <w:top w:val="nil"/>
              <w:left w:val="nil"/>
              <w:bottom w:val="single" w:sz="4" w:space="0" w:color="auto"/>
              <w:right w:val="single" w:sz="4" w:space="0" w:color="auto"/>
            </w:tcBorders>
            <w:shd w:val="clear" w:color="auto" w:fill="auto"/>
            <w:noWrap/>
            <w:vAlign w:val="center"/>
            <w:hideMark/>
          </w:tcPr>
          <w:p w14:paraId="1ECFE0B6" w14:textId="77777777" w:rsidR="00AB178F" w:rsidRPr="00861214" w:rsidRDefault="00AB178F" w:rsidP="00AB178F">
            <w:pPr>
              <w:jc w:val="right"/>
              <w:rPr>
                <w:sz w:val="20"/>
                <w:szCs w:val="20"/>
                <w:lang w:eastAsia="en-GB"/>
              </w:rPr>
            </w:pPr>
            <w:r w:rsidRPr="00861214">
              <w:rPr>
                <w:sz w:val="20"/>
                <w:szCs w:val="20"/>
                <w:lang w:eastAsia="en-GB"/>
              </w:rPr>
              <w:t>0</w:t>
            </w:r>
          </w:p>
        </w:tc>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27EC758B" w14:textId="77777777" w:rsidR="00AB178F" w:rsidRPr="00861214" w:rsidRDefault="00AB178F" w:rsidP="00AB178F">
            <w:pPr>
              <w:jc w:val="right"/>
              <w:rPr>
                <w:color w:val="000000"/>
                <w:sz w:val="20"/>
                <w:szCs w:val="20"/>
                <w:lang w:eastAsia="en-GB"/>
              </w:rPr>
            </w:pPr>
            <w:r w:rsidRPr="00861214">
              <w:rPr>
                <w:color w:val="000000"/>
                <w:sz w:val="20"/>
                <w:szCs w:val="20"/>
                <w:lang w:eastAsia="en-GB"/>
              </w:rPr>
              <w:t>0</w:t>
            </w:r>
          </w:p>
        </w:tc>
        <w:tc>
          <w:tcPr>
            <w:tcW w:w="1555" w:type="dxa"/>
            <w:tcBorders>
              <w:top w:val="nil"/>
              <w:left w:val="nil"/>
              <w:bottom w:val="single" w:sz="4" w:space="0" w:color="auto"/>
              <w:right w:val="single" w:sz="4" w:space="0" w:color="auto"/>
            </w:tcBorders>
            <w:shd w:val="clear" w:color="auto" w:fill="auto"/>
            <w:noWrap/>
            <w:vAlign w:val="center"/>
            <w:hideMark/>
          </w:tcPr>
          <w:p w14:paraId="35661DA7" w14:textId="77777777" w:rsidR="00AB178F" w:rsidRPr="00861214" w:rsidRDefault="00AB178F" w:rsidP="00AB178F">
            <w:pPr>
              <w:rPr>
                <w:color w:val="000000"/>
                <w:sz w:val="20"/>
                <w:szCs w:val="20"/>
                <w:lang w:eastAsia="en-GB"/>
              </w:rPr>
            </w:pPr>
            <w:r w:rsidRPr="00861214">
              <w:rPr>
                <w:color w:val="000000"/>
                <w:sz w:val="20"/>
                <w:szCs w:val="20"/>
                <w:lang w:eastAsia="en-GB"/>
              </w:rPr>
              <w:t> </w:t>
            </w:r>
          </w:p>
        </w:tc>
        <w:tc>
          <w:tcPr>
            <w:tcW w:w="1801" w:type="dxa"/>
            <w:tcBorders>
              <w:top w:val="nil"/>
              <w:left w:val="nil"/>
              <w:bottom w:val="single" w:sz="4" w:space="0" w:color="auto"/>
              <w:right w:val="single" w:sz="4" w:space="0" w:color="auto"/>
            </w:tcBorders>
            <w:shd w:val="clear" w:color="auto" w:fill="auto"/>
            <w:noWrap/>
            <w:vAlign w:val="center"/>
            <w:hideMark/>
          </w:tcPr>
          <w:p w14:paraId="298C6670" w14:textId="77777777" w:rsidR="00AB178F" w:rsidRPr="00861214" w:rsidRDefault="00AB178F" w:rsidP="00AB178F">
            <w:pPr>
              <w:jc w:val="right"/>
              <w:rPr>
                <w:color w:val="000000"/>
                <w:sz w:val="20"/>
                <w:szCs w:val="20"/>
                <w:lang w:eastAsia="en-GB"/>
              </w:rPr>
            </w:pPr>
            <w:r w:rsidRPr="00861214">
              <w:rPr>
                <w:color w:val="000000"/>
                <w:sz w:val="20"/>
                <w:szCs w:val="20"/>
                <w:lang w:eastAsia="en-GB"/>
              </w:rPr>
              <w:t>60</w:t>
            </w:r>
          </w:p>
        </w:tc>
      </w:tr>
      <w:tr w:rsidR="00AB178F" w:rsidRPr="00861214" w14:paraId="0DB0017A" w14:textId="77777777" w:rsidTr="00AB178F">
        <w:trPr>
          <w:trHeight w:val="270"/>
        </w:trPr>
        <w:tc>
          <w:tcPr>
            <w:tcW w:w="4962" w:type="dxa"/>
            <w:tcBorders>
              <w:top w:val="nil"/>
              <w:left w:val="single" w:sz="4" w:space="0" w:color="auto"/>
              <w:bottom w:val="single" w:sz="4" w:space="0" w:color="auto"/>
              <w:right w:val="single" w:sz="4" w:space="0" w:color="auto"/>
            </w:tcBorders>
            <w:shd w:val="clear" w:color="auto" w:fill="auto"/>
            <w:noWrap/>
            <w:vAlign w:val="center"/>
            <w:hideMark/>
          </w:tcPr>
          <w:p w14:paraId="37AF686E" w14:textId="77777777" w:rsidR="00AB178F" w:rsidRPr="00861214" w:rsidRDefault="00AB178F" w:rsidP="00AB178F">
            <w:pPr>
              <w:rPr>
                <w:sz w:val="20"/>
                <w:szCs w:val="20"/>
                <w:lang w:eastAsia="en-GB"/>
              </w:rPr>
            </w:pPr>
            <w:r w:rsidRPr="00861214">
              <w:rPr>
                <w:sz w:val="20"/>
                <w:szCs w:val="20"/>
                <w:lang w:eastAsia="en-GB"/>
              </w:rPr>
              <w:t>Simultaneous interpretation at SC meetings</w:t>
            </w:r>
          </w:p>
        </w:tc>
        <w:tc>
          <w:tcPr>
            <w:tcW w:w="1291" w:type="dxa"/>
            <w:tcBorders>
              <w:top w:val="nil"/>
              <w:left w:val="nil"/>
              <w:bottom w:val="single" w:sz="4" w:space="0" w:color="auto"/>
              <w:right w:val="single" w:sz="4" w:space="0" w:color="auto"/>
            </w:tcBorders>
            <w:shd w:val="clear" w:color="auto" w:fill="auto"/>
            <w:noWrap/>
            <w:vAlign w:val="center"/>
            <w:hideMark/>
          </w:tcPr>
          <w:p w14:paraId="5F4602D3" w14:textId="77777777" w:rsidR="00AB178F" w:rsidRPr="00861214" w:rsidRDefault="00AB178F" w:rsidP="00AB178F">
            <w:pPr>
              <w:jc w:val="right"/>
              <w:rPr>
                <w:sz w:val="20"/>
                <w:szCs w:val="20"/>
                <w:lang w:eastAsia="en-GB"/>
              </w:rPr>
            </w:pPr>
            <w:r w:rsidRPr="00861214">
              <w:rPr>
                <w:sz w:val="20"/>
                <w:szCs w:val="20"/>
                <w:lang w:eastAsia="en-GB"/>
              </w:rPr>
              <w:t>35</w:t>
            </w:r>
          </w:p>
        </w:tc>
        <w:tc>
          <w:tcPr>
            <w:tcW w:w="1252" w:type="dxa"/>
            <w:tcBorders>
              <w:top w:val="nil"/>
              <w:left w:val="nil"/>
              <w:bottom w:val="single" w:sz="4" w:space="0" w:color="auto"/>
              <w:right w:val="single" w:sz="4" w:space="0" w:color="auto"/>
            </w:tcBorders>
            <w:shd w:val="clear" w:color="auto" w:fill="auto"/>
            <w:noWrap/>
            <w:vAlign w:val="center"/>
            <w:hideMark/>
          </w:tcPr>
          <w:p w14:paraId="1BE741B4" w14:textId="77777777" w:rsidR="00AB178F" w:rsidRPr="00861214" w:rsidRDefault="00AB178F" w:rsidP="00AB178F">
            <w:pPr>
              <w:jc w:val="right"/>
              <w:rPr>
                <w:sz w:val="20"/>
                <w:szCs w:val="20"/>
                <w:lang w:eastAsia="en-GB"/>
              </w:rPr>
            </w:pPr>
            <w:r w:rsidRPr="00861214">
              <w:rPr>
                <w:sz w:val="20"/>
                <w:szCs w:val="20"/>
                <w:lang w:eastAsia="en-GB"/>
              </w:rPr>
              <w:t>0</w:t>
            </w:r>
          </w:p>
        </w:tc>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11D06332" w14:textId="77777777" w:rsidR="00AB178F" w:rsidRPr="00861214" w:rsidRDefault="00AB178F" w:rsidP="00AB178F">
            <w:pPr>
              <w:jc w:val="right"/>
              <w:rPr>
                <w:color w:val="000000"/>
                <w:sz w:val="20"/>
                <w:szCs w:val="20"/>
                <w:lang w:eastAsia="en-GB"/>
              </w:rPr>
            </w:pPr>
            <w:r w:rsidRPr="00861214">
              <w:rPr>
                <w:color w:val="000000"/>
                <w:sz w:val="20"/>
                <w:szCs w:val="20"/>
                <w:lang w:eastAsia="en-GB"/>
              </w:rPr>
              <w:t>0</w:t>
            </w:r>
          </w:p>
        </w:tc>
        <w:tc>
          <w:tcPr>
            <w:tcW w:w="1555" w:type="dxa"/>
            <w:tcBorders>
              <w:top w:val="nil"/>
              <w:left w:val="nil"/>
              <w:bottom w:val="single" w:sz="4" w:space="0" w:color="auto"/>
              <w:right w:val="single" w:sz="4" w:space="0" w:color="auto"/>
            </w:tcBorders>
            <w:shd w:val="clear" w:color="auto" w:fill="auto"/>
            <w:noWrap/>
            <w:vAlign w:val="center"/>
            <w:hideMark/>
          </w:tcPr>
          <w:p w14:paraId="027A2F9D" w14:textId="77777777" w:rsidR="00AB178F" w:rsidRPr="00861214" w:rsidRDefault="00AB178F" w:rsidP="00AB178F">
            <w:pPr>
              <w:rPr>
                <w:color w:val="000000"/>
                <w:sz w:val="20"/>
                <w:szCs w:val="20"/>
                <w:lang w:eastAsia="en-GB"/>
              </w:rPr>
            </w:pPr>
            <w:r w:rsidRPr="00861214">
              <w:rPr>
                <w:color w:val="000000"/>
                <w:sz w:val="20"/>
                <w:szCs w:val="20"/>
                <w:lang w:eastAsia="en-GB"/>
              </w:rPr>
              <w:t> </w:t>
            </w:r>
          </w:p>
        </w:tc>
        <w:tc>
          <w:tcPr>
            <w:tcW w:w="1801" w:type="dxa"/>
            <w:tcBorders>
              <w:top w:val="nil"/>
              <w:left w:val="nil"/>
              <w:bottom w:val="single" w:sz="4" w:space="0" w:color="auto"/>
              <w:right w:val="single" w:sz="4" w:space="0" w:color="auto"/>
            </w:tcBorders>
            <w:shd w:val="clear" w:color="auto" w:fill="auto"/>
            <w:noWrap/>
            <w:vAlign w:val="center"/>
            <w:hideMark/>
          </w:tcPr>
          <w:p w14:paraId="2481413A" w14:textId="77777777" w:rsidR="00AB178F" w:rsidRPr="00861214" w:rsidRDefault="00AB178F" w:rsidP="00AB178F">
            <w:pPr>
              <w:jc w:val="right"/>
              <w:rPr>
                <w:color w:val="000000"/>
                <w:sz w:val="20"/>
                <w:szCs w:val="20"/>
                <w:lang w:eastAsia="en-GB"/>
              </w:rPr>
            </w:pPr>
            <w:r w:rsidRPr="00861214">
              <w:rPr>
                <w:color w:val="000000"/>
                <w:sz w:val="20"/>
                <w:szCs w:val="20"/>
                <w:lang w:eastAsia="en-GB"/>
              </w:rPr>
              <w:t>35</w:t>
            </w:r>
          </w:p>
        </w:tc>
      </w:tr>
      <w:tr w:rsidR="00AB178F" w:rsidRPr="00861214" w14:paraId="5145E4CA" w14:textId="77777777" w:rsidTr="00951EDA">
        <w:trPr>
          <w:trHeight w:val="270"/>
        </w:trPr>
        <w:tc>
          <w:tcPr>
            <w:tcW w:w="4962" w:type="dxa"/>
            <w:tcBorders>
              <w:top w:val="nil"/>
              <w:left w:val="single" w:sz="4" w:space="0" w:color="auto"/>
              <w:bottom w:val="single" w:sz="4" w:space="0" w:color="auto"/>
              <w:right w:val="single" w:sz="4" w:space="0" w:color="auto"/>
            </w:tcBorders>
            <w:shd w:val="clear" w:color="auto" w:fill="auto"/>
            <w:noWrap/>
            <w:vAlign w:val="center"/>
            <w:hideMark/>
          </w:tcPr>
          <w:p w14:paraId="343560AA" w14:textId="77777777" w:rsidR="00AB178F" w:rsidRPr="00861214" w:rsidRDefault="00AB178F" w:rsidP="00AB178F">
            <w:pPr>
              <w:rPr>
                <w:sz w:val="20"/>
                <w:szCs w:val="20"/>
                <w:lang w:eastAsia="en-GB"/>
              </w:rPr>
            </w:pPr>
            <w:r w:rsidRPr="00861214">
              <w:rPr>
                <w:sz w:val="20"/>
                <w:szCs w:val="20"/>
                <w:lang w:eastAsia="en-GB"/>
              </w:rPr>
              <w:t>Effectiveness Working Group</w:t>
            </w:r>
          </w:p>
        </w:tc>
        <w:tc>
          <w:tcPr>
            <w:tcW w:w="1291" w:type="dxa"/>
            <w:tcBorders>
              <w:top w:val="nil"/>
              <w:left w:val="nil"/>
              <w:bottom w:val="single" w:sz="4" w:space="0" w:color="auto"/>
              <w:right w:val="single" w:sz="4" w:space="0" w:color="auto"/>
            </w:tcBorders>
            <w:shd w:val="clear" w:color="auto" w:fill="auto"/>
            <w:noWrap/>
            <w:vAlign w:val="center"/>
            <w:hideMark/>
          </w:tcPr>
          <w:p w14:paraId="7ECA2E33" w14:textId="77777777" w:rsidR="00AB178F" w:rsidRPr="00861214" w:rsidRDefault="00AB178F" w:rsidP="00AB178F">
            <w:pPr>
              <w:jc w:val="right"/>
              <w:rPr>
                <w:sz w:val="20"/>
                <w:szCs w:val="20"/>
                <w:lang w:eastAsia="en-GB"/>
              </w:rPr>
            </w:pPr>
            <w:r w:rsidRPr="00861214">
              <w:rPr>
                <w:sz w:val="20"/>
                <w:szCs w:val="20"/>
                <w:lang w:eastAsia="en-GB"/>
              </w:rPr>
              <w:t>0</w:t>
            </w:r>
          </w:p>
        </w:tc>
        <w:tc>
          <w:tcPr>
            <w:tcW w:w="1252" w:type="dxa"/>
            <w:tcBorders>
              <w:top w:val="nil"/>
              <w:left w:val="nil"/>
              <w:bottom w:val="single" w:sz="4" w:space="0" w:color="auto"/>
              <w:right w:val="single" w:sz="4" w:space="0" w:color="auto"/>
            </w:tcBorders>
            <w:shd w:val="clear" w:color="auto" w:fill="auto"/>
            <w:noWrap/>
            <w:vAlign w:val="center"/>
            <w:hideMark/>
          </w:tcPr>
          <w:p w14:paraId="2D5B4F91" w14:textId="77777777" w:rsidR="00AB178F" w:rsidRPr="00861214" w:rsidRDefault="00AB178F" w:rsidP="00AB178F">
            <w:pPr>
              <w:jc w:val="right"/>
              <w:rPr>
                <w:sz w:val="20"/>
                <w:szCs w:val="20"/>
                <w:lang w:eastAsia="en-GB"/>
              </w:rPr>
            </w:pPr>
            <w:r w:rsidRPr="00861214">
              <w:rPr>
                <w:sz w:val="20"/>
                <w:szCs w:val="20"/>
                <w:lang w:eastAsia="en-GB"/>
              </w:rPr>
              <w:t>0</w:t>
            </w:r>
          </w:p>
        </w:tc>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23083D07" w14:textId="77777777" w:rsidR="00AB178F" w:rsidRPr="00861214" w:rsidRDefault="00AB178F" w:rsidP="00AB178F">
            <w:pPr>
              <w:jc w:val="right"/>
              <w:rPr>
                <w:color w:val="000000"/>
                <w:sz w:val="20"/>
                <w:szCs w:val="20"/>
                <w:lang w:eastAsia="en-GB"/>
              </w:rPr>
            </w:pPr>
            <w:r w:rsidRPr="00861214">
              <w:rPr>
                <w:color w:val="000000"/>
                <w:sz w:val="20"/>
                <w:szCs w:val="20"/>
                <w:lang w:eastAsia="en-GB"/>
              </w:rPr>
              <w:t>14</w:t>
            </w:r>
          </w:p>
        </w:tc>
        <w:tc>
          <w:tcPr>
            <w:tcW w:w="1555" w:type="dxa"/>
            <w:tcBorders>
              <w:top w:val="nil"/>
              <w:left w:val="nil"/>
              <w:bottom w:val="single" w:sz="4" w:space="0" w:color="auto"/>
              <w:right w:val="single" w:sz="4" w:space="0" w:color="auto"/>
            </w:tcBorders>
            <w:shd w:val="clear" w:color="auto" w:fill="auto"/>
            <w:noWrap/>
            <w:vAlign w:val="center"/>
            <w:hideMark/>
          </w:tcPr>
          <w:p w14:paraId="0E19F6BC" w14:textId="77777777" w:rsidR="00AB178F" w:rsidRPr="00861214" w:rsidRDefault="00AB178F" w:rsidP="00AB178F">
            <w:pPr>
              <w:rPr>
                <w:color w:val="000000"/>
                <w:sz w:val="20"/>
                <w:szCs w:val="20"/>
                <w:lang w:eastAsia="en-GB"/>
              </w:rPr>
            </w:pPr>
            <w:r w:rsidRPr="00861214">
              <w:rPr>
                <w:color w:val="000000"/>
                <w:sz w:val="20"/>
                <w:szCs w:val="20"/>
                <w:lang w:eastAsia="en-GB"/>
              </w:rPr>
              <w:t> </w:t>
            </w:r>
          </w:p>
        </w:tc>
        <w:tc>
          <w:tcPr>
            <w:tcW w:w="1801" w:type="dxa"/>
            <w:tcBorders>
              <w:top w:val="nil"/>
              <w:left w:val="nil"/>
              <w:bottom w:val="single" w:sz="4" w:space="0" w:color="auto"/>
              <w:right w:val="single" w:sz="4" w:space="0" w:color="auto"/>
            </w:tcBorders>
            <w:shd w:val="clear" w:color="auto" w:fill="auto"/>
            <w:noWrap/>
            <w:vAlign w:val="center"/>
            <w:hideMark/>
          </w:tcPr>
          <w:p w14:paraId="151B3ED3" w14:textId="77777777" w:rsidR="00AB178F" w:rsidRPr="00861214" w:rsidRDefault="00AB178F" w:rsidP="00AB178F">
            <w:pPr>
              <w:jc w:val="right"/>
              <w:rPr>
                <w:color w:val="000000"/>
                <w:sz w:val="20"/>
                <w:szCs w:val="20"/>
                <w:lang w:eastAsia="en-GB"/>
              </w:rPr>
            </w:pPr>
            <w:r w:rsidRPr="00861214">
              <w:rPr>
                <w:color w:val="000000"/>
                <w:sz w:val="20"/>
                <w:szCs w:val="20"/>
                <w:lang w:eastAsia="en-GB"/>
              </w:rPr>
              <w:t>14</w:t>
            </w:r>
          </w:p>
        </w:tc>
      </w:tr>
      <w:tr w:rsidR="00AB178F" w:rsidRPr="00861214" w14:paraId="71D22E36" w14:textId="77777777" w:rsidTr="003563E9">
        <w:trPr>
          <w:trHeight w:val="270"/>
        </w:trPr>
        <w:tc>
          <w:tcPr>
            <w:tcW w:w="4962" w:type="dxa"/>
            <w:tcBorders>
              <w:top w:val="nil"/>
              <w:left w:val="single" w:sz="4" w:space="0" w:color="auto"/>
              <w:bottom w:val="single" w:sz="4" w:space="0" w:color="auto"/>
              <w:right w:val="single" w:sz="4" w:space="0" w:color="auto"/>
            </w:tcBorders>
            <w:shd w:val="clear" w:color="auto" w:fill="auto"/>
            <w:noWrap/>
            <w:vAlign w:val="center"/>
            <w:hideMark/>
          </w:tcPr>
          <w:p w14:paraId="016705CF" w14:textId="77777777" w:rsidR="00AB178F" w:rsidRPr="00861214" w:rsidRDefault="00AB178F" w:rsidP="00AB178F">
            <w:pPr>
              <w:rPr>
                <w:sz w:val="20"/>
                <w:szCs w:val="20"/>
                <w:lang w:eastAsia="en-GB"/>
              </w:rPr>
            </w:pPr>
            <w:r w:rsidRPr="00861214">
              <w:rPr>
                <w:sz w:val="20"/>
                <w:szCs w:val="20"/>
                <w:lang w:eastAsia="en-GB"/>
              </w:rPr>
              <w:t>Resolutions review (Res. XIII.4)</w:t>
            </w:r>
          </w:p>
        </w:tc>
        <w:tc>
          <w:tcPr>
            <w:tcW w:w="1291" w:type="dxa"/>
            <w:tcBorders>
              <w:top w:val="nil"/>
              <w:left w:val="nil"/>
              <w:bottom w:val="single" w:sz="4" w:space="0" w:color="auto"/>
              <w:right w:val="single" w:sz="4" w:space="0" w:color="auto"/>
            </w:tcBorders>
            <w:shd w:val="clear" w:color="auto" w:fill="auto"/>
            <w:noWrap/>
            <w:vAlign w:val="center"/>
            <w:hideMark/>
          </w:tcPr>
          <w:p w14:paraId="6856834E" w14:textId="77777777" w:rsidR="00AB178F" w:rsidRPr="00861214" w:rsidRDefault="00AB178F" w:rsidP="00AB178F">
            <w:pPr>
              <w:jc w:val="right"/>
              <w:rPr>
                <w:sz w:val="20"/>
                <w:szCs w:val="20"/>
                <w:lang w:eastAsia="en-GB"/>
              </w:rPr>
            </w:pPr>
            <w:r w:rsidRPr="00861214">
              <w:rPr>
                <w:sz w:val="20"/>
                <w:szCs w:val="20"/>
                <w:lang w:eastAsia="en-GB"/>
              </w:rPr>
              <w:t>0</w:t>
            </w:r>
          </w:p>
        </w:tc>
        <w:tc>
          <w:tcPr>
            <w:tcW w:w="1252" w:type="dxa"/>
            <w:tcBorders>
              <w:top w:val="nil"/>
              <w:left w:val="nil"/>
              <w:bottom w:val="single" w:sz="4" w:space="0" w:color="auto"/>
              <w:right w:val="single" w:sz="4" w:space="0" w:color="auto"/>
            </w:tcBorders>
            <w:shd w:val="clear" w:color="auto" w:fill="auto"/>
            <w:noWrap/>
            <w:vAlign w:val="center"/>
            <w:hideMark/>
          </w:tcPr>
          <w:p w14:paraId="59F82E83" w14:textId="77777777" w:rsidR="00AB178F" w:rsidRPr="00861214" w:rsidRDefault="00AB178F" w:rsidP="00AB178F">
            <w:pPr>
              <w:jc w:val="right"/>
              <w:rPr>
                <w:sz w:val="20"/>
                <w:szCs w:val="20"/>
                <w:lang w:eastAsia="en-GB"/>
              </w:rPr>
            </w:pPr>
            <w:r w:rsidRPr="00861214">
              <w:rPr>
                <w:sz w:val="20"/>
                <w:szCs w:val="20"/>
                <w:lang w:eastAsia="en-GB"/>
              </w:rPr>
              <w:t>0</w:t>
            </w:r>
          </w:p>
        </w:tc>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211D4177" w14:textId="77777777" w:rsidR="00AB178F" w:rsidRPr="00861214" w:rsidRDefault="00AB178F" w:rsidP="00AB178F">
            <w:pPr>
              <w:jc w:val="right"/>
              <w:rPr>
                <w:sz w:val="20"/>
                <w:szCs w:val="20"/>
                <w:lang w:eastAsia="en-GB"/>
              </w:rPr>
            </w:pPr>
            <w:r w:rsidRPr="00861214">
              <w:rPr>
                <w:sz w:val="20"/>
                <w:szCs w:val="20"/>
                <w:lang w:eastAsia="en-GB"/>
              </w:rPr>
              <w:t>2</w:t>
            </w:r>
          </w:p>
        </w:tc>
        <w:tc>
          <w:tcPr>
            <w:tcW w:w="1555" w:type="dxa"/>
            <w:tcBorders>
              <w:top w:val="single" w:sz="4" w:space="0" w:color="auto"/>
              <w:left w:val="nil"/>
              <w:bottom w:val="single" w:sz="4" w:space="0" w:color="auto"/>
              <w:right w:val="single" w:sz="4" w:space="0" w:color="auto"/>
            </w:tcBorders>
            <w:shd w:val="clear" w:color="auto" w:fill="auto"/>
            <w:noWrap/>
            <w:vAlign w:val="center"/>
            <w:hideMark/>
          </w:tcPr>
          <w:p w14:paraId="7A653EF4" w14:textId="77777777" w:rsidR="00AB178F" w:rsidRPr="003563E9" w:rsidRDefault="00AB178F" w:rsidP="00AB178F">
            <w:pPr>
              <w:jc w:val="right"/>
              <w:rPr>
                <w:color w:val="0070C0"/>
                <w:sz w:val="20"/>
                <w:szCs w:val="20"/>
                <w:lang w:eastAsia="en-GB"/>
              </w:rPr>
            </w:pPr>
            <w:r w:rsidRPr="003563E9">
              <w:rPr>
                <w:color w:val="FF0000"/>
                <w:sz w:val="20"/>
                <w:szCs w:val="20"/>
                <w:lang w:eastAsia="en-GB"/>
              </w:rPr>
              <w:t>10***</w:t>
            </w:r>
          </w:p>
        </w:tc>
        <w:tc>
          <w:tcPr>
            <w:tcW w:w="1801" w:type="dxa"/>
            <w:tcBorders>
              <w:top w:val="single" w:sz="4" w:space="0" w:color="auto"/>
              <w:left w:val="nil"/>
              <w:bottom w:val="single" w:sz="4" w:space="0" w:color="auto"/>
              <w:right w:val="single" w:sz="4" w:space="0" w:color="auto"/>
            </w:tcBorders>
            <w:shd w:val="clear" w:color="auto" w:fill="auto"/>
            <w:noWrap/>
            <w:vAlign w:val="center"/>
            <w:hideMark/>
          </w:tcPr>
          <w:p w14:paraId="192D16D8" w14:textId="77777777" w:rsidR="00AB178F" w:rsidRPr="003563E9" w:rsidRDefault="00AB178F" w:rsidP="00AB178F">
            <w:pPr>
              <w:jc w:val="right"/>
              <w:rPr>
                <w:color w:val="000000"/>
                <w:sz w:val="20"/>
                <w:szCs w:val="20"/>
                <w:lang w:eastAsia="en-GB"/>
              </w:rPr>
            </w:pPr>
            <w:r w:rsidRPr="001037CE">
              <w:rPr>
                <w:sz w:val="20"/>
                <w:szCs w:val="20"/>
                <w:lang w:eastAsia="en-GB"/>
              </w:rPr>
              <w:t>12</w:t>
            </w:r>
          </w:p>
        </w:tc>
      </w:tr>
      <w:tr w:rsidR="00AB178F" w:rsidRPr="00861214" w14:paraId="4A393569" w14:textId="77777777" w:rsidTr="001037CE">
        <w:trPr>
          <w:trHeight w:val="255"/>
        </w:trPr>
        <w:tc>
          <w:tcPr>
            <w:tcW w:w="4962" w:type="dxa"/>
            <w:tcBorders>
              <w:top w:val="nil"/>
              <w:left w:val="single" w:sz="4" w:space="0" w:color="auto"/>
              <w:bottom w:val="single" w:sz="4" w:space="0" w:color="auto"/>
              <w:right w:val="single" w:sz="4" w:space="0" w:color="auto"/>
            </w:tcBorders>
            <w:shd w:val="clear" w:color="auto" w:fill="E2EFD9" w:themeFill="accent6" w:themeFillTint="33"/>
            <w:vAlign w:val="center"/>
            <w:hideMark/>
          </w:tcPr>
          <w:p w14:paraId="2743D457" w14:textId="77777777" w:rsidR="00AB178F" w:rsidRPr="00861214" w:rsidRDefault="00AB178F" w:rsidP="00AB178F">
            <w:pPr>
              <w:rPr>
                <w:sz w:val="20"/>
                <w:szCs w:val="20"/>
                <w:lang w:eastAsia="en-GB"/>
              </w:rPr>
            </w:pPr>
            <w:r w:rsidRPr="00861214">
              <w:rPr>
                <w:sz w:val="20"/>
                <w:szCs w:val="20"/>
                <w:lang w:eastAsia="en-GB"/>
              </w:rPr>
              <w:t>J.  IUCN Administrative Service Charges (max.)</w:t>
            </w:r>
          </w:p>
        </w:tc>
        <w:tc>
          <w:tcPr>
            <w:tcW w:w="1291" w:type="dxa"/>
            <w:tcBorders>
              <w:top w:val="nil"/>
              <w:left w:val="nil"/>
              <w:bottom w:val="single" w:sz="4" w:space="0" w:color="auto"/>
              <w:right w:val="single" w:sz="4" w:space="0" w:color="auto"/>
            </w:tcBorders>
            <w:shd w:val="clear" w:color="auto" w:fill="E2EFD9" w:themeFill="accent6" w:themeFillTint="33"/>
            <w:noWrap/>
            <w:vAlign w:val="center"/>
            <w:hideMark/>
          </w:tcPr>
          <w:p w14:paraId="7035D7DB" w14:textId="77777777" w:rsidR="00AB178F" w:rsidRPr="00861214" w:rsidRDefault="00AB178F" w:rsidP="00AB178F">
            <w:pPr>
              <w:jc w:val="right"/>
              <w:rPr>
                <w:b/>
                <w:bCs/>
                <w:sz w:val="20"/>
                <w:szCs w:val="20"/>
                <w:lang w:eastAsia="en-GB"/>
              </w:rPr>
            </w:pPr>
            <w:r w:rsidRPr="00861214">
              <w:rPr>
                <w:b/>
                <w:bCs/>
                <w:sz w:val="20"/>
                <w:szCs w:val="20"/>
                <w:lang w:eastAsia="en-GB"/>
              </w:rPr>
              <w:t>541</w:t>
            </w:r>
          </w:p>
        </w:tc>
        <w:tc>
          <w:tcPr>
            <w:tcW w:w="1252" w:type="dxa"/>
            <w:tcBorders>
              <w:top w:val="nil"/>
              <w:left w:val="nil"/>
              <w:bottom w:val="single" w:sz="4" w:space="0" w:color="auto"/>
              <w:right w:val="single" w:sz="4" w:space="0" w:color="auto"/>
            </w:tcBorders>
            <w:shd w:val="clear" w:color="auto" w:fill="E2EFD9" w:themeFill="accent6" w:themeFillTint="33"/>
            <w:noWrap/>
            <w:vAlign w:val="center"/>
            <w:hideMark/>
          </w:tcPr>
          <w:p w14:paraId="5CA6ECFC" w14:textId="77777777" w:rsidR="00AB178F" w:rsidRPr="00861214" w:rsidRDefault="00AB178F" w:rsidP="00AB178F">
            <w:pPr>
              <w:jc w:val="right"/>
              <w:rPr>
                <w:b/>
                <w:bCs/>
                <w:sz w:val="20"/>
                <w:szCs w:val="20"/>
                <w:lang w:eastAsia="en-GB"/>
              </w:rPr>
            </w:pPr>
            <w:r w:rsidRPr="00861214">
              <w:rPr>
                <w:b/>
                <w:bCs/>
                <w:sz w:val="20"/>
                <w:szCs w:val="20"/>
                <w:lang w:eastAsia="en-GB"/>
              </w:rPr>
              <w:t>0</w:t>
            </w:r>
          </w:p>
        </w:tc>
        <w:tc>
          <w:tcPr>
            <w:tcW w:w="1271" w:type="dxa"/>
            <w:tcBorders>
              <w:top w:val="nil"/>
              <w:left w:val="single" w:sz="4" w:space="0" w:color="auto"/>
              <w:bottom w:val="single" w:sz="4" w:space="0" w:color="auto"/>
              <w:right w:val="single" w:sz="4" w:space="0" w:color="auto"/>
            </w:tcBorders>
            <w:shd w:val="clear" w:color="auto" w:fill="E2EFD9" w:themeFill="accent6" w:themeFillTint="33"/>
            <w:noWrap/>
            <w:vAlign w:val="center"/>
            <w:hideMark/>
          </w:tcPr>
          <w:p w14:paraId="0ADE6647" w14:textId="77777777" w:rsidR="00AB178F" w:rsidRPr="00861214" w:rsidRDefault="00AB178F" w:rsidP="00AB178F">
            <w:pPr>
              <w:jc w:val="right"/>
              <w:rPr>
                <w:b/>
                <w:bCs/>
                <w:color w:val="000000"/>
                <w:sz w:val="20"/>
                <w:szCs w:val="20"/>
                <w:lang w:eastAsia="en-GB"/>
              </w:rPr>
            </w:pPr>
            <w:r w:rsidRPr="00861214">
              <w:rPr>
                <w:b/>
                <w:bCs/>
                <w:color w:val="000000"/>
                <w:sz w:val="20"/>
                <w:szCs w:val="20"/>
                <w:lang w:eastAsia="en-GB"/>
              </w:rPr>
              <w:t>0</w:t>
            </w:r>
          </w:p>
        </w:tc>
        <w:tc>
          <w:tcPr>
            <w:tcW w:w="1555" w:type="dxa"/>
            <w:tcBorders>
              <w:top w:val="nil"/>
              <w:left w:val="nil"/>
              <w:bottom w:val="single" w:sz="4" w:space="0" w:color="auto"/>
              <w:right w:val="single" w:sz="4" w:space="0" w:color="auto"/>
            </w:tcBorders>
            <w:shd w:val="clear" w:color="auto" w:fill="E2EFD9" w:themeFill="accent6" w:themeFillTint="33"/>
            <w:noWrap/>
            <w:vAlign w:val="center"/>
            <w:hideMark/>
          </w:tcPr>
          <w:p w14:paraId="11066665" w14:textId="77777777" w:rsidR="00AB178F" w:rsidRPr="00861214" w:rsidRDefault="00AB178F" w:rsidP="00AB178F">
            <w:pPr>
              <w:jc w:val="right"/>
              <w:rPr>
                <w:b/>
                <w:bCs/>
                <w:color w:val="000000"/>
                <w:sz w:val="20"/>
                <w:szCs w:val="20"/>
                <w:lang w:eastAsia="en-GB"/>
              </w:rPr>
            </w:pPr>
            <w:r w:rsidRPr="00861214">
              <w:rPr>
                <w:b/>
                <w:bCs/>
                <w:color w:val="000000"/>
                <w:sz w:val="20"/>
                <w:szCs w:val="20"/>
                <w:lang w:eastAsia="en-GB"/>
              </w:rPr>
              <w:t>0</w:t>
            </w:r>
          </w:p>
        </w:tc>
        <w:tc>
          <w:tcPr>
            <w:tcW w:w="1801" w:type="dxa"/>
            <w:tcBorders>
              <w:top w:val="nil"/>
              <w:left w:val="nil"/>
              <w:bottom w:val="single" w:sz="4" w:space="0" w:color="auto"/>
              <w:right w:val="single" w:sz="4" w:space="0" w:color="auto"/>
            </w:tcBorders>
            <w:shd w:val="clear" w:color="auto" w:fill="E2EFD9" w:themeFill="accent6" w:themeFillTint="33"/>
            <w:noWrap/>
            <w:vAlign w:val="center"/>
            <w:hideMark/>
          </w:tcPr>
          <w:p w14:paraId="3D92F7CD" w14:textId="77777777" w:rsidR="00AB178F" w:rsidRPr="00861214" w:rsidRDefault="00AB178F" w:rsidP="00AB178F">
            <w:pPr>
              <w:jc w:val="right"/>
              <w:rPr>
                <w:b/>
                <w:bCs/>
                <w:color w:val="000000"/>
                <w:sz w:val="20"/>
                <w:szCs w:val="20"/>
                <w:lang w:eastAsia="en-GB"/>
              </w:rPr>
            </w:pPr>
            <w:r w:rsidRPr="00861214">
              <w:rPr>
                <w:b/>
                <w:bCs/>
                <w:color w:val="000000"/>
                <w:sz w:val="20"/>
                <w:szCs w:val="20"/>
                <w:lang w:eastAsia="en-GB"/>
              </w:rPr>
              <w:t>541</w:t>
            </w:r>
          </w:p>
        </w:tc>
      </w:tr>
      <w:tr w:rsidR="00AB178F" w:rsidRPr="00861214" w14:paraId="0EF6BA80" w14:textId="77777777" w:rsidTr="00AB178F">
        <w:trPr>
          <w:trHeight w:val="270"/>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C2D0FE" w14:textId="77777777" w:rsidR="00AB178F" w:rsidRPr="00861214" w:rsidRDefault="00AB178F" w:rsidP="00AB178F">
            <w:pPr>
              <w:rPr>
                <w:sz w:val="20"/>
                <w:szCs w:val="20"/>
                <w:lang w:eastAsia="en-GB"/>
              </w:rPr>
            </w:pPr>
            <w:r w:rsidRPr="00861214">
              <w:rPr>
                <w:sz w:val="20"/>
                <w:szCs w:val="20"/>
                <w:lang w:eastAsia="en-GB"/>
              </w:rPr>
              <w:t>Administration, Human Resources, Finance &amp; IT services</w:t>
            </w:r>
          </w:p>
        </w:tc>
        <w:tc>
          <w:tcPr>
            <w:tcW w:w="1291" w:type="dxa"/>
            <w:tcBorders>
              <w:top w:val="single" w:sz="4" w:space="0" w:color="auto"/>
              <w:left w:val="nil"/>
              <w:bottom w:val="single" w:sz="4" w:space="0" w:color="auto"/>
              <w:right w:val="single" w:sz="4" w:space="0" w:color="auto"/>
            </w:tcBorders>
            <w:shd w:val="clear" w:color="auto" w:fill="auto"/>
            <w:noWrap/>
            <w:vAlign w:val="center"/>
            <w:hideMark/>
          </w:tcPr>
          <w:p w14:paraId="3FD85D91" w14:textId="77777777" w:rsidR="00AB178F" w:rsidRPr="00861214" w:rsidRDefault="00AB178F" w:rsidP="00AB178F">
            <w:pPr>
              <w:jc w:val="right"/>
              <w:rPr>
                <w:sz w:val="20"/>
                <w:szCs w:val="20"/>
                <w:lang w:eastAsia="en-GB"/>
              </w:rPr>
            </w:pPr>
            <w:r w:rsidRPr="00861214">
              <w:rPr>
                <w:sz w:val="20"/>
                <w:szCs w:val="20"/>
                <w:lang w:eastAsia="en-GB"/>
              </w:rPr>
              <w:t>541</w:t>
            </w:r>
          </w:p>
        </w:tc>
        <w:tc>
          <w:tcPr>
            <w:tcW w:w="1252" w:type="dxa"/>
            <w:tcBorders>
              <w:top w:val="single" w:sz="4" w:space="0" w:color="auto"/>
              <w:left w:val="nil"/>
              <w:bottom w:val="single" w:sz="4" w:space="0" w:color="auto"/>
              <w:right w:val="single" w:sz="4" w:space="0" w:color="auto"/>
            </w:tcBorders>
            <w:shd w:val="clear" w:color="auto" w:fill="auto"/>
            <w:noWrap/>
            <w:vAlign w:val="center"/>
            <w:hideMark/>
          </w:tcPr>
          <w:p w14:paraId="6A8A4D7A" w14:textId="77777777" w:rsidR="00AB178F" w:rsidRPr="00861214" w:rsidRDefault="00AB178F" w:rsidP="00AB178F">
            <w:pPr>
              <w:jc w:val="right"/>
              <w:rPr>
                <w:sz w:val="20"/>
                <w:szCs w:val="20"/>
                <w:lang w:eastAsia="en-GB"/>
              </w:rPr>
            </w:pPr>
            <w:r w:rsidRPr="00861214">
              <w:rPr>
                <w:sz w:val="20"/>
                <w:szCs w:val="20"/>
                <w:lang w:eastAsia="en-GB"/>
              </w:rPr>
              <w:t>0</w:t>
            </w:r>
          </w:p>
        </w:tc>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CB3E4D" w14:textId="77777777" w:rsidR="00AB178F" w:rsidRPr="00861214" w:rsidRDefault="00AB178F" w:rsidP="00AB178F">
            <w:pPr>
              <w:jc w:val="right"/>
              <w:rPr>
                <w:color w:val="000000"/>
                <w:sz w:val="20"/>
                <w:szCs w:val="20"/>
                <w:lang w:eastAsia="en-GB"/>
              </w:rPr>
            </w:pPr>
            <w:r w:rsidRPr="00861214">
              <w:rPr>
                <w:color w:val="000000"/>
                <w:sz w:val="20"/>
                <w:szCs w:val="20"/>
                <w:lang w:eastAsia="en-GB"/>
              </w:rPr>
              <w:t>0</w:t>
            </w:r>
          </w:p>
        </w:tc>
        <w:tc>
          <w:tcPr>
            <w:tcW w:w="1555" w:type="dxa"/>
            <w:tcBorders>
              <w:top w:val="single" w:sz="4" w:space="0" w:color="auto"/>
              <w:left w:val="nil"/>
              <w:bottom w:val="single" w:sz="4" w:space="0" w:color="auto"/>
              <w:right w:val="single" w:sz="4" w:space="0" w:color="auto"/>
            </w:tcBorders>
            <w:shd w:val="clear" w:color="auto" w:fill="auto"/>
            <w:noWrap/>
            <w:vAlign w:val="center"/>
            <w:hideMark/>
          </w:tcPr>
          <w:p w14:paraId="4E21E8E9" w14:textId="77777777" w:rsidR="00AB178F" w:rsidRPr="00861214" w:rsidRDefault="00AB178F" w:rsidP="00AB178F">
            <w:pPr>
              <w:rPr>
                <w:color w:val="000000"/>
                <w:sz w:val="20"/>
                <w:szCs w:val="20"/>
                <w:lang w:eastAsia="en-GB"/>
              </w:rPr>
            </w:pPr>
            <w:r w:rsidRPr="00861214">
              <w:rPr>
                <w:color w:val="000000"/>
                <w:sz w:val="20"/>
                <w:szCs w:val="20"/>
                <w:lang w:eastAsia="en-GB"/>
              </w:rPr>
              <w:t> </w:t>
            </w:r>
          </w:p>
        </w:tc>
        <w:tc>
          <w:tcPr>
            <w:tcW w:w="1801" w:type="dxa"/>
            <w:tcBorders>
              <w:top w:val="single" w:sz="4" w:space="0" w:color="auto"/>
              <w:left w:val="nil"/>
              <w:bottom w:val="single" w:sz="4" w:space="0" w:color="auto"/>
              <w:right w:val="single" w:sz="4" w:space="0" w:color="auto"/>
            </w:tcBorders>
            <w:shd w:val="clear" w:color="auto" w:fill="auto"/>
            <w:noWrap/>
            <w:vAlign w:val="center"/>
            <w:hideMark/>
          </w:tcPr>
          <w:p w14:paraId="05F123CA" w14:textId="77777777" w:rsidR="00AB178F" w:rsidRPr="00861214" w:rsidRDefault="00AB178F" w:rsidP="00AB178F">
            <w:pPr>
              <w:jc w:val="right"/>
              <w:rPr>
                <w:color w:val="000000"/>
                <w:sz w:val="20"/>
                <w:szCs w:val="20"/>
                <w:lang w:eastAsia="en-GB"/>
              </w:rPr>
            </w:pPr>
            <w:r w:rsidRPr="00861214">
              <w:rPr>
                <w:color w:val="000000"/>
                <w:sz w:val="20"/>
                <w:szCs w:val="20"/>
                <w:lang w:eastAsia="en-GB"/>
              </w:rPr>
              <w:t>541</w:t>
            </w:r>
          </w:p>
        </w:tc>
      </w:tr>
      <w:tr w:rsidR="00AB178F" w:rsidRPr="00861214" w14:paraId="6F69D36C" w14:textId="77777777" w:rsidTr="001037CE">
        <w:trPr>
          <w:trHeight w:val="270"/>
        </w:trPr>
        <w:tc>
          <w:tcPr>
            <w:tcW w:w="4962"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center"/>
            <w:hideMark/>
          </w:tcPr>
          <w:p w14:paraId="2A5D8A3B" w14:textId="77777777" w:rsidR="00AB178F" w:rsidRPr="00861214" w:rsidRDefault="00AB178F" w:rsidP="00AB178F">
            <w:pPr>
              <w:rPr>
                <w:sz w:val="20"/>
                <w:szCs w:val="20"/>
                <w:lang w:eastAsia="en-GB"/>
              </w:rPr>
            </w:pPr>
            <w:r w:rsidRPr="00861214">
              <w:rPr>
                <w:sz w:val="20"/>
                <w:szCs w:val="20"/>
                <w:lang w:eastAsia="en-GB"/>
              </w:rPr>
              <w:t>K.  Miscellaneous - Reserve Fund</w:t>
            </w:r>
          </w:p>
        </w:tc>
        <w:tc>
          <w:tcPr>
            <w:tcW w:w="1291" w:type="dxa"/>
            <w:tcBorders>
              <w:top w:val="single" w:sz="4" w:space="0" w:color="auto"/>
              <w:left w:val="nil"/>
              <w:bottom w:val="single" w:sz="4" w:space="0" w:color="auto"/>
              <w:right w:val="single" w:sz="4" w:space="0" w:color="auto"/>
            </w:tcBorders>
            <w:shd w:val="clear" w:color="auto" w:fill="E2EFD9" w:themeFill="accent6" w:themeFillTint="33"/>
            <w:noWrap/>
            <w:vAlign w:val="center"/>
            <w:hideMark/>
          </w:tcPr>
          <w:p w14:paraId="618CC915" w14:textId="77777777" w:rsidR="00AB178F" w:rsidRPr="00861214" w:rsidRDefault="00AB178F" w:rsidP="00AB178F">
            <w:pPr>
              <w:jc w:val="right"/>
              <w:rPr>
                <w:b/>
                <w:bCs/>
                <w:sz w:val="20"/>
                <w:szCs w:val="20"/>
                <w:lang w:eastAsia="en-GB"/>
              </w:rPr>
            </w:pPr>
            <w:r w:rsidRPr="00861214">
              <w:rPr>
                <w:b/>
                <w:bCs/>
                <w:sz w:val="20"/>
                <w:szCs w:val="20"/>
                <w:lang w:eastAsia="en-GB"/>
              </w:rPr>
              <w:t>109</w:t>
            </w:r>
          </w:p>
        </w:tc>
        <w:tc>
          <w:tcPr>
            <w:tcW w:w="1252" w:type="dxa"/>
            <w:tcBorders>
              <w:top w:val="single" w:sz="4" w:space="0" w:color="auto"/>
              <w:left w:val="nil"/>
              <w:bottom w:val="single" w:sz="4" w:space="0" w:color="auto"/>
              <w:right w:val="single" w:sz="4" w:space="0" w:color="auto"/>
            </w:tcBorders>
            <w:shd w:val="clear" w:color="auto" w:fill="E2EFD9" w:themeFill="accent6" w:themeFillTint="33"/>
            <w:noWrap/>
            <w:vAlign w:val="center"/>
            <w:hideMark/>
          </w:tcPr>
          <w:p w14:paraId="710B07B0" w14:textId="77777777" w:rsidR="00AB178F" w:rsidRPr="00861214" w:rsidRDefault="00AB178F" w:rsidP="00AB178F">
            <w:pPr>
              <w:jc w:val="right"/>
              <w:rPr>
                <w:b/>
                <w:bCs/>
                <w:sz w:val="20"/>
                <w:szCs w:val="20"/>
                <w:lang w:eastAsia="en-GB"/>
              </w:rPr>
            </w:pPr>
            <w:r w:rsidRPr="00861214">
              <w:rPr>
                <w:b/>
                <w:bCs/>
                <w:sz w:val="20"/>
                <w:szCs w:val="20"/>
                <w:lang w:eastAsia="en-GB"/>
              </w:rPr>
              <w:t>120</w:t>
            </w:r>
          </w:p>
        </w:tc>
        <w:tc>
          <w:tcPr>
            <w:tcW w:w="1271"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center"/>
            <w:hideMark/>
          </w:tcPr>
          <w:p w14:paraId="4F32DBB4" w14:textId="77777777" w:rsidR="00AB178F" w:rsidRPr="00861214" w:rsidRDefault="00AB178F" w:rsidP="00AB178F">
            <w:pPr>
              <w:jc w:val="right"/>
              <w:rPr>
                <w:b/>
                <w:bCs/>
                <w:color w:val="000000"/>
                <w:sz w:val="20"/>
                <w:szCs w:val="20"/>
                <w:lang w:eastAsia="en-GB"/>
              </w:rPr>
            </w:pPr>
            <w:r w:rsidRPr="00861214">
              <w:rPr>
                <w:b/>
                <w:bCs/>
                <w:color w:val="000000"/>
                <w:sz w:val="20"/>
                <w:szCs w:val="20"/>
                <w:lang w:eastAsia="en-GB"/>
              </w:rPr>
              <w:t>62</w:t>
            </w:r>
          </w:p>
        </w:tc>
        <w:tc>
          <w:tcPr>
            <w:tcW w:w="1555" w:type="dxa"/>
            <w:tcBorders>
              <w:top w:val="single" w:sz="4" w:space="0" w:color="auto"/>
              <w:left w:val="nil"/>
              <w:bottom w:val="single" w:sz="4" w:space="0" w:color="auto"/>
              <w:right w:val="single" w:sz="4" w:space="0" w:color="auto"/>
            </w:tcBorders>
            <w:shd w:val="clear" w:color="auto" w:fill="E2EFD9" w:themeFill="accent6" w:themeFillTint="33"/>
            <w:noWrap/>
            <w:vAlign w:val="center"/>
            <w:hideMark/>
          </w:tcPr>
          <w:p w14:paraId="6D237077" w14:textId="77777777" w:rsidR="00AB178F" w:rsidRPr="003563E9" w:rsidRDefault="00AB178F" w:rsidP="00AB178F">
            <w:pPr>
              <w:jc w:val="right"/>
              <w:rPr>
                <w:b/>
                <w:bCs/>
                <w:sz w:val="20"/>
                <w:szCs w:val="20"/>
                <w:lang w:eastAsia="en-GB"/>
              </w:rPr>
            </w:pPr>
            <w:r w:rsidRPr="003563E9">
              <w:rPr>
                <w:b/>
                <w:bCs/>
                <w:sz w:val="20"/>
                <w:szCs w:val="20"/>
                <w:lang w:eastAsia="en-GB"/>
              </w:rPr>
              <w:t>0</w:t>
            </w:r>
          </w:p>
        </w:tc>
        <w:tc>
          <w:tcPr>
            <w:tcW w:w="1801" w:type="dxa"/>
            <w:tcBorders>
              <w:top w:val="single" w:sz="4" w:space="0" w:color="auto"/>
              <w:left w:val="nil"/>
              <w:bottom w:val="single" w:sz="4" w:space="0" w:color="auto"/>
              <w:right w:val="single" w:sz="4" w:space="0" w:color="auto"/>
            </w:tcBorders>
            <w:shd w:val="clear" w:color="auto" w:fill="E2EFD9" w:themeFill="accent6" w:themeFillTint="33"/>
            <w:noWrap/>
            <w:vAlign w:val="center"/>
            <w:hideMark/>
          </w:tcPr>
          <w:p w14:paraId="039E6A8A" w14:textId="77777777" w:rsidR="00AB178F" w:rsidRPr="003563E9" w:rsidRDefault="00AB178F" w:rsidP="00AB178F">
            <w:pPr>
              <w:jc w:val="right"/>
              <w:rPr>
                <w:b/>
                <w:bCs/>
                <w:sz w:val="20"/>
                <w:szCs w:val="20"/>
                <w:lang w:eastAsia="en-GB"/>
              </w:rPr>
            </w:pPr>
            <w:r w:rsidRPr="003563E9">
              <w:rPr>
                <w:b/>
                <w:bCs/>
                <w:sz w:val="20"/>
                <w:szCs w:val="20"/>
                <w:lang w:eastAsia="en-GB"/>
              </w:rPr>
              <w:t>291</w:t>
            </w:r>
          </w:p>
        </w:tc>
      </w:tr>
      <w:tr w:rsidR="00AB178F" w:rsidRPr="00861214" w14:paraId="306F9BA0" w14:textId="77777777" w:rsidTr="00AB178F">
        <w:trPr>
          <w:trHeight w:val="270"/>
        </w:trPr>
        <w:tc>
          <w:tcPr>
            <w:tcW w:w="4962" w:type="dxa"/>
            <w:tcBorders>
              <w:top w:val="nil"/>
              <w:left w:val="single" w:sz="4" w:space="0" w:color="auto"/>
              <w:bottom w:val="single" w:sz="4" w:space="0" w:color="auto"/>
              <w:right w:val="single" w:sz="4" w:space="0" w:color="auto"/>
            </w:tcBorders>
            <w:shd w:val="clear" w:color="auto" w:fill="auto"/>
            <w:noWrap/>
            <w:vAlign w:val="center"/>
            <w:hideMark/>
          </w:tcPr>
          <w:p w14:paraId="49E0C547" w14:textId="77777777" w:rsidR="00AB178F" w:rsidRPr="00861214" w:rsidRDefault="00AB178F" w:rsidP="00AB178F">
            <w:pPr>
              <w:rPr>
                <w:sz w:val="20"/>
                <w:szCs w:val="20"/>
                <w:lang w:eastAsia="en-GB"/>
              </w:rPr>
            </w:pPr>
            <w:r w:rsidRPr="00861214">
              <w:rPr>
                <w:sz w:val="20"/>
                <w:szCs w:val="20"/>
                <w:lang w:eastAsia="en-GB"/>
              </w:rPr>
              <w:t>Staff Provisions</w:t>
            </w:r>
          </w:p>
        </w:tc>
        <w:tc>
          <w:tcPr>
            <w:tcW w:w="1291" w:type="dxa"/>
            <w:tcBorders>
              <w:top w:val="nil"/>
              <w:left w:val="nil"/>
              <w:bottom w:val="single" w:sz="4" w:space="0" w:color="auto"/>
              <w:right w:val="single" w:sz="4" w:space="0" w:color="auto"/>
            </w:tcBorders>
            <w:shd w:val="clear" w:color="auto" w:fill="auto"/>
            <w:noWrap/>
            <w:vAlign w:val="center"/>
            <w:hideMark/>
          </w:tcPr>
          <w:p w14:paraId="4EFD1620" w14:textId="77777777" w:rsidR="00AB178F" w:rsidRPr="00861214" w:rsidRDefault="00AB178F" w:rsidP="00AB178F">
            <w:pPr>
              <w:jc w:val="right"/>
              <w:rPr>
                <w:sz w:val="20"/>
                <w:szCs w:val="20"/>
                <w:lang w:eastAsia="en-GB"/>
              </w:rPr>
            </w:pPr>
            <w:r w:rsidRPr="00861214">
              <w:rPr>
                <w:sz w:val="20"/>
                <w:szCs w:val="20"/>
                <w:lang w:eastAsia="en-GB"/>
              </w:rPr>
              <w:t>20</w:t>
            </w:r>
          </w:p>
        </w:tc>
        <w:tc>
          <w:tcPr>
            <w:tcW w:w="1252" w:type="dxa"/>
            <w:tcBorders>
              <w:top w:val="nil"/>
              <w:left w:val="nil"/>
              <w:bottom w:val="single" w:sz="4" w:space="0" w:color="auto"/>
              <w:right w:val="single" w:sz="4" w:space="0" w:color="auto"/>
            </w:tcBorders>
            <w:shd w:val="clear" w:color="auto" w:fill="auto"/>
            <w:noWrap/>
            <w:vAlign w:val="center"/>
            <w:hideMark/>
          </w:tcPr>
          <w:p w14:paraId="5E46A197" w14:textId="77777777" w:rsidR="00AB178F" w:rsidRPr="00861214" w:rsidRDefault="00AB178F" w:rsidP="00AB178F">
            <w:pPr>
              <w:jc w:val="right"/>
              <w:rPr>
                <w:sz w:val="20"/>
                <w:szCs w:val="20"/>
                <w:lang w:eastAsia="en-GB"/>
              </w:rPr>
            </w:pPr>
            <w:r w:rsidRPr="00861214">
              <w:rPr>
                <w:sz w:val="20"/>
                <w:szCs w:val="20"/>
                <w:lang w:eastAsia="en-GB"/>
              </w:rPr>
              <w:t>0</w:t>
            </w:r>
          </w:p>
        </w:tc>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56B20122" w14:textId="77777777" w:rsidR="00AB178F" w:rsidRPr="00861214" w:rsidRDefault="00AB178F" w:rsidP="00AB178F">
            <w:pPr>
              <w:jc w:val="right"/>
              <w:rPr>
                <w:color w:val="000000"/>
                <w:sz w:val="20"/>
                <w:szCs w:val="20"/>
                <w:lang w:eastAsia="en-GB"/>
              </w:rPr>
            </w:pPr>
            <w:r w:rsidRPr="00861214">
              <w:rPr>
                <w:color w:val="000000"/>
                <w:sz w:val="20"/>
                <w:szCs w:val="20"/>
                <w:lang w:eastAsia="en-GB"/>
              </w:rPr>
              <w:t>0</w:t>
            </w:r>
          </w:p>
        </w:tc>
        <w:tc>
          <w:tcPr>
            <w:tcW w:w="1555" w:type="dxa"/>
            <w:tcBorders>
              <w:top w:val="nil"/>
              <w:left w:val="nil"/>
              <w:bottom w:val="single" w:sz="4" w:space="0" w:color="auto"/>
              <w:right w:val="single" w:sz="4" w:space="0" w:color="auto"/>
            </w:tcBorders>
            <w:shd w:val="clear" w:color="auto" w:fill="auto"/>
            <w:noWrap/>
            <w:vAlign w:val="center"/>
            <w:hideMark/>
          </w:tcPr>
          <w:p w14:paraId="05E2690B" w14:textId="77777777" w:rsidR="00AB178F" w:rsidRPr="003563E9" w:rsidRDefault="00AB178F" w:rsidP="00AB178F">
            <w:pPr>
              <w:rPr>
                <w:sz w:val="20"/>
                <w:szCs w:val="20"/>
                <w:lang w:eastAsia="en-GB"/>
              </w:rPr>
            </w:pPr>
            <w:r w:rsidRPr="003563E9">
              <w:rPr>
                <w:sz w:val="20"/>
                <w:szCs w:val="20"/>
                <w:lang w:eastAsia="en-GB"/>
              </w:rPr>
              <w:t> </w:t>
            </w:r>
          </w:p>
        </w:tc>
        <w:tc>
          <w:tcPr>
            <w:tcW w:w="1801" w:type="dxa"/>
            <w:tcBorders>
              <w:top w:val="nil"/>
              <w:left w:val="nil"/>
              <w:bottom w:val="single" w:sz="4" w:space="0" w:color="auto"/>
              <w:right w:val="single" w:sz="4" w:space="0" w:color="auto"/>
            </w:tcBorders>
            <w:shd w:val="clear" w:color="auto" w:fill="auto"/>
            <w:noWrap/>
            <w:vAlign w:val="center"/>
            <w:hideMark/>
          </w:tcPr>
          <w:p w14:paraId="59E48FDB" w14:textId="77777777" w:rsidR="00AB178F" w:rsidRPr="003563E9" w:rsidRDefault="00AB178F" w:rsidP="00AB178F">
            <w:pPr>
              <w:jc w:val="right"/>
              <w:rPr>
                <w:sz w:val="20"/>
                <w:szCs w:val="20"/>
                <w:lang w:eastAsia="en-GB"/>
              </w:rPr>
            </w:pPr>
            <w:r w:rsidRPr="003563E9">
              <w:rPr>
                <w:sz w:val="20"/>
                <w:szCs w:val="20"/>
                <w:lang w:eastAsia="en-GB"/>
              </w:rPr>
              <w:t>20</w:t>
            </w:r>
          </w:p>
        </w:tc>
      </w:tr>
      <w:tr w:rsidR="00AB178F" w:rsidRPr="00861214" w14:paraId="5CCAF0E3" w14:textId="77777777" w:rsidTr="00AB178F">
        <w:trPr>
          <w:trHeight w:val="270"/>
        </w:trPr>
        <w:tc>
          <w:tcPr>
            <w:tcW w:w="4962" w:type="dxa"/>
            <w:tcBorders>
              <w:top w:val="nil"/>
              <w:left w:val="single" w:sz="4" w:space="0" w:color="auto"/>
              <w:bottom w:val="single" w:sz="4" w:space="0" w:color="auto"/>
              <w:right w:val="nil"/>
            </w:tcBorders>
            <w:shd w:val="clear" w:color="auto" w:fill="auto"/>
            <w:noWrap/>
            <w:vAlign w:val="center"/>
            <w:hideMark/>
          </w:tcPr>
          <w:p w14:paraId="44B22583" w14:textId="77777777" w:rsidR="00AB178F" w:rsidRPr="00861214" w:rsidRDefault="00AB178F" w:rsidP="00AB178F">
            <w:pPr>
              <w:rPr>
                <w:sz w:val="20"/>
                <w:szCs w:val="20"/>
                <w:lang w:eastAsia="en-GB"/>
              </w:rPr>
            </w:pPr>
            <w:r w:rsidRPr="00861214">
              <w:rPr>
                <w:sz w:val="20"/>
                <w:szCs w:val="20"/>
                <w:lang w:eastAsia="en-GB"/>
              </w:rPr>
              <w:t xml:space="preserve">Provision for outstanding </w:t>
            </w:r>
            <w:r w:rsidRPr="003563E9">
              <w:rPr>
                <w:sz w:val="20"/>
                <w:szCs w:val="20"/>
                <w:lang w:eastAsia="en-GB"/>
              </w:rPr>
              <w:t>contributions*</w:t>
            </w:r>
          </w:p>
        </w:tc>
        <w:tc>
          <w:tcPr>
            <w:tcW w:w="1291" w:type="dxa"/>
            <w:tcBorders>
              <w:top w:val="nil"/>
              <w:left w:val="single" w:sz="4" w:space="0" w:color="auto"/>
              <w:bottom w:val="single" w:sz="4" w:space="0" w:color="auto"/>
              <w:right w:val="single" w:sz="4" w:space="0" w:color="auto"/>
            </w:tcBorders>
            <w:shd w:val="clear" w:color="auto" w:fill="auto"/>
            <w:noWrap/>
            <w:vAlign w:val="center"/>
            <w:hideMark/>
          </w:tcPr>
          <w:p w14:paraId="0155EB02" w14:textId="77777777" w:rsidR="00AB178F" w:rsidRPr="00861214" w:rsidRDefault="00AB178F" w:rsidP="00AB178F">
            <w:pPr>
              <w:jc w:val="right"/>
              <w:rPr>
                <w:sz w:val="20"/>
                <w:szCs w:val="20"/>
                <w:lang w:eastAsia="en-GB"/>
              </w:rPr>
            </w:pPr>
            <w:r w:rsidRPr="00861214">
              <w:rPr>
                <w:sz w:val="20"/>
                <w:szCs w:val="20"/>
                <w:lang w:eastAsia="en-GB"/>
              </w:rPr>
              <w:t>30</w:t>
            </w:r>
          </w:p>
        </w:tc>
        <w:tc>
          <w:tcPr>
            <w:tcW w:w="1252" w:type="dxa"/>
            <w:tcBorders>
              <w:top w:val="nil"/>
              <w:left w:val="nil"/>
              <w:bottom w:val="single" w:sz="4" w:space="0" w:color="auto"/>
              <w:right w:val="single" w:sz="4" w:space="0" w:color="auto"/>
            </w:tcBorders>
            <w:shd w:val="clear" w:color="auto" w:fill="auto"/>
            <w:noWrap/>
            <w:vAlign w:val="center"/>
            <w:hideMark/>
          </w:tcPr>
          <w:p w14:paraId="58256C17" w14:textId="77777777" w:rsidR="00AB178F" w:rsidRPr="00861214" w:rsidRDefault="00AB178F" w:rsidP="00AB178F">
            <w:pPr>
              <w:jc w:val="right"/>
              <w:rPr>
                <w:sz w:val="20"/>
                <w:szCs w:val="20"/>
                <w:lang w:eastAsia="en-GB"/>
              </w:rPr>
            </w:pPr>
            <w:r w:rsidRPr="00861214">
              <w:rPr>
                <w:sz w:val="20"/>
                <w:szCs w:val="20"/>
                <w:lang w:eastAsia="en-GB"/>
              </w:rPr>
              <w:t>120</w:t>
            </w:r>
          </w:p>
        </w:tc>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2EB08952" w14:textId="77777777" w:rsidR="00AB178F" w:rsidRPr="00861214" w:rsidRDefault="00AB178F" w:rsidP="00AB178F">
            <w:pPr>
              <w:jc w:val="right"/>
              <w:rPr>
                <w:sz w:val="20"/>
                <w:szCs w:val="20"/>
                <w:lang w:eastAsia="en-GB"/>
              </w:rPr>
            </w:pPr>
            <w:r w:rsidRPr="00861214">
              <w:rPr>
                <w:sz w:val="20"/>
                <w:szCs w:val="20"/>
                <w:lang w:eastAsia="en-GB"/>
              </w:rPr>
              <w:t>0</w:t>
            </w:r>
          </w:p>
        </w:tc>
        <w:tc>
          <w:tcPr>
            <w:tcW w:w="1555" w:type="dxa"/>
            <w:tcBorders>
              <w:top w:val="nil"/>
              <w:left w:val="nil"/>
              <w:bottom w:val="single" w:sz="4" w:space="0" w:color="auto"/>
              <w:right w:val="single" w:sz="4" w:space="0" w:color="auto"/>
            </w:tcBorders>
            <w:shd w:val="clear" w:color="auto" w:fill="auto"/>
            <w:noWrap/>
            <w:vAlign w:val="center"/>
            <w:hideMark/>
          </w:tcPr>
          <w:p w14:paraId="4590E15C" w14:textId="77777777" w:rsidR="00AB178F" w:rsidRPr="003563E9" w:rsidRDefault="00AB178F" w:rsidP="00AB178F">
            <w:pPr>
              <w:rPr>
                <w:sz w:val="20"/>
                <w:szCs w:val="20"/>
                <w:lang w:eastAsia="en-GB"/>
              </w:rPr>
            </w:pPr>
            <w:r w:rsidRPr="003563E9">
              <w:rPr>
                <w:sz w:val="20"/>
                <w:szCs w:val="20"/>
                <w:lang w:eastAsia="en-GB"/>
              </w:rPr>
              <w:t> </w:t>
            </w:r>
          </w:p>
        </w:tc>
        <w:tc>
          <w:tcPr>
            <w:tcW w:w="1801" w:type="dxa"/>
            <w:tcBorders>
              <w:top w:val="nil"/>
              <w:left w:val="nil"/>
              <w:bottom w:val="single" w:sz="4" w:space="0" w:color="auto"/>
              <w:right w:val="single" w:sz="4" w:space="0" w:color="auto"/>
            </w:tcBorders>
            <w:shd w:val="clear" w:color="auto" w:fill="auto"/>
            <w:noWrap/>
            <w:vAlign w:val="center"/>
            <w:hideMark/>
          </w:tcPr>
          <w:p w14:paraId="622266B4" w14:textId="77777777" w:rsidR="00AB178F" w:rsidRPr="003563E9" w:rsidRDefault="00AB178F" w:rsidP="00AB178F">
            <w:pPr>
              <w:jc w:val="right"/>
              <w:rPr>
                <w:sz w:val="20"/>
                <w:szCs w:val="20"/>
                <w:lang w:eastAsia="en-GB"/>
              </w:rPr>
            </w:pPr>
            <w:r w:rsidRPr="003563E9">
              <w:rPr>
                <w:sz w:val="20"/>
                <w:szCs w:val="20"/>
                <w:lang w:eastAsia="en-GB"/>
              </w:rPr>
              <w:t>150</w:t>
            </w:r>
          </w:p>
        </w:tc>
      </w:tr>
      <w:tr w:rsidR="00AB178F" w:rsidRPr="00861214" w14:paraId="77A3B7E9" w14:textId="77777777" w:rsidTr="00AB178F">
        <w:trPr>
          <w:trHeight w:val="270"/>
        </w:trPr>
        <w:tc>
          <w:tcPr>
            <w:tcW w:w="4962" w:type="dxa"/>
            <w:tcBorders>
              <w:top w:val="nil"/>
              <w:left w:val="single" w:sz="4" w:space="0" w:color="auto"/>
              <w:bottom w:val="single" w:sz="4" w:space="0" w:color="auto"/>
              <w:right w:val="single" w:sz="4" w:space="0" w:color="auto"/>
            </w:tcBorders>
            <w:shd w:val="clear" w:color="auto" w:fill="auto"/>
            <w:noWrap/>
            <w:vAlign w:val="center"/>
            <w:hideMark/>
          </w:tcPr>
          <w:p w14:paraId="70882B13" w14:textId="77777777" w:rsidR="00AB178F" w:rsidRPr="00861214" w:rsidRDefault="00AB178F" w:rsidP="00AB178F">
            <w:pPr>
              <w:rPr>
                <w:sz w:val="20"/>
                <w:szCs w:val="20"/>
                <w:lang w:eastAsia="en-GB"/>
              </w:rPr>
            </w:pPr>
            <w:r w:rsidRPr="00861214">
              <w:rPr>
                <w:sz w:val="20"/>
                <w:szCs w:val="20"/>
                <w:lang w:eastAsia="en-GB"/>
              </w:rPr>
              <w:t>Exchange rate gains / losses</w:t>
            </w:r>
          </w:p>
        </w:tc>
        <w:tc>
          <w:tcPr>
            <w:tcW w:w="1291" w:type="dxa"/>
            <w:tcBorders>
              <w:top w:val="nil"/>
              <w:left w:val="nil"/>
              <w:bottom w:val="single" w:sz="4" w:space="0" w:color="auto"/>
              <w:right w:val="single" w:sz="4" w:space="0" w:color="auto"/>
            </w:tcBorders>
            <w:shd w:val="clear" w:color="auto" w:fill="auto"/>
            <w:noWrap/>
            <w:vAlign w:val="center"/>
            <w:hideMark/>
          </w:tcPr>
          <w:p w14:paraId="32E96659" w14:textId="77777777" w:rsidR="00AB178F" w:rsidRPr="00861214" w:rsidRDefault="00AB178F" w:rsidP="00AB178F">
            <w:pPr>
              <w:jc w:val="right"/>
              <w:rPr>
                <w:sz w:val="20"/>
                <w:szCs w:val="20"/>
                <w:lang w:eastAsia="en-GB"/>
              </w:rPr>
            </w:pPr>
            <w:r w:rsidRPr="00861214">
              <w:rPr>
                <w:sz w:val="20"/>
                <w:szCs w:val="20"/>
                <w:lang w:eastAsia="en-GB"/>
              </w:rPr>
              <w:t>0</w:t>
            </w:r>
          </w:p>
        </w:tc>
        <w:tc>
          <w:tcPr>
            <w:tcW w:w="1252" w:type="dxa"/>
            <w:tcBorders>
              <w:top w:val="nil"/>
              <w:left w:val="nil"/>
              <w:bottom w:val="single" w:sz="4" w:space="0" w:color="auto"/>
              <w:right w:val="single" w:sz="4" w:space="0" w:color="auto"/>
            </w:tcBorders>
            <w:shd w:val="clear" w:color="auto" w:fill="auto"/>
            <w:noWrap/>
            <w:vAlign w:val="center"/>
            <w:hideMark/>
          </w:tcPr>
          <w:p w14:paraId="3F083448" w14:textId="77777777" w:rsidR="00AB178F" w:rsidRPr="00861214" w:rsidRDefault="00AB178F" w:rsidP="00AB178F">
            <w:pPr>
              <w:jc w:val="right"/>
              <w:rPr>
                <w:sz w:val="20"/>
                <w:szCs w:val="20"/>
                <w:lang w:eastAsia="en-GB"/>
              </w:rPr>
            </w:pPr>
            <w:r w:rsidRPr="00861214">
              <w:rPr>
                <w:sz w:val="20"/>
                <w:szCs w:val="20"/>
                <w:lang w:eastAsia="en-GB"/>
              </w:rPr>
              <w:t>0</w:t>
            </w:r>
          </w:p>
        </w:tc>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38CA80BA" w14:textId="77777777" w:rsidR="00AB178F" w:rsidRPr="00861214" w:rsidRDefault="00AB178F" w:rsidP="00AB178F">
            <w:pPr>
              <w:jc w:val="right"/>
              <w:rPr>
                <w:color w:val="000000"/>
                <w:sz w:val="20"/>
                <w:szCs w:val="20"/>
                <w:lang w:eastAsia="en-GB"/>
              </w:rPr>
            </w:pPr>
            <w:r w:rsidRPr="00861214">
              <w:rPr>
                <w:color w:val="000000"/>
                <w:sz w:val="20"/>
                <w:szCs w:val="20"/>
                <w:lang w:eastAsia="en-GB"/>
              </w:rPr>
              <w:t>0</w:t>
            </w:r>
          </w:p>
        </w:tc>
        <w:tc>
          <w:tcPr>
            <w:tcW w:w="1555" w:type="dxa"/>
            <w:tcBorders>
              <w:top w:val="nil"/>
              <w:left w:val="nil"/>
              <w:bottom w:val="single" w:sz="4" w:space="0" w:color="auto"/>
              <w:right w:val="single" w:sz="4" w:space="0" w:color="auto"/>
            </w:tcBorders>
            <w:shd w:val="clear" w:color="auto" w:fill="auto"/>
            <w:noWrap/>
            <w:vAlign w:val="center"/>
            <w:hideMark/>
          </w:tcPr>
          <w:p w14:paraId="4BB93FDA" w14:textId="77777777" w:rsidR="00AB178F" w:rsidRPr="003563E9" w:rsidRDefault="00AB178F" w:rsidP="00AB178F">
            <w:pPr>
              <w:rPr>
                <w:sz w:val="20"/>
                <w:szCs w:val="20"/>
                <w:lang w:eastAsia="en-GB"/>
              </w:rPr>
            </w:pPr>
            <w:r w:rsidRPr="003563E9">
              <w:rPr>
                <w:sz w:val="20"/>
                <w:szCs w:val="20"/>
                <w:lang w:eastAsia="en-GB"/>
              </w:rPr>
              <w:t> </w:t>
            </w:r>
          </w:p>
        </w:tc>
        <w:tc>
          <w:tcPr>
            <w:tcW w:w="1801" w:type="dxa"/>
            <w:tcBorders>
              <w:top w:val="nil"/>
              <w:left w:val="nil"/>
              <w:bottom w:val="single" w:sz="4" w:space="0" w:color="auto"/>
              <w:right w:val="single" w:sz="4" w:space="0" w:color="auto"/>
            </w:tcBorders>
            <w:shd w:val="clear" w:color="auto" w:fill="auto"/>
            <w:noWrap/>
            <w:vAlign w:val="center"/>
            <w:hideMark/>
          </w:tcPr>
          <w:p w14:paraId="1CD377B2" w14:textId="77777777" w:rsidR="00AB178F" w:rsidRPr="003563E9" w:rsidRDefault="00AB178F" w:rsidP="00AB178F">
            <w:pPr>
              <w:jc w:val="right"/>
              <w:rPr>
                <w:sz w:val="20"/>
                <w:szCs w:val="20"/>
                <w:lang w:eastAsia="en-GB"/>
              </w:rPr>
            </w:pPr>
            <w:r w:rsidRPr="003563E9">
              <w:rPr>
                <w:sz w:val="20"/>
                <w:szCs w:val="20"/>
                <w:lang w:eastAsia="en-GB"/>
              </w:rPr>
              <w:t>0</w:t>
            </w:r>
          </w:p>
        </w:tc>
      </w:tr>
      <w:tr w:rsidR="00AB178F" w:rsidRPr="00861214" w14:paraId="1A6AF618" w14:textId="77777777" w:rsidTr="00AB178F">
        <w:trPr>
          <w:trHeight w:val="270"/>
        </w:trPr>
        <w:tc>
          <w:tcPr>
            <w:tcW w:w="4962" w:type="dxa"/>
            <w:tcBorders>
              <w:top w:val="nil"/>
              <w:left w:val="single" w:sz="4" w:space="0" w:color="auto"/>
              <w:bottom w:val="single" w:sz="4" w:space="0" w:color="auto"/>
              <w:right w:val="single" w:sz="4" w:space="0" w:color="auto"/>
            </w:tcBorders>
            <w:shd w:val="clear" w:color="auto" w:fill="auto"/>
            <w:noWrap/>
            <w:vAlign w:val="center"/>
            <w:hideMark/>
          </w:tcPr>
          <w:p w14:paraId="5ED35416" w14:textId="77777777" w:rsidR="00AB178F" w:rsidRPr="00861214" w:rsidRDefault="00AB178F" w:rsidP="00AB178F">
            <w:pPr>
              <w:rPr>
                <w:sz w:val="20"/>
                <w:szCs w:val="20"/>
                <w:lang w:eastAsia="en-GB"/>
              </w:rPr>
            </w:pPr>
            <w:r w:rsidRPr="00861214">
              <w:rPr>
                <w:sz w:val="20"/>
                <w:szCs w:val="20"/>
                <w:lang w:eastAsia="en-GB"/>
              </w:rPr>
              <w:t>Legal Services</w:t>
            </w:r>
          </w:p>
        </w:tc>
        <w:tc>
          <w:tcPr>
            <w:tcW w:w="1291" w:type="dxa"/>
            <w:tcBorders>
              <w:top w:val="nil"/>
              <w:left w:val="nil"/>
              <w:bottom w:val="single" w:sz="4" w:space="0" w:color="auto"/>
              <w:right w:val="single" w:sz="4" w:space="0" w:color="auto"/>
            </w:tcBorders>
            <w:shd w:val="clear" w:color="auto" w:fill="auto"/>
            <w:noWrap/>
            <w:vAlign w:val="center"/>
            <w:hideMark/>
          </w:tcPr>
          <w:p w14:paraId="6C4DC64D" w14:textId="77777777" w:rsidR="00AB178F" w:rsidRPr="00861214" w:rsidRDefault="00AB178F" w:rsidP="00AB178F">
            <w:pPr>
              <w:jc w:val="right"/>
              <w:rPr>
                <w:sz w:val="20"/>
                <w:szCs w:val="20"/>
                <w:lang w:eastAsia="en-GB"/>
              </w:rPr>
            </w:pPr>
            <w:r w:rsidRPr="00861214">
              <w:rPr>
                <w:sz w:val="20"/>
                <w:szCs w:val="20"/>
                <w:lang w:eastAsia="en-GB"/>
              </w:rPr>
              <w:t>59</w:t>
            </w:r>
          </w:p>
        </w:tc>
        <w:tc>
          <w:tcPr>
            <w:tcW w:w="1252" w:type="dxa"/>
            <w:tcBorders>
              <w:top w:val="nil"/>
              <w:left w:val="nil"/>
              <w:bottom w:val="single" w:sz="4" w:space="0" w:color="auto"/>
              <w:right w:val="single" w:sz="4" w:space="0" w:color="auto"/>
            </w:tcBorders>
            <w:shd w:val="clear" w:color="auto" w:fill="auto"/>
            <w:noWrap/>
            <w:vAlign w:val="center"/>
            <w:hideMark/>
          </w:tcPr>
          <w:p w14:paraId="7EBD70E7" w14:textId="77777777" w:rsidR="00AB178F" w:rsidRPr="00861214" w:rsidRDefault="00AB178F" w:rsidP="00AB178F">
            <w:pPr>
              <w:jc w:val="right"/>
              <w:rPr>
                <w:sz w:val="20"/>
                <w:szCs w:val="20"/>
                <w:lang w:eastAsia="en-GB"/>
              </w:rPr>
            </w:pPr>
            <w:r w:rsidRPr="00861214">
              <w:rPr>
                <w:sz w:val="20"/>
                <w:szCs w:val="20"/>
                <w:lang w:eastAsia="en-GB"/>
              </w:rPr>
              <w:t>0</w:t>
            </w:r>
          </w:p>
        </w:tc>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44A154B7" w14:textId="77777777" w:rsidR="00AB178F" w:rsidRPr="00861214" w:rsidRDefault="00AB178F" w:rsidP="00AB178F">
            <w:pPr>
              <w:jc w:val="right"/>
              <w:rPr>
                <w:color w:val="000000"/>
                <w:sz w:val="20"/>
                <w:szCs w:val="20"/>
                <w:lang w:eastAsia="en-GB"/>
              </w:rPr>
            </w:pPr>
            <w:r w:rsidRPr="00861214">
              <w:rPr>
                <w:color w:val="000000"/>
                <w:sz w:val="20"/>
                <w:szCs w:val="20"/>
                <w:lang w:eastAsia="en-GB"/>
              </w:rPr>
              <w:t>62</w:t>
            </w:r>
          </w:p>
        </w:tc>
        <w:tc>
          <w:tcPr>
            <w:tcW w:w="1555" w:type="dxa"/>
            <w:tcBorders>
              <w:top w:val="nil"/>
              <w:left w:val="nil"/>
              <w:bottom w:val="single" w:sz="4" w:space="0" w:color="auto"/>
              <w:right w:val="single" w:sz="4" w:space="0" w:color="auto"/>
            </w:tcBorders>
            <w:shd w:val="clear" w:color="auto" w:fill="auto"/>
            <w:noWrap/>
            <w:vAlign w:val="center"/>
            <w:hideMark/>
          </w:tcPr>
          <w:p w14:paraId="7C3BC1A0" w14:textId="77777777" w:rsidR="00AB178F" w:rsidRPr="003563E9" w:rsidRDefault="00AB178F" w:rsidP="00AB178F">
            <w:pPr>
              <w:rPr>
                <w:sz w:val="20"/>
                <w:szCs w:val="20"/>
                <w:lang w:eastAsia="en-GB"/>
              </w:rPr>
            </w:pPr>
            <w:r w:rsidRPr="003563E9">
              <w:rPr>
                <w:sz w:val="20"/>
                <w:szCs w:val="20"/>
                <w:lang w:eastAsia="en-GB"/>
              </w:rPr>
              <w:t> </w:t>
            </w:r>
          </w:p>
        </w:tc>
        <w:tc>
          <w:tcPr>
            <w:tcW w:w="1801" w:type="dxa"/>
            <w:tcBorders>
              <w:top w:val="nil"/>
              <w:left w:val="nil"/>
              <w:bottom w:val="single" w:sz="4" w:space="0" w:color="auto"/>
              <w:right w:val="single" w:sz="4" w:space="0" w:color="auto"/>
            </w:tcBorders>
            <w:shd w:val="clear" w:color="auto" w:fill="auto"/>
            <w:noWrap/>
            <w:vAlign w:val="center"/>
            <w:hideMark/>
          </w:tcPr>
          <w:p w14:paraId="1B800C77" w14:textId="77777777" w:rsidR="00AB178F" w:rsidRPr="003563E9" w:rsidRDefault="00AB178F" w:rsidP="00AB178F">
            <w:pPr>
              <w:jc w:val="right"/>
              <w:rPr>
                <w:sz w:val="20"/>
                <w:szCs w:val="20"/>
                <w:lang w:eastAsia="en-GB"/>
              </w:rPr>
            </w:pPr>
            <w:r w:rsidRPr="003563E9">
              <w:rPr>
                <w:sz w:val="20"/>
                <w:szCs w:val="20"/>
                <w:lang w:eastAsia="en-GB"/>
              </w:rPr>
              <w:t>121</w:t>
            </w:r>
          </w:p>
        </w:tc>
      </w:tr>
      <w:tr w:rsidR="00AB178F" w:rsidRPr="00861214" w14:paraId="5EFD8169" w14:textId="77777777" w:rsidTr="001037CE">
        <w:trPr>
          <w:trHeight w:val="300"/>
        </w:trPr>
        <w:tc>
          <w:tcPr>
            <w:tcW w:w="4962" w:type="dxa"/>
            <w:tcBorders>
              <w:top w:val="nil"/>
              <w:left w:val="single" w:sz="4" w:space="0" w:color="auto"/>
              <w:bottom w:val="single" w:sz="4" w:space="0" w:color="auto"/>
              <w:right w:val="single" w:sz="4" w:space="0" w:color="auto"/>
            </w:tcBorders>
            <w:shd w:val="clear" w:color="auto" w:fill="E2EFD9" w:themeFill="accent6" w:themeFillTint="33"/>
            <w:noWrap/>
            <w:vAlign w:val="center"/>
            <w:hideMark/>
          </w:tcPr>
          <w:p w14:paraId="146FA76D" w14:textId="77777777" w:rsidR="00AB178F" w:rsidRPr="00861214" w:rsidRDefault="00AB178F" w:rsidP="00AB178F">
            <w:pPr>
              <w:rPr>
                <w:b/>
                <w:bCs/>
                <w:color w:val="000000"/>
                <w:sz w:val="20"/>
                <w:szCs w:val="20"/>
                <w:lang w:eastAsia="en-GB"/>
              </w:rPr>
            </w:pPr>
            <w:r w:rsidRPr="00861214">
              <w:rPr>
                <w:b/>
                <w:bCs/>
                <w:color w:val="000000"/>
                <w:sz w:val="20"/>
                <w:szCs w:val="20"/>
                <w:lang w:eastAsia="en-GB"/>
              </w:rPr>
              <w:t>TOTAL EXPENDITURES</w:t>
            </w:r>
          </w:p>
        </w:tc>
        <w:tc>
          <w:tcPr>
            <w:tcW w:w="1291" w:type="dxa"/>
            <w:tcBorders>
              <w:top w:val="nil"/>
              <w:left w:val="nil"/>
              <w:bottom w:val="single" w:sz="4" w:space="0" w:color="auto"/>
              <w:right w:val="single" w:sz="4" w:space="0" w:color="auto"/>
            </w:tcBorders>
            <w:shd w:val="clear" w:color="auto" w:fill="E2EFD9" w:themeFill="accent6" w:themeFillTint="33"/>
            <w:noWrap/>
            <w:vAlign w:val="center"/>
            <w:hideMark/>
          </w:tcPr>
          <w:p w14:paraId="1A76B6A0" w14:textId="77777777" w:rsidR="00AB178F" w:rsidRPr="00861214" w:rsidRDefault="00AB178F" w:rsidP="00AB178F">
            <w:pPr>
              <w:jc w:val="right"/>
              <w:rPr>
                <w:b/>
                <w:bCs/>
                <w:color w:val="000000"/>
                <w:sz w:val="20"/>
                <w:szCs w:val="20"/>
                <w:lang w:eastAsia="en-GB"/>
              </w:rPr>
            </w:pPr>
            <w:r w:rsidRPr="00861214">
              <w:rPr>
                <w:b/>
                <w:bCs/>
                <w:color w:val="000000"/>
                <w:sz w:val="20"/>
                <w:szCs w:val="20"/>
                <w:lang w:eastAsia="en-GB"/>
              </w:rPr>
              <w:t>5,081</w:t>
            </w:r>
          </w:p>
        </w:tc>
        <w:tc>
          <w:tcPr>
            <w:tcW w:w="1252" w:type="dxa"/>
            <w:tcBorders>
              <w:top w:val="nil"/>
              <w:left w:val="nil"/>
              <w:bottom w:val="single" w:sz="4" w:space="0" w:color="auto"/>
              <w:right w:val="single" w:sz="4" w:space="0" w:color="auto"/>
            </w:tcBorders>
            <w:shd w:val="clear" w:color="auto" w:fill="E2EFD9" w:themeFill="accent6" w:themeFillTint="33"/>
            <w:noWrap/>
            <w:vAlign w:val="center"/>
            <w:hideMark/>
          </w:tcPr>
          <w:p w14:paraId="5748CA2D" w14:textId="77777777" w:rsidR="00AB178F" w:rsidRPr="00861214" w:rsidRDefault="00AB178F" w:rsidP="00AB178F">
            <w:pPr>
              <w:jc w:val="right"/>
              <w:rPr>
                <w:b/>
                <w:bCs/>
                <w:color w:val="000000"/>
                <w:sz w:val="20"/>
                <w:szCs w:val="20"/>
                <w:lang w:eastAsia="en-GB"/>
              </w:rPr>
            </w:pPr>
            <w:r w:rsidRPr="00861214">
              <w:rPr>
                <w:b/>
                <w:bCs/>
                <w:color w:val="000000"/>
                <w:sz w:val="20"/>
                <w:szCs w:val="20"/>
                <w:lang w:eastAsia="en-GB"/>
              </w:rPr>
              <w:t>196</w:t>
            </w:r>
          </w:p>
        </w:tc>
        <w:tc>
          <w:tcPr>
            <w:tcW w:w="1271" w:type="dxa"/>
            <w:tcBorders>
              <w:top w:val="nil"/>
              <w:left w:val="single" w:sz="4" w:space="0" w:color="auto"/>
              <w:bottom w:val="single" w:sz="4" w:space="0" w:color="auto"/>
              <w:right w:val="single" w:sz="4" w:space="0" w:color="auto"/>
            </w:tcBorders>
            <w:shd w:val="clear" w:color="auto" w:fill="E2EFD9" w:themeFill="accent6" w:themeFillTint="33"/>
            <w:noWrap/>
            <w:vAlign w:val="center"/>
            <w:hideMark/>
          </w:tcPr>
          <w:p w14:paraId="1E810714" w14:textId="77777777" w:rsidR="00AB178F" w:rsidRPr="00861214" w:rsidRDefault="00AB178F" w:rsidP="00AB178F">
            <w:pPr>
              <w:jc w:val="right"/>
              <w:rPr>
                <w:b/>
                <w:bCs/>
                <w:color w:val="000000"/>
                <w:sz w:val="20"/>
                <w:szCs w:val="20"/>
                <w:lang w:eastAsia="en-GB"/>
              </w:rPr>
            </w:pPr>
            <w:r w:rsidRPr="00861214">
              <w:rPr>
                <w:b/>
                <w:bCs/>
                <w:color w:val="000000"/>
                <w:sz w:val="20"/>
                <w:szCs w:val="20"/>
                <w:lang w:eastAsia="en-GB"/>
              </w:rPr>
              <w:t>767</w:t>
            </w:r>
          </w:p>
        </w:tc>
        <w:tc>
          <w:tcPr>
            <w:tcW w:w="1555" w:type="dxa"/>
            <w:tcBorders>
              <w:top w:val="nil"/>
              <w:left w:val="nil"/>
              <w:bottom w:val="single" w:sz="4" w:space="0" w:color="auto"/>
              <w:right w:val="single" w:sz="4" w:space="0" w:color="auto"/>
            </w:tcBorders>
            <w:shd w:val="clear" w:color="auto" w:fill="E2EFD9" w:themeFill="accent6" w:themeFillTint="33"/>
            <w:noWrap/>
            <w:vAlign w:val="center"/>
            <w:hideMark/>
          </w:tcPr>
          <w:p w14:paraId="56F93EDD" w14:textId="77777777" w:rsidR="00AB178F" w:rsidRPr="003563E9" w:rsidRDefault="00AB178F" w:rsidP="00AB178F">
            <w:pPr>
              <w:jc w:val="right"/>
              <w:rPr>
                <w:b/>
                <w:bCs/>
                <w:sz w:val="20"/>
                <w:szCs w:val="20"/>
                <w:lang w:eastAsia="en-GB"/>
              </w:rPr>
            </w:pPr>
            <w:r w:rsidRPr="003563E9">
              <w:rPr>
                <w:b/>
                <w:bCs/>
                <w:sz w:val="20"/>
                <w:szCs w:val="20"/>
                <w:lang w:eastAsia="en-GB"/>
              </w:rPr>
              <w:t>100</w:t>
            </w:r>
          </w:p>
        </w:tc>
        <w:tc>
          <w:tcPr>
            <w:tcW w:w="1801" w:type="dxa"/>
            <w:tcBorders>
              <w:top w:val="nil"/>
              <w:left w:val="nil"/>
              <w:bottom w:val="single" w:sz="4" w:space="0" w:color="auto"/>
              <w:right w:val="single" w:sz="4" w:space="0" w:color="auto"/>
            </w:tcBorders>
            <w:shd w:val="clear" w:color="auto" w:fill="E2EFD9" w:themeFill="accent6" w:themeFillTint="33"/>
            <w:noWrap/>
            <w:vAlign w:val="center"/>
            <w:hideMark/>
          </w:tcPr>
          <w:p w14:paraId="32ED91C2" w14:textId="2C19A7E3" w:rsidR="00AB178F" w:rsidRPr="003563E9" w:rsidRDefault="00AB178F" w:rsidP="00AB178F">
            <w:pPr>
              <w:jc w:val="right"/>
              <w:rPr>
                <w:b/>
                <w:bCs/>
                <w:sz w:val="20"/>
                <w:szCs w:val="20"/>
                <w:lang w:eastAsia="en-GB"/>
              </w:rPr>
            </w:pPr>
            <w:r w:rsidRPr="003563E9">
              <w:rPr>
                <w:b/>
                <w:bCs/>
                <w:sz w:val="20"/>
                <w:szCs w:val="20"/>
                <w:lang w:eastAsia="en-GB"/>
              </w:rPr>
              <w:t>6,</w:t>
            </w:r>
            <w:r w:rsidR="00963971" w:rsidRPr="003563E9">
              <w:rPr>
                <w:b/>
                <w:bCs/>
                <w:sz w:val="20"/>
                <w:szCs w:val="20"/>
                <w:lang w:eastAsia="en-GB"/>
              </w:rPr>
              <w:t>144</w:t>
            </w:r>
          </w:p>
        </w:tc>
      </w:tr>
    </w:tbl>
    <w:p w14:paraId="3E5A935A" w14:textId="77777777" w:rsidR="00AB178F" w:rsidRPr="00861214" w:rsidRDefault="00AB178F" w:rsidP="00AB178F">
      <w:pPr>
        <w:rPr>
          <w:rFonts w:asciiTheme="minorHAnsi" w:hAnsiTheme="minorHAnsi" w:cstheme="minorHAnsi"/>
          <w:b/>
          <w:bCs/>
          <w:lang w:eastAsia="en-GB"/>
        </w:rPr>
      </w:pPr>
      <w:r w:rsidRPr="00861214">
        <w:rPr>
          <w:rFonts w:asciiTheme="minorHAnsi" w:hAnsiTheme="minorHAnsi" w:cstheme="minorHAnsi"/>
          <w:b/>
          <w:bCs/>
          <w:color w:val="000000"/>
          <w:sz w:val="20"/>
          <w:szCs w:val="20"/>
          <w:lang w:eastAsia="en-GB"/>
        </w:rPr>
        <w:t>Note:</w:t>
      </w:r>
    </w:p>
    <w:p w14:paraId="33D3C75A" w14:textId="77777777" w:rsidR="00AB178F" w:rsidRPr="003563E9" w:rsidRDefault="00AB178F" w:rsidP="00AB178F">
      <w:pPr>
        <w:rPr>
          <w:sz w:val="20"/>
          <w:szCs w:val="20"/>
        </w:rPr>
      </w:pPr>
      <w:r w:rsidRPr="003563E9">
        <w:rPr>
          <w:rFonts w:asciiTheme="minorHAnsi" w:hAnsiTheme="minorHAnsi" w:cstheme="minorHAnsi"/>
          <w:sz w:val="20"/>
          <w:szCs w:val="20"/>
          <w:lang w:eastAsia="en-GB"/>
        </w:rPr>
        <w:t>*</w:t>
      </w:r>
      <w:r w:rsidRPr="003563E9">
        <w:rPr>
          <w:sz w:val="20"/>
          <w:szCs w:val="20"/>
        </w:rPr>
        <w:t xml:space="preserve"> any unused portion to be returned to savings</w:t>
      </w:r>
    </w:p>
    <w:p w14:paraId="5E939180" w14:textId="77777777" w:rsidR="00AB178F" w:rsidRDefault="00AB178F" w:rsidP="00AB178F">
      <w:pPr>
        <w:rPr>
          <w:sz w:val="20"/>
          <w:szCs w:val="20"/>
        </w:rPr>
      </w:pPr>
      <w:r w:rsidRPr="00861214">
        <w:rPr>
          <w:sz w:val="20"/>
          <w:szCs w:val="20"/>
        </w:rPr>
        <w:t>**for consideration by SC62 (May-June 2023) for any new Regional Initiatives approved by COP14</w:t>
      </w:r>
    </w:p>
    <w:p w14:paraId="5E41B21E" w14:textId="77777777" w:rsidR="00AB178F" w:rsidRPr="0051214A" w:rsidRDefault="00AB178F" w:rsidP="00AB178F">
      <w:pPr>
        <w:rPr>
          <w:color w:val="FF0000"/>
          <w:sz w:val="20"/>
          <w:szCs w:val="20"/>
        </w:rPr>
      </w:pPr>
      <w:r w:rsidRPr="003563E9">
        <w:rPr>
          <w:color w:val="FF0000"/>
          <w:sz w:val="20"/>
          <w:szCs w:val="20"/>
        </w:rPr>
        <w:t>*** subject to the approval by the Standing Committee; If the Standing Committee decides it is not needed, the allocation will be returned to the 2021 surplus for future allocations</w:t>
      </w:r>
    </w:p>
    <w:p w14:paraId="020A2973" w14:textId="071C0F12" w:rsidR="009548E8" w:rsidRDefault="009548E8">
      <w:pPr>
        <w:widowControl/>
        <w:autoSpaceDE/>
        <w:autoSpaceDN/>
        <w:spacing w:after="160" w:line="259" w:lineRule="auto"/>
        <w:rPr>
          <w:rFonts w:asciiTheme="minorHAnsi" w:hAnsiTheme="minorHAnsi" w:cstheme="minorHAnsi"/>
          <w:b/>
          <w:i/>
        </w:rPr>
      </w:pPr>
      <w:r>
        <w:rPr>
          <w:rFonts w:asciiTheme="minorHAnsi" w:hAnsiTheme="minorHAnsi" w:cstheme="minorHAnsi"/>
          <w:b/>
          <w:i/>
        </w:rPr>
        <w:br w:type="page"/>
      </w:r>
    </w:p>
    <w:p w14:paraId="610CD865" w14:textId="77777777" w:rsidR="009548E8" w:rsidRDefault="009548E8" w:rsidP="009548E8">
      <w:pPr>
        <w:ind w:left="540" w:hanging="540"/>
        <w:rPr>
          <w:rFonts w:asciiTheme="minorHAnsi" w:hAnsiTheme="minorHAnsi" w:cs="Arial"/>
          <w:b/>
          <w:bCs/>
          <w:sz w:val="24"/>
          <w:szCs w:val="24"/>
          <w:lang w:eastAsia="en-GB"/>
        </w:rPr>
        <w:sectPr w:rsidR="009548E8" w:rsidSect="00AB178F">
          <w:footerReference w:type="default" r:id="rId12"/>
          <w:pgSz w:w="16838" w:h="11906" w:orient="landscape" w:code="9"/>
          <w:pgMar w:top="1440" w:right="1440" w:bottom="1440" w:left="1440" w:header="709" w:footer="709" w:gutter="0"/>
          <w:cols w:space="708"/>
          <w:docGrid w:linePitch="360"/>
        </w:sectPr>
      </w:pPr>
    </w:p>
    <w:p w14:paraId="624C2C40" w14:textId="1F4A8C69" w:rsidR="00955845" w:rsidRDefault="00955845" w:rsidP="00955845">
      <w:pPr>
        <w:rPr>
          <w:rFonts w:asciiTheme="minorHAnsi" w:hAnsiTheme="minorHAnsi"/>
          <w:b/>
          <w:sz w:val="24"/>
          <w:szCs w:val="24"/>
        </w:rPr>
      </w:pPr>
      <w:r w:rsidRPr="00861214">
        <w:rPr>
          <w:rFonts w:asciiTheme="minorHAnsi" w:hAnsiTheme="minorHAnsi" w:cs="Arial"/>
          <w:b/>
          <w:bCs/>
          <w:sz w:val="24"/>
          <w:szCs w:val="24"/>
          <w:lang w:eastAsia="en-GB"/>
        </w:rPr>
        <w:lastRenderedPageBreak/>
        <w:t xml:space="preserve">Annex </w:t>
      </w:r>
      <w:r>
        <w:rPr>
          <w:rFonts w:asciiTheme="minorHAnsi" w:hAnsiTheme="minorHAnsi" w:cs="Arial"/>
          <w:b/>
          <w:bCs/>
          <w:sz w:val="24"/>
          <w:szCs w:val="24"/>
          <w:lang w:eastAsia="en-GB"/>
        </w:rPr>
        <w:t>2 to the Report of the Subgroup on Finance</w:t>
      </w:r>
    </w:p>
    <w:p w14:paraId="36CA35C8" w14:textId="365E7F73" w:rsidR="009548E8" w:rsidRPr="00E76632" w:rsidRDefault="009548E8" w:rsidP="00955845">
      <w:pPr>
        <w:rPr>
          <w:rFonts w:asciiTheme="minorHAnsi" w:hAnsiTheme="minorHAnsi"/>
          <w:b/>
          <w:sz w:val="24"/>
          <w:szCs w:val="24"/>
        </w:rPr>
      </w:pPr>
      <w:r w:rsidRPr="00E76632">
        <w:rPr>
          <w:rFonts w:asciiTheme="minorHAnsi" w:hAnsiTheme="minorHAnsi"/>
          <w:b/>
          <w:sz w:val="24"/>
          <w:szCs w:val="24"/>
        </w:rPr>
        <w:t>Draft Resolution 14.xx</w:t>
      </w:r>
    </w:p>
    <w:p w14:paraId="067DFC45" w14:textId="77777777" w:rsidR="009548E8" w:rsidRPr="00E76632" w:rsidRDefault="009548E8" w:rsidP="009548E8">
      <w:pPr>
        <w:rPr>
          <w:rFonts w:asciiTheme="minorHAnsi" w:hAnsiTheme="minorHAnsi"/>
          <w:b/>
          <w:sz w:val="24"/>
          <w:szCs w:val="24"/>
        </w:rPr>
      </w:pPr>
      <w:r w:rsidRPr="00E76632">
        <w:rPr>
          <w:rFonts w:asciiTheme="minorHAnsi" w:hAnsiTheme="minorHAnsi"/>
          <w:b/>
          <w:sz w:val="24"/>
          <w:szCs w:val="24"/>
        </w:rPr>
        <w:t>Financial and budgetary matters</w:t>
      </w:r>
    </w:p>
    <w:p w14:paraId="2A43A8E7" w14:textId="77777777" w:rsidR="009548E8" w:rsidRPr="00A43C3B" w:rsidRDefault="009548E8" w:rsidP="009548E8">
      <w:pPr>
        <w:rPr>
          <w:rFonts w:asciiTheme="minorHAnsi" w:hAnsiTheme="minorHAnsi"/>
          <w:b/>
        </w:rPr>
      </w:pPr>
    </w:p>
    <w:p w14:paraId="00B3647D" w14:textId="77777777" w:rsidR="009548E8" w:rsidRPr="0090568C" w:rsidRDefault="009548E8" w:rsidP="009548E8">
      <w:pPr>
        <w:pStyle w:val="ListParagraph"/>
        <w:widowControl/>
        <w:numPr>
          <w:ilvl w:val="0"/>
          <w:numId w:val="7"/>
        </w:numPr>
        <w:autoSpaceDE/>
        <w:autoSpaceDN/>
        <w:ind w:left="425" w:hanging="425"/>
        <w:rPr>
          <w:rFonts w:asciiTheme="minorHAnsi" w:hAnsiTheme="minorHAnsi"/>
        </w:rPr>
      </w:pPr>
      <w:r w:rsidRPr="0090568C">
        <w:rPr>
          <w:rFonts w:asciiTheme="minorHAnsi" w:hAnsiTheme="minorHAnsi"/>
        </w:rPr>
        <w:t>RECALLING the budgetary provisions established by paragraphs 5 and 6 of Article 6 of the Convention;</w:t>
      </w:r>
    </w:p>
    <w:p w14:paraId="7D22B638" w14:textId="77777777" w:rsidR="009548E8" w:rsidRPr="0090568C" w:rsidRDefault="009548E8" w:rsidP="009548E8">
      <w:pPr>
        <w:pStyle w:val="ListParagraph"/>
        <w:ind w:left="425"/>
        <w:rPr>
          <w:rFonts w:asciiTheme="minorHAnsi" w:hAnsiTheme="minorHAnsi"/>
        </w:rPr>
      </w:pPr>
    </w:p>
    <w:p w14:paraId="37B585FF" w14:textId="77777777" w:rsidR="009548E8" w:rsidRDefault="009548E8" w:rsidP="009548E8">
      <w:pPr>
        <w:rPr>
          <w:rFonts w:asciiTheme="minorHAnsi" w:hAnsiTheme="minorHAnsi"/>
        </w:rPr>
      </w:pPr>
      <w:r>
        <w:rPr>
          <w:rFonts w:asciiTheme="minorHAnsi" w:hAnsiTheme="minorHAnsi"/>
        </w:rPr>
        <w:t>2.</w:t>
      </w:r>
      <w:r>
        <w:rPr>
          <w:rFonts w:asciiTheme="minorHAnsi" w:hAnsiTheme="minorHAnsi"/>
        </w:rPr>
        <w:tab/>
      </w:r>
      <w:r w:rsidRPr="00835346">
        <w:rPr>
          <w:rFonts w:asciiTheme="minorHAnsi" w:hAnsiTheme="minorHAnsi"/>
        </w:rPr>
        <w:t xml:space="preserve">RECALLING </w:t>
      </w:r>
      <w:r w:rsidRPr="005C2ADF">
        <w:rPr>
          <w:rFonts w:asciiTheme="minorHAnsi" w:hAnsiTheme="minorHAnsi"/>
        </w:rPr>
        <w:t xml:space="preserve">Resolution XII.7 on </w:t>
      </w:r>
      <w:r w:rsidRPr="005C2ADF">
        <w:rPr>
          <w:rFonts w:asciiTheme="minorHAnsi" w:hAnsiTheme="minorHAnsi"/>
          <w:i/>
        </w:rPr>
        <w:t>Resource mobilization and partnership framework of the Ramsar Convention</w:t>
      </w:r>
      <w:r w:rsidRPr="00F353E8">
        <w:rPr>
          <w:rFonts w:asciiTheme="minorHAnsi" w:hAnsiTheme="minorHAnsi"/>
          <w:i/>
        </w:rPr>
        <w:t xml:space="preserve"> </w:t>
      </w:r>
      <w:r w:rsidRPr="00F353E8">
        <w:rPr>
          <w:rFonts w:asciiTheme="minorHAnsi" w:hAnsiTheme="minorHAnsi"/>
        </w:rPr>
        <w:t xml:space="preserve">and the related provisions of </w:t>
      </w:r>
      <w:r w:rsidRPr="00F353E8">
        <w:t xml:space="preserve">Resolution XIII.2 on </w:t>
      </w:r>
      <w:r w:rsidRPr="00E8761D">
        <w:rPr>
          <w:i/>
        </w:rPr>
        <w:t>Financial and budgetary matters</w:t>
      </w:r>
      <w:r>
        <w:rPr>
          <w:i/>
        </w:rPr>
        <w:t xml:space="preserve"> </w:t>
      </w:r>
      <w:r w:rsidRPr="005C2ADF">
        <w:t>and Resolution ExCOP3.2</w:t>
      </w:r>
      <w:r w:rsidRPr="005C2ADF">
        <w:rPr>
          <w:i/>
        </w:rPr>
        <w:t xml:space="preserve"> </w:t>
      </w:r>
      <w:r w:rsidRPr="00586541">
        <w:t>on</w:t>
      </w:r>
      <w:r w:rsidRPr="005C2ADF">
        <w:rPr>
          <w:i/>
        </w:rPr>
        <w:t xml:space="preserve"> Financial and budgetary matters: 2022 core budget</w:t>
      </w:r>
      <w:r w:rsidRPr="00835346">
        <w:rPr>
          <w:rFonts w:asciiTheme="minorHAnsi" w:hAnsiTheme="minorHAnsi"/>
        </w:rPr>
        <w:t>;</w:t>
      </w:r>
      <w:r>
        <w:rPr>
          <w:rFonts w:asciiTheme="minorHAnsi" w:hAnsiTheme="minorHAnsi"/>
        </w:rPr>
        <w:t xml:space="preserve"> </w:t>
      </w:r>
    </w:p>
    <w:p w14:paraId="49E24C32" w14:textId="77777777" w:rsidR="009548E8" w:rsidRPr="001D42CA" w:rsidRDefault="009548E8" w:rsidP="009548E8">
      <w:pPr>
        <w:rPr>
          <w:rFonts w:asciiTheme="minorHAnsi" w:hAnsiTheme="minorHAnsi"/>
        </w:rPr>
      </w:pPr>
    </w:p>
    <w:p w14:paraId="0991FBB9" w14:textId="77777777" w:rsidR="009548E8" w:rsidRPr="001D42CA" w:rsidRDefault="009548E8" w:rsidP="009548E8">
      <w:pPr>
        <w:rPr>
          <w:rFonts w:asciiTheme="minorHAnsi" w:hAnsiTheme="minorHAnsi"/>
        </w:rPr>
      </w:pPr>
      <w:r>
        <w:rPr>
          <w:rFonts w:asciiTheme="minorHAnsi" w:hAnsiTheme="minorHAnsi"/>
        </w:rPr>
        <w:t>3</w:t>
      </w:r>
      <w:r w:rsidRPr="001D42CA">
        <w:rPr>
          <w:rFonts w:asciiTheme="minorHAnsi" w:hAnsiTheme="minorHAnsi"/>
        </w:rPr>
        <w:t>.</w:t>
      </w:r>
      <w:r w:rsidRPr="001D42CA">
        <w:rPr>
          <w:rFonts w:asciiTheme="minorHAnsi" w:hAnsiTheme="minorHAnsi"/>
        </w:rPr>
        <w:tab/>
        <w:t>ACKNOWLEDGING WITH APPRECIATION the prompt payment by the majority of Contracting Parties of their contributions to the core budget of the Convention</w:t>
      </w:r>
      <w:r>
        <w:rPr>
          <w:rFonts w:asciiTheme="minorHAnsi" w:hAnsiTheme="minorHAnsi"/>
        </w:rPr>
        <w:t>;</w:t>
      </w:r>
      <w:r w:rsidRPr="001D42CA">
        <w:rPr>
          <w:rFonts w:asciiTheme="minorHAnsi" w:hAnsiTheme="minorHAnsi"/>
        </w:rPr>
        <w:t xml:space="preserve"> but NOTING WITH CONCERN that a number of Parties have significant outstanding contributions (</w:t>
      </w:r>
      <w:r>
        <w:rPr>
          <w:rFonts w:asciiTheme="minorHAnsi" w:hAnsiTheme="minorHAnsi"/>
        </w:rPr>
        <w:t xml:space="preserve">see document </w:t>
      </w:r>
      <w:r w:rsidRPr="001D42CA">
        <w:t>COP1</w:t>
      </w:r>
      <w:r>
        <w:t>4</w:t>
      </w:r>
      <w:r w:rsidRPr="001D42CA">
        <w:t xml:space="preserve"> Doc.</w:t>
      </w:r>
      <w:r>
        <w:t xml:space="preserve">xx, </w:t>
      </w:r>
      <w:r w:rsidRPr="005C2ADF">
        <w:rPr>
          <w:i/>
        </w:rPr>
        <w:t>Report on financial and budgetary matters</w:t>
      </w:r>
      <w:r w:rsidRPr="001D42CA">
        <w:rPr>
          <w:rFonts w:asciiTheme="minorHAnsi" w:hAnsiTheme="minorHAnsi"/>
        </w:rPr>
        <w:t>);</w:t>
      </w:r>
    </w:p>
    <w:p w14:paraId="4072AEB7" w14:textId="77777777" w:rsidR="009548E8" w:rsidRPr="001D42CA" w:rsidRDefault="009548E8" w:rsidP="009548E8">
      <w:pPr>
        <w:rPr>
          <w:rFonts w:asciiTheme="minorHAnsi" w:hAnsiTheme="minorHAnsi"/>
        </w:rPr>
      </w:pPr>
    </w:p>
    <w:p w14:paraId="0AA57967" w14:textId="77777777" w:rsidR="009548E8" w:rsidRPr="001D42CA" w:rsidRDefault="009548E8" w:rsidP="009548E8">
      <w:pPr>
        <w:rPr>
          <w:rFonts w:asciiTheme="minorHAnsi" w:hAnsiTheme="minorHAnsi"/>
        </w:rPr>
      </w:pPr>
      <w:r>
        <w:rPr>
          <w:rFonts w:asciiTheme="minorHAnsi" w:hAnsiTheme="minorHAnsi"/>
        </w:rPr>
        <w:t>4</w:t>
      </w:r>
      <w:r w:rsidRPr="001D42CA">
        <w:rPr>
          <w:rFonts w:asciiTheme="minorHAnsi" w:hAnsiTheme="minorHAnsi"/>
        </w:rPr>
        <w:t>.</w:t>
      </w:r>
      <w:r w:rsidRPr="001D42CA">
        <w:rPr>
          <w:rFonts w:asciiTheme="minorHAnsi" w:hAnsiTheme="minorHAnsi"/>
        </w:rPr>
        <w:tab/>
        <w:t>NOTING WITH GRATITUDE the additional voluntary financial contributions made by many Contracting Parties</w:t>
      </w:r>
      <w:r w:rsidRPr="000F0A5B">
        <w:rPr>
          <w:rFonts w:asciiTheme="minorHAnsi" w:hAnsiTheme="minorHAnsi"/>
        </w:rPr>
        <w:t xml:space="preserve">, including those from Contracting Parties of Africa </w:t>
      </w:r>
      <w:r w:rsidRPr="000F0A5B">
        <w:t xml:space="preserve">specifically earmarked for African Regional Initiatives (in accordance with paragraph 23 of Resolution X.2 on </w:t>
      </w:r>
      <w:r w:rsidRPr="000F0A5B">
        <w:rPr>
          <w:i/>
        </w:rPr>
        <w:t>Financial and budgetary matters</w:t>
      </w:r>
      <w:r w:rsidRPr="000F0A5B">
        <w:t>)</w:t>
      </w:r>
      <w:r w:rsidRPr="000F0A5B">
        <w:rPr>
          <w:rFonts w:asciiTheme="minorHAnsi" w:hAnsiTheme="minorHAnsi"/>
        </w:rPr>
        <w:t>,</w:t>
      </w:r>
      <w:r w:rsidRPr="001D42CA">
        <w:rPr>
          <w:rFonts w:asciiTheme="minorHAnsi" w:hAnsiTheme="minorHAnsi"/>
        </w:rPr>
        <w:t xml:space="preserve"> and also the contributions made by non-governmental organizations and private companies for activities undertaken by the Secretariat;</w:t>
      </w:r>
    </w:p>
    <w:p w14:paraId="092F0C82" w14:textId="77777777" w:rsidR="009548E8" w:rsidRPr="001D42CA" w:rsidRDefault="009548E8" w:rsidP="009548E8">
      <w:pPr>
        <w:rPr>
          <w:rFonts w:asciiTheme="minorHAnsi" w:hAnsiTheme="minorHAnsi"/>
        </w:rPr>
      </w:pPr>
    </w:p>
    <w:p w14:paraId="6CFF9185" w14:textId="77777777" w:rsidR="009548E8" w:rsidRPr="001D42CA" w:rsidRDefault="009548E8" w:rsidP="009548E8">
      <w:pPr>
        <w:rPr>
          <w:rFonts w:asciiTheme="minorHAnsi" w:hAnsiTheme="minorHAnsi"/>
        </w:rPr>
      </w:pPr>
      <w:r>
        <w:rPr>
          <w:rFonts w:asciiTheme="minorHAnsi" w:hAnsiTheme="minorHAnsi"/>
        </w:rPr>
        <w:t>5</w:t>
      </w:r>
      <w:r w:rsidRPr="001D42CA">
        <w:rPr>
          <w:rFonts w:asciiTheme="minorHAnsi" w:hAnsiTheme="minorHAnsi"/>
        </w:rPr>
        <w:t>.</w:t>
      </w:r>
      <w:r w:rsidRPr="001D42CA">
        <w:rPr>
          <w:rFonts w:asciiTheme="minorHAnsi" w:hAnsiTheme="minorHAnsi"/>
        </w:rPr>
        <w:tab/>
        <w:t xml:space="preserve">RECALLING the </w:t>
      </w:r>
      <w:r w:rsidRPr="001D42CA">
        <w:rPr>
          <w:rFonts w:asciiTheme="minorHAnsi" w:hAnsiTheme="minorHAnsi"/>
          <w:i/>
        </w:rPr>
        <w:t>Delegation of Authority to the Secretary General of the Convention on Wetlands</w:t>
      </w:r>
      <w:r w:rsidRPr="001D42CA">
        <w:rPr>
          <w:rFonts w:asciiTheme="minorHAnsi" w:hAnsiTheme="minorHAnsi"/>
        </w:rPr>
        <w:t xml:space="preserve"> signed by the Director General of the International Union for Conservation of Nature (IUCN) and the Chairman of the Convention’s Standing Committee on 29 January 1993, and the </w:t>
      </w:r>
      <w:r w:rsidRPr="001D42CA">
        <w:rPr>
          <w:rFonts w:asciiTheme="minorHAnsi" w:hAnsiTheme="minorHAnsi"/>
          <w:i/>
        </w:rPr>
        <w:t>Supplementary Note to Delegation of Authority</w:t>
      </w:r>
      <w:r w:rsidRPr="001D42CA">
        <w:rPr>
          <w:rFonts w:asciiTheme="minorHAnsi" w:hAnsiTheme="minorHAnsi"/>
        </w:rPr>
        <w:t xml:space="preserve"> signed on the same date;</w:t>
      </w:r>
    </w:p>
    <w:p w14:paraId="237E814C" w14:textId="77777777" w:rsidR="009548E8" w:rsidRPr="001D42CA" w:rsidRDefault="009548E8" w:rsidP="009548E8">
      <w:pPr>
        <w:rPr>
          <w:rFonts w:asciiTheme="minorHAnsi" w:hAnsiTheme="minorHAnsi"/>
        </w:rPr>
      </w:pPr>
    </w:p>
    <w:p w14:paraId="4732FC54" w14:textId="77777777" w:rsidR="009548E8" w:rsidRPr="001D42CA" w:rsidRDefault="009548E8" w:rsidP="009548E8">
      <w:pPr>
        <w:rPr>
          <w:rFonts w:asciiTheme="minorHAnsi" w:hAnsiTheme="minorHAnsi"/>
        </w:rPr>
      </w:pPr>
      <w:r>
        <w:rPr>
          <w:rFonts w:asciiTheme="minorHAnsi" w:hAnsiTheme="minorHAnsi"/>
        </w:rPr>
        <w:t>6</w:t>
      </w:r>
      <w:r w:rsidRPr="001D42CA">
        <w:rPr>
          <w:rFonts w:asciiTheme="minorHAnsi" w:hAnsiTheme="minorHAnsi"/>
        </w:rPr>
        <w:t>.</w:t>
      </w:r>
      <w:r w:rsidRPr="001D42CA">
        <w:rPr>
          <w:rFonts w:asciiTheme="minorHAnsi" w:hAnsiTheme="minorHAnsi"/>
        </w:rPr>
        <w:tab/>
        <w:t>ACKNOWLEDGING WITH APPRECIATION the financial and administrative services provided to the Secretariat by IUCN, underpinned by the Services Agreement between Ramsar and IUCN revised in 2009;</w:t>
      </w:r>
    </w:p>
    <w:p w14:paraId="0A06F371" w14:textId="77777777" w:rsidR="009548E8" w:rsidRPr="001D42CA" w:rsidRDefault="009548E8" w:rsidP="009548E8">
      <w:pPr>
        <w:pStyle w:val="ListParagraph"/>
        <w:ind w:left="425"/>
        <w:rPr>
          <w:rFonts w:asciiTheme="minorHAnsi" w:hAnsiTheme="minorHAnsi"/>
        </w:rPr>
      </w:pPr>
    </w:p>
    <w:p w14:paraId="47B5F01F" w14:textId="77777777" w:rsidR="009548E8" w:rsidRDefault="009548E8" w:rsidP="009548E8">
      <w:pPr>
        <w:rPr>
          <w:rFonts w:asciiTheme="minorHAnsi" w:hAnsiTheme="minorHAnsi"/>
        </w:rPr>
      </w:pPr>
      <w:r>
        <w:rPr>
          <w:rFonts w:asciiTheme="minorHAnsi" w:hAnsiTheme="minorHAnsi"/>
        </w:rPr>
        <w:t>7</w:t>
      </w:r>
      <w:r w:rsidRPr="001D42CA">
        <w:rPr>
          <w:rFonts w:asciiTheme="minorHAnsi" w:hAnsiTheme="minorHAnsi"/>
        </w:rPr>
        <w:t>.</w:t>
      </w:r>
      <w:r w:rsidRPr="001D42CA">
        <w:rPr>
          <w:rFonts w:asciiTheme="minorHAnsi" w:hAnsiTheme="minorHAnsi"/>
        </w:rPr>
        <w:tab/>
        <w:t xml:space="preserve">NOTING that Contracting Parties have been kept informed of the financial situation of the Secretariat through the audited annual financial statements for the years from </w:t>
      </w:r>
      <w:r>
        <w:rPr>
          <w:rFonts w:asciiTheme="minorHAnsi" w:hAnsiTheme="minorHAnsi"/>
        </w:rPr>
        <w:t>2018 to 2021</w:t>
      </w:r>
      <w:r w:rsidRPr="001D42CA">
        <w:rPr>
          <w:rFonts w:asciiTheme="minorHAnsi" w:hAnsiTheme="minorHAnsi"/>
        </w:rPr>
        <w:t xml:space="preserve"> and the reports of the Standing Committee meetings from </w:t>
      </w:r>
      <w:r>
        <w:rPr>
          <w:rFonts w:asciiTheme="minorHAnsi" w:hAnsiTheme="minorHAnsi"/>
        </w:rPr>
        <w:t>2019 to 2022</w:t>
      </w:r>
      <w:r w:rsidRPr="001D42CA">
        <w:rPr>
          <w:rFonts w:asciiTheme="minorHAnsi" w:hAnsiTheme="minorHAnsi"/>
        </w:rPr>
        <w:t xml:space="preserve">; </w:t>
      </w:r>
      <w:r>
        <w:rPr>
          <w:rFonts w:asciiTheme="minorHAnsi" w:hAnsiTheme="minorHAnsi"/>
        </w:rPr>
        <w:t>and</w:t>
      </w:r>
    </w:p>
    <w:p w14:paraId="29C9A656" w14:textId="77777777" w:rsidR="009548E8" w:rsidRDefault="009548E8" w:rsidP="009548E8">
      <w:pPr>
        <w:rPr>
          <w:rFonts w:asciiTheme="minorHAnsi" w:hAnsiTheme="minorHAnsi"/>
        </w:rPr>
      </w:pPr>
    </w:p>
    <w:p w14:paraId="37FEF940" w14:textId="77777777" w:rsidR="009548E8" w:rsidRPr="001D42CA" w:rsidRDefault="009548E8" w:rsidP="009548E8">
      <w:pPr>
        <w:rPr>
          <w:rFonts w:asciiTheme="minorHAnsi" w:hAnsiTheme="minorHAnsi"/>
        </w:rPr>
      </w:pPr>
      <w:r>
        <w:rPr>
          <w:rFonts w:asciiTheme="minorHAnsi" w:hAnsiTheme="minorHAnsi"/>
        </w:rPr>
        <w:t>8.</w:t>
      </w:r>
      <w:r>
        <w:rPr>
          <w:rFonts w:asciiTheme="minorHAnsi" w:hAnsiTheme="minorHAnsi"/>
        </w:rPr>
        <w:tab/>
        <w:t>R</w:t>
      </w:r>
      <w:r w:rsidRPr="001D42CA">
        <w:rPr>
          <w:rFonts w:asciiTheme="minorHAnsi" w:hAnsiTheme="minorHAnsi"/>
        </w:rPr>
        <w:t>ECOGNIZING the need to continue to strengthen financial partnerships with relevant international organizations and other entities, and to explore additional funding opportunities through their</w:t>
      </w:r>
      <w:r>
        <w:rPr>
          <w:rFonts w:asciiTheme="minorHAnsi" w:hAnsiTheme="minorHAnsi"/>
        </w:rPr>
        <w:t xml:space="preserve"> existing financial mechanisms;</w:t>
      </w:r>
    </w:p>
    <w:p w14:paraId="4BACD514" w14:textId="77777777" w:rsidR="009548E8" w:rsidRPr="001D42CA" w:rsidRDefault="009548E8" w:rsidP="009548E8">
      <w:pPr>
        <w:ind w:left="426" w:hanging="426"/>
        <w:rPr>
          <w:rFonts w:asciiTheme="minorHAnsi" w:hAnsiTheme="minorHAnsi"/>
        </w:rPr>
      </w:pPr>
    </w:p>
    <w:p w14:paraId="40774F62" w14:textId="77777777" w:rsidR="009548E8" w:rsidRPr="001D42CA" w:rsidRDefault="009548E8" w:rsidP="009548E8">
      <w:pPr>
        <w:keepNext/>
        <w:ind w:left="426" w:hanging="426"/>
        <w:jc w:val="center"/>
        <w:rPr>
          <w:rFonts w:asciiTheme="minorHAnsi" w:hAnsiTheme="minorHAnsi"/>
        </w:rPr>
      </w:pPr>
      <w:r w:rsidRPr="001D42CA">
        <w:rPr>
          <w:rFonts w:asciiTheme="minorHAnsi" w:hAnsiTheme="minorHAnsi"/>
        </w:rPr>
        <w:t>THE CONFERENCE OF THE CONTRACTING PARTIES</w:t>
      </w:r>
    </w:p>
    <w:p w14:paraId="3C2D4AC1" w14:textId="77777777" w:rsidR="009548E8" w:rsidRPr="001D42CA" w:rsidRDefault="009548E8" w:rsidP="009548E8">
      <w:pPr>
        <w:keepNext/>
        <w:ind w:left="567" w:hanging="567"/>
        <w:rPr>
          <w:rFonts w:asciiTheme="minorHAnsi" w:hAnsiTheme="minorHAnsi"/>
        </w:rPr>
      </w:pPr>
    </w:p>
    <w:p w14:paraId="30999406" w14:textId="77777777" w:rsidR="009548E8" w:rsidRPr="001D42CA" w:rsidRDefault="009548E8" w:rsidP="009548E8">
      <w:pPr>
        <w:rPr>
          <w:rFonts w:asciiTheme="minorHAnsi" w:hAnsiTheme="minorHAnsi"/>
        </w:rPr>
      </w:pPr>
      <w:r>
        <w:rPr>
          <w:rFonts w:asciiTheme="minorHAnsi" w:hAnsiTheme="minorHAnsi"/>
        </w:rPr>
        <w:t>9</w:t>
      </w:r>
      <w:r w:rsidRPr="001D42CA">
        <w:rPr>
          <w:rFonts w:asciiTheme="minorHAnsi" w:hAnsiTheme="minorHAnsi"/>
        </w:rPr>
        <w:t>.</w:t>
      </w:r>
      <w:r w:rsidRPr="001D42CA">
        <w:rPr>
          <w:rFonts w:asciiTheme="minorHAnsi" w:hAnsiTheme="minorHAnsi"/>
        </w:rPr>
        <w:tab/>
        <w:t>APPRECIATES that, since the 1</w:t>
      </w:r>
      <w:r>
        <w:rPr>
          <w:rFonts w:asciiTheme="minorHAnsi" w:hAnsiTheme="minorHAnsi"/>
        </w:rPr>
        <w:t>3</w:t>
      </w:r>
      <w:r w:rsidRPr="001D42CA">
        <w:rPr>
          <w:rFonts w:asciiTheme="minorHAnsi" w:hAnsiTheme="minorHAnsi"/>
        </w:rPr>
        <w:t xml:space="preserve">th </w:t>
      </w:r>
      <w:r>
        <w:rPr>
          <w:rFonts w:asciiTheme="minorHAnsi" w:hAnsiTheme="minorHAnsi"/>
        </w:rPr>
        <w:t>m</w:t>
      </w:r>
      <w:r w:rsidRPr="001D42CA">
        <w:rPr>
          <w:rFonts w:asciiTheme="minorHAnsi" w:hAnsiTheme="minorHAnsi"/>
        </w:rPr>
        <w:t>eeting of the Conference of the Contracting Parties (COP1</w:t>
      </w:r>
      <w:r>
        <w:rPr>
          <w:rFonts w:asciiTheme="minorHAnsi" w:hAnsiTheme="minorHAnsi"/>
        </w:rPr>
        <w:t>3</w:t>
      </w:r>
      <w:r w:rsidRPr="001D42CA">
        <w:rPr>
          <w:rFonts w:asciiTheme="minorHAnsi" w:hAnsiTheme="minorHAnsi"/>
        </w:rPr>
        <w:t>)</w:t>
      </w:r>
      <w:r>
        <w:rPr>
          <w:rFonts w:asciiTheme="minorHAnsi" w:hAnsiTheme="minorHAnsi"/>
        </w:rPr>
        <w:t>,</w:t>
      </w:r>
      <w:r w:rsidRPr="001D42CA">
        <w:rPr>
          <w:rFonts w:asciiTheme="minorHAnsi" w:hAnsiTheme="minorHAnsi"/>
        </w:rPr>
        <w:t xml:space="preserve"> in 201</w:t>
      </w:r>
      <w:r>
        <w:rPr>
          <w:rFonts w:asciiTheme="minorHAnsi" w:hAnsiTheme="minorHAnsi"/>
        </w:rPr>
        <w:t>8</w:t>
      </w:r>
      <w:r w:rsidRPr="001D42CA">
        <w:rPr>
          <w:rFonts w:asciiTheme="minorHAnsi" w:hAnsiTheme="minorHAnsi"/>
        </w:rPr>
        <w:t xml:space="preserve">, the Secretariat has </w:t>
      </w:r>
      <w:r>
        <w:rPr>
          <w:rFonts w:asciiTheme="minorHAnsi" w:hAnsiTheme="minorHAnsi"/>
        </w:rPr>
        <w:t xml:space="preserve">continued to substantially improve its management of </w:t>
      </w:r>
      <w:r w:rsidRPr="001D42CA">
        <w:rPr>
          <w:rFonts w:asciiTheme="minorHAnsi" w:hAnsiTheme="minorHAnsi"/>
        </w:rPr>
        <w:t>the Convention’s funds</w:t>
      </w:r>
      <w:r>
        <w:rPr>
          <w:rFonts w:asciiTheme="minorHAnsi" w:hAnsiTheme="minorHAnsi"/>
        </w:rPr>
        <w:t>,</w:t>
      </w:r>
      <w:r w:rsidRPr="001D42CA">
        <w:rPr>
          <w:rFonts w:asciiTheme="minorHAnsi" w:hAnsiTheme="minorHAnsi"/>
        </w:rPr>
        <w:t xml:space="preserve"> prudently, efficiently and openly;</w:t>
      </w:r>
    </w:p>
    <w:p w14:paraId="0ED06FB7" w14:textId="77777777" w:rsidR="009548E8" w:rsidRPr="001D42CA" w:rsidRDefault="009548E8" w:rsidP="009548E8">
      <w:pPr>
        <w:rPr>
          <w:rFonts w:asciiTheme="minorHAnsi" w:hAnsiTheme="minorHAnsi"/>
        </w:rPr>
      </w:pPr>
    </w:p>
    <w:p w14:paraId="6D5A8888" w14:textId="77777777" w:rsidR="009548E8" w:rsidRPr="001D42CA" w:rsidRDefault="009548E8" w:rsidP="009548E8">
      <w:pPr>
        <w:rPr>
          <w:rFonts w:asciiTheme="minorHAnsi" w:hAnsiTheme="minorHAnsi"/>
        </w:rPr>
      </w:pPr>
      <w:r>
        <w:rPr>
          <w:rFonts w:asciiTheme="minorHAnsi" w:hAnsiTheme="minorHAnsi"/>
        </w:rPr>
        <w:t>10</w:t>
      </w:r>
      <w:r w:rsidRPr="001D42CA">
        <w:rPr>
          <w:rFonts w:asciiTheme="minorHAnsi" w:hAnsiTheme="minorHAnsi"/>
        </w:rPr>
        <w:t>.</w:t>
      </w:r>
      <w:r w:rsidRPr="001D42CA">
        <w:rPr>
          <w:rFonts w:asciiTheme="minorHAnsi" w:hAnsiTheme="minorHAnsi"/>
        </w:rPr>
        <w:tab/>
        <w:t xml:space="preserve">EXPRESSES ITS GRATITUDE to the Contracting Parties that have served in the Subgroup on Finance of the Standing Committee during the </w:t>
      </w:r>
      <w:r>
        <w:rPr>
          <w:rFonts w:asciiTheme="minorHAnsi" w:hAnsiTheme="minorHAnsi"/>
        </w:rPr>
        <w:t>2019-2021</w:t>
      </w:r>
      <w:r w:rsidRPr="00F353E8">
        <w:rPr>
          <w:rFonts w:asciiTheme="minorHAnsi" w:hAnsiTheme="minorHAnsi"/>
        </w:rPr>
        <w:t xml:space="preserve"> </w:t>
      </w:r>
      <w:r w:rsidRPr="001D42CA">
        <w:rPr>
          <w:rFonts w:asciiTheme="minorHAnsi" w:hAnsiTheme="minorHAnsi"/>
        </w:rPr>
        <w:t>triennium</w:t>
      </w:r>
      <w:r>
        <w:rPr>
          <w:rFonts w:asciiTheme="minorHAnsi" w:hAnsiTheme="minorHAnsi"/>
        </w:rPr>
        <w:t xml:space="preserve"> and 2022</w:t>
      </w:r>
      <w:r w:rsidRPr="001D42CA">
        <w:rPr>
          <w:rFonts w:asciiTheme="minorHAnsi" w:hAnsiTheme="minorHAnsi"/>
        </w:rPr>
        <w:t xml:space="preserve">, and in particular to </w:t>
      </w:r>
      <w:r>
        <w:rPr>
          <w:rFonts w:asciiTheme="minorHAnsi" w:hAnsiTheme="minorHAnsi"/>
        </w:rPr>
        <w:t>Mexico</w:t>
      </w:r>
      <w:r w:rsidRPr="001D42CA">
        <w:rPr>
          <w:rFonts w:asciiTheme="minorHAnsi" w:hAnsiTheme="minorHAnsi"/>
        </w:rPr>
        <w:t>, which has acted as Chair of the Subgroup;</w:t>
      </w:r>
    </w:p>
    <w:p w14:paraId="4534CD6E" w14:textId="77777777" w:rsidR="009548E8" w:rsidRPr="001D42CA" w:rsidRDefault="009548E8" w:rsidP="009548E8">
      <w:pPr>
        <w:rPr>
          <w:rFonts w:asciiTheme="minorHAnsi" w:hAnsiTheme="minorHAnsi"/>
        </w:rPr>
      </w:pPr>
    </w:p>
    <w:p w14:paraId="15B9D0E7" w14:textId="77777777" w:rsidR="009548E8" w:rsidRPr="001D42CA" w:rsidRDefault="009548E8" w:rsidP="009548E8">
      <w:pPr>
        <w:rPr>
          <w:rFonts w:asciiTheme="minorHAnsi" w:hAnsiTheme="minorHAnsi"/>
        </w:rPr>
      </w:pPr>
      <w:r w:rsidRPr="001D42CA">
        <w:rPr>
          <w:rFonts w:asciiTheme="minorHAnsi" w:hAnsiTheme="minorHAnsi"/>
        </w:rPr>
        <w:t>1</w:t>
      </w:r>
      <w:r>
        <w:rPr>
          <w:rFonts w:asciiTheme="minorHAnsi" w:hAnsiTheme="minorHAnsi"/>
        </w:rPr>
        <w:t>1</w:t>
      </w:r>
      <w:r w:rsidRPr="001D42CA">
        <w:rPr>
          <w:rFonts w:asciiTheme="minorHAnsi" w:hAnsiTheme="minorHAnsi"/>
        </w:rPr>
        <w:t>.</w:t>
      </w:r>
      <w:r w:rsidRPr="001D42CA">
        <w:rPr>
          <w:rFonts w:asciiTheme="minorHAnsi" w:hAnsiTheme="minorHAnsi"/>
        </w:rPr>
        <w:tab/>
        <w:t xml:space="preserve">DECIDES that the </w:t>
      </w:r>
      <w:r w:rsidRPr="001D42CA">
        <w:rPr>
          <w:rFonts w:asciiTheme="minorHAnsi" w:hAnsiTheme="minorHAnsi"/>
          <w:i/>
        </w:rPr>
        <w:t>Terms of Reference for the Financial Administration of the Convention</w:t>
      </w:r>
      <w:r w:rsidRPr="001D42CA">
        <w:rPr>
          <w:rFonts w:asciiTheme="minorHAnsi" w:hAnsiTheme="minorHAnsi"/>
        </w:rPr>
        <w:t xml:space="preserve"> contained in Annex 3 to Resolution 5.2</w:t>
      </w:r>
      <w:r>
        <w:rPr>
          <w:rFonts w:asciiTheme="minorHAnsi" w:hAnsiTheme="minorHAnsi"/>
        </w:rPr>
        <w:t xml:space="preserve"> on </w:t>
      </w:r>
      <w:r w:rsidRPr="009F7A19">
        <w:rPr>
          <w:rFonts w:asciiTheme="minorHAnsi" w:hAnsiTheme="minorHAnsi"/>
          <w:i/>
        </w:rPr>
        <w:t>Financial and budgetary matters</w:t>
      </w:r>
      <w:r w:rsidRPr="001D42CA">
        <w:rPr>
          <w:rFonts w:asciiTheme="minorHAnsi" w:hAnsiTheme="minorHAnsi"/>
        </w:rPr>
        <w:t xml:space="preserve"> (1993)</w:t>
      </w:r>
      <w:r>
        <w:rPr>
          <w:rFonts w:asciiTheme="minorHAnsi" w:hAnsiTheme="minorHAnsi"/>
        </w:rPr>
        <w:t>,</w:t>
      </w:r>
      <w:r w:rsidRPr="001D42CA">
        <w:rPr>
          <w:rFonts w:asciiTheme="minorHAnsi" w:hAnsiTheme="minorHAnsi"/>
        </w:rPr>
        <w:t xml:space="preserve"> </w:t>
      </w:r>
      <w:r>
        <w:rPr>
          <w:rFonts w:asciiTheme="minorHAnsi" w:hAnsiTheme="minorHAnsi"/>
        </w:rPr>
        <w:t>is to</w:t>
      </w:r>
      <w:r w:rsidRPr="001D42CA">
        <w:rPr>
          <w:rFonts w:asciiTheme="minorHAnsi" w:hAnsiTheme="minorHAnsi"/>
        </w:rPr>
        <w:t xml:space="preserve"> be applied </w:t>
      </w:r>
      <w:r w:rsidRPr="001D42CA">
        <w:rPr>
          <w:rFonts w:asciiTheme="minorHAnsi" w:hAnsiTheme="minorHAnsi"/>
          <w:i/>
        </w:rPr>
        <w:t xml:space="preserve">in </w:t>
      </w:r>
      <w:r w:rsidRPr="001D42CA">
        <w:rPr>
          <w:rFonts w:asciiTheme="minorHAnsi" w:hAnsiTheme="minorHAnsi"/>
          <w:i/>
        </w:rPr>
        <w:lastRenderedPageBreak/>
        <w:t>toto</w:t>
      </w:r>
      <w:r w:rsidRPr="001D42CA">
        <w:rPr>
          <w:rFonts w:asciiTheme="minorHAnsi" w:hAnsiTheme="minorHAnsi"/>
        </w:rPr>
        <w:t xml:space="preserve"> to the </w:t>
      </w:r>
      <w:r>
        <w:rPr>
          <w:rFonts w:asciiTheme="minorHAnsi" w:hAnsiTheme="minorHAnsi"/>
        </w:rPr>
        <w:t>2023-2025</w:t>
      </w:r>
      <w:r w:rsidRPr="001D42CA">
        <w:rPr>
          <w:rFonts w:asciiTheme="minorHAnsi" w:hAnsiTheme="minorHAnsi"/>
        </w:rPr>
        <w:t xml:space="preserve"> </w:t>
      </w:r>
      <w:r>
        <w:rPr>
          <w:rFonts w:asciiTheme="minorHAnsi" w:hAnsiTheme="minorHAnsi"/>
        </w:rPr>
        <w:t>triennium</w:t>
      </w:r>
      <w:r w:rsidRPr="001D42CA">
        <w:rPr>
          <w:rFonts w:asciiTheme="minorHAnsi" w:hAnsiTheme="minorHAnsi"/>
        </w:rPr>
        <w:t>;</w:t>
      </w:r>
    </w:p>
    <w:p w14:paraId="148FDC87" w14:textId="77777777" w:rsidR="009548E8" w:rsidRPr="001D42CA" w:rsidRDefault="009548E8" w:rsidP="009548E8">
      <w:pPr>
        <w:rPr>
          <w:rFonts w:asciiTheme="minorHAnsi" w:hAnsiTheme="minorHAnsi"/>
        </w:rPr>
      </w:pPr>
    </w:p>
    <w:p w14:paraId="6E0BD9C4" w14:textId="77777777" w:rsidR="009548E8" w:rsidRPr="001D42CA" w:rsidRDefault="009548E8" w:rsidP="009548E8">
      <w:pPr>
        <w:rPr>
          <w:rFonts w:asciiTheme="minorHAnsi" w:hAnsiTheme="minorHAnsi"/>
        </w:rPr>
      </w:pPr>
      <w:r w:rsidRPr="001D42CA">
        <w:rPr>
          <w:rFonts w:asciiTheme="minorHAnsi" w:hAnsiTheme="minorHAnsi"/>
        </w:rPr>
        <w:t>1</w:t>
      </w:r>
      <w:r>
        <w:rPr>
          <w:rFonts w:asciiTheme="minorHAnsi" w:hAnsiTheme="minorHAnsi"/>
        </w:rPr>
        <w:t>2</w:t>
      </w:r>
      <w:r w:rsidRPr="001D42CA">
        <w:rPr>
          <w:rFonts w:asciiTheme="minorHAnsi" w:hAnsiTheme="minorHAnsi"/>
        </w:rPr>
        <w:t>.</w:t>
      </w:r>
      <w:r w:rsidRPr="001D42CA">
        <w:rPr>
          <w:rFonts w:asciiTheme="minorHAnsi" w:hAnsiTheme="minorHAnsi"/>
        </w:rPr>
        <w:tab/>
        <w:t xml:space="preserve">FURTHER DECIDES that the Subgroup on Finance will </w:t>
      </w:r>
      <w:r>
        <w:rPr>
          <w:rFonts w:asciiTheme="minorHAnsi" w:hAnsiTheme="minorHAnsi"/>
        </w:rPr>
        <w:t xml:space="preserve">be </w:t>
      </w:r>
      <w:r w:rsidRPr="001D42CA">
        <w:rPr>
          <w:rFonts w:asciiTheme="minorHAnsi" w:hAnsiTheme="minorHAnsi"/>
        </w:rPr>
        <w:t>continue</w:t>
      </w:r>
      <w:r>
        <w:rPr>
          <w:rFonts w:asciiTheme="minorHAnsi" w:hAnsiTheme="minorHAnsi"/>
        </w:rPr>
        <w:t>d</w:t>
      </w:r>
      <w:r w:rsidRPr="001D42CA">
        <w:rPr>
          <w:rFonts w:asciiTheme="minorHAnsi" w:hAnsiTheme="minorHAnsi"/>
        </w:rPr>
        <w:t xml:space="preserve"> </w:t>
      </w:r>
      <w:r>
        <w:rPr>
          <w:rFonts w:asciiTheme="minorHAnsi" w:hAnsiTheme="minorHAnsi"/>
        </w:rPr>
        <w:t>and</w:t>
      </w:r>
      <w:r w:rsidRPr="001D42CA">
        <w:rPr>
          <w:rFonts w:asciiTheme="minorHAnsi" w:hAnsiTheme="minorHAnsi"/>
        </w:rPr>
        <w:t xml:space="preserve"> operate under the aegis of the Standing Committee and with the roles and responsibilities specified in Resolution VI.17</w:t>
      </w:r>
      <w:r>
        <w:rPr>
          <w:rFonts w:asciiTheme="minorHAnsi" w:hAnsiTheme="minorHAnsi"/>
        </w:rPr>
        <w:t xml:space="preserve"> on </w:t>
      </w:r>
      <w:r w:rsidRPr="0051043B">
        <w:rPr>
          <w:rFonts w:asciiTheme="minorHAnsi" w:hAnsiTheme="minorHAnsi"/>
          <w:i/>
        </w:rPr>
        <w:t>Financial and budgetary matters</w:t>
      </w:r>
      <w:r w:rsidRPr="001D42CA">
        <w:rPr>
          <w:rFonts w:asciiTheme="minorHAnsi" w:hAnsiTheme="minorHAnsi"/>
        </w:rPr>
        <w:t xml:space="preserve"> (1996), and will include one Standing Committee representative from each Ramsar region plus the immediate</w:t>
      </w:r>
      <w:r>
        <w:rPr>
          <w:rFonts w:asciiTheme="minorHAnsi" w:hAnsiTheme="minorHAnsi"/>
        </w:rPr>
        <w:t>ly</w:t>
      </w:r>
      <w:r w:rsidRPr="001D42CA">
        <w:rPr>
          <w:rFonts w:asciiTheme="minorHAnsi" w:hAnsiTheme="minorHAnsi"/>
        </w:rPr>
        <w:t xml:space="preserve"> prior </w:t>
      </w:r>
      <w:r>
        <w:rPr>
          <w:rFonts w:asciiTheme="minorHAnsi" w:hAnsiTheme="minorHAnsi"/>
        </w:rPr>
        <w:t xml:space="preserve">Chair of the Subgroup on </w:t>
      </w:r>
      <w:r w:rsidRPr="001D42CA">
        <w:rPr>
          <w:rFonts w:asciiTheme="minorHAnsi" w:hAnsiTheme="minorHAnsi"/>
        </w:rPr>
        <w:t xml:space="preserve">Finance, as well as any other interested Contracting Parties, bearing in mind the desirability of equitable regional participation and the need to keep the group to a manageable size, and will designate one of its members as its Chair; and NOTES that travel support for eligible Contracting Parties to attend Subgroup meetings </w:t>
      </w:r>
      <w:r>
        <w:rPr>
          <w:rFonts w:asciiTheme="minorHAnsi" w:hAnsiTheme="minorHAnsi"/>
        </w:rPr>
        <w:t>will</w:t>
      </w:r>
      <w:r w:rsidRPr="001D42CA">
        <w:rPr>
          <w:rFonts w:asciiTheme="minorHAnsi" w:hAnsiTheme="minorHAnsi"/>
        </w:rPr>
        <w:t xml:space="preserve"> be limited to the regional representatives of the Standing Committee;</w:t>
      </w:r>
    </w:p>
    <w:p w14:paraId="57AE3348" w14:textId="77777777" w:rsidR="009548E8" w:rsidRPr="001D42CA" w:rsidRDefault="009548E8" w:rsidP="009548E8">
      <w:pPr>
        <w:pStyle w:val="ListParagraph"/>
        <w:ind w:left="425"/>
        <w:rPr>
          <w:rFonts w:asciiTheme="minorHAnsi" w:hAnsiTheme="minorHAnsi"/>
        </w:rPr>
      </w:pPr>
    </w:p>
    <w:p w14:paraId="50F22D64" w14:textId="77777777" w:rsidR="009548E8" w:rsidRPr="001D42CA" w:rsidRDefault="009548E8" w:rsidP="009548E8">
      <w:pPr>
        <w:rPr>
          <w:rFonts w:asciiTheme="minorHAnsi" w:hAnsiTheme="minorHAnsi"/>
        </w:rPr>
      </w:pPr>
      <w:r w:rsidRPr="001D42CA">
        <w:rPr>
          <w:rFonts w:asciiTheme="minorHAnsi" w:hAnsiTheme="minorHAnsi"/>
        </w:rPr>
        <w:t>1</w:t>
      </w:r>
      <w:r>
        <w:rPr>
          <w:rFonts w:asciiTheme="minorHAnsi" w:hAnsiTheme="minorHAnsi"/>
        </w:rPr>
        <w:t>3</w:t>
      </w:r>
      <w:r w:rsidRPr="001D42CA">
        <w:rPr>
          <w:rFonts w:asciiTheme="minorHAnsi" w:hAnsiTheme="minorHAnsi"/>
        </w:rPr>
        <w:t>.</w:t>
      </w:r>
      <w:r w:rsidRPr="001D42CA">
        <w:rPr>
          <w:rFonts w:asciiTheme="minorHAnsi" w:hAnsiTheme="minorHAnsi"/>
        </w:rPr>
        <w:tab/>
        <w:t xml:space="preserve">NOTES that the </w:t>
      </w:r>
      <w:r>
        <w:rPr>
          <w:rFonts w:asciiTheme="minorHAnsi" w:hAnsiTheme="minorHAnsi"/>
        </w:rPr>
        <w:t>2023-2025</w:t>
      </w:r>
      <w:r w:rsidRPr="001D42CA">
        <w:rPr>
          <w:rFonts w:asciiTheme="minorHAnsi" w:hAnsiTheme="minorHAnsi"/>
        </w:rPr>
        <w:t xml:space="preserve"> budget includes a core element funded by contributions from Contracting Parties, and that the </w:t>
      </w:r>
      <w:r w:rsidRPr="001D42CA">
        <w:rPr>
          <w:rFonts w:asciiTheme="minorHAnsi" w:eastAsia="Batang" w:hAnsiTheme="minorHAnsi"/>
        </w:rPr>
        <w:t>Secretariat will seek additional non-core resources in line with the priorities identified by the Conference of the Parties</w:t>
      </w:r>
      <w:r w:rsidRPr="000F0A5B">
        <w:rPr>
          <w:rFonts w:asciiTheme="minorHAnsi" w:hAnsiTheme="minorHAnsi"/>
        </w:rPr>
        <w:t>; and REQUESTS that the Secretariat continue to develop new approaches and tools to secure voluntary financial support for currently unfunded priority projects;</w:t>
      </w:r>
    </w:p>
    <w:p w14:paraId="75C4462B" w14:textId="77777777" w:rsidR="009548E8" w:rsidRPr="001D42CA" w:rsidRDefault="009548E8" w:rsidP="009548E8">
      <w:pPr>
        <w:pStyle w:val="MGfulltext"/>
        <w:spacing w:after="0"/>
        <w:ind w:left="425" w:hanging="425"/>
        <w:rPr>
          <w:rFonts w:asciiTheme="minorHAnsi" w:hAnsiTheme="minorHAnsi"/>
          <w:lang w:val="en-GB"/>
        </w:rPr>
      </w:pPr>
    </w:p>
    <w:p w14:paraId="05C4CE98" w14:textId="77777777" w:rsidR="009548E8" w:rsidRPr="00F353E8" w:rsidRDefault="009548E8" w:rsidP="009548E8">
      <w:pPr>
        <w:rPr>
          <w:rFonts w:asciiTheme="minorHAnsi" w:hAnsiTheme="minorHAnsi"/>
        </w:rPr>
      </w:pPr>
      <w:r w:rsidRPr="00832990">
        <w:rPr>
          <w:rFonts w:asciiTheme="minorHAnsi" w:hAnsiTheme="minorHAnsi"/>
        </w:rPr>
        <w:t>14.</w:t>
      </w:r>
      <w:r w:rsidRPr="00832990">
        <w:rPr>
          <w:rFonts w:asciiTheme="minorHAnsi" w:hAnsiTheme="minorHAnsi"/>
        </w:rPr>
        <w:tab/>
        <w:t xml:space="preserve">APPROVES the core </w:t>
      </w:r>
      <w:r w:rsidRPr="00F353E8">
        <w:rPr>
          <w:rFonts w:asciiTheme="minorHAnsi" w:hAnsiTheme="minorHAnsi"/>
        </w:rPr>
        <w:t>budget for the 202</w:t>
      </w:r>
      <w:r>
        <w:rPr>
          <w:rFonts w:asciiTheme="minorHAnsi" w:hAnsiTheme="minorHAnsi"/>
        </w:rPr>
        <w:t>3</w:t>
      </w:r>
      <w:r w:rsidRPr="00F353E8">
        <w:rPr>
          <w:rFonts w:asciiTheme="minorHAnsi" w:hAnsiTheme="minorHAnsi"/>
        </w:rPr>
        <w:t>-202</w:t>
      </w:r>
      <w:r>
        <w:rPr>
          <w:rFonts w:asciiTheme="minorHAnsi" w:hAnsiTheme="minorHAnsi"/>
        </w:rPr>
        <w:t>5</w:t>
      </w:r>
      <w:r w:rsidRPr="00F353E8">
        <w:rPr>
          <w:rFonts w:asciiTheme="minorHAnsi" w:hAnsiTheme="minorHAnsi"/>
        </w:rPr>
        <w:t xml:space="preserve"> triennium as presented in Annex 1</w:t>
      </w:r>
      <w:r w:rsidRPr="00F353E8">
        <w:rPr>
          <w:rFonts w:asciiTheme="minorHAnsi" w:eastAsia="Batang" w:hAnsiTheme="minorHAnsi"/>
        </w:rPr>
        <w:t xml:space="preserve"> of the present Resolution</w:t>
      </w:r>
      <w:r w:rsidRPr="00F353E8">
        <w:rPr>
          <w:rFonts w:asciiTheme="minorHAnsi" w:hAnsiTheme="minorHAnsi"/>
        </w:rPr>
        <w:t>, to enable the implementation of the Ramsar Strategic Plan 2016-2024;</w:t>
      </w:r>
    </w:p>
    <w:p w14:paraId="6A365124" w14:textId="77777777" w:rsidR="009548E8" w:rsidRPr="00F353E8" w:rsidRDefault="009548E8" w:rsidP="009548E8">
      <w:pPr>
        <w:rPr>
          <w:rFonts w:asciiTheme="minorHAnsi" w:hAnsiTheme="minorHAnsi"/>
        </w:rPr>
      </w:pPr>
    </w:p>
    <w:p w14:paraId="40D3CD8F" w14:textId="77777777" w:rsidR="009548E8" w:rsidRPr="002F2782" w:rsidRDefault="009548E8" w:rsidP="009548E8">
      <w:pPr>
        <w:rPr>
          <w:rFonts w:asciiTheme="minorHAnsi" w:hAnsiTheme="minorHAnsi"/>
        </w:rPr>
      </w:pPr>
      <w:r w:rsidRPr="00F353E8">
        <w:rPr>
          <w:rFonts w:asciiTheme="minorHAnsi" w:hAnsiTheme="minorHAnsi"/>
        </w:rPr>
        <w:t>15.</w:t>
      </w:r>
      <w:r w:rsidRPr="00F353E8">
        <w:rPr>
          <w:rFonts w:asciiTheme="minorHAnsi" w:hAnsiTheme="minorHAnsi"/>
        </w:rPr>
        <w:tab/>
      </w:r>
      <w:r w:rsidRPr="00835346">
        <w:rPr>
          <w:rFonts w:asciiTheme="minorHAnsi" w:hAnsiTheme="minorHAnsi"/>
        </w:rPr>
        <w:t>APPROVES</w:t>
      </w:r>
      <w:r w:rsidRPr="00F353E8">
        <w:rPr>
          <w:rFonts w:asciiTheme="minorHAnsi" w:hAnsiTheme="minorHAnsi"/>
        </w:rPr>
        <w:t xml:space="preserve"> the use of surplus from the core budget for the 2019-2021 triennium of CHF 228,000 to supplement the approved </w:t>
      </w:r>
      <w:r>
        <w:rPr>
          <w:rFonts w:asciiTheme="minorHAnsi" w:hAnsiTheme="minorHAnsi"/>
        </w:rPr>
        <w:t>2023-2025</w:t>
      </w:r>
      <w:r w:rsidRPr="00F353E8">
        <w:rPr>
          <w:rFonts w:asciiTheme="minorHAnsi" w:hAnsiTheme="minorHAnsi"/>
        </w:rPr>
        <w:t xml:space="preserve"> triennium budget in the following areas: CHF 120,000 for Communications, Translation</w:t>
      </w:r>
      <w:r w:rsidRPr="005B1EF1">
        <w:rPr>
          <w:rFonts w:asciiTheme="minorHAnsi" w:hAnsiTheme="minorHAnsi"/>
        </w:rPr>
        <w:t xml:space="preserve">, Publications and Reporting Implementation, CHF 60,000 for staff travel (CHF 15,000 for travel of Secretariat Senior Management, CHF 15,000 for travel of Resource Mobilization and Outreach and CHF 30,000 for travel of Regional Advice and Support), CHF 15,000 for STRP Implementation, and CHF 33,000 for Planning and Capacity Building; and REQUESTS the </w:t>
      </w:r>
      <w:r w:rsidRPr="002F2782">
        <w:rPr>
          <w:rFonts w:asciiTheme="minorHAnsi" w:hAnsiTheme="minorHAnsi"/>
        </w:rPr>
        <w:t xml:space="preserve">Secretariat to achieve a balanced budget by the end of the </w:t>
      </w:r>
      <w:r>
        <w:rPr>
          <w:rFonts w:asciiTheme="minorHAnsi" w:hAnsiTheme="minorHAnsi"/>
        </w:rPr>
        <w:t>2023-2025</w:t>
      </w:r>
      <w:r w:rsidRPr="002F2782">
        <w:rPr>
          <w:rFonts w:asciiTheme="minorHAnsi" w:hAnsiTheme="minorHAnsi"/>
        </w:rPr>
        <w:t xml:space="preserve"> triennium</w:t>
      </w:r>
      <w:r>
        <w:rPr>
          <w:rStyle w:val="FootnoteReference"/>
          <w:rFonts w:asciiTheme="minorHAnsi" w:hAnsiTheme="minorHAnsi"/>
        </w:rPr>
        <w:footnoteReference w:id="4"/>
      </w:r>
      <w:r w:rsidRPr="002F2782">
        <w:rPr>
          <w:rFonts w:asciiTheme="minorHAnsi" w:hAnsiTheme="minorHAnsi"/>
        </w:rPr>
        <w:t>;</w:t>
      </w:r>
    </w:p>
    <w:p w14:paraId="1881CDFA" w14:textId="77777777" w:rsidR="009548E8" w:rsidRPr="002F2782" w:rsidRDefault="009548E8" w:rsidP="009548E8">
      <w:pPr>
        <w:rPr>
          <w:rFonts w:asciiTheme="minorHAnsi" w:hAnsiTheme="minorHAnsi"/>
        </w:rPr>
      </w:pPr>
    </w:p>
    <w:p w14:paraId="46C7C04B" w14:textId="05BBB585" w:rsidR="009548E8" w:rsidRDefault="009548E8" w:rsidP="004A35A2">
      <w:pPr>
        <w:rPr>
          <w:rFonts w:asciiTheme="minorHAnsi" w:hAnsiTheme="minorHAnsi"/>
        </w:rPr>
      </w:pPr>
      <w:r w:rsidRPr="002F2782">
        <w:rPr>
          <w:rFonts w:asciiTheme="minorHAnsi" w:hAnsiTheme="minorHAnsi"/>
        </w:rPr>
        <w:t>16.</w:t>
      </w:r>
      <w:r>
        <w:rPr>
          <w:rFonts w:asciiTheme="minorHAnsi" w:hAnsiTheme="minorHAnsi"/>
        </w:rPr>
        <w:tab/>
      </w:r>
      <w:r w:rsidRPr="002F2782">
        <w:rPr>
          <w:rFonts w:asciiTheme="minorHAnsi" w:hAnsiTheme="minorHAnsi"/>
        </w:rPr>
        <w:t xml:space="preserve">APPROVES the </w:t>
      </w:r>
      <w:r w:rsidRPr="00835346">
        <w:rPr>
          <w:rFonts w:asciiTheme="minorHAnsi" w:hAnsiTheme="minorHAnsi"/>
        </w:rPr>
        <w:t xml:space="preserve">use of CHF </w:t>
      </w:r>
      <w:r>
        <w:rPr>
          <w:rFonts w:asciiTheme="minorHAnsi" w:hAnsiTheme="minorHAnsi"/>
        </w:rPr>
        <w:t>36</w:t>
      </w:r>
      <w:r w:rsidRPr="00835346">
        <w:rPr>
          <w:rFonts w:asciiTheme="minorHAnsi" w:hAnsiTheme="minorHAnsi"/>
        </w:rPr>
        <w:t xml:space="preserve">0,000 from surplus from the 2019-2021 triennium </w:t>
      </w:r>
      <w:r w:rsidRPr="002F2782">
        <w:rPr>
          <w:rFonts w:asciiTheme="minorHAnsi" w:hAnsiTheme="minorHAnsi"/>
        </w:rPr>
        <w:t xml:space="preserve">to </w:t>
      </w:r>
      <w:r w:rsidRPr="00835346">
        <w:rPr>
          <w:rFonts w:asciiTheme="minorHAnsi" w:hAnsiTheme="minorHAnsi"/>
        </w:rPr>
        <w:t xml:space="preserve">increase the provision on outstanding contributions for the </w:t>
      </w:r>
      <w:r>
        <w:rPr>
          <w:rFonts w:asciiTheme="minorHAnsi" w:hAnsiTheme="minorHAnsi"/>
        </w:rPr>
        <w:t>2023-2025</w:t>
      </w:r>
      <w:r w:rsidRPr="002F2782">
        <w:rPr>
          <w:rFonts w:asciiTheme="minorHAnsi" w:hAnsiTheme="minorHAnsi"/>
        </w:rPr>
        <w:t xml:space="preserve"> </w:t>
      </w:r>
      <w:r w:rsidRPr="00835346">
        <w:rPr>
          <w:rFonts w:asciiTheme="minorHAnsi" w:hAnsiTheme="minorHAnsi"/>
        </w:rPr>
        <w:t>triennium;</w:t>
      </w:r>
    </w:p>
    <w:p w14:paraId="7828DA3B" w14:textId="77777777" w:rsidR="009548E8" w:rsidRDefault="009548E8" w:rsidP="009548E8">
      <w:pPr>
        <w:tabs>
          <w:tab w:val="left" w:pos="3665"/>
        </w:tabs>
        <w:rPr>
          <w:rFonts w:asciiTheme="minorHAnsi" w:hAnsiTheme="minorHAnsi"/>
        </w:rPr>
      </w:pPr>
      <w:r>
        <w:rPr>
          <w:rFonts w:asciiTheme="minorHAnsi" w:hAnsiTheme="minorHAnsi"/>
        </w:rPr>
        <w:tab/>
      </w:r>
    </w:p>
    <w:p w14:paraId="5248F33B" w14:textId="77777777" w:rsidR="009548E8" w:rsidRPr="005B1EF1" w:rsidRDefault="009548E8" w:rsidP="009548E8">
      <w:pPr>
        <w:rPr>
          <w:rFonts w:asciiTheme="minorHAnsi" w:hAnsiTheme="minorHAnsi"/>
        </w:rPr>
      </w:pPr>
      <w:r>
        <w:rPr>
          <w:rFonts w:asciiTheme="minorHAnsi" w:hAnsiTheme="minorHAnsi"/>
        </w:rPr>
        <w:t>17.</w:t>
      </w:r>
      <w:r>
        <w:rPr>
          <w:rFonts w:asciiTheme="minorHAnsi" w:hAnsiTheme="minorHAnsi"/>
        </w:rPr>
        <w:tab/>
      </w:r>
      <w:r w:rsidRPr="005B1EF1">
        <w:rPr>
          <w:rFonts w:asciiTheme="minorHAnsi" w:hAnsiTheme="minorHAnsi"/>
        </w:rPr>
        <w:t>URGES Contracting Parties with outstanding contributions to make a renewed effort to settle them as expeditiously as possible to enhance the financial sustainability of the Convention through contributions by all Contracting Parties;</w:t>
      </w:r>
    </w:p>
    <w:p w14:paraId="53A80A8E" w14:textId="77777777" w:rsidR="009548E8" w:rsidRPr="005B1EF1" w:rsidRDefault="009548E8" w:rsidP="009548E8">
      <w:pPr>
        <w:rPr>
          <w:rFonts w:asciiTheme="minorHAnsi" w:hAnsiTheme="minorHAnsi"/>
        </w:rPr>
      </w:pPr>
    </w:p>
    <w:p w14:paraId="70A9C78B" w14:textId="77777777" w:rsidR="009548E8" w:rsidRPr="005B1EF1" w:rsidRDefault="009548E8" w:rsidP="009548E8">
      <w:pPr>
        <w:rPr>
          <w:rFonts w:asciiTheme="minorHAnsi" w:hAnsiTheme="minorHAnsi"/>
        </w:rPr>
      </w:pPr>
      <w:r w:rsidRPr="005B1EF1">
        <w:rPr>
          <w:rFonts w:asciiTheme="minorHAnsi" w:hAnsiTheme="minorHAnsi"/>
        </w:rPr>
        <w:t>18.</w:t>
      </w:r>
      <w:r w:rsidRPr="005B1EF1">
        <w:rPr>
          <w:rFonts w:asciiTheme="minorHAnsi" w:hAnsiTheme="minorHAnsi"/>
        </w:rPr>
        <w:tab/>
        <w:t>REQUESTS that the Secretariat contact Contracting Parties that have outstanding contributions in excess of three years and assist them to identify appropriate options to rectify the situation and to request a plan for making payment of contributions, and report back at each meeting of the Standing Committee and the Conference of the Contracting Parties on activities taken in this regard and results achieved; and AGREES that the Standing Committee should continue to consider appropriate action concerning Parties that have neither paid their outstanding contributions nor submitted a payment plan for this purpose;</w:t>
      </w:r>
    </w:p>
    <w:p w14:paraId="3C591728" w14:textId="77777777" w:rsidR="009548E8" w:rsidRPr="005B1EF1" w:rsidRDefault="009548E8" w:rsidP="009548E8">
      <w:pPr>
        <w:rPr>
          <w:rFonts w:asciiTheme="minorHAnsi" w:hAnsiTheme="minorHAnsi"/>
        </w:rPr>
      </w:pPr>
    </w:p>
    <w:p w14:paraId="40DA3684" w14:textId="77777777" w:rsidR="009548E8" w:rsidRDefault="009548E8" w:rsidP="009548E8">
      <w:pPr>
        <w:rPr>
          <w:rFonts w:asciiTheme="minorHAnsi" w:hAnsiTheme="minorHAnsi"/>
        </w:rPr>
      </w:pPr>
      <w:r w:rsidRPr="005B1EF1">
        <w:rPr>
          <w:rFonts w:asciiTheme="minorHAnsi" w:hAnsiTheme="minorHAnsi"/>
        </w:rPr>
        <w:t>19.</w:t>
      </w:r>
      <w:r w:rsidRPr="005B1EF1">
        <w:rPr>
          <w:rFonts w:asciiTheme="minorHAnsi" w:hAnsiTheme="minorHAnsi"/>
        </w:rPr>
        <w:tab/>
        <w:t>REQUESTS regional representatives in the Standing Committee to engage Parties from their respective regions with outstanding contributions to encourage them to identify appropriate options to rectify the situation;</w:t>
      </w:r>
    </w:p>
    <w:p w14:paraId="0E6A4FC1" w14:textId="77777777" w:rsidR="009548E8" w:rsidRDefault="009548E8" w:rsidP="009548E8">
      <w:pPr>
        <w:rPr>
          <w:rFonts w:asciiTheme="minorHAnsi" w:hAnsiTheme="minorHAnsi"/>
        </w:rPr>
      </w:pPr>
    </w:p>
    <w:p w14:paraId="1F8264E0" w14:textId="77777777" w:rsidR="009548E8" w:rsidRPr="001D42CA" w:rsidRDefault="009548E8" w:rsidP="009548E8">
      <w:pPr>
        <w:rPr>
          <w:rFonts w:asciiTheme="minorHAnsi" w:hAnsiTheme="minorHAnsi"/>
        </w:rPr>
      </w:pPr>
      <w:r>
        <w:rPr>
          <w:rFonts w:asciiTheme="minorHAnsi" w:hAnsiTheme="minorHAnsi"/>
        </w:rPr>
        <w:t>20.</w:t>
      </w:r>
      <w:r>
        <w:rPr>
          <w:rFonts w:asciiTheme="minorHAnsi" w:hAnsiTheme="minorHAnsi"/>
        </w:rPr>
        <w:tab/>
      </w:r>
      <w:r w:rsidRPr="00972918">
        <w:rPr>
          <w:rFonts w:asciiTheme="minorHAnsi" w:hAnsiTheme="minorHAnsi"/>
        </w:rPr>
        <w:t xml:space="preserve">NOTES </w:t>
      </w:r>
      <w:r>
        <w:rPr>
          <w:rFonts w:asciiTheme="minorHAnsi" w:hAnsiTheme="minorHAnsi"/>
        </w:rPr>
        <w:t>WITH CONCERN</w:t>
      </w:r>
      <w:r w:rsidRPr="00972918">
        <w:rPr>
          <w:rFonts w:asciiTheme="minorHAnsi" w:hAnsiTheme="minorHAnsi"/>
        </w:rPr>
        <w:t xml:space="preserve"> the situation with </w:t>
      </w:r>
      <w:r>
        <w:rPr>
          <w:rFonts w:asciiTheme="minorHAnsi" w:hAnsiTheme="minorHAnsi"/>
        </w:rPr>
        <w:t>non-core</w:t>
      </w:r>
      <w:r w:rsidRPr="00972918">
        <w:rPr>
          <w:rFonts w:asciiTheme="minorHAnsi" w:hAnsiTheme="minorHAnsi"/>
        </w:rPr>
        <w:t xml:space="preserve"> contributions from Contracting Parties; and ENCOURAGES Contracting Parties and others to increase such contributions;</w:t>
      </w:r>
    </w:p>
    <w:p w14:paraId="68649CF8" w14:textId="77777777" w:rsidR="009548E8" w:rsidRPr="001D42CA" w:rsidRDefault="009548E8" w:rsidP="009548E8">
      <w:pPr>
        <w:rPr>
          <w:rFonts w:asciiTheme="minorHAnsi" w:hAnsiTheme="minorHAnsi"/>
        </w:rPr>
      </w:pPr>
    </w:p>
    <w:p w14:paraId="76E6CDC0" w14:textId="77777777" w:rsidR="009548E8" w:rsidRDefault="009548E8" w:rsidP="009548E8">
      <w:pPr>
        <w:rPr>
          <w:rFonts w:asciiTheme="minorHAnsi" w:hAnsiTheme="minorHAnsi"/>
        </w:rPr>
      </w:pPr>
      <w:r>
        <w:rPr>
          <w:rFonts w:asciiTheme="minorHAnsi" w:hAnsiTheme="minorHAnsi"/>
        </w:rPr>
        <w:t>21</w:t>
      </w:r>
      <w:r w:rsidRPr="001D42CA">
        <w:rPr>
          <w:rFonts w:asciiTheme="minorHAnsi" w:hAnsiTheme="minorHAnsi"/>
        </w:rPr>
        <w:t>.</w:t>
      </w:r>
      <w:r w:rsidRPr="001D42CA">
        <w:rPr>
          <w:rFonts w:asciiTheme="minorHAnsi" w:hAnsiTheme="minorHAnsi"/>
        </w:rPr>
        <w:tab/>
        <w:t>ENCOURAGES Contracting Parties</w:t>
      </w:r>
      <w:r>
        <w:rPr>
          <w:rFonts w:asciiTheme="minorHAnsi" w:hAnsiTheme="minorHAnsi"/>
        </w:rPr>
        <w:t xml:space="preserve"> and INVITES </w:t>
      </w:r>
      <w:r w:rsidRPr="001D42CA">
        <w:rPr>
          <w:rFonts w:asciiTheme="minorHAnsi" w:hAnsiTheme="minorHAnsi"/>
        </w:rPr>
        <w:t xml:space="preserve">other governments, financial institutions, </w:t>
      </w:r>
      <w:r>
        <w:rPr>
          <w:rFonts w:asciiTheme="minorHAnsi" w:hAnsiTheme="minorHAnsi"/>
        </w:rPr>
        <w:t>I</w:t>
      </w:r>
      <w:r w:rsidRPr="001D42CA">
        <w:rPr>
          <w:rFonts w:asciiTheme="minorHAnsi" w:hAnsiTheme="minorHAnsi"/>
        </w:rPr>
        <w:t xml:space="preserve">nternational </w:t>
      </w:r>
      <w:r>
        <w:rPr>
          <w:rFonts w:asciiTheme="minorHAnsi" w:hAnsiTheme="minorHAnsi"/>
        </w:rPr>
        <w:t>O</w:t>
      </w:r>
      <w:r w:rsidRPr="001D42CA">
        <w:rPr>
          <w:rFonts w:asciiTheme="minorHAnsi" w:hAnsiTheme="minorHAnsi"/>
        </w:rPr>
        <w:t xml:space="preserve">rganization </w:t>
      </w:r>
      <w:r>
        <w:rPr>
          <w:rFonts w:asciiTheme="minorHAnsi" w:hAnsiTheme="minorHAnsi"/>
        </w:rPr>
        <w:t>P</w:t>
      </w:r>
      <w:r w:rsidRPr="001D42CA">
        <w:rPr>
          <w:rFonts w:asciiTheme="minorHAnsi" w:hAnsiTheme="minorHAnsi"/>
        </w:rPr>
        <w:t xml:space="preserve">artners and other implementing partners to </w:t>
      </w:r>
      <w:r>
        <w:rPr>
          <w:rFonts w:asciiTheme="minorHAnsi" w:hAnsiTheme="minorHAnsi"/>
        </w:rPr>
        <w:t xml:space="preserve">support </w:t>
      </w:r>
      <w:r w:rsidRPr="001D42CA">
        <w:rPr>
          <w:rFonts w:asciiTheme="minorHAnsi" w:hAnsiTheme="minorHAnsi"/>
        </w:rPr>
        <w:t xml:space="preserve">the implementation of the Ramsar </w:t>
      </w:r>
      <w:r>
        <w:rPr>
          <w:rFonts w:asciiTheme="minorHAnsi" w:hAnsiTheme="minorHAnsi"/>
        </w:rPr>
        <w:t>Convention;</w:t>
      </w:r>
    </w:p>
    <w:p w14:paraId="0F704207" w14:textId="77777777" w:rsidR="009548E8" w:rsidRPr="001D42CA" w:rsidRDefault="009548E8" w:rsidP="009548E8">
      <w:pPr>
        <w:rPr>
          <w:rFonts w:asciiTheme="minorHAnsi" w:hAnsiTheme="minorHAnsi"/>
        </w:rPr>
      </w:pPr>
    </w:p>
    <w:p w14:paraId="60A1C302" w14:textId="77777777" w:rsidR="009548E8" w:rsidRPr="001D42CA" w:rsidRDefault="009548E8" w:rsidP="009548E8">
      <w:pPr>
        <w:rPr>
          <w:rFonts w:asciiTheme="minorHAnsi" w:hAnsiTheme="minorHAnsi"/>
        </w:rPr>
      </w:pPr>
      <w:r>
        <w:rPr>
          <w:rFonts w:asciiTheme="minorHAnsi" w:hAnsiTheme="minorHAnsi"/>
        </w:rPr>
        <w:t>22</w:t>
      </w:r>
      <w:r w:rsidRPr="001D42CA">
        <w:rPr>
          <w:rFonts w:asciiTheme="minorHAnsi" w:hAnsiTheme="minorHAnsi"/>
        </w:rPr>
        <w:t>.</w:t>
      </w:r>
      <w:r w:rsidRPr="001D42CA">
        <w:rPr>
          <w:rFonts w:asciiTheme="minorHAnsi" w:hAnsiTheme="minorHAnsi"/>
        </w:rPr>
        <w:tab/>
      </w:r>
      <w:r>
        <w:rPr>
          <w:rFonts w:asciiTheme="minorHAnsi" w:hAnsiTheme="minorHAnsi"/>
        </w:rPr>
        <w:t xml:space="preserve">NOTES the resource mobilization </w:t>
      </w:r>
      <w:r w:rsidRPr="00586541">
        <w:rPr>
          <w:rFonts w:asciiTheme="minorHAnsi" w:hAnsiTheme="minorHAnsi"/>
        </w:rPr>
        <w:t>work plan for the Convention approved by the Standing Committee and REQUESTS the Secretariat to update it to reflect the priorities identified by the Contracting Parties at COP14 and make it available to the Standing Committee at its 62nd</w:t>
      </w:r>
      <w:r w:rsidRPr="00DA71FC">
        <w:rPr>
          <w:rFonts w:asciiTheme="minorHAnsi" w:hAnsiTheme="minorHAnsi"/>
        </w:rPr>
        <w:t xml:space="preserve"> meeting, for its consideration</w:t>
      </w:r>
      <w:r>
        <w:rPr>
          <w:rFonts w:asciiTheme="minorHAnsi" w:hAnsiTheme="minorHAnsi"/>
        </w:rPr>
        <w:t>;</w:t>
      </w:r>
    </w:p>
    <w:p w14:paraId="38C313F8" w14:textId="77777777" w:rsidR="009548E8" w:rsidRPr="001D42CA" w:rsidRDefault="009548E8" w:rsidP="009548E8">
      <w:pPr>
        <w:pStyle w:val="ListParagraph"/>
        <w:ind w:left="425"/>
        <w:rPr>
          <w:rFonts w:asciiTheme="minorHAnsi" w:hAnsiTheme="minorHAnsi"/>
        </w:rPr>
      </w:pPr>
    </w:p>
    <w:p w14:paraId="2EE1EEAE" w14:textId="77777777" w:rsidR="009548E8" w:rsidRPr="00C46A99" w:rsidRDefault="009548E8" w:rsidP="009548E8">
      <w:pPr>
        <w:rPr>
          <w:rFonts w:asciiTheme="minorHAnsi" w:hAnsiTheme="minorHAnsi"/>
        </w:rPr>
      </w:pPr>
      <w:r w:rsidRPr="00A10FC2">
        <w:rPr>
          <w:rFonts w:asciiTheme="minorHAnsi" w:hAnsiTheme="minorHAnsi"/>
        </w:rPr>
        <w:t>23.</w:t>
      </w:r>
      <w:r w:rsidRPr="00A10FC2">
        <w:rPr>
          <w:rFonts w:asciiTheme="minorHAnsi" w:hAnsiTheme="minorHAnsi"/>
        </w:rPr>
        <w:tab/>
      </w:r>
      <w:r w:rsidRPr="00C46A99">
        <w:rPr>
          <w:rFonts w:asciiTheme="minorHAnsi" w:hAnsiTheme="minorHAnsi"/>
        </w:rPr>
        <w:t>NOTES WITH APPRECIATION the alignment of the Secretariat with International Union for Conservation of Nature (IUCN) policies and procedures for managing non-core funding;</w:t>
      </w:r>
    </w:p>
    <w:p w14:paraId="2C8E5E08" w14:textId="77777777" w:rsidR="009548E8" w:rsidRPr="00C46A99" w:rsidRDefault="009548E8" w:rsidP="009548E8">
      <w:pPr>
        <w:rPr>
          <w:rFonts w:asciiTheme="minorHAnsi" w:hAnsiTheme="minorHAnsi"/>
        </w:rPr>
      </w:pPr>
    </w:p>
    <w:p w14:paraId="6CBA240F" w14:textId="77777777" w:rsidR="009548E8" w:rsidRPr="00C46A99" w:rsidRDefault="009548E8" w:rsidP="009548E8">
      <w:pPr>
        <w:rPr>
          <w:rFonts w:asciiTheme="minorHAnsi" w:hAnsiTheme="minorHAnsi"/>
        </w:rPr>
      </w:pPr>
      <w:r w:rsidRPr="00C46A99">
        <w:rPr>
          <w:rFonts w:asciiTheme="minorHAnsi" w:hAnsiTheme="minorHAnsi"/>
        </w:rPr>
        <w:t>24.</w:t>
      </w:r>
      <w:r w:rsidRPr="00C46A99">
        <w:rPr>
          <w:rFonts w:asciiTheme="minorHAnsi" w:hAnsiTheme="minorHAnsi"/>
        </w:rPr>
        <w:tab/>
        <w:t>REQUESTS the Secretariat to provide to the Ramsar Regional Initiatives (RRIs) in Africa, on an annual basis, the available balance of the African voluntary contribution fund; and INVITES those RRIs to submit requests to the Secretariat as part of the</w:t>
      </w:r>
      <w:r>
        <w:rPr>
          <w:rFonts w:asciiTheme="minorHAnsi" w:hAnsiTheme="minorHAnsi"/>
        </w:rPr>
        <w:t>ir</w:t>
      </w:r>
      <w:r w:rsidRPr="00C46A99">
        <w:rPr>
          <w:rFonts w:asciiTheme="minorHAnsi" w:hAnsiTheme="minorHAnsi"/>
        </w:rPr>
        <w:t xml:space="preserve"> reports to access available funds in accordance with the provisions of Resolution </w:t>
      </w:r>
      <w:r>
        <w:rPr>
          <w:rFonts w:asciiTheme="minorHAnsi" w:hAnsiTheme="minorHAnsi"/>
        </w:rPr>
        <w:t>14.xx</w:t>
      </w:r>
      <w:r w:rsidRPr="00C46A99">
        <w:rPr>
          <w:rFonts w:asciiTheme="minorHAnsi" w:hAnsiTheme="minorHAnsi"/>
        </w:rPr>
        <w:t xml:space="preserve"> on </w:t>
      </w:r>
      <w:r w:rsidRPr="00C46A99">
        <w:rPr>
          <w:i/>
        </w:rPr>
        <w:t xml:space="preserve">Ramsar Regional Initiatives </w:t>
      </w:r>
      <w:r>
        <w:rPr>
          <w:i/>
        </w:rPr>
        <w:t>2023-2025</w:t>
      </w:r>
      <w:r w:rsidRPr="00C46A99">
        <w:rPr>
          <w:rFonts w:asciiTheme="minorHAnsi" w:hAnsiTheme="minorHAnsi"/>
        </w:rPr>
        <w:t>;</w:t>
      </w:r>
    </w:p>
    <w:p w14:paraId="3C063468" w14:textId="77777777" w:rsidR="009548E8" w:rsidRPr="00C46A99" w:rsidRDefault="009548E8" w:rsidP="009548E8">
      <w:pPr>
        <w:rPr>
          <w:rFonts w:asciiTheme="minorHAnsi" w:hAnsiTheme="minorHAnsi"/>
        </w:rPr>
      </w:pPr>
    </w:p>
    <w:p w14:paraId="5515556B" w14:textId="77777777" w:rsidR="009548E8" w:rsidRPr="00C46A99" w:rsidRDefault="009548E8" w:rsidP="009548E8">
      <w:pPr>
        <w:rPr>
          <w:rFonts w:asciiTheme="minorHAnsi" w:hAnsiTheme="minorHAnsi"/>
        </w:rPr>
      </w:pPr>
      <w:r w:rsidRPr="00C46A99">
        <w:rPr>
          <w:rFonts w:asciiTheme="minorHAnsi" w:hAnsiTheme="minorHAnsi"/>
        </w:rPr>
        <w:t>25.</w:t>
      </w:r>
      <w:r w:rsidRPr="00C46A99">
        <w:rPr>
          <w:rFonts w:asciiTheme="minorHAnsi" w:hAnsiTheme="minorHAnsi"/>
        </w:rPr>
        <w:tab/>
        <w:t xml:space="preserve">INVITES the </w:t>
      </w:r>
      <w:r>
        <w:rPr>
          <w:rFonts w:asciiTheme="minorHAnsi" w:hAnsiTheme="minorHAnsi"/>
        </w:rPr>
        <w:t xml:space="preserve">African </w:t>
      </w:r>
      <w:r w:rsidRPr="00C46A99">
        <w:rPr>
          <w:rFonts w:asciiTheme="minorHAnsi" w:hAnsiTheme="minorHAnsi"/>
        </w:rPr>
        <w:t>regional representatives in the Standing Committee to decide on the use of those funds</w:t>
      </w:r>
      <w:r>
        <w:rPr>
          <w:rFonts w:asciiTheme="minorHAnsi" w:hAnsiTheme="minorHAnsi"/>
        </w:rPr>
        <w:t xml:space="preserve"> referenced in paragraph 24 of the present Resolution,</w:t>
      </w:r>
      <w:r w:rsidRPr="00C46A99">
        <w:rPr>
          <w:rFonts w:asciiTheme="minorHAnsi" w:hAnsiTheme="minorHAnsi"/>
        </w:rPr>
        <w:t xml:space="preserve"> based on the requests submitted by the RRIs</w:t>
      </w:r>
      <w:r>
        <w:rPr>
          <w:rFonts w:asciiTheme="minorHAnsi" w:hAnsiTheme="minorHAnsi"/>
        </w:rPr>
        <w:t>,</w:t>
      </w:r>
      <w:r w:rsidRPr="00C46A99">
        <w:rPr>
          <w:rFonts w:asciiTheme="minorHAnsi" w:hAnsiTheme="minorHAnsi"/>
        </w:rPr>
        <w:t xml:space="preserve"> and inform the Secretariat accordingly;</w:t>
      </w:r>
    </w:p>
    <w:p w14:paraId="2E7AC955" w14:textId="77777777" w:rsidR="009548E8" w:rsidRPr="00C46A99" w:rsidRDefault="009548E8" w:rsidP="009548E8">
      <w:pPr>
        <w:rPr>
          <w:rFonts w:asciiTheme="minorHAnsi" w:hAnsiTheme="minorHAnsi"/>
        </w:rPr>
      </w:pPr>
    </w:p>
    <w:p w14:paraId="378A8517" w14:textId="77777777" w:rsidR="009548E8" w:rsidRPr="00C46A99" w:rsidRDefault="009548E8" w:rsidP="009548E8">
      <w:r w:rsidRPr="00C46A99">
        <w:rPr>
          <w:color w:val="262626"/>
        </w:rPr>
        <w:t>26.</w:t>
      </w:r>
      <w:r w:rsidRPr="00C46A99">
        <w:rPr>
          <w:color w:val="262626"/>
        </w:rPr>
        <w:tab/>
        <w:t>REAFFIRMS the decision taken by the 13</w:t>
      </w:r>
      <w:r w:rsidRPr="00835346">
        <w:rPr>
          <w:color w:val="262626"/>
        </w:rPr>
        <w:t>th</w:t>
      </w:r>
      <w:r w:rsidRPr="00C46A99">
        <w:rPr>
          <w:color w:val="262626"/>
        </w:rPr>
        <w:t xml:space="preserve"> meeting of the Conference of the Contracting Parties that requests the Secretariat within ‎its existing legal framework and mandate to assist, as appropriate, Contracting Parties in the administration of non-core funded projects, including but not limited to successful fundraising for </w:t>
      </w:r>
      <w:r>
        <w:rPr>
          <w:color w:val="262626"/>
        </w:rPr>
        <w:t>RRIs</w:t>
      </w:r>
      <w:r w:rsidRPr="00C46A99">
        <w:rPr>
          <w:color w:val="262626"/>
        </w:rPr>
        <w:t>; and that furt</w:t>
      </w:r>
      <w:r>
        <w:rPr>
          <w:color w:val="262626"/>
        </w:rPr>
        <w:t>her instructs Secretariat staff</w:t>
      </w:r>
      <w:r w:rsidRPr="00C46A99">
        <w:rPr>
          <w:color w:val="262626"/>
        </w:rPr>
        <w:t xml:space="preserve"> identified in Annex </w:t>
      </w:r>
      <w:r>
        <w:rPr>
          <w:color w:val="262626"/>
        </w:rPr>
        <w:t>3</w:t>
      </w:r>
      <w:r w:rsidRPr="00C46A99">
        <w:rPr>
          <w:color w:val="262626"/>
        </w:rPr>
        <w:t xml:space="preserve">, supported with core funds, not to be involved in the day-to-day administration of non-core funded projects as this role would be the responsibility of any Secretariat staff supported with non-core </w:t>
      </w:r>
      <w:r>
        <w:rPr>
          <w:color w:val="262626"/>
        </w:rPr>
        <w:t>funds for that specific purpose;</w:t>
      </w:r>
    </w:p>
    <w:p w14:paraId="58209A92" w14:textId="77777777" w:rsidR="009548E8" w:rsidRPr="00C46A99" w:rsidRDefault="009548E8" w:rsidP="009548E8">
      <w:pPr>
        <w:rPr>
          <w:rFonts w:asciiTheme="minorHAnsi" w:hAnsiTheme="minorHAnsi"/>
        </w:rPr>
      </w:pPr>
    </w:p>
    <w:p w14:paraId="75D6BD5C" w14:textId="77777777" w:rsidR="009548E8" w:rsidRPr="00C46A99" w:rsidRDefault="009548E8" w:rsidP="009548E8">
      <w:pPr>
        <w:rPr>
          <w:rFonts w:asciiTheme="minorHAnsi" w:hAnsiTheme="minorHAnsi"/>
        </w:rPr>
      </w:pPr>
      <w:r w:rsidRPr="00C46A99">
        <w:rPr>
          <w:rFonts w:asciiTheme="minorHAnsi" w:hAnsiTheme="minorHAnsi"/>
        </w:rPr>
        <w:t>27.</w:t>
      </w:r>
      <w:r w:rsidRPr="00C46A99">
        <w:rPr>
          <w:rFonts w:asciiTheme="minorHAnsi" w:hAnsiTheme="minorHAnsi"/>
        </w:rPr>
        <w:tab/>
        <w:t>AUTHORIZES</w:t>
      </w:r>
      <w:r>
        <w:rPr>
          <w:rFonts w:asciiTheme="minorHAnsi" w:hAnsiTheme="minorHAnsi"/>
        </w:rPr>
        <w:t xml:space="preserve"> </w:t>
      </w:r>
      <w:r w:rsidRPr="00C46A99">
        <w:rPr>
          <w:rFonts w:asciiTheme="minorHAnsi" w:hAnsiTheme="minorHAnsi"/>
        </w:rPr>
        <w:t>the Standing Committee, with the advice of its Subgroup on Finance, to transfer core budget allocations between budget lines as may be required in the light of significant positive or negative changes during the triennium to costs, rates of inflation, interest and tax income projected in the budget, without increasing the assessed contributions of Parties or increasing the charges paid to IUCN above a maximum of 13% of the budget;</w:t>
      </w:r>
    </w:p>
    <w:p w14:paraId="4A2B68F5" w14:textId="77777777" w:rsidR="009548E8" w:rsidRPr="00C46A99" w:rsidRDefault="009548E8" w:rsidP="009548E8">
      <w:pPr>
        <w:rPr>
          <w:rFonts w:asciiTheme="minorHAnsi" w:hAnsiTheme="minorHAnsi"/>
        </w:rPr>
      </w:pPr>
    </w:p>
    <w:p w14:paraId="7E6666A0" w14:textId="77777777" w:rsidR="009548E8" w:rsidRPr="001D42CA" w:rsidRDefault="009548E8" w:rsidP="009548E8">
      <w:pPr>
        <w:rPr>
          <w:rFonts w:asciiTheme="minorHAnsi" w:hAnsiTheme="minorHAnsi"/>
        </w:rPr>
      </w:pPr>
      <w:r w:rsidRPr="00C46A99">
        <w:rPr>
          <w:rFonts w:asciiTheme="minorHAnsi" w:hAnsiTheme="minorHAnsi"/>
        </w:rPr>
        <w:t>28.</w:t>
      </w:r>
      <w:r w:rsidRPr="00C46A99">
        <w:rPr>
          <w:rFonts w:asciiTheme="minorHAnsi" w:hAnsiTheme="minorHAnsi"/>
        </w:rPr>
        <w:tab/>
        <w:t xml:space="preserve">RECOGNIZES the benefits of flexibility in travel budget lines to deliver on the Secretariat Work Plan for the triennium; and REAFFIRMS the decision taken at the </w:t>
      </w:r>
      <w:r w:rsidRPr="00C75F2D">
        <w:rPr>
          <w:rFonts w:asciiTheme="minorHAnsi" w:hAnsiTheme="minorHAnsi"/>
        </w:rPr>
        <w:t>13</w:t>
      </w:r>
      <w:r w:rsidRPr="00835346">
        <w:rPr>
          <w:rFonts w:asciiTheme="minorHAnsi" w:hAnsiTheme="minorHAnsi"/>
        </w:rPr>
        <w:t>th</w:t>
      </w:r>
      <w:r w:rsidRPr="00C46A99">
        <w:rPr>
          <w:rFonts w:asciiTheme="minorHAnsi" w:hAnsiTheme="minorHAnsi"/>
        </w:rPr>
        <w:t xml:space="preserve"> meeting of the Conference </w:t>
      </w:r>
      <w:r>
        <w:rPr>
          <w:rFonts w:asciiTheme="minorHAnsi" w:hAnsiTheme="minorHAnsi"/>
        </w:rPr>
        <w:t>of the Contracting Parties that</w:t>
      </w:r>
      <w:r w:rsidRPr="00C46A99">
        <w:rPr>
          <w:rFonts w:asciiTheme="minorHAnsi" w:hAnsiTheme="minorHAnsi"/>
        </w:rPr>
        <w:t xml:space="preserve"> authorizes the Secretary General to transfer resources between travel budget lines, ensuring that the Subgroup on Finance is informed and that such transfers are reported to the Standing Committee at its next meeting;</w:t>
      </w:r>
    </w:p>
    <w:p w14:paraId="397C1058" w14:textId="77777777" w:rsidR="009548E8" w:rsidRPr="001D42CA" w:rsidRDefault="009548E8" w:rsidP="009548E8">
      <w:pPr>
        <w:pStyle w:val="ListParagraph"/>
        <w:ind w:left="425"/>
        <w:rPr>
          <w:rFonts w:asciiTheme="minorHAnsi" w:hAnsiTheme="minorHAnsi"/>
        </w:rPr>
      </w:pPr>
    </w:p>
    <w:p w14:paraId="678BE27F" w14:textId="77777777" w:rsidR="009548E8" w:rsidRPr="001D42CA" w:rsidRDefault="009548E8" w:rsidP="009548E8">
      <w:pPr>
        <w:rPr>
          <w:rFonts w:asciiTheme="minorHAnsi" w:hAnsiTheme="minorHAnsi"/>
        </w:rPr>
      </w:pPr>
      <w:r>
        <w:rPr>
          <w:rFonts w:asciiTheme="minorHAnsi" w:hAnsiTheme="minorHAnsi"/>
        </w:rPr>
        <w:t>29</w:t>
      </w:r>
      <w:r w:rsidRPr="001D42CA">
        <w:rPr>
          <w:rFonts w:asciiTheme="minorHAnsi" w:hAnsiTheme="minorHAnsi"/>
        </w:rPr>
        <w:t>.</w:t>
      </w:r>
      <w:r w:rsidRPr="001D42CA">
        <w:rPr>
          <w:rFonts w:asciiTheme="minorHAnsi" w:hAnsiTheme="minorHAnsi"/>
        </w:rPr>
        <w:tab/>
        <w:t xml:space="preserve">DECIDES that the contribution of each Contracting Party to the core budget should be in accordance with the most recent scale of assessments for the contribution of Member States to the United Nations budget as approved by the UN General Assembly, except in the case of Contracting Parties which, in applying the UN scale of assessments, would make annual contributions to the Ramsar Convention core budget of less than CHF 1,000, in which case the annual contribution is to </w:t>
      </w:r>
      <w:r>
        <w:rPr>
          <w:rFonts w:asciiTheme="minorHAnsi" w:hAnsiTheme="minorHAnsi"/>
        </w:rPr>
        <w:t xml:space="preserve">be that amount. Estimated core budget contributions for the 2023-2025 triennium are presented in Annex 2 of the present Resolution; </w:t>
      </w:r>
    </w:p>
    <w:p w14:paraId="7C7D1CDE" w14:textId="77777777" w:rsidR="009548E8" w:rsidRPr="001D42CA" w:rsidRDefault="009548E8" w:rsidP="009548E8">
      <w:pPr>
        <w:rPr>
          <w:rFonts w:asciiTheme="minorHAnsi" w:hAnsiTheme="minorHAnsi"/>
        </w:rPr>
      </w:pPr>
    </w:p>
    <w:p w14:paraId="66C95EB7" w14:textId="77777777" w:rsidR="009548E8" w:rsidRDefault="009548E8" w:rsidP="009548E8">
      <w:pPr>
        <w:rPr>
          <w:rFonts w:asciiTheme="minorHAnsi" w:hAnsiTheme="minorHAnsi"/>
        </w:rPr>
      </w:pPr>
      <w:r>
        <w:rPr>
          <w:rFonts w:asciiTheme="minorHAnsi" w:hAnsiTheme="minorHAnsi"/>
        </w:rPr>
        <w:t>30</w:t>
      </w:r>
      <w:r w:rsidRPr="001D42CA">
        <w:rPr>
          <w:rFonts w:asciiTheme="minorHAnsi" w:hAnsiTheme="minorHAnsi"/>
        </w:rPr>
        <w:t>.</w:t>
      </w:r>
      <w:r w:rsidRPr="001D42CA">
        <w:rPr>
          <w:rFonts w:asciiTheme="minorHAnsi" w:hAnsiTheme="minorHAnsi"/>
        </w:rPr>
        <w:tab/>
        <w:t xml:space="preserve">URGES all Contracting Parties to pay their contributions promptly by 1 January of each year, </w:t>
      </w:r>
      <w:r w:rsidRPr="001D42CA">
        <w:rPr>
          <w:rFonts w:asciiTheme="minorHAnsi" w:hAnsiTheme="minorHAnsi"/>
        </w:rPr>
        <w:lastRenderedPageBreak/>
        <w:t>or as soon thereafter as that country’s budget cycle will permit;</w:t>
      </w:r>
    </w:p>
    <w:p w14:paraId="56438C3D" w14:textId="77777777" w:rsidR="009548E8" w:rsidRDefault="009548E8" w:rsidP="009548E8">
      <w:pPr>
        <w:rPr>
          <w:rFonts w:asciiTheme="minorHAnsi" w:hAnsiTheme="minorHAnsi"/>
        </w:rPr>
      </w:pPr>
    </w:p>
    <w:p w14:paraId="7867E05D" w14:textId="77777777" w:rsidR="009548E8" w:rsidRPr="001D42CA" w:rsidRDefault="009548E8" w:rsidP="009548E8">
      <w:pPr>
        <w:rPr>
          <w:rFonts w:asciiTheme="minorHAnsi" w:hAnsiTheme="minorHAnsi"/>
        </w:rPr>
      </w:pPr>
      <w:r>
        <w:rPr>
          <w:rFonts w:asciiTheme="minorHAnsi" w:hAnsiTheme="minorHAnsi"/>
        </w:rPr>
        <w:t>31.</w:t>
      </w:r>
      <w:r>
        <w:rPr>
          <w:rFonts w:asciiTheme="minorHAnsi" w:hAnsiTheme="minorHAnsi"/>
        </w:rPr>
        <w:tab/>
      </w:r>
      <w:r w:rsidRPr="001D42CA">
        <w:rPr>
          <w:rFonts w:asciiTheme="minorHAnsi" w:hAnsiTheme="minorHAnsi"/>
        </w:rPr>
        <w:t xml:space="preserve">EXPRESSES </w:t>
      </w:r>
      <w:r>
        <w:rPr>
          <w:rFonts w:asciiTheme="minorHAnsi" w:hAnsiTheme="minorHAnsi"/>
        </w:rPr>
        <w:t>GRATITUDE</w:t>
      </w:r>
      <w:r w:rsidRPr="001D42CA">
        <w:rPr>
          <w:rFonts w:asciiTheme="minorHAnsi" w:hAnsiTheme="minorHAnsi"/>
        </w:rPr>
        <w:t xml:space="preserve"> to the governments of </w:t>
      </w:r>
      <w:r>
        <w:rPr>
          <w:rFonts w:asciiTheme="minorHAnsi" w:hAnsiTheme="minorHAnsi"/>
        </w:rPr>
        <w:t>Finland, Germany, Norway, the Russian Federation</w:t>
      </w:r>
      <w:r w:rsidRPr="001D42CA">
        <w:rPr>
          <w:rFonts w:asciiTheme="minorHAnsi" w:hAnsiTheme="minorHAnsi"/>
        </w:rPr>
        <w:t xml:space="preserve"> and the United States of America and to Danone and the Nagao Natural Environment Foundation for their voluntary contributions to non-core activities;</w:t>
      </w:r>
    </w:p>
    <w:p w14:paraId="441758AE" w14:textId="77777777" w:rsidR="009548E8" w:rsidRPr="001D42CA" w:rsidRDefault="009548E8" w:rsidP="009548E8">
      <w:pPr>
        <w:rPr>
          <w:rFonts w:asciiTheme="minorHAnsi" w:hAnsiTheme="minorHAnsi"/>
        </w:rPr>
      </w:pPr>
    </w:p>
    <w:p w14:paraId="4EB1DFA8" w14:textId="77777777" w:rsidR="009548E8" w:rsidRPr="001D42CA" w:rsidRDefault="009548E8" w:rsidP="009548E8">
      <w:pPr>
        <w:rPr>
          <w:rFonts w:asciiTheme="minorHAnsi" w:hAnsiTheme="minorHAnsi"/>
        </w:rPr>
      </w:pPr>
      <w:r>
        <w:rPr>
          <w:rFonts w:asciiTheme="minorHAnsi" w:hAnsiTheme="minorHAnsi"/>
        </w:rPr>
        <w:t>32</w:t>
      </w:r>
      <w:r w:rsidRPr="001D42CA">
        <w:rPr>
          <w:rFonts w:asciiTheme="minorHAnsi" w:hAnsiTheme="minorHAnsi"/>
        </w:rPr>
        <w:t>.</w:t>
      </w:r>
      <w:r w:rsidRPr="001D42CA">
        <w:rPr>
          <w:rFonts w:asciiTheme="minorHAnsi" w:hAnsiTheme="minorHAnsi"/>
        </w:rPr>
        <w:tab/>
        <w:t xml:space="preserve">REAFFIRMS the decision taken at </w:t>
      </w:r>
      <w:r>
        <w:rPr>
          <w:rFonts w:asciiTheme="minorHAnsi" w:hAnsiTheme="minorHAnsi"/>
        </w:rPr>
        <w:t xml:space="preserve">the 11th meeting of the Conference of Contracting Parties (in </w:t>
      </w:r>
      <w:r w:rsidRPr="001D42CA">
        <w:rPr>
          <w:rFonts w:asciiTheme="minorHAnsi" w:hAnsiTheme="minorHAnsi"/>
        </w:rPr>
        <w:t xml:space="preserve">Resolution XI.2 on </w:t>
      </w:r>
      <w:r w:rsidRPr="001D42CA">
        <w:rPr>
          <w:rFonts w:asciiTheme="minorHAnsi" w:hAnsiTheme="minorHAnsi"/>
          <w:i/>
        </w:rPr>
        <w:t>Financial and budgetary matters</w:t>
      </w:r>
      <w:r w:rsidRPr="001D42CA">
        <w:rPr>
          <w:rFonts w:asciiTheme="minorHAnsi" w:hAnsiTheme="minorHAnsi"/>
        </w:rPr>
        <w:t>) that the Reserve Fund:</w:t>
      </w:r>
    </w:p>
    <w:p w14:paraId="18DDFEB5" w14:textId="77777777" w:rsidR="009548E8" w:rsidRPr="001D42CA" w:rsidRDefault="009548E8" w:rsidP="009548E8">
      <w:pPr>
        <w:pStyle w:val="MGfulltext"/>
        <w:numPr>
          <w:ilvl w:val="1"/>
          <w:numId w:val="6"/>
        </w:numPr>
        <w:spacing w:after="0"/>
        <w:ind w:left="850" w:hanging="425"/>
        <w:rPr>
          <w:rFonts w:asciiTheme="minorHAnsi" w:eastAsia="Batang" w:hAnsiTheme="minorHAnsi" w:cs="Times New Roman"/>
          <w:sz w:val="22"/>
          <w:szCs w:val="22"/>
          <w:lang w:val="en-GB"/>
        </w:rPr>
      </w:pPr>
      <w:r w:rsidRPr="001D42CA">
        <w:rPr>
          <w:rFonts w:asciiTheme="minorHAnsi" w:eastAsia="Batang" w:hAnsiTheme="minorHAnsi" w:cs="Times New Roman"/>
          <w:sz w:val="22"/>
          <w:szCs w:val="22"/>
          <w:lang w:val="en-GB"/>
        </w:rPr>
        <w:t>provides for unforeseen and unavoidable expenditures;</w:t>
      </w:r>
    </w:p>
    <w:p w14:paraId="178134F5" w14:textId="77777777" w:rsidR="009548E8" w:rsidRPr="001D42CA" w:rsidRDefault="009548E8" w:rsidP="009548E8">
      <w:pPr>
        <w:pStyle w:val="MGfulltext"/>
        <w:numPr>
          <w:ilvl w:val="1"/>
          <w:numId w:val="6"/>
        </w:numPr>
        <w:spacing w:after="0"/>
        <w:ind w:left="850" w:hanging="425"/>
        <w:rPr>
          <w:rFonts w:asciiTheme="minorHAnsi" w:eastAsia="Batang" w:hAnsiTheme="minorHAnsi" w:cs="Times New Roman"/>
          <w:sz w:val="22"/>
          <w:szCs w:val="22"/>
          <w:lang w:val="en-GB"/>
        </w:rPr>
      </w:pPr>
      <w:r w:rsidRPr="001D42CA">
        <w:rPr>
          <w:rFonts w:asciiTheme="minorHAnsi" w:eastAsia="Batang" w:hAnsiTheme="minorHAnsi" w:cs="Times New Roman"/>
          <w:sz w:val="22"/>
          <w:szCs w:val="22"/>
          <w:lang w:val="en-GB"/>
        </w:rPr>
        <w:t>receives realized triennial core budget surpluses (or deficits);</w:t>
      </w:r>
    </w:p>
    <w:p w14:paraId="52D94E41" w14:textId="77777777" w:rsidR="009548E8" w:rsidRPr="001D42CA" w:rsidRDefault="009548E8" w:rsidP="009548E8">
      <w:pPr>
        <w:pStyle w:val="MGfulltext"/>
        <w:numPr>
          <w:ilvl w:val="1"/>
          <w:numId w:val="6"/>
        </w:numPr>
        <w:spacing w:after="0"/>
        <w:ind w:left="850" w:hanging="425"/>
        <w:rPr>
          <w:rFonts w:asciiTheme="minorHAnsi" w:eastAsia="Batang" w:hAnsiTheme="minorHAnsi" w:cs="Times New Roman"/>
          <w:sz w:val="22"/>
          <w:szCs w:val="22"/>
          <w:lang w:val="en-GB"/>
        </w:rPr>
      </w:pPr>
      <w:r w:rsidRPr="001D42CA">
        <w:rPr>
          <w:rFonts w:asciiTheme="minorHAnsi" w:eastAsia="Batang" w:hAnsiTheme="minorHAnsi" w:cs="Times New Roman"/>
          <w:sz w:val="22"/>
          <w:szCs w:val="22"/>
          <w:lang w:val="en-GB"/>
        </w:rPr>
        <w:t>should not be lower than 6% of the annual core budget of the Convention and not greater than 15%;</w:t>
      </w:r>
      <w:r>
        <w:rPr>
          <w:rFonts w:asciiTheme="minorHAnsi" w:eastAsia="Batang" w:hAnsiTheme="minorHAnsi" w:cs="Times New Roman"/>
          <w:sz w:val="22"/>
          <w:szCs w:val="22"/>
          <w:lang w:val="en-GB"/>
        </w:rPr>
        <w:t xml:space="preserve"> and</w:t>
      </w:r>
    </w:p>
    <w:p w14:paraId="759BF6BE" w14:textId="77777777" w:rsidR="009548E8" w:rsidRPr="001D42CA" w:rsidRDefault="009548E8" w:rsidP="009548E8">
      <w:pPr>
        <w:pStyle w:val="MGfulltext"/>
        <w:numPr>
          <w:ilvl w:val="1"/>
          <w:numId w:val="6"/>
        </w:numPr>
        <w:spacing w:after="0"/>
        <w:ind w:left="850" w:hanging="425"/>
        <w:rPr>
          <w:rFonts w:asciiTheme="minorHAnsi" w:eastAsia="Batang" w:hAnsiTheme="minorHAnsi" w:cs="Times New Roman"/>
          <w:sz w:val="22"/>
          <w:szCs w:val="22"/>
          <w:lang w:val="en-GB"/>
        </w:rPr>
      </w:pPr>
      <w:r w:rsidRPr="001D42CA">
        <w:rPr>
          <w:rFonts w:asciiTheme="minorHAnsi" w:eastAsia="Batang" w:hAnsiTheme="minorHAnsi" w:cs="Times New Roman"/>
          <w:sz w:val="22"/>
          <w:szCs w:val="22"/>
          <w:lang w:val="en-GB"/>
        </w:rPr>
        <w:t>should be administered by the Secretary General with the approval of the Subgroup on Finance established by the Standing Committee;</w:t>
      </w:r>
    </w:p>
    <w:p w14:paraId="7B55BCC6" w14:textId="77777777" w:rsidR="009548E8" w:rsidRPr="001D42CA" w:rsidRDefault="009548E8" w:rsidP="009548E8">
      <w:pPr>
        <w:ind w:left="426" w:hanging="426"/>
        <w:rPr>
          <w:rFonts w:asciiTheme="minorHAnsi" w:hAnsiTheme="minorHAnsi"/>
        </w:rPr>
      </w:pPr>
    </w:p>
    <w:p w14:paraId="2337EB8C" w14:textId="77777777" w:rsidR="009548E8" w:rsidRPr="001D42CA" w:rsidRDefault="009548E8" w:rsidP="009548E8">
      <w:pPr>
        <w:rPr>
          <w:rFonts w:asciiTheme="minorHAnsi" w:hAnsiTheme="minorHAnsi"/>
        </w:rPr>
      </w:pPr>
      <w:r>
        <w:rPr>
          <w:rFonts w:asciiTheme="minorHAnsi" w:hAnsiTheme="minorHAnsi"/>
        </w:rPr>
        <w:t>33.</w:t>
      </w:r>
      <w:r w:rsidRPr="001D42CA">
        <w:rPr>
          <w:rFonts w:asciiTheme="minorHAnsi" w:hAnsiTheme="minorHAnsi"/>
        </w:rPr>
        <w:tab/>
        <w:t xml:space="preserve">REQUESTS the Secretariat to endeavour to maintain the Reserve Fund over the </w:t>
      </w:r>
      <w:r>
        <w:rPr>
          <w:rFonts w:asciiTheme="minorHAnsi" w:hAnsiTheme="minorHAnsi"/>
        </w:rPr>
        <w:t>2023-2025</w:t>
      </w:r>
      <w:r w:rsidRPr="001D42CA">
        <w:rPr>
          <w:rFonts w:asciiTheme="minorHAnsi" w:hAnsiTheme="minorHAnsi"/>
        </w:rPr>
        <w:t xml:space="preserve"> triennium and to report annually to the Standing Committee on its status and to seek the concurrence of the Subgroup on Finance prior to any use of the Fund;</w:t>
      </w:r>
    </w:p>
    <w:p w14:paraId="335417D4" w14:textId="77777777" w:rsidR="009548E8" w:rsidRPr="001D42CA" w:rsidRDefault="009548E8" w:rsidP="009548E8">
      <w:pPr>
        <w:rPr>
          <w:rFonts w:asciiTheme="minorHAnsi" w:hAnsiTheme="minorHAnsi"/>
        </w:rPr>
      </w:pPr>
    </w:p>
    <w:p w14:paraId="3C22DBCF" w14:textId="77777777" w:rsidR="009548E8" w:rsidRPr="001D42CA" w:rsidRDefault="009548E8" w:rsidP="009548E8">
      <w:pPr>
        <w:rPr>
          <w:rFonts w:asciiTheme="minorHAnsi" w:hAnsiTheme="minorHAnsi"/>
        </w:rPr>
      </w:pPr>
      <w:r>
        <w:rPr>
          <w:rFonts w:asciiTheme="minorHAnsi" w:hAnsiTheme="minorHAnsi"/>
        </w:rPr>
        <w:t>34</w:t>
      </w:r>
      <w:r w:rsidRPr="001D42CA">
        <w:rPr>
          <w:rFonts w:asciiTheme="minorHAnsi" w:hAnsiTheme="minorHAnsi"/>
        </w:rPr>
        <w:t>.</w:t>
      </w:r>
      <w:r w:rsidRPr="001D42CA">
        <w:rPr>
          <w:rFonts w:asciiTheme="minorHAnsi" w:hAnsiTheme="minorHAnsi"/>
        </w:rPr>
        <w:tab/>
      </w:r>
      <w:r>
        <w:rPr>
          <w:rFonts w:asciiTheme="minorHAnsi" w:hAnsiTheme="minorHAnsi"/>
        </w:rPr>
        <w:t xml:space="preserve">REAFFIRMS the decision taken at the </w:t>
      </w:r>
      <w:r w:rsidRPr="00EA042E">
        <w:rPr>
          <w:rFonts w:asciiTheme="minorHAnsi" w:hAnsiTheme="minorHAnsi"/>
        </w:rPr>
        <w:t>13</w:t>
      </w:r>
      <w:r w:rsidRPr="00835346">
        <w:rPr>
          <w:rFonts w:asciiTheme="minorHAnsi" w:hAnsiTheme="minorHAnsi"/>
        </w:rPr>
        <w:t>th</w:t>
      </w:r>
      <w:r>
        <w:rPr>
          <w:rFonts w:asciiTheme="minorHAnsi" w:hAnsiTheme="minorHAnsi"/>
        </w:rPr>
        <w:t xml:space="preserve"> meeting of the Conference of the Contracting Parties (in Resolution XII.2 on </w:t>
      </w:r>
      <w:r w:rsidRPr="007061A4">
        <w:rPr>
          <w:rFonts w:asciiTheme="minorHAnsi" w:hAnsiTheme="minorHAnsi"/>
          <w:i/>
        </w:rPr>
        <w:t>Financial and budgetary matters</w:t>
      </w:r>
      <w:r>
        <w:rPr>
          <w:rFonts w:asciiTheme="minorHAnsi" w:hAnsiTheme="minorHAnsi"/>
        </w:rPr>
        <w:t>) that</w:t>
      </w:r>
      <w:r w:rsidRPr="001D42CA">
        <w:rPr>
          <w:rFonts w:asciiTheme="minorHAnsi" w:hAnsiTheme="minorHAnsi"/>
        </w:rPr>
        <w:t xml:space="preserve"> </w:t>
      </w:r>
      <w:r>
        <w:rPr>
          <w:rFonts w:asciiTheme="minorHAnsi" w:hAnsiTheme="minorHAnsi"/>
        </w:rPr>
        <w:t xml:space="preserve">authorizes </w:t>
      </w:r>
      <w:r w:rsidRPr="001D42CA">
        <w:rPr>
          <w:rFonts w:asciiTheme="minorHAnsi" w:hAnsiTheme="minorHAnsi"/>
        </w:rPr>
        <w:t xml:space="preserve">the Secretary General, within the rules of IUCN, to adjust the staffing levels, numbers and structure of the Secretariat </w:t>
      </w:r>
      <w:r>
        <w:rPr>
          <w:rFonts w:asciiTheme="minorHAnsi" w:hAnsiTheme="minorHAnsi"/>
        </w:rPr>
        <w:t xml:space="preserve">presented </w:t>
      </w:r>
      <w:r w:rsidRPr="001D42CA">
        <w:rPr>
          <w:rFonts w:asciiTheme="minorHAnsi" w:hAnsiTheme="minorHAnsi"/>
        </w:rPr>
        <w:t xml:space="preserve">in </w:t>
      </w:r>
      <w:r w:rsidRPr="00586541">
        <w:rPr>
          <w:rFonts w:asciiTheme="minorHAnsi" w:hAnsiTheme="minorHAnsi"/>
        </w:rPr>
        <w:t>Annex 3</w:t>
      </w:r>
      <w:r>
        <w:rPr>
          <w:rFonts w:asciiTheme="minorHAnsi" w:hAnsiTheme="minorHAnsi"/>
        </w:rPr>
        <w:t xml:space="preserve"> of the present Resolution</w:t>
      </w:r>
      <w:r w:rsidRPr="00BB26C7">
        <w:rPr>
          <w:rFonts w:asciiTheme="minorHAnsi" w:hAnsiTheme="minorHAnsi"/>
        </w:rPr>
        <w:t>,</w:t>
      </w:r>
      <w:r w:rsidRPr="001D42CA">
        <w:rPr>
          <w:rFonts w:asciiTheme="minorHAnsi" w:hAnsiTheme="minorHAnsi"/>
        </w:rPr>
        <w:t xml:space="preserve"> provided </w:t>
      </w:r>
      <w:r>
        <w:rPr>
          <w:rFonts w:asciiTheme="minorHAnsi" w:hAnsiTheme="minorHAnsi"/>
        </w:rPr>
        <w:t xml:space="preserve">that the adjustments </w:t>
      </w:r>
      <w:r w:rsidRPr="001D42CA">
        <w:rPr>
          <w:rFonts w:asciiTheme="minorHAnsi" w:hAnsiTheme="minorHAnsi"/>
        </w:rPr>
        <w:t xml:space="preserve">are within the costs indicated and </w:t>
      </w:r>
      <w:r>
        <w:rPr>
          <w:rFonts w:asciiTheme="minorHAnsi" w:hAnsiTheme="minorHAnsi"/>
        </w:rPr>
        <w:t xml:space="preserve">made </w:t>
      </w:r>
      <w:r w:rsidRPr="001D42CA">
        <w:rPr>
          <w:rFonts w:asciiTheme="minorHAnsi" w:hAnsiTheme="minorHAnsi"/>
        </w:rPr>
        <w:t xml:space="preserve">in accordance with the 1993 </w:t>
      </w:r>
      <w:r w:rsidRPr="001D42CA">
        <w:rPr>
          <w:rFonts w:asciiTheme="minorHAnsi" w:hAnsiTheme="minorHAnsi"/>
          <w:i/>
        </w:rPr>
        <w:t>Delegation of Authority to the Secretary General of the Convention on Wetlands</w:t>
      </w:r>
      <w:r w:rsidRPr="001D42CA">
        <w:rPr>
          <w:rFonts w:asciiTheme="minorHAnsi" w:hAnsiTheme="minorHAnsi"/>
        </w:rPr>
        <w:t xml:space="preserve"> and its </w:t>
      </w:r>
      <w:r w:rsidRPr="001D42CA">
        <w:rPr>
          <w:rFonts w:asciiTheme="minorHAnsi" w:hAnsiTheme="minorHAnsi"/>
          <w:i/>
        </w:rPr>
        <w:t>Supplementary Note</w:t>
      </w:r>
      <w:r w:rsidRPr="001D42CA">
        <w:rPr>
          <w:rFonts w:asciiTheme="minorHAnsi" w:hAnsiTheme="minorHAnsi"/>
        </w:rPr>
        <w:t>;</w:t>
      </w:r>
    </w:p>
    <w:p w14:paraId="20576C18" w14:textId="77777777" w:rsidR="009548E8" w:rsidRPr="001D42CA" w:rsidRDefault="009548E8" w:rsidP="009548E8">
      <w:pPr>
        <w:rPr>
          <w:rFonts w:asciiTheme="minorHAnsi" w:hAnsiTheme="minorHAnsi"/>
        </w:rPr>
      </w:pPr>
    </w:p>
    <w:p w14:paraId="54DA8AAB" w14:textId="77777777" w:rsidR="009548E8" w:rsidRPr="001D42CA" w:rsidRDefault="009548E8" w:rsidP="009548E8">
      <w:pPr>
        <w:rPr>
          <w:rFonts w:asciiTheme="minorHAnsi" w:hAnsiTheme="minorHAnsi"/>
        </w:rPr>
      </w:pPr>
      <w:r>
        <w:rPr>
          <w:rFonts w:asciiTheme="minorHAnsi" w:hAnsiTheme="minorHAnsi"/>
        </w:rPr>
        <w:t>35</w:t>
      </w:r>
      <w:r w:rsidRPr="001D42CA">
        <w:rPr>
          <w:rFonts w:asciiTheme="minorHAnsi" w:hAnsiTheme="minorHAnsi"/>
        </w:rPr>
        <w:t>.</w:t>
      </w:r>
      <w:r w:rsidRPr="001D42CA">
        <w:rPr>
          <w:rFonts w:asciiTheme="minorHAnsi" w:hAnsiTheme="minorHAnsi"/>
        </w:rPr>
        <w:tab/>
      </w:r>
      <w:r w:rsidRPr="00EC60B6">
        <w:rPr>
          <w:rFonts w:asciiTheme="minorHAnsi" w:hAnsiTheme="minorHAnsi"/>
        </w:rPr>
        <w:t xml:space="preserve">NOTES with appreciation the transparency and accountability regarding Secretariat operations that the Secretary General has fostered during the past triennium; NOTES that, as a means to further enhance these efforts, the Secretariat has established a section of the Convention website to publish information to ensure transparency and accountability, including </w:t>
      </w:r>
      <w:r w:rsidRPr="00EC60B6">
        <w:rPr>
          <w:rFonts w:asciiTheme="minorHAnsi" w:hAnsiTheme="minorHAnsi"/>
          <w:i/>
        </w:rPr>
        <w:t>inter alia</w:t>
      </w:r>
      <w:r w:rsidRPr="00EC60B6">
        <w:rPr>
          <w:rFonts w:asciiTheme="minorHAnsi" w:hAnsiTheme="minorHAnsi"/>
        </w:rPr>
        <w:t>: completed and accepted audit reports; financial rules and regulations; annual reports of the Secretary General to the Standing Committee; procedures for engagement with the private sector; materials related to staff codes of conduct and professional ethics; the 1993 delegation of authority and its supplementary note; anti-fraud policies; anti-harassment policies; whistle-blower rules and protections; policies on conflict of interest; policies on gender equity and equality; and any other relevant inform</w:t>
      </w:r>
      <w:r w:rsidRPr="001D42CA">
        <w:rPr>
          <w:rFonts w:asciiTheme="minorHAnsi" w:hAnsiTheme="minorHAnsi"/>
        </w:rPr>
        <w:t>ation;</w:t>
      </w:r>
      <w:r>
        <w:rPr>
          <w:rFonts w:asciiTheme="minorHAnsi" w:hAnsiTheme="minorHAnsi"/>
        </w:rPr>
        <w:t xml:space="preserve"> and REQUESTS that the Secretariat pursue these efforts in 2023-2025;</w:t>
      </w:r>
    </w:p>
    <w:p w14:paraId="5F069391" w14:textId="77777777" w:rsidR="009548E8" w:rsidRPr="001D42CA" w:rsidRDefault="009548E8" w:rsidP="009548E8">
      <w:pPr>
        <w:rPr>
          <w:rFonts w:asciiTheme="minorHAnsi" w:hAnsiTheme="minorHAnsi"/>
        </w:rPr>
      </w:pPr>
    </w:p>
    <w:p w14:paraId="1A580C87" w14:textId="77777777" w:rsidR="009548E8" w:rsidRPr="001D42CA" w:rsidRDefault="009548E8" w:rsidP="009548E8">
      <w:pPr>
        <w:rPr>
          <w:rFonts w:asciiTheme="minorHAnsi" w:hAnsiTheme="minorHAnsi"/>
        </w:rPr>
      </w:pPr>
      <w:r>
        <w:rPr>
          <w:rFonts w:asciiTheme="minorHAnsi" w:hAnsiTheme="minorHAnsi"/>
        </w:rPr>
        <w:t>36</w:t>
      </w:r>
      <w:r w:rsidRPr="001D42CA">
        <w:rPr>
          <w:rFonts w:asciiTheme="minorHAnsi" w:hAnsiTheme="minorHAnsi"/>
        </w:rPr>
        <w:t>.</w:t>
      </w:r>
      <w:r w:rsidRPr="001D42CA">
        <w:rPr>
          <w:rFonts w:asciiTheme="minorHAnsi" w:hAnsiTheme="minorHAnsi"/>
        </w:rPr>
        <w:tab/>
        <w:t xml:space="preserve">REQUESTS the Secretariat to consider Contracting Parties </w:t>
      </w:r>
      <w:r>
        <w:rPr>
          <w:rFonts w:asciiTheme="minorHAnsi" w:hAnsiTheme="minorHAnsi"/>
        </w:rPr>
        <w:t xml:space="preserve">that are </w:t>
      </w:r>
      <w:r w:rsidRPr="001D42CA">
        <w:rPr>
          <w:rFonts w:asciiTheme="minorHAnsi" w:hAnsiTheme="minorHAnsi"/>
        </w:rPr>
        <w:t xml:space="preserve">on the UN Conference on Trade and Development’s </w:t>
      </w:r>
      <w:r>
        <w:rPr>
          <w:rFonts w:asciiTheme="minorHAnsi" w:hAnsiTheme="minorHAnsi"/>
        </w:rPr>
        <w:t>L</w:t>
      </w:r>
      <w:r w:rsidRPr="001D42CA">
        <w:rPr>
          <w:rFonts w:asciiTheme="minorHAnsi" w:hAnsiTheme="minorHAnsi"/>
        </w:rPr>
        <w:t>ist of Small Island Developing States (SIDS) as eligible for sponsorship for delegate travel, whether or not they are formally classified as such on economic grounds in the OECD Development Assistance Committee (DAC) list; and</w:t>
      </w:r>
    </w:p>
    <w:p w14:paraId="3EE54B45" w14:textId="77777777" w:rsidR="009548E8" w:rsidRPr="001D42CA" w:rsidRDefault="009548E8" w:rsidP="009548E8">
      <w:pPr>
        <w:rPr>
          <w:rFonts w:asciiTheme="minorHAnsi" w:hAnsiTheme="minorHAnsi"/>
        </w:rPr>
      </w:pPr>
    </w:p>
    <w:p w14:paraId="7D8560B1" w14:textId="77777777" w:rsidR="009548E8" w:rsidRDefault="009548E8" w:rsidP="009548E8">
      <w:pPr>
        <w:rPr>
          <w:rFonts w:asciiTheme="minorHAnsi" w:hAnsiTheme="minorHAnsi"/>
        </w:rPr>
      </w:pPr>
      <w:r>
        <w:rPr>
          <w:rFonts w:asciiTheme="minorHAnsi" w:hAnsiTheme="minorHAnsi"/>
        </w:rPr>
        <w:t>37</w:t>
      </w:r>
      <w:r w:rsidRPr="001D42CA">
        <w:rPr>
          <w:rFonts w:asciiTheme="minorHAnsi" w:hAnsiTheme="minorHAnsi"/>
        </w:rPr>
        <w:t>.</w:t>
      </w:r>
      <w:r w:rsidRPr="001D42CA">
        <w:rPr>
          <w:rFonts w:asciiTheme="minorHAnsi" w:hAnsiTheme="minorHAnsi"/>
        </w:rPr>
        <w:tab/>
        <w:t>CONFIRMS that th</w:t>
      </w:r>
      <w:r>
        <w:rPr>
          <w:rFonts w:asciiTheme="minorHAnsi" w:hAnsiTheme="minorHAnsi"/>
        </w:rPr>
        <w:t>e present</w:t>
      </w:r>
      <w:r w:rsidRPr="001D42CA">
        <w:rPr>
          <w:rFonts w:asciiTheme="minorHAnsi" w:hAnsiTheme="minorHAnsi"/>
        </w:rPr>
        <w:t xml:space="preserve"> Resolution and its annexes supersede Resolution XII</w:t>
      </w:r>
      <w:r>
        <w:rPr>
          <w:rFonts w:asciiTheme="minorHAnsi" w:hAnsiTheme="minorHAnsi"/>
        </w:rPr>
        <w:t>I</w:t>
      </w:r>
      <w:r w:rsidRPr="001D42CA">
        <w:rPr>
          <w:rFonts w:asciiTheme="minorHAnsi" w:hAnsiTheme="minorHAnsi"/>
        </w:rPr>
        <w:t>.</w:t>
      </w:r>
      <w:r>
        <w:rPr>
          <w:rFonts w:asciiTheme="minorHAnsi" w:hAnsiTheme="minorHAnsi"/>
        </w:rPr>
        <w:t xml:space="preserve">2 on </w:t>
      </w:r>
      <w:r>
        <w:rPr>
          <w:rFonts w:asciiTheme="minorHAnsi" w:hAnsiTheme="minorHAnsi"/>
          <w:i/>
        </w:rPr>
        <w:t>Financial and budgetary matters,</w:t>
      </w:r>
      <w:r w:rsidRPr="001D42CA">
        <w:rPr>
          <w:rFonts w:asciiTheme="minorHAnsi" w:hAnsiTheme="minorHAnsi"/>
        </w:rPr>
        <w:t xml:space="preserve"> </w:t>
      </w:r>
      <w:r>
        <w:rPr>
          <w:rFonts w:asciiTheme="minorHAnsi" w:hAnsiTheme="minorHAnsi"/>
        </w:rPr>
        <w:t xml:space="preserve">Resolution ExCOP3.2 on </w:t>
      </w:r>
      <w:r w:rsidRPr="00BD39A9">
        <w:rPr>
          <w:rFonts w:asciiTheme="minorHAnsi" w:hAnsiTheme="minorHAnsi"/>
          <w:i/>
        </w:rPr>
        <w:t>Financial and budgetary matters: 2022 core budget</w:t>
      </w:r>
      <w:r w:rsidRPr="001D684B">
        <w:rPr>
          <w:rFonts w:asciiTheme="minorHAnsi" w:hAnsiTheme="minorHAnsi"/>
        </w:rPr>
        <w:t xml:space="preserve"> </w:t>
      </w:r>
      <w:r w:rsidRPr="001D42CA">
        <w:rPr>
          <w:rFonts w:asciiTheme="minorHAnsi" w:hAnsiTheme="minorHAnsi"/>
        </w:rPr>
        <w:t xml:space="preserve">and </w:t>
      </w:r>
      <w:r w:rsidRPr="00835346">
        <w:rPr>
          <w:rFonts w:asciiTheme="minorHAnsi" w:hAnsiTheme="minorHAnsi"/>
        </w:rPr>
        <w:t>paragraph 11</w:t>
      </w:r>
      <w:r w:rsidRPr="00EA042E">
        <w:rPr>
          <w:rFonts w:asciiTheme="minorHAnsi" w:hAnsiTheme="minorHAnsi"/>
        </w:rPr>
        <w:t>.a of</w:t>
      </w:r>
      <w:r w:rsidRPr="001D42CA">
        <w:rPr>
          <w:rFonts w:asciiTheme="minorHAnsi" w:hAnsiTheme="minorHAnsi"/>
        </w:rPr>
        <w:t xml:space="preserve"> Resolution VI.17</w:t>
      </w:r>
      <w:r>
        <w:rPr>
          <w:rFonts w:asciiTheme="minorHAnsi" w:hAnsiTheme="minorHAnsi"/>
        </w:rPr>
        <w:t xml:space="preserve"> on </w:t>
      </w:r>
      <w:r w:rsidRPr="00BD39A9">
        <w:rPr>
          <w:rFonts w:asciiTheme="minorHAnsi" w:hAnsiTheme="minorHAnsi"/>
          <w:i/>
        </w:rPr>
        <w:t>Financial and budgetary matters</w:t>
      </w:r>
      <w:r w:rsidRPr="001D42CA">
        <w:rPr>
          <w:rFonts w:asciiTheme="minorHAnsi" w:hAnsiTheme="minorHAnsi"/>
        </w:rPr>
        <w:t>.</w:t>
      </w:r>
    </w:p>
    <w:p w14:paraId="5A7ADF02" w14:textId="77777777" w:rsidR="00356EEC" w:rsidRPr="00E15918" w:rsidRDefault="00356EEC" w:rsidP="00254B41">
      <w:pPr>
        <w:widowControl/>
        <w:ind w:left="426" w:hanging="426"/>
        <w:rPr>
          <w:rFonts w:asciiTheme="minorHAnsi" w:hAnsiTheme="minorHAnsi" w:cstheme="minorHAnsi"/>
          <w:b/>
          <w:i/>
        </w:rPr>
      </w:pPr>
    </w:p>
    <w:sectPr w:rsidR="00356EEC" w:rsidRPr="00E15918" w:rsidSect="00595B92">
      <w:footerReference w:type="default" r:id="rId13"/>
      <w:pgSz w:w="11906" w:h="16838" w:code="9"/>
      <w:pgMar w:top="1440" w:right="1440" w:bottom="1440" w:left="1440"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7D828E" w16cex:dateUtc="2021-06-23T00:51:00Z"/>
  <w16cex:commentExtensible w16cex:durableId="247CB75B" w16cex:dateUtc="2021-06-22T23:24:00Z"/>
  <w16cex:commentExtensible w16cex:durableId="247D83DD" w16cex:dateUtc="2021-06-23T00:56:00Z"/>
  <w16cex:commentExtensible w16cex:durableId="247CB8C0" w16cex:dateUtc="2021-06-22T23:30:00Z"/>
  <w16cex:commentExtensible w16cex:durableId="247D86B6" w16cex:dateUtc="2021-06-23T01:08:00Z"/>
  <w16cex:commentExtensible w16cex:durableId="247CBE75" w16cex:dateUtc="2021-06-22T23:54:00Z"/>
  <w16cex:commentExtensible w16cex:durableId="247DD552" w16cex:dateUtc="2021-06-23T06:44:00Z"/>
  <w16cex:commentExtensible w16cex:durableId="247D9B4F" w16cex:dateUtc="2021-06-23T02:36:00Z"/>
  <w16cex:commentExtensible w16cex:durableId="247CC03B" w16cex:dateUtc="2021-06-23T00: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56504D7" w16cid:durableId="26388139"/>
  <w16cid:commentId w16cid:paraId="4D09350A" w16cid:durableId="2638813A"/>
  <w16cid:commentId w16cid:paraId="03073A1A" w16cid:durableId="2638813B"/>
  <w16cid:commentId w16cid:paraId="092F13D3" w16cid:durableId="2638813C"/>
  <w16cid:commentId w16cid:paraId="398D453E" w16cid:durableId="263882D9"/>
  <w16cid:commentId w16cid:paraId="0194A47B" w16cid:durableId="263882E5"/>
  <w16cid:commentId w16cid:paraId="0590D7B1" w16cid:durableId="263882B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920EA5" w14:textId="77777777" w:rsidR="00591472" w:rsidRDefault="00591472" w:rsidP="00A50555">
      <w:r>
        <w:separator/>
      </w:r>
    </w:p>
  </w:endnote>
  <w:endnote w:type="continuationSeparator" w:id="0">
    <w:p w14:paraId="71434327" w14:textId="77777777" w:rsidR="00591472" w:rsidRDefault="00591472" w:rsidP="00A505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3B7EB1" w14:textId="3FA573D3" w:rsidR="00591472" w:rsidRPr="00591472" w:rsidRDefault="00591472" w:rsidP="00591472">
    <w:pPr>
      <w:tabs>
        <w:tab w:val="left" w:pos="8789"/>
      </w:tabs>
      <w:rPr>
        <w:rFonts w:cstheme="minorHAnsi"/>
        <w:sz w:val="18"/>
        <w:szCs w:val="18"/>
      </w:rPr>
    </w:pPr>
    <w:r w:rsidRPr="00591472">
      <w:rPr>
        <w:rFonts w:cstheme="minorHAnsi"/>
        <w:sz w:val="18"/>
        <w:szCs w:val="18"/>
      </w:rPr>
      <w:t>SC59/2022 Com.2</w:t>
    </w:r>
    <w:r>
      <w:rPr>
        <w:rFonts w:cstheme="minorHAnsi"/>
        <w:sz w:val="18"/>
        <w:szCs w:val="18"/>
      </w:rPr>
      <w:tab/>
    </w:r>
    <w:r w:rsidR="003563E9" w:rsidRPr="003563E9">
      <w:rPr>
        <w:rFonts w:cstheme="minorHAnsi"/>
        <w:sz w:val="18"/>
        <w:szCs w:val="18"/>
      </w:rPr>
      <w:fldChar w:fldCharType="begin"/>
    </w:r>
    <w:r w:rsidR="003563E9" w:rsidRPr="003563E9">
      <w:rPr>
        <w:rFonts w:cstheme="minorHAnsi"/>
        <w:sz w:val="18"/>
        <w:szCs w:val="18"/>
      </w:rPr>
      <w:instrText xml:space="preserve"> PAGE   \* MERGEFORMAT </w:instrText>
    </w:r>
    <w:r w:rsidR="003563E9" w:rsidRPr="003563E9">
      <w:rPr>
        <w:rFonts w:cstheme="minorHAnsi"/>
        <w:sz w:val="18"/>
        <w:szCs w:val="18"/>
      </w:rPr>
      <w:fldChar w:fldCharType="separate"/>
    </w:r>
    <w:r w:rsidR="00E10F8A">
      <w:rPr>
        <w:rFonts w:cstheme="minorHAnsi"/>
        <w:noProof/>
        <w:sz w:val="18"/>
        <w:szCs w:val="18"/>
      </w:rPr>
      <w:t>4</w:t>
    </w:r>
    <w:r w:rsidR="003563E9" w:rsidRPr="003563E9">
      <w:rPr>
        <w:rFonts w:cstheme="minorHAnsi"/>
        <w:noProo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BB5522" w14:textId="7B9C8F0E" w:rsidR="003563E9" w:rsidRPr="00591472" w:rsidRDefault="003563E9" w:rsidP="003563E9">
    <w:pPr>
      <w:tabs>
        <w:tab w:val="left" w:pos="13467"/>
      </w:tabs>
      <w:rPr>
        <w:rFonts w:cstheme="minorHAnsi"/>
        <w:sz w:val="18"/>
        <w:szCs w:val="18"/>
      </w:rPr>
    </w:pPr>
    <w:r w:rsidRPr="00591472">
      <w:rPr>
        <w:rFonts w:cstheme="minorHAnsi"/>
        <w:sz w:val="18"/>
        <w:szCs w:val="18"/>
      </w:rPr>
      <w:t>SC59/2022 Com.2</w:t>
    </w:r>
    <w:r>
      <w:rPr>
        <w:rFonts w:cstheme="minorHAnsi"/>
        <w:sz w:val="18"/>
        <w:szCs w:val="18"/>
      </w:rPr>
      <w:tab/>
    </w:r>
    <w:r w:rsidRPr="003563E9">
      <w:rPr>
        <w:rFonts w:cstheme="minorHAnsi"/>
        <w:sz w:val="18"/>
        <w:szCs w:val="18"/>
      </w:rPr>
      <w:fldChar w:fldCharType="begin"/>
    </w:r>
    <w:r w:rsidRPr="003563E9">
      <w:rPr>
        <w:rFonts w:cstheme="minorHAnsi"/>
        <w:sz w:val="18"/>
        <w:szCs w:val="18"/>
      </w:rPr>
      <w:instrText xml:space="preserve"> PAGE   \* MERGEFORMAT </w:instrText>
    </w:r>
    <w:r w:rsidRPr="003563E9">
      <w:rPr>
        <w:rFonts w:cstheme="minorHAnsi"/>
        <w:sz w:val="18"/>
        <w:szCs w:val="18"/>
      </w:rPr>
      <w:fldChar w:fldCharType="separate"/>
    </w:r>
    <w:r w:rsidR="00E10F8A">
      <w:rPr>
        <w:rFonts w:cstheme="minorHAnsi"/>
        <w:noProof/>
        <w:sz w:val="18"/>
        <w:szCs w:val="18"/>
      </w:rPr>
      <w:t>8</w:t>
    </w:r>
    <w:r w:rsidRPr="003563E9">
      <w:rPr>
        <w:rFonts w:cstheme="minorHAnsi"/>
        <w:noProof/>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C2A6A2" w14:textId="3F346E7F" w:rsidR="003563E9" w:rsidRPr="00591472" w:rsidRDefault="003563E9" w:rsidP="00591472">
    <w:pPr>
      <w:tabs>
        <w:tab w:val="left" w:pos="8789"/>
      </w:tabs>
      <w:rPr>
        <w:rFonts w:cstheme="minorHAnsi"/>
        <w:sz w:val="18"/>
        <w:szCs w:val="18"/>
      </w:rPr>
    </w:pPr>
    <w:r w:rsidRPr="00591472">
      <w:rPr>
        <w:rFonts w:cstheme="minorHAnsi"/>
        <w:sz w:val="18"/>
        <w:szCs w:val="18"/>
      </w:rPr>
      <w:t>SC59/2022 Com.2</w:t>
    </w:r>
    <w:r>
      <w:rPr>
        <w:rFonts w:cstheme="minorHAnsi"/>
        <w:sz w:val="18"/>
        <w:szCs w:val="18"/>
      </w:rPr>
      <w:tab/>
    </w:r>
    <w:r w:rsidRPr="003563E9">
      <w:rPr>
        <w:rFonts w:cstheme="minorHAnsi"/>
        <w:sz w:val="18"/>
        <w:szCs w:val="18"/>
      </w:rPr>
      <w:fldChar w:fldCharType="begin"/>
    </w:r>
    <w:r w:rsidRPr="003563E9">
      <w:rPr>
        <w:rFonts w:cstheme="minorHAnsi"/>
        <w:sz w:val="18"/>
        <w:szCs w:val="18"/>
      </w:rPr>
      <w:instrText xml:space="preserve"> PAGE   \* MERGEFORMAT </w:instrText>
    </w:r>
    <w:r w:rsidRPr="003563E9">
      <w:rPr>
        <w:rFonts w:cstheme="minorHAnsi"/>
        <w:sz w:val="18"/>
        <w:szCs w:val="18"/>
      </w:rPr>
      <w:fldChar w:fldCharType="separate"/>
    </w:r>
    <w:r w:rsidR="00E10F8A">
      <w:rPr>
        <w:rFonts w:cstheme="minorHAnsi"/>
        <w:noProof/>
        <w:sz w:val="18"/>
        <w:szCs w:val="18"/>
      </w:rPr>
      <w:t>12</w:t>
    </w:r>
    <w:r w:rsidRPr="003563E9">
      <w:rPr>
        <w:rFonts w:cstheme="minorHAnsi"/>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EB530F" w14:textId="77777777" w:rsidR="00591472" w:rsidRDefault="00591472" w:rsidP="00A50555">
      <w:r>
        <w:separator/>
      </w:r>
    </w:p>
  </w:footnote>
  <w:footnote w:type="continuationSeparator" w:id="0">
    <w:p w14:paraId="5F8911BC" w14:textId="77777777" w:rsidR="00591472" w:rsidRDefault="00591472" w:rsidP="00A50555">
      <w:r>
        <w:continuationSeparator/>
      </w:r>
    </w:p>
  </w:footnote>
  <w:footnote w:id="1">
    <w:p w14:paraId="75EBE957" w14:textId="4A867E82" w:rsidR="00591472" w:rsidRPr="002C2CCE" w:rsidRDefault="00591472">
      <w:pPr>
        <w:pStyle w:val="FootnoteText"/>
      </w:pPr>
      <w:r>
        <w:rPr>
          <w:rStyle w:val="FootnoteReference"/>
        </w:rPr>
        <w:footnoteRef/>
      </w:r>
      <w:r>
        <w:t xml:space="preserve"> Continued at item 5 below.</w:t>
      </w:r>
    </w:p>
  </w:footnote>
  <w:footnote w:id="2">
    <w:p w14:paraId="6B3CA270" w14:textId="24B0136D" w:rsidR="00591472" w:rsidRPr="00642406" w:rsidRDefault="00591472">
      <w:pPr>
        <w:pStyle w:val="FootnoteText"/>
        <w:rPr>
          <w:lang w:val="en-GB"/>
        </w:rPr>
      </w:pPr>
      <w:r>
        <w:rPr>
          <w:rStyle w:val="FootnoteReference"/>
        </w:rPr>
        <w:footnoteRef/>
      </w:r>
      <w:r>
        <w:t xml:space="preserve"> This is a </w:t>
      </w:r>
      <w:r>
        <w:rPr>
          <w:lang w:val="en-GB"/>
        </w:rPr>
        <w:t>correction to document SC59/8022 Doc.8.3.</w:t>
      </w:r>
    </w:p>
  </w:footnote>
  <w:footnote w:id="3">
    <w:p w14:paraId="73AABD7D" w14:textId="4DB5FE0A" w:rsidR="00591472" w:rsidRPr="002E00B9" w:rsidRDefault="00591472">
      <w:pPr>
        <w:pStyle w:val="FootnoteText"/>
        <w:rPr>
          <w:lang w:val="en-GB"/>
        </w:rPr>
      </w:pPr>
      <w:r>
        <w:rPr>
          <w:rStyle w:val="FootnoteReference"/>
        </w:rPr>
        <w:footnoteRef/>
      </w:r>
      <w:r>
        <w:t xml:space="preserve"> </w:t>
      </w:r>
      <w:r>
        <w:rPr>
          <w:lang w:val="en-GB"/>
        </w:rPr>
        <w:t>Continued from item 2 above.</w:t>
      </w:r>
    </w:p>
  </w:footnote>
  <w:footnote w:id="4">
    <w:p w14:paraId="00DB6336" w14:textId="77777777" w:rsidR="00591472" w:rsidRDefault="00591472" w:rsidP="009548E8">
      <w:pPr>
        <w:pStyle w:val="FootnoteText"/>
      </w:pPr>
      <w:r w:rsidRPr="003762F6">
        <w:rPr>
          <w:rStyle w:val="FootnoteReference"/>
        </w:rPr>
        <w:footnoteRef/>
      </w:r>
      <w:r w:rsidRPr="003762F6">
        <w:t xml:space="preserve"> This paragraph is proposed for budget Scenario A and takes the same approach </w:t>
      </w:r>
      <w:r>
        <w:t>as</w:t>
      </w:r>
      <w:r w:rsidRPr="003762F6">
        <w:t xml:space="preserve"> paragraph </w:t>
      </w:r>
      <w:r w:rsidRPr="00466A7B">
        <w:t xml:space="preserve">15 </w:t>
      </w:r>
      <w:r>
        <w:t>of</w:t>
      </w:r>
      <w:r w:rsidRPr="003762F6">
        <w:t xml:space="preserve"> Resolution</w:t>
      </w:r>
      <w:r>
        <w:t> </w:t>
      </w:r>
      <w:r w:rsidRPr="003762F6">
        <w:t>XIII.2</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FD5A1B"/>
    <w:multiLevelType w:val="hybridMultilevel"/>
    <w:tmpl w:val="DABE2B86"/>
    <w:lvl w:ilvl="0" w:tplc="788E700C">
      <w:start w:val="1"/>
      <w:numFmt w:val="decimal"/>
      <w:lvlText w:val="%1."/>
      <w:lvlJc w:val="left"/>
      <w:pPr>
        <w:ind w:left="790" w:hanging="43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CA90BB1"/>
    <w:multiLevelType w:val="hybridMultilevel"/>
    <w:tmpl w:val="99EEC3C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CBC2E81"/>
    <w:multiLevelType w:val="hybridMultilevel"/>
    <w:tmpl w:val="A0D0D50C"/>
    <w:lvl w:ilvl="0" w:tplc="089E18B0">
      <w:start w:val="1"/>
      <w:numFmt w:val="decimal"/>
      <w:lvlText w:val="%1)"/>
      <w:lvlJc w:val="left"/>
      <w:pPr>
        <w:ind w:left="360" w:hanging="360"/>
      </w:pPr>
      <w:rPr>
        <w:rFonts w:ascii="Calibri" w:hAnsi="Calibri" w:hint="default"/>
        <w:b/>
        <w:i w:val="0"/>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3F751BAD"/>
    <w:multiLevelType w:val="hybridMultilevel"/>
    <w:tmpl w:val="0B0C2C4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454C3034"/>
    <w:multiLevelType w:val="hybridMultilevel"/>
    <w:tmpl w:val="AEEE90FA"/>
    <w:lvl w:ilvl="0" w:tplc="B63A677E">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4E694522"/>
    <w:multiLevelType w:val="hybridMultilevel"/>
    <w:tmpl w:val="4D86A0D6"/>
    <w:lvl w:ilvl="0" w:tplc="C486D5A2">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6367CF7"/>
    <w:multiLevelType w:val="hybridMultilevel"/>
    <w:tmpl w:val="C93EF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2"/>
  </w:num>
  <w:num w:numId="4">
    <w:abstractNumId w:val="4"/>
  </w:num>
  <w:num w:numId="5">
    <w:abstractNumId w:val="3"/>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AA5"/>
    <w:rsid w:val="000159B6"/>
    <w:rsid w:val="0002451C"/>
    <w:rsid w:val="000400BF"/>
    <w:rsid w:val="00061146"/>
    <w:rsid w:val="0007473E"/>
    <w:rsid w:val="00075BDC"/>
    <w:rsid w:val="00080D2B"/>
    <w:rsid w:val="0009289B"/>
    <w:rsid w:val="00093528"/>
    <w:rsid w:val="000B2E06"/>
    <w:rsid w:val="000C231F"/>
    <w:rsid w:val="000D3076"/>
    <w:rsid w:val="000D7390"/>
    <w:rsid w:val="000E645B"/>
    <w:rsid w:val="000F0E85"/>
    <w:rsid w:val="000F46B6"/>
    <w:rsid w:val="000F4BA3"/>
    <w:rsid w:val="000F77DA"/>
    <w:rsid w:val="001019BA"/>
    <w:rsid w:val="001037CE"/>
    <w:rsid w:val="001118B5"/>
    <w:rsid w:val="0011723D"/>
    <w:rsid w:val="00143B34"/>
    <w:rsid w:val="0018412E"/>
    <w:rsid w:val="00187E32"/>
    <w:rsid w:val="00196236"/>
    <w:rsid w:val="001A6241"/>
    <w:rsid w:val="001B5313"/>
    <w:rsid w:val="001B7BC0"/>
    <w:rsid w:val="001C794F"/>
    <w:rsid w:val="001D2175"/>
    <w:rsid w:val="001D6A6C"/>
    <w:rsid w:val="001E583C"/>
    <w:rsid w:val="001F0201"/>
    <w:rsid w:val="001F1060"/>
    <w:rsid w:val="001F11ED"/>
    <w:rsid w:val="00204595"/>
    <w:rsid w:val="002050D5"/>
    <w:rsid w:val="00213D29"/>
    <w:rsid w:val="002261FB"/>
    <w:rsid w:val="002275AA"/>
    <w:rsid w:val="00230B95"/>
    <w:rsid w:val="00254B41"/>
    <w:rsid w:val="00261AFB"/>
    <w:rsid w:val="00273A11"/>
    <w:rsid w:val="002761E2"/>
    <w:rsid w:val="00293327"/>
    <w:rsid w:val="002965DA"/>
    <w:rsid w:val="002B0987"/>
    <w:rsid w:val="002B56FE"/>
    <w:rsid w:val="002C2CCE"/>
    <w:rsid w:val="002E00B9"/>
    <w:rsid w:val="002E1AA7"/>
    <w:rsid w:val="002E1C17"/>
    <w:rsid w:val="002E2BC5"/>
    <w:rsid w:val="002E6E44"/>
    <w:rsid w:val="002F01C2"/>
    <w:rsid w:val="00302AF5"/>
    <w:rsid w:val="0031045A"/>
    <w:rsid w:val="003120C7"/>
    <w:rsid w:val="00312AAB"/>
    <w:rsid w:val="003367DB"/>
    <w:rsid w:val="00347815"/>
    <w:rsid w:val="003563E9"/>
    <w:rsid w:val="00356EEC"/>
    <w:rsid w:val="003621B6"/>
    <w:rsid w:val="003625AF"/>
    <w:rsid w:val="003636C0"/>
    <w:rsid w:val="00370162"/>
    <w:rsid w:val="00381076"/>
    <w:rsid w:val="003836D6"/>
    <w:rsid w:val="003857D7"/>
    <w:rsid w:val="003A3C66"/>
    <w:rsid w:val="003B1DC5"/>
    <w:rsid w:val="003C0BB1"/>
    <w:rsid w:val="003C0CBD"/>
    <w:rsid w:val="003C3176"/>
    <w:rsid w:val="003C5B18"/>
    <w:rsid w:val="003D0E8A"/>
    <w:rsid w:val="003E1E49"/>
    <w:rsid w:val="003F3625"/>
    <w:rsid w:val="003F688F"/>
    <w:rsid w:val="00401F37"/>
    <w:rsid w:val="00413A35"/>
    <w:rsid w:val="00426C7C"/>
    <w:rsid w:val="0042785D"/>
    <w:rsid w:val="00443D01"/>
    <w:rsid w:val="00444C8C"/>
    <w:rsid w:val="00450D67"/>
    <w:rsid w:val="004575A6"/>
    <w:rsid w:val="004576D6"/>
    <w:rsid w:val="00464A2A"/>
    <w:rsid w:val="00473610"/>
    <w:rsid w:val="00477F88"/>
    <w:rsid w:val="00480521"/>
    <w:rsid w:val="0049087F"/>
    <w:rsid w:val="00497B52"/>
    <w:rsid w:val="004A35A2"/>
    <w:rsid w:val="004C2818"/>
    <w:rsid w:val="004C2A35"/>
    <w:rsid w:val="004D5C37"/>
    <w:rsid w:val="004E6BCE"/>
    <w:rsid w:val="00503237"/>
    <w:rsid w:val="00503383"/>
    <w:rsid w:val="0051214A"/>
    <w:rsid w:val="00513537"/>
    <w:rsid w:val="0051680D"/>
    <w:rsid w:val="0052223D"/>
    <w:rsid w:val="00522262"/>
    <w:rsid w:val="00537C58"/>
    <w:rsid w:val="005410AA"/>
    <w:rsid w:val="005439A5"/>
    <w:rsid w:val="00543D97"/>
    <w:rsid w:val="00544F74"/>
    <w:rsid w:val="00574D80"/>
    <w:rsid w:val="00590B54"/>
    <w:rsid w:val="00591472"/>
    <w:rsid w:val="00595B92"/>
    <w:rsid w:val="005A32A8"/>
    <w:rsid w:val="005A5E14"/>
    <w:rsid w:val="005B2C0F"/>
    <w:rsid w:val="005B5816"/>
    <w:rsid w:val="005D6745"/>
    <w:rsid w:val="005E3216"/>
    <w:rsid w:val="005E3F07"/>
    <w:rsid w:val="005E5094"/>
    <w:rsid w:val="005F25FF"/>
    <w:rsid w:val="005F38A9"/>
    <w:rsid w:val="005F39F0"/>
    <w:rsid w:val="00620874"/>
    <w:rsid w:val="0062629D"/>
    <w:rsid w:val="006302C1"/>
    <w:rsid w:val="00632CDE"/>
    <w:rsid w:val="00637101"/>
    <w:rsid w:val="00641B45"/>
    <w:rsid w:val="00642406"/>
    <w:rsid w:val="00656511"/>
    <w:rsid w:val="00662D91"/>
    <w:rsid w:val="0066441B"/>
    <w:rsid w:val="0066724B"/>
    <w:rsid w:val="00687B72"/>
    <w:rsid w:val="006A43CF"/>
    <w:rsid w:val="006B7A8C"/>
    <w:rsid w:val="006C211A"/>
    <w:rsid w:val="006C516B"/>
    <w:rsid w:val="006D71F2"/>
    <w:rsid w:val="006E54A5"/>
    <w:rsid w:val="006F0A7A"/>
    <w:rsid w:val="006F417C"/>
    <w:rsid w:val="006F4234"/>
    <w:rsid w:val="006F7F31"/>
    <w:rsid w:val="007019C8"/>
    <w:rsid w:val="00711D36"/>
    <w:rsid w:val="007163B4"/>
    <w:rsid w:val="007221BA"/>
    <w:rsid w:val="00743F0F"/>
    <w:rsid w:val="00755019"/>
    <w:rsid w:val="00763805"/>
    <w:rsid w:val="00763865"/>
    <w:rsid w:val="00763D3E"/>
    <w:rsid w:val="0077382A"/>
    <w:rsid w:val="00777E80"/>
    <w:rsid w:val="0078596A"/>
    <w:rsid w:val="00791E82"/>
    <w:rsid w:val="007A4062"/>
    <w:rsid w:val="007A443A"/>
    <w:rsid w:val="007B46A8"/>
    <w:rsid w:val="007B6E89"/>
    <w:rsid w:val="007C1B17"/>
    <w:rsid w:val="007E32B3"/>
    <w:rsid w:val="00821625"/>
    <w:rsid w:val="008224CD"/>
    <w:rsid w:val="00840681"/>
    <w:rsid w:val="008519D6"/>
    <w:rsid w:val="00871B5A"/>
    <w:rsid w:val="008758DC"/>
    <w:rsid w:val="008A1322"/>
    <w:rsid w:val="008A6071"/>
    <w:rsid w:val="008B6868"/>
    <w:rsid w:val="008B6D4C"/>
    <w:rsid w:val="008E1AA5"/>
    <w:rsid w:val="008E3818"/>
    <w:rsid w:val="008F3ABA"/>
    <w:rsid w:val="008F6EDE"/>
    <w:rsid w:val="00912996"/>
    <w:rsid w:val="00913612"/>
    <w:rsid w:val="009261DF"/>
    <w:rsid w:val="0094344E"/>
    <w:rsid w:val="00951EDA"/>
    <w:rsid w:val="009548E8"/>
    <w:rsid w:val="00955845"/>
    <w:rsid w:val="00957482"/>
    <w:rsid w:val="00963971"/>
    <w:rsid w:val="00972660"/>
    <w:rsid w:val="00974A00"/>
    <w:rsid w:val="00975200"/>
    <w:rsid w:val="0098108D"/>
    <w:rsid w:val="009850A6"/>
    <w:rsid w:val="00986334"/>
    <w:rsid w:val="00986D94"/>
    <w:rsid w:val="00991376"/>
    <w:rsid w:val="00995583"/>
    <w:rsid w:val="009A732E"/>
    <w:rsid w:val="009B30CB"/>
    <w:rsid w:val="009B7E58"/>
    <w:rsid w:val="009C4830"/>
    <w:rsid w:val="009D2CB4"/>
    <w:rsid w:val="009D60D2"/>
    <w:rsid w:val="009F5EF8"/>
    <w:rsid w:val="009F696A"/>
    <w:rsid w:val="00A00F0F"/>
    <w:rsid w:val="00A0399C"/>
    <w:rsid w:val="00A24BE1"/>
    <w:rsid w:val="00A25CC9"/>
    <w:rsid w:val="00A2640A"/>
    <w:rsid w:val="00A464D1"/>
    <w:rsid w:val="00A50555"/>
    <w:rsid w:val="00A51A5D"/>
    <w:rsid w:val="00A672A1"/>
    <w:rsid w:val="00A71988"/>
    <w:rsid w:val="00A90931"/>
    <w:rsid w:val="00AB178F"/>
    <w:rsid w:val="00AC086D"/>
    <w:rsid w:val="00AD079A"/>
    <w:rsid w:val="00AF4B37"/>
    <w:rsid w:val="00AF5120"/>
    <w:rsid w:val="00B00120"/>
    <w:rsid w:val="00B0237C"/>
    <w:rsid w:val="00B07F57"/>
    <w:rsid w:val="00B1398E"/>
    <w:rsid w:val="00B15073"/>
    <w:rsid w:val="00B1795F"/>
    <w:rsid w:val="00B17B8E"/>
    <w:rsid w:val="00B24305"/>
    <w:rsid w:val="00B24FC7"/>
    <w:rsid w:val="00B44B75"/>
    <w:rsid w:val="00B45EE7"/>
    <w:rsid w:val="00B4675C"/>
    <w:rsid w:val="00B47F4D"/>
    <w:rsid w:val="00B501A6"/>
    <w:rsid w:val="00B633CD"/>
    <w:rsid w:val="00B87646"/>
    <w:rsid w:val="00B93A4E"/>
    <w:rsid w:val="00B94F63"/>
    <w:rsid w:val="00BA28A6"/>
    <w:rsid w:val="00BB5461"/>
    <w:rsid w:val="00BC0A3B"/>
    <w:rsid w:val="00BC35EB"/>
    <w:rsid w:val="00BD015F"/>
    <w:rsid w:val="00BD255E"/>
    <w:rsid w:val="00BD381C"/>
    <w:rsid w:val="00BD3891"/>
    <w:rsid w:val="00BD6489"/>
    <w:rsid w:val="00C07ED3"/>
    <w:rsid w:val="00C113FB"/>
    <w:rsid w:val="00C4108F"/>
    <w:rsid w:val="00C71068"/>
    <w:rsid w:val="00C72496"/>
    <w:rsid w:val="00C726E1"/>
    <w:rsid w:val="00C76EEE"/>
    <w:rsid w:val="00C76FD5"/>
    <w:rsid w:val="00C77D35"/>
    <w:rsid w:val="00C80233"/>
    <w:rsid w:val="00C910A1"/>
    <w:rsid w:val="00CA2A73"/>
    <w:rsid w:val="00CA47DD"/>
    <w:rsid w:val="00CC7060"/>
    <w:rsid w:val="00CD1507"/>
    <w:rsid w:val="00CE0166"/>
    <w:rsid w:val="00CE1C6A"/>
    <w:rsid w:val="00CE5A38"/>
    <w:rsid w:val="00D12344"/>
    <w:rsid w:val="00D21AB0"/>
    <w:rsid w:val="00D23279"/>
    <w:rsid w:val="00D32871"/>
    <w:rsid w:val="00D434D9"/>
    <w:rsid w:val="00D55468"/>
    <w:rsid w:val="00D816CB"/>
    <w:rsid w:val="00D86184"/>
    <w:rsid w:val="00D869E7"/>
    <w:rsid w:val="00DA7A62"/>
    <w:rsid w:val="00DB0BED"/>
    <w:rsid w:val="00DB76E9"/>
    <w:rsid w:val="00DC0469"/>
    <w:rsid w:val="00DC23F7"/>
    <w:rsid w:val="00DD5F2D"/>
    <w:rsid w:val="00E04963"/>
    <w:rsid w:val="00E10F8A"/>
    <w:rsid w:val="00E113B3"/>
    <w:rsid w:val="00E1293D"/>
    <w:rsid w:val="00E15918"/>
    <w:rsid w:val="00E35FAB"/>
    <w:rsid w:val="00E36717"/>
    <w:rsid w:val="00E41F24"/>
    <w:rsid w:val="00E523A5"/>
    <w:rsid w:val="00E54426"/>
    <w:rsid w:val="00E56E08"/>
    <w:rsid w:val="00E61FC3"/>
    <w:rsid w:val="00E75400"/>
    <w:rsid w:val="00E8197F"/>
    <w:rsid w:val="00E842B7"/>
    <w:rsid w:val="00E9401C"/>
    <w:rsid w:val="00E96FBF"/>
    <w:rsid w:val="00E97A2C"/>
    <w:rsid w:val="00EB3C86"/>
    <w:rsid w:val="00EB4C55"/>
    <w:rsid w:val="00EC10F2"/>
    <w:rsid w:val="00EC1418"/>
    <w:rsid w:val="00EC34F8"/>
    <w:rsid w:val="00EC44E1"/>
    <w:rsid w:val="00EC5FE9"/>
    <w:rsid w:val="00ED15B4"/>
    <w:rsid w:val="00ED4BF2"/>
    <w:rsid w:val="00F02BAA"/>
    <w:rsid w:val="00F068B4"/>
    <w:rsid w:val="00F10FCB"/>
    <w:rsid w:val="00F237D4"/>
    <w:rsid w:val="00F30DD3"/>
    <w:rsid w:val="00F430ED"/>
    <w:rsid w:val="00F517A5"/>
    <w:rsid w:val="00F60AB1"/>
    <w:rsid w:val="00F63469"/>
    <w:rsid w:val="00F71148"/>
    <w:rsid w:val="00F837E1"/>
    <w:rsid w:val="00F91FE6"/>
    <w:rsid w:val="00FA0892"/>
    <w:rsid w:val="00FB512A"/>
    <w:rsid w:val="00FB66BD"/>
    <w:rsid w:val="00FC5734"/>
    <w:rsid w:val="00FC5C2F"/>
    <w:rsid w:val="00FD6050"/>
    <w:rsid w:val="00FE408D"/>
    <w:rsid w:val="00FF19B1"/>
    <w:rsid w:val="00FF743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A7871BA"/>
  <w15:chartTrackingRefBased/>
  <w15:docId w15:val="{078A3970-D28C-4D77-9744-9C197CE63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1AA5"/>
    <w:pPr>
      <w:widowControl w:val="0"/>
      <w:autoSpaceDE w:val="0"/>
      <w:autoSpaceDN w:val="0"/>
      <w:spacing w:after="0" w:line="240" w:lineRule="auto"/>
    </w:pPr>
    <w:rPr>
      <w:rFonts w:ascii="Calibri" w:eastAsia="Times New Roman" w:hAnsi="Calibri" w:cs="Calibri"/>
      <w:lang w:val="en-US"/>
    </w:rPr>
  </w:style>
  <w:style w:type="paragraph" w:styleId="Heading2">
    <w:name w:val="heading 2"/>
    <w:basedOn w:val="Normal"/>
    <w:link w:val="Heading2Char"/>
    <w:uiPriority w:val="9"/>
    <w:unhideWhenUsed/>
    <w:qFormat/>
    <w:rsid w:val="008E1AA5"/>
    <w:pPr>
      <w:ind w:left="240"/>
      <w:jc w:val="both"/>
      <w:outlineLvl w:val="1"/>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E1AA5"/>
    <w:rPr>
      <w:rFonts w:ascii="Calibri" w:eastAsia="Times New Roman" w:hAnsi="Calibri" w:cs="Calibri"/>
      <w:b/>
      <w:bCs/>
      <w:i/>
      <w:lang w:val="en-US"/>
    </w:rPr>
  </w:style>
  <w:style w:type="paragraph" w:styleId="BodyText">
    <w:name w:val="Body Text"/>
    <w:basedOn w:val="Normal"/>
    <w:link w:val="BodyTextChar"/>
    <w:uiPriority w:val="1"/>
    <w:unhideWhenUsed/>
    <w:qFormat/>
    <w:rsid w:val="008E1AA5"/>
  </w:style>
  <w:style w:type="character" w:customStyle="1" w:styleId="BodyTextChar">
    <w:name w:val="Body Text Char"/>
    <w:basedOn w:val="DefaultParagraphFont"/>
    <w:link w:val="BodyText"/>
    <w:uiPriority w:val="1"/>
    <w:rsid w:val="008E1AA5"/>
    <w:rPr>
      <w:rFonts w:ascii="Calibri" w:eastAsia="Times New Roman" w:hAnsi="Calibri" w:cs="Calibri"/>
      <w:lang w:val="en-US"/>
    </w:rPr>
  </w:style>
  <w:style w:type="character" w:styleId="CommentReference">
    <w:name w:val="annotation reference"/>
    <w:basedOn w:val="DefaultParagraphFont"/>
    <w:uiPriority w:val="99"/>
    <w:semiHidden/>
    <w:unhideWhenUsed/>
    <w:rsid w:val="005F39F0"/>
    <w:rPr>
      <w:sz w:val="16"/>
      <w:szCs w:val="16"/>
    </w:rPr>
  </w:style>
  <w:style w:type="paragraph" w:styleId="CommentText">
    <w:name w:val="annotation text"/>
    <w:basedOn w:val="Normal"/>
    <w:link w:val="CommentTextChar"/>
    <w:uiPriority w:val="99"/>
    <w:unhideWhenUsed/>
    <w:rsid w:val="005F39F0"/>
    <w:rPr>
      <w:sz w:val="20"/>
      <w:szCs w:val="20"/>
    </w:rPr>
  </w:style>
  <w:style w:type="character" w:customStyle="1" w:styleId="CommentTextChar">
    <w:name w:val="Comment Text Char"/>
    <w:basedOn w:val="DefaultParagraphFont"/>
    <w:link w:val="CommentText"/>
    <w:uiPriority w:val="99"/>
    <w:rsid w:val="005F39F0"/>
    <w:rPr>
      <w:rFonts w:ascii="Calibri" w:eastAsia="Times New Roman" w:hAnsi="Calibri" w:cs="Calibri"/>
      <w:sz w:val="20"/>
      <w:szCs w:val="20"/>
      <w:lang w:val="en-US"/>
    </w:rPr>
  </w:style>
  <w:style w:type="paragraph" w:styleId="CommentSubject">
    <w:name w:val="annotation subject"/>
    <w:basedOn w:val="CommentText"/>
    <w:next w:val="CommentText"/>
    <w:link w:val="CommentSubjectChar"/>
    <w:uiPriority w:val="99"/>
    <w:semiHidden/>
    <w:unhideWhenUsed/>
    <w:rsid w:val="005F39F0"/>
    <w:rPr>
      <w:b/>
      <w:bCs/>
    </w:rPr>
  </w:style>
  <w:style w:type="character" w:customStyle="1" w:styleId="CommentSubjectChar">
    <w:name w:val="Comment Subject Char"/>
    <w:basedOn w:val="CommentTextChar"/>
    <w:link w:val="CommentSubject"/>
    <w:uiPriority w:val="99"/>
    <w:semiHidden/>
    <w:rsid w:val="005F39F0"/>
    <w:rPr>
      <w:rFonts w:ascii="Calibri" w:eastAsia="Times New Roman" w:hAnsi="Calibri" w:cs="Calibri"/>
      <w:b/>
      <w:bCs/>
      <w:sz w:val="20"/>
      <w:szCs w:val="20"/>
      <w:lang w:val="en-US"/>
    </w:rPr>
  </w:style>
  <w:style w:type="paragraph" w:styleId="BalloonText">
    <w:name w:val="Balloon Text"/>
    <w:basedOn w:val="Normal"/>
    <w:link w:val="BalloonTextChar"/>
    <w:uiPriority w:val="99"/>
    <w:semiHidden/>
    <w:unhideWhenUsed/>
    <w:rsid w:val="005F39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39F0"/>
    <w:rPr>
      <w:rFonts w:ascii="Segoe UI" w:eastAsia="Times New Roman" w:hAnsi="Segoe UI" w:cs="Segoe UI"/>
      <w:sz w:val="18"/>
      <w:szCs w:val="18"/>
      <w:lang w:val="en-US"/>
    </w:rPr>
  </w:style>
  <w:style w:type="paragraph" w:styleId="NormalWeb">
    <w:name w:val="Normal (Web)"/>
    <w:basedOn w:val="Normal"/>
    <w:uiPriority w:val="99"/>
    <w:unhideWhenUsed/>
    <w:rsid w:val="006302C1"/>
    <w:pPr>
      <w:widowControl/>
      <w:autoSpaceDE/>
      <w:autoSpaceDN/>
      <w:spacing w:before="100" w:beforeAutospacing="1" w:after="100" w:afterAutospacing="1"/>
    </w:pPr>
    <w:rPr>
      <w:rFonts w:ascii="Times New Roman" w:eastAsiaTheme="minorHAnsi" w:hAnsi="Times New Roman" w:cs="Times New Roman"/>
      <w:sz w:val="24"/>
      <w:szCs w:val="24"/>
      <w:lang w:val="en-GB" w:eastAsia="en-GB"/>
    </w:rPr>
  </w:style>
  <w:style w:type="paragraph" w:styleId="ListParagraph">
    <w:name w:val="List Paragraph"/>
    <w:basedOn w:val="Normal"/>
    <w:uiPriority w:val="34"/>
    <w:qFormat/>
    <w:rsid w:val="006302C1"/>
    <w:pPr>
      <w:ind w:left="720"/>
      <w:contextualSpacing/>
    </w:pPr>
  </w:style>
  <w:style w:type="paragraph" w:styleId="Header">
    <w:name w:val="header"/>
    <w:basedOn w:val="Normal"/>
    <w:link w:val="HeaderChar"/>
    <w:uiPriority w:val="99"/>
    <w:unhideWhenUsed/>
    <w:rsid w:val="00A50555"/>
    <w:pPr>
      <w:tabs>
        <w:tab w:val="center" w:pos="4513"/>
        <w:tab w:val="right" w:pos="9026"/>
      </w:tabs>
    </w:pPr>
  </w:style>
  <w:style w:type="character" w:customStyle="1" w:styleId="HeaderChar">
    <w:name w:val="Header Char"/>
    <w:basedOn w:val="DefaultParagraphFont"/>
    <w:link w:val="Header"/>
    <w:uiPriority w:val="99"/>
    <w:rsid w:val="00A50555"/>
    <w:rPr>
      <w:rFonts w:ascii="Calibri" w:eastAsia="Times New Roman" w:hAnsi="Calibri" w:cs="Calibri"/>
      <w:lang w:val="en-US"/>
    </w:rPr>
  </w:style>
  <w:style w:type="paragraph" w:styleId="Footer">
    <w:name w:val="footer"/>
    <w:basedOn w:val="Normal"/>
    <w:link w:val="FooterChar"/>
    <w:uiPriority w:val="99"/>
    <w:unhideWhenUsed/>
    <w:rsid w:val="00A50555"/>
    <w:pPr>
      <w:tabs>
        <w:tab w:val="center" w:pos="4513"/>
        <w:tab w:val="right" w:pos="9026"/>
      </w:tabs>
    </w:pPr>
  </w:style>
  <w:style w:type="character" w:customStyle="1" w:styleId="FooterChar">
    <w:name w:val="Footer Char"/>
    <w:basedOn w:val="DefaultParagraphFont"/>
    <w:link w:val="Footer"/>
    <w:uiPriority w:val="99"/>
    <w:rsid w:val="00A50555"/>
    <w:rPr>
      <w:rFonts w:ascii="Calibri" w:eastAsia="Times New Roman" w:hAnsi="Calibri" w:cs="Calibri"/>
      <w:lang w:val="en-US"/>
    </w:rPr>
  </w:style>
  <w:style w:type="paragraph" w:styleId="Revision">
    <w:name w:val="Revision"/>
    <w:hidden/>
    <w:uiPriority w:val="99"/>
    <w:semiHidden/>
    <w:rsid w:val="00912996"/>
    <w:pPr>
      <w:spacing w:after="0" w:line="240" w:lineRule="auto"/>
    </w:pPr>
    <w:rPr>
      <w:rFonts w:ascii="Calibri" w:eastAsia="Times New Roman" w:hAnsi="Calibri" w:cs="Calibri"/>
      <w:lang w:val="en-US"/>
    </w:rPr>
  </w:style>
  <w:style w:type="paragraph" w:styleId="FootnoteText">
    <w:name w:val="footnote text"/>
    <w:basedOn w:val="Normal"/>
    <w:link w:val="FootnoteTextChar"/>
    <w:uiPriority w:val="99"/>
    <w:semiHidden/>
    <w:unhideWhenUsed/>
    <w:rsid w:val="00E36717"/>
    <w:rPr>
      <w:sz w:val="20"/>
      <w:szCs w:val="20"/>
    </w:rPr>
  </w:style>
  <w:style w:type="character" w:customStyle="1" w:styleId="FootnoteTextChar">
    <w:name w:val="Footnote Text Char"/>
    <w:basedOn w:val="DefaultParagraphFont"/>
    <w:link w:val="FootnoteText"/>
    <w:uiPriority w:val="99"/>
    <w:semiHidden/>
    <w:rsid w:val="00E36717"/>
    <w:rPr>
      <w:rFonts w:ascii="Calibri" w:eastAsia="Times New Roman" w:hAnsi="Calibri" w:cs="Calibri"/>
      <w:sz w:val="20"/>
      <w:szCs w:val="20"/>
      <w:lang w:val="en-US"/>
    </w:rPr>
  </w:style>
  <w:style w:type="character" w:styleId="FootnoteReference">
    <w:name w:val="footnote reference"/>
    <w:basedOn w:val="DefaultParagraphFont"/>
    <w:uiPriority w:val="99"/>
    <w:semiHidden/>
    <w:unhideWhenUsed/>
    <w:rsid w:val="00E36717"/>
    <w:rPr>
      <w:vertAlign w:val="superscript"/>
    </w:rPr>
  </w:style>
  <w:style w:type="paragraph" w:customStyle="1" w:styleId="MGfulltext">
    <w:name w:val="MG_fulltext"/>
    <w:basedOn w:val="Normal"/>
    <w:link w:val="MGfulltextChar"/>
    <w:qFormat/>
    <w:rsid w:val="009548E8"/>
    <w:pPr>
      <w:widowControl/>
      <w:autoSpaceDE/>
      <w:autoSpaceDN/>
      <w:spacing w:after="120"/>
    </w:pPr>
    <w:rPr>
      <w:rFonts w:ascii="Arial" w:hAnsi="Arial" w:cs="Arial"/>
      <w:sz w:val="24"/>
      <w:szCs w:val="24"/>
    </w:rPr>
  </w:style>
  <w:style w:type="character" w:customStyle="1" w:styleId="MGfulltextChar">
    <w:name w:val="MG_fulltext Char"/>
    <w:basedOn w:val="DefaultParagraphFont"/>
    <w:link w:val="MGfulltext"/>
    <w:rsid w:val="009548E8"/>
    <w:rPr>
      <w:rFonts w:ascii="Arial" w:eastAsia="Times New Roman" w:hAnsi="Arial" w:cs="Arial"/>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995422">
      <w:bodyDiv w:val="1"/>
      <w:marLeft w:val="0"/>
      <w:marRight w:val="0"/>
      <w:marTop w:val="0"/>
      <w:marBottom w:val="0"/>
      <w:divBdr>
        <w:top w:val="none" w:sz="0" w:space="0" w:color="auto"/>
        <w:left w:val="none" w:sz="0" w:space="0" w:color="auto"/>
        <w:bottom w:val="none" w:sz="0" w:space="0" w:color="auto"/>
        <w:right w:val="none" w:sz="0" w:space="0" w:color="auto"/>
      </w:divBdr>
    </w:div>
    <w:div w:id="708531519">
      <w:bodyDiv w:val="1"/>
      <w:marLeft w:val="0"/>
      <w:marRight w:val="0"/>
      <w:marTop w:val="0"/>
      <w:marBottom w:val="0"/>
      <w:divBdr>
        <w:top w:val="none" w:sz="0" w:space="0" w:color="auto"/>
        <w:left w:val="none" w:sz="0" w:space="0" w:color="auto"/>
        <w:bottom w:val="none" w:sz="0" w:space="0" w:color="auto"/>
        <w:right w:val="none" w:sz="0" w:space="0" w:color="auto"/>
      </w:divBdr>
    </w:div>
    <w:div w:id="1338655178">
      <w:bodyDiv w:val="1"/>
      <w:marLeft w:val="0"/>
      <w:marRight w:val="0"/>
      <w:marTop w:val="0"/>
      <w:marBottom w:val="0"/>
      <w:divBdr>
        <w:top w:val="none" w:sz="0" w:space="0" w:color="auto"/>
        <w:left w:val="none" w:sz="0" w:space="0" w:color="auto"/>
        <w:bottom w:val="none" w:sz="0" w:space="0" w:color="auto"/>
        <w:right w:val="none" w:sz="0" w:space="0" w:color="auto"/>
      </w:divBdr>
    </w:div>
    <w:div w:id="1523670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1846B956E9834EA94B2422C6533E66" ma:contentTypeVersion="12" ma:contentTypeDescription="Create a new document." ma:contentTypeScope="" ma:versionID="c04f076e067621cdc23d74f4982666fe">
  <xsd:schema xmlns:xsd="http://www.w3.org/2001/XMLSchema" xmlns:xs="http://www.w3.org/2001/XMLSchema" xmlns:p="http://schemas.microsoft.com/office/2006/metadata/properties" xmlns:ns3="fe166545-64fa-4e5d-a666-3f6f9d77430d" xmlns:ns4="77f9b079-6f48-4aa1-af8a-0476918bcea3" targetNamespace="http://schemas.microsoft.com/office/2006/metadata/properties" ma:root="true" ma:fieldsID="2070eb42dd43331a99ad02582772aabf" ns3:_="" ns4:_="">
    <xsd:import namespace="fe166545-64fa-4e5d-a666-3f6f9d77430d"/>
    <xsd:import namespace="77f9b079-6f48-4aa1-af8a-0476918bcea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166545-64fa-4e5d-a666-3f6f9d7743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f9b079-6f48-4aa1-af8a-0476918bcea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0679F8-E22D-4983-B6C2-0810E9E5CD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166545-64fa-4e5d-a666-3f6f9d77430d"/>
    <ds:schemaRef ds:uri="77f9b079-6f48-4aa1-af8a-0476918bce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AD73C1-965B-461B-9B96-8FACCB921B11}">
  <ds:schemaRefs>
    <ds:schemaRef ds:uri="http://schemas.microsoft.com/sharepoint/v3/contenttype/forms"/>
  </ds:schemaRefs>
</ds:datastoreItem>
</file>

<file path=customXml/itemProps3.xml><?xml version="1.0" encoding="utf-8"?>
<ds:datastoreItem xmlns:ds="http://schemas.openxmlformats.org/officeDocument/2006/customXml" ds:itemID="{25A539E6-AACE-44B3-8AC1-70F9BED8C537}">
  <ds:schemaRefs>
    <ds:schemaRef ds:uri="http://purl.org/dc/dcmitype/"/>
    <ds:schemaRef ds:uri="http://www.w3.org/XML/1998/namespace"/>
    <ds:schemaRef ds:uri="http://purl.org/dc/elements/1.1/"/>
    <ds:schemaRef ds:uri="http://schemas.microsoft.com/office/2006/documentManagement/types"/>
    <ds:schemaRef ds:uri="http://purl.org/dc/terms/"/>
    <ds:schemaRef ds:uri="http://schemas.openxmlformats.org/package/2006/metadata/core-properties"/>
    <ds:schemaRef ds:uri="http://schemas.microsoft.com/office/infopath/2007/PartnerControls"/>
    <ds:schemaRef ds:uri="77f9b079-6f48-4aa1-af8a-0476918bcea3"/>
    <ds:schemaRef ds:uri="fe166545-64fa-4e5d-a666-3f6f9d77430d"/>
    <ds:schemaRef ds:uri="http://schemas.microsoft.com/office/2006/metadata/properties"/>
  </ds:schemaRefs>
</ds:datastoreItem>
</file>

<file path=customXml/itemProps4.xml><?xml version="1.0" encoding="utf-8"?>
<ds:datastoreItem xmlns:ds="http://schemas.openxmlformats.org/officeDocument/2006/customXml" ds:itemID="{9240DA10-7CA7-46B3-8600-0B99CF34C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4494</Words>
  <Characters>25616</Characters>
  <Application>Microsoft Office Word</Application>
  <DocSecurity>4</DocSecurity>
  <Lines>213</Lines>
  <Paragraphs>60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IUCN</Company>
  <LinksUpToDate>false</LinksUpToDate>
  <CharactersWithSpaces>30050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 Jennings</dc:creator>
  <cp:keywords/>
  <dc:description/>
  <cp:lastModifiedBy>Ed Jennings</cp:lastModifiedBy>
  <cp:revision>2</cp:revision>
  <cp:lastPrinted>2022-05-24T13:43:00Z</cp:lastPrinted>
  <dcterms:created xsi:type="dcterms:W3CDTF">2022-05-25T12:40:00Z</dcterms:created>
  <dcterms:modified xsi:type="dcterms:W3CDTF">2022-05-25T12:40:00Z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665d9ee-429a-4d5f-97cc-cfb56e044a6e_Enabled">
    <vt:lpwstr>True</vt:lpwstr>
  </property>
  <property fmtid="{D5CDD505-2E9C-101B-9397-08002B2CF9AE}" pid="3" name="MSIP_Label_1665d9ee-429a-4d5f-97cc-cfb56e044a6e_SiteId">
    <vt:lpwstr>66cf5074-5afe-48d1-a691-a12b2121f44b</vt:lpwstr>
  </property>
  <property fmtid="{D5CDD505-2E9C-101B-9397-08002B2CF9AE}" pid="4" name="MSIP_Label_1665d9ee-429a-4d5f-97cc-cfb56e044a6e_Owner">
    <vt:lpwstr>DeRosaBM@state.gov</vt:lpwstr>
  </property>
  <property fmtid="{D5CDD505-2E9C-101B-9397-08002B2CF9AE}" pid="5" name="MSIP_Label_1665d9ee-429a-4d5f-97cc-cfb56e044a6e_SetDate">
    <vt:lpwstr>2021-06-22T23:34:57.4971171Z</vt:lpwstr>
  </property>
  <property fmtid="{D5CDD505-2E9C-101B-9397-08002B2CF9AE}" pid="6" name="MSIP_Label_1665d9ee-429a-4d5f-97cc-cfb56e044a6e_Name">
    <vt:lpwstr>Unclassified</vt:lpwstr>
  </property>
  <property fmtid="{D5CDD505-2E9C-101B-9397-08002B2CF9AE}" pid="7" name="MSIP_Label_1665d9ee-429a-4d5f-97cc-cfb56e044a6e_Application">
    <vt:lpwstr>Microsoft Azure Information Protection</vt:lpwstr>
  </property>
  <property fmtid="{D5CDD505-2E9C-101B-9397-08002B2CF9AE}" pid="8" name="MSIP_Label_1665d9ee-429a-4d5f-97cc-cfb56e044a6e_ActionId">
    <vt:lpwstr>83324181-f610-4c7c-8725-5a98adbf0d4b</vt:lpwstr>
  </property>
  <property fmtid="{D5CDD505-2E9C-101B-9397-08002B2CF9AE}" pid="9" name="MSIP_Label_1665d9ee-429a-4d5f-97cc-cfb56e044a6e_Extended_MSFT_Method">
    <vt:lpwstr>Manual</vt:lpwstr>
  </property>
  <property fmtid="{D5CDD505-2E9C-101B-9397-08002B2CF9AE}" pid="10" name="Sensitivity">
    <vt:lpwstr>Unclassified</vt:lpwstr>
  </property>
  <property fmtid="{D5CDD505-2E9C-101B-9397-08002B2CF9AE}" pid="11" name="ContentTypeId">
    <vt:lpwstr>0x010100551846B956E9834EA94B2422C6533E66</vt:lpwstr>
  </property>
</Properties>
</file>