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AF" w:rsidRPr="00FE56D3" w:rsidRDefault="007460AF" w:rsidP="007460AF">
      <w:pPr>
        <w:rPr>
          <w:rFonts w:asciiTheme="minorHAnsi" w:eastAsiaTheme="minorEastAsia" w:hAnsiTheme="minorHAnsi" w:cs="Arial"/>
          <w:lang w:val="fr-FR"/>
        </w:rPr>
      </w:pPr>
    </w:p>
    <w:p w:rsidR="00A038F0" w:rsidRPr="00FE56D3" w:rsidRDefault="00A038F0" w:rsidP="00A038F0">
      <w:pPr>
        <w:pBdr>
          <w:top w:val="single" w:sz="12" w:space="0" w:color="auto" w:shadow="1"/>
          <w:left w:val="single" w:sz="12" w:space="4" w:color="auto" w:shadow="1"/>
          <w:bottom w:val="single" w:sz="12" w:space="1" w:color="auto" w:shadow="1"/>
          <w:right w:val="single" w:sz="12" w:space="0" w:color="auto" w:shadow="1"/>
        </w:pBdr>
        <w:suppressAutoHyphens/>
        <w:ind w:right="2790"/>
        <w:rPr>
          <w:bCs/>
          <w:lang w:val="fr-FR"/>
        </w:rPr>
      </w:pPr>
      <w:r w:rsidRPr="00FE56D3">
        <w:rPr>
          <w:bCs/>
          <w:lang w:val="fr-FR"/>
        </w:rPr>
        <w:t>CONVENTION SUR LES ZONES HUMIDES</w:t>
      </w:r>
    </w:p>
    <w:p w:rsidR="00A038F0" w:rsidRPr="00FE56D3" w:rsidRDefault="00A038F0" w:rsidP="00A038F0">
      <w:pPr>
        <w:pBdr>
          <w:top w:val="single" w:sz="12" w:space="0" w:color="auto" w:shadow="1"/>
          <w:left w:val="single" w:sz="12" w:space="4" w:color="auto" w:shadow="1"/>
          <w:bottom w:val="single" w:sz="12" w:space="1" w:color="auto" w:shadow="1"/>
          <w:right w:val="single" w:sz="12" w:space="0" w:color="auto" w:shadow="1"/>
        </w:pBdr>
        <w:suppressAutoHyphens/>
        <w:ind w:right="2790"/>
        <w:rPr>
          <w:bCs/>
          <w:lang w:val="fr-FR"/>
        </w:rPr>
      </w:pPr>
      <w:r w:rsidRPr="00FE56D3">
        <w:rPr>
          <w:bCs/>
          <w:lang w:val="fr-FR"/>
        </w:rPr>
        <w:t>59</w:t>
      </w:r>
      <w:r w:rsidRPr="00FE56D3">
        <w:rPr>
          <w:bCs/>
          <w:vertAlign w:val="superscript"/>
          <w:lang w:val="fr-FR"/>
        </w:rPr>
        <w:t>e</w:t>
      </w:r>
      <w:r w:rsidRPr="00FE56D3">
        <w:rPr>
          <w:bCs/>
          <w:lang w:val="fr-FR"/>
        </w:rPr>
        <w:t xml:space="preserve"> Réunion du Comité permanent</w:t>
      </w:r>
    </w:p>
    <w:p w:rsidR="00A038F0" w:rsidRPr="00FE56D3" w:rsidRDefault="00A038F0" w:rsidP="00A038F0">
      <w:pPr>
        <w:pBdr>
          <w:top w:val="single" w:sz="12" w:space="0" w:color="auto" w:shadow="1"/>
          <w:left w:val="single" w:sz="12" w:space="4" w:color="auto" w:shadow="1"/>
          <w:bottom w:val="single" w:sz="12" w:space="1" w:color="auto" w:shadow="1"/>
          <w:right w:val="single" w:sz="12" w:space="0" w:color="auto" w:shadow="1"/>
        </w:pBdr>
        <w:suppressAutoHyphens/>
        <w:ind w:right="2790"/>
        <w:rPr>
          <w:bCs/>
          <w:lang w:val="fr-FR"/>
        </w:rPr>
      </w:pPr>
      <w:r w:rsidRPr="00FE56D3">
        <w:rPr>
          <w:bCs/>
          <w:lang w:val="fr-FR"/>
        </w:rPr>
        <w:t>Reprise de séance</w:t>
      </w:r>
    </w:p>
    <w:p w:rsidR="00A038F0" w:rsidRPr="00FE56D3" w:rsidRDefault="00A038F0" w:rsidP="00A038F0">
      <w:pPr>
        <w:pBdr>
          <w:top w:val="single" w:sz="12" w:space="0" w:color="auto" w:shadow="1"/>
          <w:left w:val="single" w:sz="12" w:space="4" w:color="auto" w:shadow="1"/>
          <w:bottom w:val="single" w:sz="12" w:space="1" w:color="auto" w:shadow="1"/>
          <w:right w:val="single" w:sz="12" w:space="0" w:color="auto" w:shadow="1"/>
        </w:pBdr>
        <w:suppressAutoHyphens/>
        <w:ind w:right="2790"/>
        <w:rPr>
          <w:bCs/>
          <w:lang w:val="fr-FR"/>
        </w:rPr>
      </w:pPr>
      <w:r w:rsidRPr="00FE56D3">
        <w:rPr>
          <w:bCs/>
          <w:lang w:val="fr-FR"/>
        </w:rPr>
        <w:t>Gland, Suisse, 23 au 27mai 2022</w:t>
      </w:r>
    </w:p>
    <w:p w:rsidR="007460AF" w:rsidRPr="00FE56D3" w:rsidRDefault="007460AF" w:rsidP="007460AF">
      <w:pPr>
        <w:rPr>
          <w:rFonts w:cstheme="minorBidi"/>
          <w:sz w:val="28"/>
          <w:lang w:val="fr-FR"/>
        </w:rPr>
      </w:pPr>
    </w:p>
    <w:p w:rsidR="007460AF" w:rsidRPr="00FE56D3" w:rsidRDefault="007460AF" w:rsidP="007460AF">
      <w:pPr>
        <w:jc w:val="right"/>
        <w:rPr>
          <w:rFonts w:cstheme="minorHAnsi"/>
          <w:b/>
          <w:sz w:val="28"/>
          <w:szCs w:val="28"/>
          <w:lang w:val="fr-FR"/>
        </w:rPr>
      </w:pPr>
      <w:r w:rsidRPr="00FE56D3">
        <w:rPr>
          <w:rFonts w:cstheme="minorHAnsi"/>
          <w:b/>
          <w:sz w:val="28"/>
          <w:szCs w:val="28"/>
          <w:lang w:val="fr-FR"/>
        </w:rPr>
        <w:t>SC59</w:t>
      </w:r>
      <w:r w:rsidR="003736C7" w:rsidRPr="00FE56D3">
        <w:rPr>
          <w:rFonts w:cstheme="minorHAnsi"/>
          <w:b/>
          <w:sz w:val="28"/>
          <w:szCs w:val="28"/>
          <w:lang w:val="fr-FR"/>
        </w:rPr>
        <w:t>/2022 Com.1</w:t>
      </w:r>
    </w:p>
    <w:p w:rsidR="00CE4C3C" w:rsidRPr="00FE56D3" w:rsidRDefault="00CE4C3C" w:rsidP="007460AF">
      <w:pPr>
        <w:ind w:right="16"/>
        <w:jc w:val="center"/>
        <w:rPr>
          <w:rFonts w:cstheme="minorHAnsi"/>
          <w:b/>
          <w:sz w:val="28"/>
          <w:szCs w:val="28"/>
          <w:lang w:val="fr-FR" w:eastAsia="ko-KR"/>
        </w:rPr>
      </w:pPr>
    </w:p>
    <w:p w:rsidR="007460AF" w:rsidRPr="00FE56D3" w:rsidRDefault="00FC1E07" w:rsidP="007460AF">
      <w:pPr>
        <w:ind w:right="16"/>
        <w:jc w:val="center"/>
        <w:rPr>
          <w:rFonts w:cstheme="minorHAnsi"/>
          <w:b/>
          <w:sz w:val="28"/>
          <w:szCs w:val="28"/>
          <w:lang w:val="fr-FR" w:eastAsia="ko-KR"/>
        </w:rPr>
      </w:pPr>
      <w:r w:rsidRPr="00FE56D3">
        <w:rPr>
          <w:rFonts w:cstheme="minorHAnsi"/>
          <w:b/>
          <w:sz w:val="28"/>
          <w:szCs w:val="28"/>
          <w:lang w:val="fr-FR" w:eastAsia="ko-KR"/>
        </w:rPr>
        <w:t>Mandat - Groupe de travail su</w:t>
      </w:r>
      <w:r w:rsidR="00965642" w:rsidRPr="00FE56D3">
        <w:rPr>
          <w:rFonts w:cstheme="minorHAnsi"/>
          <w:b/>
          <w:sz w:val="28"/>
          <w:szCs w:val="28"/>
          <w:lang w:val="fr-FR" w:eastAsia="ko-KR"/>
        </w:rPr>
        <w:t>r le plan stratégique pour le PS</w:t>
      </w:r>
      <w:r w:rsidRPr="00FE56D3">
        <w:rPr>
          <w:rFonts w:cstheme="minorHAnsi"/>
          <w:b/>
          <w:sz w:val="28"/>
          <w:szCs w:val="28"/>
          <w:lang w:val="fr-FR" w:eastAsia="ko-KR"/>
        </w:rPr>
        <w:t>5 (</w:t>
      </w:r>
      <w:r w:rsidR="00356A74" w:rsidRPr="00FE56D3">
        <w:rPr>
          <w:rFonts w:cstheme="minorHAnsi"/>
          <w:b/>
          <w:sz w:val="28"/>
          <w:szCs w:val="28"/>
          <w:lang w:val="fr-FR" w:eastAsia="ko-KR"/>
        </w:rPr>
        <w:t>GT</w:t>
      </w:r>
      <w:r w:rsidR="00965642" w:rsidRPr="00FE56D3">
        <w:rPr>
          <w:rFonts w:cstheme="minorHAnsi"/>
          <w:b/>
          <w:sz w:val="28"/>
          <w:szCs w:val="28"/>
          <w:lang w:val="fr-FR" w:eastAsia="ko-KR"/>
        </w:rPr>
        <w:t>PS</w:t>
      </w:r>
      <w:r w:rsidRPr="00FE56D3">
        <w:rPr>
          <w:rFonts w:cstheme="minorHAnsi"/>
          <w:b/>
          <w:sz w:val="28"/>
          <w:szCs w:val="28"/>
          <w:lang w:val="fr-FR" w:eastAsia="ko-KR"/>
        </w:rPr>
        <w:t>5)</w:t>
      </w:r>
    </w:p>
    <w:p w:rsidR="007460AF" w:rsidRPr="00FE56D3" w:rsidRDefault="007460AF" w:rsidP="007460AF">
      <w:pPr>
        <w:rPr>
          <w:rFonts w:cstheme="minorHAnsi"/>
          <w:b/>
          <w:bCs/>
          <w:sz w:val="28"/>
          <w:szCs w:val="28"/>
          <w:lang w:val="fr-FR"/>
        </w:rPr>
      </w:pPr>
    </w:p>
    <w:p w:rsidR="007460AF" w:rsidRPr="00FE56D3" w:rsidRDefault="00FC1E07" w:rsidP="007460AF">
      <w:pPr>
        <w:ind w:right="16"/>
        <w:rPr>
          <w:rFonts w:eastAsia="Times New Roman" w:cstheme="minorBidi"/>
          <w:i/>
          <w:highlight w:val="yellow"/>
          <w:lang w:val="fr-FR"/>
        </w:rPr>
      </w:pPr>
      <w:r w:rsidRPr="00FE56D3">
        <w:rPr>
          <w:rFonts w:eastAsia="Times New Roman"/>
          <w:i/>
          <w:iCs/>
          <w:lang w:val="fr-FR"/>
        </w:rPr>
        <w:t>Présenté par l'Australie, en sa qualité de Président du Groupe de tra</w:t>
      </w:r>
      <w:r w:rsidR="00965642" w:rsidRPr="00FE56D3">
        <w:rPr>
          <w:rFonts w:eastAsia="Times New Roman"/>
          <w:i/>
          <w:iCs/>
          <w:lang w:val="fr-FR"/>
        </w:rPr>
        <w:t>vail sur le plan stratégique (PS5), d</w:t>
      </w:r>
      <w:r w:rsidRPr="00FE56D3">
        <w:rPr>
          <w:rFonts w:eastAsia="Times New Roman"/>
          <w:i/>
          <w:iCs/>
          <w:lang w:val="fr-FR"/>
        </w:rPr>
        <w:t>u Comité permanent.</w:t>
      </w:r>
    </w:p>
    <w:p w:rsidR="007460AF" w:rsidRPr="00FE56D3" w:rsidRDefault="007460AF" w:rsidP="007460AF">
      <w:pPr>
        <w:rPr>
          <w:rFonts w:eastAsiaTheme="minorEastAsia" w:cstheme="minorHAnsi"/>
          <w:bCs/>
          <w:i/>
          <w:iCs/>
          <w:lang w:val="fr-FR"/>
        </w:rPr>
      </w:pPr>
    </w:p>
    <w:p w:rsidR="007460AF" w:rsidRPr="00FE56D3" w:rsidRDefault="00965642" w:rsidP="007460AF">
      <w:pPr>
        <w:rPr>
          <w:rFonts w:cstheme="minorBidi"/>
          <w:i/>
          <w:lang w:val="fr-FR"/>
        </w:rPr>
      </w:pPr>
      <w:r w:rsidRPr="00FE56D3">
        <w:rPr>
          <w:i/>
          <w:lang w:val="fr-FR"/>
        </w:rPr>
        <w:t>N</w:t>
      </w:r>
      <w:r w:rsidR="00FC1E07" w:rsidRPr="00FE56D3">
        <w:rPr>
          <w:i/>
          <w:lang w:val="fr-FR"/>
        </w:rPr>
        <w:t xml:space="preserve">ote de </w:t>
      </w:r>
      <w:r w:rsidRPr="00FE56D3">
        <w:rPr>
          <w:i/>
          <w:lang w:val="fr-FR"/>
        </w:rPr>
        <w:t>présentation</w:t>
      </w:r>
      <w:r w:rsidR="00FC1E07" w:rsidRPr="00FE56D3">
        <w:rPr>
          <w:i/>
          <w:lang w:val="fr-FR"/>
        </w:rPr>
        <w:t xml:space="preserve"> du Secrétariat</w:t>
      </w:r>
      <w:r w:rsidR="00A51A7C">
        <w:rPr>
          <w:i/>
          <w:lang w:val="fr-FR"/>
        </w:rPr>
        <w:t xml:space="preserve"> </w:t>
      </w:r>
      <w:r w:rsidR="007460AF" w:rsidRPr="00FE56D3">
        <w:rPr>
          <w:i/>
          <w:lang w:val="fr-FR"/>
        </w:rPr>
        <w:t>:</w:t>
      </w:r>
    </w:p>
    <w:p w:rsidR="007460AF" w:rsidRPr="00FE56D3" w:rsidRDefault="007460AF" w:rsidP="007460AF">
      <w:pPr>
        <w:rPr>
          <w:rFonts w:cstheme="minorHAnsi"/>
          <w:bCs/>
          <w:i/>
          <w:iCs/>
          <w:lang w:val="fr-FR"/>
        </w:rPr>
      </w:pPr>
    </w:p>
    <w:p w:rsidR="007460AF" w:rsidRPr="00FE56D3" w:rsidRDefault="007460AF" w:rsidP="007460AF">
      <w:pPr>
        <w:rPr>
          <w:rFonts w:cstheme="minorHAnsi"/>
          <w:bCs/>
          <w:i/>
          <w:iCs/>
          <w:lang w:val="fr-FR"/>
        </w:rPr>
      </w:pPr>
    </w:p>
    <w:p w:rsidR="007460AF" w:rsidRPr="00FE56D3" w:rsidRDefault="00673361" w:rsidP="007460AF">
      <w:pPr>
        <w:pBdr>
          <w:top w:val="single" w:sz="4" w:space="1" w:color="auto"/>
          <w:left w:val="single" w:sz="4" w:space="4" w:color="auto"/>
          <w:bottom w:val="single" w:sz="4" w:space="1" w:color="auto"/>
          <w:right w:val="single" w:sz="4" w:space="4" w:color="auto"/>
        </w:pBdr>
        <w:rPr>
          <w:rFonts w:cstheme="minorHAnsi"/>
          <w:bCs/>
          <w:lang w:val="fr-FR"/>
        </w:rPr>
      </w:pPr>
      <w:r w:rsidRPr="00FE56D3">
        <w:rPr>
          <w:rFonts w:cstheme="minorHAnsi"/>
          <w:b/>
          <w:lang w:val="fr-FR"/>
        </w:rPr>
        <w:t>Mesure requise </w:t>
      </w:r>
      <w:r w:rsidR="007460AF" w:rsidRPr="00FE56D3">
        <w:rPr>
          <w:rFonts w:cstheme="minorHAnsi"/>
          <w:bCs/>
          <w:lang w:val="fr-FR"/>
        </w:rPr>
        <w:t>:</w:t>
      </w:r>
    </w:p>
    <w:p w:rsidR="00B1795C" w:rsidRPr="00FE56D3" w:rsidRDefault="00B1795C" w:rsidP="00B1795C">
      <w:pPr>
        <w:pBdr>
          <w:top w:val="single" w:sz="4" w:space="1" w:color="auto"/>
          <w:left w:val="single" w:sz="4" w:space="4" w:color="auto"/>
          <w:bottom w:val="single" w:sz="4" w:space="1" w:color="auto"/>
          <w:right w:val="single" w:sz="4" w:space="4" w:color="auto"/>
        </w:pBdr>
        <w:ind w:left="0" w:firstLine="0"/>
        <w:rPr>
          <w:rFonts w:cstheme="minorHAnsi"/>
          <w:bCs/>
          <w:lang w:val="fr-FR"/>
        </w:rPr>
      </w:pPr>
    </w:p>
    <w:p w:rsidR="00C8745B" w:rsidRPr="00FE56D3" w:rsidRDefault="00FC1E07" w:rsidP="00C8745B">
      <w:pPr>
        <w:pBdr>
          <w:top w:val="single" w:sz="4" w:space="1" w:color="auto"/>
          <w:left w:val="single" w:sz="4" w:space="4" w:color="auto"/>
          <w:bottom w:val="single" w:sz="4" w:space="1" w:color="auto"/>
          <w:right w:val="single" w:sz="4" w:space="4" w:color="auto"/>
        </w:pBdr>
        <w:ind w:left="0" w:firstLine="0"/>
        <w:rPr>
          <w:rFonts w:cstheme="minorHAnsi"/>
          <w:bCs/>
          <w:lang w:val="fr-FR"/>
        </w:rPr>
      </w:pPr>
      <w:r w:rsidRPr="00FE56D3">
        <w:rPr>
          <w:rFonts w:cstheme="minorHAnsi"/>
          <w:bCs/>
          <w:lang w:val="fr-FR"/>
        </w:rPr>
        <w:t xml:space="preserve">Le Comité permanent est invité à : </w:t>
      </w:r>
    </w:p>
    <w:p w:rsidR="0036462C" w:rsidRPr="00FE56D3" w:rsidRDefault="0036462C" w:rsidP="00C8745B">
      <w:pPr>
        <w:pBdr>
          <w:top w:val="single" w:sz="4" w:space="1" w:color="auto"/>
          <w:left w:val="single" w:sz="4" w:space="4" w:color="auto"/>
          <w:bottom w:val="single" w:sz="4" w:space="1" w:color="auto"/>
          <w:right w:val="single" w:sz="4" w:space="4" w:color="auto"/>
        </w:pBdr>
        <w:ind w:left="0" w:firstLine="0"/>
        <w:rPr>
          <w:rFonts w:cstheme="minorHAnsi"/>
          <w:bCs/>
          <w:lang w:val="fr-FR"/>
        </w:rPr>
      </w:pPr>
    </w:p>
    <w:p w:rsidR="0036462C" w:rsidRPr="00FE56D3" w:rsidRDefault="00FC1E07" w:rsidP="002E2384">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rFonts w:cstheme="minorHAnsi"/>
          <w:bCs/>
          <w:sz w:val="28"/>
          <w:szCs w:val="28"/>
          <w:lang w:val="fr-FR" w:eastAsia="ko-KR"/>
        </w:rPr>
      </w:pPr>
      <w:r w:rsidRPr="00FE56D3">
        <w:rPr>
          <w:rFonts w:cstheme="minorHAnsi"/>
          <w:bCs/>
          <w:lang w:val="fr-FR"/>
        </w:rPr>
        <w:t xml:space="preserve">Prendre bonne note du présent rapport du Groupe de travail sur le plan stratégique pour </w:t>
      </w:r>
      <w:r w:rsidR="00950FC1" w:rsidRPr="00FE56D3">
        <w:rPr>
          <w:rFonts w:cstheme="minorHAnsi"/>
          <w:bCs/>
          <w:lang w:val="fr-FR" w:eastAsia="ko-KR"/>
        </w:rPr>
        <w:t>PS</w:t>
      </w:r>
      <w:r w:rsidR="002A10EB" w:rsidRPr="00FE56D3">
        <w:rPr>
          <w:rFonts w:cstheme="minorHAnsi"/>
          <w:bCs/>
          <w:lang w:val="fr-FR" w:eastAsia="ko-KR"/>
        </w:rPr>
        <w:t>5</w:t>
      </w:r>
      <w:r w:rsidRPr="00FE56D3">
        <w:rPr>
          <w:rFonts w:cstheme="minorHAnsi"/>
          <w:bCs/>
          <w:lang w:val="fr-FR" w:eastAsia="ko-KR"/>
        </w:rPr>
        <w:t> </w:t>
      </w:r>
      <w:r w:rsidR="00A82BCE" w:rsidRPr="00FE56D3">
        <w:rPr>
          <w:rFonts w:cstheme="minorHAnsi"/>
          <w:bCs/>
          <w:lang w:val="fr-FR" w:eastAsia="ko-KR"/>
        </w:rPr>
        <w:t>;</w:t>
      </w:r>
    </w:p>
    <w:p w:rsidR="002A10EB" w:rsidRPr="00FE56D3" w:rsidRDefault="002A10EB" w:rsidP="002E2384">
      <w:pPr>
        <w:pBdr>
          <w:top w:val="single" w:sz="4" w:space="1" w:color="auto"/>
          <w:left w:val="single" w:sz="4" w:space="4" w:color="auto"/>
          <w:bottom w:val="single" w:sz="4" w:space="1" w:color="auto"/>
          <w:right w:val="single" w:sz="4" w:space="4" w:color="auto"/>
        </w:pBdr>
        <w:ind w:left="426" w:hanging="426"/>
        <w:rPr>
          <w:rFonts w:cstheme="minorHAnsi"/>
          <w:bCs/>
          <w:lang w:val="fr-FR"/>
        </w:rPr>
      </w:pPr>
    </w:p>
    <w:p w:rsidR="000B0901" w:rsidRPr="00FE56D3" w:rsidRDefault="00FC1E07" w:rsidP="002E2384">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rFonts w:cstheme="minorHAnsi"/>
          <w:bCs/>
          <w:sz w:val="28"/>
          <w:szCs w:val="28"/>
          <w:lang w:val="fr-FR" w:eastAsia="ko-KR"/>
        </w:rPr>
      </w:pPr>
      <w:r w:rsidRPr="00FE56D3">
        <w:rPr>
          <w:rFonts w:cstheme="minorHAnsi"/>
          <w:bCs/>
          <w:lang w:val="fr-FR"/>
        </w:rPr>
        <w:t xml:space="preserve">Examiner et approuver le mandat et le plan de travail ci-joints </w:t>
      </w:r>
      <w:r w:rsidR="00965642" w:rsidRPr="00FE56D3">
        <w:rPr>
          <w:rFonts w:cstheme="minorHAnsi"/>
          <w:bCs/>
          <w:lang w:val="fr-FR"/>
        </w:rPr>
        <w:t xml:space="preserve">du GTPS5 </w:t>
      </w:r>
      <w:r w:rsidR="00950FC1" w:rsidRPr="00FE56D3">
        <w:rPr>
          <w:rFonts w:cstheme="minorHAnsi"/>
          <w:bCs/>
          <w:lang w:val="fr-FR"/>
        </w:rPr>
        <w:t>pour la CO</w:t>
      </w:r>
      <w:r w:rsidRPr="00FE56D3">
        <w:rPr>
          <w:rFonts w:cstheme="minorHAnsi"/>
          <w:bCs/>
          <w:lang w:val="fr-FR"/>
        </w:rPr>
        <w:t xml:space="preserve">P14 </w:t>
      </w:r>
      <w:r w:rsidR="00950FC1" w:rsidRPr="00FE56D3">
        <w:rPr>
          <w:rFonts w:cstheme="minorHAnsi"/>
          <w:bCs/>
          <w:lang w:val="fr-FR"/>
        </w:rPr>
        <w:t>présentés à l’</w:t>
      </w:r>
      <w:r w:rsidR="00965642" w:rsidRPr="00FE56D3">
        <w:rPr>
          <w:rFonts w:cstheme="minorHAnsi"/>
          <w:bCs/>
          <w:lang w:val="fr-FR"/>
        </w:rPr>
        <w:t>a</w:t>
      </w:r>
      <w:r w:rsidRPr="00FE56D3">
        <w:rPr>
          <w:rFonts w:cstheme="minorHAnsi"/>
          <w:bCs/>
          <w:lang w:val="fr-FR"/>
        </w:rPr>
        <w:t>nnexe 1, en notant que c</w:t>
      </w:r>
      <w:r w:rsidR="00950FC1" w:rsidRPr="00FE56D3">
        <w:rPr>
          <w:rFonts w:cstheme="minorHAnsi"/>
          <w:bCs/>
          <w:lang w:val="fr-FR"/>
        </w:rPr>
        <w:t xml:space="preserve">eux-ci seront </w:t>
      </w:r>
      <w:r w:rsidR="00965642" w:rsidRPr="00FE56D3">
        <w:rPr>
          <w:rFonts w:cstheme="minorHAnsi"/>
          <w:bCs/>
          <w:lang w:val="fr-FR"/>
        </w:rPr>
        <w:t>actualisés</w:t>
      </w:r>
      <w:r w:rsidR="00950FC1" w:rsidRPr="00FE56D3">
        <w:rPr>
          <w:rFonts w:cstheme="minorHAnsi"/>
          <w:bCs/>
          <w:lang w:val="fr-FR"/>
        </w:rPr>
        <w:t xml:space="preserve"> afin d’</w:t>
      </w:r>
      <w:r w:rsidRPr="00FE56D3">
        <w:rPr>
          <w:rFonts w:cstheme="minorHAnsi"/>
          <w:bCs/>
          <w:lang w:val="fr-FR"/>
        </w:rPr>
        <w:t xml:space="preserve">inclure tout amendement corrélatif convenu et pertinent </w:t>
      </w:r>
      <w:r w:rsidR="00965642" w:rsidRPr="00FE56D3">
        <w:rPr>
          <w:rFonts w:cstheme="minorHAnsi"/>
          <w:bCs/>
          <w:lang w:val="fr-FR"/>
        </w:rPr>
        <w:t>au</w:t>
      </w:r>
      <w:r w:rsidR="00DE3DCC" w:rsidRPr="00FE56D3">
        <w:rPr>
          <w:rFonts w:cstheme="minorHAnsi"/>
          <w:bCs/>
          <w:lang w:val="fr-FR"/>
        </w:rPr>
        <w:t xml:space="preserve"> projet de résolution</w:t>
      </w:r>
      <w:r w:rsidRPr="00FE56D3">
        <w:rPr>
          <w:rFonts w:cstheme="minorHAnsi"/>
          <w:bCs/>
          <w:lang w:val="fr-FR"/>
        </w:rPr>
        <w:t xml:space="preserve"> (SC59.Doc10) décidé par </w:t>
      </w:r>
      <w:r w:rsidR="00950FC1" w:rsidRPr="00FE56D3">
        <w:rPr>
          <w:rFonts w:cstheme="minorHAnsi"/>
          <w:bCs/>
          <w:lang w:val="fr-FR"/>
        </w:rPr>
        <w:t>la SC59</w:t>
      </w:r>
      <w:r w:rsidRPr="00FE56D3">
        <w:rPr>
          <w:rFonts w:cstheme="minorHAnsi"/>
          <w:bCs/>
          <w:lang w:val="fr-FR"/>
        </w:rPr>
        <w:t xml:space="preserve"> et</w:t>
      </w:r>
      <w:r w:rsidR="00950FC1" w:rsidRPr="00FE56D3">
        <w:rPr>
          <w:rFonts w:cstheme="minorHAnsi"/>
          <w:bCs/>
          <w:lang w:val="fr-FR"/>
        </w:rPr>
        <w:t xml:space="preserve"> </w:t>
      </w:r>
      <w:r w:rsidR="008446FE" w:rsidRPr="00FE56D3">
        <w:rPr>
          <w:rFonts w:cstheme="minorHAnsi"/>
          <w:bCs/>
          <w:lang w:val="fr-FR"/>
        </w:rPr>
        <w:t xml:space="preserve">à </w:t>
      </w:r>
      <w:r w:rsidR="00950FC1" w:rsidRPr="00FE56D3">
        <w:rPr>
          <w:rFonts w:cstheme="minorHAnsi"/>
          <w:bCs/>
          <w:lang w:val="fr-FR"/>
        </w:rPr>
        <w:t>la décision des Parties à la CO</w:t>
      </w:r>
      <w:r w:rsidRPr="00FE56D3">
        <w:rPr>
          <w:rFonts w:cstheme="minorHAnsi"/>
          <w:bCs/>
          <w:lang w:val="fr-FR"/>
        </w:rPr>
        <w:t>P14 ; et</w:t>
      </w:r>
    </w:p>
    <w:p w:rsidR="000B0901" w:rsidRPr="00FE56D3" w:rsidRDefault="000B0901" w:rsidP="00C8745B">
      <w:pPr>
        <w:pBdr>
          <w:top w:val="single" w:sz="4" w:space="1" w:color="auto"/>
          <w:left w:val="single" w:sz="4" w:space="4" w:color="auto"/>
          <w:bottom w:val="single" w:sz="4" w:space="1" w:color="auto"/>
          <w:right w:val="single" w:sz="4" w:space="4" w:color="auto"/>
        </w:pBdr>
        <w:ind w:left="0" w:firstLine="0"/>
        <w:rPr>
          <w:rFonts w:cstheme="minorHAnsi"/>
          <w:bCs/>
          <w:sz w:val="28"/>
          <w:szCs w:val="28"/>
          <w:lang w:val="fr-FR" w:eastAsia="ko-KR"/>
        </w:rPr>
      </w:pPr>
    </w:p>
    <w:p w:rsidR="007460AF" w:rsidRPr="00FE56D3" w:rsidRDefault="008446FE" w:rsidP="002E2384">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rFonts w:cstheme="minorHAnsi"/>
          <w:bCs/>
          <w:lang w:val="fr-FR" w:eastAsia="ko-KR"/>
        </w:rPr>
      </w:pPr>
      <w:r w:rsidRPr="00FE56D3">
        <w:rPr>
          <w:rFonts w:cstheme="minorHAnsi"/>
          <w:bCs/>
          <w:lang w:val="fr-FR" w:eastAsia="ko-KR"/>
        </w:rPr>
        <w:t>Prendre par ailleurs bonne note du fait que le GT élaborera un programme de consultation</w:t>
      </w:r>
      <w:r w:rsidR="00965642" w:rsidRPr="00FE56D3">
        <w:rPr>
          <w:rFonts w:cstheme="minorHAnsi"/>
          <w:bCs/>
          <w:lang w:val="fr-FR" w:eastAsia="ko-KR"/>
        </w:rPr>
        <w:t>s</w:t>
      </w:r>
      <w:r w:rsidRPr="00FE56D3">
        <w:rPr>
          <w:rFonts w:cstheme="minorHAnsi"/>
          <w:bCs/>
          <w:lang w:val="fr-FR" w:eastAsia="ko-KR"/>
        </w:rPr>
        <w:t xml:space="preserve"> pour le PS5, avec l’appui de facilitateurs professionnels, afin de faire participer les Parties, les OIP, les jeunes et autres parties prenantes </w:t>
      </w:r>
      <w:r w:rsidR="00965642" w:rsidRPr="00FE56D3">
        <w:rPr>
          <w:rFonts w:cstheme="minorHAnsi"/>
          <w:bCs/>
          <w:lang w:val="fr-FR" w:eastAsia="ko-KR"/>
        </w:rPr>
        <w:t>concernées</w:t>
      </w:r>
      <w:r w:rsidRPr="00FE56D3">
        <w:rPr>
          <w:rFonts w:cstheme="minorHAnsi"/>
          <w:bCs/>
          <w:lang w:val="fr-FR" w:eastAsia="ko-KR"/>
        </w:rPr>
        <w:t xml:space="preserve">, </w:t>
      </w:r>
      <w:r w:rsidR="00965642" w:rsidRPr="00FE56D3">
        <w:rPr>
          <w:rFonts w:cstheme="minorHAnsi"/>
          <w:bCs/>
          <w:lang w:val="fr-FR" w:eastAsia="ko-KR"/>
        </w:rPr>
        <w:t>à</w:t>
      </w:r>
      <w:r w:rsidRPr="00FE56D3">
        <w:rPr>
          <w:rFonts w:cstheme="minorHAnsi"/>
          <w:bCs/>
          <w:lang w:val="fr-FR" w:eastAsia="ko-KR"/>
        </w:rPr>
        <w:t xml:space="preserve"> la préparation </w:t>
      </w:r>
      <w:r w:rsidR="00965642" w:rsidRPr="00FE56D3">
        <w:rPr>
          <w:rFonts w:cstheme="minorHAnsi"/>
          <w:bCs/>
          <w:lang w:val="fr-FR" w:eastAsia="ko-KR"/>
        </w:rPr>
        <w:t xml:space="preserve">et à la tenue </w:t>
      </w:r>
      <w:r w:rsidRPr="00FE56D3">
        <w:rPr>
          <w:rFonts w:cstheme="minorHAnsi"/>
          <w:bCs/>
          <w:lang w:val="fr-FR" w:eastAsia="ko-KR"/>
        </w:rPr>
        <w:t>de la COP14, et fournira un projet de texte sur le « Cadre stratégique destiné à</w:t>
      </w:r>
      <w:r w:rsidR="00965642" w:rsidRPr="00FE56D3">
        <w:rPr>
          <w:rFonts w:cstheme="minorHAnsi"/>
          <w:bCs/>
          <w:lang w:val="fr-FR" w:eastAsia="ko-KR"/>
        </w:rPr>
        <w:t xml:space="preserve"> informer le PS</w:t>
      </w:r>
      <w:r w:rsidRPr="00FE56D3">
        <w:rPr>
          <w:rFonts w:cstheme="minorHAnsi"/>
          <w:bCs/>
          <w:lang w:val="fr-FR" w:eastAsia="ko-KR"/>
        </w:rPr>
        <w:t>5 » pour la proposition de Déclaration de Wuhan</w:t>
      </w:r>
      <w:r w:rsidR="00777EC3" w:rsidRPr="00FE56D3">
        <w:rPr>
          <w:rFonts w:cstheme="minorHAnsi"/>
          <w:bCs/>
          <w:lang w:val="fr-FR" w:eastAsia="ko-KR"/>
        </w:rPr>
        <w:t>.</w:t>
      </w:r>
    </w:p>
    <w:p w:rsidR="00E86DD1" w:rsidRPr="00FE56D3" w:rsidRDefault="00E86DD1" w:rsidP="00777EC3">
      <w:pPr>
        <w:pBdr>
          <w:top w:val="single" w:sz="4" w:space="1" w:color="auto"/>
          <w:left w:val="single" w:sz="4" w:space="4" w:color="auto"/>
          <w:bottom w:val="single" w:sz="4" w:space="1" w:color="auto"/>
          <w:right w:val="single" w:sz="4" w:space="4" w:color="auto"/>
        </w:pBdr>
        <w:ind w:left="0" w:firstLine="0"/>
        <w:rPr>
          <w:rFonts w:cstheme="minorHAnsi"/>
          <w:bCs/>
          <w:lang w:val="fr-FR"/>
        </w:rPr>
      </w:pPr>
    </w:p>
    <w:p w:rsidR="00182158" w:rsidRPr="00FE56D3" w:rsidRDefault="00182158" w:rsidP="00C10139">
      <w:pPr>
        <w:ind w:left="0" w:right="-188" w:firstLine="0"/>
        <w:rPr>
          <w:rFonts w:ascii="Arial" w:hAnsi="Arial" w:cs="Arial"/>
          <w:b/>
          <w:bCs/>
          <w:color w:val="1F3864"/>
          <w:sz w:val="20"/>
          <w:szCs w:val="20"/>
          <w:lang w:val="fr-FR" w:eastAsia="en-AU"/>
        </w:rPr>
      </w:pPr>
    </w:p>
    <w:p w:rsidR="00182158" w:rsidRPr="00FE56D3" w:rsidRDefault="00182158" w:rsidP="00C10139">
      <w:pPr>
        <w:ind w:left="0" w:right="-188" w:firstLine="0"/>
        <w:rPr>
          <w:rFonts w:ascii="Arial" w:hAnsi="Arial" w:cs="Arial"/>
          <w:b/>
          <w:bCs/>
          <w:color w:val="1F3864"/>
          <w:sz w:val="20"/>
          <w:szCs w:val="20"/>
          <w:lang w:val="fr-FR" w:eastAsia="en-AU"/>
        </w:rPr>
      </w:pPr>
    </w:p>
    <w:p w:rsidR="00182158" w:rsidRPr="00FE56D3" w:rsidRDefault="008446FE" w:rsidP="00C10139">
      <w:pPr>
        <w:ind w:left="0" w:right="-188" w:firstLine="0"/>
        <w:rPr>
          <w:rFonts w:ascii="Arial" w:hAnsi="Arial" w:cs="Arial"/>
          <w:b/>
          <w:bCs/>
          <w:sz w:val="20"/>
          <w:szCs w:val="20"/>
          <w:lang w:val="fr-FR" w:eastAsia="en-AU"/>
        </w:rPr>
      </w:pPr>
      <w:r w:rsidRPr="00FE56D3">
        <w:rPr>
          <w:rFonts w:ascii="Arial" w:hAnsi="Arial" w:cs="Arial"/>
          <w:b/>
          <w:bCs/>
          <w:sz w:val="20"/>
          <w:szCs w:val="20"/>
          <w:lang w:val="fr-FR" w:eastAsia="en-AU"/>
        </w:rPr>
        <w:t>Historique</w:t>
      </w:r>
    </w:p>
    <w:p w:rsidR="00182158" w:rsidRPr="00FE56D3" w:rsidRDefault="00182158" w:rsidP="00C10139">
      <w:pPr>
        <w:ind w:left="0" w:right="-188" w:firstLine="0"/>
        <w:rPr>
          <w:rFonts w:ascii="Arial" w:hAnsi="Arial" w:cs="Arial"/>
          <w:sz w:val="20"/>
          <w:szCs w:val="20"/>
          <w:lang w:val="fr-FR" w:eastAsia="en-AU"/>
        </w:rPr>
      </w:pPr>
    </w:p>
    <w:p w:rsidR="005E073B" w:rsidRPr="00FE56D3" w:rsidRDefault="008F14E0" w:rsidP="00E05F51">
      <w:pPr>
        <w:pStyle w:val="ListParagraph"/>
        <w:numPr>
          <w:ilvl w:val="0"/>
          <w:numId w:val="25"/>
        </w:numPr>
        <w:ind w:left="426" w:hanging="426"/>
        <w:rPr>
          <w:rFonts w:cstheme="minorHAnsi"/>
          <w:lang w:val="fr-FR"/>
        </w:rPr>
      </w:pPr>
      <w:r w:rsidRPr="00FE56D3">
        <w:rPr>
          <w:rFonts w:cs="Calibri"/>
          <w:lang w:val="fr-FR"/>
        </w:rPr>
        <w:t>Par la décision</w:t>
      </w:r>
      <w:r w:rsidRPr="00FE56D3">
        <w:rPr>
          <w:lang w:val="fr-FR"/>
        </w:rPr>
        <w:t xml:space="preserve"> SC59-20 « Le Comité permanent </w:t>
      </w:r>
      <w:r w:rsidRPr="00FE56D3">
        <w:rPr>
          <w:rFonts w:cstheme="minorHAnsi"/>
          <w:lang w:val="fr-FR"/>
        </w:rPr>
        <w:t>constitue un nouveau groupe de travail composé de Parties contractantes, du GEST et d’Organisations internationales partenaires afin de commencer les préparatifs du cinquième Plan stratégique de la Convention sur les zones humides, avec le mandat et le plan de travail qui seront acceptés dans la période intersessions et conçus pour tenir compte des éléments clés et de tout élément et modalité prioritaire supplémentaire pour le cinquième Plan stratégique pouvant être convenus à la COP14. Le Comité permanent encourage les membres du Groupe de travail sur l’examen du quatrième Plan stratégique à participer au nouveau groupe de travail, en vue d’assurer la continuité. »</w:t>
      </w:r>
      <w:r w:rsidR="005E073B" w:rsidRPr="00FE56D3">
        <w:rPr>
          <w:rFonts w:cstheme="minorHAnsi"/>
          <w:lang w:val="fr-FR"/>
        </w:rPr>
        <w:t xml:space="preserve"> </w:t>
      </w:r>
    </w:p>
    <w:p w:rsidR="005E073B" w:rsidRPr="00FE56D3" w:rsidRDefault="005E073B" w:rsidP="005E073B">
      <w:pPr>
        <w:ind w:firstLine="0"/>
        <w:rPr>
          <w:rFonts w:cstheme="minorHAnsi"/>
          <w:lang w:val="fr-FR"/>
        </w:rPr>
      </w:pPr>
    </w:p>
    <w:p w:rsidR="00340373" w:rsidRPr="00FE56D3" w:rsidRDefault="00965642" w:rsidP="00E05F51">
      <w:pPr>
        <w:pStyle w:val="ListParagraph"/>
        <w:numPr>
          <w:ilvl w:val="0"/>
          <w:numId w:val="25"/>
        </w:numPr>
        <w:spacing w:before="60" w:after="60"/>
        <w:ind w:left="426" w:hanging="426"/>
        <w:contextualSpacing w:val="0"/>
        <w:rPr>
          <w:rFonts w:asciiTheme="minorHAnsi" w:hAnsiTheme="minorHAnsi" w:cstheme="minorHAnsi"/>
          <w:lang w:val="fr-FR" w:eastAsia="en-AU"/>
        </w:rPr>
      </w:pPr>
      <w:r w:rsidRPr="00FE56D3">
        <w:rPr>
          <w:rFonts w:asciiTheme="minorHAnsi" w:hAnsiTheme="minorHAnsi" w:cstheme="minorHAnsi"/>
          <w:lang w:val="fr-FR" w:eastAsia="en-AU"/>
        </w:rPr>
        <w:t>Le Secrétariat a diffusé l’</w:t>
      </w:r>
      <w:r w:rsidR="008F14E0" w:rsidRPr="00FE56D3">
        <w:rPr>
          <w:rFonts w:asciiTheme="minorHAnsi" w:hAnsiTheme="minorHAnsi" w:cstheme="minorHAnsi"/>
          <w:lang w:val="fr-FR" w:eastAsia="en-AU"/>
        </w:rPr>
        <w:t xml:space="preserve">appel </w:t>
      </w:r>
      <w:r w:rsidRPr="00FE56D3">
        <w:rPr>
          <w:rFonts w:asciiTheme="minorHAnsi" w:hAnsiTheme="minorHAnsi" w:cstheme="minorHAnsi"/>
          <w:lang w:val="fr-FR" w:eastAsia="en-AU"/>
        </w:rPr>
        <w:t>à</w:t>
      </w:r>
      <w:r w:rsidR="008F14E0" w:rsidRPr="00FE56D3">
        <w:rPr>
          <w:rFonts w:asciiTheme="minorHAnsi" w:hAnsiTheme="minorHAnsi" w:cstheme="minorHAnsi"/>
          <w:lang w:val="fr-FR" w:eastAsia="en-AU"/>
        </w:rPr>
        <w:t xml:space="preserve"> candidatures pour le nouveau GT en février 2022 et les candidatures reçues à ce jour par région et organisation sont les suivantes : </w:t>
      </w:r>
      <w:r w:rsidR="00017199" w:rsidRPr="00FE56D3">
        <w:rPr>
          <w:rFonts w:asciiTheme="minorHAnsi" w:hAnsiTheme="minorHAnsi" w:cstheme="minorHAnsi"/>
          <w:lang w:val="fr-FR"/>
        </w:rPr>
        <w:t xml:space="preserve"> </w:t>
      </w:r>
    </w:p>
    <w:p w:rsidR="00340373" w:rsidRPr="00FE56D3" w:rsidRDefault="008F14E0" w:rsidP="00E05F51">
      <w:pPr>
        <w:pStyle w:val="ListParagraph"/>
        <w:numPr>
          <w:ilvl w:val="0"/>
          <w:numId w:val="21"/>
        </w:numPr>
        <w:ind w:left="851" w:hanging="425"/>
        <w:rPr>
          <w:rFonts w:asciiTheme="minorHAnsi" w:hAnsiTheme="minorHAnsi" w:cstheme="minorHAnsi"/>
          <w:lang w:val="fr-FR"/>
        </w:rPr>
      </w:pPr>
      <w:r w:rsidRPr="00FE56D3">
        <w:rPr>
          <w:rFonts w:asciiTheme="minorHAnsi" w:hAnsiTheme="minorHAnsi" w:cstheme="minorHAnsi"/>
          <w:lang w:val="fr-FR"/>
        </w:rPr>
        <w:t>Afrique : Kenya, Afrique du Sud, Tunisie, Algérie, Ouganda, Tchad, Maurice</w:t>
      </w:r>
    </w:p>
    <w:p w:rsidR="00340373" w:rsidRPr="00FE56D3" w:rsidRDefault="008F14E0" w:rsidP="00E05F51">
      <w:pPr>
        <w:pStyle w:val="ListParagraph"/>
        <w:numPr>
          <w:ilvl w:val="0"/>
          <w:numId w:val="21"/>
        </w:numPr>
        <w:ind w:left="851" w:hanging="425"/>
        <w:rPr>
          <w:rFonts w:asciiTheme="minorHAnsi" w:hAnsiTheme="minorHAnsi" w:cstheme="minorHAnsi"/>
          <w:lang w:val="fr-FR"/>
        </w:rPr>
      </w:pPr>
      <w:r w:rsidRPr="00FE56D3">
        <w:rPr>
          <w:rFonts w:asciiTheme="minorHAnsi" w:hAnsiTheme="minorHAnsi" w:cstheme="minorHAnsi"/>
          <w:lang w:val="fr-FR"/>
        </w:rPr>
        <w:lastRenderedPageBreak/>
        <w:t xml:space="preserve">Asie </w:t>
      </w:r>
      <w:r w:rsidR="00340373" w:rsidRPr="00FE56D3">
        <w:rPr>
          <w:rFonts w:asciiTheme="minorHAnsi" w:hAnsiTheme="minorHAnsi" w:cstheme="minorHAnsi"/>
          <w:lang w:val="fr-FR"/>
        </w:rPr>
        <w:t xml:space="preserve">: </w:t>
      </w:r>
      <w:r w:rsidRPr="00FE56D3">
        <w:rPr>
          <w:rFonts w:asciiTheme="minorHAnsi" w:hAnsiTheme="minorHAnsi" w:cstheme="minorHAnsi"/>
          <w:lang w:val="fr-FR"/>
        </w:rPr>
        <w:t>Bahreïn</w:t>
      </w:r>
      <w:r w:rsidR="00340373" w:rsidRPr="00FE56D3">
        <w:rPr>
          <w:rFonts w:asciiTheme="minorHAnsi" w:hAnsiTheme="minorHAnsi" w:cstheme="minorHAnsi"/>
          <w:lang w:val="fr-FR"/>
        </w:rPr>
        <w:t xml:space="preserve">, </w:t>
      </w:r>
      <w:r w:rsidR="00AC5545" w:rsidRPr="00FE56D3">
        <w:rPr>
          <w:rFonts w:asciiTheme="minorHAnsi" w:hAnsiTheme="minorHAnsi" w:cstheme="minorHAnsi"/>
          <w:lang w:val="fr-FR"/>
        </w:rPr>
        <w:t xml:space="preserve">Bhutan, </w:t>
      </w:r>
      <w:r w:rsidRPr="00FE56D3">
        <w:rPr>
          <w:rFonts w:asciiTheme="minorHAnsi" w:hAnsiTheme="minorHAnsi" w:cstheme="minorHAnsi"/>
          <w:lang w:val="fr-FR"/>
        </w:rPr>
        <w:t>Chine</w:t>
      </w:r>
      <w:r w:rsidR="008432D0" w:rsidRPr="00FE56D3">
        <w:rPr>
          <w:rFonts w:asciiTheme="minorHAnsi" w:hAnsiTheme="minorHAnsi" w:cstheme="minorHAnsi"/>
          <w:lang w:val="fr-FR"/>
        </w:rPr>
        <w:t>, Iran</w:t>
      </w:r>
      <w:r w:rsidR="002106C6" w:rsidRPr="00FE56D3">
        <w:rPr>
          <w:rFonts w:asciiTheme="minorHAnsi" w:hAnsiTheme="minorHAnsi" w:cstheme="minorHAnsi"/>
          <w:lang w:val="fr-FR"/>
        </w:rPr>
        <w:t>, Oman</w:t>
      </w:r>
      <w:r w:rsidRPr="00FE56D3">
        <w:rPr>
          <w:rFonts w:asciiTheme="minorHAnsi" w:hAnsiTheme="minorHAnsi" w:cstheme="minorHAnsi"/>
          <w:lang w:val="fr-FR"/>
        </w:rPr>
        <w:t xml:space="preserve"> (Japon - à confirmer</w:t>
      </w:r>
      <w:r w:rsidR="00AC5545" w:rsidRPr="00FE56D3">
        <w:rPr>
          <w:rFonts w:asciiTheme="minorHAnsi" w:hAnsiTheme="minorHAnsi" w:cstheme="minorHAnsi"/>
          <w:lang w:val="fr-FR"/>
        </w:rPr>
        <w:t xml:space="preserve">)  </w:t>
      </w:r>
    </w:p>
    <w:p w:rsidR="00340373" w:rsidRPr="00FE56D3" w:rsidRDefault="00340373" w:rsidP="00E05F51">
      <w:pPr>
        <w:pStyle w:val="ListParagraph"/>
        <w:numPr>
          <w:ilvl w:val="0"/>
          <w:numId w:val="21"/>
        </w:numPr>
        <w:ind w:left="851" w:hanging="425"/>
        <w:rPr>
          <w:rFonts w:asciiTheme="minorHAnsi" w:hAnsiTheme="minorHAnsi" w:cstheme="minorHAnsi"/>
          <w:lang w:val="fr-FR"/>
        </w:rPr>
      </w:pPr>
      <w:r w:rsidRPr="00FE56D3">
        <w:rPr>
          <w:rFonts w:asciiTheme="minorHAnsi" w:hAnsiTheme="minorHAnsi" w:cstheme="minorHAnsi"/>
          <w:lang w:val="fr-FR"/>
        </w:rPr>
        <w:t>Europe</w:t>
      </w:r>
      <w:r w:rsidR="00A51A7C">
        <w:rPr>
          <w:rFonts w:asciiTheme="minorHAnsi" w:hAnsiTheme="minorHAnsi" w:cstheme="minorHAnsi"/>
          <w:lang w:val="fr-FR"/>
        </w:rPr>
        <w:t xml:space="preserve"> </w:t>
      </w:r>
      <w:r w:rsidRPr="00FE56D3">
        <w:rPr>
          <w:rFonts w:asciiTheme="minorHAnsi" w:hAnsiTheme="minorHAnsi" w:cstheme="minorHAnsi"/>
          <w:lang w:val="fr-FR"/>
        </w:rPr>
        <w:t>: Finland</w:t>
      </w:r>
      <w:r w:rsidR="008F14E0" w:rsidRPr="00FE56D3">
        <w:rPr>
          <w:rFonts w:asciiTheme="minorHAnsi" w:hAnsiTheme="minorHAnsi" w:cstheme="minorHAnsi"/>
          <w:lang w:val="fr-FR"/>
        </w:rPr>
        <w:t>e</w:t>
      </w:r>
      <w:r w:rsidR="0012466E" w:rsidRPr="00FE56D3">
        <w:rPr>
          <w:rFonts w:asciiTheme="minorHAnsi" w:hAnsiTheme="minorHAnsi" w:cstheme="minorHAnsi"/>
          <w:lang w:val="fr-FR"/>
        </w:rPr>
        <w:t xml:space="preserve">, </w:t>
      </w:r>
      <w:r w:rsidR="008F14E0" w:rsidRPr="00FE56D3">
        <w:rPr>
          <w:rFonts w:asciiTheme="minorHAnsi" w:hAnsiTheme="minorHAnsi" w:cstheme="minorHAnsi"/>
          <w:lang w:val="fr-FR"/>
        </w:rPr>
        <w:t>Slovénie</w:t>
      </w:r>
      <w:r w:rsidR="002106C6" w:rsidRPr="00FE56D3">
        <w:rPr>
          <w:rFonts w:asciiTheme="minorHAnsi" w:hAnsiTheme="minorHAnsi" w:cstheme="minorHAnsi"/>
          <w:lang w:val="fr-FR"/>
        </w:rPr>
        <w:t xml:space="preserve">, </w:t>
      </w:r>
      <w:r w:rsidR="008F14E0" w:rsidRPr="00FE56D3">
        <w:rPr>
          <w:rFonts w:asciiTheme="minorHAnsi" w:hAnsiTheme="minorHAnsi" w:cstheme="minorHAnsi"/>
          <w:lang w:val="fr-FR"/>
        </w:rPr>
        <w:t>Suisse</w:t>
      </w:r>
      <w:r w:rsidR="0012466E" w:rsidRPr="00FE56D3">
        <w:rPr>
          <w:rFonts w:asciiTheme="minorHAnsi" w:hAnsiTheme="minorHAnsi" w:cstheme="minorHAnsi"/>
          <w:lang w:val="fr-FR"/>
        </w:rPr>
        <w:t xml:space="preserve"> </w:t>
      </w:r>
    </w:p>
    <w:p w:rsidR="00340373" w:rsidRPr="00FE56D3" w:rsidRDefault="008F14E0" w:rsidP="00E05F51">
      <w:pPr>
        <w:pStyle w:val="ListParagraph"/>
        <w:numPr>
          <w:ilvl w:val="0"/>
          <w:numId w:val="21"/>
        </w:numPr>
        <w:ind w:left="851" w:hanging="425"/>
        <w:rPr>
          <w:rFonts w:asciiTheme="minorHAnsi" w:hAnsiTheme="minorHAnsi" w:cstheme="minorHAnsi"/>
          <w:lang w:val="fr-FR"/>
        </w:rPr>
      </w:pPr>
      <w:r w:rsidRPr="00FE56D3">
        <w:rPr>
          <w:rFonts w:asciiTheme="minorHAnsi" w:hAnsiTheme="minorHAnsi" w:cstheme="minorHAnsi"/>
          <w:lang w:val="fr-FR"/>
        </w:rPr>
        <w:t>Amérique Latine : Brés</w:t>
      </w:r>
      <w:r w:rsidR="00340373" w:rsidRPr="00FE56D3">
        <w:rPr>
          <w:rFonts w:asciiTheme="minorHAnsi" w:hAnsiTheme="minorHAnsi" w:cstheme="minorHAnsi"/>
          <w:lang w:val="fr-FR"/>
        </w:rPr>
        <w:t>il, Nicaragua</w:t>
      </w:r>
    </w:p>
    <w:p w:rsidR="00340373" w:rsidRPr="00FE56D3" w:rsidRDefault="008F14E0" w:rsidP="00E05F51">
      <w:pPr>
        <w:pStyle w:val="ListParagraph"/>
        <w:numPr>
          <w:ilvl w:val="0"/>
          <w:numId w:val="21"/>
        </w:numPr>
        <w:ind w:left="851" w:hanging="425"/>
        <w:rPr>
          <w:rFonts w:asciiTheme="minorHAnsi" w:hAnsiTheme="minorHAnsi" w:cstheme="minorHAnsi"/>
          <w:lang w:val="fr-FR"/>
        </w:rPr>
      </w:pPr>
      <w:r w:rsidRPr="00FE56D3">
        <w:rPr>
          <w:rFonts w:asciiTheme="minorHAnsi" w:hAnsiTheme="minorHAnsi" w:cstheme="minorHAnsi"/>
          <w:lang w:val="fr-FR"/>
        </w:rPr>
        <w:t>Amérique du Nord </w:t>
      </w:r>
      <w:r w:rsidR="00340373" w:rsidRPr="00FE56D3">
        <w:rPr>
          <w:rFonts w:asciiTheme="minorHAnsi" w:hAnsiTheme="minorHAnsi" w:cstheme="minorHAnsi"/>
          <w:lang w:val="fr-FR"/>
        </w:rPr>
        <w:t xml:space="preserve">: </w:t>
      </w:r>
      <w:r w:rsidR="0012466E" w:rsidRPr="00FE56D3">
        <w:rPr>
          <w:rFonts w:asciiTheme="minorHAnsi" w:hAnsiTheme="minorHAnsi" w:cstheme="minorHAnsi"/>
          <w:lang w:val="fr-FR"/>
        </w:rPr>
        <w:t>Can</w:t>
      </w:r>
      <w:r w:rsidR="008432D0" w:rsidRPr="00FE56D3">
        <w:rPr>
          <w:rFonts w:asciiTheme="minorHAnsi" w:hAnsiTheme="minorHAnsi" w:cstheme="minorHAnsi"/>
          <w:lang w:val="fr-FR"/>
        </w:rPr>
        <w:t>a</w:t>
      </w:r>
      <w:r w:rsidR="0012466E" w:rsidRPr="00FE56D3">
        <w:rPr>
          <w:rFonts w:asciiTheme="minorHAnsi" w:hAnsiTheme="minorHAnsi" w:cstheme="minorHAnsi"/>
          <w:lang w:val="fr-FR"/>
        </w:rPr>
        <w:t>da</w:t>
      </w:r>
      <w:r w:rsidRPr="00FE56D3">
        <w:rPr>
          <w:rFonts w:asciiTheme="minorHAnsi" w:hAnsiTheme="minorHAnsi" w:cstheme="minorHAnsi"/>
          <w:lang w:val="fr-FR"/>
        </w:rPr>
        <w:t>, Mexique</w:t>
      </w:r>
    </w:p>
    <w:p w:rsidR="008432D0" w:rsidRPr="00FE56D3" w:rsidRDefault="008F14E0" w:rsidP="00E05F51">
      <w:pPr>
        <w:pStyle w:val="ListParagraph"/>
        <w:numPr>
          <w:ilvl w:val="0"/>
          <w:numId w:val="21"/>
        </w:numPr>
        <w:ind w:left="851" w:hanging="425"/>
        <w:rPr>
          <w:rFonts w:asciiTheme="minorHAnsi" w:hAnsiTheme="minorHAnsi" w:cstheme="minorHAnsi"/>
          <w:lang w:val="fr-FR"/>
        </w:rPr>
      </w:pPr>
      <w:r w:rsidRPr="00FE56D3">
        <w:rPr>
          <w:rFonts w:asciiTheme="minorHAnsi" w:hAnsiTheme="minorHAnsi" w:cstheme="minorHAnsi"/>
          <w:lang w:val="fr-FR"/>
        </w:rPr>
        <w:t>Océanie</w:t>
      </w:r>
      <w:r w:rsidR="00A51A7C">
        <w:rPr>
          <w:rFonts w:asciiTheme="minorHAnsi" w:hAnsiTheme="minorHAnsi" w:cstheme="minorHAnsi"/>
          <w:lang w:val="fr-FR"/>
        </w:rPr>
        <w:t xml:space="preserve"> </w:t>
      </w:r>
      <w:r w:rsidR="00340373" w:rsidRPr="00FE56D3">
        <w:rPr>
          <w:rFonts w:asciiTheme="minorHAnsi" w:hAnsiTheme="minorHAnsi" w:cstheme="minorHAnsi"/>
          <w:lang w:val="fr-FR"/>
        </w:rPr>
        <w:t xml:space="preserve">: </w:t>
      </w:r>
      <w:r w:rsidRPr="00FE56D3">
        <w:rPr>
          <w:rFonts w:asciiTheme="minorHAnsi" w:hAnsiTheme="minorHAnsi" w:cstheme="minorHAnsi"/>
          <w:lang w:val="fr-FR"/>
        </w:rPr>
        <w:t>Australie</w:t>
      </w:r>
    </w:p>
    <w:p w:rsidR="00340373" w:rsidRPr="00FE56D3" w:rsidRDefault="008F14E0" w:rsidP="00E05F51">
      <w:pPr>
        <w:pStyle w:val="ListParagraph"/>
        <w:numPr>
          <w:ilvl w:val="0"/>
          <w:numId w:val="21"/>
        </w:numPr>
        <w:ind w:left="851" w:hanging="425"/>
        <w:rPr>
          <w:rFonts w:asciiTheme="minorHAnsi" w:hAnsiTheme="minorHAnsi" w:cstheme="minorHAnsi"/>
          <w:lang w:val="fr-FR"/>
        </w:rPr>
      </w:pPr>
      <w:r w:rsidRPr="00FE56D3">
        <w:rPr>
          <w:rFonts w:asciiTheme="minorHAnsi" w:hAnsiTheme="minorHAnsi" w:cstheme="minorHAnsi"/>
          <w:lang w:val="fr-FR"/>
        </w:rPr>
        <w:t>OIP </w:t>
      </w:r>
      <w:r w:rsidR="00340373" w:rsidRPr="00FE56D3">
        <w:rPr>
          <w:rFonts w:asciiTheme="minorHAnsi" w:hAnsiTheme="minorHAnsi" w:cstheme="minorHAnsi"/>
          <w:lang w:val="fr-FR"/>
        </w:rPr>
        <w:t>: IWMI, WWT</w:t>
      </w:r>
      <w:r w:rsidR="002751FC" w:rsidRPr="00FE56D3">
        <w:rPr>
          <w:rFonts w:asciiTheme="minorHAnsi" w:hAnsiTheme="minorHAnsi" w:cstheme="minorHAnsi"/>
          <w:lang w:val="fr-FR"/>
        </w:rPr>
        <w:t>, WI (</w:t>
      </w:r>
      <w:r w:rsidR="00965642" w:rsidRPr="00FE56D3">
        <w:rPr>
          <w:rFonts w:asciiTheme="minorHAnsi" w:hAnsiTheme="minorHAnsi" w:cstheme="minorHAnsi"/>
          <w:lang w:val="fr-FR"/>
        </w:rPr>
        <w:t>à confirmer</w:t>
      </w:r>
      <w:r w:rsidR="002751FC" w:rsidRPr="00FE56D3">
        <w:rPr>
          <w:rFonts w:asciiTheme="minorHAnsi" w:hAnsiTheme="minorHAnsi" w:cstheme="minorHAnsi"/>
          <w:lang w:val="fr-FR"/>
        </w:rPr>
        <w:t>)</w:t>
      </w:r>
    </w:p>
    <w:p w:rsidR="00340373" w:rsidRPr="00FE56D3" w:rsidRDefault="008F14E0" w:rsidP="00E05F51">
      <w:pPr>
        <w:pStyle w:val="ListParagraph"/>
        <w:numPr>
          <w:ilvl w:val="0"/>
          <w:numId w:val="21"/>
        </w:numPr>
        <w:ind w:left="851" w:hanging="425"/>
        <w:rPr>
          <w:rFonts w:asciiTheme="minorHAnsi" w:hAnsiTheme="minorHAnsi" w:cstheme="minorHAnsi"/>
          <w:lang w:val="fr-FR"/>
        </w:rPr>
      </w:pPr>
      <w:r w:rsidRPr="00FE56D3">
        <w:rPr>
          <w:rFonts w:asciiTheme="minorHAnsi" w:hAnsiTheme="minorHAnsi" w:cstheme="minorHAnsi"/>
          <w:lang w:val="fr-FR"/>
        </w:rPr>
        <w:t>GEST </w:t>
      </w:r>
      <w:r w:rsidR="00340373" w:rsidRPr="00FE56D3">
        <w:rPr>
          <w:rFonts w:asciiTheme="minorHAnsi" w:hAnsiTheme="minorHAnsi" w:cstheme="minorHAnsi"/>
          <w:lang w:val="fr-FR"/>
        </w:rPr>
        <w:t xml:space="preserve">: </w:t>
      </w:r>
      <w:r w:rsidR="00F06499" w:rsidRPr="00FE56D3">
        <w:rPr>
          <w:rFonts w:asciiTheme="minorHAnsi" w:hAnsiTheme="minorHAnsi" w:cstheme="minorHAnsi"/>
          <w:lang w:val="fr-FR"/>
        </w:rPr>
        <w:t>à confirmer</w:t>
      </w:r>
      <w:r w:rsidR="00750EBE" w:rsidRPr="00FE56D3">
        <w:rPr>
          <w:rFonts w:asciiTheme="minorHAnsi" w:hAnsiTheme="minorHAnsi" w:cstheme="minorHAnsi"/>
          <w:lang w:val="fr-FR"/>
        </w:rPr>
        <w:t xml:space="preserve"> </w:t>
      </w:r>
    </w:p>
    <w:p w:rsidR="001B4E82" w:rsidRPr="00FE56D3" w:rsidRDefault="00C34805" w:rsidP="00E05F51">
      <w:pPr>
        <w:pStyle w:val="ListParagraph"/>
        <w:numPr>
          <w:ilvl w:val="0"/>
          <w:numId w:val="21"/>
        </w:numPr>
        <w:ind w:left="851" w:hanging="425"/>
        <w:rPr>
          <w:rFonts w:asciiTheme="minorHAnsi" w:hAnsiTheme="minorHAnsi" w:cstheme="minorHAnsi"/>
          <w:lang w:val="fr-FR"/>
        </w:rPr>
      </w:pPr>
      <w:r w:rsidRPr="00FE56D3">
        <w:rPr>
          <w:rFonts w:asciiTheme="minorHAnsi" w:hAnsiTheme="minorHAnsi" w:cstheme="minorHAnsi"/>
          <w:lang w:val="fr-FR"/>
        </w:rPr>
        <w:t>YEW</w:t>
      </w:r>
      <w:r w:rsidR="00A51A7C">
        <w:rPr>
          <w:rFonts w:asciiTheme="minorHAnsi" w:hAnsiTheme="minorHAnsi" w:cstheme="minorHAnsi"/>
          <w:lang w:val="fr-FR"/>
        </w:rPr>
        <w:t xml:space="preserve"> </w:t>
      </w:r>
      <w:r w:rsidRPr="00FE56D3">
        <w:rPr>
          <w:rFonts w:asciiTheme="minorHAnsi" w:hAnsiTheme="minorHAnsi" w:cstheme="minorHAnsi"/>
          <w:lang w:val="fr-FR"/>
        </w:rPr>
        <w:t xml:space="preserve">: </w:t>
      </w:r>
      <w:r w:rsidR="00F06499" w:rsidRPr="00FE56D3">
        <w:rPr>
          <w:rFonts w:asciiTheme="minorHAnsi" w:hAnsiTheme="minorHAnsi" w:cstheme="minorHAnsi"/>
          <w:lang w:val="fr-FR"/>
        </w:rPr>
        <w:t>à confirmer</w:t>
      </w:r>
    </w:p>
    <w:p w:rsidR="00750EBE" w:rsidRPr="00FE56D3" w:rsidRDefault="00750EBE" w:rsidP="00764930">
      <w:pPr>
        <w:rPr>
          <w:lang w:val="fr-FR"/>
        </w:rPr>
      </w:pPr>
    </w:p>
    <w:p w:rsidR="001B4E82" w:rsidRPr="00FE56D3" w:rsidRDefault="00356A74" w:rsidP="00E05F51">
      <w:pPr>
        <w:pStyle w:val="ListParagraph"/>
        <w:numPr>
          <w:ilvl w:val="0"/>
          <w:numId w:val="25"/>
        </w:numPr>
        <w:spacing w:before="60" w:after="60"/>
        <w:ind w:left="426" w:hanging="426"/>
        <w:rPr>
          <w:rFonts w:asciiTheme="minorHAnsi" w:hAnsiTheme="minorHAnsi" w:cstheme="minorHAnsi"/>
          <w:lang w:val="fr-FR"/>
        </w:rPr>
      </w:pPr>
      <w:r w:rsidRPr="00FE56D3">
        <w:rPr>
          <w:rFonts w:asciiTheme="minorHAnsi" w:hAnsiTheme="minorHAnsi" w:cstheme="minorHAnsi"/>
          <w:lang w:val="fr-FR"/>
        </w:rPr>
        <w:t xml:space="preserve">Les candidatures assurent une bonne représentation régionale, en particulier des pays en développement, et une certaine continuité dans la composition entre </w:t>
      </w:r>
      <w:r w:rsidR="00965642" w:rsidRPr="00FE56D3">
        <w:rPr>
          <w:rFonts w:asciiTheme="minorHAnsi" w:hAnsiTheme="minorHAnsi" w:cstheme="minorHAnsi"/>
          <w:lang w:val="fr-FR"/>
        </w:rPr>
        <w:t>les GTPS</w:t>
      </w:r>
      <w:r w:rsidRPr="00FE56D3">
        <w:rPr>
          <w:rFonts w:asciiTheme="minorHAnsi" w:hAnsiTheme="minorHAnsi" w:cstheme="minorHAnsi"/>
          <w:lang w:val="fr-FR"/>
        </w:rPr>
        <w:t>, ce qui témoigne d’un niveau élevé d’intérêt et d’engagement dans cette tâche importante.</w:t>
      </w:r>
    </w:p>
    <w:p w:rsidR="00183C38" w:rsidRPr="00FE56D3" w:rsidRDefault="00183C38" w:rsidP="00E05F51">
      <w:pPr>
        <w:spacing w:before="60" w:after="60"/>
        <w:ind w:firstLine="0"/>
        <w:rPr>
          <w:rFonts w:asciiTheme="minorHAnsi" w:hAnsiTheme="minorHAnsi" w:cstheme="minorHAnsi"/>
          <w:lang w:val="fr-FR"/>
        </w:rPr>
      </w:pPr>
    </w:p>
    <w:p w:rsidR="00D4038D" w:rsidRPr="00FE56D3" w:rsidRDefault="00356A74" w:rsidP="00E05F51">
      <w:pPr>
        <w:spacing w:before="60" w:after="60"/>
        <w:ind w:left="0" w:right="-188" w:firstLine="0"/>
        <w:rPr>
          <w:rFonts w:asciiTheme="minorHAnsi" w:hAnsiTheme="minorHAnsi" w:cstheme="minorHAnsi"/>
          <w:u w:val="single"/>
          <w:lang w:val="fr-FR"/>
        </w:rPr>
      </w:pPr>
      <w:r w:rsidRPr="00FE56D3">
        <w:rPr>
          <w:rFonts w:asciiTheme="minorHAnsi" w:hAnsiTheme="minorHAnsi" w:cstheme="minorHAnsi"/>
          <w:u w:val="single"/>
          <w:lang w:val="fr-FR"/>
        </w:rPr>
        <w:t>Réunion i</w:t>
      </w:r>
      <w:r w:rsidR="00A82AC4" w:rsidRPr="00FE56D3">
        <w:rPr>
          <w:rFonts w:asciiTheme="minorHAnsi" w:hAnsiTheme="minorHAnsi" w:cstheme="minorHAnsi"/>
          <w:u w:val="single"/>
          <w:lang w:val="fr-FR"/>
        </w:rPr>
        <w:t>naugural</w:t>
      </w:r>
      <w:r w:rsidRPr="00FE56D3">
        <w:rPr>
          <w:rFonts w:asciiTheme="minorHAnsi" w:hAnsiTheme="minorHAnsi" w:cstheme="minorHAnsi"/>
          <w:u w:val="single"/>
          <w:lang w:val="fr-FR"/>
        </w:rPr>
        <w:t>e</w:t>
      </w:r>
      <w:r w:rsidR="00A82AC4" w:rsidRPr="00FE56D3">
        <w:rPr>
          <w:rFonts w:asciiTheme="minorHAnsi" w:hAnsiTheme="minorHAnsi" w:cstheme="minorHAnsi"/>
          <w:u w:val="single"/>
          <w:lang w:val="fr-FR"/>
        </w:rPr>
        <w:t xml:space="preserve"> </w:t>
      </w:r>
      <w:r w:rsidR="00FE56D3" w:rsidRPr="00FE56D3">
        <w:rPr>
          <w:rFonts w:asciiTheme="minorHAnsi" w:hAnsiTheme="minorHAnsi" w:cstheme="minorHAnsi"/>
          <w:u w:val="single"/>
          <w:lang w:val="fr-FR"/>
        </w:rPr>
        <w:t>du GTPS</w:t>
      </w:r>
      <w:r w:rsidRPr="00FE56D3">
        <w:rPr>
          <w:rFonts w:asciiTheme="minorHAnsi" w:hAnsiTheme="minorHAnsi" w:cstheme="minorHAnsi"/>
          <w:u w:val="single"/>
          <w:lang w:val="fr-FR"/>
        </w:rPr>
        <w:t>5</w:t>
      </w:r>
      <w:r w:rsidR="00A82AC4" w:rsidRPr="00FE56D3">
        <w:rPr>
          <w:rFonts w:asciiTheme="minorHAnsi" w:hAnsiTheme="minorHAnsi" w:cstheme="minorHAnsi"/>
          <w:u w:val="single"/>
          <w:lang w:val="fr-FR"/>
        </w:rPr>
        <w:t xml:space="preserve"> </w:t>
      </w:r>
    </w:p>
    <w:p w:rsidR="005C550B" w:rsidRPr="00FE56D3" w:rsidRDefault="00356A74" w:rsidP="00E05F51">
      <w:pPr>
        <w:pStyle w:val="ListParagraph"/>
        <w:numPr>
          <w:ilvl w:val="0"/>
          <w:numId w:val="25"/>
        </w:numPr>
        <w:spacing w:before="60" w:after="60"/>
        <w:ind w:left="426" w:right="-188" w:hanging="426"/>
        <w:rPr>
          <w:rFonts w:asciiTheme="minorHAnsi" w:hAnsiTheme="minorHAnsi" w:cstheme="minorHAnsi"/>
          <w:bCs/>
          <w:color w:val="000000" w:themeColor="text1"/>
          <w:lang w:val="fr-FR"/>
        </w:rPr>
      </w:pPr>
      <w:r w:rsidRPr="00FE56D3">
        <w:rPr>
          <w:rFonts w:asciiTheme="minorHAnsi" w:hAnsiTheme="minorHAnsi" w:cstheme="minorHAnsi"/>
          <w:lang w:val="fr-FR"/>
        </w:rPr>
        <w:t xml:space="preserve">La première réunion du nouveau GT s’est tenue le 23 mai 2022 ; y ont participé l'Australie, Bahreïn, le Bhoutan, le Brésil, le Tchad, la Chine, la Finlande, l’Iran, le Mexique, la Slovénie, l’Ouganda, le GEST, l’IWMI, </w:t>
      </w:r>
      <w:r w:rsidR="00FE56D3" w:rsidRPr="00FE56D3">
        <w:rPr>
          <w:rFonts w:asciiTheme="minorHAnsi" w:hAnsiTheme="minorHAnsi" w:cstheme="minorHAnsi"/>
          <w:lang w:val="fr-FR"/>
        </w:rPr>
        <w:t>le WWT et</w:t>
      </w:r>
      <w:r w:rsidRPr="00FE56D3">
        <w:rPr>
          <w:rFonts w:asciiTheme="minorHAnsi" w:hAnsiTheme="minorHAnsi" w:cstheme="minorHAnsi"/>
          <w:lang w:val="fr-FR"/>
        </w:rPr>
        <w:t xml:space="preserve"> YEW</w:t>
      </w:r>
      <w:r w:rsidR="00FE56D3" w:rsidRPr="00FE56D3">
        <w:rPr>
          <w:rFonts w:asciiTheme="minorHAnsi" w:hAnsiTheme="minorHAnsi" w:cstheme="minorHAnsi"/>
          <w:lang w:val="fr-FR"/>
        </w:rPr>
        <w:t>. La Suisse et l’</w:t>
      </w:r>
      <w:r w:rsidRPr="00FE56D3">
        <w:rPr>
          <w:rFonts w:asciiTheme="minorHAnsi" w:hAnsiTheme="minorHAnsi" w:cstheme="minorHAnsi"/>
          <w:lang w:val="fr-FR"/>
        </w:rPr>
        <w:t>Iran ont exprimé leur intérêt et ont été acceptés en tant que membres du GT, le Japon devant confirmer sa potentielle participation.</w:t>
      </w:r>
    </w:p>
    <w:p w:rsidR="00037634" w:rsidRPr="00FE56D3" w:rsidRDefault="00037634" w:rsidP="00E05F51">
      <w:pPr>
        <w:spacing w:before="60" w:after="60"/>
        <w:ind w:left="0" w:right="-188" w:firstLine="0"/>
        <w:rPr>
          <w:rFonts w:asciiTheme="minorHAnsi" w:hAnsiTheme="minorHAnsi" w:cstheme="minorHAnsi"/>
          <w:bCs/>
          <w:color w:val="000000" w:themeColor="text1"/>
          <w:lang w:val="fr-FR"/>
        </w:rPr>
      </w:pPr>
    </w:p>
    <w:p w:rsidR="00D4038D" w:rsidRPr="00FE56D3" w:rsidRDefault="00FE56D3" w:rsidP="00E05F51">
      <w:pPr>
        <w:spacing w:before="60" w:after="60"/>
        <w:ind w:left="0" w:right="-188" w:firstLine="0"/>
        <w:rPr>
          <w:rFonts w:asciiTheme="minorHAnsi" w:hAnsiTheme="minorHAnsi" w:cstheme="minorHAnsi"/>
          <w:bCs/>
          <w:color w:val="000000" w:themeColor="text1"/>
          <w:u w:val="single"/>
          <w:lang w:val="fr-FR"/>
        </w:rPr>
      </w:pPr>
      <w:r w:rsidRPr="00FE56D3">
        <w:rPr>
          <w:rFonts w:asciiTheme="minorHAnsi" w:hAnsiTheme="minorHAnsi" w:cstheme="minorHAnsi"/>
          <w:bCs/>
          <w:color w:val="000000" w:themeColor="text1"/>
          <w:u w:val="single"/>
          <w:lang w:val="fr-FR"/>
        </w:rPr>
        <w:t>É</w:t>
      </w:r>
      <w:r w:rsidR="00D4038D" w:rsidRPr="00FE56D3">
        <w:rPr>
          <w:rFonts w:asciiTheme="minorHAnsi" w:hAnsiTheme="minorHAnsi" w:cstheme="minorHAnsi"/>
          <w:bCs/>
          <w:color w:val="000000" w:themeColor="text1"/>
          <w:u w:val="single"/>
          <w:lang w:val="fr-FR"/>
        </w:rPr>
        <w:t xml:space="preserve">lection </w:t>
      </w:r>
      <w:r w:rsidR="00356A74" w:rsidRPr="00FE56D3">
        <w:rPr>
          <w:rFonts w:asciiTheme="minorHAnsi" w:hAnsiTheme="minorHAnsi" w:cstheme="minorHAnsi"/>
          <w:bCs/>
          <w:color w:val="000000" w:themeColor="text1"/>
          <w:u w:val="single"/>
          <w:lang w:val="fr-FR"/>
        </w:rPr>
        <w:t>du président</w:t>
      </w:r>
      <w:r w:rsidR="00D4038D" w:rsidRPr="00FE56D3">
        <w:rPr>
          <w:rFonts w:asciiTheme="minorHAnsi" w:hAnsiTheme="minorHAnsi" w:cstheme="minorHAnsi"/>
          <w:bCs/>
          <w:color w:val="000000" w:themeColor="text1"/>
          <w:u w:val="single"/>
          <w:lang w:val="fr-FR"/>
        </w:rPr>
        <w:t xml:space="preserve"> </w:t>
      </w:r>
    </w:p>
    <w:p w:rsidR="00037634" w:rsidRPr="00FE56D3" w:rsidRDefault="00356A74" w:rsidP="00E05F51">
      <w:pPr>
        <w:pStyle w:val="ListParagraph"/>
        <w:numPr>
          <w:ilvl w:val="0"/>
          <w:numId w:val="25"/>
        </w:numPr>
        <w:spacing w:before="60" w:after="60"/>
        <w:ind w:left="426" w:right="-188" w:hanging="426"/>
        <w:rPr>
          <w:rFonts w:asciiTheme="minorHAnsi" w:hAnsiTheme="minorHAnsi" w:cstheme="minorHAnsi"/>
          <w:bCs/>
          <w:color w:val="000000" w:themeColor="text1"/>
          <w:lang w:val="fr-FR"/>
        </w:rPr>
      </w:pPr>
      <w:r w:rsidRPr="00FE56D3">
        <w:rPr>
          <w:rFonts w:asciiTheme="minorHAnsi" w:hAnsiTheme="minorHAnsi" w:cstheme="minorHAnsi"/>
          <w:bCs/>
          <w:color w:val="000000" w:themeColor="text1"/>
          <w:lang w:val="fr-FR"/>
        </w:rPr>
        <w:t xml:space="preserve">Le premier </w:t>
      </w:r>
      <w:r w:rsidR="00FE56D3">
        <w:rPr>
          <w:rFonts w:asciiTheme="minorHAnsi" w:hAnsiTheme="minorHAnsi" w:cstheme="minorHAnsi"/>
          <w:bCs/>
          <w:color w:val="000000" w:themeColor="text1"/>
          <w:lang w:val="fr-FR"/>
        </w:rPr>
        <w:t>point à l’</w:t>
      </w:r>
      <w:r w:rsidRPr="00FE56D3">
        <w:rPr>
          <w:rFonts w:asciiTheme="minorHAnsi" w:hAnsiTheme="minorHAnsi" w:cstheme="minorHAnsi"/>
          <w:bCs/>
          <w:color w:val="000000" w:themeColor="text1"/>
          <w:lang w:val="fr-FR"/>
        </w:rPr>
        <w:t>ordre du jour était l’</w:t>
      </w:r>
      <w:r w:rsidR="00FE56D3">
        <w:rPr>
          <w:rFonts w:asciiTheme="minorHAnsi" w:hAnsiTheme="minorHAnsi" w:cstheme="minorHAnsi"/>
          <w:bCs/>
          <w:color w:val="000000" w:themeColor="text1"/>
          <w:lang w:val="fr-FR"/>
        </w:rPr>
        <w:t>élection d’un président et d’</w:t>
      </w:r>
      <w:r w:rsidRPr="00FE56D3">
        <w:rPr>
          <w:rFonts w:asciiTheme="minorHAnsi" w:hAnsiTheme="minorHAnsi" w:cstheme="minorHAnsi"/>
          <w:bCs/>
          <w:color w:val="000000" w:themeColor="text1"/>
          <w:lang w:val="fr-FR"/>
        </w:rPr>
        <w:t xml:space="preserve">un vice-président du GTPS5. Le Secrétariat a enregistré la candidature de l’Australie au poste de président et a demandé que d’autres candidatures soient proposées </w:t>
      </w:r>
      <w:r w:rsidR="00FE56D3">
        <w:rPr>
          <w:rFonts w:asciiTheme="minorHAnsi" w:hAnsiTheme="minorHAnsi" w:cstheme="minorHAnsi"/>
          <w:bCs/>
          <w:color w:val="000000" w:themeColor="text1"/>
          <w:lang w:val="fr-FR"/>
        </w:rPr>
        <w:t>aux fonctions</w:t>
      </w:r>
      <w:r w:rsidRPr="00FE56D3">
        <w:rPr>
          <w:rFonts w:asciiTheme="minorHAnsi" w:hAnsiTheme="minorHAnsi" w:cstheme="minorHAnsi"/>
          <w:bCs/>
          <w:color w:val="000000" w:themeColor="text1"/>
          <w:lang w:val="fr-FR"/>
        </w:rPr>
        <w:t xml:space="preserve"> de président et de vice-président, mais aucune autre candidature n’a été </w:t>
      </w:r>
      <w:r w:rsidR="00FE56D3">
        <w:rPr>
          <w:rFonts w:asciiTheme="minorHAnsi" w:hAnsiTheme="minorHAnsi" w:cstheme="minorHAnsi"/>
          <w:bCs/>
          <w:color w:val="000000" w:themeColor="text1"/>
          <w:lang w:val="fr-FR"/>
        </w:rPr>
        <w:t>proposée</w:t>
      </w:r>
      <w:r w:rsidR="00822166" w:rsidRPr="00FE56D3">
        <w:rPr>
          <w:rFonts w:asciiTheme="minorHAnsi" w:hAnsiTheme="minorHAnsi" w:cstheme="minorHAnsi"/>
          <w:bCs/>
          <w:color w:val="000000" w:themeColor="text1"/>
          <w:lang w:val="fr-FR"/>
        </w:rPr>
        <w:t xml:space="preserve">.   </w:t>
      </w:r>
    </w:p>
    <w:p w:rsidR="00FD1850" w:rsidRPr="00FE56D3" w:rsidRDefault="00FD1850" w:rsidP="003736C7">
      <w:pPr>
        <w:tabs>
          <w:tab w:val="left" w:pos="3310"/>
        </w:tabs>
        <w:spacing w:before="60" w:after="60"/>
        <w:ind w:left="426" w:right="-188" w:hanging="426"/>
        <w:rPr>
          <w:rFonts w:asciiTheme="minorHAnsi" w:hAnsiTheme="minorHAnsi" w:cstheme="minorHAnsi"/>
          <w:bCs/>
          <w:color w:val="000000" w:themeColor="text1"/>
          <w:lang w:val="fr-FR"/>
        </w:rPr>
      </w:pPr>
    </w:p>
    <w:p w:rsidR="00182158" w:rsidRPr="00FE56D3" w:rsidRDefault="00673361" w:rsidP="00E05F51">
      <w:pPr>
        <w:pStyle w:val="ListParagraph"/>
        <w:numPr>
          <w:ilvl w:val="0"/>
          <w:numId w:val="25"/>
        </w:numPr>
        <w:spacing w:before="60" w:after="60"/>
        <w:ind w:left="426" w:right="-188" w:hanging="426"/>
        <w:rPr>
          <w:rFonts w:asciiTheme="minorHAnsi" w:hAnsiTheme="minorHAnsi" w:cstheme="minorHAnsi"/>
          <w:bCs/>
          <w:lang w:val="fr-FR"/>
        </w:rPr>
      </w:pPr>
      <w:r w:rsidRPr="00FE56D3">
        <w:rPr>
          <w:rFonts w:asciiTheme="minorHAnsi" w:hAnsiTheme="minorHAnsi" w:cstheme="minorHAnsi"/>
          <w:bCs/>
          <w:color w:val="000000" w:themeColor="text1"/>
          <w:lang w:val="fr-FR"/>
        </w:rPr>
        <w:t>L’Australie a été confirmée au poste de président jusqu’à la COP14. Le nouveau président a noté que l’Australie ne pourra continuer d’exercer ses fonctions de Représentant régional de l’</w:t>
      </w:r>
      <w:r w:rsidR="00FE56D3">
        <w:rPr>
          <w:rFonts w:asciiTheme="minorHAnsi" w:hAnsiTheme="minorHAnsi" w:cstheme="minorHAnsi"/>
          <w:bCs/>
          <w:color w:val="000000" w:themeColor="text1"/>
          <w:lang w:val="fr-FR"/>
        </w:rPr>
        <w:t>Océanie au</w:t>
      </w:r>
      <w:r w:rsidRPr="00FE56D3">
        <w:rPr>
          <w:rFonts w:asciiTheme="minorHAnsi" w:hAnsiTheme="minorHAnsi" w:cstheme="minorHAnsi"/>
          <w:bCs/>
          <w:color w:val="000000" w:themeColor="text1"/>
          <w:lang w:val="fr-FR"/>
        </w:rPr>
        <w:t xml:space="preserve"> Comité permanent après la COP14 étant donné que, conformément aux dispositions de la Résolution XIII.4, le mandat est limité à un maximum de deux périodes triennales.</w:t>
      </w:r>
    </w:p>
    <w:p w:rsidR="009D75A5" w:rsidRPr="00FE56D3" w:rsidRDefault="009D75A5" w:rsidP="00E05F51">
      <w:pPr>
        <w:spacing w:before="60" w:after="60"/>
        <w:ind w:left="0" w:right="-188" w:firstLine="0"/>
        <w:rPr>
          <w:rFonts w:asciiTheme="minorHAnsi" w:hAnsiTheme="minorHAnsi" w:cstheme="minorHAnsi"/>
          <w:bCs/>
          <w:lang w:val="fr-FR"/>
        </w:rPr>
      </w:pPr>
    </w:p>
    <w:p w:rsidR="00D4038D" w:rsidRPr="00FE56D3" w:rsidRDefault="00673361" w:rsidP="00E05F51">
      <w:pPr>
        <w:spacing w:before="60" w:after="60"/>
        <w:ind w:left="0" w:right="-188" w:firstLine="0"/>
        <w:rPr>
          <w:rFonts w:asciiTheme="minorHAnsi" w:hAnsiTheme="minorHAnsi" w:cstheme="minorHAnsi"/>
          <w:bCs/>
          <w:u w:val="single"/>
          <w:lang w:val="fr-FR"/>
        </w:rPr>
      </w:pPr>
      <w:r w:rsidRPr="00FE56D3">
        <w:rPr>
          <w:rFonts w:asciiTheme="minorHAnsi" w:hAnsiTheme="minorHAnsi" w:cstheme="minorHAnsi"/>
          <w:bCs/>
          <w:u w:val="single"/>
          <w:lang w:val="fr-FR"/>
        </w:rPr>
        <w:t>Mandat</w:t>
      </w:r>
      <w:r w:rsidR="00D4038D" w:rsidRPr="00FE56D3">
        <w:rPr>
          <w:rFonts w:asciiTheme="minorHAnsi" w:hAnsiTheme="minorHAnsi" w:cstheme="minorHAnsi"/>
          <w:bCs/>
          <w:u w:val="single"/>
          <w:lang w:val="fr-FR"/>
        </w:rPr>
        <w:t xml:space="preserve"> </w:t>
      </w:r>
    </w:p>
    <w:p w:rsidR="003E1734" w:rsidRPr="00FE56D3" w:rsidRDefault="00673361" w:rsidP="00E05F51">
      <w:pPr>
        <w:pStyle w:val="ListParagraph"/>
        <w:numPr>
          <w:ilvl w:val="0"/>
          <w:numId w:val="25"/>
        </w:numPr>
        <w:spacing w:before="60" w:after="60"/>
        <w:ind w:left="426" w:right="-188" w:hanging="426"/>
        <w:rPr>
          <w:rFonts w:asciiTheme="minorHAnsi" w:hAnsiTheme="minorHAnsi" w:cstheme="minorHAnsi"/>
          <w:bCs/>
          <w:lang w:val="fr-FR"/>
        </w:rPr>
      </w:pPr>
      <w:r w:rsidRPr="00FE56D3">
        <w:rPr>
          <w:rFonts w:asciiTheme="minorHAnsi" w:hAnsiTheme="minorHAnsi" w:cstheme="minorHAnsi"/>
          <w:bCs/>
          <w:lang w:val="fr-FR"/>
        </w:rPr>
        <w:t xml:space="preserve">Un projet de mandat du Groupe de travail et un plan de travail </w:t>
      </w:r>
      <w:r w:rsidR="00FE56D3">
        <w:rPr>
          <w:rFonts w:asciiTheme="minorHAnsi" w:hAnsiTheme="minorHAnsi" w:cstheme="minorHAnsi"/>
          <w:bCs/>
          <w:lang w:val="fr-FR"/>
        </w:rPr>
        <w:t>d’ici à</w:t>
      </w:r>
      <w:r w:rsidR="00C75BE2">
        <w:rPr>
          <w:rFonts w:asciiTheme="minorHAnsi" w:hAnsiTheme="minorHAnsi" w:cstheme="minorHAnsi"/>
          <w:bCs/>
          <w:lang w:val="fr-FR"/>
        </w:rPr>
        <w:t xml:space="preserve"> </w:t>
      </w:r>
      <w:r w:rsidRPr="00FE56D3">
        <w:rPr>
          <w:rFonts w:asciiTheme="minorHAnsi" w:hAnsiTheme="minorHAnsi" w:cstheme="minorHAnsi"/>
          <w:bCs/>
          <w:lang w:val="fr-FR"/>
        </w:rPr>
        <w:t>la COP14 ont été distribués aux membres du GT avant la réunion. L'Australie a présenté ce cahier des charges</w:t>
      </w:r>
      <w:r w:rsidR="00FE56D3">
        <w:rPr>
          <w:rFonts w:asciiTheme="minorHAnsi" w:hAnsiTheme="minorHAnsi" w:cstheme="minorHAnsi"/>
          <w:bCs/>
          <w:lang w:val="fr-FR"/>
        </w:rPr>
        <w:t xml:space="preserve"> et a noté qu’</w:t>
      </w:r>
      <w:r w:rsidRPr="00FE56D3">
        <w:rPr>
          <w:rFonts w:asciiTheme="minorHAnsi" w:hAnsiTheme="minorHAnsi" w:cstheme="minorHAnsi"/>
          <w:bCs/>
          <w:lang w:val="fr-FR"/>
        </w:rPr>
        <w:t>il était conforme au projet de directives sur les meilleu</w:t>
      </w:r>
      <w:r w:rsidR="00FE56D3">
        <w:rPr>
          <w:rFonts w:asciiTheme="minorHAnsi" w:hAnsiTheme="minorHAnsi" w:cstheme="minorHAnsi"/>
          <w:bCs/>
          <w:lang w:val="fr-FR"/>
        </w:rPr>
        <w:t>res pratiques à l’</w:t>
      </w:r>
      <w:r w:rsidRPr="00FE56D3">
        <w:rPr>
          <w:rFonts w:asciiTheme="minorHAnsi" w:hAnsiTheme="minorHAnsi" w:cstheme="minorHAnsi"/>
          <w:bCs/>
          <w:lang w:val="fr-FR"/>
        </w:rPr>
        <w:t xml:space="preserve">intention des groupes de travail, projet préparé par le Groupe de travail sur l’efficacité et qui figure à l’annexe 1 du </w:t>
      </w:r>
      <w:r w:rsidR="00DE3DCC" w:rsidRPr="00FE56D3">
        <w:rPr>
          <w:rFonts w:asciiTheme="minorHAnsi" w:hAnsiTheme="minorHAnsi" w:cstheme="minorHAnsi"/>
          <w:bCs/>
          <w:lang w:val="fr-FR"/>
        </w:rPr>
        <w:t xml:space="preserve">projet </w:t>
      </w:r>
      <w:r w:rsidR="00FE56D3">
        <w:rPr>
          <w:rFonts w:asciiTheme="minorHAnsi" w:hAnsiTheme="minorHAnsi" w:cstheme="minorHAnsi"/>
          <w:bCs/>
          <w:lang w:val="fr-FR"/>
        </w:rPr>
        <w:t>d</w:t>
      </w:r>
      <w:r w:rsidR="00DE3DCC" w:rsidRPr="00FE56D3">
        <w:rPr>
          <w:rFonts w:asciiTheme="minorHAnsi" w:hAnsiTheme="minorHAnsi" w:cstheme="minorHAnsi"/>
          <w:bCs/>
          <w:lang w:val="fr-FR"/>
        </w:rPr>
        <w:t>e résolution</w:t>
      </w:r>
      <w:r w:rsidRPr="00FE56D3">
        <w:rPr>
          <w:rFonts w:asciiTheme="minorHAnsi" w:hAnsiTheme="minorHAnsi" w:cstheme="minorHAnsi"/>
          <w:bCs/>
          <w:lang w:val="fr-FR"/>
        </w:rPr>
        <w:t xml:space="preserve"> (SC59.Doc 11)</w:t>
      </w:r>
      <w:r w:rsidR="00C75BE2">
        <w:rPr>
          <w:rFonts w:asciiTheme="minorHAnsi" w:hAnsiTheme="minorHAnsi" w:cstheme="minorHAnsi"/>
          <w:bCs/>
          <w:lang w:val="fr-FR"/>
        </w:rPr>
        <w:t>.</w:t>
      </w:r>
    </w:p>
    <w:p w:rsidR="00FC4398" w:rsidRPr="00FE56D3" w:rsidRDefault="00FC4398" w:rsidP="00E05F51">
      <w:pPr>
        <w:spacing w:before="60" w:after="60"/>
        <w:ind w:left="426" w:right="-188" w:hanging="426"/>
        <w:rPr>
          <w:rFonts w:asciiTheme="minorHAnsi" w:hAnsiTheme="minorHAnsi" w:cstheme="minorHAnsi"/>
          <w:bCs/>
          <w:lang w:val="fr-FR"/>
        </w:rPr>
      </w:pPr>
    </w:p>
    <w:p w:rsidR="009D75A5" w:rsidRPr="00FE56D3" w:rsidRDefault="00DE3DCC" w:rsidP="00E05F51">
      <w:pPr>
        <w:pStyle w:val="ListParagraph"/>
        <w:numPr>
          <w:ilvl w:val="0"/>
          <w:numId w:val="25"/>
        </w:numPr>
        <w:spacing w:before="60" w:after="60"/>
        <w:ind w:left="426" w:right="-188" w:hanging="426"/>
        <w:rPr>
          <w:rFonts w:asciiTheme="minorHAnsi" w:hAnsiTheme="minorHAnsi" w:cstheme="minorHAnsi"/>
          <w:bCs/>
          <w:lang w:val="fr-FR"/>
        </w:rPr>
      </w:pPr>
      <w:r w:rsidRPr="00FE56D3">
        <w:rPr>
          <w:rFonts w:asciiTheme="minorHAnsi" w:hAnsiTheme="minorHAnsi" w:cstheme="minorHAnsi"/>
          <w:bCs/>
          <w:lang w:val="fr-FR"/>
        </w:rPr>
        <w:t xml:space="preserve">Les </w:t>
      </w:r>
      <w:r w:rsidR="00FE56D3">
        <w:rPr>
          <w:rFonts w:asciiTheme="minorHAnsi" w:hAnsiTheme="minorHAnsi" w:cstheme="minorHAnsi"/>
          <w:bCs/>
          <w:lang w:val="fr-FR"/>
        </w:rPr>
        <w:t>membres ont noté la nécessité d’</w:t>
      </w:r>
      <w:r w:rsidRPr="00FE56D3">
        <w:rPr>
          <w:rFonts w:asciiTheme="minorHAnsi" w:hAnsiTheme="minorHAnsi" w:cstheme="minorHAnsi"/>
          <w:bCs/>
          <w:lang w:val="fr-FR"/>
        </w:rPr>
        <w:t xml:space="preserve">aligner le mandat sur le texte final du projet de résolution </w:t>
      </w:r>
      <w:r w:rsidR="00E91EA5" w:rsidRPr="00FE56D3">
        <w:rPr>
          <w:rFonts w:asciiTheme="minorHAnsi" w:hAnsiTheme="minorHAnsi" w:cstheme="minorHAnsi"/>
          <w:bCs/>
          <w:lang w:val="fr-FR"/>
        </w:rPr>
        <w:t>adopté</w:t>
      </w:r>
      <w:r w:rsidRPr="00FE56D3">
        <w:rPr>
          <w:rFonts w:asciiTheme="minorHAnsi" w:hAnsiTheme="minorHAnsi" w:cstheme="minorHAnsi"/>
          <w:bCs/>
          <w:lang w:val="fr-FR"/>
        </w:rPr>
        <w:t xml:space="preserve"> </w:t>
      </w:r>
      <w:r w:rsidR="00E91EA5" w:rsidRPr="00FE56D3">
        <w:rPr>
          <w:rFonts w:asciiTheme="minorHAnsi" w:hAnsiTheme="minorHAnsi" w:cstheme="minorHAnsi"/>
          <w:bCs/>
          <w:lang w:val="fr-FR"/>
        </w:rPr>
        <w:t>à la</w:t>
      </w:r>
      <w:r w:rsidRPr="00FE56D3">
        <w:rPr>
          <w:rFonts w:asciiTheme="minorHAnsi" w:hAnsiTheme="minorHAnsi" w:cstheme="minorHAnsi"/>
          <w:bCs/>
          <w:lang w:val="fr-FR"/>
        </w:rPr>
        <w:t xml:space="preserve"> SC59. </w:t>
      </w:r>
      <w:r w:rsidR="00E91EA5" w:rsidRPr="00FE56D3">
        <w:rPr>
          <w:rFonts w:asciiTheme="minorHAnsi" w:hAnsiTheme="minorHAnsi" w:cstheme="minorHAnsi"/>
          <w:bCs/>
          <w:lang w:val="fr-FR"/>
        </w:rPr>
        <w:t xml:space="preserve">La question a été traitée dans la recommandation b. ci-dessus. </w:t>
      </w:r>
      <w:r w:rsidRPr="00FE56D3">
        <w:rPr>
          <w:rFonts w:asciiTheme="minorHAnsi" w:hAnsiTheme="minorHAnsi" w:cstheme="minorHAnsi"/>
          <w:bCs/>
          <w:lang w:val="fr-FR"/>
        </w:rPr>
        <w:t xml:space="preserve">Le Brésil et la Chine ont </w:t>
      </w:r>
      <w:r w:rsidR="00E91EA5" w:rsidRPr="00FE56D3">
        <w:rPr>
          <w:rFonts w:asciiTheme="minorHAnsi" w:hAnsiTheme="minorHAnsi" w:cstheme="minorHAnsi"/>
          <w:bCs/>
          <w:lang w:val="fr-FR"/>
        </w:rPr>
        <w:t>pré-divulgué, à l’intention</w:t>
      </w:r>
      <w:r w:rsidRPr="00FE56D3">
        <w:rPr>
          <w:rFonts w:asciiTheme="minorHAnsi" w:hAnsiTheme="minorHAnsi" w:cstheme="minorHAnsi"/>
          <w:bCs/>
          <w:lang w:val="fr-FR"/>
        </w:rPr>
        <w:t xml:space="preserve"> des memb</w:t>
      </w:r>
      <w:r w:rsidR="00E91EA5" w:rsidRPr="00FE56D3">
        <w:rPr>
          <w:rFonts w:asciiTheme="minorHAnsi" w:hAnsiTheme="minorHAnsi" w:cstheme="minorHAnsi"/>
          <w:bCs/>
          <w:lang w:val="fr-FR"/>
        </w:rPr>
        <w:t>res du GT, leurs propositions d’</w:t>
      </w:r>
      <w:r w:rsidRPr="00FE56D3">
        <w:rPr>
          <w:rFonts w:asciiTheme="minorHAnsi" w:hAnsiTheme="minorHAnsi" w:cstheme="minorHAnsi"/>
          <w:bCs/>
          <w:lang w:val="fr-FR"/>
        </w:rPr>
        <w:t xml:space="preserve">amendements au texte du </w:t>
      </w:r>
      <w:r w:rsidR="00E91EA5" w:rsidRPr="00FE56D3">
        <w:rPr>
          <w:rFonts w:asciiTheme="minorHAnsi" w:hAnsiTheme="minorHAnsi" w:cstheme="minorHAnsi"/>
          <w:bCs/>
          <w:lang w:val="fr-FR"/>
        </w:rPr>
        <w:t>projet de résolution</w:t>
      </w:r>
      <w:r w:rsidRPr="00FE56D3">
        <w:rPr>
          <w:rFonts w:asciiTheme="minorHAnsi" w:hAnsiTheme="minorHAnsi" w:cstheme="minorHAnsi"/>
          <w:bCs/>
          <w:lang w:val="fr-FR"/>
        </w:rPr>
        <w:t xml:space="preserve"> qui seront proposées à la session plénière sur le rapport du GTPS (point 10 de l'ordre du jour).</w:t>
      </w:r>
    </w:p>
    <w:p w:rsidR="00410E09" w:rsidRPr="00FE56D3" w:rsidRDefault="00410E09" w:rsidP="00E05F51">
      <w:pPr>
        <w:spacing w:before="60" w:after="60"/>
        <w:ind w:left="426" w:right="-188" w:hanging="426"/>
        <w:rPr>
          <w:rFonts w:asciiTheme="minorHAnsi" w:hAnsiTheme="minorHAnsi" w:cstheme="minorHAnsi"/>
          <w:bCs/>
          <w:lang w:val="fr-FR"/>
        </w:rPr>
      </w:pPr>
    </w:p>
    <w:p w:rsidR="00410E09" w:rsidRPr="00FE56D3" w:rsidRDefault="00E91EA5" w:rsidP="00E05F51">
      <w:pPr>
        <w:pStyle w:val="ListParagraph"/>
        <w:numPr>
          <w:ilvl w:val="0"/>
          <w:numId w:val="25"/>
        </w:numPr>
        <w:spacing w:before="60" w:after="60"/>
        <w:ind w:left="426" w:right="-188" w:hanging="426"/>
        <w:rPr>
          <w:rFonts w:asciiTheme="minorHAnsi" w:hAnsiTheme="minorHAnsi" w:cstheme="minorHAnsi"/>
          <w:bCs/>
          <w:lang w:val="fr-FR"/>
        </w:rPr>
      </w:pPr>
      <w:r w:rsidRPr="00FE56D3">
        <w:rPr>
          <w:rFonts w:asciiTheme="minorHAnsi" w:hAnsiTheme="minorHAnsi" w:cstheme="minorHAnsi"/>
          <w:bCs/>
          <w:lang w:val="fr-FR"/>
        </w:rPr>
        <w:t>L'Australie a noté que l’</w:t>
      </w:r>
      <w:r w:rsidR="003541FA" w:rsidRPr="00FE56D3">
        <w:rPr>
          <w:rFonts w:asciiTheme="minorHAnsi" w:hAnsiTheme="minorHAnsi" w:cstheme="minorHAnsi"/>
          <w:bCs/>
          <w:lang w:val="fr-FR"/>
        </w:rPr>
        <w:t>accent était mis sur l’</w:t>
      </w:r>
      <w:r w:rsidRPr="00FE56D3">
        <w:rPr>
          <w:rFonts w:asciiTheme="minorHAnsi" w:hAnsiTheme="minorHAnsi" w:cstheme="minorHAnsi"/>
          <w:bCs/>
          <w:lang w:val="fr-FR"/>
        </w:rPr>
        <w:t xml:space="preserve">inclusion et sur la facilitation à la participation dans la </w:t>
      </w:r>
      <w:r w:rsidR="003541FA" w:rsidRPr="00FE56D3">
        <w:rPr>
          <w:rFonts w:asciiTheme="minorHAnsi" w:hAnsiTheme="minorHAnsi" w:cstheme="minorHAnsi"/>
          <w:bCs/>
          <w:lang w:val="fr-FR"/>
        </w:rPr>
        <w:t xml:space="preserve">proposition de </w:t>
      </w:r>
      <w:r w:rsidRPr="00FE56D3">
        <w:rPr>
          <w:rFonts w:asciiTheme="minorHAnsi" w:hAnsiTheme="minorHAnsi" w:cstheme="minorHAnsi"/>
          <w:bCs/>
          <w:lang w:val="fr-FR"/>
        </w:rPr>
        <w:t xml:space="preserve">composition </w:t>
      </w:r>
      <w:r w:rsidR="003541FA" w:rsidRPr="00FE56D3">
        <w:rPr>
          <w:rFonts w:asciiTheme="minorHAnsi" w:hAnsiTheme="minorHAnsi" w:cstheme="minorHAnsi"/>
          <w:bCs/>
          <w:lang w:val="fr-FR"/>
        </w:rPr>
        <w:t>et</w:t>
      </w:r>
      <w:r w:rsidRPr="00FE56D3">
        <w:rPr>
          <w:rFonts w:asciiTheme="minorHAnsi" w:hAnsiTheme="minorHAnsi" w:cstheme="minorHAnsi"/>
          <w:bCs/>
          <w:lang w:val="fr-FR"/>
        </w:rPr>
        <w:t xml:space="preserve"> </w:t>
      </w:r>
      <w:r w:rsidR="003541FA" w:rsidRPr="00FE56D3">
        <w:rPr>
          <w:rFonts w:asciiTheme="minorHAnsi" w:hAnsiTheme="minorHAnsi" w:cstheme="minorHAnsi"/>
          <w:bCs/>
          <w:lang w:val="fr-FR"/>
        </w:rPr>
        <w:t xml:space="preserve">de </w:t>
      </w:r>
      <w:r w:rsidRPr="00FE56D3">
        <w:rPr>
          <w:rFonts w:asciiTheme="minorHAnsi" w:hAnsiTheme="minorHAnsi" w:cstheme="minorHAnsi"/>
          <w:bCs/>
          <w:lang w:val="fr-FR"/>
        </w:rPr>
        <w:t>représentation régionale au sein du GT et de sa structure opérationnelle.</w:t>
      </w:r>
    </w:p>
    <w:p w:rsidR="00D4038D" w:rsidRPr="00FE56D3" w:rsidRDefault="00D4038D" w:rsidP="00E05F51">
      <w:pPr>
        <w:spacing w:before="60" w:after="60"/>
        <w:ind w:left="0" w:right="-188" w:firstLine="0"/>
        <w:rPr>
          <w:rFonts w:asciiTheme="minorHAnsi" w:hAnsiTheme="minorHAnsi" w:cstheme="minorHAnsi"/>
          <w:bCs/>
          <w:lang w:val="fr-FR"/>
        </w:rPr>
      </w:pPr>
    </w:p>
    <w:p w:rsidR="00E67BA0" w:rsidRPr="00FE56D3" w:rsidRDefault="003541FA" w:rsidP="00E05F51">
      <w:pPr>
        <w:spacing w:before="60" w:after="60"/>
        <w:ind w:left="0" w:right="-188" w:firstLine="0"/>
        <w:rPr>
          <w:rFonts w:asciiTheme="minorHAnsi" w:hAnsiTheme="minorHAnsi" w:cstheme="minorHAnsi"/>
          <w:bCs/>
          <w:u w:val="single"/>
          <w:lang w:val="fr-FR"/>
        </w:rPr>
      </w:pPr>
      <w:r w:rsidRPr="00FE56D3">
        <w:rPr>
          <w:rFonts w:asciiTheme="minorHAnsi" w:hAnsiTheme="minorHAnsi" w:cstheme="minorHAnsi"/>
          <w:bCs/>
          <w:u w:val="single"/>
          <w:lang w:val="fr-FR"/>
        </w:rPr>
        <w:lastRenderedPageBreak/>
        <w:t xml:space="preserve">Plan de travail d’ici </w:t>
      </w:r>
      <w:r w:rsidR="00F32677">
        <w:rPr>
          <w:rFonts w:asciiTheme="minorHAnsi" w:hAnsiTheme="minorHAnsi" w:cstheme="minorHAnsi"/>
          <w:bCs/>
          <w:u w:val="single"/>
          <w:lang w:val="fr-FR"/>
        </w:rPr>
        <w:t xml:space="preserve">à </w:t>
      </w:r>
      <w:r w:rsidRPr="00FE56D3">
        <w:rPr>
          <w:rFonts w:asciiTheme="minorHAnsi" w:hAnsiTheme="minorHAnsi" w:cstheme="minorHAnsi"/>
          <w:bCs/>
          <w:u w:val="single"/>
          <w:lang w:val="fr-FR"/>
        </w:rPr>
        <w:t>la</w:t>
      </w:r>
      <w:r w:rsidR="00E67BA0" w:rsidRPr="00FE56D3">
        <w:rPr>
          <w:rFonts w:asciiTheme="minorHAnsi" w:hAnsiTheme="minorHAnsi" w:cstheme="minorHAnsi"/>
          <w:bCs/>
          <w:u w:val="single"/>
          <w:lang w:val="fr-FR"/>
        </w:rPr>
        <w:t xml:space="preserve"> COP14</w:t>
      </w:r>
    </w:p>
    <w:p w:rsidR="000A5120" w:rsidRPr="00FE56D3" w:rsidRDefault="003541FA" w:rsidP="00E05F51">
      <w:pPr>
        <w:pStyle w:val="ListParagraph"/>
        <w:numPr>
          <w:ilvl w:val="0"/>
          <w:numId w:val="25"/>
        </w:numPr>
        <w:spacing w:before="60" w:after="60"/>
        <w:ind w:left="426" w:right="-188" w:hanging="426"/>
        <w:rPr>
          <w:rFonts w:asciiTheme="minorHAnsi" w:hAnsiTheme="minorHAnsi" w:cstheme="minorHAnsi"/>
          <w:bCs/>
          <w:color w:val="000000" w:themeColor="text1"/>
          <w:lang w:val="fr-FR"/>
        </w:rPr>
      </w:pPr>
      <w:r w:rsidRPr="00FE56D3">
        <w:rPr>
          <w:rFonts w:asciiTheme="minorHAnsi" w:hAnsiTheme="minorHAnsi" w:cstheme="minorHAnsi"/>
          <w:bCs/>
          <w:color w:val="000000" w:themeColor="text1"/>
          <w:lang w:val="fr-FR"/>
        </w:rPr>
        <w:t>Le nouveau GT se concentrera sur l’</w:t>
      </w:r>
      <w:r w:rsidR="00FE56D3">
        <w:rPr>
          <w:rFonts w:asciiTheme="minorHAnsi" w:hAnsiTheme="minorHAnsi" w:cstheme="minorHAnsi"/>
          <w:bCs/>
          <w:color w:val="000000" w:themeColor="text1"/>
          <w:lang w:val="fr-FR"/>
        </w:rPr>
        <w:t>élaboration d’</w:t>
      </w:r>
      <w:r w:rsidRPr="00FE56D3">
        <w:rPr>
          <w:rFonts w:asciiTheme="minorHAnsi" w:hAnsiTheme="minorHAnsi" w:cstheme="minorHAnsi"/>
          <w:bCs/>
          <w:color w:val="000000" w:themeColor="text1"/>
          <w:lang w:val="fr-FR"/>
        </w:rPr>
        <w:t xml:space="preserve">un programme de consultation pour le PS5 </w:t>
      </w:r>
      <w:r w:rsidR="00AA3CBA">
        <w:rPr>
          <w:rFonts w:asciiTheme="minorHAnsi" w:hAnsiTheme="minorHAnsi" w:cstheme="minorHAnsi"/>
          <w:bCs/>
          <w:color w:val="000000" w:themeColor="text1"/>
          <w:lang w:val="fr-FR"/>
        </w:rPr>
        <w:t>dans le cadre d’</w:t>
      </w:r>
      <w:r w:rsidRPr="00FE56D3">
        <w:rPr>
          <w:rFonts w:asciiTheme="minorHAnsi" w:hAnsiTheme="minorHAnsi" w:cstheme="minorHAnsi"/>
          <w:bCs/>
          <w:color w:val="000000" w:themeColor="text1"/>
          <w:lang w:val="fr-FR"/>
        </w:rPr>
        <w:t>une manifestation parallèle ciblée</w:t>
      </w:r>
      <w:r w:rsidR="00AA3CBA">
        <w:rPr>
          <w:rFonts w:asciiTheme="minorHAnsi" w:hAnsiTheme="minorHAnsi" w:cstheme="minorHAnsi"/>
          <w:bCs/>
          <w:color w:val="000000" w:themeColor="text1"/>
          <w:lang w:val="fr-FR"/>
        </w:rPr>
        <w:t>,</w:t>
      </w:r>
      <w:r w:rsidRPr="00FE56D3">
        <w:rPr>
          <w:rFonts w:asciiTheme="minorHAnsi" w:hAnsiTheme="minorHAnsi" w:cstheme="minorHAnsi"/>
          <w:bCs/>
          <w:color w:val="000000" w:themeColor="text1"/>
          <w:lang w:val="fr-FR"/>
        </w:rPr>
        <w:t xml:space="preserve"> avant et pendant la COP14. Le GT sera assisté dans cette tâche par des </w:t>
      </w:r>
      <w:bookmarkStart w:id="0" w:name="_GoBack"/>
      <w:r w:rsidRPr="00FE56D3">
        <w:rPr>
          <w:rFonts w:asciiTheme="minorHAnsi" w:hAnsiTheme="minorHAnsi" w:cstheme="minorHAnsi"/>
          <w:bCs/>
          <w:color w:val="000000" w:themeColor="text1"/>
          <w:lang w:val="fr-FR"/>
        </w:rPr>
        <w:t xml:space="preserve">facilitateurs </w:t>
      </w:r>
      <w:bookmarkEnd w:id="0"/>
      <w:r w:rsidRPr="00FE56D3">
        <w:rPr>
          <w:rFonts w:asciiTheme="minorHAnsi" w:hAnsiTheme="minorHAnsi" w:cstheme="minorHAnsi"/>
          <w:bCs/>
          <w:color w:val="000000" w:themeColor="text1"/>
          <w:lang w:val="fr-FR"/>
        </w:rPr>
        <w:t xml:space="preserve">professionnels et œuvrera en étroite collaboration avec le pays </w:t>
      </w:r>
      <w:r w:rsidR="00AA3CBA">
        <w:rPr>
          <w:rFonts w:asciiTheme="minorHAnsi" w:hAnsiTheme="minorHAnsi" w:cstheme="minorHAnsi"/>
          <w:bCs/>
          <w:color w:val="000000" w:themeColor="text1"/>
          <w:lang w:val="fr-FR"/>
        </w:rPr>
        <w:t>hôte et le s</w:t>
      </w:r>
      <w:r w:rsidRPr="00FE56D3">
        <w:rPr>
          <w:rFonts w:asciiTheme="minorHAnsi" w:hAnsiTheme="minorHAnsi" w:cstheme="minorHAnsi"/>
          <w:bCs/>
          <w:color w:val="000000" w:themeColor="text1"/>
          <w:lang w:val="fr-FR"/>
        </w:rPr>
        <w:t>ous-groupe sur la COP14. Un budget a été approuvé par le Comité permanent pour ce travail intérimaire du GT</w:t>
      </w:r>
      <w:r w:rsidR="00225833" w:rsidRPr="00FE56D3">
        <w:rPr>
          <w:rFonts w:asciiTheme="minorHAnsi" w:hAnsiTheme="minorHAnsi" w:cstheme="minorHAnsi"/>
          <w:bCs/>
          <w:color w:val="000000" w:themeColor="text1"/>
          <w:lang w:val="fr-FR"/>
        </w:rPr>
        <w:t>.</w:t>
      </w:r>
    </w:p>
    <w:p w:rsidR="000A5120" w:rsidRPr="00FE56D3" w:rsidRDefault="000A5120" w:rsidP="00E05F51">
      <w:pPr>
        <w:spacing w:before="60" w:after="60"/>
        <w:ind w:left="0" w:right="-188" w:firstLine="0"/>
        <w:rPr>
          <w:rFonts w:asciiTheme="minorHAnsi" w:hAnsiTheme="minorHAnsi" w:cstheme="minorHAnsi"/>
          <w:bCs/>
          <w:color w:val="000000" w:themeColor="text1"/>
          <w:u w:val="single"/>
          <w:lang w:val="fr-FR"/>
        </w:rPr>
      </w:pPr>
    </w:p>
    <w:p w:rsidR="00B73357" w:rsidRPr="00FE56D3" w:rsidRDefault="003541FA" w:rsidP="00E05F51">
      <w:pPr>
        <w:spacing w:before="60" w:after="60"/>
        <w:ind w:left="0" w:right="-188" w:firstLine="0"/>
        <w:rPr>
          <w:rFonts w:asciiTheme="minorHAnsi" w:hAnsiTheme="minorHAnsi" w:cstheme="minorHAnsi"/>
          <w:bCs/>
          <w:u w:val="single"/>
          <w:lang w:val="fr-FR" w:eastAsia="ko-KR"/>
        </w:rPr>
      </w:pPr>
      <w:r w:rsidRPr="00FE56D3">
        <w:rPr>
          <w:rFonts w:asciiTheme="minorHAnsi" w:hAnsiTheme="minorHAnsi" w:cstheme="minorHAnsi"/>
          <w:bCs/>
          <w:u w:val="single"/>
          <w:lang w:val="fr-FR" w:eastAsia="ko-KR"/>
        </w:rPr>
        <w:t>Cadre stratégique destiné à informer le PS5 - projet de texte pour la Déclaration de Wuhan</w:t>
      </w:r>
    </w:p>
    <w:p w:rsidR="008C0D06" w:rsidRPr="00FE56D3" w:rsidRDefault="003541FA" w:rsidP="00E05F51">
      <w:pPr>
        <w:pStyle w:val="ListParagraph"/>
        <w:numPr>
          <w:ilvl w:val="0"/>
          <w:numId w:val="25"/>
        </w:numPr>
        <w:spacing w:before="60" w:after="60"/>
        <w:ind w:left="426" w:right="-188" w:hanging="426"/>
        <w:rPr>
          <w:rFonts w:asciiTheme="minorHAnsi" w:hAnsiTheme="minorHAnsi" w:cstheme="minorHAnsi"/>
          <w:bCs/>
          <w:color w:val="000000" w:themeColor="text1"/>
          <w:lang w:val="fr-FR"/>
        </w:rPr>
      </w:pPr>
      <w:r w:rsidRPr="00FE56D3">
        <w:rPr>
          <w:rFonts w:asciiTheme="minorHAnsi" w:hAnsiTheme="minorHAnsi" w:cstheme="minorHAnsi"/>
          <w:bCs/>
          <w:color w:val="000000" w:themeColor="text1"/>
          <w:lang w:val="fr-FR"/>
        </w:rPr>
        <w:t xml:space="preserve">L’Australie a présenté le </w:t>
      </w:r>
      <w:r w:rsidR="00DB43FC" w:rsidRPr="00FE56D3">
        <w:rPr>
          <w:rFonts w:asciiTheme="minorHAnsi" w:hAnsiTheme="minorHAnsi" w:cstheme="minorHAnsi"/>
          <w:bCs/>
          <w:color w:val="000000" w:themeColor="text1"/>
          <w:lang w:val="fr-FR"/>
        </w:rPr>
        <w:t>projet</w:t>
      </w:r>
      <w:r w:rsidRPr="00FE56D3">
        <w:rPr>
          <w:rFonts w:asciiTheme="minorHAnsi" w:hAnsiTheme="minorHAnsi" w:cstheme="minorHAnsi"/>
          <w:bCs/>
          <w:color w:val="000000" w:themeColor="text1"/>
          <w:lang w:val="fr-FR"/>
        </w:rPr>
        <w:t xml:space="preserve"> de texte </w:t>
      </w:r>
      <w:r w:rsidR="00DB43FC" w:rsidRPr="00FE56D3">
        <w:rPr>
          <w:rFonts w:asciiTheme="minorHAnsi" w:hAnsiTheme="minorHAnsi" w:cstheme="minorHAnsi"/>
          <w:bCs/>
          <w:color w:val="000000" w:themeColor="text1"/>
          <w:lang w:val="fr-FR"/>
        </w:rPr>
        <w:t>zéro</w:t>
      </w:r>
      <w:r w:rsidRPr="00FE56D3">
        <w:rPr>
          <w:rFonts w:asciiTheme="minorHAnsi" w:hAnsiTheme="minorHAnsi" w:cstheme="minorHAnsi"/>
          <w:bCs/>
          <w:color w:val="000000" w:themeColor="text1"/>
          <w:lang w:val="fr-FR"/>
        </w:rPr>
        <w:t xml:space="preserve"> : </w:t>
      </w:r>
    </w:p>
    <w:p w:rsidR="008C0D06" w:rsidRPr="00FE56D3" w:rsidRDefault="003541FA" w:rsidP="00E05F51">
      <w:pPr>
        <w:pStyle w:val="ListParagraph"/>
        <w:numPr>
          <w:ilvl w:val="0"/>
          <w:numId w:val="23"/>
        </w:numPr>
        <w:spacing w:before="60" w:after="60"/>
        <w:ind w:right="-188"/>
        <w:contextualSpacing w:val="0"/>
        <w:rPr>
          <w:rFonts w:asciiTheme="minorHAnsi" w:hAnsiTheme="minorHAnsi" w:cstheme="minorHAnsi"/>
          <w:bCs/>
          <w:color w:val="000000" w:themeColor="text1"/>
          <w:lang w:val="fr-FR"/>
        </w:rPr>
      </w:pPr>
      <w:r w:rsidRPr="00FE56D3">
        <w:rPr>
          <w:rFonts w:asciiTheme="minorHAnsi" w:hAnsiTheme="minorHAnsi" w:cstheme="minorHAnsi"/>
          <w:bCs/>
          <w:color w:val="000000" w:themeColor="text1"/>
          <w:lang w:val="fr-FR"/>
        </w:rPr>
        <w:t>Réaffirmer que l’utilisation rationnelle est le principe central qui sous-tend la Convention de Ramsar et qu’elle est essentielle à la conservation des zones humides et de leurs services écosystémiques pour les générations actuelles et futures</w:t>
      </w:r>
      <w:r w:rsidR="008C0D06" w:rsidRPr="00FE56D3">
        <w:rPr>
          <w:rFonts w:asciiTheme="minorHAnsi" w:hAnsiTheme="minorHAnsi" w:cstheme="minorHAnsi"/>
          <w:bCs/>
          <w:color w:val="000000" w:themeColor="text1"/>
          <w:lang w:val="fr-FR"/>
        </w:rPr>
        <w:t>.</w:t>
      </w:r>
    </w:p>
    <w:p w:rsidR="008C0D06" w:rsidRPr="00FE56D3" w:rsidRDefault="00DB43FC" w:rsidP="00E05F51">
      <w:pPr>
        <w:pStyle w:val="ListParagraph"/>
        <w:numPr>
          <w:ilvl w:val="0"/>
          <w:numId w:val="23"/>
        </w:numPr>
        <w:spacing w:before="60" w:after="60"/>
        <w:ind w:right="-188"/>
        <w:contextualSpacing w:val="0"/>
        <w:rPr>
          <w:rFonts w:asciiTheme="minorHAnsi" w:hAnsiTheme="minorHAnsi" w:cstheme="minorHAnsi"/>
          <w:bCs/>
          <w:color w:val="000000" w:themeColor="text1"/>
          <w:lang w:val="fr-FR"/>
        </w:rPr>
      </w:pPr>
      <w:r w:rsidRPr="00FE56D3">
        <w:rPr>
          <w:rFonts w:asciiTheme="minorHAnsi" w:hAnsiTheme="minorHAnsi" w:cstheme="minorHAnsi"/>
          <w:bCs/>
          <w:color w:val="000000" w:themeColor="text1"/>
          <w:lang w:val="fr-FR"/>
        </w:rPr>
        <w:t>Positionner l’utilisation rationnelle des zones humides dans le contexte des défis mondiaux urgents auxquels nous sommes confrontés - pour inverser la perte de biodiversité et atténuer le changement climatique mondial</w:t>
      </w:r>
      <w:r w:rsidR="008C0D06" w:rsidRPr="00FE56D3">
        <w:rPr>
          <w:rFonts w:asciiTheme="minorHAnsi" w:hAnsiTheme="minorHAnsi" w:cstheme="minorHAnsi"/>
          <w:bCs/>
          <w:color w:val="000000" w:themeColor="text1"/>
          <w:lang w:val="fr-FR"/>
        </w:rPr>
        <w:t>.</w:t>
      </w:r>
    </w:p>
    <w:p w:rsidR="008C0D06" w:rsidRPr="00FE56D3" w:rsidRDefault="00DB43FC" w:rsidP="00E05F51">
      <w:pPr>
        <w:pStyle w:val="ListParagraph"/>
        <w:numPr>
          <w:ilvl w:val="0"/>
          <w:numId w:val="23"/>
        </w:numPr>
        <w:spacing w:before="60" w:after="60"/>
        <w:ind w:right="-188"/>
        <w:contextualSpacing w:val="0"/>
        <w:rPr>
          <w:rFonts w:asciiTheme="minorHAnsi" w:hAnsiTheme="minorHAnsi" w:cstheme="minorHAnsi"/>
          <w:bCs/>
          <w:color w:val="000000" w:themeColor="text1"/>
          <w:lang w:val="fr-FR"/>
        </w:rPr>
      </w:pPr>
      <w:r w:rsidRPr="00FE56D3">
        <w:rPr>
          <w:rFonts w:asciiTheme="minorHAnsi" w:hAnsiTheme="minorHAnsi" w:cstheme="minorHAnsi"/>
          <w:bCs/>
          <w:color w:val="000000" w:themeColor="text1"/>
          <w:lang w:val="fr-FR"/>
        </w:rPr>
        <w:t xml:space="preserve">Construire une large coalition d’acteurs </w:t>
      </w:r>
      <w:r w:rsidR="00AA3CBA">
        <w:rPr>
          <w:rFonts w:asciiTheme="minorHAnsi" w:hAnsiTheme="minorHAnsi" w:cstheme="minorHAnsi"/>
          <w:bCs/>
          <w:color w:val="000000" w:themeColor="text1"/>
          <w:lang w:val="fr-FR"/>
        </w:rPr>
        <w:t>concernés</w:t>
      </w:r>
      <w:r w:rsidRPr="00FE56D3">
        <w:rPr>
          <w:rFonts w:asciiTheme="minorHAnsi" w:hAnsiTheme="minorHAnsi" w:cstheme="minorHAnsi"/>
          <w:bCs/>
          <w:color w:val="000000" w:themeColor="text1"/>
          <w:lang w:val="fr-FR"/>
        </w:rPr>
        <w:t xml:space="preserve"> et de voix </w:t>
      </w:r>
      <w:r w:rsidR="00AA3CBA">
        <w:rPr>
          <w:rFonts w:asciiTheme="minorHAnsi" w:hAnsiTheme="minorHAnsi" w:cstheme="minorHAnsi"/>
          <w:bCs/>
          <w:color w:val="000000" w:themeColor="text1"/>
          <w:lang w:val="fr-FR"/>
        </w:rPr>
        <w:t>diverses</w:t>
      </w:r>
      <w:r w:rsidR="00AA3CBA" w:rsidRPr="00FE56D3">
        <w:rPr>
          <w:rFonts w:asciiTheme="minorHAnsi" w:hAnsiTheme="minorHAnsi" w:cstheme="minorHAnsi"/>
          <w:bCs/>
          <w:color w:val="000000" w:themeColor="text1"/>
          <w:lang w:val="fr-FR"/>
        </w:rPr>
        <w:t xml:space="preserve"> </w:t>
      </w:r>
      <w:r w:rsidRPr="00FE56D3">
        <w:rPr>
          <w:rFonts w:asciiTheme="minorHAnsi" w:hAnsiTheme="minorHAnsi" w:cstheme="minorHAnsi"/>
          <w:bCs/>
          <w:color w:val="000000" w:themeColor="text1"/>
          <w:lang w:val="fr-FR"/>
        </w:rPr>
        <w:t xml:space="preserve">grâce à un engagement et </w:t>
      </w:r>
      <w:r w:rsidR="00AA3CBA">
        <w:rPr>
          <w:rFonts w:asciiTheme="minorHAnsi" w:hAnsiTheme="minorHAnsi" w:cstheme="minorHAnsi"/>
          <w:bCs/>
          <w:color w:val="000000" w:themeColor="text1"/>
          <w:lang w:val="fr-FR"/>
        </w:rPr>
        <w:t xml:space="preserve">à </w:t>
      </w:r>
      <w:r w:rsidRPr="00FE56D3">
        <w:rPr>
          <w:rFonts w:asciiTheme="minorHAnsi" w:hAnsiTheme="minorHAnsi" w:cstheme="minorHAnsi"/>
          <w:bCs/>
          <w:color w:val="000000" w:themeColor="text1"/>
          <w:lang w:val="fr-FR"/>
        </w:rPr>
        <w:t>une collaboration véritables, afin de fixer le cadre d’ici à 2030 et au-delà</w:t>
      </w:r>
      <w:r w:rsidR="008C0D06" w:rsidRPr="00FE56D3">
        <w:rPr>
          <w:rFonts w:asciiTheme="minorHAnsi" w:hAnsiTheme="minorHAnsi" w:cstheme="minorHAnsi"/>
          <w:bCs/>
          <w:color w:val="000000" w:themeColor="text1"/>
          <w:lang w:val="fr-FR"/>
        </w:rPr>
        <w:t>.</w:t>
      </w:r>
    </w:p>
    <w:p w:rsidR="008C0D06" w:rsidRPr="00FE56D3" w:rsidRDefault="008C0D06" w:rsidP="00E05F51">
      <w:pPr>
        <w:spacing w:before="60" w:after="60"/>
        <w:ind w:left="0" w:right="-188" w:firstLine="0"/>
        <w:rPr>
          <w:rFonts w:asciiTheme="minorHAnsi" w:hAnsiTheme="minorHAnsi" w:cstheme="minorHAnsi"/>
          <w:bCs/>
          <w:color w:val="000000" w:themeColor="text1"/>
          <w:lang w:val="fr-FR"/>
        </w:rPr>
      </w:pPr>
    </w:p>
    <w:p w:rsidR="008D00AA" w:rsidRPr="00FE56D3" w:rsidRDefault="00DB43FC" w:rsidP="00E05F51">
      <w:pPr>
        <w:pStyle w:val="ListParagraph"/>
        <w:numPr>
          <w:ilvl w:val="0"/>
          <w:numId w:val="25"/>
        </w:numPr>
        <w:spacing w:before="60" w:after="60"/>
        <w:ind w:left="426" w:right="-188" w:hanging="426"/>
        <w:rPr>
          <w:rFonts w:asciiTheme="minorHAnsi" w:hAnsiTheme="minorHAnsi" w:cstheme="minorHAnsi"/>
          <w:lang w:val="fr-FR" w:eastAsia="en-AU"/>
        </w:rPr>
      </w:pPr>
      <w:r w:rsidRPr="00FE56D3">
        <w:rPr>
          <w:rFonts w:asciiTheme="minorHAnsi" w:hAnsiTheme="minorHAnsi" w:cstheme="minorHAnsi"/>
          <w:lang w:val="fr-FR" w:eastAsia="en-AU"/>
        </w:rPr>
        <w:t>Le président a indiqué que les membres du GT auront maintes fois l’occasion de peaufiner le texte</w:t>
      </w:r>
      <w:r w:rsidR="00E86DD1" w:rsidRPr="00FE56D3">
        <w:rPr>
          <w:rFonts w:asciiTheme="minorHAnsi" w:hAnsiTheme="minorHAnsi" w:cstheme="minorHAnsi"/>
          <w:lang w:val="fr-FR" w:eastAsia="en-AU"/>
        </w:rPr>
        <w:t xml:space="preserve">. </w:t>
      </w: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8D00AA" w:rsidRPr="00FE56D3" w:rsidRDefault="008D00AA" w:rsidP="00E05F51">
      <w:pPr>
        <w:spacing w:before="60" w:after="60"/>
        <w:ind w:left="0" w:right="-188" w:firstLine="0"/>
        <w:rPr>
          <w:rFonts w:asciiTheme="minorHAnsi" w:hAnsiTheme="minorHAnsi" w:cstheme="minorHAnsi"/>
          <w:color w:val="1F3864"/>
          <w:lang w:val="fr-FR" w:eastAsia="en-AU"/>
        </w:rPr>
      </w:pPr>
    </w:p>
    <w:p w:rsidR="00182158" w:rsidRPr="00FE56D3" w:rsidRDefault="008D00AA" w:rsidP="00C10139">
      <w:pPr>
        <w:ind w:left="0" w:right="-188" w:firstLine="0"/>
        <w:rPr>
          <w:rFonts w:ascii="Arial" w:hAnsi="Arial" w:cs="Arial"/>
          <w:b/>
          <w:bCs/>
          <w:color w:val="1F3864"/>
          <w:sz w:val="20"/>
          <w:szCs w:val="20"/>
          <w:lang w:val="fr-FR" w:eastAsia="en-AU"/>
        </w:rPr>
      </w:pPr>
      <w:r w:rsidRPr="00FE56D3">
        <w:rPr>
          <w:rFonts w:ascii="Arial" w:hAnsi="Arial" w:cs="Arial"/>
          <w:b/>
          <w:bCs/>
          <w:color w:val="1F3864"/>
          <w:sz w:val="20"/>
          <w:szCs w:val="20"/>
          <w:lang w:val="fr-FR" w:eastAsia="en-AU"/>
        </w:rPr>
        <w:lastRenderedPageBreak/>
        <w:t>Annex</w:t>
      </w:r>
      <w:r w:rsidR="00F6402E" w:rsidRPr="00FE56D3">
        <w:rPr>
          <w:rFonts w:ascii="Arial" w:hAnsi="Arial" w:cs="Arial"/>
          <w:b/>
          <w:bCs/>
          <w:color w:val="1F3864"/>
          <w:sz w:val="20"/>
          <w:szCs w:val="20"/>
          <w:lang w:val="fr-FR" w:eastAsia="en-AU"/>
        </w:rPr>
        <w:t>e</w:t>
      </w:r>
      <w:r w:rsidRPr="00FE56D3">
        <w:rPr>
          <w:rFonts w:ascii="Arial" w:hAnsi="Arial" w:cs="Arial"/>
          <w:b/>
          <w:bCs/>
          <w:color w:val="1F3864"/>
          <w:sz w:val="20"/>
          <w:szCs w:val="20"/>
          <w:lang w:val="fr-FR" w:eastAsia="en-AU"/>
        </w:rPr>
        <w:t xml:space="preserve"> 1 </w:t>
      </w:r>
    </w:p>
    <w:p w:rsidR="002A6DB9" w:rsidRPr="00FE56D3" w:rsidRDefault="002A6DB9" w:rsidP="0010521C">
      <w:pPr>
        <w:spacing w:after="160" w:line="259" w:lineRule="auto"/>
        <w:ind w:left="0" w:firstLine="0"/>
        <w:jc w:val="center"/>
        <w:rPr>
          <w:rFonts w:cs="Calibri"/>
          <w:b/>
          <w:bCs/>
          <w:color w:val="000000" w:themeColor="text1"/>
          <w:lang w:val="fr-FR"/>
        </w:rPr>
      </w:pPr>
    </w:p>
    <w:p w:rsidR="006D3695" w:rsidRPr="00FE56D3" w:rsidRDefault="00F6402E" w:rsidP="00F6402E">
      <w:pPr>
        <w:spacing w:after="160" w:line="259" w:lineRule="auto"/>
        <w:ind w:left="0" w:firstLine="0"/>
        <w:jc w:val="center"/>
        <w:rPr>
          <w:rFonts w:cs="Calibri"/>
          <w:b/>
          <w:bCs/>
          <w:color w:val="000000" w:themeColor="text1"/>
          <w:lang w:val="fr-FR"/>
        </w:rPr>
      </w:pPr>
      <w:r w:rsidRPr="00FE56D3">
        <w:rPr>
          <w:rFonts w:cs="Calibri"/>
          <w:b/>
          <w:bCs/>
          <w:color w:val="000000" w:themeColor="text1"/>
          <w:lang w:val="fr-FR"/>
        </w:rPr>
        <w:t>Groupe de travail sur le cinquième Plan stratégique – PS5</w:t>
      </w:r>
    </w:p>
    <w:p w:rsidR="00F6402E" w:rsidRPr="00FE56D3" w:rsidRDefault="00C75BE2" w:rsidP="00F6402E">
      <w:pPr>
        <w:ind w:left="0" w:firstLine="0"/>
        <w:jc w:val="center"/>
        <w:rPr>
          <w:rFonts w:cstheme="minorHAnsi"/>
          <w:u w:val="single"/>
          <w:lang w:val="fr-FR"/>
        </w:rPr>
      </w:pPr>
      <w:r>
        <w:rPr>
          <w:rFonts w:cs="Calibri"/>
          <w:b/>
          <w:bCs/>
          <w:color w:val="000000" w:themeColor="text1"/>
          <w:lang w:val="fr-FR"/>
        </w:rPr>
        <w:t>M</w:t>
      </w:r>
      <w:r w:rsidR="00F6402E" w:rsidRPr="00FE56D3">
        <w:rPr>
          <w:rFonts w:cs="Calibri"/>
          <w:b/>
          <w:bCs/>
          <w:color w:val="000000" w:themeColor="text1"/>
          <w:lang w:val="fr-FR"/>
        </w:rPr>
        <w:t>andat et plan de travail</w:t>
      </w:r>
      <w:r>
        <w:rPr>
          <w:rFonts w:cs="Calibri"/>
          <w:b/>
          <w:bCs/>
          <w:color w:val="000000" w:themeColor="text1"/>
          <w:lang w:val="fr-FR"/>
        </w:rPr>
        <w:t xml:space="preserve"> </w:t>
      </w:r>
      <w:r w:rsidR="003F2F01">
        <w:rPr>
          <w:rFonts w:cs="Calibri"/>
          <w:b/>
          <w:bCs/>
          <w:color w:val="000000" w:themeColor="text1"/>
          <w:lang w:val="fr-FR"/>
        </w:rPr>
        <w:t>d’ici à la</w:t>
      </w:r>
      <w:r>
        <w:rPr>
          <w:rFonts w:cs="Calibri"/>
          <w:b/>
          <w:bCs/>
          <w:color w:val="000000" w:themeColor="text1"/>
          <w:lang w:val="fr-FR"/>
        </w:rPr>
        <w:t xml:space="preserve"> COP14</w:t>
      </w:r>
    </w:p>
    <w:p w:rsidR="00F6402E" w:rsidRPr="00FE56D3" w:rsidRDefault="00F6402E" w:rsidP="00F6402E">
      <w:pPr>
        <w:ind w:left="0" w:firstLine="0"/>
        <w:jc w:val="center"/>
        <w:rPr>
          <w:rFonts w:cstheme="minorHAnsi"/>
          <w:u w:val="single"/>
          <w:lang w:val="fr-FR"/>
        </w:rPr>
      </w:pPr>
    </w:p>
    <w:p w:rsidR="00F6402E" w:rsidRPr="00FE56D3" w:rsidRDefault="00F6402E" w:rsidP="00813761">
      <w:pPr>
        <w:ind w:left="0" w:firstLine="0"/>
        <w:rPr>
          <w:rFonts w:cstheme="minorHAnsi"/>
          <w:u w:val="single"/>
          <w:lang w:val="fr-FR"/>
        </w:rPr>
      </w:pPr>
      <w:r w:rsidRPr="00FE56D3">
        <w:rPr>
          <w:rFonts w:cstheme="minorHAnsi"/>
          <w:u w:val="single"/>
          <w:lang w:val="fr-FR"/>
        </w:rPr>
        <w:t>1. Contexte</w:t>
      </w:r>
    </w:p>
    <w:p w:rsidR="00F6402E" w:rsidRPr="00FE56D3" w:rsidRDefault="00F6402E" w:rsidP="00813761">
      <w:pPr>
        <w:ind w:left="0" w:firstLine="0"/>
        <w:rPr>
          <w:rFonts w:cstheme="minorHAnsi"/>
          <w:lang w:val="fr-FR"/>
        </w:rPr>
      </w:pPr>
    </w:p>
    <w:p w:rsidR="00F6402E" w:rsidRPr="00FE56D3" w:rsidRDefault="00F6402E" w:rsidP="00813761">
      <w:pPr>
        <w:ind w:left="0" w:firstLine="0"/>
        <w:rPr>
          <w:rFonts w:cstheme="minorHAnsi"/>
          <w:lang w:val="fr-FR"/>
        </w:rPr>
      </w:pPr>
      <w:r w:rsidRPr="00FE56D3">
        <w:rPr>
          <w:rFonts w:cs="Calibri"/>
          <w:lang w:val="fr-FR"/>
        </w:rPr>
        <w:t>Le Groupe de travail sur le Plan stratégique chargé de l’examen du PS4 a recommandé au Comité permanent (SC59), en juin 2021, d’établir un nouveau groupe de travail avant la COP14 afin qu’il y ait suffisamment de temps pour élaborer un nouveau plan stratégique pour adoption à la COP15 en 2024</w:t>
      </w:r>
      <w:r w:rsidRPr="00FE56D3">
        <w:rPr>
          <w:rStyle w:val="FootnoteReference"/>
          <w:rFonts w:cs="Calibri"/>
          <w:lang w:val="fr-FR"/>
        </w:rPr>
        <w:footnoteReference w:id="1"/>
      </w:r>
      <w:r w:rsidRPr="00FE56D3">
        <w:rPr>
          <w:rFonts w:cs="Calibri"/>
          <w:lang w:val="fr-FR"/>
        </w:rPr>
        <w:t>. Le Comité permanent, dans sa Décision SC</w:t>
      </w:r>
      <w:r w:rsidRPr="00FE56D3">
        <w:rPr>
          <w:rFonts w:cstheme="minorHAnsi"/>
          <w:lang w:val="fr-FR"/>
        </w:rPr>
        <w:t>59-20, a convenu :</w:t>
      </w:r>
    </w:p>
    <w:p w:rsidR="00F6402E" w:rsidRPr="00FE56D3" w:rsidRDefault="00F6402E" w:rsidP="00813761">
      <w:pPr>
        <w:pStyle w:val="ListParagraph"/>
        <w:numPr>
          <w:ilvl w:val="0"/>
          <w:numId w:val="16"/>
        </w:numPr>
        <w:rPr>
          <w:rFonts w:cstheme="minorHAnsi"/>
          <w:lang w:val="fr-FR"/>
        </w:rPr>
      </w:pPr>
      <w:r w:rsidRPr="00FE56D3">
        <w:rPr>
          <w:rFonts w:cstheme="minorHAnsi"/>
          <w:lang w:val="fr-FR"/>
        </w:rPr>
        <w:t>de constituer un nouveau groupe de travail composé de Parties contractantes, du GEST et d’Organisations internationales partenaires afin de commencer les préparatifs du cinquième Plan stratégique de la Convention sur les zones humides ;</w:t>
      </w:r>
    </w:p>
    <w:p w:rsidR="00F6402E" w:rsidRPr="00FE56D3" w:rsidRDefault="00F6402E" w:rsidP="00813761">
      <w:pPr>
        <w:pStyle w:val="ListParagraph"/>
        <w:numPr>
          <w:ilvl w:val="0"/>
          <w:numId w:val="16"/>
        </w:numPr>
        <w:rPr>
          <w:rFonts w:cstheme="minorHAnsi"/>
          <w:lang w:val="fr-FR"/>
        </w:rPr>
      </w:pPr>
      <w:r w:rsidRPr="00FE56D3">
        <w:rPr>
          <w:rFonts w:cstheme="minorHAnsi"/>
          <w:lang w:val="fr-FR"/>
        </w:rPr>
        <w:t>que le mandat et le plan de travail seraient acceptés dans la période intersessions et conçus de manière à tenir compte des éléments clés et de tout élément et modalité prioritaire supplémentaire pour le cinquième Plan stratégique pouvant être convenus à la COP14 ;</w:t>
      </w:r>
    </w:p>
    <w:p w:rsidR="00F6402E" w:rsidRPr="00FE56D3" w:rsidRDefault="00F6402E" w:rsidP="00813761">
      <w:pPr>
        <w:pStyle w:val="ListParagraph"/>
        <w:numPr>
          <w:ilvl w:val="0"/>
          <w:numId w:val="16"/>
        </w:numPr>
        <w:rPr>
          <w:rFonts w:cstheme="minorHAnsi"/>
          <w:lang w:val="fr-FR"/>
        </w:rPr>
      </w:pPr>
      <w:r w:rsidRPr="00FE56D3">
        <w:rPr>
          <w:rFonts w:cstheme="minorHAnsi"/>
          <w:lang w:val="fr-FR"/>
        </w:rPr>
        <w:t xml:space="preserve">d’encourager les membres du Groupe de travail sur le quatrième Plan Stratégique à participer au nouveau groupe de travail en vue d’assurer la continuité. </w:t>
      </w:r>
    </w:p>
    <w:p w:rsidR="00F6402E" w:rsidRPr="00FE56D3" w:rsidRDefault="00F6402E" w:rsidP="00813761">
      <w:pPr>
        <w:rPr>
          <w:lang w:val="fr-FR"/>
        </w:rPr>
      </w:pPr>
    </w:p>
    <w:p w:rsidR="00F6402E" w:rsidRPr="00FE56D3" w:rsidRDefault="00F6402E" w:rsidP="00813761">
      <w:pPr>
        <w:ind w:left="0" w:firstLine="0"/>
        <w:rPr>
          <w:rFonts w:cs="Calibri"/>
          <w:lang w:val="fr-FR"/>
        </w:rPr>
      </w:pPr>
      <w:r w:rsidRPr="00FE56D3">
        <w:rPr>
          <w:rFonts w:cs="Calibri"/>
          <w:lang w:val="fr-FR"/>
        </w:rPr>
        <w:t xml:space="preserve">Au début de 2022, le Secrétariat a lancé un appel à nominations au nouveau groupe de travail. Les Parties suivantes ont été nommées membres du nouveau groupe de travail chargé de préparer le PS5 durant la période menant à la COP15 : Afrique du Sud, Algérie, Australie, Bahreïn, Brésil, Canada, Chine, Finlande, Kenya, Maurice, Mexique, Nicaragua, Oman, Slovénie, Tchad et Tunisie, en plus de l’Institut international de gestion de l’eau (IWMI) et du Wildfowl and Wetlands Trust,au nom des Organisations internationales partenaires de la Convention, et d’un expert du GEST. </w:t>
      </w:r>
    </w:p>
    <w:p w:rsidR="00F6402E" w:rsidRPr="00FE56D3" w:rsidRDefault="00F6402E" w:rsidP="00813761">
      <w:pPr>
        <w:ind w:left="0" w:firstLine="1"/>
        <w:rPr>
          <w:lang w:val="fr-FR"/>
        </w:rPr>
      </w:pPr>
    </w:p>
    <w:p w:rsidR="00F6402E" w:rsidRPr="00FE56D3" w:rsidRDefault="00F6402E" w:rsidP="00813761">
      <w:pPr>
        <w:ind w:left="0" w:firstLine="1"/>
        <w:rPr>
          <w:u w:val="single"/>
          <w:lang w:val="fr-FR"/>
        </w:rPr>
      </w:pPr>
      <w:r w:rsidRPr="00FE56D3">
        <w:rPr>
          <w:u w:val="single"/>
          <w:lang w:val="fr-FR"/>
        </w:rPr>
        <w:t>2. Objectifs du Groupe de travail sur le Plan stratégique pour le PS5</w:t>
      </w:r>
    </w:p>
    <w:p w:rsidR="00F6402E" w:rsidRPr="00FE56D3" w:rsidRDefault="00F6402E" w:rsidP="00813761">
      <w:pPr>
        <w:ind w:left="0" w:firstLine="1"/>
        <w:rPr>
          <w:lang w:val="fr-FR"/>
        </w:rPr>
      </w:pPr>
    </w:p>
    <w:p w:rsidR="00F6402E" w:rsidRPr="00FE56D3" w:rsidRDefault="00F6402E" w:rsidP="00813761">
      <w:pPr>
        <w:pStyle w:val="Default"/>
        <w:rPr>
          <w:sz w:val="22"/>
          <w:szCs w:val="22"/>
          <w:lang w:val="fr-FR"/>
        </w:rPr>
      </w:pPr>
      <w:r w:rsidRPr="00FE56D3">
        <w:rPr>
          <w:sz w:val="22"/>
          <w:szCs w:val="22"/>
          <w:lang w:val="fr-FR"/>
        </w:rPr>
        <w:t>Le Groupe de travail sur le Plan stratégique (PS5) établi par le Comité permanent (Décision SC59</w:t>
      </w:r>
      <w:r w:rsidRPr="00FE56D3">
        <w:rPr>
          <w:sz w:val="22"/>
          <w:szCs w:val="22"/>
          <w:lang w:val="fr-FR"/>
        </w:rPr>
        <w:noBreakHyphen/>
        <w:t>20) a pour objectifs :</w:t>
      </w:r>
    </w:p>
    <w:p w:rsidR="00F6402E" w:rsidRPr="00FE56D3" w:rsidRDefault="00F6402E" w:rsidP="00813761">
      <w:pPr>
        <w:pStyle w:val="Default"/>
        <w:ind w:left="700" w:hanging="350"/>
        <w:rPr>
          <w:sz w:val="22"/>
          <w:szCs w:val="22"/>
          <w:lang w:val="fr-FR"/>
        </w:rPr>
      </w:pPr>
      <w:r w:rsidRPr="00FE56D3">
        <w:rPr>
          <w:sz w:val="22"/>
          <w:szCs w:val="22"/>
          <w:lang w:val="fr-FR"/>
        </w:rPr>
        <w:t>a)</w:t>
      </w:r>
      <w:r w:rsidRPr="00FE56D3">
        <w:rPr>
          <w:sz w:val="22"/>
          <w:szCs w:val="22"/>
          <w:lang w:val="fr-FR"/>
        </w:rPr>
        <w:tab/>
        <w:t>d’élaborer, pour examen à la COP15, le cinquième Plan stratégique Ramsar2025-2030, en tenant compte :</w:t>
      </w:r>
    </w:p>
    <w:p w:rsidR="00F6402E" w:rsidRPr="00FE56D3" w:rsidRDefault="00F6402E" w:rsidP="00813761">
      <w:pPr>
        <w:pStyle w:val="Default"/>
        <w:ind w:left="1260" w:hanging="532"/>
        <w:rPr>
          <w:sz w:val="22"/>
          <w:szCs w:val="22"/>
          <w:lang w:val="fr-FR"/>
        </w:rPr>
      </w:pPr>
      <w:r w:rsidRPr="00FE56D3">
        <w:rPr>
          <w:sz w:val="22"/>
          <w:szCs w:val="22"/>
          <w:lang w:val="fr-FR"/>
        </w:rPr>
        <w:t xml:space="preserve"> i) </w:t>
      </w:r>
      <w:r w:rsidRPr="00FE56D3">
        <w:rPr>
          <w:sz w:val="22"/>
          <w:szCs w:val="22"/>
          <w:lang w:val="fr-FR"/>
        </w:rPr>
        <w:tab/>
        <w:t>des contributions des Parties contractantes, des organes de la Convention, des groupes de travail et des OIP ;</w:t>
      </w:r>
    </w:p>
    <w:p w:rsidR="00F6402E" w:rsidRPr="00FE56D3" w:rsidRDefault="00F6402E" w:rsidP="00813761">
      <w:pPr>
        <w:pStyle w:val="Default"/>
        <w:ind w:left="1260" w:hanging="532"/>
        <w:rPr>
          <w:sz w:val="22"/>
          <w:szCs w:val="22"/>
          <w:lang w:val="fr-FR"/>
        </w:rPr>
      </w:pPr>
      <w:r w:rsidRPr="00FE56D3">
        <w:rPr>
          <w:sz w:val="22"/>
          <w:szCs w:val="22"/>
          <w:lang w:val="fr-FR"/>
        </w:rPr>
        <w:t xml:space="preserve">ii) </w:t>
      </w:r>
      <w:r w:rsidRPr="00FE56D3">
        <w:rPr>
          <w:sz w:val="22"/>
          <w:szCs w:val="22"/>
          <w:lang w:val="fr-FR"/>
        </w:rPr>
        <w:tab/>
        <w:t>des résultats de l’examen du quatrième Plan stratégique ;</w:t>
      </w:r>
    </w:p>
    <w:p w:rsidR="00F6402E" w:rsidRPr="00FE56D3" w:rsidRDefault="00F6402E" w:rsidP="00813761">
      <w:pPr>
        <w:pStyle w:val="Default"/>
        <w:ind w:left="1260" w:hanging="532"/>
        <w:rPr>
          <w:sz w:val="22"/>
          <w:szCs w:val="22"/>
          <w:lang w:val="fr-FR"/>
        </w:rPr>
      </w:pPr>
      <w:r w:rsidRPr="00FE56D3">
        <w:rPr>
          <w:sz w:val="22"/>
          <w:szCs w:val="22"/>
          <w:lang w:val="fr-FR"/>
        </w:rPr>
        <w:t xml:space="preserve">iii) </w:t>
      </w:r>
      <w:r w:rsidRPr="00FE56D3">
        <w:rPr>
          <w:sz w:val="22"/>
          <w:szCs w:val="22"/>
          <w:lang w:val="fr-FR"/>
        </w:rPr>
        <w:tab/>
        <w:t>des éléments de base pour l’élaboration du plan [qui seront convenus à la COP14]</w:t>
      </w:r>
      <w:r w:rsidRPr="00FE56D3">
        <w:rPr>
          <w:sz w:val="22"/>
          <w:szCs w:val="22"/>
          <w:lang w:val="fr-FR"/>
        </w:rPr>
        <w:br/>
        <w:t>[les objectifs du quatrième Plan stratégique Ramsar seront maintenus dans le cinquième Plan stratégique Ramsar pour maintenir la cohérence et la continuité dans les rapports ; les cibles et actions seront rédigées de manière à fournir les contributions essentielles des zones humides qui permettront de relever les défis mondiaux de l’environnement sur la période de mise en œuvre du nouveau Plan ;</w:t>
      </w:r>
    </w:p>
    <w:p w:rsidR="00F6402E" w:rsidRPr="00FE56D3" w:rsidRDefault="00F6402E" w:rsidP="00813761">
      <w:pPr>
        <w:pStyle w:val="Default"/>
        <w:ind w:left="1260" w:hanging="532"/>
        <w:rPr>
          <w:sz w:val="22"/>
          <w:szCs w:val="22"/>
          <w:lang w:val="fr-FR"/>
        </w:rPr>
      </w:pPr>
      <w:r w:rsidRPr="00FE56D3">
        <w:rPr>
          <w:sz w:val="22"/>
          <w:szCs w:val="22"/>
          <w:lang w:val="fr-FR"/>
        </w:rPr>
        <w:tab/>
        <w:t>le Plan s’appuiera sur l’édition spéciale des Perspectives mondiales des zones humides, l’analyse des rapports nationaux à la COP14 réalisée par le Secrétariat, ainsi que les éléments clés externes à la Convention, les Objectifs de développement durable, le Cadre mondial de la biodiversité pour l’après</w:t>
      </w:r>
      <w:r w:rsidRPr="00FE56D3">
        <w:rPr>
          <w:sz w:val="22"/>
          <w:szCs w:val="22"/>
          <w:lang w:val="fr-FR"/>
        </w:rPr>
        <w:noBreakHyphen/>
        <w:t xml:space="preserve">2020, la Décennie des </w:t>
      </w:r>
      <w:r w:rsidRPr="00FE56D3">
        <w:rPr>
          <w:sz w:val="22"/>
          <w:szCs w:val="22"/>
          <w:lang w:val="fr-FR"/>
        </w:rPr>
        <w:lastRenderedPageBreak/>
        <w:t>Nations Unies pour la restauration des écosystèmes et tous les travaux pertinents de l’IPBES ou du GIEC ; il reconnaîtra le rôle crucial de la jeunesse, des femmes, des communautés autochtones et locales et du secteur privé pour trouver des solutions aux défis mondiaux de l’environnement au moyen de la conservation et de la gestion des zones humides ;il utilisera les annexes thématiques du quatrième Plan stratégique pour le cadre et l’élaboration du cinquième Plan stratégique] ;</w:t>
      </w:r>
    </w:p>
    <w:p w:rsidR="00F6402E" w:rsidRPr="00FE56D3" w:rsidRDefault="00F6402E" w:rsidP="00813761">
      <w:pPr>
        <w:pStyle w:val="Default"/>
        <w:ind w:left="709" w:hanging="345"/>
        <w:rPr>
          <w:sz w:val="22"/>
          <w:szCs w:val="22"/>
          <w:lang w:val="fr-FR"/>
        </w:rPr>
      </w:pPr>
      <w:r w:rsidRPr="00FE56D3">
        <w:rPr>
          <w:sz w:val="22"/>
          <w:szCs w:val="22"/>
          <w:lang w:val="fr-FR"/>
        </w:rPr>
        <w:t xml:space="preserve">b) </w:t>
      </w:r>
      <w:r w:rsidRPr="00FE56D3">
        <w:rPr>
          <w:sz w:val="22"/>
          <w:szCs w:val="22"/>
          <w:lang w:val="fr-FR"/>
        </w:rPr>
        <w:tab/>
        <w:t>d’élaborer un programme exhaustif de consultation et d’engagement pour le PS5, adapté aux besoins des Parties contractantes et de leurs régions et d’autres organes de la Convention, des OIP et des acteurs externes ;</w:t>
      </w:r>
    </w:p>
    <w:p w:rsidR="00F6402E" w:rsidRPr="00FE56D3" w:rsidRDefault="00F6402E" w:rsidP="00813761">
      <w:pPr>
        <w:pStyle w:val="Default"/>
        <w:ind w:left="714" w:hanging="350"/>
        <w:rPr>
          <w:sz w:val="22"/>
          <w:szCs w:val="22"/>
          <w:lang w:val="fr-FR"/>
        </w:rPr>
      </w:pPr>
      <w:r w:rsidRPr="00FE56D3">
        <w:rPr>
          <w:sz w:val="22"/>
          <w:szCs w:val="22"/>
          <w:lang w:val="fr-FR"/>
        </w:rPr>
        <w:t xml:space="preserve">c) </w:t>
      </w:r>
      <w:r w:rsidRPr="00FE56D3">
        <w:rPr>
          <w:sz w:val="22"/>
          <w:szCs w:val="22"/>
          <w:lang w:val="fr-FR"/>
        </w:rPr>
        <w:tab/>
        <w:t xml:space="preserve">de nommer des facilitateurs pour entreprendre ls démarches préparatoires avant la COP14 et faciliter un programme d’engagement avec les acteurs clés à la COP14 ; </w:t>
      </w:r>
    </w:p>
    <w:p w:rsidR="00F6402E" w:rsidRPr="00FE56D3" w:rsidRDefault="00F6402E" w:rsidP="00813761">
      <w:pPr>
        <w:pStyle w:val="Default"/>
        <w:ind w:left="714" w:hanging="350"/>
        <w:rPr>
          <w:sz w:val="22"/>
          <w:szCs w:val="22"/>
          <w:lang w:val="fr-FR"/>
        </w:rPr>
      </w:pPr>
      <w:r w:rsidRPr="00FE56D3">
        <w:rPr>
          <w:sz w:val="22"/>
          <w:szCs w:val="22"/>
          <w:lang w:val="fr-FR"/>
        </w:rPr>
        <w:t xml:space="preserve">d) </w:t>
      </w:r>
      <w:r w:rsidRPr="00FE56D3">
        <w:rPr>
          <w:sz w:val="22"/>
          <w:szCs w:val="22"/>
          <w:lang w:val="fr-FR"/>
        </w:rPr>
        <w:tab/>
        <w:t xml:space="preserve">de faire régulièrement rapport sur ses progrès au Comité permanent. </w:t>
      </w:r>
    </w:p>
    <w:p w:rsidR="00F6402E" w:rsidRPr="00FE56D3" w:rsidRDefault="00F6402E" w:rsidP="00813761">
      <w:pPr>
        <w:ind w:left="567" w:firstLine="1"/>
        <w:rPr>
          <w:lang w:val="fr-FR"/>
        </w:rPr>
      </w:pPr>
    </w:p>
    <w:p w:rsidR="00F6402E" w:rsidRPr="00FE56D3" w:rsidRDefault="00F6402E" w:rsidP="00813761">
      <w:pPr>
        <w:ind w:left="0" w:firstLine="1"/>
        <w:rPr>
          <w:lang w:val="fr-FR"/>
        </w:rPr>
      </w:pPr>
      <w:r w:rsidRPr="00FE56D3">
        <w:rPr>
          <w:lang w:val="fr-FR"/>
        </w:rPr>
        <w:t>Guidé par le Groupe de travail, le Secrétariat engagera un/des consultant/s compétent/s pour soutenir les travaux du Groupe de travail sur le Plan stratégique.</w:t>
      </w:r>
    </w:p>
    <w:p w:rsidR="00F6402E" w:rsidRPr="00FE56D3" w:rsidRDefault="00F6402E" w:rsidP="00813761">
      <w:pPr>
        <w:ind w:left="567" w:firstLine="1"/>
        <w:rPr>
          <w:lang w:val="fr-FR"/>
        </w:rPr>
      </w:pPr>
    </w:p>
    <w:p w:rsidR="00F6402E" w:rsidRDefault="00F6402E" w:rsidP="00813761">
      <w:pPr>
        <w:rPr>
          <w:rFonts w:cs="Calibri"/>
          <w:color w:val="000000" w:themeColor="text1"/>
          <w:u w:val="single"/>
          <w:lang w:val="fr-FR"/>
        </w:rPr>
      </w:pPr>
      <w:r w:rsidRPr="00FE56D3">
        <w:rPr>
          <w:rFonts w:cs="Calibri"/>
          <w:color w:val="000000" w:themeColor="text1"/>
          <w:u w:val="single"/>
          <w:lang w:val="fr-FR"/>
        </w:rPr>
        <w:t>3. Composition et représentation régionale</w:t>
      </w:r>
    </w:p>
    <w:p w:rsidR="003F2F01" w:rsidRPr="00FE56D3" w:rsidRDefault="003F2F01" w:rsidP="00813761">
      <w:pPr>
        <w:rPr>
          <w:rFonts w:cs="Calibri"/>
          <w:color w:val="000000" w:themeColor="text1"/>
          <w:u w:val="single"/>
          <w:lang w:val="fr-FR"/>
        </w:rPr>
      </w:pPr>
    </w:p>
    <w:p w:rsidR="00F6402E" w:rsidRPr="00FE56D3" w:rsidRDefault="00F6402E" w:rsidP="00813761">
      <w:pPr>
        <w:pStyle w:val="ListParagraph"/>
        <w:numPr>
          <w:ilvl w:val="0"/>
          <w:numId w:val="16"/>
        </w:numPr>
        <w:rPr>
          <w:rFonts w:cs="Calibri"/>
          <w:color w:val="000000" w:themeColor="text1"/>
          <w:lang w:val="fr-FR"/>
        </w:rPr>
      </w:pPr>
      <w:r w:rsidRPr="00FE56D3">
        <w:rPr>
          <w:rFonts w:cs="Calibri"/>
          <w:color w:val="000000" w:themeColor="text1"/>
          <w:lang w:val="fr-FR"/>
        </w:rPr>
        <w:t xml:space="preserve">Le Groupe de travail est constitué de membres issus des Parties contractantes, toutes les régions étant représentées, du GEST et des Organisations internationales partenaires ; </w:t>
      </w:r>
    </w:p>
    <w:p w:rsidR="00F6402E" w:rsidRPr="00FE56D3" w:rsidRDefault="00F6402E" w:rsidP="00813761">
      <w:pPr>
        <w:pStyle w:val="ListParagraph"/>
        <w:numPr>
          <w:ilvl w:val="0"/>
          <w:numId w:val="17"/>
        </w:numPr>
        <w:rPr>
          <w:rFonts w:cs="Calibri"/>
          <w:color w:val="000000" w:themeColor="text1"/>
          <w:lang w:val="fr-FR"/>
        </w:rPr>
      </w:pPr>
      <w:r w:rsidRPr="00FE56D3">
        <w:rPr>
          <w:rFonts w:cs="Calibri"/>
          <w:color w:val="000000" w:themeColor="text1"/>
          <w:lang w:val="fr-FR"/>
        </w:rPr>
        <w:t xml:space="preserve">Les Présidents du GEST et du Groupe de surveillance des activités de CESP sont membres du Groupe de travail et peuvent nommer d’autres membres du Groupe pour assurer la liaison et fournir leur expertise au Groupe ; </w:t>
      </w:r>
    </w:p>
    <w:p w:rsidR="00F6402E" w:rsidRPr="00FE56D3" w:rsidRDefault="00F6402E" w:rsidP="00813761">
      <w:pPr>
        <w:pStyle w:val="ListParagraph"/>
        <w:numPr>
          <w:ilvl w:val="0"/>
          <w:numId w:val="17"/>
        </w:numPr>
        <w:ind w:left="714" w:hanging="357"/>
        <w:rPr>
          <w:rFonts w:cs="Calibri"/>
          <w:color w:val="000000" w:themeColor="text1"/>
          <w:lang w:val="fr-FR"/>
        </w:rPr>
      </w:pPr>
      <w:r w:rsidRPr="00FE56D3">
        <w:rPr>
          <w:rFonts w:cs="Calibri"/>
          <w:color w:val="000000" w:themeColor="text1"/>
          <w:lang w:val="fr-FR"/>
        </w:rPr>
        <w:t>Le Groupe de travail peut inviter des parties externes à observer et assister aux réunions, selon les besoins.</w:t>
      </w:r>
    </w:p>
    <w:p w:rsidR="00F6402E" w:rsidRPr="00FE56D3" w:rsidRDefault="00F6402E" w:rsidP="00813761">
      <w:pPr>
        <w:ind w:left="567" w:firstLine="1"/>
        <w:rPr>
          <w:lang w:val="fr-FR"/>
        </w:rPr>
      </w:pPr>
    </w:p>
    <w:p w:rsidR="00F6402E" w:rsidRDefault="00F6402E" w:rsidP="00813761">
      <w:pPr>
        <w:rPr>
          <w:rFonts w:cs="Calibri"/>
          <w:color w:val="000000" w:themeColor="text1"/>
          <w:u w:val="single"/>
          <w:lang w:val="fr-FR"/>
        </w:rPr>
      </w:pPr>
      <w:r w:rsidRPr="00FE56D3">
        <w:rPr>
          <w:rFonts w:cs="Calibri"/>
          <w:color w:val="000000" w:themeColor="text1"/>
          <w:u w:val="single"/>
          <w:lang w:val="fr-FR"/>
        </w:rPr>
        <w:t>4. Structure, réunions et appui du Secrétariat</w:t>
      </w:r>
    </w:p>
    <w:p w:rsidR="003F2F01" w:rsidRPr="00FE56D3" w:rsidRDefault="003F2F01" w:rsidP="00813761">
      <w:pPr>
        <w:rPr>
          <w:rFonts w:asciiTheme="minorHAnsi" w:eastAsiaTheme="minorEastAsia" w:hAnsiTheme="minorHAnsi" w:cstheme="minorBidi"/>
          <w:color w:val="000000" w:themeColor="text1"/>
          <w:lang w:val="fr-FR"/>
        </w:rPr>
      </w:pPr>
    </w:p>
    <w:p w:rsidR="00F6402E" w:rsidRPr="00FE56D3" w:rsidRDefault="00F6402E" w:rsidP="00813761">
      <w:pPr>
        <w:pStyle w:val="ListParagraph"/>
        <w:numPr>
          <w:ilvl w:val="0"/>
          <w:numId w:val="12"/>
        </w:numPr>
        <w:rPr>
          <w:lang w:val="fr-FR"/>
        </w:rPr>
      </w:pPr>
      <w:r w:rsidRPr="00FE56D3">
        <w:rPr>
          <w:lang w:val="fr-FR"/>
        </w:rPr>
        <w:t>Le Groupe de travail nomme, en son sein, un président et un vice</w:t>
      </w:r>
      <w:r w:rsidRPr="00FE56D3">
        <w:rPr>
          <w:lang w:val="fr-FR"/>
        </w:rPr>
        <w:noBreakHyphen/>
        <w:t>président et attribue tout autre rôle pouvant sembler nécessaire ;</w:t>
      </w:r>
    </w:p>
    <w:p w:rsidR="00F6402E" w:rsidRPr="00FE56D3" w:rsidRDefault="00F6402E" w:rsidP="00813761">
      <w:pPr>
        <w:pStyle w:val="ListParagraph"/>
        <w:numPr>
          <w:ilvl w:val="0"/>
          <w:numId w:val="12"/>
        </w:numPr>
        <w:rPr>
          <w:rFonts w:asciiTheme="minorHAnsi" w:eastAsiaTheme="minorEastAsia" w:hAnsiTheme="minorHAnsi" w:cstheme="minorBidi"/>
          <w:color w:val="000000" w:themeColor="text1"/>
          <w:lang w:val="fr-FR"/>
        </w:rPr>
      </w:pPr>
      <w:r w:rsidRPr="00FE56D3">
        <w:rPr>
          <w:lang w:val="fr-FR"/>
        </w:rPr>
        <w:t>Le Groupe de travail organise des réunions en ayant recours à des moyens permettant la participation pleine et entière et active de tous les membres et/ou régions du Groupe. Ces réunions peuvent être présentielles (simultanément avec d’autres réunions Ramsar), hybrides ou virtuelles, dans ce dernier cas, en utilisant une plateforme convenue à laquelle tous les membres ont accès et qui assure une traduction simultanée ;</w:t>
      </w:r>
    </w:p>
    <w:p w:rsidR="00F6402E" w:rsidRPr="00FE56D3" w:rsidRDefault="00F6402E" w:rsidP="00813761">
      <w:pPr>
        <w:pStyle w:val="ListParagraph"/>
        <w:numPr>
          <w:ilvl w:val="0"/>
          <w:numId w:val="12"/>
        </w:numPr>
        <w:rPr>
          <w:rFonts w:asciiTheme="minorHAnsi" w:eastAsiaTheme="minorEastAsia" w:hAnsiTheme="minorHAnsi" w:cstheme="minorBidi"/>
          <w:color w:val="000000" w:themeColor="text1"/>
          <w:lang w:val="fr-FR"/>
        </w:rPr>
      </w:pPr>
      <w:r w:rsidRPr="00FE56D3">
        <w:rPr>
          <w:rFonts w:cs="Calibri"/>
          <w:color w:val="000000" w:themeColor="text1"/>
          <w:lang w:val="fr-FR"/>
        </w:rPr>
        <w:t xml:space="preserve">Le Groupe de travail prend ses décisions par consensus ; </w:t>
      </w:r>
    </w:p>
    <w:p w:rsidR="00F6402E" w:rsidRPr="00FE56D3" w:rsidRDefault="00F6402E" w:rsidP="00813761">
      <w:pPr>
        <w:pStyle w:val="ListParagraph"/>
        <w:numPr>
          <w:ilvl w:val="0"/>
          <w:numId w:val="12"/>
        </w:numPr>
        <w:rPr>
          <w:rFonts w:asciiTheme="minorHAnsi" w:eastAsiaTheme="minorEastAsia" w:hAnsiTheme="minorHAnsi" w:cstheme="minorBidi"/>
          <w:color w:val="000000" w:themeColor="text1"/>
          <w:lang w:val="fr-FR"/>
        </w:rPr>
      </w:pPr>
      <w:r w:rsidRPr="00FE56D3">
        <w:rPr>
          <w:lang w:val="fr-FR"/>
        </w:rPr>
        <w:t>Le président et le vice</w:t>
      </w:r>
      <w:r w:rsidRPr="00FE56D3">
        <w:rPr>
          <w:lang w:val="fr-FR"/>
        </w:rPr>
        <w:noBreakHyphen/>
        <w:t>président assurent la liaison et collaborent étroitement avec d’autres organes de la Convention et groupes de travail pertinents et/ou parties externes, si nécessaire à l’élaboration du PS5 ;</w:t>
      </w:r>
    </w:p>
    <w:p w:rsidR="00F6402E" w:rsidRPr="00FE56D3" w:rsidRDefault="00F6402E" w:rsidP="00813761">
      <w:pPr>
        <w:pStyle w:val="ListParagraph"/>
        <w:numPr>
          <w:ilvl w:val="0"/>
          <w:numId w:val="12"/>
        </w:numPr>
        <w:ind w:left="714" w:hanging="357"/>
        <w:rPr>
          <w:lang w:val="fr-FR"/>
        </w:rPr>
      </w:pPr>
      <w:r w:rsidRPr="00FE56D3">
        <w:rPr>
          <w:lang w:val="fr-FR"/>
        </w:rPr>
        <w:t>Le Secrétariat fournit des services de secrétariat pour le Groupe de travail (invitations aux réunions et procès</w:t>
      </w:r>
      <w:r w:rsidRPr="00FE56D3">
        <w:rPr>
          <w:lang w:val="fr-FR"/>
        </w:rPr>
        <w:noBreakHyphen/>
        <w:t xml:space="preserve">verbaux) et sert de point de contact au sein du Secrétariat. </w:t>
      </w:r>
    </w:p>
    <w:p w:rsidR="00F6402E" w:rsidRPr="00FE56D3" w:rsidRDefault="00F6402E" w:rsidP="00813761">
      <w:pPr>
        <w:ind w:left="360" w:firstLine="0"/>
        <w:rPr>
          <w:lang w:val="fr-FR"/>
        </w:rPr>
      </w:pPr>
    </w:p>
    <w:p w:rsidR="003F2F01" w:rsidRDefault="00F6402E" w:rsidP="00813761">
      <w:pPr>
        <w:ind w:left="0" w:firstLine="1"/>
        <w:rPr>
          <w:u w:val="single"/>
          <w:lang w:val="fr-FR"/>
        </w:rPr>
      </w:pPr>
      <w:r w:rsidRPr="00FE56D3">
        <w:rPr>
          <w:u w:val="single"/>
          <w:lang w:val="fr-FR"/>
        </w:rPr>
        <w:t>5. Plan de travail pour la COP14</w:t>
      </w:r>
    </w:p>
    <w:p w:rsidR="00F6402E" w:rsidRPr="00FE56D3" w:rsidRDefault="00F6402E" w:rsidP="00813761">
      <w:pPr>
        <w:ind w:left="0" w:firstLine="1"/>
        <w:rPr>
          <w:u w:val="single"/>
          <w:lang w:val="fr-FR"/>
        </w:rPr>
      </w:pPr>
      <w:r w:rsidRPr="00FE56D3">
        <w:rPr>
          <w:u w:val="single"/>
          <w:lang w:val="fr-FR"/>
        </w:rPr>
        <w:t xml:space="preserve"> </w:t>
      </w:r>
    </w:p>
    <w:p w:rsidR="00F6402E" w:rsidRDefault="00F6402E" w:rsidP="00813761">
      <w:pPr>
        <w:ind w:left="0" w:firstLine="0"/>
        <w:rPr>
          <w:lang w:val="fr-FR"/>
        </w:rPr>
      </w:pPr>
      <w:r w:rsidRPr="00FE56D3">
        <w:rPr>
          <w:lang w:val="fr-FR"/>
        </w:rPr>
        <w:t xml:space="preserve">La COP14 rassemblera les Parties contractantes, leurs Correspondants et les OIP, ce qui offre une occasion excellente d’entamer les consultations sur le PS5 Ramsar, de mettre les Parties au courant des dernières évolutions politiques internationales (CDB, CCNUCC, Stockholm +50, etc.) et d’attirer leur attention sur le nouveau Plan stratégique Ramsar (PS5) pour cette période d’importance critique jusqu’en 2030. </w:t>
      </w:r>
    </w:p>
    <w:p w:rsidR="003F2F01" w:rsidRPr="00FE56D3" w:rsidRDefault="003F2F01" w:rsidP="00813761">
      <w:pPr>
        <w:ind w:left="0" w:firstLine="0"/>
        <w:rPr>
          <w:lang w:val="fr-FR"/>
        </w:rPr>
      </w:pPr>
    </w:p>
    <w:p w:rsidR="00F6402E" w:rsidRPr="00FE56D3" w:rsidRDefault="00F6402E" w:rsidP="00813761">
      <w:pPr>
        <w:ind w:left="0" w:firstLine="1"/>
        <w:rPr>
          <w:lang w:val="fr-FR"/>
        </w:rPr>
      </w:pPr>
      <w:r w:rsidRPr="00FE56D3">
        <w:rPr>
          <w:lang w:val="fr-FR"/>
        </w:rPr>
        <w:t>Les tâches prioritaires du Groupe de travail sont :</w:t>
      </w:r>
    </w:p>
    <w:p w:rsidR="00F6402E" w:rsidRPr="00FE56D3" w:rsidRDefault="00F6402E" w:rsidP="00813761">
      <w:pPr>
        <w:pStyle w:val="ListParagraph"/>
        <w:numPr>
          <w:ilvl w:val="0"/>
          <w:numId w:val="14"/>
        </w:numPr>
        <w:rPr>
          <w:lang w:val="fr-FR"/>
        </w:rPr>
      </w:pPr>
      <w:r w:rsidRPr="00FE56D3">
        <w:rPr>
          <w:lang w:val="fr-FR"/>
        </w:rPr>
        <w:lastRenderedPageBreak/>
        <w:t xml:space="preserve">Définir la portée du projet pour pouvoir engager un/des consultant(s) ayant une connaissance de travail de la Convention et des compétences démontrées en communication et facilitation pour diriger les consultations sur le PS5 ; </w:t>
      </w:r>
    </w:p>
    <w:p w:rsidR="00F6402E" w:rsidRPr="00FE56D3" w:rsidRDefault="00F6402E" w:rsidP="00813761">
      <w:pPr>
        <w:pStyle w:val="ListParagraph"/>
        <w:numPr>
          <w:ilvl w:val="0"/>
          <w:numId w:val="14"/>
        </w:numPr>
        <w:rPr>
          <w:lang w:val="fr-FR"/>
        </w:rPr>
      </w:pPr>
      <w:r w:rsidRPr="00FE56D3">
        <w:rPr>
          <w:lang w:val="fr-FR"/>
        </w:rPr>
        <w:t>Concevoir un programme de consultation et d’engagement sur le PS5 à la COP14, en collaborant étroitement avec le Sous</w:t>
      </w:r>
      <w:r w:rsidRPr="00FE56D3">
        <w:rPr>
          <w:lang w:val="fr-FR"/>
        </w:rPr>
        <w:noBreakHyphen/>
        <w:t xml:space="preserve">groupe sur la COP14 et le pays hôte ; </w:t>
      </w:r>
    </w:p>
    <w:p w:rsidR="00F6402E" w:rsidRPr="00FE56D3" w:rsidRDefault="00F6402E" w:rsidP="00813761">
      <w:pPr>
        <w:pStyle w:val="ListParagraph"/>
        <w:numPr>
          <w:ilvl w:val="0"/>
          <w:numId w:val="14"/>
        </w:numPr>
        <w:rPr>
          <w:lang w:val="fr-FR"/>
        </w:rPr>
      </w:pPr>
      <w:r w:rsidRPr="00FE56D3">
        <w:rPr>
          <w:rFonts w:cs="Calibri"/>
          <w:color w:val="000000" w:themeColor="text1"/>
          <w:lang w:val="fr-FR"/>
        </w:rPr>
        <w:t xml:space="preserve">Élaborer un plan de travail et un programme de préparation du PS5 pour la COP15 qui prendront effet dès que les éléments de base de l’élaboration du plan seront convenus à la </w:t>
      </w:r>
      <w:r w:rsidRPr="00FE56D3">
        <w:rPr>
          <w:lang w:val="fr-FR"/>
        </w:rPr>
        <w:t xml:space="preserve">COP14. </w:t>
      </w:r>
    </w:p>
    <w:p w:rsidR="00F6402E" w:rsidRPr="00FE56D3" w:rsidRDefault="00F6402E" w:rsidP="00813761">
      <w:pPr>
        <w:rPr>
          <w:lang w:val="fr-FR"/>
        </w:rPr>
      </w:pPr>
    </w:p>
    <w:p w:rsidR="00F6402E" w:rsidRDefault="00F6402E" w:rsidP="00813761">
      <w:pPr>
        <w:ind w:left="0" w:firstLine="0"/>
        <w:rPr>
          <w:rFonts w:cs="Calibri"/>
          <w:u w:val="single"/>
          <w:lang w:val="fr-FR"/>
        </w:rPr>
      </w:pPr>
      <w:r w:rsidRPr="00FE56D3">
        <w:rPr>
          <w:rFonts w:cs="Calibri"/>
          <w:u w:val="single"/>
          <w:lang w:val="fr-FR"/>
        </w:rPr>
        <w:t>6. Budget du projet</w:t>
      </w:r>
    </w:p>
    <w:p w:rsidR="003F2F01" w:rsidRPr="00FE56D3" w:rsidRDefault="003F2F01" w:rsidP="00813761">
      <w:pPr>
        <w:ind w:left="0" w:firstLine="0"/>
        <w:rPr>
          <w:rFonts w:cs="Calibri"/>
          <w:u w:val="single"/>
          <w:lang w:val="fr-FR"/>
        </w:rPr>
      </w:pPr>
    </w:p>
    <w:p w:rsidR="00F6402E" w:rsidRPr="00FE56D3" w:rsidRDefault="00F6402E" w:rsidP="00813761">
      <w:pPr>
        <w:ind w:left="0" w:firstLine="0"/>
        <w:rPr>
          <w:rFonts w:cstheme="minorHAnsi"/>
          <w:lang w:val="fr-FR"/>
        </w:rPr>
      </w:pPr>
      <w:r w:rsidRPr="00FE56D3">
        <w:rPr>
          <w:rFonts w:cstheme="minorHAnsi"/>
          <w:lang w:val="fr-FR"/>
        </w:rPr>
        <w:t xml:space="preserve">Pour soutenir le processus de développement du PS5, les fonds non dépensés du budget du PS4 (18 000 CHF) ont été redirigés sur le PS5. Le Comité permanent, dans sa Décision SC59-32, attribue 90 000 CHF supplémentaires à l’élaboration du PS5, conformément à la Décision </w:t>
      </w:r>
      <w:r w:rsidRPr="00FE56D3">
        <w:rPr>
          <w:lang w:val="fr-FR"/>
        </w:rPr>
        <w:t>SC59</w:t>
      </w:r>
      <w:r w:rsidRPr="00FE56D3">
        <w:rPr>
          <w:lang w:val="fr-FR"/>
        </w:rPr>
        <w:noBreakHyphen/>
        <w:t xml:space="preserve">20 dans laquelle le Comité permanent établit un nouveau groupe de travail. </w:t>
      </w:r>
    </w:p>
    <w:p w:rsidR="00F6402E" w:rsidRPr="00FE56D3" w:rsidRDefault="00F6402E" w:rsidP="00813761">
      <w:pPr>
        <w:rPr>
          <w:lang w:val="fr-FR"/>
        </w:rPr>
      </w:pPr>
    </w:p>
    <w:p w:rsidR="003C767F" w:rsidRPr="00FE56D3" w:rsidRDefault="003C767F" w:rsidP="00813761">
      <w:pPr>
        <w:ind w:left="0" w:firstLine="0"/>
        <w:jc w:val="center"/>
        <w:rPr>
          <w:lang w:val="fr-FR"/>
        </w:rPr>
      </w:pPr>
    </w:p>
    <w:sectPr w:rsidR="003C767F" w:rsidRPr="00FE56D3" w:rsidSect="003736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A9" w:rsidRDefault="00DD3DA9" w:rsidP="00A544D0">
      <w:r>
        <w:separator/>
      </w:r>
    </w:p>
  </w:endnote>
  <w:endnote w:type="continuationSeparator" w:id="0">
    <w:p w:rsidR="00DD3DA9" w:rsidRDefault="00DD3DA9" w:rsidP="00A5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A9" w:rsidRDefault="003736C7" w:rsidP="003736C7">
    <w:pPr>
      <w:pStyle w:val="Footer"/>
      <w:ind w:left="0" w:firstLine="0"/>
    </w:pPr>
    <w:r w:rsidRPr="003736C7">
      <w:t>SC59/2022 Com.1</w:t>
    </w:r>
    <w:r>
      <w:tab/>
    </w:r>
    <w:r>
      <w:tab/>
    </w:r>
    <w:r w:rsidR="004A2B75">
      <w:fldChar w:fldCharType="begin"/>
    </w:r>
    <w:r>
      <w:instrText xml:space="preserve"> PAGE   \* MERGEFORMAT </w:instrText>
    </w:r>
    <w:r w:rsidR="004A2B75">
      <w:fldChar w:fldCharType="separate"/>
    </w:r>
    <w:r w:rsidR="00476925">
      <w:rPr>
        <w:noProof/>
      </w:rPr>
      <w:t>1</w:t>
    </w:r>
    <w:r w:rsidR="004A2B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A9" w:rsidRDefault="00DD3DA9" w:rsidP="00A544D0">
      <w:r>
        <w:separator/>
      </w:r>
    </w:p>
  </w:footnote>
  <w:footnote w:type="continuationSeparator" w:id="0">
    <w:p w:rsidR="00DD3DA9" w:rsidRDefault="00DD3DA9" w:rsidP="00A544D0">
      <w:r>
        <w:continuationSeparator/>
      </w:r>
    </w:p>
  </w:footnote>
  <w:footnote w:id="1">
    <w:p w:rsidR="00F6402E" w:rsidRPr="00760440" w:rsidRDefault="00F6402E" w:rsidP="00F6402E">
      <w:pPr>
        <w:ind w:left="0" w:firstLine="0"/>
        <w:rPr>
          <w:rFonts w:cs="Calibri"/>
          <w:lang w:val="fr-CH"/>
        </w:rPr>
      </w:pPr>
      <w:r w:rsidRPr="00760440">
        <w:rPr>
          <w:rStyle w:val="FootnoteReference"/>
          <w:lang w:val="fr-CH"/>
        </w:rPr>
        <w:footnoteRef/>
      </w:r>
      <w:r>
        <w:rPr>
          <w:lang w:val="fr-CH"/>
        </w:rPr>
        <w:t>L’a</w:t>
      </w:r>
      <w:r>
        <w:rPr>
          <w:rFonts w:cs="Calibri"/>
          <w:lang w:val="fr-CH"/>
        </w:rPr>
        <w:t>vis juridique obtenu par le Secrétariat a confirmé que le Comité permanent est habilité à créer des groupes de travail.</w:t>
      </w:r>
    </w:p>
    <w:p w:rsidR="00F6402E" w:rsidRPr="00F6402E" w:rsidRDefault="00F6402E" w:rsidP="00F6402E">
      <w:pPr>
        <w:pStyle w:val="FootnoteText"/>
        <w:rPr>
          <w:lang w:val="fr-C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A1"/>
    <w:multiLevelType w:val="hybridMultilevel"/>
    <w:tmpl w:val="AE44ED54"/>
    <w:lvl w:ilvl="0" w:tplc="3114209C">
      <w:start w:val="1"/>
      <w:numFmt w:val="bullet"/>
      <w:lvlText w:val="•"/>
      <w:lvlJc w:val="left"/>
      <w:pPr>
        <w:tabs>
          <w:tab w:val="num" w:pos="720"/>
        </w:tabs>
        <w:ind w:left="720" w:hanging="360"/>
      </w:pPr>
      <w:rPr>
        <w:rFonts w:ascii="Times New Roman" w:hAnsi="Times New Roman" w:hint="default"/>
      </w:rPr>
    </w:lvl>
    <w:lvl w:ilvl="1" w:tplc="6A1E8DAE" w:tentative="1">
      <w:start w:val="1"/>
      <w:numFmt w:val="bullet"/>
      <w:lvlText w:val="•"/>
      <w:lvlJc w:val="left"/>
      <w:pPr>
        <w:tabs>
          <w:tab w:val="num" w:pos="1440"/>
        </w:tabs>
        <w:ind w:left="1440" w:hanging="360"/>
      </w:pPr>
      <w:rPr>
        <w:rFonts w:ascii="Times New Roman" w:hAnsi="Times New Roman" w:hint="default"/>
      </w:rPr>
    </w:lvl>
    <w:lvl w:ilvl="2" w:tplc="D29A11C2" w:tentative="1">
      <w:start w:val="1"/>
      <w:numFmt w:val="bullet"/>
      <w:lvlText w:val="•"/>
      <w:lvlJc w:val="left"/>
      <w:pPr>
        <w:tabs>
          <w:tab w:val="num" w:pos="2160"/>
        </w:tabs>
        <w:ind w:left="2160" w:hanging="360"/>
      </w:pPr>
      <w:rPr>
        <w:rFonts w:ascii="Times New Roman" w:hAnsi="Times New Roman" w:hint="default"/>
      </w:rPr>
    </w:lvl>
    <w:lvl w:ilvl="3" w:tplc="7DB62D46" w:tentative="1">
      <w:start w:val="1"/>
      <w:numFmt w:val="bullet"/>
      <w:lvlText w:val="•"/>
      <w:lvlJc w:val="left"/>
      <w:pPr>
        <w:tabs>
          <w:tab w:val="num" w:pos="2880"/>
        </w:tabs>
        <w:ind w:left="2880" w:hanging="360"/>
      </w:pPr>
      <w:rPr>
        <w:rFonts w:ascii="Times New Roman" w:hAnsi="Times New Roman" w:hint="default"/>
      </w:rPr>
    </w:lvl>
    <w:lvl w:ilvl="4" w:tplc="27D44456" w:tentative="1">
      <w:start w:val="1"/>
      <w:numFmt w:val="bullet"/>
      <w:lvlText w:val="•"/>
      <w:lvlJc w:val="left"/>
      <w:pPr>
        <w:tabs>
          <w:tab w:val="num" w:pos="3600"/>
        </w:tabs>
        <w:ind w:left="3600" w:hanging="360"/>
      </w:pPr>
      <w:rPr>
        <w:rFonts w:ascii="Times New Roman" w:hAnsi="Times New Roman" w:hint="default"/>
      </w:rPr>
    </w:lvl>
    <w:lvl w:ilvl="5" w:tplc="27E6F952" w:tentative="1">
      <w:start w:val="1"/>
      <w:numFmt w:val="bullet"/>
      <w:lvlText w:val="•"/>
      <w:lvlJc w:val="left"/>
      <w:pPr>
        <w:tabs>
          <w:tab w:val="num" w:pos="4320"/>
        </w:tabs>
        <w:ind w:left="4320" w:hanging="360"/>
      </w:pPr>
      <w:rPr>
        <w:rFonts w:ascii="Times New Roman" w:hAnsi="Times New Roman" w:hint="default"/>
      </w:rPr>
    </w:lvl>
    <w:lvl w:ilvl="6" w:tplc="674A239C" w:tentative="1">
      <w:start w:val="1"/>
      <w:numFmt w:val="bullet"/>
      <w:lvlText w:val="•"/>
      <w:lvlJc w:val="left"/>
      <w:pPr>
        <w:tabs>
          <w:tab w:val="num" w:pos="5040"/>
        </w:tabs>
        <w:ind w:left="5040" w:hanging="360"/>
      </w:pPr>
      <w:rPr>
        <w:rFonts w:ascii="Times New Roman" w:hAnsi="Times New Roman" w:hint="default"/>
      </w:rPr>
    </w:lvl>
    <w:lvl w:ilvl="7" w:tplc="8C787866" w:tentative="1">
      <w:start w:val="1"/>
      <w:numFmt w:val="bullet"/>
      <w:lvlText w:val="•"/>
      <w:lvlJc w:val="left"/>
      <w:pPr>
        <w:tabs>
          <w:tab w:val="num" w:pos="5760"/>
        </w:tabs>
        <w:ind w:left="5760" w:hanging="360"/>
      </w:pPr>
      <w:rPr>
        <w:rFonts w:ascii="Times New Roman" w:hAnsi="Times New Roman" w:hint="default"/>
      </w:rPr>
    </w:lvl>
    <w:lvl w:ilvl="8" w:tplc="752224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6043F0"/>
    <w:multiLevelType w:val="hybridMultilevel"/>
    <w:tmpl w:val="3C96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566A4"/>
    <w:multiLevelType w:val="hybridMultilevel"/>
    <w:tmpl w:val="F1529E08"/>
    <w:lvl w:ilvl="0" w:tplc="0C090001">
      <w:start w:val="1"/>
      <w:numFmt w:val="bullet"/>
      <w:lvlText w:val=""/>
      <w:lvlJc w:val="left"/>
      <w:pPr>
        <w:ind w:left="466" w:hanging="360"/>
      </w:pPr>
      <w:rPr>
        <w:rFonts w:ascii="Symbol" w:hAnsi="Symbo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4" w15:restartNumberingAfterBreak="0">
    <w:nsid w:val="13F5423C"/>
    <w:multiLevelType w:val="hybridMultilevel"/>
    <w:tmpl w:val="EB142172"/>
    <w:lvl w:ilvl="0" w:tplc="EF38F78A">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0F047C"/>
    <w:multiLevelType w:val="hybridMultilevel"/>
    <w:tmpl w:val="8F14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E2299"/>
    <w:multiLevelType w:val="hybridMultilevel"/>
    <w:tmpl w:val="1B0E6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11630"/>
    <w:multiLevelType w:val="hybridMultilevel"/>
    <w:tmpl w:val="BBC05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B5135B"/>
    <w:multiLevelType w:val="hybridMultilevel"/>
    <w:tmpl w:val="5FA81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4B04B4"/>
    <w:multiLevelType w:val="hybridMultilevel"/>
    <w:tmpl w:val="2186812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942C16"/>
    <w:multiLevelType w:val="hybridMultilevel"/>
    <w:tmpl w:val="17B0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DE54AF"/>
    <w:multiLevelType w:val="hybridMultilevel"/>
    <w:tmpl w:val="37D8B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257F89"/>
    <w:multiLevelType w:val="hybridMultilevel"/>
    <w:tmpl w:val="EE582B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45C96784"/>
    <w:multiLevelType w:val="hybridMultilevel"/>
    <w:tmpl w:val="388A5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2C0822"/>
    <w:multiLevelType w:val="hybridMultilevel"/>
    <w:tmpl w:val="4B50D4C8"/>
    <w:lvl w:ilvl="0" w:tplc="0C090003">
      <w:start w:val="1"/>
      <w:numFmt w:val="bullet"/>
      <w:lvlText w:val="o"/>
      <w:lvlJc w:val="left"/>
      <w:pPr>
        <w:ind w:left="466" w:hanging="360"/>
      </w:pPr>
      <w:rPr>
        <w:rFonts w:ascii="Courier New" w:hAnsi="Courier New" w:cs="Courier New" w:hint="default"/>
      </w:rPr>
    </w:lvl>
    <w:lvl w:ilvl="1" w:tplc="FFFFFFFF" w:tentative="1">
      <w:start w:val="1"/>
      <w:numFmt w:val="bullet"/>
      <w:lvlText w:val="o"/>
      <w:lvlJc w:val="left"/>
      <w:pPr>
        <w:ind w:left="1186" w:hanging="360"/>
      </w:pPr>
      <w:rPr>
        <w:rFonts w:ascii="Courier New" w:hAnsi="Courier New" w:cs="Courier New" w:hint="default"/>
      </w:rPr>
    </w:lvl>
    <w:lvl w:ilvl="2" w:tplc="FFFFFFFF" w:tentative="1">
      <w:start w:val="1"/>
      <w:numFmt w:val="bullet"/>
      <w:lvlText w:val=""/>
      <w:lvlJc w:val="left"/>
      <w:pPr>
        <w:ind w:left="1906" w:hanging="360"/>
      </w:pPr>
      <w:rPr>
        <w:rFonts w:ascii="Wingdings" w:hAnsi="Wingdings" w:hint="default"/>
      </w:rPr>
    </w:lvl>
    <w:lvl w:ilvl="3" w:tplc="FFFFFFFF" w:tentative="1">
      <w:start w:val="1"/>
      <w:numFmt w:val="bullet"/>
      <w:lvlText w:val=""/>
      <w:lvlJc w:val="left"/>
      <w:pPr>
        <w:ind w:left="2626" w:hanging="360"/>
      </w:pPr>
      <w:rPr>
        <w:rFonts w:ascii="Symbol" w:hAnsi="Symbol" w:hint="default"/>
      </w:rPr>
    </w:lvl>
    <w:lvl w:ilvl="4" w:tplc="FFFFFFFF" w:tentative="1">
      <w:start w:val="1"/>
      <w:numFmt w:val="bullet"/>
      <w:lvlText w:val="o"/>
      <w:lvlJc w:val="left"/>
      <w:pPr>
        <w:ind w:left="3346" w:hanging="360"/>
      </w:pPr>
      <w:rPr>
        <w:rFonts w:ascii="Courier New" w:hAnsi="Courier New" w:cs="Courier New" w:hint="default"/>
      </w:rPr>
    </w:lvl>
    <w:lvl w:ilvl="5" w:tplc="FFFFFFFF" w:tentative="1">
      <w:start w:val="1"/>
      <w:numFmt w:val="bullet"/>
      <w:lvlText w:val=""/>
      <w:lvlJc w:val="left"/>
      <w:pPr>
        <w:ind w:left="4066" w:hanging="360"/>
      </w:pPr>
      <w:rPr>
        <w:rFonts w:ascii="Wingdings" w:hAnsi="Wingdings" w:hint="default"/>
      </w:rPr>
    </w:lvl>
    <w:lvl w:ilvl="6" w:tplc="FFFFFFFF" w:tentative="1">
      <w:start w:val="1"/>
      <w:numFmt w:val="bullet"/>
      <w:lvlText w:val=""/>
      <w:lvlJc w:val="left"/>
      <w:pPr>
        <w:ind w:left="4786" w:hanging="360"/>
      </w:pPr>
      <w:rPr>
        <w:rFonts w:ascii="Symbol" w:hAnsi="Symbol" w:hint="default"/>
      </w:rPr>
    </w:lvl>
    <w:lvl w:ilvl="7" w:tplc="FFFFFFFF" w:tentative="1">
      <w:start w:val="1"/>
      <w:numFmt w:val="bullet"/>
      <w:lvlText w:val="o"/>
      <w:lvlJc w:val="left"/>
      <w:pPr>
        <w:ind w:left="5506" w:hanging="360"/>
      </w:pPr>
      <w:rPr>
        <w:rFonts w:ascii="Courier New" w:hAnsi="Courier New" w:cs="Courier New" w:hint="default"/>
      </w:rPr>
    </w:lvl>
    <w:lvl w:ilvl="8" w:tplc="FFFFFFFF" w:tentative="1">
      <w:start w:val="1"/>
      <w:numFmt w:val="bullet"/>
      <w:lvlText w:val=""/>
      <w:lvlJc w:val="left"/>
      <w:pPr>
        <w:ind w:left="6226" w:hanging="360"/>
      </w:pPr>
      <w:rPr>
        <w:rFonts w:ascii="Wingdings" w:hAnsi="Wingdings" w:hint="default"/>
      </w:rPr>
    </w:lvl>
  </w:abstractNum>
  <w:abstractNum w:abstractNumId="16" w15:restartNumberingAfterBreak="0">
    <w:nsid w:val="51463003"/>
    <w:multiLevelType w:val="hybridMultilevel"/>
    <w:tmpl w:val="5EAE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5B4461"/>
    <w:multiLevelType w:val="hybridMultilevel"/>
    <w:tmpl w:val="DFD6D7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F22EE2"/>
    <w:multiLevelType w:val="hybridMultilevel"/>
    <w:tmpl w:val="A58A3A70"/>
    <w:lvl w:ilvl="0" w:tplc="3426FDB2">
      <w:start w:val="1"/>
      <w:numFmt w:val="bullet"/>
      <w:lvlText w:val=""/>
      <w:lvlJc w:val="left"/>
      <w:pPr>
        <w:ind w:left="720" w:hanging="360"/>
      </w:pPr>
      <w:rPr>
        <w:rFonts w:ascii="Symbol" w:hAnsi="Symbol" w:hint="default"/>
      </w:rPr>
    </w:lvl>
    <w:lvl w:ilvl="1" w:tplc="2310A014">
      <w:start w:val="1"/>
      <w:numFmt w:val="bullet"/>
      <w:lvlText w:val="o"/>
      <w:lvlJc w:val="left"/>
      <w:pPr>
        <w:ind w:left="1440" w:hanging="360"/>
      </w:pPr>
      <w:rPr>
        <w:rFonts w:ascii="Courier New" w:hAnsi="Courier New" w:hint="default"/>
      </w:rPr>
    </w:lvl>
    <w:lvl w:ilvl="2" w:tplc="97006F82">
      <w:start w:val="1"/>
      <w:numFmt w:val="bullet"/>
      <w:lvlText w:val=""/>
      <w:lvlJc w:val="left"/>
      <w:pPr>
        <w:ind w:left="2160" w:hanging="360"/>
      </w:pPr>
      <w:rPr>
        <w:rFonts w:ascii="Wingdings" w:hAnsi="Wingdings" w:hint="default"/>
      </w:rPr>
    </w:lvl>
    <w:lvl w:ilvl="3" w:tplc="3FF883EC">
      <w:start w:val="1"/>
      <w:numFmt w:val="bullet"/>
      <w:lvlText w:val=""/>
      <w:lvlJc w:val="left"/>
      <w:pPr>
        <w:ind w:left="2880" w:hanging="360"/>
      </w:pPr>
      <w:rPr>
        <w:rFonts w:ascii="Symbol" w:hAnsi="Symbol" w:hint="default"/>
      </w:rPr>
    </w:lvl>
    <w:lvl w:ilvl="4" w:tplc="7A1E63AE">
      <w:start w:val="1"/>
      <w:numFmt w:val="bullet"/>
      <w:lvlText w:val="o"/>
      <w:lvlJc w:val="left"/>
      <w:pPr>
        <w:ind w:left="3600" w:hanging="360"/>
      </w:pPr>
      <w:rPr>
        <w:rFonts w:ascii="Courier New" w:hAnsi="Courier New" w:hint="default"/>
      </w:rPr>
    </w:lvl>
    <w:lvl w:ilvl="5" w:tplc="8D36F226">
      <w:start w:val="1"/>
      <w:numFmt w:val="bullet"/>
      <w:lvlText w:val=""/>
      <w:lvlJc w:val="left"/>
      <w:pPr>
        <w:ind w:left="4320" w:hanging="360"/>
      </w:pPr>
      <w:rPr>
        <w:rFonts w:ascii="Wingdings" w:hAnsi="Wingdings" w:hint="default"/>
      </w:rPr>
    </w:lvl>
    <w:lvl w:ilvl="6" w:tplc="5FC465CA">
      <w:start w:val="1"/>
      <w:numFmt w:val="bullet"/>
      <w:lvlText w:val=""/>
      <w:lvlJc w:val="left"/>
      <w:pPr>
        <w:ind w:left="5040" w:hanging="360"/>
      </w:pPr>
      <w:rPr>
        <w:rFonts w:ascii="Symbol" w:hAnsi="Symbol" w:hint="default"/>
      </w:rPr>
    </w:lvl>
    <w:lvl w:ilvl="7" w:tplc="5C3002F6">
      <w:start w:val="1"/>
      <w:numFmt w:val="bullet"/>
      <w:lvlText w:val="o"/>
      <w:lvlJc w:val="left"/>
      <w:pPr>
        <w:ind w:left="5760" w:hanging="360"/>
      </w:pPr>
      <w:rPr>
        <w:rFonts w:ascii="Courier New" w:hAnsi="Courier New" w:hint="default"/>
      </w:rPr>
    </w:lvl>
    <w:lvl w:ilvl="8" w:tplc="06846880">
      <w:start w:val="1"/>
      <w:numFmt w:val="bullet"/>
      <w:lvlText w:val=""/>
      <w:lvlJc w:val="left"/>
      <w:pPr>
        <w:ind w:left="6480" w:hanging="360"/>
      </w:pPr>
      <w:rPr>
        <w:rFonts w:ascii="Wingdings" w:hAnsi="Wingdings" w:hint="default"/>
      </w:rPr>
    </w:lvl>
  </w:abstractNum>
  <w:abstractNum w:abstractNumId="21" w15:restartNumberingAfterBreak="0">
    <w:nsid w:val="5E42518B"/>
    <w:multiLevelType w:val="hybridMultilevel"/>
    <w:tmpl w:val="14A68B2C"/>
    <w:lvl w:ilvl="0" w:tplc="99225D86">
      <w:start w:val="1"/>
      <w:numFmt w:val="low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C112AB"/>
    <w:multiLevelType w:val="hybridMultilevel"/>
    <w:tmpl w:val="AC0E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C5738"/>
    <w:multiLevelType w:val="hybridMultilevel"/>
    <w:tmpl w:val="AE129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4847E1"/>
    <w:multiLevelType w:val="hybridMultilevel"/>
    <w:tmpl w:val="3676D4A6"/>
    <w:lvl w:ilvl="0" w:tplc="7A5EF8A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B66349"/>
    <w:multiLevelType w:val="hybridMultilevel"/>
    <w:tmpl w:val="6890D9A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5A463F7"/>
    <w:multiLevelType w:val="hybridMultilevel"/>
    <w:tmpl w:val="ABEC100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6C4B21"/>
    <w:multiLevelType w:val="hybridMultilevel"/>
    <w:tmpl w:val="EAE01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CE15D1"/>
    <w:multiLevelType w:val="hybridMultilevel"/>
    <w:tmpl w:val="27CE72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414FD7"/>
    <w:multiLevelType w:val="hybridMultilevel"/>
    <w:tmpl w:val="5880C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B929A8"/>
    <w:multiLevelType w:val="hybridMultilevel"/>
    <w:tmpl w:val="8F0059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5"/>
  </w:num>
  <w:num w:numId="3">
    <w:abstractNumId w:val="13"/>
  </w:num>
  <w:num w:numId="4">
    <w:abstractNumId w:val="6"/>
  </w:num>
  <w:num w:numId="5">
    <w:abstractNumId w:val="23"/>
  </w:num>
  <w:num w:numId="6">
    <w:abstractNumId w:val="12"/>
  </w:num>
  <w:num w:numId="7">
    <w:abstractNumId w:val="10"/>
  </w:num>
  <w:num w:numId="8">
    <w:abstractNumId w:val="3"/>
  </w:num>
  <w:num w:numId="9">
    <w:abstractNumId w:val="9"/>
  </w:num>
  <w:num w:numId="10">
    <w:abstractNumId w:val="15"/>
  </w:num>
  <w:num w:numId="11">
    <w:abstractNumId w:val="11"/>
  </w:num>
  <w:num w:numId="12">
    <w:abstractNumId w:val="14"/>
  </w:num>
  <w:num w:numId="13">
    <w:abstractNumId w:val="1"/>
  </w:num>
  <w:num w:numId="14">
    <w:abstractNumId w:val="26"/>
  </w:num>
  <w:num w:numId="15">
    <w:abstractNumId w:val="0"/>
  </w:num>
  <w:num w:numId="16">
    <w:abstractNumId w:val="22"/>
  </w:num>
  <w:num w:numId="17">
    <w:abstractNumId w:val="2"/>
  </w:num>
  <w:num w:numId="18">
    <w:abstractNumId w:val="19"/>
  </w:num>
  <w:num w:numId="19">
    <w:abstractNumId w:val="19"/>
  </w:num>
  <w:num w:numId="20">
    <w:abstractNumId w:val="29"/>
  </w:num>
  <w:num w:numId="21">
    <w:abstractNumId w:val="18"/>
  </w:num>
  <w:num w:numId="22">
    <w:abstractNumId w:val="25"/>
  </w:num>
  <w:num w:numId="23">
    <w:abstractNumId w:val="16"/>
  </w:num>
  <w:num w:numId="24">
    <w:abstractNumId w:val="24"/>
  </w:num>
  <w:num w:numId="25">
    <w:abstractNumId w:val="28"/>
  </w:num>
  <w:num w:numId="26">
    <w:abstractNumId w:val="8"/>
  </w:num>
  <w:num w:numId="27">
    <w:abstractNumId w:val="7"/>
  </w:num>
  <w:num w:numId="28">
    <w:abstractNumId w:val="27"/>
  </w:num>
  <w:num w:numId="29">
    <w:abstractNumId w:val="17"/>
  </w:num>
  <w:num w:numId="30">
    <w:abstractNumId w:val="30"/>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05639"/>
    <w:rsid w:val="000111EB"/>
    <w:rsid w:val="0001415E"/>
    <w:rsid w:val="00017199"/>
    <w:rsid w:val="00037634"/>
    <w:rsid w:val="00050786"/>
    <w:rsid w:val="00051961"/>
    <w:rsid w:val="00056F95"/>
    <w:rsid w:val="000579A3"/>
    <w:rsid w:val="00070ADD"/>
    <w:rsid w:val="00073C7A"/>
    <w:rsid w:val="000835E1"/>
    <w:rsid w:val="00086F4A"/>
    <w:rsid w:val="0009177D"/>
    <w:rsid w:val="00094FD7"/>
    <w:rsid w:val="0009693B"/>
    <w:rsid w:val="000A5120"/>
    <w:rsid w:val="000B0901"/>
    <w:rsid w:val="000B6BCD"/>
    <w:rsid w:val="000C29B9"/>
    <w:rsid w:val="000C6727"/>
    <w:rsid w:val="000D099C"/>
    <w:rsid w:val="000D5D99"/>
    <w:rsid w:val="000D6408"/>
    <w:rsid w:val="000E576A"/>
    <w:rsid w:val="000F2BF4"/>
    <w:rsid w:val="000F3697"/>
    <w:rsid w:val="0010521C"/>
    <w:rsid w:val="0012466E"/>
    <w:rsid w:val="00124FA4"/>
    <w:rsid w:val="001433A4"/>
    <w:rsid w:val="00146ADD"/>
    <w:rsid w:val="001538CD"/>
    <w:rsid w:val="001557BA"/>
    <w:rsid w:val="00157055"/>
    <w:rsid w:val="00167C38"/>
    <w:rsid w:val="001814B3"/>
    <w:rsid w:val="00182158"/>
    <w:rsid w:val="00183C38"/>
    <w:rsid w:val="00186CD4"/>
    <w:rsid w:val="001B4990"/>
    <w:rsid w:val="001B4E82"/>
    <w:rsid w:val="001B57E5"/>
    <w:rsid w:val="001B6533"/>
    <w:rsid w:val="001D4014"/>
    <w:rsid w:val="001E0468"/>
    <w:rsid w:val="001E7323"/>
    <w:rsid w:val="001F2C46"/>
    <w:rsid w:val="001F3ADD"/>
    <w:rsid w:val="001F4334"/>
    <w:rsid w:val="001F553C"/>
    <w:rsid w:val="00204D7D"/>
    <w:rsid w:val="00207CD6"/>
    <w:rsid w:val="002106C6"/>
    <w:rsid w:val="00220364"/>
    <w:rsid w:val="00222DAC"/>
    <w:rsid w:val="00225833"/>
    <w:rsid w:val="00226212"/>
    <w:rsid w:val="00231611"/>
    <w:rsid w:val="00232707"/>
    <w:rsid w:val="00234BE8"/>
    <w:rsid w:val="002500E5"/>
    <w:rsid w:val="002541AF"/>
    <w:rsid w:val="00255A61"/>
    <w:rsid w:val="00265C4D"/>
    <w:rsid w:val="002675D1"/>
    <w:rsid w:val="00267B1B"/>
    <w:rsid w:val="002751FC"/>
    <w:rsid w:val="00277298"/>
    <w:rsid w:val="00281138"/>
    <w:rsid w:val="00291B62"/>
    <w:rsid w:val="00294C66"/>
    <w:rsid w:val="00297419"/>
    <w:rsid w:val="0029756E"/>
    <w:rsid w:val="002A0884"/>
    <w:rsid w:val="002A10EB"/>
    <w:rsid w:val="002A6DB9"/>
    <w:rsid w:val="002B23CC"/>
    <w:rsid w:val="002B39E5"/>
    <w:rsid w:val="002B7451"/>
    <w:rsid w:val="002B7918"/>
    <w:rsid w:val="002E2384"/>
    <w:rsid w:val="002F010B"/>
    <w:rsid w:val="002F1B37"/>
    <w:rsid w:val="003072FF"/>
    <w:rsid w:val="00315B89"/>
    <w:rsid w:val="003306A4"/>
    <w:rsid w:val="00335A71"/>
    <w:rsid w:val="00340373"/>
    <w:rsid w:val="00341F2D"/>
    <w:rsid w:val="00346C5D"/>
    <w:rsid w:val="00346D1E"/>
    <w:rsid w:val="003541FA"/>
    <w:rsid w:val="00356A3D"/>
    <w:rsid w:val="00356A74"/>
    <w:rsid w:val="00357B96"/>
    <w:rsid w:val="00357C07"/>
    <w:rsid w:val="0036462C"/>
    <w:rsid w:val="003736C7"/>
    <w:rsid w:val="00380BD4"/>
    <w:rsid w:val="00395C45"/>
    <w:rsid w:val="003B069F"/>
    <w:rsid w:val="003B0C6B"/>
    <w:rsid w:val="003B238B"/>
    <w:rsid w:val="003C3120"/>
    <w:rsid w:val="003C4C49"/>
    <w:rsid w:val="003C767F"/>
    <w:rsid w:val="003E1734"/>
    <w:rsid w:val="003E23F9"/>
    <w:rsid w:val="003E6FE2"/>
    <w:rsid w:val="003F2F01"/>
    <w:rsid w:val="003F41D0"/>
    <w:rsid w:val="003F4334"/>
    <w:rsid w:val="004024EF"/>
    <w:rsid w:val="00410E09"/>
    <w:rsid w:val="00413D1A"/>
    <w:rsid w:val="00416953"/>
    <w:rsid w:val="00454279"/>
    <w:rsid w:val="00462140"/>
    <w:rsid w:val="004700BE"/>
    <w:rsid w:val="00476925"/>
    <w:rsid w:val="00476DE5"/>
    <w:rsid w:val="004822C5"/>
    <w:rsid w:val="00483907"/>
    <w:rsid w:val="004851E4"/>
    <w:rsid w:val="0049088B"/>
    <w:rsid w:val="004A2B75"/>
    <w:rsid w:val="004B7D88"/>
    <w:rsid w:val="004D3278"/>
    <w:rsid w:val="004D67D3"/>
    <w:rsid w:val="004F26ED"/>
    <w:rsid w:val="005007F7"/>
    <w:rsid w:val="005117C2"/>
    <w:rsid w:val="00514F7A"/>
    <w:rsid w:val="00530EA6"/>
    <w:rsid w:val="005312B1"/>
    <w:rsid w:val="0054050B"/>
    <w:rsid w:val="0054758C"/>
    <w:rsid w:val="00555B9C"/>
    <w:rsid w:val="00560E2B"/>
    <w:rsid w:val="00572DBA"/>
    <w:rsid w:val="00585B44"/>
    <w:rsid w:val="005861EE"/>
    <w:rsid w:val="005875C7"/>
    <w:rsid w:val="00597AAA"/>
    <w:rsid w:val="005C0568"/>
    <w:rsid w:val="005C0C8B"/>
    <w:rsid w:val="005C550B"/>
    <w:rsid w:val="005C57FE"/>
    <w:rsid w:val="005C70A2"/>
    <w:rsid w:val="005D0A8B"/>
    <w:rsid w:val="005D4924"/>
    <w:rsid w:val="005E073B"/>
    <w:rsid w:val="005E078F"/>
    <w:rsid w:val="005F0642"/>
    <w:rsid w:val="005F173C"/>
    <w:rsid w:val="0060768E"/>
    <w:rsid w:val="00610886"/>
    <w:rsid w:val="006136B1"/>
    <w:rsid w:val="00613B22"/>
    <w:rsid w:val="00617E5F"/>
    <w:rsid w:val="0062047E"/>
    <w:rsid w:val="00624416"/>
    <w:rsid w:val="00673361"/>
    <w:rsid w:val="0067542B"/>
    <w:rsid w:val="00675AA6"/>
    <w:rsid w:val="00680822"/>
    <w:rsid w:val="006822AC"/>
    <w:rsid w:val="0068454C"/>
    <w:rsid w:val="00684B12"/>
    <w:rsid w:val="0069004E"/>
    <w:rsid w:val="00694C12"/>
    <w:rsid w:val="006A18FE"/>
    <w:rsid w:val="006B7681"/>
    <w:rsid w:val="006C1727"/>
    <w:rsid w:val="006C4B1D"/>
    <w:rsid w:val="006D3695"/>
    <w:rsid w:val="006E3139"/>
    <w:rsid w:val="00713DFF"/>
    <w:rsid w:val="00720240"/>
    <w:rsid w:val="0072466E"/>
    <w:rsid w:val="00727016"/>
    <w:rsid w:val="007460AF"/>
    <w:rsid w:val="00750EBE"/>
    <w:rsid w:val="00752A9D"/>
    <w:rsid w:val="00763572"/>
    <w:rsid w:val="00764930"/>
    <w:rsid w:val="00767718"/>
    <w:rsid w:val="0077503D"/>
    <w:rsid w:val="00777EC3"/>
    <w:rsid w:val="0078217A"/>
    <w:rsid w:val="00787991"/>
    <w:rsid w:val="007902F8"/>
    <w:rsid w:val="007A0D43"/>
    <w:rsid w:val="007A43D7"/>
    <w:rsid w:val="007B4B72"/>
    <w:rsid w:val="007B4CEB"/>
    <w:rsid w:val="007B4CF8"/>
    <w:rsid w:val="007B5592"/>
    <w:rsid w:val="007C31C6"/>
    <w:rsid w:val="007C55DD"/>
    <w:rsid w:val="007C6261"/>
    <w:rsid w:val="007C6F30"/>
    <w:rsid w:val="007D77BA"/>
    <w:rsid w:val="007E3B4C"/>
    <w:rsid w:val="007F2543"/>
    <w:rsid w:val="007F534A"/>
    <w:rsid w:val="00807C95"/>
    <w:rsid w:val="00813761"/>
    <w:rsid w:val="0081445B"/>
    <w:rsid w:val="00820E2A"/>
    <w:rsid w:val="0082166E"/>
    <w:rsid w:val="00822166"/>
    <w:rsid w:val="00831A21"/>
    <w:rsid w:val="00832E2D"/>
    <w:rsid w:val="008432D0"/>
    <w:rsid w:val="008446FE"/>
    <w:rsid w:val="00862919"/>
    <w:rsid w:val="00874389"/>
    <w:rsid w:val="00877257"/>
    <w:rsid w:val="008947E1"/>
    <w:rsid w:val="00895640"/>
    <w:rsid w:val="008A746E"/>
    <w:rsid w:val="008B4904"/>
    <w:rsid w:val="008C0D06"/>
    <w:rsid w:val="008D00AA"/>
    <w:rsid w:val="008D2137"/>
    <w:rsid w:val="008D3F2E"/>
    <w:rsid w:val="008D58BD"/>
    <w:rsid w:val="008E1A5E"/>
    <w:rsid w:val="008F14E0"/>
    <w:rsid w:val="00906481"/>
    <w:rsid w:val="00906508"/>
    <w:rsid w:val="00911428"/>
    <w:rsid w:val="009239FD"/>
    <w:rsid w:val="009447A3"/>
    <w:rsid w:val="00950A6D"/>
    <w:rsid w:val="00950FC1"/>
    <w:rsid w:val="00953370"/>
    <w:rsid w:val="00954915"/>
    <w:rsid w:val="00963885"/>
    <w:rsid w:val="00965642"/>
    <w:rsid w:val="00975C6C"/>
    <w:rsid w:val="009836A9"/>
    <w:rsid w:val="009903B5"/>
    <w:rsid w:val="009A24B4"/>
    <w:rsid w:val="009A293C"/>
    <w:rsid w:val="009B2B46"/>
    <w:rsid w:val="009C3F83"/>
    <w:rsid w:val="009C6112"/>
    <w:rsid w:val="009D75A5"/>
    <w:rsid w:val="009E0E51"/>
    <w:rsid w:val="009E378D"/>
    <w:rsid w:val="009E77D0"/>
    <w:rsid w:val="00A038F0"/>
    <w:rsid w:val="00A11ABA"/>
    <w:rsid w:val="00A333EC"/>
    <w:rsid w:val="00A43FE6"/>
    <w:rsid w:val="00A50715"/>
    <w:rsid w:val="00A51A7C"/>
    <w:rsid w:val="00A544D0"/>
    <w:rsid w:val="00A56B2C"/>
    <w:rsid w:val="00A60989"/>
    <w:rsid w:val="00A627BB"/>
    <w:rsid w:val="00A71901"/>
    <w:rsid w:val="00A738DE"/>
    <w:rsid w:val="00A75387"/>
    <w:rsid w:val="00A82AC4"/>
    <w:rsid w:val="00A82BCE"/>
    <w:rsid w:val="00A91E88"/>
    <w:rsid w:val="00A969F4"/>
    <w:rsid w:val="00A97F55"/>
    <w:rsid w:val="00AA124C"/>
    <w:rsid w:val="00AA2DDF"/>
    <w:rsid w:val="00AA3CBA"/>
    <w:rsid w:val="00AB1B64"/>
    <w:rsid w:val="00AC202B"/>
    <w:rsid w:val="00AC2380"/>
    <w:rsid w:val="00AC46C4"/>
    <w:rsid w:val="00AC5545"/>
    <w:rsid w:val="00AE0898"/>
    <w:rsid w:val="00AE1657"/>
    <w:rsid w:val="00AF68D2"/>
    <w:rsid w:val="00B12592"/>
    <w:rsid w:val="00B125BC"/>
    <w:rsid w:val="00B1795C"/>
    <w:rsid w:val="00B23DBE"/>
    <w:rsid w:val="00B27328"/>
    <w:rsid w:val="00B40B0C"/>
    <w:rsid w:val="00B5407C"/>
    <w:rsid w:val="00B56B13"/>
    <w:rsid w:val="00B73357"/>
    <w:rsid w:val="00B80B5B"/>
    <w:rsid w:val="00B81FA5"/>
    <w:rsid w:val="00B860AC"/>
    <w:rsid w:val="00B908A8"/>
    <w:rsid w:val="00B91033"/>
    <w:rsid w:val="00B96DD6"/>
    <w:rsid w:val="00B97D38"/>
    <w:rsid w:val="00BA3203"/>
    <w:rsid w:val="00BA68E2"/>
    <w:rsid w:val="00BB0E2A"/>
    <w:rsid w:val="00BB2BEA"/>
    <w:rsid w:val="00BB6AD7"/>
    <w:rsid w:val="00BB6FE3"/>
    <w:rsid w:val="00BC54B9"/>
    <w:rsid w:val="00BC5B13"/>
    <w:rsid w:val="00BD247D"/>
    <w:rsid w:val="00BD2E8B"/>
    <w:rsid w:val="00BE2088"/>
    <w:rsid w:val="00BE29DC"/>
    <w:rsid w:val="00BE6018"/>
    <w:rsid w:val="00BF7A1C"/>
    <w:rsid w:val="00BF7A45"/>
    <w:rsid w:val="00C05639"/>
    <w:rsid w:val="00C10139"/>
    <w:rsid w:val="00C21FB2"/>
    <w:rsid w:val="00C23E8A"/>
    <w:rsid w:val="00C34805"/>
    <w:rsid w:val="00C409A3"/>
    <w:rsid w:val="00C53959"/>
    <w:rsid w:val="00C55BE3"/>
    <w:rsid w:val="00C569CD"/>
    <w:rsid w:val="00C7493A"/>
    <w:rsid w:val="00C75BE2"/>
    <w:rsid w:val="00C8062F"/>
    <w:rsid w:val="00C83728"/>
    <w:rsid w:val="00C85B37"/>
    <w:rsid w:val="00C869B1"/>
    <w:rsid w:val="00C8745B"/>
    <w:rsid w:val="00CA072C"/>
    <w:rsid w:val="00CA5703"/>
    <w:rsid w:val="00CC57D3"/>
    <w:rsid w:val="00CC6E1C"/>
    <w:rsid w:val="00CD0554"/>
    <w:rsid w:val="00CE4C3C"/>
    <w:rsid w:val="00CE7900"/>
    <w:rsid w:val="00CF7A45"/>
    <w:rsid w:val="00D15524"/>
    <w:rsid w:val="00D27F8E"/>
    <w:rsid w:val="00D33A19"/>
    <w:rsid w:val="00D37143"/>
    <w:rsid w:val="00D3723B"/>
    <w:rsid w:val="00D4038D"/>
    <w:rsid w:val="00D44E62"/>
    <w:rsid w:val="00D46D70"/>
    <w:rsid w:val="00D60E44"/>
    <w:rsid w:val="00D60FD7"/>
    <w:rsid w:val="00D621A7"/>
    <w:rsid w:val="00D6264D"/>
    <w:rsid w:val="00D63B62"/>
    <w:rsid w:val="00D66743"/>
    <w:rsid w:val="00D67CD8"/>
    <w:rsid w:val="00D7326B"/>
    <w:rsid w:val="00D817AE"/>
    <w:rsid w:val="00D82931"/>
    <w:rsid w:val="00D86048"/>
    <w:rsid w:val="00D95353"/>
    <w:rsid w:val="00DA0191"/>
    <w:rsid w:val="00DB2D50"/>
    <w:rsid w:val="00DB43FC"/>
    <w:rsid w:val="00DB7BA4"/>
    <w:rsid w:val="00DD0CF7"/>
    <w:rsid w:val="00DD3DA9"/>
    <w:rsid w:val="00DE0B3B"/>
    <w:rsid w:val="00DE2807"/>
    <w:rsid w:val="00DE3DCC"/>
    <w:rsid w:val="00E0405B"/>
    <w:rsid w:val="00E05F51"/>
    <w:rsid w:val="00E10902"/>
    <w:rsid w:val="00E15A94"/>
    <w:rsid w:val="00E23CC4"/>
    <w:rsid w:val="00E26FDE"/>
    <w:rsid w:val="00E56948"/>
    <w:rsid w:val="00E56EB7"/>
    <w:rsid w:val="00E57E90"/>
    <w:rsid w:val="00E634DD"/>
    <w:rsid w:val="00E63EEF"/>
    <w:rsid w:val="00E67BA0"/>
    <w:rsid w:val="00E8578A"/>
    <w:rsid w:val="00E86DD1"/>
    <w:rsid w:val="00E87058"/>
    <w:rsid w:val="00E91531"/>
    <w:rsid w:val="00E91EA5"/>
    <w:rsid w:val="00E9534C"/>
    <w:rsid w:val="00EA5FD0"/>
    <w:rsid w:val="00EB497B"/>
    <w:rsid w:val="00EE2FAF"/>
    <w:rsid w:val="00EE4A10"/>
    <w:rsid w:val="00EE617E"/>
    <w:rsid w:val="00F06499"/>
    <w:rsid w:val="00F2041E"/>
    <w:rsid w:val="00F2565C"/>
    <w:rsid w:val="00F27D8B"/>
    <w:rsid w:val="00F32677"/>
    <w:rsid w:val="00F36B95"/>
    <w:rsid w:val="00F37052"/>
    <w:rsid w:val="00F37314"/>
    <w:rsid w:val="00F415A6"/>
    <w:rsid w:val="00F463EB"/>
    <w:rsid w:val="00F50374"/>
    <w:rsid w:val="00F522D0"/>
    <w:rsid w:val="00F6402E"/>
    <w:rsid w:val="00F66379"/>
    <w:rsid w:val="00F72D56"/>
    <w:rsid w:val="00F756C0"/>
    <w:rsid w:val="00F81683"/>
    <w:rsid w:val="00F84A61"/>
    <w:rsid w:val="00F8609A"/>
    <w:rsid w:val="00F91DD6"/>
    <w:rsid w:val="00FA7C56"/>
    <w:rsid w:val="00FB1A6E"/>
    <w:rsid w:val="00FC1494"/>
    <w:rsid w:val="00FC1E07"/>
    <w:rsid w:val="00FC4398"/>
    <w:rsid w:val="00FC7735"/>
    <w:rsid w:val="00FD1850"/>
    <w:rsid w:val="00FD2015"/>
    <w:rsid w:val="00FE289D"/>
    <w:rsid w:val="00FE56D3"/>
    <w:rsid w:val="00FE7687"/>
    <w:rsid w:val="00FF304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4FC879A-6424-5242-A13E-52DFC12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639"/>
    <w:pPr>
      <w:spacing w:after="0" w:line="240" w:lineRule="auto"/>
      <w:ind w:left="425" w:hanging="425"/>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List Paragraph (numbered (a))"/>
    <w:basedOn w:val="Normal"/>
    <w:link w:val="ListParagraphChar"/>
    <w:uiPriority w:val="34"/>
    <w:qFormat/>
    <w:rsid w:val="00C05639"/>
    <w:pPr>
      <w:ind w:left="720"/>
      <w:contextualSpacing/>
    </w:pPr>
  </w:style>
  <w:style w:type="table" w:styleId="TableGrid">
    <w:name w:val="Table Grid"/>
    <w:basedOn w:val="TableNormal"/>
    <w:uiPriority w:val="39"/>
    <w:rsid w:val="00C0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639"/>
    <w:pPr>
      <w:tabs>
        <w:tab w:val="center" w:pos="4513"/>
        <w:tab w:val="right" w:pos="9026"/>
      </w:tabs>
      <w:ind w:left="0" w:firstLine="0"/>
    </w:pPr>
    <w:rPr>
      <w:rFonts w:asciiTheme="minorHAnsi" w:eastAsiaTheme="minorHAnsi" w:hAnsiTheme="minorHAnsi" w:cstheme="minorBidi"/>
      <w:lang w:val="en-AU"/>
    </w:rPr>
  </w:style>
  <w:style w:type="character" w:customStyle="1" w:styleId="HeaderChar">
    <w:name w:val="Header Char"/>
    <w:basedOn w:val="DefaultParagraphFont"/>
    <w:link w:val="Header"/>
    <w:uiPriority w:val="99"/>
    <w:rsid w:val="00C05639"/>
  </w:style>
  <w:style w:type="character" w:styleId="Hyperlink">
    <w:name w:val="Hyperlink"/>
    <w:basedOn w:val="DefaultParagraphFont"/>
    <w:uiPriority w:val="99"/>
    <w:unhideWhenUsed/>
    <w:rsid w:val="00C05639"/>
    <w:rPr>
      <w:color w:val="0563C1" w:themeColor="hyperlink"/>
      <w:u w:val="single"/>
    </w:rPr>
  </w:style>
  <w:style w:type="paragraph" w:styleId="FootnoteText">
    <w:name w:val="footnote text"/>
    <w:basedOn w:val="Normal"/>
    <w:link w:val="FootnoteTextChar"/>
    <w:uiPriority w:val="99"/>
    <w:semiHidden/>
    <w:unhideWhenUsed/>
    <w:rsid w:val="00A544D0"/>
    <w:rPr>
      <w:sz w:val="20"/>
      <w:szCs w:val="20"/>
    </w:rPr>
  </w:style>
  <w:style w:type="character" w:customStyle="1" w:styleId="FootnoteTextChar">
    <w:name w:val="Footnote Text Char"/>
    <w:basedOn w:val="DefaultParagraphFont"/>
    <w:link w:val="FootnoteText"/>
    <w:uiPriority w:val="99"/>
    <w:semiHidden/>
    <w:rsid w:val="00A544D0"/>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544D0"/>
    <w:rPr>
      <w:vertAlign w:val="superscript"/>
    </w:rPr>
  </w:style>
  <w:style w:type="paragraph" w:customStyle="1" w:styleId="Default">
    <w:name w:val="Default"/>
    <w:rsid w:val="00E63EEF"/>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9836A9"/>
    <w:pPr>
      <w:tabs>
        <w:tab w:val="center" w:pos="4513"/>
        <w:tab w:val="right" w:pos="9026"/>
      </w:tabs>
    </w:pPr>
  </w:style>
  <w:style w:type="character" w:customStyle="1" w:styleId="FooterChar">
    <w:name w:val="Footer Char"/>
    <w:basedOn w:val="DefaultParagraphFont"/>
    <w:link w:val="Footer"/>
    <w:uiPriority w:val="99"/>
    <w:rsid w:val="009836A9"/>
    <w:rPr>
      <w:rFonts w:ascii="Calibri" w:eastAsia="Calibri" w:hAnsi="Calibri" w:cs="Times New Roman"/>
      <w:lang w:val="en-GB"/>
    </w:rPr>
  </w:style>
  <w:style w:type="character" w:customStyle="1" w:styleId="ListParagraphChar">
    <w:name w:val="List Paragraph Char"/>
    <w:aliases w:val="Rec para Char,List Paragraph (numbered (a)) Char"/>
    <w:link w:val="ListParagraph"/>
    <w:uiPriority w:val="34"/>
    <w:locked/>
    <w:rsid w:val="007460AF"/>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0327">
      <w:bodyDiv w:val="1"/>
      <w:marLeft w:val="0"/>
      <w:marRight w:val="0"/>
      <w:marTop w:val="0"/>
      <w:marBottom w:val="0"/>
      <w:divBdr>
        <w:top w:val="none" w:sz="0" w:space="0" w:color="auto"/>
        <w:left w:val="none" w:sz="0" w:space="0" w:color="auto"/>
        <w:bottom w:val="none" w:sz="0" w:space="0" w:color="auto"/>
        <w:right w:val="none" w:sz="0" w:space="0" w:color="auto"/>
      </w:divBdr>
    </w:div>
    <w:div w:id="221448667">
      <w:bodyDiv w:val="1"/>
      <w:marLeft w:val="0"/>
      <w:marRight w:val="0"/>
      <w:marTop w:val="0"/>
      <w:marBottom w:val="0"/>
      <w:divBdr>
        <w:top w:val="none" w:sz="0" w:space="0" w:color="auto"/>
        <w:left w:val="none" w:sz="0" w:space="0" w:color="auto"/>
        <w:bottom w:val="none" w:sz="0" w:space="0" w:color="auto"/>
        <w:right w:val="none" w:sz="0" w:space="0" w:color="auto"/>
      </w:divBdr>
    </w:div>
    <w:div w:id="354188965">
      <w:bodyDiv w:val="1"/>
      <w:marLeft w:val="0"/>
      <w:marRight w:val="0"/>
      <w:marTop w:val="0"/>
      <w:marBottom w:val="0"/>
      <w:divBdr>
        <w:top w:val="none" w:sz="0" w:space="0" w:color="auto"/>
        <w:left w:val="none" w:sz="0" w:space="0" w:color="auto"/>
        <w:bottom w:val="none" w:sz="0" w:space="0" w:color="auto"/>
        <w:right w:val="none" w:sz="0" w:space="0" w:color="auto"/>
      </w:divBdr>
    </w:div>
    <w:div w:id="814446709">
      <w:bodyDiv w:val="1"/>
      <w:marLeft w:val="0"/>
      <w:marRight w:val="0"/>
      <w:marTop w:val="0"/>
      <w:marBottom w:val="0"/>
      <w:divBdr>
        <w:top w:val="none" w:sz="0" w:space="0" w:color="auto"/>
        <w:left w:val="none" w:sz="0" w:space="0" w:color="auto"/>
        <w:bottom w:val="none" w:sz="0" w:space="0" w:color="auto"/>
        <w:right w:val="none" w:sz="0" w:space="0" w:color="auto"/>
      </w:divBdr>
    </w:div>
    <w:div w:id="1368338909">
      <w:bodyDiv w:val="1"/>
      <w:marLeft w:val="0"/>
      <w:marRight w:val="0"/>
      <w:marTop w:val="0"/>
      <w:marBottom w:val="0"/>
      <w:divBdr>
        <w:top w:val="none" w:sz="0" w:space="0" w:color="auto"/>
        <w:left w:val="none" w:sz="0" w:space="0" w:color="auto"/>
        <w:bottom w:val="none" w:sz="0" w:space="0" w:color="auto"/>
        <w:right w:val="none" w:sz="0" w:space="0" w:color="auto"/>
      </w:divBdr>
      <w:divsChild>
        <w:div w:id="658581175">
          <w:marLeft w:val="547"/>
          <w:marRight w:val="0"/>
          <w:marTop w:val="0"/>
          <w:marBottom w:val="0"/>
          <w:divBdr>
            <w:top w:val="none" w:sz="0" w:space="0" w:color="auto"/>
            <w:left w:val="none" w:sz="0" w:space="0" w:color="auto"/>
            <w:bottom w:val="none" w:sz="0" w:space="0" w:color="auto"/>
            <w:right w:val="none" w:sz="0" w:space="0" w:color="auto"/>
          </w:divBdr>
        </w:div>
      </w:divsChild>
    </w:div>
    <w:div w:id="1489401417">
      <w:bodyDiv w:val="1"/>
      <w:marLeft w:val="0"/>
      <w:marRight w:val="0"/>
      <w:marTop w:val="0"/>
      <w:marBottom w:val="0"/>
      <w:divBdr>
        <w:top w:val="none" w:sz="0" w:space="0" w:color="auto"/>
        <w:left w:val="none" w:sz="0" w:space="0" w:color="auto"/>
        <w:bottom w:val="none" w:sz="0" w:space="0" w:color="auto"/>
        <w:right w:val="none" w:sz="0" w:space="0" w:color="auto"/>
      </w:divBdr>
    </w:div>
    <w:div w:id="1706249872">
      <w:bodyDiv w:val="1"/>
      <w:marLeft w:val="0"/>
      <w:marRight w:val="0"/>
      <w:marTop w:val="0"/>
      <w:marBottom w:val="0"/>
      <w:divBdr>
        <w:top w:val="none" w:sz="0" w:space="0" w:color="auto"/>
        <w:left w:val="none" w:sz="0" w:space="0" w:color="auto"/>
        <w:bottom w:val="none" w:sz="0" w:space="0" w:color="auto"/>
        <w:right w:val="none" w:sz="0" w:space="0" w:color="auto"/>
      </w:divBdr>
    </w:div>
    <w:div w:id="206190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7397-5321-4566-8148-826125BB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2011</Words>
  <Characters>11468</Characters>
  <Application>Microsoft Office Word</Application>
  <DocSecurity>4</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Eyles</dc:creator>
  <cp:lastModifiedBy>Ed Jennings</cp:lastModifiedBy>
  <cp:revision>2</cp:revision>
  <cp:lastPrinted>2022-05-04T00:11:00Z</cp:lastPrinted>
  <dcterms:created xsi:type="dcterms:W3CDTF">2022-05-24T17:00:00Z</dcterms:created>
  <dcterms:modified xsi:type="dcterms:W3CDTF">2022-05-24T17:00:00Z</dcterms:modified>
</cp:coreProperties>
</file>