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EA80" w14:textId="0F7C181F" w:rsidR="00065B8F" w:rsidRPr="00582B0B" w:rsidRDefault="004832B3" w:rsidP="00065B8F">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noProof/>
          <w:sz w:val="22"/>
          <w:szCs w:val="22"/>
          <w:lang w:val="es-ES"/>
        </w:rPr>
      </w:pPr>
      <w:r w:rsidRPr="00582B0B">
        <w:rPr>
          <w:rFonts w:asciiTheme="minorHAnsi" w:hAnsiTheme="minorHAnsi" w:cstheme="minorHAnsi"/>
          <w:bCs/>
          <w:noProof/>
          <w:sz w:val="22"/>
          <w:szCs w:val="22"/>
          <w:lang w:val="es-ES"/>
        </w:rPr>
        <w:t>LA CONVENCIÓN SOBRE LOS HUMEDALES</w:t>
      </w:r>
    </w:p>
    <w:p w14:paraId="15E1691C" w14:textId="77777777" w:rsidR="00387328" w:rsidRPr="00387328" w:rsidRDefault="00387328" w:rsidP="00387328">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noProof/>
          <w:lang w:val="es-ES"/>
        </w:rPr>
      </w:pPr>
      <w:r w:rsidRPr="00387328">
        <w:rPr>
          <w:rFonts w:asciiTheme="minorHAnsi" w:hAnsiTheme="minorHAnsi" w:cstheme="minorHAnsi"/>
          <w:noProof/>
          <w:lang w:val="es-ES"/>
        </w:rPr>
        <w:t>59ª Reunión del Comité Permanente</w:t>
      </w:r>
    </w:p>
    <w:p w14:paraId="5C5D5576" w14:textId="77777777" w:rsidR="00387328" w:rsidRDefault="00387328" w:rsidP="00387328">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noProof/>
          <w:lang w:val="es-ES"/>
        </w:rPr>
      </w:pPr>
      <w:r w:rsidRPr="00387328">
        <w:rPr>
          <w:rFonts w:asciiTheme="minorHAnsi" w:hAnsiTheme="minorHAnsi" w:cstheme="minorHAnsi"/>
          <w:noProof/>
          <w:lang w:val="es-ES"/>
        </w:rPr>
        <w:t xml:space="preserve">Reanudación de la reunión </w:t>
      </w:r>
    </w:p>
    <w:p w14:paraId="78B3FB25" w14:textId="14495562" w:rsidR="00065B8F" w:rsidRPr="00582B0B" w:rsidRDefault="00B556D3" w:rsidP="00387328">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noProof/>
          <w:sz w:val="22"/>
          <w:szCs w:val="22"/>
          <w:lang w:val="es-ES"/>
        </w:rPr>
      </w:pPr>
      <w:r w:rsidRPr="00582B0B">
        <w:rPr>
          <w:rFonts w:asciiTheme="minorHAnsi" w:hAnsiTheme="minorHAnsi" w:cstheme="minorHAnsi"/>
          <w:noProof/>
          <w:lang w:val="es-ES"/>
        </w:rPr>
        <w:t xml:space="preserve">Gland, </w:t>
      </w:r>
      <w:r w:rsidR="004832B3" w:rsidRPr="00582B0B">
        <w:rPr>
          <w:rFonts w:asciiTheme="minorHAnsi" w:hAnsiTheme="minorHAnsi" w:cstheme="minorHAnsi"/>
          <w:noProof/>
          <w:lang w:val="es-ES"/>
        </w:rPr>
        <w:t>Suiza</w:t>
      </w:r>
      <w:r w:rsidRPr="00582B0B">
        <w:rPr>
          <w:rFonts w:asciiTheme="minorHAnsi" w:hAnsiTheme="minorHAnsi" w:cstheme="minorHAnsi"/>
          <w:noProof/>
          <w:lang w:val="es-ES"/>
        </w:rPr>
        <w:t>, 23</w:t>
      </w:r>
      <w:r w:rsidR="004832B3" w:rsidRPr="00582B0B">
        <w:rPr>
          <w:rFonts w:asciiTheme="minorHAnsi" w:hAnsiTheme="minorHAnsi" w:cstheme="minorHAnsi"/>
          <w:noProof/>
          <w:lang w:val="es-ES"/>
        </w:rPr>
        <w:t xml:space="preserve"> a </w:t>
      </w:r>
      <w:r w:rsidRPr="00582B0B">
        <w:rPr>
          <w:rFonts w:asciiTheme="minorHAnsi" w:hAnsiTheme="minorHAnsi" w:cstheme="minorHAnsi"/>
          <w:noProof/>
          <w:lang w:val="es-ES"/>
        </w:rPr>
        <w:t xml:space="preserve">27 </w:t>
      </w:r>
      <w:r w:rsidR="004832B3" w:rsidRPr="00582B0B">
        <w:rPr>
          <w:rFonts w:asciiTheme="minorHAnsi" w:hAnsiTheme="minorHAnsi" w:cstheme="minorHAnsi"/>
          <w:noProof/>
          <w:lang w:val="es-ES"/>
        </w:rPr>
        <w:t>de mayo de</w:t>
      </w:r>
      <w:r w:rsidRPr="00582B0B">
        <w:rPr>
          <w:rFonts w:asciiTheme="minorHAnsi" w:hAnsiTheme="minorHAnsi" w:cstheme="minorHAnsi"/>
          <w:noProof/>
          <w:lang w:val="es-ES"/>
        </w:rPr>
        <w:t xml:space="preserve"> 2022</w:t>
      </w:r>
    </w:p>
    <w:p w14:paraId="2BB6B6C0" w14:textId="77777777" w:rsidR="00065B8F" w:rsidRPr="00582B0B" w:rsidRDefault="00065B8F" w:rsidP="00065B8F">
      <w:pPr>
        <w:rPr>
          <w:rFonts w:asciiTheme="minorHAnsi" w:hAnsiTheme="minorHAnsi" w:cstheme="minorHAnsi"/>
          <w:noProof/>
          <w:lang w:val="es-ES"/>
        </w:rPr>
      </w:pPr>
    </w:p>
    <w:p w14:paraId="1B8DA46A" w14:textId="2A9B1AAA" w:rsidR="00065B8F" w:rsidRPr="00582B0B" w:rsidRDefault="006A7C44" w:rsidP="00065B8F">
      <w:pPr>
        <w:jc w:val="right"/>
        <w:rPr>
          <w:rFonts w:asciiTheme="minorHAnsi" w:hAnsiTheme="minorHAnsi" w:cstheme="minorHAnsi"/>
          <w:b/>
          <w:noProof/>
          <w:sz w:val="28"/>
          <w:szCs w:val="28"/>
          <w:lang w:val="es-ES"/>
        </w:rPr>
      </w:pPr>
      <w:r w:rsidRPr="00582B0B">
        <w:rPr>
          <w:rFonts w:asciiTheme="minorHAnsi" w:hAnsiTheme="minorHAnsi" w:cstheme="minorHAnsi"/>
          <w:b/>
          <w:noProof/>
          <w:sz w:val="28"/>
          <w:szCs w:val="28"/>
          <w:lang w:val="es-ES"/>
        </w:rPr>
        <w:t>SC59</w:t>
      </w:r>
      <w:r w:rsidR="00B556D3" w:rsidRPr="00582B0B">
        <w:rPr>
          <w:rFonts w:asciiTheme="minorHAnsi" w:hAnsiTheme="minorHAnsi" w:cstheme="minorHAnsi"/>
          <w:b/>
          <w:noProof/>
          <w:sz w:val="28"/>
          <w:szCs w:val="28"/>
          <w:lang w:val="es-ES"/>
        </w:rPr>
        <w:t>/2022</w:t>
      </w:r>
      <w:r w:rsidR="00065B8F" w:rsidRPr="00582B0B">
        <w:rPr>
          <w:rFonts w:asciiTheme="minorHAnsi" w:hAnsiTheme="minorHAnsi" w:cstheme="minorHAnsi"/>
          <w:b/>
          <w:noProof/>
          <w:sz w:val="28"/>
          <w:szCs w:val="28"/>
          <w:lang w:val="es-ES"/>
        </w:rPr>
        <w:t xml:space="preserve"> Doc.</w:t>
      </w:r>
      <w:r w:rsidR="00C56C0A" w:rsidRPr="00582B0B">
        <w:rPr>
          <w:rFonts w:asciiTheme="minorHAnsi" w:hAnsiTheme="minorHAnsi" w:cstheme="minorHAnsi"/>
          <w:b/>
          <w:noProof/>
          <w:sz w:val="28"/>
          <w:szCs w:val="28"/>
          <w:lang w:val="es-ES"/>
        </w:rPr>
        <w:t>8.4</w:t>
      </w:r>
    </w:p>
    <w:p w14:paraId="23E946FC" w14:textId="77777777" w:rsidR="00065B8F" w:rsidRPr="00582B0B" w:rsidRDefault="00065B8F" w:rsidP="00065B8F">
      <w:pPr>
        <w:jc w:val="center"/>
        <w:rPr>
          <w:rFonts w:asciiTheme="minorHAnsi" w:hAnsiTheme="minorHAnsi" w:cstheme="minorHAnsi"/>
          <w:bCs/>
          <w:noProof/>
          <w:lang w:val="es-ES"/>
        </w:rPr>
      </w:pPr>
    </w:p>
    <w:p w14:paraId="414442C8" w14:textId="7286EF09" w:rsidR="004832B3" w:rsidRPr="00582B0B" w:rsidRDefault="004832B3" w:rsidP="00065B8F">
      <w:pPr>
        <w:jc w:val="center"/>
        <w:rPr>
          <w:rFonts w:asciiTheme="minorHAnsi" w:hAnsiTheme="minorHAnsi" w:cstheme="minorHAnsi"/>
          <w:b/>
          <w:bCs/>
          <w:noProof/>
          <w:sz w:val="28"/>
          <w:szCs w:val="28"/>
          <w:lang w:val="es-ES"/>
        </w:rPr>
      </w:pPr>
      <w:r w:rsidRPr="00582B0B">
        <w:rPr>
          <w:rFonts w:asciiTheme="minorHAnsi" w:hAnsiTheme="minorHAnsi" w:cstheme="minorHAnsi"/>
          <w:b/>
          <w:bCs/>
          <w:noProof/>
          <w:sz w:val="28"/>
          <w:szCs w:val="28"/>
          <w:lang w:val="es-ES"/>
        </w:rPr>
        <w:t xml:space="preserve">Posibles </w:t>
      </w:r>
      <w:r w:rsidR="007963A8" w:rsidRPr="00582B0B">
        <w:rPr>
          <w:rFonts w:asciiTheme="minorHAnsi" w:hAnsiTheme="minorHAnsi" w:cstheme="minorHAnsi"/>
          <w:b/>
          <w:bCs/>
          <w:noProof/>
          <w:sz w:val="28"/>
          <w:szCs w:val="28"/>
          <w:lang w:val="es-ES"/>
        </w:rPr>
        <w:t>consecuencias</w:t>
      </w:r>
      <w:r w:rsidRPr="00582B0B">
        <w:rPr>
          <w:rFonts w:asciiTheme="minorHAnsi" w:hAnsiTheme="minorHAnsi" w:cstheme="minorHAnsi"/>
          <w:b/>
          <w:bCs/>
          <w:noProof/>
          <w:sz w:val="28"/>
          <w:szCs w:val="28"/>
          <w:lang w:val="es-ES"/>
        </w:rPr>
        <w:t xml:space="preserve"> financieras</w:t>
      </w:r>
      <w:r w:rsidR="00CE581A">
        <w:rPr>
          <w:rFonts w:asciiTheme="minorHAnsi" w:hAnsiTheme="minorHAnsi" w:cstheme="minorHAnsi"/>
          <w:b/>
          <w:bCs/>
          <w:noProof/>
          <w:sz w:val="28"/>
          <w:szCs w:val="28"/>
          <w:lang w:val="es-ES"/>
        </w:rPr>
        <w:t xml:space="preserve"> de los proyectos de resolución</w:t>
      </w:r>
      <w:bookmarkStart w:id="0" w:name="_GoBack"/>
      <w:bookmarkEnd w:id="0"/>
    </w:p>
    <w:p w14:paraId="1F5BA36C" w14:textId="77777777" w:rsidR="006058B3" w:rsidRPr="00582B0B" w:rsidRDefault="006058B3" w:rsidP="00065B8F">
      <w:pPr>
        <w:jc w:val="center"/>
        <w:rPr>
          <w:rFonts w:asciiTheme="minorHAnsi" w:hAnsiTheme="minorHAnsi" w:cstheme="minorHAnsi"/>
          <w:b/>
          <w:bCs/>
          <w:noProof/>
          <w:sz w:val="28"/>
          <w:szCs w:val="28"/>
          <w:lang w:val="es-ES"/>
        </w:rPr>
      </w:pPr>
    </w:p>
    <w:p w14:paraId="19992BFF" w14:textId="77777777" w:rsidR="00E95E62" w:rsidRPr="00582B0B" w:rsidRDefault="006058B3" w:rsidP="006058B3">
      <w:pPr>
        <w:jc w:val="center"/>
        <w:rPr>
          <w:rFonts w:asciiTheme="minorHAnsi" w:hAnsiTheme="minorHAnsi" w:cstheme="minorHAnsi"/>
          <w:b/>
          <w:bCs/>
          <w:noProof/>
          <w:sz w:val="28"/>
          <w:szCs w:val="28"/>
          <w:highlight w:val="yellow"/>
          <w:lang w:val="es-ES"/>
        </w:rPr>
      </w:pPr>
      <w:r w:rsidRPr="00582B0B">
        <w:rPr>
          <w:rFonts w:asciiTheme="minorHAnsi" w:hAnsiTheme="minorHAnsi" w:cstheme="minorHAnsi"/>
          <w:b/>
          <w:bCs/>
          <w:noProof/>
          <w:sz w:val="28"/>
          <w:szCs w:val="28"/>
        </w:rPr>
        <mc:AlternateContent>
          <mc:Choice Requires="wps">
            <w:drawing>
              <wp:inline distT="0" distB="0" distL="0" distR="0" wp14:anchorId="25811330" wp14:editId="336BDF47">
                <wp:extent cx="5768340" cy="881743"/>
                <wp:effectExtent l="0" t="0" r="1016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81743"/>
                        </a:xfrm>
                        <a:prstGeom prst="rect">
                          <a:avLst/>
                        </a:prstGeom>
                        <a:solidFill>
                          <a:srgbClr val="FFFFFF"/>
                        </a:solidFill>
                        <a:ln w="9525">
                          <a:solidFill>
                            <a:srgbClr val="000000"/>
                          </a:solidFill>
                          <a:miter lim="800000"/>
                          <a:headEnd/>
                          <a:tailEnd/>
                        </a:ln>
                      </wps:spPr>
                      <wps:txbx>
                        <w:txbxContent>
                          <w:p w14:paraId="2409A187" w14:textId="3410FEEF" w:rsidR="00AA2EDD" w:rsidRPr="006A3F4A" w:rsidRDefault="006A3F4A" w:rsidP="007F7F60">
                            <w:pPr>
                              <w:rPr>
                                <w:rFonts w:asciiTheme="minorHAnsi" w:hAnsiTheme="minorHAnsi" w:cstheme="minorHAnsi"/>
                                <w:b/>
                                <w:noProof/>
                                <w:sz w:val="22"/>
                                <w:szCs w:val="22"/>
                                <w:lang w:val="es-ES"/>
                              </w:rPr>
                            </w:pPr>
                            <w:r w:rsidRPr="006A3F4A">
                              <w:rPr>
                                <w:rFonts w:asciiTheme="minorHAnsi" w:hAnsiTheme="minorHAnsi" w:cstheme="minorHAnsi"/>
                                <w:b/>
                                <w:noProof/>
                                <w:sz w:val="22"/>
                                <w:szCs w:val="22"/>
                                <w:lang w:val="es-ES"/>
                              </w:rPr>
                              <w:t>Acción solicitada</w:t>
                            </w:r>
                            <w:r w:rsidR="00AA2EDD" w:rsidRPr="006A3F4A">
                              <w:rPr>
                                <w:rFonts w:asciiTheme="minorHAnsi" w:hAnsiTheme="minorHAnsi" w:cstheme="minorHAnsi"/>
                                <w:b/>
                                <w:noProof/>
                                <w:sz w:val="22"/>
                                <w:szCs w:val="22"/>
                                <w:lang w:val="es-ES"/>
                              </w:rPr>
                              <w:t>:</w:t>
                            </w:r>
                          </w:p>
                          <w:p w14:paraId="20867855" w14:textId="77777777" w:rsidR="000E637A" w:rsidRPr="006A3F4A" w:rsidRDefault="000E637A" w:rsidP="000E637A">
                            <w:pPr>
                              <w:pStyle w:val="ColorfulList-Accent11"/>
                              <w:ind w:left="0"/>
                              <w:rPr>
                                <w:noProof/>
                                <w:lang w:val="es-ES"/>
                              </w:rPr>
                            </w:pPr>
                          </w:p>
                          <w:p w14:paraId="67741332" w14:textId="7888655A" w:rsidR="006A3F4A" w:rsidRPr="006A3F4A" w:rsidRDefault="006A3F4A" w:rsidP="000E637A">
                            <w:pPr>
                              <w:pStyle w:val="ColorfulList-Accent11"/>
                              <w:ind w:left="0" w:firstLine="0"/>
                              <w:rPr>
                                <w:noProof/>
                                <w:lang w:val="es-ES"/>
                              </w:rPr>
                            </w:pPr>
                            <w:r w:rsidRPr="006A3F4A">
                              <w:rPr>
                                <w:noProof/>
                                <w:lang w:val="es-ES"/>
                              </w:rPr>
                              <w:t xml:space="preserve">Se invita al Comité Permanente a tomar nota de las </w:t>
                            </w:r>
                            <w:r w:rsidR="007963A8">
                              <w:rPr>
                                <w:noProof/>
                                <w:lang w:val="es-ES"/>
                              </w:rPr>
                              <w:t>consecuencias</w:t>
                            </w:r>
                            <w:r w:rsidRPr="006A3F4A">
                              <w:rPr>
                                <w:noProof/>
                                <w:lang w:val="es-ES"/>
                              </w:rPr>
                              <w:t xml:space="preserve"> administrativas y financieras</w:t>
                            </w:r>
                            <w:r w:rsidR="00F907FE">
                              <w:rPr>
                                <w:noProof/>
                                <w:lang w:val="es-ES"/>
                              </w:rPr>
                              <w:t xml:space="preserve"> previstas</w:t>
                            </w:r>
                            <w:r w:rsidRPr="006A3F4A">
                              <w:rPr>
                                <w:noProof/>
                                <w:lang w:val="es-ES"/>
                              </w:rPr>
                              <w:t xml:space="preserve"> de los proyectos de resolución sometidos a la consideración de la SC59/2022.</w:t>
                            </w:r>
                          </w:p>
                          <w:p w14:paraId="1703E49B" w14:textId="77777777" w:rsidR="007F7F60" w:rsidRPr="00387328" w:rsidRDefault="007F7F60">
                            <w:pPr>
                              <w:rPr>
                                <w:rFonts w:asciiTheme="minorHAnsi" w:hAnsiTheme="minorHAnsi" w:cstheme="minorHAnsi"/>
                                <w:lang w:val="fr-FR"/>
                              </w:rPr>
                            </w:pPr>
                          </w:p>
                        </w:txbxContent>
                      </wps:txbx>
                      <wps:bodyPr rot="0" vert="horz" wrap="square" lIns="91440" tIns="45720" rIns="91440" bIns="45720" anchor="t" anchorCtr="0">
                        <a:noAutofit/>
                      </wps:bodyPr>
                    </wps:wsp>
                  </a:graphicData>
                </a:graphic>
              </wp:inline>
            </w:drawing>
          </mc:Choice>
          <mc:Fallback>
            <w:pict>
              <v:shapetype w14:anchorId="25811330" id="_x0000_t202" coordsize="21600,21600" o:spt="202" path="m,l,21600r21600,l21600,xe">
                <v:stroke joinstyle="miter"/>
                <v:path gradientshapeok="t" o:connecttype="rect"/>
              </v:shapetype>
              <v:shape id="Text Box 2" o:spid="_x0000_s1026" type="#_x0000_t202" style="width:454.2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">
                <v:textbox>
                  <w:txbxContent>
                    <w:p w14:paraId="2409A187" w14:textId="3410FEEF" w:rsidR="00AA2EDD" w:rsidRPr="006A3F4A" w:rsidRDefault="006A3F4A" w:rsidP="007F7F60">
                      <w:pPr>
                        <w:rPr>
                          <w:rFonts w:asciiTheme="minorHAnsi" w:hAnsiTheme="minorHAnsi" w:cstheme="minorHAnsi"/>
                          <w:b/>
                          <w:noProof/>
                          <w:sz w:val="22"/>
                          <w:szCs w:val="22"/>
                          <w:lang w:val="es-ES"/>
                        </w:rPr>
                      </w:pPr>
                      <w:r w:rsidRPr="006A3F4A">
                        <w:rPr>
                          <w:rFonts w:asciiTheme="minorHAnsi" w:hAnsiTheme="minorHAnsi" w:cstheme="minorHAnsi"/>
                          <w:b/>
                          <w:noProof/>
                          <w:sz w:val="22"/>
                          <w:szCs w:val="22"/>
                          <w:lang w:val="es-ES"/>
                        </w:rPr>
                        <w:t>Acción solicitada</w:t>
                      </w:r>
                      <w:r w:rsidR="00AA2EDD" w:rsidRPr="006A3F4A">
                        <w:rPr>
                          <w:rFonts w:asciiTheme="minorHAnsi" w:hAnsiTheme="minorHAnsi" w:cstheme="minorHAnsi"/>
                          <w:b/>
                          <w:noProof/>
                          <w:sz w:val="22"/>
                          <w:szCs w:val="22"/>
                          <w:lang w:val="es-ES"/>
                        </w:rPr>
                        <w:t>:</w:t>
                      </w:r>
                    </w:p>
                    <w:p w14:paraId="20867855" w14:textId="77777777" w:rsidR="000E637A" w:rsidRPr="006A3F4A" w:rsidRDefault="000E637A" w:rsidP="000E637A">
                      <w:pPr>
                        <w:pStyle w:val="ColorfulList-Accent11"/>
                        <w:ind w:left="0"/>
                        <w:rPr>
                          <w:noProof/>
                          <w:lang w:val="es-ES"/>
                        </w:rPr>
                      </w:pPr>
                    </w:p>
                    <w:p w14:paraId="67741332" w14:textId="7888655A" w:rsidR="006A3F4A" w:rsidRPr="006A3F4A" w:rsidRDefault="006A3F4A" w:rsidP="000E637A">
                      <w:pPr>
                        <w:pStyle w:val="ColorfulList-Accent11"/>
                        <w:ind w:left="0" w:firstLine="0"/>
                        <w:rPr>
                          <w:noProof/>
                          <w:lang w:val="es-ES"/>
                        </w:rPr>
                      </w:pPr>
                      <w:r w:rsidRPr="006A3F4A">
                        <w:rPr>
                          <w:noProof/>
                          <w:lang w:val="es-ES"/>
                        </w:rPr>
                        <w:t xml:space="preserve">Se invita al Comité Permanente a tomar nota de las </w:t>
                      </w:r>
                      <w:r w:rsidR="007963A8">
                        <w:rPr>
                          <w:noProof/>
                          <w:lang w:val="es-ES"/>
                        </w:rPr>
                        <w:t>consecuencias</w:t>
                      </w:r>
                      <w:r w:rsidRPr="006A3F4A">
                        <w:rPr>
                          <w:noProof/>
                          <w:lang w:val="es-ES"/>
                        </w:rPr>
                        <w:t xml:space="preserve"> administrativas y financieras</w:t>
                      </w:r>
                      <w:r w:rsidR="00F907FE">
                        <w:rPr>
                          <w:noProof/>
                          <w:lang w:val="es-ES"/>
                        </w:rPr>
                        <w:t xml:space="preserve"> previstas</w:t>
                      </w:r>
                      <w:r w:rsidRPr="006A3F4A">
                        <w:rPr>
                          <w:noProof/>
                          <w:lang w:val="es-ES"/>
                        </w:rPr>
                        <w:t xml:space="preserve"> de los proyectos de resolución sometidos a la consideración de la SC59/2022.</w:t>
                      </w:r>
                    </w:p>
                    <w:p w14:paraId="1703E49B" w14:textId="77777777" w:rsidR="007F7F60" w:rsidRPr="00387328" w:rsidRDefault="007F7F60">
                      <w:pPr>
                        <w:rPr>
                          <w:rFonts w:asciiTheme="minorHAnsi" w:hAnsiTheme="minorHAnsi" w:cstheme="minorHAnsi"/>
                          <w:lang w:val="fr-FR"/>
                        </w:rPr>
                      </w:pPr>
                    </w:p>
                  </w:txbxContent>
                </v:textbox>
                <w10:anchorlock/>
              </v:shape>
            </w:pict>
          </mc:Fallback>
        </mc:AlternateContent>
      </w:r>
    </w:p>
    <w:p w14:paraId="24398D3C" w14:textId="77777777" w:rsidR="006058B3" w:rsidRPr="00582B0B" w:rsidRDefault="006058B3" w:rsidP="006058B3">
      <w:pPr>
        <w:jc w:val="left"/>
        <w:rPr>
          <w:rFonts w:asciiTheme="minorHAnsi" w:hAnsiTheme="minorHAnsi" w:cstheme="minorHAnsi"/>
          <w:b/>
          <w:bCs/>
          <w:noProof/>
          <w:sz w:val="22"/>
          <w:szCs w:val="22"/>
          <w:lang w:val="es-ES"/>
        </w:rPr>
      </w:pPr>
    </w:p>
    <w:p w14:paraId="4EEC0818" w14:textId="77777777" w:rsidR="006058B3" w:rsidRPr="00582B0B" w:rsidRDefault="006058B3" w:rsidP="006058B3">
      <w:pPr>
        <w:jc w:val="left"/>
        <w:rPr>
          <w:rFonts w:asciiTheme="minorHAnsi" w:hAnsiTheme="minorHAnsi" w:cstheme="minorHAnsi"/>
          <w:b/>
          <w:bCs/>
          <w:noProof/>
          <w:sz w:val="22"/>
          <w:szCs w:val="22"/>
          <w:lang w:val="es-ES"/>
        </w:rPr>
      </w:pPr>
    </w:p>
    <w:p w14:paraId="4FFF5DA1" w14:textId="7A69FFC9" w:rsidR="00773024" w:rsidRPr="00582B0B" w:rsidRDefault="006A3F4A" w:rsidP="006058B3">
      <w:pPr>
        <w:ind w:left="425" w:hanging="425"/>
        <w:jc w:val="left"/>
        <w:rPr>
          <w:rFonts w:asciiTheme="minorHAnsi" w:hAnsiTheme="minorHAnsi" w:cstheme="minorHAnsi"/>
          <w:b/>
          <w:bCs/>
          <w:noProof/>
          <w:sz w:val="22"/>
          <w:szCs w:val="22"/>
          <w:lang w:val="es-ES"/>
        </w:rPr>
      </w:pPr>
      <w:r w:rsidRPr="00582B0B">
        <w:rPr>
          <w:rFonts w:asciiTheme="minorHAnsi" w:hAnsiTheme="minorHAnsi" w:cstheme="minorHAnsi"/>
          <w:b/>
          <w:bCs/>
          <w:noProof/>
          <w:sz w:val="22"/>
          <w:szCs w:val="22"/>
          <w:lang w:val="es-ES"/>
        </w:rPr>
        <w:t>Antecedentes</w:t>
      </w:r>
    </w:p>
    <w:p w14:paraId="12B7CC52" w14:textId="77777777" w:rsidR="00C32315" w:rsidRPr="00582B0B" w:rsidRDefault="00C32315" w:rsidP="003501A9">
      <w:pPr>
        <w:ind w:left="0" w:firstLine="0"/>
        <w:jc w:val="left"/>
        <w:rPr>
          <w:rFonts w:asciiTheme="minorHAnsi" w:hAnsiTheme="minorHAnsi" w:cstheme="minorHAnsi"/>
          <w:noProof/>
          <w:sz w:val="22"/>
          <w:szCs w:val="22"/>
          <w:lang w:val="es-ES"/>
        </w:rPr>
      </w:pPr>
    </w:p>
    <w:p w14:paraId="43FF90B5" w14:textId="27EE41C8" w:rsidR="00027DBC" w:rsidRPr="00582B0B" w:rsidRDefault="003501A9" w:rsidP="007963A8">
      <w:pPr>
        <w:ind w:left="425" w:hanging="425"/>
        <w:jc w:val="left"/>
        <w:rPr>
          <w:rFonts w:ascii="Calibri" w:hAnsi="Calibri" w:cs="Calibri"/>
          <w:noProof/>
          <w:sz w:val="22"/>
          <w:szCs w:val="22"/>
          <w:lang w:val="es-ES"/>
        </w:rPr>
      </w:pPr>
      <w:r w:rsidRPr="00582B0B">
        <w:rPr>
          <w:rFonts w:asciiTheme="minorHAnsi" w:hAnsiTheme="minorHAnsi" w:cstheme="minorHAnsi"/>
          <w:bCs/>
          <w:noProof/>
          <w:sz w:val="22"/>
          <w:szCs w:val="22"/>
          <w:lang w:val="es-ES"/>
        </w:rPr>
        <w:t>1</w:t>
      </w:r>
      <w:r w:rsidR="006058B3" w:rsidRPr="00582B0B">
        <w:rPr>
          <w:rFonts w:asciiTheme="minorHAnsi" w:hAnsiTheme="minorHAnsi" w:cstheme="minorHAnsi"/>
          <w:bCs/>
          <w:noProof/>
          <w:sz w:val="22"/>
          <w:szCs w:val="22"/>
          <w:lang w:val="es-ES"/>
        </w:rPr>
        <w:t>.</w:t>
      </w:r>
      <w:r w:rsidR="006058B3" w:rsidRPr="00582B0B">
        <w:rPr>
          <w:rFonts w:asciiTheme="minorHAnsi" w:hAnsiTheme="minorHAnsi" w:cstheme="minorHAnsi"/>
          <w:bCs/>
          <w:noProof/>
          <w:sz w:val="22"/>
          <w:szCs w:val="22"/>
          <w:lang w:val="es-ES"/>
        </w:rPr>
        <w:tab/>
      </w:r>
      <w:r w:rsidR="007963A8" w:rsidRPr="00582B0B">
        <w:rPr>
          <w:rFonts w:asciiTheme="minorHAnsi" w:hAnsiTheme="minorHAnsi" w:cstheme="minorHAnsi"/>
          <w:bCs/>
          <w:noProof/>
          <w:sz w:val="22"/>
          <w:szCs w:val="22"/>
          <w:lang w:val="es-ES"/>
        </w:rPr>
        <w:t xml:space="preserve">El </w:t>
      </w:r>
      <w:r w:rsidR="00A13FD1" w:rsidRPr="00582B0B">
        <w:rPr>
          <w:rFonts w:asciiTheme="minorHAnsi" w:hAnsiTheme="minorHAnsi" w:cstheme="minorHAnsi"/>
          <w:bCs/>
          <w:noProof/>
          <w:sz w:val="22"/>
          <w:szCs w:val="22"/>
          <w:lang w:val="es-ES"/>
        </w:rPr>
        <w:t>a</w:t>
      </w:r>
      <w:r w:rsidR="007963A8" w:rsidRPr="00582B0B">
        <w:rPr>
          <w:rFonts w:asciiTheme="minorHAnsi" w:hAnsiTheme="minorHAnsi" w:cstheme="minorHAnsi"/>
          <w:bCs/>
          <w:noProof/>
          <w:sz w:val="22"/>
          <w:szCs w:val="22"/>
          <w:lang w:val="es-ES"/>
        </w:rPr>
        <w:t xml:space="preserve">rtículo 14 del </w:t>
      </w:r>
      <w:r w:rsidR="00C853CC" w:rsidRPr="00582B0B">
        <w:rPr>
          <w:rFonts w:asciiTheme="minorHAnsi" w:hAnsiTheme="minorHAnsi" w:cstheme="minorHAnsi"/>
          <w:bCs/>
          <w:noProof/>
          <w:sz w:val="22"/>
          <w:szCs w:val="22"/>
          <w:lang w:val="es-ES"/>
        </w:rPr>
        <w:t>r</w:t>
      </w:r>
      <w:r w:rsidR="007963A8" w:rsidRPr="00582B0B">
        <w:rPr>
          <w:rFonts w:asciiTheme="minorHAnsi" w:hAnsiTheme="minorHAnsi" w:cstheme="minorHAnsi"/>
          <w:bCs/>
          <w:noProof/>
          <w:sz w:val="22"/>
          <w:szCs w:val="22"/>
          <w:lang w:val="es-ES"/>
        </w:rPr>
        <w:t xml:space="preserve">eglamento de la Convención </w:t>
      </w:r>
      <w:r w:rsidR="00E32632">
        <w:rPr>
          <w:rFonts w:asciiTheme="minorHAnsi" w:hAnsiTheme="minorHAnsi" w:cstheme="minorHAnsi"/>
          <w:bCs/>
          <w:noProof/>
          <w:sz w:val="22"/>
          <w:szCs w:val="22"/>
          <w:lang w:val="es-ES"/>
        </w:rPr>
        <w:t>sobre</w:t>
      </w:r>
      <w:r w:rsidR="007963A8" w:rsidRPr="00582B0B">
        <w:rPr>
          <w:rFonts w:asciiTheme="minorHAnsi" w:hAnsiTheme="minorHAnsi" w:cstheme="minorHAnsi"/>
          <w:bCs/>
          <w:noProof/>
          <w:sz w:val="22"/>
          <w:szCs w:val="22"/>
          <w:lang w:val="es-ES"/>
        </w:rPr>
        <w:t xml:space="preserve"> los Humedales estipula que </w:t>
      </w:r>
      <w:r w:rsidR="007963A8" w:rsidRPr="00582B0B">
        <w:rPr>
          <w:rFonts w:ascii="Calibri" w:hAnsi="Calibri" w:cs="Calibri"/>
          <w:noProof/>
          <w:sz w:val="22"/>
          <w:szCs w:val="22"/>
          <w:lang w:val="es-ES"/>
        </w:rPr>
        <w:t xml:space="preserve">la Secretaría informará sobre las consecuencias administrativas y financieras </w:t>
      </w:r>
      <w:r w:rsidR="00E32632">
        <w:rPr>
          <w:rFonts w:ascii="Calibri" w:hAnsi="Calibri" w:cs="Calibri"/>
          <w:noProof/>
          <w:sz w:val="22"/>
          <w:szCs w:val="22"/>
          <w:lang w:val="es-ES"/>
        </w:rPr>
        <w:t xml:space="preserve">previstas </w:t>
      </w:r>
      <w:r w:rsidR="007963A8" w:rsidRPr="00582B0B">
        <w:rPr>
          <w:rFonts w:ascii="Calibri" w:hAnsi="Calibri" w:cs="Calibri"/>
          <w:noProof/>
          <w:sz w:val="22"/>
          <w:szCs w:val="22"/>
          <w:lang w:val="es-ES"/>
        </w:rPr>
        <w:t xml:space="preserve">de todos los asuntos sustantivos del orden del día presentados a la reunión de la Conferencia de las Partes en un plazo de 24 horas desde la apertura de la reunión y antes de que la Conferencia de las Partes tome decisiones sobre dichos asuntos. </w:t>
      </w:r>
    </w:p>
    <w:p w14:paraId="0E216241" w14:textId="77777777" w:rsidR="007963A8" w:rsidRPr="00582B0B" w:rsidRDefault="007963A8" w:rsidP="007963A8">
      <w:pPr>
        <w:ind w:left="425" w:hanging="425"/>
        <w:jc w:val="left"/>
        <w:rPr>
          <w:noProof/>
          <w:lang w:val="es-ES"/>
        </w:rPr>
      </w:pPr>
    </w:p>
    <w:p w14:paraId="6DF77C28" w14:textId="327F2AC3" w:rsidR="00C853CC" w:rsidRPr="00582B0B" w:rsidRDefault="00027DBC" w:rsidP="00C853CC">
      <w:pPr>
        <w:ind w:left="425" w:hanging="425"/>
        <w:jc w:val="left"/>
        <w:rPr>
          <w:rFonts w:asciiTheme="minorHAnsi" w:hAnsiTheme="minorHAnsi" w:cstheme="minorHAnsi"/>
          <w:bCs/>
          <w:noProof/>
          <w:sz w:val="22"/>
          <w:szCs w:val="22"/>
          <w:lang w:val="es-ES"/>
        </w:rPr>
      </w:pPr>
      <w:r w:rsidRPr="00582B0B">
        <w:rPr>
          <w:rFonts w:asciiTheme="minorHAnsi" w:hAnsiTheme="minorHAnsi" w:cstheme="minorHAnsi"/>
          <w:bCs/>
          <w:noProof/>
          <w:sz w:val="22"/>
          <w:szCs w:val="22"/>
          <w:lang w:val="es-ES"/>
        </w:rPr>
        <w:t xml:space="preserve">2. </w:t>
      </w:r>
      <w:r w:rsidRPr="00582B0B">
        <w:rPr>
          <w:rFonts w:asciiTheme="minorHAnsi" w:hAnsiTheme="minorHAnsi" w:cstheme="minorHAnsi"/>
          <w:bCs/>
          <w:noProof/>
          <w:sz w:val="22"/>
          <w:szCs w:val="22"/>
          <w:lang w:val="es-ES"/>
        </w:rPr>
        <w:tab/>
      </w:r>
      <w:r w:rsidR="00C853CC" w:rsidRPr="00582B0B">
        <w:rPr>
          <w:rFonts w:asciiTheme="minorHAnsi" w:hAnsiTheme="minorHAnsi" w:cstheme="minorHAnsi"/>
          <w:bCs/>
          <w:noProof/>
          <w:sz w:val="22"/>
          <w:szCs w:val="22"/>
          <w:lang w:val="es-ES"/>
        </w:rPr>
        <w:t xml:space="preserve">Dado que el reglamento se aplica </w:t>
      </w:r>
      <w:r w:rsidR="00C853CC" w:rsidRPr="00582B0B">
        <w:rPr>
          <w:rFonts w:asciiTheme="minorHAnsi" w:hAnsiTheme="minorHAnsi" w:cstheme="minorHAnsi"/>
          <w:bCs/>
          <w:i/>
          <w:iCs/>
          <w:noProof/>
          <w:sz w:val="22"/>
          <w:szCs w:val="22"/>
          <w:lang w:val="es-ES"/>
        </w:rPr>
        <w:t>mutatis mutandis</w:t>
      </w:r>
      <w:r w:rsidR="00C853CC" w:rsidRPr="00582B0B">
        <w:rPr>
          <w:rFonts w:asciiTheme="minorHAnsi" w:hAnsiTheme="minorHAnsi" w:cstheme="minorHAnsi"/>
          <w:bCs/>
          <w:noProof/>
          <w:sz w:val="22"/>
          <w:szCs w:val="22"/>
          <w:lang w:val="es-ES"/>
        </w:rPr>
        <w:t xml:space="preserve"> a las reuniones del Comité Permanente, la Secretaría ha elaborado el </w:t>
      </w:r>
      <w:r w:rsidR="00F907FE" w:rsidRPr="00582B0B">
        <w:rPr>
          <w:rFonts w:asciiTheme="minorHAnsi" w:hAnsiTheme="minorHAnsi" w:cstheme="minorHAnsi"/>
          <w:bCs/>
          <w:noProof/>
          <w:sz w:val="22"/>
          <w:szCs w:val="22"/>
          <w:lang w:val="es-ES"/>
        </w:rPr>
        <w:t>C</w:t>
      </w:r>
      <w:r w:rsidR="00C853CC" w:rsidRPr="00582B0B">
        <w:rPr>
          <w:rFonts w:asciiTheme="minorHAnsi" w:hAnsiTheme="minorHAnsi" w:cstheme="minorHAnsi"/>
          <w:bCs/>
          <w:noProof/>
          <w:sz w:val="22"/>
          <w:szCs w:val="22"/>
          <w:lang w:val="es-ES"/>
        </w:rPr>
        <w:t xml:space="preserve">uadro 1 que figura a continuación, en el que se </w:t>
      </w:r>
      <w:r w:rsidR="008330C8" w:rsidRPr="00582B0B">
        <w:rPr>
          <w:rFonts w:asciiTheme="minorHAnsi" w:hAnsiTheme="minorHAnsi" w:cstheme="minorHAnsi"/>
          <w:bCs/>
          <w:noProof/>
          <w:sz w:val="22"/>
          <w:szCs w:val="22"/>
          <w:lang w:val="es-ES"/>
        </w:rPr>
        <w:t>detallan</w:t>
      </w:r>
      <w:r w:rsidR="00C853CC" w:rsidRPr="00582B0B">
        <w:rPr>
          <w:rFonts w:asciiTheme="minorHAnsi" w:hAnsiTheme="minorHAnsi" w:cstheme="minorHAnsi"/>
          <w:bCs/>
          <w:noProof/>
          <w:sz w:val="22"/>
          <w:szCs w:val="22"/>
          <w:lang w:val="es-ES"/>
        </w:rPr>
        <w:t xml:space="preserve"> las </w:t>
      </w:r>
      <w:r w:rsidR="008330C8" w:rsidRPr="00582B0B">
        <w:rPr>
          <w:rFonts w:asciiTheme="minorHAnsi" w:hAnsiTheme="minorHAnsi" w:cstheme="minorHAnsi"/>
          <w:bCs/>
          <w:noProof/>
          <w:sz w:val="22"/>
          <w:szCs w:val="22"/>
          <w:lang w:val="es-ES"/>
        </w:rPr>
        <w:t>repercusiones</w:t>
      </w:r>
      <w:r w:rsidR="00C853CC" w:rsidRPr="00582B0B">
        <w:rPr>
          <w:rFonts w:asciiTheme="minorHAnsi" w:hAnsiTheme="minorHAnsi" w:cstheme="minorHAnsi"/>
          <w:bCs/>
          <w:noProof/>
          <w:sz w:val="22"/>
          <w:szCs w:val="22"/>
          <w:lang w:val="es-ES"/>
        </w:rPr>
        <w:t xml:space="preserve"> administrativas y financieras preliminares previstas de los proyectos de resolución </w:t>
      </w:r>
      <w:r w:rsidR="00F907FE" w:rsidRPr="00582B0B">
        <w:rPr>
          <w:rFonts w:asciiTheme="minorHAnsi" w:hAnsiTheme="minorHAnsi" w:cstheme="minorHAnsi"/>
          <w:bCs/>
          <w:noProof/>
          <w:sz w:val="22"/>
          <w:szCs w:val="22"/>
          <w:lang w:val="es-ES"/>
        </w:rPr>
        <w:t>presentados a</w:t>
      </w:r>
      <w:r w:rsidR="00C853CC" w:rsidRPr="00582B0B">
        <w:rPr>
          <w:rFonts w:asciiTheme="minorHAnsi" w:hAnsiTheme="minorHAnsi" w:cstheme="minorHAnsi"/>
          <w:bCs/>
          <w:noProof/>
          <w:sz w:val="22"/>
          <w:szCs w:val="22"/>
          <w:lang w:val="es-ES"/>
        </w:rPr>
        <w:t xml:space="preserve"> la reunión SC59 para su examen por la COP14. La Secretaría </w:t>
      </w:r>
      <w:r w:rsidR="00F907FE" w:rsidRPr="00582B0B">
        <w:rPr>
          <w:rFonts w:asciiTheme="minorHAnsi" w:hAnsiTheme="minorHAnsi" w:cstheme="minorHAnsi"/>
          <w:bCs/>
          <w:noProof/>
          <w:sz w:val="22"/>
          <w:szCs w:val="22"/>
          <w:lang w:val="es-ES"/>
        </w:rPr>
        <w:t>elaborará</w:t>
      </w:r>
      <w:r w:rsidR="00C853CC" w:rsidRPr="00582B0B">
        <w:rPr>
          <w:rFonts w:asciiTheme="minorHAnsi" w:hAnsiTheme="minorHAnsi" w:cstheme="minorHAnsi"/>
          <w:bCs/>
          <w:noProof/>
          <w:sz w:val="22"/>
          <w:szCs w:val="22"/>
          <w:lang w:val="es-ES"/>
        </w:rPr>
        <w:t xml:space="preserve"> un informe actualizado sobre las </w:t>
      </w:r>
      <w:r w:rsidR="008330C8" w:rsidRPr="00582B0B">
        <w:rPr>
          <w:rFonts w:asciiTheme="minorHAnsi" w:hAnsiTheme="minorHAnsi" w:cstheme="minorHAnsi"/>
          <w:bCs/>
          <w:noProof/>
          <w:sz w:val="22"/>
          <w:szCs w:val="22"/>
          <w:lang w:val="es-ES"/>
        </w:rPr>
        <w:t>repercusiones</w:t>
      </w:r>
      <w:r w:rsidR="00C853CC" w:rsidRPr="00582B0B">
        <w:rPr>
          <w:rFonts w:asciiTheme="minorHAnsi" w:hAnsiTheme="minorHAnsi" w:cstheme="minorHAnsi"/>
          <w:bCs/>
          <w:noProof/>
          <w:sz w:val="22"/>
          <w:szCs w:val="22"/>
          <w:lang w:val="es-ES"/>
        </w:rPr>
        <w:t xml:space="preserve"> administrativas y financieras de los proyectos de resolución para la COP14. </w:t>
      </w:r>
    </w:p>
    <w:p w14:paraId="67D6868E" w14:textId="77777777" w:rsidR="00343274" w:rsidRPr="00582B0B" w:rsidRDefault="00343274" w:rsidP="00F907FE">
      <w:pPr>
        <w:ind w:left="0" w:firstLine="0"/>
        <w:jc w:val="left"/>
        <w:rPr>
          <w:rFonts w:asciiTheme="minorHAnsi" w:hAnsiTheme="minorHAnsi" w:cstheme="minorHAnsi"/>
          <w:noProof/>
          <w:sz w:val="22"/>
          <w:szCs w:val="22"/>
          <w:lang w:val="es-ES"/>
        </w:rPr>
      </w:pPr>
    </w:p>
    <w:p w14:paraId="5054F84E" w14:textId="359DFC8C" w:rsidR="00F907FE" w:rsidRPr="00582B0B" w:rsidRDefault="00343274" w:rsidP="00F907FE">
      <w:pPr>
        <w:ind w:left="425" w:hanging="425"/>
        <w:jc w:val="left"/>
        <w:rPr>
          <w:rFonts w:asciiTheme="minorHAnsi" w:hAnsiTheme="minorHAnsi" w:cstheme="minorHAnsi"/>
          <w:noProof/>
          <w:sz w:val="22"/>
          <w:szCs w:val="22"/>
          <w:lang w:val="es-ES"/>
        </w:rPr>
      </w:pPr>
      <w:r w:rsidRPr="00582B0B">
        <w:rPr>
          <w:rFonts w:asciiTheme="minorHAnsi" w:hAnsiTheme="minorHAnsi" w:cstheme="minorHAnsi"/>
          <w:noProof/>
          <w:sz w:val="22"/>
          <w:szCs w:val="22"/>
          <w:lang w:val="es-ES"/>
        </w:rPr>
        <w:t>3.</w:t>
      </w:r>
      <w:r w:rsidRPr="00582B0B">
        <w:rPr>
          <w:rFonts w:asciiTheme="minorHAnsi" w:hAnsiTheme="minorHAnsi" w:cstheme="minorHAnsi"/>
          <w:noProof/>
          <w:sz w:val="22"/>
          <w:szCs w:val="22"/>
          <w:lang w:val="es-ES"/>
        </w:rPr>
        <w:tab/>
      </w:r>
      <w:r w:rsidR="00F907FE" w:rsidRPr="00582B0B">
        <w:rPr>
          <w:rFonts w:asciiTheme="minorHAnsi" w:hAnsiTheme="minorHAnsi" w:cstheme="minorHAnsi"/>
          <w:noProof/>
          <w:sz w:val="22"/>
          <w:szCs w:val="22"/>
          <w:lang w:val="es-ES"/>
        </w:rPr>
        <w:t xml:space="preserve">Las acciones propuestas recopiladas por la Secretaría en el Cuadro 1 se han </w:t>
      </w:r>
      <w:r w:rsidR="008330C8" w:rsidRPr="00582B0B">
        <w:rPr>
          <w:rFonts w:asciiTheme="minorHAnsi" w:hAnsiTheme="minorHAnsi" w:cstheme="minorHAnsi"/>
          <w:noProof/>
          <w:sz w:val="22"/>
          <w:szCs w:val="22"/>
          <w:lang w:val="es-ES"/>
        </w:rPr>
        <w:t>extraído</w:t>
      </w:r>
      <w:r w:rsidR="00F907FE" w:rsidRPr="00582B0B">
        <w:rPr>
          <w:rFonts w:asciiTheme="minorHAnsi" w:hAnsiTheme="minorHAnsi" w:cstheme="minorHAnsi"/>
          <w:noProof/>
          <w:sz w:val="22"/>
          <w:szCs w:val="22"/>
          <w:lang w:val="es-ES"/>
        </w:rPr>
        <w:t xml:space="preserve"> de los proyectos de resolución presentados por las Partes, los grupos de trabajo</w:t>
      </w:r>
      <w:r w:rsidR="008B15E0" w:rsidRPr="00582B0B">
        <w:rPr>
          <w:rFonts w:asciiTheme="minorHAnsi" w:hAnsiTheme="minorHAnsi" w:cstheme="minorHAnsi"/>
          <w:noProof/>
          <w:sz w:val="22"/>
          <w:szCs w:val="22"/>
          <w:lang w:val="es-ES"/>
        </w:rPr>
        <w:t xml:space="preserve"> y</w:t>
      </w:r>
      <w:r w:rsidR="00F907FE" w:rsidRPr="00582B0B">
        <w:rPr>
          <w:rFonts w:asciiTheme="minorHAnsi" w:hAnsiTheme="minorHAnsi" w:cstheme="minorHAnsi"/>
          <w:noProof/>
          <w:sz w:val="22"/>
          <w:szCs w:val="22"/>
          <w:lang w:val="es-ES"/>
        </w:rPr>
        <w:t xml:space="preserve"> los órganos subsidiarios</w:t>
      </w:r>
      <w:r w:rsidR="008B15E0" w:rsidRPr="00582B0B">
        <w:rPr>
          <w:rFonts w:asciiTheme="minorHAnsi" w:hAnsiTheme="minorHAnsi" w:cstheme="minorHAnsi"/>
          <w:noProof/>
          <w:sz w:val="22"/>
          <w:szCs w:val="22"/>
          <w:lang w:val="es-ES"/>
        </w:rPr>
        <w:t>, así como</w:t>
      </w:r>
      <w:r w:rsidR="00451A79">
        <w:rPr>
          <w:rFonts w:asciiTheme="minorHAnsi" w:hAnsiTheme="minorHAnsi" w:cstheme="minorHAnsi"/>
          <w:noProof/>
          <w:sz w:val="22"/>
          <w:szCs w:val="22"/>
          <w:lang w:val="es-ES"/>
        </w:rPr>
        <w:t xml:space="preserve"> de</w:t>
      </w:r>
      <w:r w:rsidR="00F907FE" w:rsidRPr="00582B0B">
        <w:rPr>
          <w:rFonts w:asciiTheme="minorHAnsi" w:hAnsiTheme="minorHAnsi" w:cstheme="minorHAnsi"/>
          <w:noProof/>
          <w:sz w:val="22"/>
          <w:szCs w:val="22"/>
          <w:lang w:val="es-ES"/>
        </w:rPr>
        <w:t xml:space="preserve"> los </w:t>
      </w:r>
      <w:r w:rsidR="008B15E0" w:rsidRPr="00582B0B">
        <w:rPr>
          <w:rFonts w:asciiTheme="minorHAnsi" w:hAnsiTheme="minorHAnsi" w:cstheme="minorHAnsi"/>
          <w:noProof/>
          <w:sz w:val="22"/>
          <w:szCs w:val="22"/>
          <w:lang w:val="es-ES"/>
        </w:rPr>
        <w:t>que ha elaborado</w:t>
      </w:r>
      <w:r w:rsidR="00F907FE" w:rsidRPr="00582B0B">
        <w:rPr>
          <w:rFonts w:asciiTheme="minorHAnsi" w:hAnsiTheme="minorHAnsi" w:cstheme="minorHAnsi"/>
          <w:noProof/>
          <w:sz w:val="22"/>
          <w:szCs w:val="22"/>
          <w:lang w:val="es-ES"/>
        </w:rPr>
        <w:t xml:space="preserve"> la Secretaría. La Secretaría ha </w:t>
      </w:r>
      <w:r w:rsidR="008330C8" w:rsidRPr="00582B0B">
        <w:rPr>
          <w:rFonts w:asciiTheme="minorHAnsi" w:hAnsiTheme="minorHAnsi" w:cstheme="minorHAnsi"/>
          <w:noProof/>
          <w:sz w:val="22"/>
          <w:szCs w:val="22"/>
          <w:lang w:val="es-ES"/>
        </w:rPr>
        <w:t>marcado</w:t>
      </w:r>
      <w:r w:rsidR="00F907FE" w:rsidRPr="00582B0B">
        <w:rPr>
          <w:rFonts w:asciiTheme="minorHAnsi" w:hAnsiTheme="minorHAnsi" w:cstheme="minorHAnsi"/>
          <w:noProof/>
          <w:sz w:val="22"/>
          <w:szCs w:val="22"/>
          <w:lang w:val="es-ES"/>
        </w:rPr>
        <w:t xml:space="preserve"> con un asterisco (*) las </w:t>
      </w:r>
      <w:r w:rsidR="008330C8" w:rsidRPr="00582B0B">
        <w:rPr>
          <w:rFonts w:asciiTheme="minorHAnsi" w:hAnsiTheme="minorHAnsi" w:cstheme="minorHAnsi"/>
          <w:noProof/>
          <w:sz w:val="22"/>
          <w:szCs w:val="22"/>
          <w:lang w:val="es-ES"/>
        </w:rPr>
        <w:t>repercusiones</w:t>
      </w:r>
      <w:r w:rsidR="00F907FE" w:rsidRPr="00582B0B">
        <w:rPr>
          <w:rFonts w:asciiTheme="minorHAnsi" w:hAnsiTheme="minorHAnsi" w:cstheme="minorHAnsi"/>
          <w:noProof/>
          <w:sz w:val="22"/>
          <w:szCs w:val="22"/>
          <w:lang w:val="es-ES"/>
        </w:rPr>
        <w:t xml:space="preserve"> administrativas y financieras </w:t>
      </w:r>
      <w:r w:rsidR="008330C8" w:rsidRPr="00582B0B">
        <w:rPr>
          <w:rFonts w:asciiTheme="minorHAnsi" w:hAnsiTheme="minorHAnsi" w:cstheme="minorHAnsi"/>
          <w:noProof/>
          <w:sz w:val="22"/>
          <w:szCs w:val="22"/>
          <w:lang w:val="es-ES"/>
        </w:rPr>
        <w:t>indicadas por</w:t>
      </w:r>
      <w:r w:rsidR="00F907FE" w:rsidRPr="00582B0B">
        <w:rPr>
          <w:rFonts w:asciiTheme="minorHAnsi" w:hAnsiTheme="minorHAnsi" w:cstheme="minorHAnsi"/>
          <w:noProof/>
          <w:sz w:val="22"/>
          <w:szCs w:val="22"/>
          <w:lang w:val="es-ES"/>
        </w:rPr>
        <w:t xml:space="preserve"> los proponentes y con un doble asterisco (**) las estimaciones </w:t>
      </w:r>
      <w:r w:rsidR="008330C8" w:rsidRPr="00582B0B">
        <w:rPr>
          <w:rFonts w:asciiTheme="minorHAnsi" w:hAnsiTheme="minorHAnsi" w:cstheme="minorHAnsi"/>
          <w:noProof/>
          <w:sz w:val="22"/>
          <w:szCs w:val="22"/>
          <w:lang w:val="es-ES"/>
        </w:rPr>
        <w:t>realizadas por</w:t>
      </w:r>
      <w:r w:rsidR="000F0516" w:rsidRPr="00582B0B">
        <w:rPr>
          <w:rFonts w:asciiTheme="minorHAnsi" w:hAnsiTheme="minorHAnsi" w:cstheme="minorHAnsi"/>
          <w:noProof/>
          <w:sz w:val="22"/>
          <w:szCs w:val="22"/>
          <w:lang w:val="es-ES"/>
        </w:rPr>
        <w:t xml:space="preserve"> </w:t>
      </w:r>
      <w:r w:rsidR="00F907FE" w:rsidRPr="00582B0B">
        <w:rPr>
          <w:rFonts w:asciiTheme="minorHAnsi" w:hAnsiTheme="minorHAnsi" w:cstheme="minorHAnsi"/>
          <w:noProof/>
          <w:sz w:val="22"/>
          <w:szCs w:val="22"/>
          <w:lang w:val="es-ES"/>
        </w:rPr>
        <w:t xml:space="preserve">la Secretaría. En </w:t>
      </w:r>
      <w:r w:rsidR="000F0516" w:rsidRPr="00582B0B">
        <w:rPr>
          <w:rFonts w:asciiTheme="minorHAnsi" w:hAnsiTheme="minorHAnsi" w:cstheme="minorHAnsi"/>
          <w:noProof/>
          <w:sz w:val="22"/>
          <w:szCs w:val="22"/>
          <w:lang w:val="es-ES"/>
        </w:rPr>
        <w:t>lo referente</w:t>
      </w:r>
      <w:r w:rsidR="00F907FE" w:rsidRPr="00582B0B">
        <w:rPr>
          <w:rFonts w:asciiTheme="minorHAnsi" w:hAnsiTheme="minorHAnsi" w:cstheme="minorHAnsi"/>
          <w:noProof/>
          <w:sz w:val="22"/>
          <w:szCs w:val="22"/>
          <w:lang w:val="es-ES"/>
        </w:rPr>
        <w:t xml:space="preserve"> a los días de personal, la información </w:t>
      </w:r>
      <w:r w:rsidR="000F0516" w:rsidRPr="00582B0B">
        <w:rPr>
          <w:rFonts w:asciiTheme="minorHAnsi" w:hAnsiTheme="minorHAnsi" w:cstheme="minorHAnsi"/>
          <w:noProof/>
          <w:sz w:val="22"/>
          <w:szCs w:val="22"/>
          <w:lang w:val="es-ES"/>
        </w:rPr>
        <w:t xml:space="preserve">que </w:t>
      </w:r>
      <w:r w:rsidR="008B15E0" w:rsidRPr="00582B0B">
        <w:rPr>
          <w:rFonts w:asciiTheme="minorHAnsi" w:hAnsiTheme="minorHAnsi" w:cstheme="minorHAnsi"/>
          <w:noProof/>
          <w:sz w:val="22"/>
          <w:szCs w:val="22"/>
          <w:lang w:val="es-ES"/>
        </w:rPr>
        <w:t>figura</w:t>
      </w:r>
      <w:r w:rsidR="00F907FE" w:rsidRPr="00582B0B">
        <w:rPr>
          <w:rFonts w:asciiTheme="minorHAnsi" w:hAnsiTheme="minorHAnsi" w:cstheme="minorHAnsi"/>
          <w:noProof/>
          <w:sz w:val="22"/>
          <w:szCs w:val="22"/>
          <w:lang w:val="es-ES"/>
        </w:rPr>
        <w:t xml:space="preserve"> en </w:t>
      </w:r>
      <w:r w:rsidR="000F0516" w:rsidRPr="00582B0B">
        <w:rPr>
          <w:rFonts w:asciiTheme="minorHAnsi" w:hAnsiTheme="minorHAnsi" w:cstheme="minorHAnsi"/>
          <w:noProof/>
          <w:sz w:val="22"/>
          <w:szCs w:val="22"/>
          <w:lang w:val="es-ES"/>
        </w:rPr>
        <w:t>el cuadro</w:t>
      </w:r>
      <w:r w:rsidR="00F907FE" w:rsidRPr="00582B0B">
        <w:rPr>
          <w:rFonts w:asciiTheme="minorHAnsi" w:hAnsiTheme="minorHAnsi" w:cstheme="minorHAnsi"/>
          <w:noProof/>
          <w:sz w:val="22"/>
          <w:szCs w:val="22"/>
          <w:lang w:val="es-ES"/>
        </w:rPr>
        <w:t xml:space="preserve"> se refiere a los días de personal adicionales </w:t>
      </w:r>
      <w:r w:rsidR="000F0516" w:rsidRPr="00582B0B">
        <w:rPr>
          <w:rFonts w:asciiTheme="minorHAnsi" w:hAnsiTheme="minorHAnsi" w:cstheme="minorHAnsi"/>
          <w:noProof/>
          <w:sz w:val="22"/>
          <w:szCs w:val="22"/>
          <w:lang w:val="es-ES"/>
        </w:rPr>
        <w:t>que se requieren</w:t>
      </w:r>
      <w:r w:rsidR="00F907FE" w:rsidRPr="00582B0B">
        <w:rPr>
          <w:rFonts w:asciiTheme="minorHAnsi" w:hAnsiTheme="minorHAnsi" w:cstheme="minorHAnsi"/>
          <w:noProof/>
          <w:sz w:val="22"/>
          <w:szCs w:val="22"/>
          <w:lang w:val="es-ES"/>
        </w:rPr>
        <w:t xml:space="preserve"> para llevar a cabo las actividades y tareas propuestas. </w:t>
      </w:r>
      <w:r w:rsidR="000F0516" w:rsidRPr="00582B0B">
        <w:rPr>
          <w:rFonts w:asciiTheme="minorHAnsi" w:hAnsiTheme="minorHAnsi" w:cstheme="minorHAnsi"/>
          <w:noProof/>
          <w:sz w:val="22"/>
          <w:szCs w:val="22"/>
          <w:lang w:val="es-ES"/>
        </w:rPr>
        <w:t>Esto no incluye</w:t>
      </w:r>
      <w:r w:rsidR="00F907FE" w:rsidRPr="00582B0B">
        <w:rPr>
          <w:rFonts w:asciiTheme="minorHAnsi" w:hAnsiTheme="minorHAnsi" w:cstheme="minorHAnsi"/>
          <w:noProof/>
          <w:sz w:val="22"/>
          <w:szCs w:val="22"/>
          <w:lang w:val="es-ES"/>
        </w:rPr>
        <w:t xml:space="preserve"> los días de personal </w:t>
      </w:r>
      <w:r w:rsidR="000F0516" w:rsidRPr="00582B0B">
        <w:rPr>
          <w:rFonts w:asciiTheme="minorHAnsi" w:hAnsiTheme="minorHAnsi" w:cstheme="minorHAnsi"/>
          <w:noProof/>
          <w:sz w:val="22"/>
          <w:szCs w:val="22"/>
          <w:lang w:val="es-ES"/>
        </w:rPr>
        <w:t xml:space="preserve">que se </w:t>
      </w:r>
      <w:r w:rsidR="008B15E0" w:rsidRPr="00582B0B">
        <w:rPr>
          <w:rFonts w:asciiTheme="minorHAnsi" w:hAnsiTheme="minorHAnsi" w:cstheme="minorHAnsi"/>
          <w:noProof/>
          <w:sz w:val="22"/>
          <w:szCs w:val="22"/>
          <w:lang w:val="es-ES"/>
        </w:rPr>
        <w:t>necesitan</w:t>
      </w:r>
      <w:r w:rsidR="00F907FE" w:rsidRPr="00582B0B">
        <w:rPr>
          <w:rFonts w:asciiTheme="minorHAnsi" w:hAnsiTheme="minorHAnsi" w:cstheme="minorHAnsi"/>
          <w:noProof/>
          <w:sz w:val="22"/>
          <w:szCs w:val="22"/>
          <w:lang w:val="es-ES"/>
        </w:rPr>
        <w:t xml:space="preserve"> para llevar a cabo las actividades y tareas que ya están </w:t>
      </w:r>
      <w:r w:rsidR="000F0516" w:rsidRPr="00582B0B">
        <w:rPr>
          <w:rFonts w:asciiTheme="minorHAnsi" w:hAnsiTheme="minorHAnsi" w:cstheme="minorHAnsi"/>
          <w:noProof/>
          <w:sz w:val="22"/>
          <w:szCs w:val="22"/>
          <w:lang w:val="es-ES"/>
        </w:rPr>
        <w:t>contempladas</w:t>
      </w:r>
      <w:r w:rsidR="00F907FE" w:rsidRPr="00582B0B">
        <w:rPr>
          <w:rFonts w:asciiTheme="minorHAnsi" w:hAnsiTheme="minorHAnsi" w:cstheme="minorHAnsi"/>
          <w:noProof/>
          <w:sz w:val="22"/>
          <w:szCs w:val="22"/>
          <w:lang w:val="es-ES"/>
        </w:rPr>
        <w:t xml:space="preserve"> en las </w:t>
      </w:r>
      <w:r w:rsidR="000F0516" w:rsidRPr="00582B0B">
        <w:rPr>
          <w:rFonts w:asciiTheme="minorHAnsi" w:hAnsiTheme="minorHAnsi" w:cstheme="minorHAnsi"/>
          <w:noProof/>
          <w:sz w:val="22"/>
          <w:szCs w:val="22"/>
          <w:lang w:val="es-ES"/>
        </w:rPr>
        <w:t>esferas</w:t>
      </w:r>
      <w:r w:rsidR="008B15E0" w:rsidRPr="00582B0B">
        <w:rPr>
          <w:rFonts w:asciiTheme="minorHAnsi" w:hAnsiTheme="minorHAnsi" w:cstheme="minorHAnsi"/>
          <w:noProof/>
          <w:sz w:val="22"/>
          <w:szCs w:val="22"/>
          <w:lang w:val="es-ES"/>
        </w:rPr>
        <w:t xml:space="preserve"> básicas</w:t>
      </w:r>
      <w:r w:rsidR="00F907FE" w:rsidRPr="00582B0B">
        <w:rPr>
          <w:rFonts w:asciiTheme="minorHAnsi" w:hAnsiTheme="minorHAnsi" w:cstheme="minorHAnsi"/>
          <w:noProof/>
          <w:sz w:val="22"/>
          <w:szCs w:val="22"/>
          <w:lang w:val="es-ES"/>
        </w:rPr>
        <w:t xml:space="preserve"> de trabajo de la Secretaría y </w:t>
      </w:r>
      <w:r w:rsidR="00451A79">
        <w:rPr>
          <w:rFonts w:asciiTheme="minorHAnsi" w:hAnsiTheme="minorHAnsi" w:cstheme="minorHAnsi"/>
          <w:noProof/>
          <w:sz w:val="22"/>
          <w:szCs w:val="22"/>
          <w:lang w:val="es-ES"/>
        </w:rPr>
        <w:t xml:space="preserve">en </w:t>
      </w:r>
      <w:r w:rsidR="00F907FE" w:rsidRPr="00582B0B">
        <w:rPr>
          <w:rFonts w:asciiTheme="minorHAnsi" w:hAnsiTheme="minorHAnsi" w:cstheme="minorHAnsi"/>
          <w:noProof/>
          <w:sz w:val="22"/>
          <w:szCs w:val="22"/>
          <w:lang w:val="es-ES"/>
        </w:rPr>
        <w:t>su plan de trabajo.</w:t>
      </w:r>
    </w:p>
    <w:p w14:paraId="5F8E0DA9" w14:textId="77777777" w:rsidR="00F907FE" w:rsidRPr="00582B0B" w:rsidRDefault="00F907FE" w:rsidP="00F907FE">
      <w:pPr>
        <w:ind w:left="0" w:firstLine="0"/>
        <w:jc w:val="left"/>
        <w:rPr>
          <w:rFonts w:asciiTheme="minorHAnsi" w:hAnsiTheme="minorHAnsi" w:cstheme="minorHAnsi"/>
          <w:noProof/>
          <w:sz w:val="22"/>
          <w:szCs w:val="22"/>
          <w:lang w:val="es-ES"/>
        </w:rPr>
      </w:pPr>
    </w:p>
    <w:p w14:paraId="24971144" w14:textId="77777777" w:rsidR="00CE581A" w:rsidRDefault="00CE581A">
      <w:pPr>
        <w:spacing w:after="160" w:line="259" w:lineRule="auto"/>
        <w:ind w:left="0" w:firstLine="0"/>
        <w:jc w:val="left"/>
        <w:rPr>
          <w:rFonts w:asciiTheme="minorHAnsi" w:hAnsiTheme="minorHAnsi" w:cstheme="minorHAnsi"/>
          <w:i/>
          <w:noProof/>
          <w:sz w:val="22"/>
          <w:szCs w:val="22"/>
          <w:lang w:val="es-ES"/>
        </w:rPr>
      </w:pPr>
      <w:r>
        <w:rPr>
          <w:rFonts w:asciiTheme="minorHAnsi" w:hAnsiTheme="minorHAnsi" w:cstheme="minorHAnsi"/>
          <w:i/>
          <w:noProof/>
          <w:sz w:val="22"/>
          <w:szCs w:val="22"/>
          <w:lang w:val="es-ES"/>
        </w:rPr>
        <w:br w:type="page"/>
      </w:r>
    </w:p>
    <w:p w14:paraId="65A32E11" w14:textId="747416AE" w:rsidR="00AA2EDD" w:rsidRPr="00582B0B" w:rsidRDefault="008B15E0" w:rsidP="001C7FFC">
      <w:pPr>
        <w:spacing w:after="160" w:line="259" w:lineRule="auto"/>
        <w:ind w:left="0" w:firstLine="0"/>
        <w:jc w:val="left"/>
        <w:rPr>
          <w:rFonts w:asciiTheme="minorHAnsi" w:hAnsiTheme="minorHAnsi" w:cstheme="minorHAnsi"/>
          <w:i/>
          <w:noProof/>
          <w:sz w:val="22"/>
          <w:szCs w:val="22"/>
          <w:lang w:val="es-ES"/>
        </w:rPr>
      </w:pPr>
      <w:r w:rsidRPr="00582B0B">
        <w:rPr>
          <w:rFonts w:asciiTheme="minorHAnsi" w:hAnsiTheme="minorHAnsi" w:cstheme="minorHAnsi"/>
          <w:i/>
          <w:noProof/>
          <w:sz w:val="22"/>
          <w:szCs w:val="22"/>
          <w:lang w:val="es-ES"/>
        </w:rPr>
        <w:t>C</w:t>
      </w:r>
      <w:r w:rsidR="001C7FFC">
        <w:rPr>
          <w:rFonts w:asciiTheme="minorHAnsi" w:hAnsiTheme="minorHAnsi" w:cstheme="minorHAnsi"/>
          <w:i/>
          <w:noProof/>
          <w:sz w:val="22"/>
          <w:szCs w:val="22"/>
          <w:lang w:val="es-ES"/>
        </w:rPr>
        <w:t>ua</w:t>
      </w:r>
      <w:r w:rsidRPr="00582B0B">
        <w:rPr>
          <w:rFonts w:asciiTheme="minorHAnsi" w:hAnsiTheme="minorHAnsi" w:cstheme="minorHAnsi"/>
          <w:i/>
          <w:noProof/>
          <w:sz w:val="22"/>
          <w:szCs w:val="22"/>
          <w:lang w:val="es-ES"/>
        </w:rPr>
        <w:t>dro</w:t>
      </w:r>
      <w:r w:rsidR="003D6800" w:rsidRPr="00582B0B">
        <w:rPr>
          <w:rFonts w:asciiTheme="minorHAnsi" w:hAnsiTheme="minorHAnsi" w:cstheme="minorHAnsi"/>
          <w:i/>
          <w:noProof/>
          <w:sz w:val="22"/>
          <w:szCs w:val="22"/>
          <w:lang w:val="es-ES"/>
        </w:rPr>
        <w:t xml:space="preserve"> 1: </w:t>
      </w:r>
      <w:r w:rsidR="008330C8" w:rsidRPr="00582B0B">
        <w:rPr>
          <w:rFonts w:asciiTheme="minorHAnsi" w:hAnsiTheme="minorHAnsi" w:cstheme="minorHAnsi"/>
          <w:i/>
          <w:noProof/>
          <w:sz w:val="22"/>
          <w:szCs w:val="22"/>
          <w:lang w:val="es-ES"/>
        </w:rPr>
        <w:t>Repercusiones</w:t>
      </w:r>
      <w:r w:rsidRPr="00582B0B">
        <w:rPr>
          <w:rFonts w:asciiTheme="minorHAnsi" w:hAnsiTheme="minorHAnsi" w:cstheme="minorHAnsi"/>
          <w:i/>
          <w:noProof/>
          <w:sz w:val="22"/>
          <w:szCs w:val="22"/>
          <w:lang w:val="es-ES"/>
        </w:rPr>
        <w:t xml:space="preserve"> administrativas y financieras previstas de los proyectos de resolución</w:t>
      </w:r>
      <w:r w:rsidRPr="00582B0B">
        <w:rPr>
          <w:noProof/>
          <w:lang w:val="es-ES"/>
        </w:rPr>
        <w:t xml:space="preserve">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77"/>
        <w:gridCol w:w="1842"/>
        <w:gridCol w:w="2835"/>
        <w:gridCol w:w="1418"/>
        <w:gridCol w:w="2126"/>
      </w:tblGrid>
      <w:tr w:rsidR="00CE581A" w:rsidRPr="00CC25E9" w14:paraId="40F02DE3" w14:textId="77777777" w:rsidTr="00E822D5">
        <w:trPr>
          <w:cantSplit/>
          <w:tblHeader/>
        </w:trPr>
        <w:tc>
          <w:tcPr>
            <w:tcW w:w="1277" w:type="dxa"/>
            <w:shd w:val="clear" w:color="auto" w:fill="D9D9D9" w:themeFill="background1" w:themeFillShade="D9"/>
            <w:noWrap/>
            <w:vAlign w:val="center"/>
          </w:tcPr>
          <w:p w14:paraId="5A69BE4F" w14:textId="77777777" w:rsidR="00CE581A" w:rsidRPr="00CC25E9" w:rsidRDefault="00CE581A" w:rsidP="00E822D5">
            <w:pPr>
              <w:widowControl w:val="0"/>
              <w:ind w:left="0" w:firstLine="0"/>
              <w:jc w:val="center"/>
              <w:rPr>
                <w:rFonts w:asciiTheme="minorHAnsi" w:hAnsiTheme="minorHAnsi" w:cstheme="minorHAnsi"/>
                <w:b/>
                <w:bCs/>
                <w:color w:val="000000"/>
                <w:sz w:val="22"/>
                <w:szCs w:val="22"/>
              </w:rPr>
            </w:pPr>
            <w:r w:rsidRPr="00CC25E9">
              <w:rPr>
                <w:rFonts w:asciiTheme="minorHAnsi" w:hAnsiTheme="minorHAnsi" w:cstheme="minorHAnsi"/>
                <w:b/>
                <w:bCs/>
                <w:color w:val="000000"/>
                <w:sz w:val="22"/>
                <w:szCs w:val="22"/>
                <w:lang w:val="es-ES"/>
              </w:rPr>
              <w:lastRenderedPageBreak/>
              <w:t>Documento</w:t>
            </w:r>
          </w:p>
        </w:tc>
        <w:tc>
          <w:tcPr>
            <w:tcW w:w="1842" w:type="dxa"/>
            <w:shd w:val="clear" w:color="auto" w:fill="D9D9D9" w:themeFill="background1" w:themeFillShade="D9"/>
            <w:noWrap/>
            <w:vAlign w:val="center"/>
          </w:tcPr>
          <w:p w14:paraId="25B6C753" w14:textId="77777777" w:rsidR="00CE581A" w:rsidRPr="00CC25E9" w:rsidRDefault="00CE581A" w:rsidP="00E822D5">
            <w:pPr>
              <w:widowControl w:val="0"/>
              <w:ind w:left="0" w:firstLine="0"/>
              <w:jc w:val="center"/>
              <w:rPr>
                <w:rFonts w:asciiTheme="minorHAnsi" w:hAnsiTheme="minorHAnsi" w:cstheme="minorHAnsi"/>
                <w:b/>
                <w:bCs/>
                <w:color w:val="000000"/>
                <w:sz w:val="22"/>
                <w:szCs w:val="22"/>
              </w:rPr>
            </w:pPr>
            <w:r w:rsidRPr="00CC25E9">
              <w:rPr>
                <w:rFonts w:asciiTheme="minorHAnsi" w:hAnsiTheme="minorHAnsi" w:cstheme="minorHAnsi"/>
                <w:b/>
                <w:bCs/>
                <w:color w:val="000000"/>
                <w:sz w:val="22"/>
                <w:szCs w:val="22"/>
                <w:lang w:val="es-ES"/>
              </w:rPr>
              <w:t>Proyecto de resolución</w:t>
            </w:r>
          </w:p>
        </w:tc>
        <w:tc>
          <w:tcPr>
            <w:tcW w:w="2835" w:type="dxa"/>
            <w:shd w:val="clear" w:color="auto" w:fill="D9D9D9" w:themeFill="background1" w:themeFillShade="D9"/>
            <w:vAlign w:val="center"/>
          </w:tcPr>
          <w:p w14:paraId="700980D5" w14:textId="77777777" w:rsidR="00CE581A" w:rsidRPr="00CC25E9" w:rsidRDefault="00CE581A" w:rsidP="00E822D5">
            <w:pPr>
              <w:widowControl w:val="0"/>
              <w:ind w:left="0" w:firstLine="0"/>
              <w:jc w:val="center"/>
              <w:rPr>
                <w:rFonts w:asciiTheme="minorHAnsi" w:hAnsiTheme="minorHAnsi" w:cstheme="minorHAnsi"/>
                <w:b/>
                <w:bCs/>
                <w:color w:val="000000"/>
                <w:sz w:val="22"/>
                <w:szCs w:val="22"/>
              </w:rPr>
            </w:pPr>
            <w:r w:rsidRPr="00CC25E9">
              <w:rPr>
                <w:rFonts w:asciiTheme="minorHAnsi" w:hAnsiTheme="minorHAnsi" w:cstheme="minorHAnsi"/>
                <w:b/>
                <w:bCs/>
                <w:color w:val="000000"/>
                <w:sz w:val="22"/>
                <w:szCs w:val="22"/>
                <w:lang w:val="es-ES"/>
              </w:rPr>
              <w:t xml:space="preserve">Actividades/tareas requeridas </w:t>
            </w:r>
          </w:p>
        </w:tc>
        <w:tc>
          <w:tcPr>
            <w:tcW w:w="1418" w:type="dxa"/>
            <w:shd w:val="clear" w:color="auto" w:fill="D9D9D9" w:themeFill="background1" w:themeFillShade="D9"/>
            <w:vAlign w:val="center"/>
          </w:tcPr>
          <w:p w14:paraId="37A068BC" w14:textId="77777777" w:rsidR="00CE581A" w:rsidRPr="00CC25E9" w:rsidRDefault="00CE581A" w:rsidP="00E822D5">
            <w:pPr>
              <w:widowControl w:val="0"/>
              <w:ind w:left="0" w:firstLine="0"/>
              <w:jc w:val="center"/>
              <w:rPr>
                <w:rFonts w:asciiTheme="minorHAnsi" w:hAnsiTheme="minorHAnsi" w:cstheme="minorHAnsi"/>
                <w:b/>
                <w:bCs/>
                <w:color w:val="000000"/>
                <w:sz w:val="22"/>
                <w:szCs w:val="22"/>
              </w:rPr>
            </w:pPr>
            <w:r w:rsidRPr="00CC25E9">
              <w:rPr>
                <w:rFonts w:asciiTheme="minorHAnsi" w:hAnsiTheme="minorHAnsi" w:cstheme="minorHAnsi"/>
                <w:b/>
                <w:bCs/>
                <w:color w:val="000000"/>
                <w:sz w:val="22"/>
                <w:szCs w:val="22"/>
                <w:lang w:val="es-ES"/>
              </w:rPr>
              <w:t xml:space="preserve">Días de personal adicionales </w:t>
            </w:r>
          </w:p>
        </w:tc>
        <w:tc>
          <w:tcPr>
            <w:tcW w:w="2126" w:type="dxa"/>
            <w:shd w:val="clear" w:color="auto" w:fill="D9D9D9" w:themeFill="background1" w:themeFillShade="D9"/>
            <w:vAlign w:val="center"/>
          </w:tcPr>
          <w:p w14:paraId="1FDEC9CB" w14:textId="77777777" w:rsidR="00CE581A" w:rsidRPr="00CC25E9" w:rsidRDefault="00CE581A" w:rsidP="00E822D5">
            <w:pPr>
              <w:widowControl w:val="0"/>
              <w:ind w:left="0" w:firstLine="0"/>
              <w:jc w:val="center"/>
              <w:rPr>
                <w:rFonts w:asciiTheme="minorHAnsi" w:hAnsiTheme="minorHAnsi" w:cstheme="minorHAnsi"/>
                <w:b/>
                <w:bCs/>
                <w:color w:val="000000"/>
                <w:sz w:val="22"/>
                <w:szCs w:val="22"/>
              </w:rPr>
            </w:pPr>
            <w:r w:rsidRPr="00CC25E9">
              <w:rPr>
                <w:rFonts w:asciiTheme="minorHAnsi" w:hAnsiTheme="minorHAnsi" w:cstheme="minorHAnsi"/>
                <w:b/>
                <w:bCs/>
                <w:color w:val="000000"/>
                <w:sz w:val="22"/>
                <w:szCs w:val="22"/>
                <w:lang w:val="es-ES"/>
              </w:rPr>
              <w:t>Costo (francos suizos)</w:t>
            </w:r>
          </w:p>
        </w:tc>
      </w:tr>
      <w:tr w:rsidR="00CE581A" w:rsidRPr="00CC25E9" w14:paraId="52216E86" w14:textId="77777777" w:rsidTr="00E822D5">
        <w:trPr>
          <w:cantSplit/>
        </w:trPr>
        <w:tc>
          <w:tcPr>
            <w:tcW w:w="9498" w:type="dxa"/>
            <w:gridSpan w:val="5"/>
            <w:shd w:val="clear" w:color="auto" w:fill="auto"/>
            <w:noWrap/>
            <w:vAlign w:val="center"/>
          </w:tcPr>
          <w:p w14:paraId="591D3FB2" w14:textId="77777777" w:rsidR="00CE581A" w:rsidRPr="00CC25E9" w:rsidDel="00886642" w:rsidRDefault="00CE581A" w:rsidP="00E822D5">
            <w:pPr>
              <w:widowControl w:val="0"/>
              <w:spacing w:before="60" w:after="6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
                <w:bCs/>
                <w:color w:val="000000"/>
                <w:sz w:val="22"/>
                <w:szCs w:val="22"/>
                <w:lang w:val="es-ES"/>
              </w:rPr>
              <w:t>Proyectos de resolución elaborados por la Secretaría</w:t>
            </w:r>
          </w:p>
        </w:tc>
      </w:tr>
      <w:tr w:rsidR="00CE581A" w:rsidRPr="00772E80" w14:paraId="74D6E5D5" w14:textId="77777777" w:rsidTr="00E822D5">
        <w:trPr>
          <w:cantSplit/>
        </w:trPr>
        <w:tc>
          <w:tcPr>
            <w:tcW w:w="1277" w:type="dxa"/>
            <w:shd w:val="clear" w:color="auto" w:fill="auto"/>
            <w:noWrap/>
          </w:tcPr>
          <w:p w14:paraId="6799E2DE"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SC59/2022 Doc.8.3</w:t>
            </w:r>
          </w:p>
        </w:tc>
        <w:tc>
          <w:tcPr>
            <w:tcW w:w="1842" w:type="dxa"/>
            <w:shd w:val="clear" w:color="auto" w:fill="auto"/>
            <w:noWrap/>
          </w:tcPr>
          <w:p w14:paraId="15A156D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 xml:space="preserve">Proyecto de resolución sobre </w:t>
            </w:r>
            <w:r>
              <w:rPr>
                <w:rFonts w:asciiTheme="minorHAnsi" w:hAnsiTheme="minorHAnsi" w:cstheme="minorHAnsi"/>
                <w:bCs/>
                <w:color w:val="000000"/>
                <w:sz w:val="22"/>
                <w:szCs w:val="22"/>
                <w:lang w:val="es-ES"/>
              </w:rPr>
              <w:t>c</w:t>
            </w:r>
            <w:r w:rsidRPr="006F42B2">
              <w:rPr>
                <w:rFonts w:asciiTheme="minorHAnsi" w:hAnsiTheme="minorHAnsi" w:cstheme="minorHAnsi"/>
                <w:bCs/>
                <w:color w:val="000000"/>
                <w:sz w:val="22"/>
                <w:szCs w:val="22"/>
                <w:lang w:val="es-ES"/>
              </w:rPr>
              <w:t xml:space="preserve">uestiones financieras y presupuestarias </w:t>
            </w:r>
          </w:p>
        </w:tc>
        <w:tc>
          <w:tcPr>
            <w:tcW w:w="2835" w:type="dxa"/>
            <w:shd w:val="clear" w:color="auto" w:fill="auto"/>
          </w:tcPr>
          <w:p w14:paraId="698D10B4" w14:textId="77777777" w:rsidR="00CE581A" w:rsidRPr="006F42B2" w:rsidRDefault="00CE581A" w:rsidP="00E822D5">
            <w:pPr>
              <w:ind w:left="0" w:firstLine="0"/>
              <w:jc w:val="left"/>
              <w:rPr>
                <w:rFonts w:asciiTheme="minorHAnsi" w:hAnsiTheme="minorHAnsi" w:cstheme="minorHAnsi"/>
                <w:sz w:val="22"/>
                <w:szCs w:val="22"/>
                <w:lang w:val="es-ES"/>
              </w:rPr>
            </w:pPr>
            <w:r w:rsidRPr="006F42B2">
              <w:rPr>
                <w:rFonts w:asciiTheme="minorHAnsi" w:hAnsiTheme="minorHAnsi" w:cstheme="minorHAnsi"/>
                <w:sz w:val="22"/>
                <w:szCs w:val="22"/>
                <w:lang w:val="es-ES"/>
              </w:rPr>
              <w:t>Con arreglo al escenario presupuestario aprobado por la COP14.</w:t>
            </w:r>
          </w:p>
          <w:p w14:paraId="63C6B5BC"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418" w:type="dxa"/>
            <w:shd w:val="clear" w:color="auto" w:fill="auto"/>
          </w:tcPr>
          <w:p w14:paraId="5936E029"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0</w:t>
            </w:r>
          </w:p>
        </w:tc>
        <w:tc>
          <w:tcPr>
            <w:tcW w:w="2126" w:type="dxa"/>
            <w:shd w:val="clear" w:color="auto" w:fill="auto"/>
          </w:tcPr>
          <w:p w14:paraId="29427032"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0</w:t>
            </w:r>
          </w:p>
        </w:tc>
      </w:tr>
      <w:tr w:rsidR="00CE581A" w:rsidRPr="00772E80" w14:paraId="137058DB" w14:textId="77777777" w:rsidTr="00E822D5">
        <w:trPr>
          <w:cantSplit/>
        </w:trPr>
        <w:tc>
          <w:tcPr>
            <w:tcW w:w="1277" w:type="dxa"/>
            <w:shd w:val="clear" w:color="auto" w:fill="auto"/>
            <w:noWrap/>
          </w:tcPr>
          <w:p w14:paraId="733C1B01"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 xml:space="preserve">SC59 Doc.13.1 </w:t>
            </w:r>
          </w:p>
        </w:tc>
        <w:tc>
          <w:tcPr>
            <w:tcW w:w="1842" w:type="dxa"/>
            <w:shd w:val="clear" w:color="auto" w:fill="auto"/>
            <w:noWrap/>
          </w:tcPr>
          <w:p w14:paraId="63E4F4AA"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 xml:space="preserve">Proyecto de resolución sobre el </w:t>
            </w:r>
            <w:r>
              <w:rPr>
                <w:rFonts w:asciiTheme="minorHAnsi" w:hAnsiTheme="minorHAnsi" w:cstheme="minorHAnsi"/>
                <w:bCs/>
                <w:color w:val="000000"/>
                <w:sz w:val="22"/>
                <w:szCs w:val="22"/>
                <w:lang w:val="es-ES"/>
              </w:rPr>
              <w:t>p</w:t>
            </w:r>
            <w:r w:rsidRPr="006F42B2">
              <w:rPr>
                <w:rFonts w:asciiTheme="minorHAnsi" w:hAnsiTheme="minorHAnsi" w:cstheme="minorHAnsi"/>
                <w:bCs/>
                <w:color w:val="000000"/>
                <w:sz w:val="22"/>
                <w:szCs w:val="22"/>
                <w:lang w:val="es-ES"/>
              </w:rPr>
              <w:t>rocedimiento para realizar el examen de todas las resoluciones y decisiones anteriores</w:t>
            </w:r>
          </w:p>
        </w:tc>
        <w:tc>
          <w:tcPr>
            <w:tcW w:w="2835" w:type="dxa"/>
            <w:shd w:val="clear" w:color="auto" w:fill="auto"/>
          </w:tcPr>
          <w:p w14:paraId="618B0EF9"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sz w:val="22"/>
                <w:szCs w:val="22"/>
                <w:lang w:val="es-ES"/>
              </w:rPr>
              <w:t>Aprobar la asignación de 12</w:t>
            </w:r>
            <w:r>
              <w:rPr>
                <w:rFonts w:asciiTheme="minorHAnsi" w:hAnsiTheme="minorHAnsi" w:cstheme="minorHAnsi"/>
                <w:sz w:val="22"/>
                <w:szCs w:val="22"/>
                <w:lang w:val="es-ES"/>
              </w:rPr>
              <w:t> </w:t>
            </w:r>
            <w:r w:rsidRPr="006F42B2">
              <w:rPr>
                <w:rFonts w:asciiTheme="minorHAnsi" w:hAnsiTheme="minorHAnsi" w:cstheme="minorHAnsi"/>
                <w:sz w:val="22"/>
                <w:szCs w:val="22"/>
                <w:lang w:val="es-ES"/>
              </w:rPr>
              <w:t>000 francos suizos, incluidos los fondos no utilizados a finales de 2021, para sufragar el costo de la continuación del trabajo de consolidación de las resoluciones.</w:t>
            </w:r>
          </w:p>
        </w:tc>
        <w:tc>
          <w:tcPr>
            <w:tcW w:w="1418" w:type="dxa"/>
            <w:shd w:val="clear" w:color="auto" w:fill="auto"/>
          </w:tcPr>
          <w:p w14:paraId="2ECA51E8"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0</w:t>
            </w:r>
          </w:p>
        </w:tc>
        <w:tc>
          <w:tcPr>
            <w:tcW w:w="2126" w:type="dxa"/>
            <w:shd w:val="clear" w:color="auto" w:fill="auto"/>
          </w:tcPr>
          <w:p w14:paraId="22B4F6E4"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10 000</w:t>
            </w:r>
          </w:p>
        </w:tc>
      </w:tr>
      <w:tr w:rsidR="00CE581A" w:rsidRPr="00772E80" w14:paraId="70158D81" w14:textId="77777777" w:rsidTr="00E822D5">
        <w:trPr>
          <w:cantSplit/>
        </w:trPr>
        <w:tc>
          <w:tcPr>
            <w:tcW w:w="1277" w:type="dxa"/>
            <w:shd w:val="clear" w:color="auto" w:fill="auto"/>
            <w:noWrap/>
          </w:tcPr>
          <w:p w14:paraId="580D7CBC"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 Doc.13.3</w:t>
            </w:r>
          </w:p>
        </w:tc>
        <w:tc>
          <w:tcPr>
            <w:tcW w:w="1842" w:type="dxa"/>
            <w:shd w:val="clear" w:color="auto" w:fill="auto"/>
            <w:noWrap/>
          </w:tcPr>
          <w:p w14:paraId="1877147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Proyecto de resolución consolidada sobre “Inventarios”</w:t>
            </w:r>
          </w:p>
        </w:tc>
        <w:tc>
          <w:tcPr>
            <w:tcW w:w="2835" w:type="dxa"/>
            <w:shd w:val="clear" w:color="auto" w:fill="auto"/>
          </w:tcPr>
          <w:p w14:paraId="2B58B661"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No hay necesidad de actividades ni tareas </w:t>
            </w:r>
            <w:r>
              <w:rPr>
                <w:rFonts w:asciiTheme="minorHAnsi" w:hAnsiTheme="minorHAnsi" w:cstheme="minorHAnsi"/>
                <w:bCs/>
                <w:color w:val="000000"/>
                <w:sz w:val="22"/>
                <w:szCs w:val="22"/>
                <w:lang w:val="es-ES"/>
              </w:rPr>
              <w:t>significativas</w:t>
            </w:r>
            <w:r w:rsidRPr="006F42B2">
              <w:rPr>
                <w:rFonts w:asciiTheme="minorHAnsi" w:hAnsiTheme="minorHAnsi" w:cstheme="minorHAnsi"/>
                <w:bCs/>
                <w:color w:val="000000"/>
                <w:sz w:val="22"/>
                <w:szCs w:val="22"/>
                <w:lang w:val="es-ES"/>
              </w:rPr>
              <w:t>.</w:t>
            </w:r>
          </w:p>
          <w:p w14:paraId="055973F8"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418" w:type="dxa"/>
            <w:shd w:val="clear" w:color="auto" w:fill="auto"/>
          </w:tcPr>
          <w:p w14:paraId="53C2A492"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6D3046B5"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772E80" w14:paraId="6B206319" w14:textId="77777777" w:rsidTr="00E822D5">
        <w:trPr>
          <w:cantSplit/>
        </w:trPr>
        <w:tc>
          <w:tcPr>
            <w:tcW w:w="1277" w:type="dxa"/>
            <w:shd w:val="clear" w:color="auto" w:fill="auto"/>
            <w:noWrap/>
          </w:tcPr>
          <w:p w14:paraId="05E28288"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sz w:val="22"/>
                <w:szCs w:val="22"/>
                <w:lang w:val="es-ES"/>
              </w:rPr>
              <w:t>SC59 Doc.15</w:t>
            </w:r>
          </w:p>
        </w:tc>
        <w:tc>
          <w:tcPr>
            <w:tcW w:w="1842" w:type="dxa"/>
            <w:shd w:val="clear" w:color="auto" w:fill="auto"/>
            <w:noWrap/>
          </w:tcPr>
          <w:p w14:paraId="5DB647D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Proyecto de resolución sobre</w:t>
            </w:r>
            <w:r>
              <w:rPr>
                <w:rFonts w:asciiTheme="minorHAnsi" w:hAnsiTheme="minorHAnsi" w:cstheme="minorHAnsi"/>
                <w:bCs/>
                <w:color w:val="000000"/>
                <w:sz w:val="22"/>
                <w:szCs w:val="22"/>
                <w:lang w:val="es-ES"/>
              </w:rPr>
              <w:t xml:space="preserve"> las</w:t>
            </w:r>
            <w:r w:rsidRPr="006F42B2">
              <w:rPr>
                <w:rFonts w:asciiTheme="minorHAnsi" w:hAnsiTheme="minorHAnsi" w:cstheme="minorHAnsi"/>
                <w:bCs/>
                <w:color w:val="000000"/>
                <w:sz w:val="22"/>
                <w:szCs w:val="22"/>
                <w:lang w:val="es-ES"/>
              </w:rPr>
              <w:t xml:space="preserve"> </w:t>
            </w:r>
            <w:r>
              <w:rPr>
                <w:rFonts w:asciiTheme="minorHAnsi" w:hAnsiTheme="minorHAnsi" w:cstheme="minorHAnsi"/>
                <w:bCs/>
                <w:color w:val="000000"/>
                <w:sz w:val="22"/>
                <w:szCs w:val="22"/>
                <w:lang w:val="es-ES"/>
              </w:rPr>
              <w:t>f</w:t>
            </w:r>
            <w:r w:rsidRPr="006F42B2">
              <w:rPr>
                <w:rFonts w:asciiTheme="minorHAnsi" w:hAnsiTheme="minorHAnsi" w:cstheme="minorHAnsi"/>
                <w:bCs/>
                <w:color w:val="000000"/>
                <w:sz w:val="22"/>
                <w:szCs w:val="22"/>
                <w:lang w:val="es-ES"/>
              </w:rPr>
              <w:t>unciones y responsabilidades del Comité Permanente</w:t>
            </w:r>
          </w:p>
        </w:tc>
        <w:tc>
          <w:tcPr>
            <w:tcW w:w="2835" w:type="dxa"/>
            <w:shd w:val="clear" w:color="auto" w:fill="auto"/>
          </w:tcPr>
          <w:p w14:paraId="34EED1EE"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No hay necesidad de actividades ni tareas </w:t>
            </w:r>
            <w:r>
              <w:rPr>
                <w:rFonts w:asciiTheme="minorHAnsi" w:hAnsiTheme="minorHAnsi" w:cstheme="minorHAnsi"/>
                <w:bCs/>
                <w:color w:val="000000"/>
                <w:sz w:val="22"/>
                <w:szCs w:val="22"/>
                <w:lang w:val="es-ES"/>
              </w:rPr>
              <w:t>significativas</w:t>
            </w:r>
            <w:r w:rsidRPr="006F42B2">
              <w:rPr>
                <w:rFonts w:asciiTheme="minorHAnsi" w:hAnsiTheme="minorHAnsi" w:cstheme="minorHAnsi"/>
                <w:bCs/>
                <w:color w:val="000000"/>
                <w:sz w:val="22"/>
                <w:szCs w:val="22"/>
                <w:lang w:val="es-ES"/>
              </w:rPr>
              <w:t>.</w:t>
            </w:r>
          </w:p>
          <w:p w14:paraId="48F87499"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418" w:type="dxa"/>
            <w:shd w:val="clear" w:color="auto" w:fill="auto"/>
          </w:tcPr>
          <w:p w14:paraId="7E9DE2F3"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0A188E86"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772E80" w14:paraId="76B0D39C" w14:textId="77777777" w:rsidTr="00E822D5">
        <w:trPr>
          <w:cantSplit/>
        </w:trPr>
        <w:tc>
          <w:tcPr>
            <w:tcW w:w="1277" w:type="dxa"/>
            <w:shd w:val="clear" w:color="auto" w:fill="auto"/>
            <w:noWrap/>
          </w:tcPr>
          <w:p w14:paraId="5486ADAB"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SC59/2022 Doc.16</w:t>
            </w:r>
          </w:p>
        </w:tc>
        <w:tc>
          <w:tcPr>
            <w:tcW w:w="1842" w:type="dxa"/>
            <w:shd w:val="clear" w:color="auto" w:fill="auto"/>
            <w:noWrap/>
          </w:tcPr>
          <w:p w14:paraId="4DC14F10"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 xml:space="preserve">Proyecto de resolución </w:t>
            </w:r>
            <w:r w:rsidRPr="006F42B2">
              <w:rPr>
                <w:rFonts w:asciiTheme="minorHAnsi" w:eastAsiaTheme="minorHAnsi" w:hAnsiTheme="minorHAnsi" w:cs="Garamond"/>
                <w:iCs/>
                <w:sz w:val="22"/>
                <w:szCs w:val="22"/>
                <w:lang w:val="es-ES"/>
              </w:rPr>
              <w:t>Actualización sobre la mejora de la visibilidad de la Convención y de las sinergias con otros acuerdos multilaterales sobre el medio ambiente e instituciones internacionales</w:t>
            </w:r>
            <w:r w:rsidRPr="006F42B2">
              <w:rPr>
                <w:rFonts w:asciiTheme="minorHAnsi" w:hAnsiTheme="minorHAnsi" w:cstheme="minorHAnsi"/>
                <w:bCs/>
                <w:iCs/>
                <w:color w:val="000000"/>
                <w:sz w:val="22"/>
                <w:szCs w:val="22"/>
                <w:lang w:val="es-ES"/>
              </w:rPr>
              <w:t xml:space="preserve"> </w:t>
            </w:r>
          </w:p>
        </w:tc>
        <w:tc>
          <w:tcPr>
            <w:tcW w:w="2835" w:type="dxa"/>
            <w:shd w:val="clear" w:color="auto" w:fill="auto"/>
          </w:tcPr>
          <w:p w14:paraId="0C02FFC4"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No hay necesidad de actividades ni tareas </w:t>
            </w:r>
            <w:r>
              <w:rPr>
                <w:rFonts w:asciiTheme="minorHAnsi" w:hAnsiTheme="minorHAnsi" w:cstheme="minorHAnsi"/>
                <w:bCs/>
                <w:color w:val="000000"/>
                <w:sz w:val="22"/>
                <w:szCs w:val="22"/>
                <w:lang w:val="es-ES"/>
              </w:rPr>
              <w:t>significativas</w:t>
            </w:r>
            <w:r w:rsidRPr="006F42B2">
              <w:rPr>
                <w:rFonts w:asciiTheme="minorHAnsi" w:hAnsiTheme="minorHAnsi" w:cstheme="minorHAnsi"/>
                <w:bCs/>
                <w:color w:val="000000"/>
                <w:sz w:val="22"/>
                <w:szCs w:val="22"/>
                <w:lang w:val="es-ES"/>
              </w:rPr>
              <w:t>.</w:t>
            </w:r>
          </w:p>
          <w:p w14:paraId="6A1ACBB5" w14:textId="77777777" w:rsidR="00CE581A" w:rsidRPr="00772E80" w:rsidRDefault="00CE581A" w:rsidP="00E822D5">
            <w:pPr>
              <w:widowControl w:val="0"/>
              <w:ind w:left="0" w:firstLine="0"/>
              <w:jc w:val="left"/>
              <w:rPr>
                <w:rFonts w:asciiTheme="minorHAnsi" w:hAnsiTheme="minorHAnsi" w:cstheme="minorHAnsi"/>
                <w:sz w:val="22"/>
                <w:szCs w:val="22"/>
              </w:rPr>
            </w:pPr>
          </w:p>
        </w:tc>
        <w:tc>
          <w:tcPr>
            <w:tcW w:w="1418" w:type="dxa"/>
            <w:shd w:val="clear" w:color="auto" w:fill="auto"/>
          </w:tcPr>
          <w:p w14:paraId="2105BFDD"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749E4458"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772E80" w14:paraId="24119F61" w14:textId="77777777" w:rsidTr="00E822D5">
        <w:trPr>
          <w:cantSplit/>
        </w:trPr>
        <w:tc>
          <w:tcPr>
            <w:tcW w:w="1277" w:type="dxa"/>
            <w:shd w:val="clear" w:color="auto" w:fill="auto"/>
            <w:noWrap/>
          </w:tcPr>
          <w:p w14:paraId="78B2FA62"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 Doc.23 Rev.1</w:t>
            </w:r>
          </w:p>
        </w:tc>
        <w:tc>
          <w:tcPr>
            <w:tcW w:w="1842" w:type="dxa"/>
            <w:shd w:val="clear" w:color="auto" w:fill="auto"/>
            <w:noWrap/>
          </w:tcPr>
          <w:p w14:paraId="053C8568"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Proyecto de resolución Actualización sobre el estado de los sitios incluidos en la Lista de Humedales de Importancia Internacional</w:t>
            </w:r>
          </w:p>
        </w:tc>
        <w:tc>
          <w:tcPr>
            <w:tcW w:w="2835" w:type="dxa"/>
            <w:shd w:val="clear" w:color="auto" w:fill="auto"/>
          </w:tcPr>
          <w:p w14:paraId="7DD6875F"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No hay necesidad de actividades ni tareas importantes.</w:t>
            </w:r>
          </w:p>
          <w:p w14:paraId="2A14483D"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418" w:type="dxa"/>
            <w:shd w:val="clear" w:color="auto" w:fill="auto"/>
          </w:tcPr>
          <w:p w14:paraId="67242865"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712E9B88" w14:textId="77777777" w:rsidR="00CE581A" w:rsidRPr="00772E80" w:rsidDel="00886642"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CC25E9" w14:paraId="743F2060" w14:textId="77777777" w:rsidTr="00E822D5">
        <w:trPr>
          <w:cantSplit/>
        </w:trPr>
        <w:tc>
          <w:tcPr>
            <w:tcW w:w="9498" w:type="dxa"/>
            <w:gridSpan w:val="5"/>
            <w:shd w:val="clear" w:color="auto" w:fill="auto"/>
            <w:noWrap/>
          </w:tcPr>
          <w:p w14:paraId="531C002A" w14:textId="77777777" w:rsidR="00CE581A" w:rsidRPr="00CC25E9" w:rsidRDefault="00CE581A" w:rsidP="00E822D5">
            <w:pPr>
              <w:widowControl w:val="0"/>
              <w:spacing w:before="60" w:after="60"/>
              <w:ind w:left="0" w:firstLine="0"/>
              <w:jc w:val="left"/>
              <w:rPr>
                <w:rFonts w:asciiTheme="minorHAnsi" w:hAnsiTheme="minorHAnsi" w:cstheme="minorHAnsi"/>
                <w:b/>
                <w:bCs/>
                <w:color w:val="000000"/>
                <w:sz w:val="22"/>
                <w:szCs w:val="22"/>
                <w:lang w:val="fr-FR"/>
              </w:rPr>
            </w:pPr>
            <w:r w:rsidRPr="006F42B2">
              <w:rPr>
                <w:rFonts w:asciiTheme="minorHAnsi" w:hAnsiTheme="minorHAnsi" w:cstheme="minorHAnsi"/>
                <w:b/>
                <w:bCs/>
                <w:color w:val="000000"/>
                <w:sz w:val="22"/>
                <w:szCs w:val="22"/>
                <w:lang w:val="es-ES"/>
              </w:rPr>
              <w:t>Proyectos de resolución presentados por los grupos de trabajo</w:t>
            </w:r>
          </w:p>
        </w:tc>
      </w:tr>
      <w:tr w:rsidR="00CE581A" w:rsidRPr="00772E80" w14:paraId="42A48553" w14:textId="77777777" w:rsidTr="00E822D5">
        <w:trPr>
          <w:cantSplit/>
        </w:trPr>
        <w:tc>
          <w:tcPr>
            <w:tcW w:w="1277" w:type="dxa"/>
            <w:shd w:val="clear" w:color="auto" w:fill="auto"/>
            <w:noWrap/>
          </w:tcPr>
          <w:p w14:paraId="34C9E9E7"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SC59/2022 Doc.10 Rev.1</w:t>
            </w:r>
          </w:p>
        </w:tc>
        <w:tc>
          <w:tcPr>
            <w:tcW w:w="1842" w:type="dxa"/>
            <w:shd w:val="clear" w:color="auto" w:fill="auto"/>
            <w:noWrap/>
          </w:tcPr>
          <w:p w14:paraId="411F1377"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Proyecto de resolución sobre el Examen del Cuarto Plan Estratégico de la Convención de Ramsar</w:t>
            </w:r>
          </w:p>
        </w:tc>
        <w:tc>
          <w:tcPr>
            <w:tcW w:w="2835" w:type="dxa"/>
            <w:shd w:val="clear" w:color="auto" w:fill="auto"/>
          </w:tcPr>
          <w:p w14:paraId="603AA02F"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Elaboración del Quinto Plan Estratégico para su aprobación en la COP15 (presupuesto de 90 000 francos suizos aprobado por la Decisión SC59-32)</w:t>
            </w:r>
          </w:p>
        </w:tc>
        <w:tc>
          <w:tcPr>
            <w:tcW w:w="1418" w:type="dxa"/>
            <w:shd w:val="clear" w:color="auto" w:fill="auto"/>
          </w:tcPr>
          <w:p w14:paraId="442010C1"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1D2F8240"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772E80" w14:paraId="15105BC9" w14:textId="77777777" w:rsidTr="00E822D5">
        <w:trPr>
          <w:cantSplit/>
        </w:trPr>
        <w:tc>
          <w:tcPr>
            <w:tcW w:w="1277" w:type="dxa"/>
            <w:shd w:val="clear" w:color="auto" w:fill="auto"/>
            <w:noWrap/>
          </w:tcPr>
          <w:p w14:paraId="3C9BA435"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SC59/2022 Doc.11</w:t>
            </w:r>
          </w:p>
        </w:tc>
        <w:tc>
          <w:tcPr>
            <w:tcW w:w="1842" w:type="dxa"/>
            <w:shd w:val="clear" w:color="auto" w:fill="auto"/>
            <w:noWrap/>
          </w:tcPr>
          <w:p w14:paraId="39F7640A"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Proyecto de resolución sobre la eficacia y eficiencia de la Convención de Ramsar</w:t>
            </w:r>
          </w:p>
          <w:p w14:paraId="62C5A4DA"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2835" w:type="dxa"/>
            <w:shd w:val="clear" w:color="auto" w:fill="auto"/>
          </w:tcPr>
          <w:p w14:paraId="53523B80"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Con sujeción a los recursos disponibles, asignar [XXX</w:t>
            </w:r>
            <w:r>
              <w:rPr>
                <w:rFonts w:asciiTheme="minorHAnsi" w:hAnsiTheme="minorHAnsi" w:cstheme="minorHAnsi"/>
                <w:bCs/>
                <w:color w:val="000000"/>
                <w:sz w:val="22"/>
                <w:szCs w:val="22"/>
                <w:lang w:val="es-ES"/>
              </w:rPr>
              <w:t xml:space="preserve"> francos suizos</w:t>
            </w:r>
            <w:r w:rsidRPr="006F42B2">
              <w:rPr>
                <w:rFonts w:asciiTheme="minorHAnsi" w:hAnsiTheme="minorHAnsi" w:cstheme="minorHAnsi"/>
                <w:bCs/>
                <w:color w:val="000000"/>
                <w:sz w:val="22"/>
                <w:szCs w:val="22"/>
                <w:lang w:val="es-ES"/>
              </w:rPr>
              <w:t xml:space="preserve">] a la Secretaría con cargo a los fondos remanentes para cumplir el mandato de </w:t>
            </w:r>
            <w:r>
              <w:rPr>
                <w:rFonts w:asciiTheme="minorHAnsi" w:hAnsiTheme="minorHAnsi" w:cstheme="minorHAnsi"/>
                <w:bCs/>
                <w:color w:val="000000"/>
                <w:sz w:val="22"/>
                <w:szCs w:val="22"/>
                <w:lang w:val="es-ES"/>
              </w:rPr>
              <w:t>esta</w:t>
            </w:r>
            <w:r w:rsidRPr="006F42B2">
              <w:rPr>
                <w:rFonts w:asciiTheme="minorHAnsi" w:hAnsiTheme="minorHAnsi" w:cstheme="minorHAnsi"/>
                <w:bCs/>
                <w:color w:val="000000"/>
                <w:sz w:val="22"/>
                <w:szCs w:val="22"/>
                <w:lang w:val="es-ES"/>
              </w:rPr>
              <w:t xml:space="preserve"> resolución</w:t>
            </w:r>
          </w:p>
        </w:tc>
        <w:tc>
          <w:tcPr>
            <w:tcW w:w="1418" w:type="dxa"/>
            <w:shd w:val="clear" w:color="auto" w:fill="auto"/>
          </w:tcPr>
          <w:p w14:paraId="14C18474"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5F031FA5"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w:t>
            </w:r>
            <w:r>
              <w:rPr>
                <w:rFonts w:asciiTheme="minorHAnsi" w:hAnsiTheme="minorHAnsi" w:cstheme="minorHAnsi"/>
                <w:bCs/>
                <w:color w:val="000000"/>
                <w:sz w:val="22"/>
                <w:szCs w:val="22"/>
                <w:lang w:val="es-ES"/>
              </w:rPr>
              <w:t xml:space="preserve"> XXX francos suizos</w:t>
            </w:r>
            <w:r w:rsidRPr="006F42B2">
              <w:rPr>
                <w:rFonts w:asciiTheme="minorHAnsi" w:hAnsiTheme="minorHAnsi" w:cstheme="minorHAnsi"/>
                <w:bCs/>
                <w:color w:val="000000"/>
                <w:sz w:val="22"/>
                <w:szCs w:val="22"/>
                <w:lang w:val="es-ES"/>
              </w:rPr>
              <w:t xml:space="preserve"> </w:t>
            </w:r>
            <w:r>
              <w:rPr>
                <w:rFonts w:asciiTheme="minorHAnsi" w:hAnsiTheme="minorHAnsi" w:cstheme="minorHAnsi"/>
                <w:bCs/>
                <w:color w:val="000000"/>
                <w:sz w:val="22"/>
                <w:szCs w:val="22"/>
                <w:lang w:val="es-ES"/>
              </w:rPr>
              <w:t xml:space="preserve">con sujeción a los recursos disponibles de los excedentes </w:t>
            </w:r>
          </w:p>
          <w:p w14:paraId="15E1DE0D"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 xml:space="preserve">** </w:t>
            </w:r>
            <w:r>
              <w:rPr>
                <w:rFonts w:asciiTheme="minorHAnsi" w:hAnsiTheme="minorHAnsi" w:cstheme="minorHAnsi"/>
                <w:bCs/>
                <w:color w:val="000000"/>
                <w:sz w:val="22"/>
                <w:szCs w:val="22"/>
                <w:lang w:val="es-ES"/>
              </w:rPr>
              <w:t>Repercusiones administrativas</w:t>
            </w:r>
            <w:r w:rsidRPr="006F42B2">
              <w:rPr>
                <w:rFonts w:asciiTheme="minorHAnsi" w:hAnsiTheme="minorHAnsi" w:cstheme="minorHAnsi"/>
                <w:bCs/>
                <w:color w:val="000000"/>
                <w:sz w:val="22"/>
                <w:szCs w:val="22"/>
                <w:lang w:val="es-ES"/>
              </w:rPr>
              <w:t xml:space="preserve"> </w:t>
            </w:r>
          </w:p>
        </w:tc>
      </w:tr>
      <w:tr w:rsidR="00CE581A" w:rsidRPr="00772E80" w14:paraId="0E58F478" w14:textId="77777777" w:rsidTr="00E822D5">
        <w:trPr>
          <w:cantSplit/>
        </w:trPr>
        <w:tc>
          <w:tcPr>
            <w:tcW w:w="1277" w:type="dxa"/>
            <w:shd w:val="clear" w:color="auto" w:fill="auto"/>
            <w:noWrap/>
          </w:tcPr>
          <w:p w14:paraId="2F9DF74D"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SC59/2022 Doc.17.1</w:t>
            </w:r>
          </w:p>
        </w:tc>
        <w:tc>
          <w:tcPr>
            <w:tcW w:w="1842" w:type="dxa"/>
            <w:shd w:val="clear" w:color="auto" w:fill="auto"/>
            <w:noWrap/>
          </w:tcPr>
          <w:p w14:paraId="5A25112C"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 xml:space="preserve">Proyecto de resolución sobre un </w:t>
            </w:r>
            <w:r>
              <w:rPr>
                <w:rFonts w:asciiTheme="minorHAnsi" w:hAnsiTheme="minorHAnsi" w:cstheme="minorHAnsi"/>
                <w:bCs/>
                <w:color w:val="000000"/>
                <w:sz w:val="22"/>
                <w:szCs w:val="22"/>
                <w:lang w:val="es-ES"/>
              </w:rPr>
              <w:t>n</w:t>
            </w:r>
            <w:r w:rsidRPr="006F42B2">
              <w:rPr>
                <w:rFonts w:asciiTheme="minorHAnsi" w:hAnsiTheme="minorHAnsi" w:cstheme="minorHAnsi"/>
                <w:bCs/>
                <w:color w:val="000000"/>
                <w:sz w:val="22"/>
                <w:szCs w:val="22"/>
                <w:lang w:val="es-ES"/>
              </w:rPr>
              <w:t>uevo enfoque de CECoP</w:t>
            </w:r>
          </w:p>
        </w:tc>
        <w:tc>
          <w:tcPr>
            <w:tcW w:w="2835" w:type="dxa"/>
            <w:shd w:val="clear" w:color="auto" w:fill="auto"/>
          </w:tcPr>
          <w:p w14:paraId="5B10BAC5"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Fortalecimiento de la capacidad de CECoP en la Secretaría.</w:t>
            </w:r>
          </w:p>
          <w:p w14:paraId="2BDA061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1418" w:type="dxa"/>
            <w:shd w:val="clear" w:color="auto" w:fill="auto"/>
          </w:tcPr>
          <w:p w14:paraId="662850C2"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 xml:space="preserve">* un empleado adicional </w:t>
            </w:r>
          </w:p>
        </w:tc>
        <w:tc>
          <w:tcPr>
            <w:tcW w:w="2126" w:type="dxa"/>
            <w:shd w:val="clear" w:color="auto" w:fill="auto"/>
          </w:tcPr>
          <w:p w14:paraId="33AF095B" w14:textId="77777777" w:rsidR="00CE581A" w:rsidRDefault="00CE581A" w:rsidP="00E822D5">
            <w:pPr>
              <w:ind w:left="0" w:firstLine="0"/>
              <w:jc w:val="left"/>
              <w:rPr>
                <w:rFonts w:cs="Arial"/>
                <w:lang w:val="es-ES"/>
              </w:rPr>
            </w:pPr>
            <w:r w:rsidRPr="006F42B2">
              <w:rPr>
                <w:rFonts w:asciiTheme="minorHAnsi" w:hAnsiTheme="minorHAnsi" w:cstheme="minorHAnsi"/>
                <w:bCs/>
                <w:color w:val="000000"/>
                <w:sz w:val="22"/>
                <w:szCs w:val="22"/>
                <w:lang w:val="es-ES"/>
              </w:rPr>
              <w:t>*</w:t>
            </w:r>
            <w:r w:rsidRPr="006F42B2">
              <w:rPr>
                <w:rFonts w:cs="Arial"/>
                <w:lang w:val="es-ES"/>
              </w:rPr>
              <w:t xml:space="preserve"> </w:t>
            </w:r>
            <w:r w:rsidRPr="00D766E1">
              <w:rPr>
                <w:rFonts w:asciiTheme="minorHAnsi" w:hAnsiTheme="minorHAnsi" w:cstheme="minorHAnsi"/>
                <w:bCs/>
                <w:color w:val="000000"/>
                <w:sz w:val="22"/>
                <w:szCs w:val="22"/>
                <w:lang w:val="es-ES"/>
              </w:rPr>
              <w:t>U</w:t>
            </w:r>
            <w:r w:rsidRPr="0031525C">
              <w:rPr>
                <w:rFonts w:asciiTheme="minorHAnsi" w:hAnsiTheme="minorHAnsi" w:cstheme="minorHAnsi"/>
                <w:bCs/>
                <w:color w:val="000000"/>
                <w:sz w:val="22"/>
                <w:szCs w:val="22"/>
                <w:lang w:val="es-ES"/>
              </w:rPr>
              <w:t>n miembro adicional del personal aumentará los costos de la Secretaría</w:t>
            </w:r>
            <w:r>
              <w:rPr>
                <w:rFonts w:asciiTheme="minorHAnsi" w:hAnsiTheme="minorHAnsi" w:cstheme="minorHAnsi"/>
                <w:bCs/>
                <w:color w:val="000000"/>
                <w:sz w:val="22"/>
                <w:szCs w:val="22"/>
                <w:lang w:val="es-ES"/>
              </w:rPr>
              <w:t>.</w:t>
            </w:r>
          </w:p>
          <w:p w14:paraId="5D06AA98" w14:textId="77777777" w:rsidR="00CE581A" w:rsidRPr="006F42B2" w:rsidRDefault="00CE581A" w:rsidP="00E822D5">
            <w:pPr>
              <w:ind w:left="0" w:firstLine="0"/>
              <w:jc w:val="left"/>
              <w:rPr>
                <w:rFonts w:asciiTheme="minorHAnsi" w:hAnsiTheme="minorHAnsi" w:cstheme="minorHAnsi"/>
                <w:bCs/>
                <w:color w:val="000000"/>
                <w:sz w:val="22"/>
                <w:szCs w:val="22"/>
                <w:lang w:val="es-ES"/>
              </w:rPr>
            </w:pPr>
          </w:p>
          <w:p w14:paraId="63CB6E72" w14:textId="77777777" w:rsidR="00CE581A" w:rsidRPr="00772E80" w:rsidRDefault="00CE581A" w:rsidP="00E822D5">
            <w:pPr>
              <w:widowControl w:val="0"/>
              <w:ind w:left="0" w:firstLine="0"/>
              <w:jc w:val="left"/>
            </w:pPr>
            <w:r w:rsidRPr="006F42B2">
              <w:rPr>
                <w:rFonts w:asciiTheme="minorHAnsi" w:hAnsiTheme="minorHAnsi" w:cstheme="minorHAnsi"/>
                <w:bCs/>
                <w:color w:val="000000"/>
                <w:sz w:val="22"/>
                <w:szCs w:val="22"/>
                <w:lang w:val="es-ES"/>
              </w:rPr>
              <w:t>**</w:t>
            </w:r>
            <w:r>
              <w:rPr>
                <w:rFonts w:asciiTheme="minorHAnsi" w:hAnsiTheme="minorHAnsi" w:cstheme="minorHAnsi"/>
                <w:bCs/>
                <w:color w:val="000000"/>
                <w:sz w:val="22"/>
                <w:szCs w:val="22"/>
                <w:lang w:val="es-ES"/>
              </w:rPr>
              <w:t xml:space="preserve"> Esto tendrá repercusiones financieras por definir. </w:t>
            </w:r>
          </w:p>
        </w:tc>
      </w:tr>
      <w:tr w:rsidR="00CE581A" w:rsidRPr="00772E80" w14:paraId="08347A56" w14:textId="77777777" w:rsidTr="00E822D5">
        <w:trPr>
          <w:cantSplit/>
        </w:trPr>
        <w:tc>
          <w:tcPr>
            <w:tcW w:w="1277" w:type="dxa"/>
            <w:vMerge w:val="restart"/>
            <w:shd w:val="clear" w:color="auto" w:fill="auto"/>
            <w:noWrap/>
          </w:tcPr>
          <w:p w14:paraId="05A74609"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Doc.17.1</w:t>
            </w:r>
          </w:p>
        </w:tc>
        <w:tc>
          <w:tcPr>
            <w:tcW w:w="1842" w:type="dxa"/>
            <w:vMerge w:val="restart"/>
            <w:shd w:val="clear" w:color="auto" w:fill="auto"/>
            <w:noWrap/>
          </w:tcPr>
          <w:p w14:paraId="7D3681B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 xml:space="preserve">Proyecto de resolución sobre los </w:t>
            </w:r>
            <w:r>
              <w:rPr>
                <w:rFonts w:asciiTheme="minorHAnsi" w:hAnsiTheme="minorHAnsi" w:cstheme="minorHAnsi"/>
                <w:bCs/>
                <w:color w:val="000000"/>
                <w:sz w:val="22"/>
                <w:szCs w:val="22"/>
                <w:lang w:val="es-ES"/>
              </w:rPr>
              <w:t>ó</w:t>
            </w:r>
            <w:r w:rsidRPr="006F42B2">
              <w:rPr>
                <w:rFonts w:asciiTheme="minorHAnsi" w:hAnsiTheme="minorHAnsi" w:cstheme="minorHAnsi"/>
                <w:bCs/>
                <w:color w:val="000000"/>
                <w:sz w:val="22"/>
                <w:szCs w:val="22"/>
                <w:lang w:val="es-ES"/>
              </w:rPr>
              <w:t>rganos de Ramsar encargados de la labor de CECoP durante el período entre la COP14 y la COP15</w:t>
            </w:r>
          </w:p>
        </w:tc>
        <w:tc>
          <w:tcPr>
            <w:tcW w:w="2835" w:type="dxa"/>
            <w:shd w:val="clear" w:color="auto" w:fill="auto"/>
          </w:tcPr>
          <w:p w14:paraId="2F1B1708"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Nuevo calendario para el establecimiento del GC de CECoP</w:t>
            </w:r>
          </w:p>
          <w:p w14:paraId="3D4F67BF"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1418" w:type="dxa"/>
            <w:shd w:val="clear" w:color="auto" w:fill="auto"/>
          </w:tcPr>
          <w:p w14:paraId="2A4BDC0F"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3B4604D7" w14:textId="77777777" w:rsidR="00CE581A" w:rsidRPr="00CC25E9"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*No </w:t>
            </w:r>
            <w:r>
              <w:rPr>
                <w:rFonts w:asciiTheme="minorHAnsi" w:hAnsiTheme="minorHAnsi" w:cstheme="minorHAnsi"/>
                <w:bCs/>
                <w:color w:val="000000"/>
                <w:sz w:val="22"/>
                <w:szCs w:val="22"/>
                <w:lang w:val="es-ES"/>
              </w:rPr>
              <w:t>habrá costos adicionales en comparación con el procedimiento actual.</w:t>
            </w:r>
          </w:p>
        </w:tc>
      </w:tr>
      <w:tr w:rsidR="00CE581A" w:rsidRPr="00CC25E9" w14:paraId="7D38CED3" w14:textId="77777777" w:rsidTr="00E822D5">
        <w:trPr>
          <w:cantSplit/>
        </w:trPr>
        <w:tc>
          <w:tcPr>
            <w:tcW w:w="1277" w:type="dxa"/>
            <w:vMerge/>
            <w:shd w:val="clear" w:color="auto" w:fill="auto"/>
            <w:noWrap/>
          </w:tcPr>
          <w:p w14:paraId="6045DAA1"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72E144D3"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471A59E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sz w:val="22"/>
                <w:szCs w:val="22"/>
                <w:lang w:val="es-ES"/>
              </w:rPr>
              <w:t>La Secretaría examinará el Manual de CECoP y participará más en la aplicación de la CECoP</w:t>
            </w:r>
          </w:p>
        </w:tc>
        <w:tc>
          <w:tcPr>
            <w:tcW w:w="1418" w:type="dxa"/>
            <w:shd w:val="clear" w:color="auto" w:fill="auto"/>
          </w:tcPr>
          <w:p w14:paraId="58F7A126"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 xml:space="preserve">* un empleado adicional </w:t>
            </w:r>
          </w:p>
        </w:tc>
        <w:tc>
          <w:tcPr>
            <w:tcW w:w="2126" w:type="dxa"/>
            <w:shd w:val="clear" w:color="auto" w:fill="auto"/>
          </w:tcPr>
          <w:p w14:paraId="2EEE0B6B"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sz w:val="22"/>
                <w:szCs w:val="22"/>
                <w:lang w:val="es-ES"/>
              </w:rPr>
              <w:t>*</w:t>
            </w:r>
            <w:r>
              <w:rPr>
                <w:rFonts w:asciiTheme="minorHAnsi" w:hAnsiTheme="minorHAnsi" w:cstheme="minorHAnsi"/>
                <w:sz w:val="22"/>
                <w:szCs w:val="22"/>
                <w:lang w:val="es-ES"/>
              </w:rPr>
              <w:t>Contar con el</w:t>
            </w:r>
            <w:r w:rsidRPr="0031525C">
              <w:rPr>
                <w:rFonts w:asciiTheme="minorHAnsi" w:hAnsiTheme="minorHAnsi" w:cstheme="minorHAnsi"/>
                <w:sz w:val="22"/>
                <w:szCs w:val="22"/>
                <w:lang w:val="es-ES"/>
              </w:rPr>
              <w:t xml:space="preserve"> personal adicional de CECoP solicitado en la resolución sobre el nuevo enfoque.</w:t>
            </w:r>
          </w:p>
        </w:tc>
      </w:tr>
      <w:tr w:rsidR="00CE581A" w:rsidRPr="00772E80" w14:paraId="4E277AD5" w14:textId="77777777" w:rsidTr="00E822D5">
        <w:trPr>
          <w:cantSplit/>
        </w:trPr>
        <w:tc>
          <w:tcPr>
            <w:tcW w:w="1277" w:type="dxa"/>
            <w:vMerge/>
            <w:shd w:val="clear" w:color="auto" w:fill="auto"/>
            <w:noWrap/>
          </w:tcPr>
          <w:p w14:paraId="07637562"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1842" w:type="dxa"/>
            <w:vMerge/>
            <w:shd w:val="clear" w:color="auto" w:fill="auto"/>
            <w:noWrap/>
          </w:tcPr>
          <w:p w14:paraId="0D9AE67A"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2835" w:type="dxa"/>
            <w:shd w:val="clear" w:color="auto" w:fill="auto"/>
          </w:tcPr>
          <w:p w14:paraId="0A88A0CD"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Proceso de contratación de un oficial de comunicación adicional</w:t>
            </w:r>
          </w:p>
        </w:tc>
        <w:tc>
          <w:tcPr>
            <w:tcW w:w="1418" w:type="dxa"/>
            <w:shd w:val="clear" w:color="auto" w:fill="auto"/>
          </w:tcPr>
          <w:p w14:paraId="368DA114"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7269567A"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*Costo de la contratación</w:t>
            </w:r>
          </w:p>
        </w:tc>
      </w:tr>
      <w:tr w:rsidR="00CE581A" w:rsidRPr="00CC25E9" w14:paraId="4DB77D0D" w14:textId="77777777" w:rsidTr="00E822D5">
        <w:trPr>
          <w:cantSplit/>
        </w:trPr>
        <w:tc>
          <w:tcPr>
            <w:tcW w:w="1277" w:type="dxa"/>
            <w:vMerge/>
            <w:shd w:val="clear" w:color="auto" w:fill="auto"/>
            <w:noWrap/>
          </w:tcPr>
          <w:p w14:paraId="5BA0289A"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2A427303"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5243167A"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Nuevo puesto de CECoP en la Secretaría de la Convención</w:t>
            </w:r>
          </w:p>
        </w:tc>
        <w:tc>
          <w:tcPr>
            <w:tcW w:w="1418" w:type="dxa"/>
            <w:shd w:val="clear" w:color="auto" w:fill="auto"/>
          </w:tcPr>
          <w:p w14:paraId="72C21EBC"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1C21F907" w14:textId="77777777" w:rsidR="00CE581A"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w:t>
            </w:r>
            <w:r>
              <w:rPr>
                <w:rFonts w:asciiTheme="minorHAnsi" w:hAnsiTheme="minorHAnsi" w:cstheme="minorHAnsi"/>
                <w:bCs/>
                <w:color w:val="000000"/>
                <w:sz w:val="22"/>
                <w:szCs w:val="22"/>
                <w:lang w:val="es-ES"/>
              </w:rPr>
              <w:t>Costo de un miembro del personal</w:t>
            </w:r>
          </w:p>
          <w:p w14:paraId="5E5B3637" w14:textId="77777777" w:rsidR="00CE581A" w:rsidRPr="006F42B2" w:rsidRDefault="00CE581A" w:rsidP="00E822D5">
            <w:pPr>
              <w:ind w:left="0" w:firstLine="0"/>
              <w:jc w:val="left"/>
              <w:rPr>
                <w:rFonts w:asciiTheme="minorHAnsi" w:hAnsiTheme="minorHAnsi" w:cstheme="minorHAnsi"/>
                <w:bCs/>
                <w:color w:val="000000"/>
                <w:sz w:val="22"/>
                <w:szCs w:val="22"/>
                <w:lang w:val="es-ES"/>
              </w:rPr>
            </w:pPr>
          </w:p>
          <w:p w14:paraId="6C3BD06B"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w:t>
            </w:r>
            <w:r>
              <w:rPr>
                <w:rFonts w:asciiTheme="minorHAnsi" w:hAnsiTheme="minorHAnsi" w:cstheme="minorHAnsi"/>
                <w:bCs/>
                <w:color w:val="000000"/>
                <w:sz w:val="22"/>
                <w:szCs w:val="22"/>
                <w:lang w:val="es-ES"/>
              </w:rPr>
              <w:t>El costo del miembro del personal se definirá después de confirmar su nivel.</w:t>
            </w:r>
          </w:p>
        </w:tc>
      </w:tr>
      <w:tr w:rsidR="00CE581A" w:rsidRPr="00772E80" w14:paraId="121AB3FC" w14:textId="77777777" w:rsidTr="00E822D5">
        <w:trPr>
          <w:cantSplit/>
        </w:trPr>
        <w:tc>
          <w:tcPr>
            <w:tcW w:w="1277" w:type="dxa"/>
            <w:vMerge/>
            <w:shd w:val="clear" w:color="auto" w:fill="auto"/>
            <w:noWrap/>
          </w:tcPr>
          <w:p w14:paraId="13453005"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1842" w:type="dxa"/>
            <w:vMerge/>
            <w:shd w:val="clear" w:color="auto" w:fill="auto"/>
            <w:noWrap/>
          </w:tcPr>
          <w:p w14:paraId="604FF08E"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p>
        </w:tc>
        <w:tc>
          <w:tcPr>
            <w:tcW w:w="2835" w:type="dxa"/>
            <w:shd w:val="clear" w:color="auto" w:fill="auto"/>
          </w:tcPr>
          <w:p w14:paraId="75CC4F06"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Taller para el GC de CECoP</w:t>
            </w:r>
          </w:p>
        </w:tc>
        <w:tc>
          <w:tcPr>
            <w:tcW w:w="1418" w:type="dxa"/>
            <w:shd w:val="clear" w:color="auto" w:fill="auto"/>
          </w:tcPr>
          <w:p w14:paraId="3A009869"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43E3B81B"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*20 000</w:t>
            </w:r>
          </w:p>
        </w:tc>
      </w:tr>
      <w:tr w:rsidR="00CE581A" w:rsidRPr="00772E80" w14:paraId="62961A80" w14:textId="77777777" w:rsidTr="00E822D5">
        <w:trPr>
          <w:cantSplit/>
        </w:trPr>
        <w:tc>
          <w:tcPr>
            <w:tcW w:w="1277" w:type="dxa"/>
            <w:shd w:val="clear" w:color="auto" w:fill="auto"/>
            <w:noWrap/>
          </w:tcPr>
          <w:p w14:paraId="25778BA9"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 Doc.21.1</w:t>
            </w:r>
          </w:p>
        </w:tc>
        <w:tc>
          <w:tcPr>
            <w:tcW w:w="1842" w:type="dxa"/>
            <w:shd w:val="clear" w:color="auto" w:fill="auto"/>
            <w:noWrap/>
          </w:tcPr>
          <w:p w14:paraId="7635A650"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 xml:space="preserve">Proyecto de resolución sobre las </w:t>
            </w:r>
            <w:r>
              <w:rPr>
                <w:rFonts w:asciiTheme="minorHAnsi" w:hAnsiTheme="minorHAnsi" w:cstheme="minorHAnsi"/>
                <w:bCs/>
                <w:color w:val="000000"/>
                <w:sz w:val="22"/>
                <w:szCs w:val="22"/>
                <w:lang w:val="es-ES"/>
              </w:rPr>
              <w:t>i</w:t>
            </w:r>
            <w:r w:rsidRPr="006F42B2">
              <w:rPr>
                <w:rFonts w:asciiTheme="minorHAnsi" w:hAnsiTheme="minorHAnsi" w:cstheme="minorHAnsi"/>
                <w:bCs/>
                <w:color w:val="000000"/>
                <w:sz w:val="22"/>
                <w:szCs w:val="22"/>
                <w:lang w:val="es-ES"/>
              </w:rPr>
              <w:t>niciativas regionales de Ramsar para 2022-2024</w:t>
            </w:r>
          </w:p>
        </w:tc>
        <w:tc>
          <w:tcPr>
            <w:tcW w:w="2835" w:type="dxa"/>
            <w:shd w:val="clear" w:color="auto" w:fill="auto"/>
          </w:tcPr>
          <w:p w14:paraId="033A35B1"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No hay actividades adicionales</w:t>
            </w:r>
          </w:p>
        </w:tc>
        <w:tc>
          <w:tcPr>
            <w:tcW w:w="1418" w:type="dxa"/>
            <w:shd w:val="clear" w:color="auto" w:fill="auto"/>
          </w:tcPr>
          <w:p w14:paraId="6B2A66B2"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shd w:val="clear" w:color="auto" w:fill="auto"/>
          </w:tcPr>
          <w:p w14:paraId="54B298A0"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772E80" w14:paraId="07426135" w14:textId="77777777" w:rsidTr="00E822D5">
        <w:trPr>
          <w:cantSplit/>
        </w:trPr>
        <w:tc>
          <w:tcPr>
            <w:tcW w:w="1277" w:type="dxa"/>
            <w:tcBorders>
              <w:bottom w:val="single" w:sz="4" w:space="0" w:color="auto"/>
            </w:tcBorders>
            <w:shd w:val="clear" w:color="auto" w:fill="auto"/>
            <w:noWrap/>
          </w:tcPr>
          <w:p w14:paraId="33837B50"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SC59/2022 Doc.26</w:t>
            </w:r>
          </w:p>
        </w:tc>
        <w:tc>
          <w:tcPr>
            <w:tcW w:w="1842" w:type="dxa"/>
            <w:tcBorders>
              <w:bottom w:val="single" w:sz="4" w:space="0" w:color="auto"/>
            </w:tcBorders>
            <w:shd w:val="clear" w:color="auto" w:fill="auto"/>
            <w:noWrap/>
          </w:tcPr>
          <w:p w14:paraId="561E8B98" w14:textId="77777777" w:rsidR="00CE581A" w:rsidRPr="00CC25E9" w:rsidRDefault="00CE581A" w:rsidP="00E822D5">
            <w:pPr>
              <w:widowControl w:val="0"/>
              <w:ind w:left="0" w:firstLine="0"/>
              <w:jc w:val="left"/>
              <w:rPr>
                <w:rFonts w:asciiTheme="minorHAnsi" w:hAnsiTheme="minorHAnsi" w:cstheme="minorHAnsi"/>
                <w:bCs/>
                <w:color w:val="000000"/>
                <w:sz w:val="22"/>
                <w:szCs w:val="22"/>
                <w:lang w:val="fr-FR"/>
              </w:rPr>
            </w:pPr>
            <w:r w:rsidRPr="006F42B2">
              <w:rPr>
                <w:rFonts w:asciiTheme="minorHAnsi" w:hAnsiTheme="minorHAnsi" w:cstheme="minorHAnsi"/>
                <w:bCs/>
                <w:color w:val="000000"/>
                <w:sz w:val="22"/>
                <w:szCs w:val="22"/>
                <w:lang w:val="es-ES"/>
              </w:rPr>
              <w:t>Proyecto de resolución sobre la aplicación futura de los aspectos científicos y técnicos de la Convención para 2023-2025</w:t>
            </w:r>
          </w:p>
        </w:tc>
        <w:tc>
          <w:tcPr>
            <w:tcW w:w="2835" w:type="dxa"/>
            <w:tcBorders>
              <w:bottom w:val="single" w:sz="4" w:space="0" w:color="auto"/>
            </w:tcBorders>
            <w:shd w:val="clear" w:color="auto" w:fill="auto"/>
          </w:tcPr>
          <w:p w14:paraId="6CDE36C2"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No hay necesidad de actividades ni tareas adicionales.</w:t>
            </w:r>
          </w:p>
        </w:tc>
        <w:tc>
          <w:tcPr>
            <w:tcW w:w="1418" w:type="dxa"/>
            <w:tcBorders>
              <w:bottom w:val="single" w:sz="4" w:space="0" w:color="auto"/>
            </w:tcBorders>
            <w:shd w:val="clear" w:color="auto" w:fill="auto"/>
          </w:tcPr>
          <w:p w14:paraId="23E7A9F0"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c>
          <w:tcPr>
            <w:tcW w:w="2126" w:type="dxa"/>
            <w:tcBorders>
              <w:bottom w:val="single" w:sz="4" w:space="0" w:color="auto"/>
            </w:tcBorders>
            <w:shd w:val="clear" w:color="auto" w:fill="auto"/>
          </w:tcPr>
          <w:p w14:paraId="096F209A" w14:textId="77777777" w:rsidR="00CE581A" w:rsidRPr="00772E80" w:rsidRDefault="00CE581A" w:rsidP="00E822D5">
            <w:pPr>
              <w:widowControl w:val="0"/>
              <w:ind w:left="0" w:firstLine="0"/>
              <w:jc w:val="left"/>
              <w:rPr>
                <w:rFonts w:asciiTheme="minorHAnsi" w:hAnsiTheme="minorHAnsi" w:cstheme="minorHAnsi"/>
                <w:bCs/>
                <w:color w:val="000000"/>
                <w:sz w:val="22"/>
                <w:szCs w:val="22"/>
              </w:rPr>
            </w:pPr>
            <w:r w:rsidRPr="006F42B2">
              <w:rPr>
                <w:rFonts w:asciiTheme="minorHAnsi" w:hAnsiTheme="minorHAnsi" w:cstheme="minorHAnsi"/>
                <w:bCs/>
                <w:color w:val="000000"/>
                <w:sz w:val="22"/>
                <w:szCs w:val="22"/>
                <w:lang w:val="es-ES"/>
              </w:rPr>
              <w:t>0</w:t>
            </w:r>
          </w:p>
        </w:tc>
      </w:tr>
      <w:tr w:rsidR="00CE581A" w:rsidRPr="00CC25E9" w14:paraId="141227C0" w14:textId="77777777" w:rsidTr="00E822D5">
        <w:trPr>
          <w:cantSplit/>
        </w:trPr>
        <w:tc>
          <w:tcPr>
            <w:tcW w:w="9498" w:type="dxa"/>
            <w:gridSpan w:val="5"/>
            <w:tcBorders>
              <w:top w:val="nil"/>
            </w:tcBorders>
            <w:shd w:val="clear" w:color="auto" w:fill="auto"/>
            <w:noWrap/>
          </w:tcPr>
          <w:p w14:paraId="1897D6A5" w14:textId="77777777" w:rsidR="00CE581A" w:rsidRPr="00CC25E9" w:rsidRDefault="00CE581A" w:rsidP="00E822D5">
            <w:pPr>
              <w:widowControl w:val="0"/>
              <w:spacing w:before="60" w:after="60"/>
              <w:ind w:left="0" w:firstLine="0"/>
              <w:jc w:val="left"/>
              <w:rPr>
                <w:rFonts w:asciiTheme="minorHAnsi" w:hAnsiTheme="minorHAnsi" w:cstheme="minorHAnsi"/>
                <w:b/>
                <w:bCs/>
                <w:color w:val="000000"/>
                <w:sz w:val="22"/>
                <w:szCs w:val="22"/>
                <w:lang w:val="fr-FR"/>
              </w:rPr>
            </w:pPr>
            <w:r w:rsidRPr="006F42B2">
              <w:rPr>
                <w:rFonts w:asciiTheme="minorHAnsi" w:hAnsiTheme="minorHAnsi" w:cstheme="minorHAnsi"/>
                <w:b/>
                <w:color w:val="000000"/>
                <w:sz w:val="22"/>
                <w:szCs w:val="22"/>
                <w:lang w:val="es-ES"/>
              </w:rPr>
              <w:t>Proyectos de resolución presentados por las Partes Contratantes</w:t>
            </w:r>
          </w:p>
        </w:tc>
      </w:tr>
      <w:tr w:rsidR="00CE581A" w:rsidRPr="00772E80" w14:paraId="45855EA0" w14:textId="77777777" w:rsidTr="00E822D5">
        <w:trPr>
          <w:cantSplit/>
        </w:trPr>
        <w:tc>
          <w:tcPr>
            <w:tcW w:w="1277" w:type="dxa"/>
            <w:vMerge w:val="restart"/>
            <w:shd w:val="clear" w:color="auto" w:fill="auto"/>
            <w:hideMark/>
          </w:tcPr>
          <w:p w14:paraId="178B9FE2"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 Rev.1</w:t>
            </w:r>
          </w:p>
        </w:tc>
        <w:tc>
          <w:tcPr>
            <w:tcW w:w="1842" w:type="dxa"/>
            <w:vMerge w:val="restart"/>
            <w:shd w:val="clear" w:color="auto" w:fill="auto"/>
            <w:hideMark/>
          </w:tcPr>
          <w:p w14:paraId="62815E3E" w14:textId="77777777" w:rsidR="00CE581A" w:rsidRPr="006F42B2" w:rsidRDefault="00CE581A" w:rsidP="00E822D5">
            <w:pPr>
              <w:ind w:left="0" w:firstLine="0"/>
              <w:jc w:val="left"/>
              <w:rPr>
                <w:rFonts w:asciiTheme="minorHAnsi" w:hAnsiTheme="minorHAnsi" w:cstheme="minorHAnsi"/>
                <w:bCs/>
                <w:color w:val="000000"/>
                <w:sz w:val="22"/>
                <w:szCs w:val="22"/>
                <w:lang w:val="es-ES"/>
              </w:rPr>
            </w:pPr>
            <w:bookmarkStart w:id="1" w:name="_Hlk92796366"/>
            <w:r w:rsidRPr="006F42B2">
              <w:rPr>
                <w:rFonts w:asciiTheme="minorHAnsi" w:hAnsiTheme="minorHAnsi" w:cstheme="minorHAnsi"/>
                <w:bCs/>
                <w:color w:val="000000"/>
                <w:sz w:val="22"/>
                <w:szCs w:val="22"/>
                <w:lang w:val="es-ES"/>
              </w:rPr>
              <w:t xml:space="preserve">Proyecto de resolución sobre </w:t>
            </w:r>
          </w:p>
          <w:p w14:paraId="180952C2"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Pr>
                <w:rFonts w:asciiTheme="minorHAnsi" w:hAnsiTheme="minorHAnsi" w:cstheme="minorHAnsi"/>
                <w:bCs/>
                <w:color w:val="000000"/>
                <w:sz w:val="22"/>
                <w:szCs w:val="22"/>
                <w:lang w:val="es-ES"/>
              </w:rPr>
              <w:t>p</w:t>
            </w:r>
            <w:r w:rsidRPr="006F42B2">
              <w:rPr>
                <w:rFonts w:asciiTheme="minorHAnsi" w:hAnsiTheme="minorHAnsi" w:cstheme="minorHAnsi"/>
                <w:bCs/>
                <w:color w:val="000000"/>
                <w:sz w:val="22"/>
                <w:szCs w:val="22"/>
                <w:lang w:val="es-ES"/>
              </w:rPr>
              <w:t xml:space="preserve">rotección, manejo y restauración de los humedales como soluciones basadas en la naturaleza para hacer frente a la crisis climática </w:t>
            </w:r>
          </w:p>
          <w:bookmarkEnd w:id="1"/>
          <w:p w14:paraId="38B894F9" w14:textId="77777777" w:rsidR="00CE581A" w:rsidRPr="00CC25E9" w:rsidRDefault="00CE581A" w:rsidP="00E822D5">
            <w:pPr>
              <w:widowControl w:val="0"/>
              <w:ind w:left="0" w:firstLine="0"/>
              <w:jc w:val="left"/>
              <w:rPr>
                <w:rFonts w:asciiTheme="minorHAnsi" w:hAnsiTheme="minorHAnsi" w:cstheme="minorHAnsi"/>
                <w:color w:val="000000"/>
                <w:sz w:val="22"/>
                <w:szCs w:val="22"/>
                <w:lang w:val="es-ES"/>
              </w:rPr>
            </w:pPr>
          </w:p>
        </w:tc>
        <w:tc>
          <w:tcPr>
            <w:tcW w:w="2835" w:type="dxa"/>
            <w:shd w:val="clear" w:color="auto" w:fill="auto"/>
            <w:hideMark/>
          </w:tcPr>
          <w:p w14:paraId="1C37ECA6"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La Secretaría se pondrá en contacto con las convenciones y organizaciones internacionales pertinentes, según proceda, e incluso estudiará la posibilidad de establecer vínculos formales para promover la protección, gestión y restauración de los humedales como soluciones basadas en la naturaleza para la adaptación al cambio climático.</w:t>
            </w:r>
          </w:p>
        </w:tc>
        <w:tc>
          <w:tcPr>
            <w:tcW w:w="1418" w:type="dxa"/>
          </w:tcPr>
          <w:p w14:paraId="287E6E21"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hideMark/>
          </w:tcPr>
          <w:p w14:paraId="1553A8F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r>
      <w:tr w:rsidR="00CE581A" w:rsidRPr="00772E80" w14:paraId="784B3D53" w14:textId="77777777" w:rsidTr="00E822D5">
        <w:trPr>
          <w:cantSplit/>
        </w:trPr>
        <w:tc>
          <w:tcPr>
            <w:tcW w:w="1277" w:type="dxa"/>
            <w:vMerge/>
            <w:hideMark/>
          </w:tcPr>
          <w:p w14:paraId="288BECA1"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hideMark/>
          </w:tcPr>
          <w:p w14:paraId="1B01A16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hideMark/>
          </w:tcPr>
          <w:p w14:paraId="289A8A45"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La Secretaría promoverá una Comunidad de Práctica apropiada involucrando a iniciativas regionales sobre la protección, gestión y restauración de los humedales como soluciones basadas en la naturaleza, con el apoyo de MedWet.</w:t>
            </w:r>
          </w:p>
        </w:tc>
        <w:tc>
          <w:tcPr>
            <w:tcW w:w="1418" w:type="dxa"/>
          </w:tcPr>
          <w:p w14:paraId="4BB75155"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**10</w:t>
            </w:r>
          </w:p>
        </w:tc>
        <w:tc>
          <w:tcPr>
            <w:tcW w:w="2126" w:type="dxa"/>
            <w:shd w:val="clear" w:color="auto" w:fill="auto"/>
            <w:hideMark/>
          </w:tcPr>
          <w:p w14:paraId="52B802A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*15 000</w:t>
            </w:r>
          </w:p>
        </w:tc>
      </w:tr>
      <w:tr w:rsidR="00CE581A" w:rsidRPr="00772E80" w14:paraId="2F3FF626" w14:textId="77777777" w:rsidTr="00E822D5">
        <w:trPr>
          <w:cantSplit/>
        </w:trPr>
        <w:tc>
          <w:tcPr>
            <w:tcW w:w="1277" w:type="dxa"/>
            <w:vMerge/>
          </w:tcPr>
          <w:p w14:paraId="797C85D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tcPr>
          <w:p w14:paraId="3928AB6E"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tcPr>
          <w:p w14:paraId="684578B2"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El Grupo de Examen Científico y Técnico trabajará en colaboración con MedWet en diferentes actividades.</w:t>
            </w:r>
          </w:p>
        </w:tc>
        <w:tc>
          <w:tcPr>
            <w:tcW w:w="1418" w:type="dxa"/>
          </w:tcPr>
          <w:p w14:paraId="4C34276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**20</w:t>
            </w:r>
          </w:p>
        </w:tc>
        <w:tc>
          <w:tcPr>
            <w:tcW w:w="2126" w:type="dxa"/>
            <w:shd w:val="clear" w:color="auto" w:fill="auto"/>
          </w:tcPr>
          <w:p w14:paraId="07D91D2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*60 000</w:t>
            </w:r>
          </w:p>
        </w:tc>
      </w:tr>
      <w:tr w:rsidR="00CE581A" w:rsidRPr="00772E80" w14:paraId="61969D7E" w14:textId="77777777" w:rsidTr="00E822D5">
        <w:trPr>
          <w:cantSplit/>
        </w:trPr>
        <w:tc>
          <w:tcPr>
            <w:tcW w:w="1277" w:type="dxa"/>
            <w:vMerge w:val="restart"/>
            <w:shd w:val="clear" w:color="auto" w:fill="auto"/>
            <w:hideMark/>
          </w:tcPr>
          <w:p w14:paraId="43D2E44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Doc.24.2</w:t>
            </w:r>
          </w:p>
        </w:tc>
        <w:tc>
          <w:tcPr>
            <w:tcW w:w="1842" w:type="dxa"/>
            <w:vMerge w:val="restart"/>
            <w:shd w:val="clear" w:color="auto" w:fill="auto"/>
            <w:hideMark/>
          </w:tcPr>
          <w:p w14:paraId="0C8B39EE"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 xml:space="preserve">Proyecto de resolución sobre </w:t>
            </w:r>
            <w:r>
              <w:rPr>
                <w:rFonts w:asciiTheme="minorHAnsi" w:hAnsiTheme="minorHAnsi" w:cstheme="minorHAnsi"/>
                <w:color w:val="000000"/>
                <w:sz w:val="22"/>
                <w:szCs w:val="22"/>
                <w:lang w:val="es-ES"/>
              </w:rPr>
              <w:t>R</w:t>
            </w:r>
            <w:r w:rsidRPr="006F42B2">
              <w:rPr>
                <w:rFonts w:asciiTheme="minorHAnsi" w:hAnsiTheme="minorHAnsi" w:cstheme="minorHAnsi"/>
                <w:color w:val="000000"/>
                <w:sz w:val="22"/>
                <w:szCs w:val="22"/>
                <w:lang w:val="es-ES"/>
              </w:rPr>
              <w:t>evisión de los criterios de Ramsar y desinscripción de los sitios incluidos en la lista de Ramsar situados en territorios no reconocidos por la ONU como parte del territorio del país que los presentó para su designación</w:t>
            </w:r>
          </w:p>
        </w:tc>
        <w:tc>
          <w:tcPr>
            <w:tcW w:w="2835" w:type="dxa"/>
            <w:shd w:val="clear" w:color="auto" w:fill="auto"/>
            <w:noWrap/>
            <w:hideMark/>
          </w:tcPr>
          <w:p w14:paraId="543A084C" w14:textId="77777777" w:rsidR="00CE581A" w:rsidRPr="00CC25E9" w:rsidRDefault="00CE581A" w:rsidP="00E822D5">
            <w:pPr>
              <w:autoSpaceDE w:val="0"/>
              <w:autoSpaceDN w:val="0"/>
              <w:adjustRightInd w:val="0"/>
              <w:ind w:left="36" w:firstLine="0"/>
              <w:jc w:val="left"/>
              <w:rPr>
                <w:rFonts w:asciiTheme="minorHAnsi" w:hAnsiTheme="minorHAnsi" w:cstheme="minorHAnsi"/>
                <w:sz w:val="22"/>
                <w:szCs w:val="22"/>
                <w:lang w:val="es-ES"/>
              </w:rPr>
            </w:pPr>
            <w:r w:rsidRPr="006F42B2">
              <w:rPr>
                <w:rFonts w:asciiTheme="minorHAnsi" w:hAnsiTheme="minorHAnsi" w:cstheme="minorHAnsi"/>
                <w:sz w:val="22"/>
                <w:szCs w:val="22"/>
                <w:lang w:val="es-ES"/>
              </w:rPr>
              <w:t xml:space="preserve">El </w:t>
            </w:r>
            <w:r w:rsidRPr="006F42B2">
              <w:rPr>
                <w:rFonts w:asciiTheme="minorHAnsi" w:hAnsiTheme="minorHAnsi" w:cstheme="minorHAnsi"/>
                <w:color w:val="000000"/>
                <w:sz w:val="22"/>
                <w:szCs w:val="22"/>
                <w:lang w:val="es-ES"/>
              </w:rPr>
              <w:t xml:space="preserve">Grupo de Examen Científico y Técnico </w:t>
            </w:r>
            <w:r w:rsidRPr="006F42B2">
              <w:rPr>
                <w:rFonts w:asciiTheme="minorHAnsi" w:hAnsiTheme="minorHAnsi" w:cstheme="minorHAnsi"/>
                <w:sz w:val="22"/>
                <w:szCs w:val="22"/>
                <w:lang w:val="es-ES"/>
              </w:rPr>
              <w:t>examinará el Sistema de clasificación de tipos de humedales la Convención, con el objetivo de incluir otros aspectos</w:t>
            </w:r>
          </w:p>
        </w:tc>
        <w:tc>
          <w:tcPr>
            <w:tcW w:w="1418" w:type="dxa"/>
          </w:tcPr>
          <w:p w14:paraId="515D253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**3</w:t>
            </w:r>
          </w:p>
        </w:tc>
        <w:tc>
          <w:tcPr>
            <w:tcW w:w="2126" w:type="dxa"/>
            <w:shd w:val="clear" w:color="auto" w:fill="auto"/>
            <w:noWrap/>
            <w:hideMark/>
          </w:tcPr>
          <w:p w14:paraId="7D69DED5"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**5 000</w:t>
            </w:r>
          </w:p>
        </w:tc>
      </w:tr>
      <w:tr w:rsidR="00CE581A" w:rsidRPr="00772E80" w14:paraId="6AE92E3E" w14:textId="77777777" w:rsidTr="00E822D5">
        <w:trPr>
          <w:cantSplit/>
        </w:trPr>
        <w:tc>
          <w:tcPr>
            <w:tcW w:w="1277" w:type="dxa"/>
            <w:vMerge/>
            <w:shd w:val="clear" w:color="auto" w:fill="auto"/>
          </w:tcPr>
          <w:p w14:paraId="6A24DE6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374603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tcPr>
          <w:p w14:paraId="429C1F88"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sz w:val="22"/>
                <w:szCs w:val="22"/>
                <w:lang w:val="es-ES"/>
              </w:rPr>
              <w:t xml:space="preserve">El Grupo de Examen Científico y Técnico, en consulta con expertos y organizaciones asociadas competentes y con la asistencia de la Secretaría de la Convención, examinará los criterios actuales para la identificación de Humedales de Importancia Internacional </w:t>
            </w:r>
          </w:p>
        </w:tc>
        <w:tc>
          <w:tcPr>
            <w:tcW w:w="1418" w:type="dxa"/>
          </w:tcPr>
          <w:p w14:paraId="7A72806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**3</w:t>
            </w:r>
          </w:p>
        </w:tc>
        <w:tc>
          <w:tcPr>
            <w:tcW w:w="2126" w:type="dxa"/>
            <w:shd w:val="clear" w:color="auto" w:fill="auto"/>
          </w:tcPr>
          <w:p w14:paraId="15B564D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**5 000</w:t>
            </w:r>
          </w:p>
        </w:tc>
      </w:tr>
      <w:tr w:rsidR="00CE581A" w:rsidRPr="00772E80" w14:paraId="5A54C913" w14:textId="77777777" w:rsidTr="00E822D5">
        <w:trPr>
          <w:cantSplit/>
        </w:trPr>
        <w:tc>
          <w:tcPr>
            <w:tcW w:w="1277" w:type="dxa"/>
            <w:vMerge w:val="restart"/>
            <w:shd w:val="clear" w:color="auto" w:fill="auto"/>
            <w:hideMark/>
          </w:tcPr>
          <w:p w14:paraId="0E9FE09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 24.3</w:t>
            </w:r>
          </w:p>
        </w:tc>
        <w:tc>
          <w:tcPr>
            <w:tcW w:w="1842" w:type="dxa"/>
            <w:vMerge w:val="restart"/>
            <w:shd w:val="clear" w:color="auto" w:fill="auto"/>
            <w:hideMark/>
          </w:tcPr>
          <w:p w14:paraId="267788E0"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sobre Creación de indicadores jurídicos para medir la eficacia de la Convención de Ramsar</w:t>
            </w:r>
          </w:p>
        </w:tc>
        <w:tc>
          <w:tcPr>
            <w:tcW w:w="2835" w:type="dxa"/>
            <w:shd w:val="clear" w:color="auto" w:fill="auto"/>
            <w:hideMark/>
          </w:tcPr>
          <w:p w14:paraId="52CABD8F"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sz w:val="22"/>
                <w:szCs w:val="22"/>
                <w:lang w:val="es-ES"/>
              </w:rPr>
              <w:t xml:space="preserve">Contratación por parte de la Secretaría de un consultor que </w:t>
            </w:r>
            <w:r>
              <w:rPr>
                <w:rFonts w:asciiTheme="minorHAnsi" w:hAnsiTheme="minorHAnsi" w:cstheme="minorHAnsi"/>
                <w:sz w:val="22"/>
                <w:szCs w:val="22"/>
                <w:lang w:val="es-ES"/>
              </w:rPr>
              <w:t>preste apoyo</w:t>
            </w:r>
            <w:r w:rsidRPr="006F42B2">
              <w:rPr>
                <w:rFonts w:asciiTheme="minorHAnsi" w:hAnsiTheme="minorHAnsi" w:cstheme="minorHAnsi"/>
                <w:sz w:val="22"/>
                <w:szCs w:val="22"/>
                <w:lang w:val="es-ES"/>
              </w:rPr>
              <w:t xml:space="preserve"> en la formulación de indicadores jurídicos</w:t>
            </w:r>
          </w:p>
        </w:tc>
        <w:tc>
          <w:tcPr>
            <w:tcW w:w="1418" w:type="dxa"/>
          </w:tcPr>
          <w:p w14:paraId="46D6FC0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**8</w:t>
            </w:r>
          </w:p>
        </w:tc>
        <w:tc>
          <w:tcPr>
            <w:tcW w:w="2126" w:type="dxa"/>
            <w:shd w:val="clear" w:color="auto" w:fill="auto"/>
            <w:hideMark/>
          </w:tcPr>
          <w:p w14:paraId="408F73A8"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*18 000</w:t>
            </w:r>
          </w:p>
        </w:tc>
      </w:tr>
      <w:tr w:rsidR="00CE581A" w:rsidRPr="00772E80" w14:paraId="077C4593" w14:textId="77777777" w:rsidTr="00E822D5">
        <w:trPr>
          <w:cantSplit/>
        </w:trPr>
        <w:tc>
          <w:tcPr>
            <w:tcW w:w="1277" w:type="dxa"/>
            <w:vMerge/>
            <w:hideMark/>
          </w:tcPr>
          <w:p w14:paraId="01B2BDF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hideMark/>
          </w:tcPr>
          <w:p w14:paraId="412E5AF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hideMark/>
          </w:tcPr>
          <w:p w14:paraId="2A646BFC"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Supervisión de la elaboración de indicadores jurídicos por parte del Grupo de trabajo sobre eficacia y el Comité Permanente</w:t>
            </w:r>
          </w:p>
        </w:tc>
        <w:tc>
          <w:tcPr>
            <w:tcW w:w="1418" w:type="dxa"/>
          </w:tcPr>
          <w:p w14:paraId="698F5A2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hideMark/>
          </w:tcPr>
          <w:p w14:paraId="3B820EB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1FD04D15" w14:textId="77777777" w:rsidTr="00E822D5">
        <w:trPr>
          <w:cantSplit/>
        </w:trPr>
        <w:tc>
          <w:tcPr>
            <w:tcW w:w="1277" w:type="dxa"/>
            <w:shd w:val="clear" w:color="auto" w:fill="auto"/>
            <w:hideMark/>
          </w:tcPr>
          <w:p w14:paraId="4585D4D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Doc.24.4</w:t>
            </w:r>
          </w:p>
        </w:tc>
        <w:tc>
          <w:tcPr>
            <w:tcW w:w="1842" w:type="dxa"/>
            <w:shd w:val="clear" w:color="auto" w:fill="auto"/>
            <w:hideMark/>
          </w:tcPr>
          <w:p w14:paraId="3A4438E4"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Proyecto de resolución sobre Orientaciones para la conservación y gestión</w:t>
            </w:r>
            <w:r w:rsidRPr="006F42B2">
              <w:rPr>
                <w:rFonts w:asciiTheme="minorHAnsi" w:hAnsiTheme="minorHAnsi" w:cstheme="minorHAnsi"/>
                <w:color w:val="000000"/>
                <w:sz w:val="22"/>
                <w:szCs w:val="22"/>
                <w:lang w:val="es-ES"/>
              </w:rPr>
              <w:br/>
              <w:t>de pequeños humedales</w:t>
            </w:r>
          </w:p>
        </w:tc>
        <w:tc>
          <w:tcPr>
            <w:tcW w:w="2835" w:type="dxa"/>
            <w:shd w:val="clear" w:color="auto" w:fill="auto"/>
            <w:noWrap/>
            <w:hideMark/>
          </w:tcPr>
          <w:p w14:paraId="66476069" w14:textId="77777777" w:rsidR="00CE581A" w:rsidRPr="00CC25E9" w:rsidRDefault="00CE581A" w:rsidP="00E822D5">
            <w:pPr>
              <w:widowControl w:val="0"/>
              <w:ind w:left="0" w:firstLine="0"/>
              <w:jc w:val="left"/>
              <w:rPr>
                <w:rFonts w:asciiTheme="minorHAnsi" w:eastAsia="SimSun" w:hAnsiTheme="minorHAnsi" w:cstheme="minorHAnsi"/>
                <w:bCs/>
                <w:sz w:val="22"/>
                <w:szCs w:val="22"/>
                <w:lang w:val="fr-FR" w:eastAsia="zh-CN"/>
              </w:rPr>
            </w:pPr>
            <w:r w:rsidRPr="006F42B2">
              <w:rPr>
                <w:rFonts w:asciiTheme="minorHAnsi" w:eastAsia="SimSun" w:hAnsiTheme="minorHAnsi" w:cstheme="minorHAnsi"/>
                <w:bCs/>
                <w:sz w:val="22"/>
                <w:szCs w:val="22"/>
                <w:lang w:val="es-ES" w:eastAsia="zh-CN"/>
              </w:rPr>
              <w:t>El Grupo de Examen Científico y Técnico, con el apoyo de la Secretaría y el consultor, basándose en los últimos conocimientos científicos y en la información proporcionada por las Partes Contratantes, elaborará y mejorará las orientaciones, y las incluirá en el Marco para el inventario de humedales y en los manuales de la Convención.</w:t>
            </w:r>
          </w:p>
        </w:tc>
        <w:tc>
          <w:tcPr>
            <w:tcW w:w="1418" w:type="dxa"/>
          </w:tcPr>
          <w:p w14:paraId="5B4A975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**8</w:t>
            </w:r>
          </w:p>
        </w:tc>
        <w:tc>
          <w:tcPr>
            <w:tcW w:w="2126" w:type="dxa"/>
            <w:shd w:val="clear" w:color="auto" w:fill="auto"/>
            <w:hideMark/>
          </w:tcPr>
          <w:p w14:paraId="579C3CA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**10 000</w:t>
            </w:r>
          </w:p>
        </w:tc>
      </w:tr>
      <w:tr w:rsidR="00CE581A" w:rsidRPr="00772E80" w14:paraId="0F3C4818" w14:textId="77777777" w:rsidTr="00E822D5">
        <w:trPr>
          <w:cantSplit/>
        </w:trPr>
        <w:tc>
          <w:tcPr>
            <w:tcW w:w="1277" w:type="dxa"/>
            <w:vMerge w:val="restart"/>
            <w:shd w:val="clear" w:color="auto" w:fill="auto"/>
            <w:hideMark/>
          </w:tcPr>
          <w:p w14:paraId="1529D3C2"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Doc.24.5</w:t>
            </w:r>
          </w:p>
        </w:tc>
        <w:tc>
          <w:tcPr>
            <w:tcW w:w="1842" w:type="dxa"/>
            <w:vMerge w:val="restart"/>
            <w:shd w:val="clear" w:color="auto" w:fill="auto"/>
            <w:hideMark/>
          </w:tcPr>
          <w:p w14:paraId="00AD64A4" w14:textId="77777777" w:rsidR="00CE581A" w:rsidRPr="00CC25E9"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Proyecto de resolución sobre</w:t>
            </w:r>
            <w:r>
              <w:rPr>
                <w:rFonts w:asciiTheme="minorHAnsi" w:hAnsiTheme="minorHAnsi" w:cstheme="minorHAnsi"/>
                <w:bCs/>
                <w:color w:val="000000"/>
                <w:sz w:val="22"/>
                <w:szCs w:val="22"/>
                <w:lang w:val="es-ES"/>
              </w:rPr>
              <w:t xml:space="preserve"> </w:t>
            </w:r>
            <w:r w:rsidRPr="006F42B2">
              <w:rPr>
                <w:rFonts w:asciiTheme="minorHAnsi" w:hAnsiTheme="minorHAnsi" w:cstheme="minorHAnsi"/>
                <w:bCs/>
                <w:color w:val="000000"/>
                <w:sz w:val="22"/>
                <w:szCs w:val="22"/>
                <w:lang w:val="es-ES"/>
              </w:rPr>
              <w:t xml:space="preserve">la </w:t>
            </w:r>
            <w:r>
              <w:rPr>
                <w:rFonts w:asciiTheme="minorHAnsi" w:hAnsiTheme="minorHAnsi" w:cstheme="minorHAnsi"/>
                <w:bCs/>
                <w:color w:val="000000"/>
                <w:sz w:val="22"/>
                <w:szCs w:val="22"/>
                <w:lang w:val="es-ES"/>
              </w:rPr>
              <w:t>i</w:t>
            </w:r>
            <w:r w:rsidRPr="006F42B2">
              <w:rPr>
                <w:rFonts w:asciiTheme="minorHAnsi" w:hAnsiTheme="minorHAnsi" w:cstheme="minorHAnsi"/>
                <w:bCs/>
                <w:color w:val="000000"/>
                <w:sz w:val="22"/>
                <w:szCs w:val="22"/>
                <w:lang w:val="es-ES"/>
              </w:rPr>
              <w:t>ntegración de la conservación y restauración de los humedales en la estrategia nacional de desarrollo sostenible</w:t>
            </w:r>
          </w:p>
        </w:tc>
        <w:tc>
          <w:tcPr>
            <w:tcW w:w="2835" w:type="dxa"/>
            <w:shd w:val="clear" w:color="auto" w:fill="auto"/>
            <w:noWrap/>
            <w:hideMark/>
          </w:tcPr>
          <w:p w14:paraId="16FA8CAC" w14:textId="77777777" w:rsidR="00CE581A" w:rsidRPr="00CC25E9" w:rsidRDefault="00CE581A" w:rsidP="00E822D5">
            <w:pPr>
              <w:widowControl w:val="0"/>
              <w:ind w:left="36" w:firstLine="0"/>
              <w:jc w:val="left"/>
              <w:rPr>
                <w:rFonts w:asciiTheme="minorHAnsi" w:eastAsia="仿宋" w:hAnsiTheme="minorHAnsi" w:cstheme="minorHAnsi"/>
                <w:sz w:val="22"/>
                <w:szCs w:val="22"/>
                <w:lang w:val="fr-FR" w:eastAsia="zh-CN"/>
              </w:rPr>
            </w:pPr>
            <w:r w:rsidRPr="006F42B2">
              <w:rPr>
                <w:rFonts w:asciiTheme="minorHAnsi" w:hAnsiTheme="minorHAnsi" w:cstheme="minorHAnsi"/>
                <w:sz w:val="22"/>
                <w:szCs w:val="22"/>
                <w:lang w:val="es-ES"/>
              </w:rPr>
              <w:t>La Secretaría estrechará la cooperación con la Comisión de las Naciones Unidas sobre el Desarrollo Sostenible (CDS), la Convención Marco de las Naciones Unidas sobre el Cambio Climático (CMNUCC), el Convenio sobre la Diversidad Biológica (CDB) y otros acuerdos multilaterales sobre el medio ambiente, a fin de promover a escala mundial la integración de la conservación y restauración de los humedales.</w:t>
            </w:r>
          </w:p>
        </w:tc>
        <w:tc>
          <w:tcPr>
            <w:tcW w:w="1418" w:type="dxa"/>
          </w:tcPr>
          <w:p w14:paraId="24F3529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hideMark/>
          </w:tcPr>
          <w:p w14:paraId="25B4415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21B1BEFF" w14:textId="77777777" w:rsidTr="00E822D5">
        <w:trPr>
          <w:cantSplit/>
        </w:trPr>
        <w:tc>
          <w:tcPr>
            <w:tcW w:w="1277" w:type="dxa"/>
            <w:vMerge/>
            <w:shd w:val="clear" w:color="auto" w:fill="auto"/>
          </w:tcPr>
          <w:p w14:paraId="16A67E8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0C4FB20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686E9218" w14:textId="77777777" w:rsidR="00CE581A" w:rsidRPr="00CC25E9" w:rsidRDefault="00CE581A" w:rsidP="00E822D5">
            <w:pPr>
              <w:widowControl w:val="0"/>
              <w:ind w:left="36" w:firstLine="0"/>
              <w:jc w:val="left"/>
              <w:rPr>
                <w:rFonts w:asciiTheme="minorHAnsi" w:hAnsiTheme="minorHAnsi" w:cstheme="minorHAnsi"/>
                <w:sz w:val="22"/>
                <w:szCs w:val="22"/>
                <w:lang w:val="fr-FR"/>
              </w:rPr>
            </w:pPr>
            <w:r w:rsidRPr="006F42B2">
              <w:rPr>
                <w:rFonts w:asciiTheme="minorHAnsi" w:hAnsiTheme="minorHAnsi" w:cstheme="minorHAnsi"/>
                <w:sz w:val="22"/>
                <w:szCs w:val="22"/>
                <w:lang w:val="es-ES"/>
              </w:rPr>
              <w:t>El consultor recopilará estudios de caso y elaborará orientaciones técnicas sobre la integración de la conservación y restauración de los humedales nacionales en las estrategias nacionales de desarrollo sostenible.</w:t>
            </w:r>
          </w:p>
        </w:tc>
        <w:tc>
          <w:tcPr>
            <w:tcW w:w="1418" w:type="dxa"/>
          </w:tcPr>
          <w:p w14:paraId="74E7A47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**20</w:t>
            </w:r>
          </w:p>
        </w:tc>
        <w:tc>
          <w:tcPr>
            <w:tcW w:w="2126" w:type="dxa"/>
            <w:shd w:val="clear" w:color="auto" w:fill="auto"/>
          </w:tcPr>
          <w:p w14:paraId="759CF6B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**15 000</w:t>
            </w:r>
          </w:p>
        </w:tc>
      </w:tr>
      <w:tr w:rsidR="00CE581A" w:rsidRPr="00772E80" w14:paraId="1A657F1E" w14:textId="77777777" w:rsidTr="00E822D5">
        <w:trPr>
          <w:cantSplit/>
        </w:trPr>
        <w:tc>
          <w:tcPr>
            <w:tcW w:w="1277" w:type="dxa"/>
            <w:vMerge w:val="restart"/>
            <w:shd w:val="clear" w:color="auto" w:fill="auto"/>
            <w:hideMark/>
          </w:tcPr>
          <w:p w14:paraId="3AF9017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Doc.24.6</w:t>
            </w:r>
          </w:p>
        </w:tc>
        <w:tc>
          <w:tcPr>
            <w:tcW w:w="1842" w:type="dxa"/>
            <w:vMerge w:val="restart"/>
            <w:shd w:val="clear" w:color="auto" w:fill="auto"/>
            <w:hideMark/>
          </w:tcPr>
          <w:p w14:paraId="7DBB3C33"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Proyecto de resolución relativo a Educación sobre los humedales en el sector de la educación formal</w:t>
            </w:r>
          </w:p>
          <w:p w14:paraId="13017348" w14:textId="77777777" w:rsidR="00CE581A" w:rsidRPr="00CC25E9" w:rsidRDefault="00CE581A" w:rsidP="00E822D5">
            <w:pPr>
              <w:widowControl w:val="0"/>
              <w:ind w:left="0" w:firstLine="0"/>
              <w:jc w:val="left"/>
              <w:rPr>
                <w:rFonts w:asciiTheme="minorHAnsi" w:hAnsiTheme="minorHAnsi" w:cstheme="minorHAnsi"/>
                <w:color w:val="000000"/>
                <w:sz w:val="22"/>
                <w:szCs w:val="22"/>
                <w:lang w:val="es-ES"/>
              </w:rPr>
            </w:pPr>
          </w:p>
        </w:tc>
        <w:tc>
          <w:tcPr>
            <w:tcW w:w="2835" w:type="dxa"/>
            <w:shd w:val="clear" w:color="auto" w:fill="auto"/>
            <w:noWrap/>
            <w:hideMark/>
          </w:tcPr>
          <w:p w14:paraId="39B04349" w14:textId="77777777" w:rsidR="00CE581A" w:rsidRPr="00CC25E9" w:rsidRDefault="00CE581A" w:rsidP="00E822D5">
            <w:pPr>
              <w:widowControl w:val="0"/>
              <w:ind w:left="0" w:firstLine="0"/>
              <w:jc w:val="left"/>
              <w:rPr>
                <w:rFonts w:asciiTheme="minorHAnsi" w:hAnsiTheme="minorHAnsi" w:cstheme="minorHAnsi"/>
                <w:sz w:val="22"/>
                <w:szCs w:val="22"/>
                <w:lang w:val="fr-FR" w:eastAsia="ko-KR"/>
              </w:rPr>
            </w:pPr>
            <w:r w:rsidRPr="006F42B2">
              <w:rPr>
                <w:rFonts w:asciiTheme="minorHAnsi" w:hAnsiTheme="minorHAnsi" w:cstheme="minorHAnsi"/>
                <w:sz w:val="22"/>
                <w:szCs w:val="22"/>
                <w:lang w:val="es-ES" w:eastAsia="ko-KR"/>
              </w:rPr>
              <w:t>La Secretaría incluirá la educación sobre los humedales como un indicador en los informes nacionales, analizará el progreso del desarrollo y la aplicación de los programas de educación sobre los humedales basándose en los informes nacionales en cooperación con el Grupo de supervisión de las actividades de CECoP, e informará a las Partes Contratantes, a través de las COP, sobre los progresos realizados para el logro del objetivo de integración de la educación sobre los humedales en la educación formal</w:t>
            </w:r>
          </w:p>
        </w:tc>
        <w:tc>
          <w:tcPr>
            <w:tcW w:w="1418" w:type="dxa"/>
          </w:tcPr>
          <w:p w14:paraId="3A120EDA"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**2</w:t>
            </w:r>
          </w:p>
        </w:tc>
        <w:tc>
          <w:tcPr>
            <w:tcW w:w="2126" w:type="dxa"/>
            <w:shd w:val="clear" w:color="auto" w:fill="auto"/>
            <w:hideMark/>
          </w:tcPr>
          <w:p w14:paraId="61D09809"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7AF1A74B" w14:textId="77777777" w:rsidTr="00E822D5">
        <w:trPr>
          <w:cantSplit/>
        </w:trPr>
        <w:tc>
          <w:tcPr>
            <w:tcW w:w="1277" w:type="dxa"/>
            <w:vMerge/>
            <w:shd w:val="clear" w:color="auto" w:fill="auto"/>
          </w:tcPr>
          <w:p w14:paraId="42CA605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68DDC2A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1E81D94A" w14:textId="77777777" w:rsidR="00CE581A" w:rsidRPr="00CC25E9" w:rsidRDefault="00CE581A" w:rsidP="00E822D5">
            <w:pPr>
              <w:widowControl w:val="0"/>
              <w:ind w:left="0" w:firstLine="0"/>
              <w:jc w:val="left"/>
              <w:rPr>
                <w:rFonts w:asciiTheme="minorHAnsi" w:hAnsiTheme="minorHAnsi" w:cstheme="minorHAnsi"/>
                <w:sz w:val="22"/>
                <w:szCs w:val="22"/>
                <w:lang w:val="fr-FR" w:eastAsia="ko-KR"/>
              </w:rPr>
            </w:pPr>
            <w:r w:rsidRPr="006F42B2">
              <w:rPr>
                <w:rFonts w:asciiTheme="minorHAnsi" w:hAnsiTheme="minorHAnsi" w:cstheme="minorHAnsi"/>
                <w:sz w:val="22"/>
                <w:szCs w:val="22"/>
                <w:lang w:val="es-ES"/>
              </w:rPr>
              <w:t xml:space="preserve">La Secretaria General se coordinará con la UNESCO </w:t>
            </w:r>
            <w:r>
              <w:rPr>
                <w:rFonts w:asciiTheme="minorHAnsi" w:hAnsiTheme="minorHAnsi" w:cstheme="minorHAnsi"/>
                <w:sz w:val="22"/>
                <w:szCs w:val="22"/>
                <w:lang w:val="es-ES"/>
              </w:rPr>
              <w:t>y trabajará</w:t>
            </w:r>
            <w:r w:rsidRPr="006F42B2">
              <w:rPr>
                <w:rFonts w:asciiTheme="minorHAnsi" w:hAnsiTheme="minorHAnsi" w:cstheme="minorHAnsi"/>
                <w:sz w:val="22"/>
                <w:szCs w:val="22"/>
                <w:lang w:val="es-ES"/>
              </w:rPr>
              <w:t xml:space="preserve"> en la creación de sinergias entre el objetivo de la Convención de integrar la educación sobre los humedales en la educación formal</w:t>
            </w:r>
            <w:r>
              <w:rPr>
                <w:rFonts w:asciiTheme="minorHAnsi" w:hAnsiTheme="minorHAnsi" w:cstheme="minorHAnsi"/>
                <w:sz w:val="22"/>
                <w:szCs w:val="22"/>
                <w:lang w:val="es-ES"/>
              </w:rPr>
              <w:t>,</w:t>
            </w:r>
            <w:r w:rsidRPr="006F42B2">
              <w:rPr>
                <w:rFonts w:asciiTheme="minorHAnsi" w:hAnsiTheme="minorHAnsi" w:cstheme="minorHAnsi"/>
                <w:sz w:val="22"/>
                <w:szCs w:val="22"/>
                <w:lang w:val="es-ES"/>
              </w:rPr>
              <w:t xml:space="preserve"> y el marco mundial de la UNESCO sobre la EDS para 2030.</w:t>
            </w:r>
          </w:p>
        </w:tc>
        <w:tc>
          <w:tcPr>
            <w:tcW w:w="1418" w:type="dxa"/>
          </w:tcPr>
          <w:p w14:paraId="7679A41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**10</w:t>
            </w:r>
          </w:p>
        </w:tc>
        <w:tc>
          <w:tcPr>
            <w:tcW w:w="2126" w:type="dxa"/>
            <w:shd w:val="clear" w:color="auto" w:fill="auto"/>
          </w:tcPr>
          <w:p w14:paraId="339875F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13EAEAB4" w14:textId="77777777" w:rsidTr="00E822D5">
        <w:trPr>
          <w:cantSplit/>
        </w:trPr>
        <w:tc>
          <w:tcPr>
            <w:tcW w:w="1277" w:type="dxa"/>
            <w:shd w:val="clear" w:color="auto" w:fill="auto"/>
            <w:hideMark/>
          </w:tcPr>
          <w:p w14:paraId="23ABD50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SC59 Doc.24.7</w:t>
            </w:r>
          </w:p>
        </w:tc>
        <w:tc>
          <w:tcPr>
            <w:tcW w:w="1842" w:type="dxa"/>
            <w:shd w:val="clear" w:color="auto" w:fill="auto"/>
            <w:hideMark/>
          </w:tcPr>
          <w:p w14:paraId="1218D6F3"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sobre los Premios Ramsar</w:t>
            </w:r>
            <w:r w:rsidRPr="006F42B2">
              <w:rPr>
                <w:rFonts w:asciiTheme="minorHAnsi" w:hAnsiTheme="minorHAnsi" w:cstheme="minorHAnsi"/>
                <w:color w:val="000000"/>
                <w:sz w:val="22"/>
                <w:szCs w:val="22"/>
                <w:lang w:val="es-ES"/>
              </w:rPr>
              <w:t xml:space="preserve"> a la Conservación de los Humedales</w:t>
            </w:r>
          </w:p>
        </w:tc>
        <w:tc>
          <w:tcPr>
            <w:tcW w:w="2835" w:type="dxa"/>
            <w:shd w:val="clear" w:color="auto" w:fill="auto"/>
            <w:noWrap/>
            <w:hideMark/>
          </w:tcPr>
          <w:p w14:paraId="5DFAD47C"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sz w:val="22"/>
                <w:szCs w:val="22"/>
                <w:lang w:val="es-ES"/>
              </w:rPr>
              <w:t xml:space="preserve">Los ganadores del Premio Ramsar a la Conservación sobre los Humedales recibirán un trofeo y un certificado, al igual que los </w:t>
            </w:r>
            <w:r>
              <w:rPr>
                <w:rFonts w:asciiTheme="minorHAnsi" w:hAnsiTheme="minorHAnsi" w:cstheme="minorHAnsi"/>
                <w:sz w:val="22"/>
                <w:szCs w:val="22"/>
                <w:lang w:val="es-ES"/>
              </w:rPr>
              <w:t>ganadores</w:t>
            </w:r>
            <w:r w:rsidRPr="006F42B2">
              <w:rPr>
                <w:rFonts w:asciiTheme="minorHAnsi" w:hAnsiTheme="minorHAnsi" w:cstheme="minorHAnsi"/>
                <w:sz w:val="22"/>
                <w:szCs w:val="22"/>
                <w:lang w:val="es-ES"/>
              </w:rPr>
              <w:t xml:space="preserve"> del Premio Ramsar al Mérito para la Conservación de los Humedales.</w:t>
            </w:r>
          </w:p>
        </w:tc>
        <w:tc>
          <w:tcPr>
            <w:tcW w:w="1418" w:type="dxa"/>
          </w:tcPr>
          <w:p w14:paraId="7AB6795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hideMark/>
          </w:tcPr>
          <w:p w14:paraId="4559750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**1 200</w:t>
            </w:r>
          </w:p>
        </w:tc>
      </w:tr>
      <w:tr w:rsidR="00CE581A" w:rsidRPr="00772E80" w14:paraId="28D8CE30" w14:textId="77777777" w:rsidTr="00E822D5">
        <w:trPr>
          <w:cantSplit/>
        </w:trPr>
        <w:tc>
          <w:tcPr>
            <w:tcW w:w="1277" w:type="dxa"/>
            <w:vMerge w:val="restart"/>
            <w:shd w:val="clear" w:color="auto" w:fill="auto"/>
          </w:tcPr>
          <w:p w14:paraId="363AC37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Doc24.8</w:t>
            </w:r>
          </w:p>
        </w:tc>
        <w:tc>
          <w:tcPr>
            <w:tcW w:w="1842" w:type="dxa"/>
            <w:vMerge w:val="restart"/>
            <w:shd w:val="clear" w:color="auto" w:fill="auto"/>
          </w:tcPr>
          <w:p w14:paraId="0769C8C2"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 xml:space="preserve">Proyecto de resolución sobre </w:t>
            </w:r>
            <w:r w:rsidRPr="006F42B2">
              <w:rPr>
                <w:rFonts w:asciiTheme="minorHAnsi" w:hAnsiTheme="minorHAnsi" w:cstheme="minorHAnsi"/>
                <w:sz w:val="22"/>
                <w:szCs w:val="22"/>
                <w:lang w:val="es-ES"/>
              </w:rPr>
              <w:t xml:space="preserve">la </w:t>
            </w:r>
            <w:r>
              <w:rPr>
                <w:rFonts w:asciiTheme="minorHAnsi" w:hAnsiTheme="minorHAnsi" w:cstheme="minorHAnsi"/>
                <w:sz w:val="22"/>
                <w:szCs w:val="22"/>
                <w:lang w:val="es-ES"/>
              </w:rPr>
              <w:t>a</w:t>
            </w:r>
            <w:r w:rsidRPr="006F42B2">
              <w:rPr>
                <w:rFonts w:asciiTheme="minorHAnsi" w:hAnsiTheme="minorHAnsi" w:cstheme="minorHAnsi"/>
                <w:sz w:val="22"/>
                <w:szCs w:val="22"/>
                <w:lang w:val="es-ES"/>
              </w:rPr>
              <w:t>creditación de Ciudad de Humedal de la Convención sobre los Humedales</w:t>
            </w:r>
            <w:r w:rsidRPr="006F42B2">
              <w:rPr>
                <w:rFonts w:asciiTheme="minorHAnsi" w:hAnsiTheme="minorHAnsi" w:cstheme="minorHAnsi"/>
                <w:sz w:val="22"/>
                <w:szCs w:val="22"/>
                <w:lang w:val="es-ES" w:eastAsia="ko-KR"/>
              </w:rPr>
              <w:t xml:space="preserve"> </w:t>
            </w:r>
          </w:p>
        </w:tc>
        <w:tc>
          <w:tcPr>
            <w:tcW w:w="2835" w:type="dxa"/>
            <w:shd w:val="clear" w:color="auto" w:fill="auto"/>
            <w:noWrap/>
          </w:tcPr>
          <w:p w14:paraId="00477F1D" w14:textId="77777777" w:rsidR="00CE581A" w:rsidRPr="00CC25E9" w:rsidRDefault="00CE581A" w:rsidP="00E822D5">
            <w:pPr>
              <w:widowControl w:val="0"/>
              <w:ind w:left="0" w:firstLine="0"/>
              <w:jc w:val="left"/>
              <w:rPr>
                <w:rFonts w:asciiTheme="minorHAnsi" w:hAnsiTheme="minorHAnsi" w:cstheme="minorHAnsi"/>
                <w:sz w:val="22"/>
                <w:szCs w:val="22"/>
                <w:lang w:val="fr-FR"/>
              </w:rPr>
            </w:pPr>
            <w:r w:rsidRPr="006F42B2">
              <w:rPr>
                <w:rFonts w:asciiTheme="minorHAnsi" w:hAnsiTheme="minorHAnsi" w:cstheme="minorHAnsi"/>
                <w:bCs/>
                <w:sz w:val="22"/>
                <w:szCs w:val="22"/>
                <w:lang w:val="es-ES"/>
              </w:rPr>
              <w:t>La Secretaría apoyará el proceso de Acreditación de Ciudad de Humedal (10 días al año para el personal de apoyo)</w:t>
            </w:r>
          </w:p>
        </w:tc>
        <w:tc>
          <w:tcPr>
            <w:tcW w:w="1418" w:type="dxa"/>
          </w:tcPr>
          <w:p w14:paraId="51E43DB2"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*10</w:t>
            </w:r>
          </w:p>
        </w:tc>
        <w:tc>
          <w:tcPr>
            <w:tcW w:w="2126" w:type="dxa"/>
            <w:shd w:val="clear" w:color="auto" w:fill="auto"/>
          </w:tcPr>
          <w:p w14:paraId="3C1FBE6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4 200 francos suizos al año</w:t>
            </w:r>
          </w:p>
        </w:tc>
      </w:tr>
      <w:tr w:rsidR="00CE581A" w:rsidRPr="00772E80" w14:paraId="21F1EB58" w14:textId="77777777" w:rsidTr="00E822D5">
        <w:trPr>
          <w:cantSplit/>
        </w:trPr>
        <w:tc>
          <w:tcPr>
            <w:tcW w:w="1277" w:type="dxa"/>
            <w:vMerge/>
            <w:shd w:val="clear" w:color="auto" w:fill="auto"/>
          </w:tcPr>
          <w:p w14:paraId="206ACD9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3C5D347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5EB30F60"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Elaboración de certificados de acreditación</w:t>
            </w:r>
          </w:p>
        </w:tc>
        <w:tc>
          <w:tcPr>
            <w:tcW w:w="1418" w:type="dxa"/>
          </w:tcPr>
          <w:p w14:paraId="1661B4A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3D5C889E"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r>
      <w:tr w:rsidR="00CE581A" w:rsidRPr="00772E80" w14:paraId="6FED8068" w14:textId="77777777" w:rsidTr="00E822D5">
        <w:trPr>
          <w:cantSplit/>
        </w:trPr>
        <w:tc>
          <w:tcPr>
            <w:tcW w:w="1277" w:type="dxa"/>
            <w:shd w:val="clear" w:color="auto" w:fill="auto"/>
          </w:tcPr>
          <w:p w14:paraId="58DE4F8E"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Doc24.9</w:t>
            </w:r>
          </w:p>
        </w:tc>
        <w:tc>
          <w:tcPr>
            <w:tcW w:w="1842" w:type="dxa"/>
            <w:shd w:val="clear" w:color="auto" w:fill="auto"/>
          </w:tcPr>
          <w:p w14:paraId="639EEA74"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Proyecto de resolución </w:t>
            </w:r>
          </w:p>
          <w:p w14:paraId="6295453F"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Iniciativas regionales de Ramsar – cuestiones básicas</w:t>
            </w:r>
          </w:p>
        </w:tc>
        <w:tc>
          <w:tcPr>
            <w:tcW w:w="2835" w:type="dxa"/>
            <w:shd w:val="clear" w:color="auto" w:fill="auto"/>
            <w:noWrap/>
          </w:tcPr>
          <w:p w14:paraId="138E6B50"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publicará en el sitio web de la Convención la información proporcionada por las iniciativas regionales, incluidos los informes sobre sus éxitos y programas de trabajo, así como otra información pertinente sobre las iniciativas regionales, según proceda.</w:t>
            </w:r>
          </w:p>
        </w:tc>
        <w:tc>
          <w:tcPr>
            <w:tcW w:w="1418" w:type="dxa"/>
          </w:tcPr>
          <w:p w14:paraId="59B7A55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754EED2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 Esto no tiene repercusiones financieras, pero tiene repercusiones administrativas  </w:t>
            </w:r>
          </w:p>
        </w:tc>
      </w:tr>
      <w:tr w:rsidR="00CE581A" w:rsidRPr="00772E80" w14:paraId="10CC88C1" w14:textId="77777777" w:rsidTr="00E822D5">
        <w:trPr>
          <w:cantSplit/>
        </w:trPr>
        <w:tc>
          <w:tcPr>
            <w:tcW w:w="1277" w:type="dxa"/>
            <w:vMerge w:val="restart"/>
            <w:shd w:val="clear" w:color="auto" w:fill="auto"/>
          </w:tcPr>
          <w:p w14:paraId="0564044E"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Doc24.10</w:t>
            </w:r>
          </w:p>
        </w:tc>
        <w:tc>
          <w:tcPr>
            <w:tcW w:w="1842" w:type="dxa"/>
            <w:vMerge w:val="restart"/>
            <w:shd w:val="clear" w:color="auto" w:fill="auto"/>
          </w:tcPr>
          <w:p w14:paraId="6905D4D0"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Iniciativas regionales de Ramsar - COP14-COP15</w:t>
            </w:r>
          </w:p>
        </w:tc>
        <w:tc>
          <w:tcPr>
            <w:tcW w:w="2835" w:type="dxa"/>
            <w:shd w:val="clear" w:color="auto" w:fill="auto"/>
            <w:noWrap/>
          </w:tcPr>
          <w:p w14:paraId="1FC21D69"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actualizará la lista consolidada de decisiones suprimidas y etiquetará el documento como suprimido en el sitio web o cualquier otro procedimiento decidido en otra resolución en la COP14.</w:t>
            </w:r>
          </w:p>
        </w:tc>
        <w:tc>
          <w:tcPr>
            <w:tcW w:w="1418" w:type="dxa"/>
          </w:tcPr>
          <w:p w14:paraId="74EF038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10686A8E"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 Menos de 20 francos suizos </w:t>
            </w:r>
          </w:p>
        </w:tc>
      </w:tr>
      <w:tr w:rsidR="00CE581A" w:rsidRPr="00CC25E9" w14:paraId="2ADBBFB9" w14:textId="77777777" w:rsidTr="00E822D5">
        <w:trPr>
          <w:cantSplit/>
        </w:trPr>
        <w:tc>
          <w:tcPr>
            <w:tcW w:w="1277" w:type="dxa"/>
            <w:vMerge/>
            <w:shd w:val="clear" w:color="auto" w:fill="auto"/>
          </w:tcPr>
          <w:p w14:paraId="11A70C5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50901561" w14:textId="77777777" w:rsidR="00CE581A" w:rsidRPr="00772E80" w:rsidDel="001E2ECF"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42910C8B"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 xml:space="preserve">La Secretaría encontrará la manera de concluir cuanto antes su participación en el proyecto de la IKI y emprenderá actividades para que ello ocurra en un plazo de tres meses a partir del final de la COP14.  </w:t>
            </w:r>
          </w:p>
        </w:tc>
        <w:tc>
          <w:tcPr>
            <w:tcW w:w="1418" w:type="dxa"/>
          </w:tcPr>
          <w:p w14:paraId="519B165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45B44239"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Desconocido</w:t>
            </w:r>
          </w:p>
          <w:p w14:paraId="2F5D56E8"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 Repercusiones administrativas y financieras</w:t>
            </w:r>
          </w:p>
        </w:tc>
      </w:tr>
      <w:tr w:rsidR="00CE581A" w:rsidRPr="00CC25E9" w14:paraId="305DDD96" w14:textId="77777777" w:rsidTr="00E822D5">
        <w:trPr>
          <w:cantSplit/>
        </w:trPr>
        <w:tc>
          <w:tcPr>
            <w:tcW w:w="1277" w:type="dxa"/>
            <w:shd w:val="clear" w:color="auto" w:fill="auto"/>
          </w:tcPr>
          <w:p w14:paraId="4B56F3F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Doc24.11</w:t>
            </w:r>
          </w:p>
        </w:tc>
        <w:tc>
          <w:tcPr>
            <w:tcW w:w="1842" w:type="dxa"/>
            <w:shd w:val="clear" w:color="auto" w:fill="auto"/>
          </w:tcPr>
          <w:p w14:paraId="61D97FA7"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Proyecto de resolución sobre</w:t>
            </w:r>
          </w:p>
          <w:p w14:paraId="7003035B"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 xml:space="preserve">Iniciativas regionales de Ramsar – gestión de las decisiones antiguas </w:t>
            </w:r>
          </w:p>
        </w:tc>
        <w:tc>
          <w:tcPr>
            <w:tcW w:w="2835" w:type="dxa"/>
            <w:shd w:val="clear" w:color="auto" w:fill="auto"/>
            <w:noWrap/>
          </w:tcPr>
          <w:p w14:paraId="3EA4A428"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Se recurrirá a un consultor para que examine todas las resoluciones y decisiones relacionadas con las iniciativas regionales, a fin de elaborar una resolución consolidada que retire las decisiones obsoletas y consolide las decisiones en vigor</w:t>
            </w:r>
            <w:r>
              <w:rPr>
                <w:rFonts w:asciiTheme="minorHAnsi" w:hAnsiTheme="minorHAnsi" w:cstheme="minorHAnsi"/>
                <w:bCs/>
                <w:sz w:val="22"/>
                <w:szCs w:val="22"/>
                <w:lang w:val="es-ES"/>
              </w:rPr>
              <w:t>.</w:t>
            </w:r>
          </w:p>
        </w:tc>
        <w:tc>
          <w:tcPr>
            <w:tcW w:w="1418" w:type="dxa"/>
          </w:tcPr>
          <w:p w14:paraId="4D3A742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w:t>
            </w:r>
          </w:p>
        </w:tc>
        <w:tc>
          <w:tcPr>
            <w:tcW w:w="2126" w:type="dxa"/>
            <w:shd w:val="clear" w:color="auto" w:fill="auto"/>
          </w:tcPr>
          <w:p w14:paraId="56873CBC"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*Menos de 100 francos suizos</w:t>
            </w:r>
          </w:p>
          <w:p w14:paraId="1D31CB18" w14:textId="77777777" w:rsidR="00CE581A" w:rsidRPr="006F42B2" w:rsidRDefault="00CE581A" w:rsidP="00E822D5">
            <w:pPr>
              <w:ind w:left="0" w:firstLine="0"/>
              <w:jc w:val="left"/>
              <w:rPr>
                <w:rFonts w:asciiTheme="minorHAnsi" w:hAnsiTheme="minorHAnsi" w:cstheme="minorHAnsi"/>
                <w:color w:val="000000"/>
                <w:sz w:val="22"/>
                <w:szCs w:val="22"/>
                <w:lang w:val="es-ES"/>
              </w:rPr>
            </w:pPr>
          </w:p>
          <w:p w14:paraId="1A49268C" w14:textId="77777777" w:rsidR="00CE581A"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w:t>
            </w:r>
            <w:r w:rsidRPr="006F42B2">
              <w:rPr>
                <w:rFonts w:asciiTheme="minorHAnsi" w:hAnsiTheme="minorHAnsi" w:cstheme="minorHAnsi"/>
                <w:color w:val="000000"/>
                <w:sz w:val="22"/>
                <w:szCs w:val="22"/>
                <w:lang w:val="es-ES"/>
              </w:rPr>
              <w:t xml:space="preserve">Habrá que determinar las repercusiones financieras.  </w:t>
            </w:r>
          </w:p>
          <w:p w14:paraId="03587FA3" w14:textId="77777777" w:rsidR="00CE581A" w:rsidRDefault="00CE581A" w:rsidP="00E822D5">
            <w:pPr>
              <w:ind w:left="0" w:firstLine="0"/>
              <w:jc w:val="left"/>
              <w:rPr>
                <w:rFonts w:asciiTheme="minorHAnsi" w:hAnsiTheme="minorHAnsi" w:cstheme="minorHAnsi"/>
                <w:color w:val="000000"/>
                <w:sz w:val="22"/>
                <w:szCs w:val="22"/>
                <w:lang w:val="es-ES"/>
              </w:rPr>
            </w:pPr>
          </w:p>
          <w:p w14:paraId="75253B39"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Pr>
                <w:rFonts w:asciiTheme="minorHAnsi" w:hAnsiTheme="minorHAnsi" w:cstheme="minorHAnsi"/>
                <w:color w:val="000000"/>
                <w:sz w:val="22"/>
                <w:szCs w:val="22"/>
                <w:lang w:val="es-ES"/>
              </w:rPr>
              <w:t>**Véase el documento SC59-13.1, más arriba.</w:t>
            </w:r>
          </w:p>
        </w:tc>
      </w:tr>
      <w:tr w:rsidR="00CE581A" w:rsidRPr="00CC25E9" w14:paraId="4DDD4885" w14:textId="77777777" w:rsidTr="00E822D5">
        <w:trPr>
          <w:cantSplit/>
        </w:trPr>
        <w:tc>
          <w:tcPr>
            <w:tcW w:w="1277" w:type="dxa"/>
            <w:vMerge w:val="restart"/>
            <w:shd w:val="clear" w:color="auto" w:fill="auto"/>
          </w:tcPr>
          <w:p w14:paraId="1C0AA247"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Doc24.12</w:t>
            </w:r>
          </w:p>
        </w:tc>
        <w:tc>
          <w:tcPr>
            <w:tcW w:w="1842" w:type="dxa"/>
            <w:vMerge w:val="restart"/>
            <w:shd w:val="clear" w:color="auto" w:fill="auto"/>
          </w:tcPr>
          <w:p w14:paraId="5F004F03"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Proyecto</w:t>
            </w:r>
            <w:r w:rsidRPr="006F42B2">
              <w:rPr>
                <w:rFonts w:asciiTheme="minorHAnsi" w:hAnsiTheme="minorHAnsi" w:cstheme="minorHAnsi"/>
                <w:bCs/>
                <w:color w:val="000000"/>
                <w:sz w:val="22"/>
                <w:szCs w:val="22"/>
                <w:lang w:val="es-ES"/>
              </w:rPr>
              <w:t xml:space="preserve"> de resolución sobre </w:t>
            </w:r>
            <w:r w:rsidRPr="006F42B2">
              <w:rPr>
                <w:rFonts w:asciiTheme="minorHAnsi" w:hAnsiTheme="minorHAnsi" w:cstheme="minorHAnsi"/>
                <w:color w:val="000000"/>
                <w:sz w:val="22"/>
                <w:szCs w:val="22"/>
                <w:lang w:val="es-ES"/>
              </w:rPr>
              <w:t>Fortalecimiento de las conexiones de Ramsar a través de la juventud</w:t>
            </w:r>
          </w:p>
        </w:tc>
        <w:tc>
          <w:tcPr>
            <w:tcW w:w="2835" w:type="dxa"/>
            <w:shd w:val="clear" w:color="auto" w:fill="auto"/>
            <w:noWrap/>
          </w:tcPr>
          <w:p w14:paraId="29E42266"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estudiará modelos híbridos, como foros virtuales, que permitan que los jóvenes se reúnan antes de la Conferencia de las</w:t>
            </w:r>
            <w:r>
              <w:rPr>
                <w:rFonts w:asciiTheme="minorHAnsi" w:hAnsiTheme="minorHAnsi" w:cstheme="minorHAnsi"/>
                <w:bCs/>
                <w:sz w:val="22"/>
                <w:szCs w:val="22"/>
                <w:lang w:val="es-ES"/>
              </w:rPr>
              <w:t xml:space="preserve"> Partes</w:t>
            </w:r>
            <w:r w:rsidRPr="006F42B2">
              <w:rPr>
                <w:rFonts w:asciiTheme="minorHAnsi" w:hAnsiTheme="minorHAnsi" w:cstheme="minorHAnsi"/>
                <w:bCs/>
                <w:sz w:val="22"/>
                <w:szCs w:val="22"/>
                <w:lang w:val="es-ES"/>
              </w:rPr>
              <w:t>, para ampliar</w:t>
            </w:r>
            <w:r>
              <w:rPr>
                <w:rFonts w:asciiTheme="minorHAnsi" w:hAnsiTheme="minorHAnsi" w:cstheme="minorHAnsi"/>
                <w:bCs/>
                <w:sz w:val="22"/>
                <w:szCs w:val="22"/>
                <w:lang w:val="es-ES"/>
              </w:rPr>
              <w:t xml:space="preserve"> su participación, así como </w:t>
            </w:r>
            <w:r w:rsidRPr="006F42B2">
              <w:rPr>
                <w:rFonts w:asciiTheme="minorHAnsi" w:hAnsiTheme="minorHAnsi" w:cstheme="minorHAnsi"/>
                <w:bCs/>
                <w:sz w:val="22"/>
                <w:szCs w:val="22"/>
                <w:lang w:val="es-ES"/>
              </w:rPr>
              <w:t>el alcance regional de la Conferencia.</w:t>
            </w:r>
          </w:p>
        </w:tc>
        <w:tc>
          <w:tcPr>
            <w:tcW w:w="1418" w:type="dxa"/>
          </w:tcPr>
          <w:p w14:paraId="300863A5"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**10</w:t>
            </w:r>
          </w:p>
        </w:tc>
        <w:tc>
          <w:tcPr>
            <w:tcW w:w="2126" w:type="dxa"/>
            <w:shd w:val="clear" w:color="auto" w:fill="auto"/>
          </w:tcPr>
          <w:p w14:paraId="4CE37A72"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 xml:space="preserve">**Habrá que determinar las repercusiones financieras.  </w:t>
            </w:r>
          </w:p>
        </w:tc>
      </w:tr>
      <w:tr w:rsidR="00CE581A" w:rsidRPr="00772E80" w14:paraId="61150693" w14:textId="77777777" w:rsidTr="00E822D5">
        <w:trPr>
          <w:cantSplit/>
        </w:trPr>
        <w:tc>
          <w:tcPr>
            <w:tcW w:w="1277" w:type="dxa"/>
            <w:vMerge/>
            <w:shd w:val="clear" w:color="auto" w:fill="auto"/>
          </w:tcPr>
          <w:p w14:paraId="3D33FFBE"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p>
        </w:tc>
        <w:tc>
          <w:tcPr>
            <w:tcW w:w="1842" w:type="dxa"/>
            <w:vMerge/>
            <w:shd w:val="clear" w:color="auto" w:fill="auto"/>
          </w:tcPr>
          <w:p w14:paraId="0EE6E54E"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p>
        </w:tc>
        <w:tc>
          <w:tcPr>
            <w:tcW w:w="2835" w:type="dxa"/>
            <w:shd w:val="clear" w:color="auto" w:fill="auto"/>
            <w:noWrap/>
          </w:tcPr>
          <w:p w14:paraId="4AF7AD8A" w14:textId="77777777" w:rsidR="00CE581A" w:rsidRPr="00772E80" w:rsidRDefault="00CE581A" w:rsidP="00E822D5">
            <w:pPr>
              <w:widowControl w:val="0"/>
              <w:ind w:left="0" w:firstLine="0"/>
              <w:jc w:val="left"/>
              <w:rPr>
                <w:rFonts w:asciiTheme="minorHAnsi" w:hAnsiTheme="minorHAnsi" w:cstheme="minorHAnsi"/>
                <w:bCs/>
                <w:sz w:val="22"/>
                <w:szCs w:val="22"/>
              </w:rPr>
            </w:pPr>
            <w:r w:rsidRPr="006F42B2">
              <w:rPr>
                <w:rFonts w:asciiTheme="minorHAnsi" w:hAnsiTheme="minorHAnsi" w:cstheme="minorHAnsi"/>
                <w:bCs/>
                <w:sz w:val="22"/>
                <w:szCs w:val="22"/>
                <w:lang w:val="es-ES"/>
              </w:rPr>
              <w:t>La Secretaría nombrará a un asesor para coordinar el grupo de trabajo de jóvenes de Ramsar y los proyectos centrados en la juventud, así como para colaborar con los coordinadores nacionales de la juventud y otros actores y organizaciones fundamentales, como la YEW, la Red Global de Jóvenes por la Biodiversidad y los programas para jóvenes de las organizaciones y convenciones internacionales para el medio ambiente. Costo anual continuo de un puesto P1.</w:t>
            </w:r>
          </w:p>
        </w:tc>
        <w:tc>
          <w:tcPr>
            <w:tcW w:w="1418" w:type="dxa"/>
          </w:tcPr>
          <w:p w14:paraId="1AC9568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Un empleado P1 </w:t>
            </w:r>
          </w:p>
        </w:tc>
        <w:tc>
          <w:tcPr>
            <w:tcW w:w="2126" w:type="dxa"/>
            <w:shd w:val="clear" w:color="auto" w:fill="auto"/>
          </w:tcPr>
          <w:p w14:paraId="390A741B" w14:textId="77777777" w:rsidR="00CE581A" w:rsidRPr="00CC25E9"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*140 000 </w:t>
            </w:r>
          </w:p>
        </w:tc>
      </w:tr>
      <w:tr w:rsidR="00CE581A" w:rsidRPr="00772E80" w14:paraId="3221802D" w14:textId="77777777" w:rsidTr="00E822D5">
        <w:trPr>
          <w:cantSplit/>
        </w:trPr>
        <w:tc>
          <w:tcPr>
            <w:tcW w:w="1277" w:type="dxa"/>
            <w:shd w:val="clear" w:color="auto" w:fill="auto"/>
          </w:tcPr>
          <w:p w14:paraId="7EAA1C4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Doc24.13</w:t>
            </w:r>
          </w:p>
        </w:tc>
        <w:tc>
          <w:tcPr>
            <w:tcW w:w="1842" w:type="dxa"/>
            <w:shd w:val="clear" w:color="auto" w:fill="auto"/>
          </w:tcPr>
          <w:p w14:paraId="5F0BB8B1"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Proyecto de resolución sobre </w:t>
            </w:r>
          </w:p>
          <w:p w14:paraId="5FB94387"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Estimaciones del tamaño de las poblaciones de aves acuáticas para apoyar las designaciones de nuevos sitios Ramsar y la actualización de los existentes con arreglo al Criterio 6 de Ramsar: uso de estimaciones alternativas</w:t>
            </w:r>
          </w:p>
        </w:tc>
        <w:tc>
          <w:tcPr>
            <w:tcW w:w="2835" w:type="dxa"/>
            <w:shd w:val="clear" w:color="auto" w:fill="auto"/>
            <w:noWrap/>
          </w:tcPr>
          <w:p w14:paraId="61607B17"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modificará el Marco Estratégico – Examen de 2012 (aprobado como Resolución XI.8, Anexo 2, Rev. COP13) para que entre en vigencia el párrafo 11, como se indica en el Anexo 1.</w:t>
            </w:r>
          </w:p>
        </w:tc>
        <w:tc>
          <w:tcPr>
            <w:tcW w:w="1418" w:type="dxa"/>
          </w:tcPr>
          <w:p w14:paraId="4D5F1485"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53A3131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 xml:space="preserve">Sin </w:t>
            </w:r>
            <w:r w:rsidRPr="006F42B2">
              <w:rPr>
                <w:rFonts w:asciiTheme="minorHAnsi" w:hAnsiTheme="minorHAnsi" w:cstheme="minorHAnsi"/>
                <w:color w:val="000000"/>
                <w:sz w:val="22"/>
                <w:szCs w:val="22"/>
                <w:lang w:val="es-ES"/>
              </w:rPr>
              <w:t>repercusiones financieras</w:t>
            </w:r>
          </w:p>
        </w:tc>
      </w:tr>
      <w:tr w:rsidR="00CE581A" w:rsidRPr="00772E80" w14:paraId="057EA4C8" w14:textId="77777777" w:rsidTr="00E822D5">
        <w:trPr>
          <w:cantSplit/>
        </w:trPr>
        <w:tc>
          <w:tcPr>
            <w:tcW w:w="1277" w:type="dxa"/>
            <w:vMerge w:val="restart"/>
            <w:shd w:val="clear" w:color="auto" w:fill="auto"/>
          </w:tcPr>
          <w:p w14:paraId="4A3F181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Doc24.14</w:t>
            </w:r>
          </w:p>
        </w:tc>
        <w:tc>
          <w:tcPr>
            <w:tcW w:w="1842" w:type="dxa"/>
            <w:vMerge w:val="restart"/>
            <w:shd w:val="clear" w:color="auto" w:fill="auto"/>
          </w:tcPr>
          <w:p w14:paraId="718CDB3C"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bCs/>
                <w:color w:val="000000"/>
                <w:sz w:val="22"/>
                <w:szCs w:val="22"/>
                <w:lang w:val="es-ES"/>
              </w:rPr>
              <w:t>Proyecto de resolución sobre</w:t>
            </w:r>
            <w:r w:rsidRPr="006F42B2">
              <w:rPr>
                <w:rFonts w:asciiTheme="minorHAnsi" w:hAnsiTheme="minorHAnsi" w:cstheme="minorHAnsi"/>
                <w:color w:val="000000"/>
                <w:sz w:val="22"/>
                <w:szCs w:val="22"/>
                <w:lang w:val="es-ES"/>
              </w:rPr>
              <w:t xml:space="preserve"> </w:t>
            </w:r>
          </w:p>
          <w:p w14:paraId="43C390AC"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El trabajo científico y técnico de la Convención sobre los Humedales: aspectos esenciales</w:t>
            </w:r>
          </w:p>
        </w:tc>
        <w:tc>
          <w:tcPr>
            <w:tcW w:w="2835" w:type="dxa"/>
            <w:shd w:val="clear" w:color="auto" w:fill="auto"/>
            <w:noWrap/>
          </w:tcPr>
          <w:p w14:paraId="4091E456"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recaudará recursos adicionales para la aplicación de orientaciones</w:t>
            </w:r>
            <w:r>
              <w:rPr>
                <w:rFonts w:asciiTheme="minorHAnsi" w:hAnsiTheme="minorHAnsi" w:cstheme="minorHAnsi"/>
                <w:bCs/>
                <w:sz w:val="22"/>
                <w:szCs w:val="22"/>
                <w:lang w:val="es-ES"/>
              </w:rPr>
              <w:t xml:space="preserve"> técnicas</w:t>
            </w:r>
            <w:r w:rsidRPr="006F42B2">
              <w:rPr>
                <w:rFonts w:asciiTheme="minorHAnsi" w:hAnsiTheme="minorHAnsi" w:cstheme="minorHAnsi"/>
                <w:bCs/>
                <w:sz w:val="22"/>
                <w:szCs w:val="22"/>
                <w:lang w:val="es-ES"/>
              </w:rPr>
              <w:t xml:space="preserve"> y asesoramiento, y con ello también se apoyará la aplicación de la Convención por las Partes Contratantes.</w:t>
            </w:r>
          </w:p>
        </w:tc>
        <w:tc>
          <w:tcPr>
            <w:tcW w:w="1418" w:type="dxa"/>
          </w:tcPr>
          <w:p w14:paraId="37F1868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47C2568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6DC99307" w14:textId="77777777" w:rsidTr="00E822D5">
        <w:trPr>
          <w:cantSplit/>
        </w:trPr>
        <w:tc>
          <w:tcPr>
            <w:tcW w:w="1277" w:type="dxa"/>
            <w:vMerge/>
            <w:shd w:val="clear" w:color="auto" w:fill="auto"/>
          </w:tcPr>
          <w:p w14:paraId="66844C6B"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7C7494D0"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1F7DD7A4" w14:textId="77777777" w:rsidR="00CE581A" w:rsidRPr="00CC25E9"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colaborará en el proceso de nominación, tal y como se describe en la parte 3 del Anexo 1, y realizará las actualizaciones necesarias del proyecto de resolución para los órganos científicos y técnicos.</w:t>
            </w:r>
          </w:p>
        </w:tc>
        <w:tc>
          <w:tcPr>
            <w:tcW w:w="1418" w:type="dxa"/>
          </w:tcPr>
          <w:p w14:paraId="39C66D98"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0C6730D8"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tc>
      </w:tr>
      <w:tr w:rsidR="00CE581A" w:rsidRPr="00772E80" w14:paraId="30541AED" w14:textId="77777777" w:rsidTr="00E822D5">
        <w:trPr>
          <w:cantSplit/>
        </w:trPr>
        <w:tc>
          <w:tcPr>
            <w:tcW w:w="1277" w:type="dxa"/>
            <w:shd w:val="clear" w:color="auto" w:fill="auto"/>
          </w:tcPr>
          <w:p w14:paraId="691A551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Doc24.15</w:t>
            </w:r>
          </w:p>
        </w:tc>
        <w:tc>
          <w:tcPr>
            <w:tcW w:w="1842" w:type="dxa"/>
            <w:shd w:val="clear" w:color="auto" w:fill="auto"/>
          </w:tcPr>
          <w:p w14:paraId="323F8D1B" w14:textId="77777777" w:rsidR="00CE581A" w:rsidRPr="006F42B2" w:rsidRDefault="00CE581A" w:rsidP="00E822D5">
            <w:pPr>
              <w:ind w:left="0" w:firstLine="0"/>
              <w:jc w:val="left"/>
              <w:rPr>
                <w:rFonts w:asciiTheme="minorHAnsi" w:hAnsiTheme="minorHAnsi" w:cstheme="minorHAnsi"/>
                <w:bCs/>
                <w:color w:val="000000"/>
                <w:sz w:val="22"/>
                <w:szCs w:val="22"/>
                <w:lang w:val="es-ES"/>
              </w:rPr>
            </w:pPr>
            <w:r w:rsidRPr="006F42B2">
              <w:rPr>
                <w:rFonts w:asciiTheme="minorHAnsi" w:hAnsiTheme="minorHAnsi" w:cstheme="minorHAnsi"/>
                <w:bCs/>
                <w:color w:val="000000"/>
                <w:sz w:val="22"/>
                <w:szCs w:val="22"/>
                <w:lang w:val="es-ES"/>
              </w:rPr>
              <w:t xml:space="preserve">Proyecto de resolución sobre </w:t>
            </w:r>
          </w:p>
          <w:p w14:paraId="4B15034C" w14:textId="77777777" w:rsidR="00CE581A" w:rsidRPr="00CC25E9"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 xml:space="preserve">Los órganos científicos y técnicos de la Convención sobre los Humedales para el período comprendido entre la COP14 y la COP15 </w:t>
            </w:r>
          </w:p>
        </w:tc>
        <w:tc>
          <w:tcPr>
            <w:tcW w:w="2835" w:type="dxa"/>
            <w:shd w:val="clear" w:color="auto" w:fill="auto"/>
            <w:noWrap/>
          </w:tcPr>
          <w:p w14:paraId="002C672F" w14:textId="77777777" w:rsidR="00CE581A" w:rsidRPr="00772E80" w:rsidRDefault="00CE581A" w:rsidP="00E822D5">
            <w:pPr>
              <w:widowControl w:val="0"/>
              <w:ind w:left="0" w:firstLine="0"/>
              <w:jc w:val="left"/>
              <w:rPr>
                <w:rFonts w:asciiTheme="minorHAnsi" w:hAnsiTheme="minorHAnsi" w:cstheme="minorHAnsi"/>
                <w:bCs/>
                <w:sz w:val="22"/>
                <w:szCs w:val="22"/>
              </w:rPr>
            </w:pPr>
            <w:r w:rsidRPr="006F42B2">
              <w:rPr>
                <w:rFonts w:asciiTheme="minorHAnsi" w:hAnsiTheme="minorHAnsi" w:cstheme="minorHAnsi"/>
                <w:bCs/>
                <w:sz w:val="22"/>
                <w:szCs w:val="22"/>
                <w:lang w:val="es-ES"/>
              </w:rPr>
              <w:t>** No se requiere ninguna acción por parte de la Secretaría.</w:t>
            </w:r>
          </w:p>
        </w:tc>
        <w:tc>
          <w:tcPr>
            <w:tcW w:w="1418" w:type="dxa"/>
          </w:tcPr>
          <w:p w14:paraId="427F311E"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248C2AD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 xml:space="preserve">Sin </w:t>
            </w:r>
            <w:r w:rsidRPr="006F42B2">
              <w:rPr>
                <w:rFonts w:asciiTheme="minorHAnsi" w:hAnsiTheme="minorHAnsi" w:cstheme="minorHAnsi"/>
                <w:color w:val="000000"/>
                <w:sz w:val="22"/>
                <w:szCs w:val="22"/>
                <w:lang w:val="es-ES"/>
              </w:rPr>
              <w:t>repercusiones financieras</w:t>
            </w:r>
          </w:p>
        </w:tc>
      </w:tr>
      <w:tr w:rsidR="00CE581A" w:rsidRPr="009B39F5" w14:paraId="36F27C55" w14:textId="77777777" w:rsidTr="00E822D5">
        <w:trPr>
          <w:cantSplit/>
        </w:trPr>
        <w:tc>
          <w:tcPr>
            <w:tcW w:w="1277" w:type="dxa"/>
            <w:vMerge w:val="restart"/>
            <w:shd w:val="clear" w:color="auto" w:fill="auto"/>
          </w:tcPr>
          <w:p w14:paraId="2599BF01"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Doc24.16</w:t>
            </w:r>
          </w:p>
        </w:tc>
        <w:tc>
          <w:tcPr>
            <w:tcW w:w="1842" w:type="dxa"/>
            <w:vMerge w:val="restart"/>
            <w:shd w:val="clear" w:color="auto" w:fill="auto"/>
          </w:tcPr>
          <w:p w14:paraId="16415917"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sobre la creación del Centro Internacional del Manglar en el marco de la Convención de Ramsar</w:t>
            </w:r>
          </w:p>
        </w:tc>
        <w:tc>
          <w:tcPr>
            <w:tcW w:w="2835" w:type="dxa"/>
            <w:shd w:val="clear" w:color="auto" w:fill="auto"/>
            <w:noWrap/>
          </w:tcPr>
          <w:p w14:paraId="64038505" w14:textId="77777777" w:rsidR="00CE581A" w:rsidRPr="009B39F5"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La Secretaría proporcionará apoyo en la coordinación y comunicación para la creación y el funcionamiento del Centro Internacional del Manglar. El apoyo a la coordinación para la creación y el funcionamiento requerirá tiempo del personal de la Secretaría.</w:t>
            </w:r>
          </w:p>
        </w:tc>
        <w:tc>
          <w:tcPr>
            <w:tcW w:w="1418" w:type="dxa"/>
          </w:tcPr>
          <w:p w14:paraId="7612FD76" w14:textId="77777777" w:rsidR="00CE581A"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**30 </w:t>
            </w:r>
            <w:r>
              <w:rPr>
                <w:rFonts w:asciiTheme="minorHAnsi" w:hAnsiTheme="minorHAnsi" w:cstheme="minorHAnsi"/>
                <w:color w:val="000000"/>
                <w:sz w:val="22"/>
                <w:szCs w:val="22"/>
                <w:lang w:val="es-ES"/>
              </w:rPr>
              <w:t>días para la realización de las tareas previstas</w:t>
            </w:r>
          </w:p>
          <w:p w14:paraId="5192803E"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2126" w:type="dxa"/>
            <w:shd w:val="clear" w:color="auto" w:fill="auto"/>
          </w:tcPr>
          <w:p w14:paraId="7C4EA568"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p w14:paraId="702C93A5" w14:textId="77777777" w:rsidR="00CE581A" w:rsidRPr="006F42B2" w:rsidRDefault="00CE581A" w:rsidP="00E822D5">
            <w:pPr>
              <w:ind w:left="0" w:firstLine="0"/>
              <w:jc w:val="left"/>
              <w:rPr>
                <w:rFonts w:asciiTheme="minorHAnsi" w:hAnsiTheme="minorHAnsi" w:cstheme="minorHAnsi"/>
                <w:color w:val="000000"/>
                <w:sz w:val="22"/>
                <w:szCs w:val="22"/>
                <w:lang w:val="es-ES"/>
              </w:rPr>
            </w:pPr>
          </w:p>
          <w:p w14:paraId="79290D5C"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 dependiendo de la disponibilidad de fondos no básicos</w:t>
            </w:r>
            <w:r>
              <w:rPr>
                <w:rFonts w:asciiTheme="minorHAnsi" w:hAnsiTheme="minorHAnsi" w:cstheme="minorHAnsi"/>
                <w:color w:val="000000"/>
                <w:sz w:val="22"/>
                <w:szCs w:val="22"/>
                <w:lang w:val="es-ES"/>
              </w:rPr>
              <w:t xml:space="preserve"> y del nivel del personal</w:t>
            </w:r>
            <w:r w:rsidRPr="006F42B2">
              <w:rPr>
                <w:rFonts w:asciiTheme="minorHAnsi" w:hAnsiTheme="minorHAnsi" w:cstheme="minorHAnsi"/>
                <w:color w:val="000000"/>
                <w:sz w:val="22"/>
                <w:szCs w:val="22"/>
                <w:lang w:val="es-ES"/>
              </w:rPr>
              <w:t xml:space="preserve"> </w:t>
            </w:r>
          </w:p>
        </w:tc>
      </w:tr>
      <w:tr w:rsidR="00CE581A" w:rsidRPr="00772E80" w14:paraId="379B13CA" w14:textId="77777777" w:rsidTr="00E822D5">
        <w:trPr>
          <w:cantSplit/>
        </w:trPr>
        <w:tc>
          <w:tcPr>
            <w:tcW w:w="1277" w:type="dxa"/>
            <w:vMerge/>
            <w:shd w:val="clear" w:color="auto" w:fill="auto"/>
          </w:tcPr>
          <w:p w14:paraId="0F9890BD"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1842" w:type="dxa"/>
            <w:vMerge/>
            <w:shd w:val="clear" w:color="auto" w:fill="auto"/>
          </w:tcPr>
          <w:p w14:paraId="6AF55D8D"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2835" w:type="dxa"/>
            <w:shd w:val="clear" w:color="auto" w:fill="auto"/>
            <w:noWrap/>
          </w:tcPr>
          <w:p w14:paraId="6212E195" w14:textId="77777777" w:rsidR="00CE581A" w:rsidRPr="00772E80" w:rsidRDefault="00CE581A" w:rsidP="00E822D5">
            <w:pPr>
              <w:widowControl w:val="0"/>
              <w:ind w:left="0" w:firstLine="0"/>
              <w:jc w:val="left"/>
              <w:rPr>
                <w:rFonts w:asciiTheme="minorHAnsi" w:hAnsiTheme="minorHAnsi" w:cstheme="minorHAnsi"/>
                <w:bCs/>
                <w:sz w:val="22"/>
                <w:szCs w:val="22"/>
              </w:rPr>
            </w:pPr>
            <w:r w:rsidRPr="006F42B2">
              <w:rPr>
                <w:rFonts w:asciiTheme="minorHAnsi" w:hAnsiTheme="minorHAnsi" w:cstheme="minorHAnsi"/>
                <w:bCs/>
                <w:sz w:val="22"/>
                <w:szCs w:val="22"/>
                <w:lang w:val="es-ES"/>
              </w:rPr>
              <w:t>El Grupo de Examen Científico y Técnico proporcionará apoyo científico y técnico al Centro Internacional del Manglar.</w:t>
            </w:r>
          </w:p>
        </w:tc>
        <w:tc>
          <w:tcPr>
            <w:tcW w:w="1418" w:type="dxa"/>
          </w:tcPr>
          <w:p w14:paraId="0964F89C"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01A2263B"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Sin</w:t>
            </w:r>
            <w:r w:rsidRPr="006F42B2">
              <w:rPr>
                <w:rFonts w:asciiTheme="minorHAnsi" w:hAnsiTheme="minorHAnsi" w:cstheme="minorHAnsi"/>
                <w:color w:val="000000"/>
                <w:sz w:val="22"/>
                <w:szCs w:val="22"/>
                <w:lang w:val="es-ES"/>
              </w:rPr>
              <w:t xml:space="preserve"> repercusiones financieras</w:t>
            </w:r>
          </w:p>
          <w:p w14:paraId="44A169B1" w14:textId="77777777" w:rsidR="00CE581A" w:rsidRPr="006F42B2" w:rsidRDefault="00CE581A" w:rsidP="00E822D5">
            <w:pPr>
              <w:ind w:left="0" w:firstLine="0"/>
              <w:jc w:val="left"/>
              <w:rPr>
                <w:rFonts w:asciiTheme="minorHAnsi" w:hAnsiTheme="minorHAnsi" w:cstheme="minorHAnsi"/>
                <w:color w:val="000000"/>
                <w:sz w:val="22"/>
                <w:szCs w:val="22"/>
                <w:lang w:val="es-ES"/>
              </w:rPr>
            </w:pPr>
          </w:p>
          <w:p w14:paraId="7F609758"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El costo adicional dependerá del volumen de apoyo requerido.</w:t>
            </w:r>
          </w:p>
        </w:tc>
      </w:tr>
      <w:tr w:rsidR="00CE581A" w:rsidRPr="009B39F5" w14:paraId="124EDA7C" w14:textId="77777777" w:rsidTr="00E822D5">
        <w:trPr>
          <w:cantSplit/>
        </w:trPr>
        <w:tc>
          <w:tcPr>
            <w:tcW w:w="1277" w:type="dxa"/>
            <w:vMerge w:val="restart"/>
            <w:shd w:val="clear" w:color="auto" w:fill="auto"/>
          </w:tcPr>
          <w:p w14:paraId="5352F9E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Doc24.17</w:t>
            </w:r>
          </w:p>
        </w:tc>
        <w:tc>
          <w:tcPr>
            <w:tcW w:w="1842" w:type="dxa"/>
            <w:vMerge w:val="restart"/>
            <w:shd w:val="clear" w:color="auto" w:fill="auto"/>
          </w:tcPr>
          <w:p w14:paraId="314B1F97"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sobre la</w:t>
            </w:r>
            <w:r>
              <w:rPr>
                <w:rFonts w:asciiTheme="minorHAnsi" w:hAnsiTheme="minorHAnsi" w:cstheme="minorHAnsi"/>
                <w:bCs/>
                <w:color w:val="000000"/>
                <w:sz w:val="22"/>
                <w:szCs w:val="22"/>
                <w:lang w:val="es-ES"/>
              </w:rPr>
              <w:t xml:space="preserve"> </w:t>
            </w:r>
            <w:r w:rsidRPr="006F42B2">
              <w:rPr>
                <w:rFonts w:asciiTheme="minorHAnsi" w:hAnsiTheme="minorHAnsi" w:cstheme="minorHAnsi"/>
                <w:bCs/>
                <w:color w:val="000000"/>
                <w:sz w:val="22"/>
                <w:szCs w:val="22"/>
                <w:lang w:val="es-ES"/>
              </w:rPr>
              <w:t>Elaboración y negociación preliminar de documentos en línea</w:t>
            </w:r>
          </w:p>
        </w:tc>
        <w:tc>
          <w:tcPr>
            <w:tcW w:w="2835" w:type="dxa"/>
            <w:shd w:val="clear" w:color="auto" w:fill="auto"/>
            <w:noWrap/>
          </w:tcPr>
          <w:p w14:paraId="2A07AE90" w14:textId="77777777" w:rsidR="00CE581A" w:rsidRPr="009B39F5" w:rsidRDefault="00CE581A" w:rsidP="00E822D5">
            <w:pPr>
              <w:ind w:left="0" w:firstLine="0"/>
              <w:jc w:val="left"/>
              <w:rPr>
                <w:rFonts w:asciiTheme="minorHAnsi" w:hAnsiTheme="minorHAnsi" w:cstheme="minorHAnsi"/>
                <w:bCs/>
                <w:sz w:val="22"/>
                <w:szCs w:val="22"/>
                <w:lang w:val="es-ES"/>
              </w:rPr>
            </w:pPr>
            <w:r w:rsidRPr="006F42B2">
              <w:rPr>
                <w:rFonts w:asciiTheme="minorHAnsi" w:hAnsiTheme="minorHAnsi" w:cstheme="minorHAnsi"/>
                <w:bCs/>
                <w:sz w:val="22"/>
                <w:szCs w:val="22"/>
                <w:lang w:val="es-ES"/>
              </w:rPr>
              <w:t>Crear espacios de trabajo en línea para comentar y sugerir modificaciones.</w:t>
            </w:r>
          </w:p>
        </w:tc>
        <w:tc>
          <w:tcPr>
            <w:tcW w:w="1418" w:type="dxa"/>
          </w:tcPr>
          <w:p w14:paraId="03C08177"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15 días para la realización de las tareas</w:t>
            </w:r>
            <w:r w:rsidRPr="006F42B2">
              <w:rPr>
                <w:rFonts w:asciiTheme="minorHAnsi" w:hAnsiTheme="minorHAnsi" w:cstheme="minorHAnsi"/>
                <w:color w:val="000000"/>
                <w:sz w:val="22"/>
                <w:szCs w:val="22"/>
                <w:lang w:val="es-ES"/>
              </w:rPr>
              <w:t xml:space="preserve"> </w:t>
            </w:r>
          </w:p>
        </w:tc>
        <w:tc>
          <w:tcPr>
            <w:tcW w:w="2126" w:type="dxa"/>
            <w:shd w:val="clear" w:color="auto" w:fill="auto"/>
          </w:tcPr>
          <w:p w14:paraId="0B3359B9" w14:textId="77777777" w:rsidR="00CE581A" w:rsidRPr="006F42B2" w:rsidRDefault="00CE581A" w:rsidP="00E822D5">
            <w:pPr>
              <w:ind w:left="0" w:firstLine="0"/>
              <w:jc w:val="left"/>
              <w:rPr>
                <w:rFonts w:asciiTheme="minorHAnsi" w:hAnsiTheme="minorHAnsi" w:cstheme="minorHAnsi"/>
                <w:sz w:val="22"/>
                <w:szCs w:val="22"/>
                <w:lang w:val="es-ES"/>
              </w:rPr>
            </w:pPr>
            <w:r w:rsidRPr="006F42B2">
              <w:rPr>
                <w:rFonts w:asciiTheme="minorHAnsi" w:hAnsiTheme="minorHAnsi" w:cstheme="minorHAnsi"/>
                <w:color w:val="000000"/>
                <w:sz w:val="22"/>
                <w:szCs w:val="22"/>
                <w:lang w:val="es-ES"/>
              </w:rPr>
              <w:t>* La estimación es muy compleja.</w:t>
            </w:r>
          </w:p>
          <w:p w14:paraId="4C05B71E"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r w:rsidRPr="006F42B2">
              <w:rPr>
                <w:rFonts w:asciiTheme="minorHAnsi" w:hAnsiTheme="minorHAnsi" w:cstheme="minorHAnsi"/>
                <w:sz w:val="22"/>
                <w:szCs w:val="22"/>
                <w:lang w:val="es-ES"/>
              </w:rPr>
              <w:t>** Repercusiones administrativas y financieras</w:t>
            </w:r>
            <w:r>
              <w:rPr>
                <w:rFonts w:asciiTheme="minorHAnsi" w:hAnsiTheme="minorHAnsi" w:cstheme="minorHAnsi"/>
                <w:sz w:val="22"/>
                <w:szCs w:val="22"/>
                <w:lang w:val="es-ES"/>
              </w:rPr>
              <w:t xml:space="preserve">, dependiendo de la disponibilidad de fondos y el nivel del personal </w:t>
            </w:r>
          </w:p>
        </w:tc>
      </w:tr>
      <w:tr w:rsidR="00CE581A" w:rsidRPr="00772E80" w14:paraId="4D097300" w14:textId="77777777" w:rsidTr="00E822D5">
        <w:trPr>
          <w:cantSplit/>
        </w:trPr>
        <w:tc>
          <w:tcPr>
            <w:tcW w:w="1277" w:type="dxa"/>
            <w:vMerge/>
            <w:shd w:val="clear" w:color="auto" w:fill="auto"/>
          </w:tcPr>
          <w:p w14:paraId="76207FB1"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1842" w:type="dxa"/>
            <w:vMerge/>
            <w:shd w:val="clear" w:color="auto" w:fill="auto"/>
          </w:tcPr>
          <w:p w14:paraId="57CF8F6D"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2835" w:type="dxa"/>
            <w:shd w:val="clear" w:color="auto" w:fill="auto"/>
            <w:noWrap/>
          </w:tcPr>
          <w:p w14:paraId="50BE389D" w14:textId="77777777" w:rsidR="00CE581A" w:rsidRPr="009B39F5"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Evaluar el uso de los servicios administrativos de la UICN</w:t>
            </w:r>
          </w:p>
        </w:tc>
        <w:tc>
          <w:tcPr>
            <w:tcW w:w="1418" w:type="dxa"/>
          </w:tcPr>
          <w:p w14:paraId="2C8ECE15"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7</w:t>
            </w:r>
          </w:p>
        </w:tc>
        <w:tc>
          <w:tcPr>
            <w:tcW w:w="2126" w:type="dxa"/>
            <w:shd w:val="clear" w:color="auto" w:fill="auto"/>
          </w:tcPr>
          <w:p w14:paraId="7D84B672" w14:textId="77777777" w:rsidR="00CE581A" w:rsidRPr="006F42B2" w:rsidRDefault="00CE581A" w:rsidP="00E822D5">
            <w:pPr>
              <w:ind w:left="0" w:firstLine="0"/>
              <w:jc w:val="left"/>
              <w:rPr>
                <w:rFonts w:asciiTheme="minorHAnsi" w:hAnsiTheme="minorHAnsi" w:cstheme="minorHAnsi"/>
                <w:color w:val="000000"/>
                <w:sz w:val="22"/>
                <w:szCs w:val="22"/>
                <w:lang w:val="es-ES"/>
              </w:rPr>
            </w:pPr>
            <w:r w:rsidRPr="006F42B2">
              <w:rPr>
                <w:rFonts w:asciiTheme="minorHAnsi" w:hAnsiTheme="minorHAnsi" w:cstheme="minorHAnsi"/>
                <w:color w:val="000000"/>
                <w:sz w:val="22"/>
                <w:szCs w:val="22"/>
                <w:lang w:val="es-ES"/>
              </w:rPr>
              <w:t xml:space="preserve">* La estimación es muy compleja. </w:t>
            </w:r>
          </w:p>
          <w:p w14:paraId="675823CE" w14:textId="77777777" w:rsidR="00CE581A" w:rsidRPr="006F42B2" w:rsidRDefault="00CE581A" w:rsidP="00E822D5">
            <w:pPr>
              <w:ind w:left="0" w:firstLine="0"/>
              <w:jc w:val="left"/>
              <w:rPr>
                <w:rFonts w:asciiTheme="minorHAnsi" w:hAnsiTheme="minorHAnsi" w:cstheme="minorHAnsi"/>
                <w:sz w:val="22"/>
                <w:szCs w:val="22"/>
                <w:lang w:val="es-ES"/>
              </w:rPr>
            </w:pPr>
          </w:p>
          <w:p w14:paraId="3B62815C"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sz w:val="22"/>
                <w:szCs w:val="22"/>
                <w:lang w:val="es-ES"/>
              </w:rPr>
              <w:t>** Repercusiones administrativas y financieras</w:t>
            </w:r>
          </w:p>
        </w:tc>
      </w:tr>
      <w:tr w:rsidR="00CE581A" w:rsidRPr="00772E80" w14:paraId="45125D3E" w14:textId="77777777" w:rsidTr="00E822D5">
        <w:trPr>
          <w:cantSplit/>
        </w:trPr>
        <w:tc>
          <w:tcPr>
            <w:tcW w:w="1277" w:type="dxa"/>
            <w:vMerge/>
            <w:shd w:val="clear" w:color="auto" w:fill="auto"/>
          </w:tcPr>
          <w:p w14:paraId="7E8D92E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184981D6"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5706A105" w14:textId="77777777" w:rsidR="00CE581A" w:rsidRPr="009B39F5" w:rsidDel="00D70864"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sz w:val="22"/>
                <w:szCs w:val="22"/>
                <w:lang w:val="es-ES"/>
              </w:rPr>
              <w:t>Las negociaciones y los procesos de decisión y el proceso de eliminación y consolidación de las decisiones más antiguas de la Convención pueden realizarse de forma más eficiente mejorando la forma de redactar y estructurar los proyectos de resolución y los documentos del Comité Permanente, al igual que la forma de elaborar las decisiones del CP.</w:t>
            </w:r>
          </w:p>
        </w:tc>
        <w:tc>
          <w:tcPr>
            <w:tcW w:w="1418" w:type="dxa"/>
          </w:tcPr>
          <w:p w14:paraId="345C1216" w14:textId="77777777" w:rsidR="00CE581A" w:rsidRPr="009B39F5" w:rsidRDefault="00CE581A" w:rsidP="00E822D5">
            <w:pPr>
              <w:widowControl w:val="0"/>
              <w:ind w:left="0" w:firstLine="0"/>
              <w:jc w:val="left"/>
              <w:rPr>
                <w:rFonts w:asciiTheme="minorHAnsi" w:hAnsiTheme="minorHAnsi" w:cstheme="minorHAnsi"/>
                <w:color w:val="000000"/>
                <w:sz w:val="22"/>
                <w:szCs w:val="22"/>
                <w:lang w:val="fr-FR"/>
              </w:rPr>
            </w:pPr>
          </w:p>
        </w:tc>
        <w:tc>
          <w:tcPr>
            <w:tcW w:w="2126" w:type="dxa"/>
            <w:shd w:val="clear" w:color="auto" w:fill="auto"/>
          </w:tcPr>
          <w:p w14:paraId="4B2EA497" w14:textId="77777777" w:rsidR="00CE581A" w:rsidRPr="006F42B2" w:rsidRDefault="00CE581A" w:rsidP="00E822D5">
            <w:pPr>
              <w:ind w:left="0" w:firstLine="0"/>
              <w:jc w:val="left"/>
              <w:rPr>
                <w:rFonts w:asciiTheme="minorHAnsi" w:hAnsiTheme="minorHAnsi" w:cstheme="minorHAnsi"/>
                <w:iCs/>
                <w:sz w:val="22"/>
                <w:szCs w:val="22"/>
                <w:lang w:val="es-ES"/>
              </w:rPr>
            </w:pPr>
            <w:r w:rsidRPr="006F42B2">
              <w:rPr>
                <w:rFonts w:asciiTheme="minorHAnsi" w:hAnsiTheme="minorHAnsi" w:cstheme="minorHAnsi"/>
                <w:iCs/>
                <w:sz w:val="22"/>
                <w:szCs w:val="22"/>
                <w:lang w:val="es-ES"/>
              </w:rPr>
              <w:t>* Los costos de traducción aumentarán levemente.</w:t>
            </w:r>
          </w:p>
          <w:p w14:paraId="576D2373" w14:textId="77777777" w:rsidR="00CE581A" w:rsidRPr="006F42B2" w:rsidRDefault="00CE581A" w:rsidP="00E822D5">
            <w:pPr>
              <w:ind w:left="0" w:firstLine="0"/>
              <w:jc w:val="left"/>
              <w:rPr>
                <w:rFonts w:asciiTheme="minorHAnsi" w:hAnsiTheme="minorHAnsi" w:cstheme="minorHAnsi"/>
                <w:iCs/>
                <w:sz w:val="22"/>
                <w:szCs w:val="22"/>
                <w:lang w:val="es-ES"/>
              </w:rPr>
            </w:pPr>
          </w:p>
          <w:p w14:paraId="10F5D084" w14:textId="77777777" w:rsidR="00CE581A" w:rsidRPr="006F42B2" w:rsidRDefault="00CE581A" w:rsidP="00E822D5">
            <w:pPr>
              <w:ind w:left="0" w:firstLine="0"/>
              <w:jc w:val="left"/>
              <w:rPr>
                <w:rFonts w:asciiTheme="minorHAnsi" w:hAnsiTheme="minorHAnsi" w:cstheme="minorHAnsi"/>
                <w:iCs/>
                <w:sz w:val="22"/>
                <w:szCs w:val="22"/>
                <w:lang w:val="es-ES"/>
              </w:rPr>
            </w:pPr>
          </w:p>
          <w:p w14:paraId="414D1458" w14:textId="77777777" w:rsidR="00CE581A" w:rsidRPr="00772E80" w:rsidDel="00D70864"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iCs/>
                <w:sz w:val="22"/>
                <w:szCs w:val="22"/>
                <w:lang w:val="es-ES"/>
              </w:rPr>
              <w:t>** No se incluyen los costos, pero tendrán repercusiones financieras.</w:t>
            </w:r>
          </w:p>
        </w:tc>
      </w:tr>
      <w:tr w:rsidR="00CE581A" w:rsidRPr="00772E80" w14:paraId="57EB2945" w14:textId="77777777" w:rsidTr="00E822D5">
        <w:trPr>
          <w:cantSplit/>
        </w:trPr>
        <w:tc>
          <w:tcPr>
            <w:tcW w:w="1277" w:type="dxa"/>
            <w:vMerge w:val="restart"/>
            <w:shd w:val="clear" w:color="auto" w:fill="auto"/>
          </w:tcPr>
          <w:p w14:paraId="6C8FF53A"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Doc24.18</w:t>
            </w:r>
          </w:p>
        </w:tc>
        <w:tc>
          <w:tcPr>
            <w:tcW w:w="1842" w:type="dxa"/>
            <w:vMerge w:val="restart"/>
            <w:shd w:val="clear" w:color="auto" w:fill="auto"/>
          </w:tcPr>
          <w:p w14:paraId="69BFACE0" w14:textId="77777777" w:rsidR="00CE581A" w:rsidRPr="009B39F5" w:rsidRDefault="00CE581A" w:rsidP="00E822D5">
            <w:pPr>
              <w:ind w:left="0" w:firstLine="0"/>
              <w:jc w:val="left"/>
              <w:rPr>
                <w:rFonts w:asciiTheme="minorHAnsi" w:hAnsiTheme="minorHAnsi" w:cstheme="minorHAnsi"/>
                <w:color w:val="000000"/>
                <w:sz w:val="22"/>
                <w:szCs w:val="22"/>
                <w:lang w:val="fr-FR"/>
              </w:rPr>
            </w:pPr>
            <w:r w:rsidRPr="006F42B2">
              <w:rPr>
                <w:rFonts w:asciiTheme="minorHAnsi" w:hAnsiTheme="minorHAnsi" w:cstheme="minorHAnsi"/>
                <w:bCs/>
                <w:color w:val="000000"/>
                <w:sz w:val="22"/>
                <w:szCs w:val="22"/>
                <w:lang w:val="es-ES"/>
              </w:rPr>
              <w:t>Proyecto de resolución sobre Cómo estructurar, redactar y gestionar los documentos y mensajes de la Convención</w:t>
            </w:r>
          </w:p>
        </w:tc>
        <w:tc>
          <w:tcPr>
            <w:tcW w:w="2835" w:type="dxa"/>
            <w:shd w:val="clear" w:color="auto" w:fill="auto"/>
            <w:noWrap/>
          </w:tcPr>
          <w:p w14:paraId="7958027C" w14:textId="77777777" w:rsidR="00CE581A" w:rsidRPr="009B39F5"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A manera de creación de capacidad, la Secretaría organizará seminarios por Internet sobre la forma de redactar las resoluciones</w:t>
            </w:r>
            <w:r>
              <w:rPr>
                <w:rFonts w:asciiTheme="minorHAnsi" w:hAnsiTheme="minorHAnsi" w:cstheme="minorHAnsi"/>
                <w:bCs/>
                <w:sz w:val="22"/>
                <w:szCs w:val="22"/>
                <w:lang w:val="es-ES"/>
              </w:rPr>
              <w:t>.</w:t>
            </w:r>
          </w:p>
        </w:tc>
        <w:tc>
          <w:tcPr>
            <w:tcW w:w="1418" w:type="dxa"/>
          </w:tcPr>
          <w:p w14:paraId="40644B9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*0</w:t>
            </w:r>
          </w:p>
        </w:tc>
        <w:tc>
          <w:tcPr>
            <w:tcW w:w="2126" w:type="dxa"/>
            <w:shd w:val="clear" w:color="auto" w:fill="auto"/>
          </w:tcPr>
          <w:p w14:paraId="62B44268" w14:textId="77777777" w:rsidR="00CE581A" w:rsidRPr="006F42B2" w:rsidRDefault="00CE581A" w:rsidP="00E822D5">
            <w:pPr>
              <w:ind w:left="0" w:firstLine="0"/>
              <w:jc w:val="left"/>
              <w:rPr>
                <w:rFonts w:asciiTheme="minorHAnsi" w:hAnsiTheme="minorHAnsi" w:cstheme="minorHAnsi"/>
                <w:iCs/>
                <w:sz w:val="22"/>
                <w:szCs w:val="22"/>
                <w:lang w:val="es-ES"/>
              </w:rPr>
            </w:pPr>
            <w:r w:rsidRPr="006F42B2">
              <w:rPr>
                <w:rFonts w:asciiTheme="minorHAnsi" w:hAnsiTheme="minorHAnsi" w:cstheme="minorHAnsi"/>
                <w:iCs/>
                <w:sz w:val="22"/>
                <w:szCs w:val="22"/>
                <w:lang w:val="es-ES"/>
              </w:rPr>
              <w:t>*Los costos de traducción aumentarán levemente.</w:t>
            </w:r>
          </w:p>
          <w:p w14:paraId="38648139" w14:textId="77777777" w:rsidR="00CE581A" w:rsidRPr="006F42B2" w:rsidRDefault="00CE581A" w:rsidP="00E822D5">
            <w:pPr>
              <w:ind w:left="0" w:firstLine="0"/>
              <w:jc w:val="left"/>
              <w:rPr>
                <w:rFonts w:asciiTheme="minorHAnsi" w:hAnsiTheme="minorHAnsi" w:cstheme="minorHAnsi"/>
                <w:iCs/>
                <w:sz w:val="22"/>
                <w:szCs w:val="22"/>
                <w:lang w:val="es-ES"/>
              </w:rPr>
            </w:pPr>
          </w:p>
          <w:p w14:paraId="02BE41B3"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iCs/>
                <w:sz w:val="22"/>
                <w:szCs w:val="22"/>
                <w:lang w:val="es-ES"/>
              </w:rPr>
              <w:t xml:space="preserve">** No se incluyen los costos, pero </w:t>
            </w:r>
            <w:r>
              <w:rPr>
                <w:rFonts w:asciiTheme="minorHAnsi" w:hAnsiTheme="minorHAnsi" w:cstheme="minorHAnsi"/>
                <w:iCs/>
                <w:sz w:val="22"/>
                <w:szCs w:val="22"/>
                <w:lang w:val="es-ES"/>
              </w:rPr>
              <w:t>habrá</w:t>
            </w:r>
            <w:r w:rsidRPr="006F42B2">
              <w:rPr>
                <w:rFonts w:asciiTheme="minorHAnsi" w:hAnsiTheme="minorHAnsi" w:cstheme="minorHAnsi"/>
                <w:iCs/>
                <w:sz w:val="22"/>
                <w:szCs w:val="22"/>
                <w:lang w:val="es-ES"/>
              </w:rPr>
              <w:t xml:space="preserve"> repercusiones financieras.</w:t>
            </w:r>
          </w:p>
        </w:tc>
      </w:tr>
      <w:tr w:rsidR="00CE581A" w:rsidRPr="00772E80" w14:paraId="0813B239" w14:textId="77777777" w:rsidTr="00E822D5">
        <w:trPr>
          <w:cantSplit/>
        </w:trPr>
        <w:tc>
          <w:tcPr>
            <w:tcW w:w="1277" w:type="dxa"/>
            <w:vMerge/>
            <w:shd w:val="clear" w:color="auto" w:fill="auto"/>
          </w:tcPr>
          <w:p w14:paraId="739B3394"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4169ABF"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123B4D1C" w14:textId="77777777" w:rsidR="00CE581A" w:rsidRPr="009B39F5"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Prestar asesoramiento y sugerir modificaciones menores a los autores de los proyectos de resolución</w:t>
            </w:r>
          </w:p>
        </w:tc>
        <w:tc>
          <w:tcPr>
            <w:tcW w:w="1418" w:type="dxa"/>
          </w:tcPr>
          <w:p w14:paraId="0809D5BC"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**a definir</w:t>
            </w:r>
          </w:p>
        </w:tc>
        <w:tc>
          <w:tcPr>
            <w:tcW w:w="2126" w:type="dxa"/>
            <w:shd w:val="clear" w:color="auto" w:fill="auto"/>
          </w:tcPr>
          <w:p w14:paraId="7C59475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r>
      <w:tr w:rsidR="00CE581A" w:rsidRPr="005069A3" w14:paraId="51A4AEDA" w14:textId="77777777" w:rsidTr="00E822D5">
        <w:trPr>
          <w:cantSplit/>
        </w:trPr>
        <w:tc>
          <w:tcPr>
            <w:tcW w:w="1277" w:type="dxa"/>
            <w:vMerge/>
            <w:shd w:val="clear" w:color="auto" w:fill="auto"/>
          </w:tcPr>
          <w:p w14:paraId="76A8FCDC"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4BF9810D" w14:textId="77777777" w:rsidR="00CE581A" w:rsidRPr="00772E80" w:rsidRDefault="00CE581A" w:rsidP="00E822D5">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3DD8B6C0" w14:textId="77777777" w:rsidR="00CE581A" w:rsidRPr="009B39F5" w:rsidRDefault="00CE581A" w:rsidP="00E822D5">
            <w:pPr>
              <w:widowControl w:val="0"/>
              <w:ind w:left="0" w:firstLine="0"/>
              <w:jc w:val="left"/>
              <w:rPr>
                <w:rFonts w:asciiTheme="minorHAnsi" w:hAnsiTheme="minorHAnsi" w:cstheme="minorHAnsi"/>
                <w:bCs/>
                <w:sz w:val="22"/>
                <w:szCs w:val="22"/>
                <w:lang w:val="fr-FR"/>
              </w:rPr>
            </w:pPr>
            <w:r w:rsidRPr="006F42B2">
              <w:rPr>
                <w:rFonts w:asciiTheme="minorHAnsi" w:hAnsiTheme="minorHAnsi" w:cstheme="minorHAnsi"/>
                <w:bCs/>
                <w:sz w:val="22"/>
                <w:szCs w:val="22"/>
                <w:lang w:val="es-ES"/>
              </w:rPr>
              <w:t xml:space="preserve">Distribución de mensajes por parte de la Secretaría y toma de decisiones en la Secretaría.  </w:t>
            </w:r>
          </w:p>
        </w:tc>
        <w:tc>
          <w:tcPr>
            <w:tcW w:w="1418" w:type="dxa"/>
          </w:tcPr>
          <w:p w14:paraId="3DE7B439" w14:textId="77777777" w:rsidR="00CE581A" w:rsidRPr="00772E80"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color w:val="000000"/>
                <w:sz w:val="22"/>
                <w:szCs w:val="22"/>
                <w:lang w:val="es-ES"/>
              </w:rPr>
              <w:t>**a definir</w:t>
            </w:r>
          </w:p>
        </w:tc>
        <w:tc>
          <w:tcPr>
            <w:tcW w:w="2126" w:type="dxa"/>
            <w:shd w:val="clear" w:color="auto" w:fill="auto"/>
          </w:tcPr>
          <w:p w14:paraId="7CF9CBB1" w14:textId="77777777" w:rsidR="00CE581A" w:rsidRPr="006F42B2" w:rsidRDefault="00CE581A" w:rsidP="00E822D5">
            <w:pPr>
              <w:ind w:left="0" w:firstLine="0"/>
              <w:jc w:val="left"/>
              <w:rPr>
                <w:rFonts w:asciiTheme="minorHAnsi" w:hAnsiTheme="minorHAnsi" w:cstheme="minorHAnsi"/>
                <w:iCs/>
                <w:sz w:val="22"/>
                <w:szCs w:val="22"/>
                <w:lang w:val="es-ES"/>
              </w:rPr>
            </w:pPr>
            <w:r w:rsidRPr="006F42B2">
              <w:rPr>
                <w:rFonts w:asciiTheme="minorHAnsi" w:hAnsiTheme="minorHAnsi" w:cstheme="minorHAnsi"/>
                <w:iCs/>
                <w:sz w:val="22"/>
                <w:szCs w:val="22"/>
                <w:lang w:val="es-ES"/>
              </w:rPr>
              <w:t>**Repercusiones administrativas y financieras</w:t>
            </w:r>
          </w:p>
          <w:p w14:paraId="16082F1A" w14:textId="77777777" w:rsidR="00CE581A" w:rsidRPr="006F42B2" w:rsidRDefault="00CE581A" w:rsidP="00E822D5">
            <w:pPr>
              <w:ind w:left="0" w:firstLine="0"/>
              <w:jc w:val="left"/>
              <w:rPr>
                <w:rFonts w:asciiTheme="minorHAnsi" w:hAnsiTheme="minorHAnsi" w:cstheme="minorHAnsi"/>
                <w:iCs/>
                <w:sz w:val="22"/>
                <w:szCs w:val="22"/>
                <w:lang w:val="es-ES"/>
              </w:rPr>
            </w:pPr>
          </w:p>
          <w:p w14:paraId="5303BE34" w14:textId="77777777" w:rsidR="00CE581A" w:rsidRPr="00482698" w:rsidRDefault="00CE581A" w:rsidP="00E822D5">
            <w:pPr>
              <w:widowControl w:val="0"/>
              <w:ind w:left="0" w:firstLine="0"/>
              <w:jc w:val="left"/>
              <w:rPr>
                <w:rFonts w:asciiTheme="minorHAnsi" w:hAnsiTheme="minorHAnsi" w:cstheme="minorHAnsi"/>
                <w:color w:val="000000"/>
                <w:sz w:val="22"/>
                <w:szCs w:val="22"/>
              </w:rPr>
            </w:pPr>
            <w:r w:rsidRPr="006F42B2">
              <w:rPr>
                <w:rFonts w:asciiTheme="minorHAnsi" w:hAnsiTheme="minorHAnsi" w:cstheme="minorHAnsi"/>
                <w:iCs/>
                <w:sz w:val="22"/>
                <w:szCs w:val="22"/>
                <w:lang w:val="es-ES"/>
              </w:rPr>
              <w:t xml:space="preserve">**No se incluyen los costos, pero </w:t>
            </w:r>
            <w:r>
              <w:rPr>
                <w:rFonts w:asciiTheme="minorHAnsi" w:hAnsiTheme="minorHAnsi" w:cstheme="minorHAnsi"/>
                <w:iCs/>
                <w:sz w:val="22"/>
                <w:szCs w:val="22"/>
                <w:lang w:val="es-ES"/>
              </w:rPr>
              <w:t>habrá</w:t>
            </w:r>
            <w:r w:rsidRPr="006F42B2">
              <w:rPr>
                <w:rFonts w:asciiTheme="minorHAnsi" w:hAnsiTheme="minorHAnsi" w:cstheme="minorHAnsi"/>
                <w:iCs/>
                <w:sz w:val="22"/>
                <w:szCs w:val="22"/>
                <w:lang w:val="es-ES"/>
              </w:rPr>
              <w:t xml:space="preserve"> repercusiones financieras.</w:t>
            </w:r>
          </w:p>
        </w:tc>
      </w:tr>
    </w:tbl>
    <w:p w14:paraId="52A1D54F" w14:textId="77777777" w:rsidR="00B64C7E" w:rsidRPr="00582B0B" w:rsidRDefault="00B64C7E" w:rsidP="00885247">
      <w:pPr>
        <w:ind w:left="0" w:firstLine="0"/>
        <w:jc w:val="left"/>
        <w:rPr>
          <w:rFonts w:asciiTheme="minorHAnsi" w:hAnsiTheme="minorHAnsi" w:cstheme="minorHAnsi"/>
          <w:noProof/>
          <w:color w:val="000000"/>
          <w:sz w:val="22"/>
          <w:szCs w:val="22"/>
          <w:lang w:val="es-ES"/>
        </w:rPr>
      </w:pPr>
    </w:p>
    <w:sectPr w:rsidR="00B64C7E" w:rsidRPr="00582B0B" w:rsidSect="003D680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26D3" w14:textId="77777777" w:rsidR="00D7673E" w:rsidRDefault="00D7673E" w:rsidP="006058B3">
      <w:r>
        <w:separator/>
      </w:r>
    </w:p>
  </w:endnote>
  <w:endnote w:type="continuationSeparator" w:id="0">
    <w:p w14:paraId="79686E4E" w14:textId="77777777" w:rsidR="00D7673E" w:rsidRDefault="00D7673E"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Light"/>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DE03" w14:textId="7C64D236"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SC59</w:t>
    </w:r>
    <w:r w:rsidR="00226C6C">
      <w:rPr>
        <w:rFonts w:asciiTheme="minorHAnsi" w:hAnsiTheme="minorHAnsi" w:cstheme="minorHAnsi"/>
        <w:sz w:val="20"/>
        <w:szCs w:val="20"/>
      </w:rPr>
      <w:t xml:space="preserve">/2022 </w:t>
    </w:r>
    <w:r w:rsidRPr="00967BF4">
      <w:rPr>
        <w:rFonts w:asciiTheme="minorHAnsi" w:hAnsiTheme="minorHAnsi" w:cstheme="minorHAnsi"/>
        <w:sz w:val="20"/>
        <w:szCs w:val="20"/>
      </w:rPr>
      <w:t>Doc.</w:t>
    </w:r>
    <w:r w:rsidR="00D5325E">
      <w:rPr>
        <w:rFonts w:asciiTheme="minorHAnsi" w:hAnsiTheme="minorHAnsi" w:cstheme="minorHAnsi"/>
        <w:sz w:val="20"/>
        <w:szCs w:val="20"/>
      </w:rPr>
      <w:t>8.4</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CE581A">
      <w:rPr>
        <w:rFonts w:asciiTheme="minorHAnsi" w:hAnsiTheme="minorHAnsi" w:cstheme="minorHAnsi"/>
        <w:noProof/>
        <w:sz w:val="20"/>
        <w:szCs w:val="20"/>
      </w:rPr>
      <w:t>2</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C1C3" w14:textId="77777777" w:rsidR="00D7673E" w:rsidRDefault="00D7673E" w:rsidP="006058B3">
      <w:r>
        <w:separator/>
      </w:r>
    </w:p>
  </w:footnote>
  <w:footnote w:type="continuationSeparator" w:id="0">
    <w:p w14:paraId="35BE4157" w14:textId="77777777" w:rsidR="00D7673E" w:rsidRDefault="00D7673E"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D"/>
    <w:rsid w:val="0000669C"/>
    <w:rsid w:val="0000755C"/>
    <w:rsid w:val="00013636"/>
    <w:rsid w:val="00015506"/>
    <w:rsid w:val="000206E7"/>
    <w:rsid w:val="00022A0A"/>
    <w:rsid w:val="000250FF"/>
    <w:rsid w:val="000267EF"/>
    <w:rsid w:val="00027DBC"/>
    <w:rsid w:val="00046B52"/>
    <w:rsid w:val="00065171"/>
    <w:rsid w:val="00065B8F"/>
    <w:rsid w:val="000737A0"/>
    <w:rsid w:val="00074DFF"/>
    <w:rsid w:val="00076CE7"/>
    <w:rsid w:val="00087E7E"/>
    <w:rsid w:val="00090B48"/>
    <w:rsid w:val="000A2AB0"/>
    <w:rsid w:val="000A7F0C"/>
    <w:rsid w:val="000B6E84"/>
    <w:rsid w:val="000C73F3"/>
    <w:rsid w:val="000D0626"/>
    <w:rsid w:val="000E637A"/>
    <w:rsid w:val="000F0516"/>
    <w:rsid w:val="000F30B6"/>
    <w:rsid w:val="000F55EE"/>
    <w:rsid w:val="00111CE0"/>
    <w:rsid w:val="001244CA"/>
    <w:rsid w:val="001353CD"/>
    <w:rsid w:val="0014105B"/>
    <w:rsid w:val="00141784"/>
    <w:rsid w:val="001438E6"/>
    <w:rsid w:val="00144492"/>
    <w:rsid w:val="001529FF"/>
    <w:rsid w:val="00152C0C"/>
    <w:rsid w:val="00155904"/>
    <w:rsid w:val="00181A57"/>
    <w:rsid w:val="00193DF1"/>
    <w:rsid w:val="001A5D8B"/>
    <w:rsid w:val="001A624D"/>
    <w:rsid w:val="001B1070"/>
    <w:rsid w:val="001B1EDC"/>
    <w:rsid w:val="001B6A31"/>
    <w:rsid w:val="001B6F33"/>
    <w:rsid w:val="001B7AB2"/>
    <w:rsid w:val="001C1FAB"/>
    <w:rsid w:val="001C341F"/>
    <w:rsid w:val="001C4D6A"/>
    <w:rsid w:val="001C7FFC"/>
    <w:rsid w:val="001D5A0F"/>
    <w:rsid w:val="001E115C"/>
    <w:rsid w:val="001E2ECF"/>
    <w:rsid w:val="001E57F5"/>
    <w:rsid w:val="001F488E"/>
    <w:rsid w:val="00224BB3"/>
    <w:rsid w:val="00226C6C"/>
    <w:rsid w:val="002314AC"/>
    <w:rsid w:val="00237690"/>
    <w:rsid w:val="00246CD6"/>
    <w:rsid w:val="0025233F"/>
    <w:rsid w:val="00257E90"/>
    <w:rsid w:val="00263C59"/>
    <w:rsid w:val="00275D92"/>
    <w:rsid w:val="00275E30"/>
    <w:rsid w:val="00284A17"/>
    <w:rsid w:val="002864ED"/>
    <w:rsid w:val="00290FEF"/>
    <w:rsid w:val="00295E57"/>
    <w:rsid w:val="002A5383"/>
    <w:rsid w:val="002C6100"/>
    <w:rsid w:val="002E308C"/>
    <w:rsid w:val="002E74F4"/>
    <w:rsid w:val="002F4875"/>
    <w:rsid w:val="00303D77"/>
    <w:rsid w:val="00307B7E"/>
    <w:rsid w:val="00311716"/>
    <w:rsid w:val="003149A3"/>
    <w:rsid w:val="0031525C"/>
    <w:rsid w:val="00317FDC"/>
    <w:rsid w:val="00343274"/>
    <w:rsid w:val="00343A90"/>
    <w:rsid w:val="003501A9"/>
    <w:rsid w:val="00354D36"/>
    <w:rsid w:val="003574E3"/>
    <w:rsid w:val="00384AA8"/>
    <w:rsid w:val="00387328"/>
    <w:rsid w:val="003951B5"/>
    <w:rsid w:val="003D6800"/>
    <w:rsid w:val="003E79DA"/>
    <w:rsid w:val="003F63D8"/>
    <w:rsid w:val="003F7D32"/>
    <w:rsid w:val="00401FEC"/>
    <w:rsid w:val="004063DA"/>
    <w:rsid w:val="00421460"/>
    <w:rsid w:val="00430DE5"/>
    <w:rsid w:val="00433CBF"/>
    <w:rsid w:val="00451A79"/>
    <w:rsid w:val="00453CB9"/>
    <w:rsid w:val="004553B8"/>
    <w:rsid w:val="0047236F"/>
    <w:rsid w:val="00473C47"/>
    <w:rsid w:val="00477815"/>
    <w:rsid w:val="00482698"/>
    <w:rsid w:val="004832B3"/>
    <w:rsid w:val="004911DF"/>
    <w:rsid w:val="00491BEE"/>
    <w:rsid w:val="004B776A"/>
    <w:rsid w:val="004C6C80"/>
    <w:rsid w:val="004D4CD9"/>
    <w:rsid w:val="004D775F"/>
    <w:rsid w:val="004E0DB3"/>
    <w:rsid w:val="004F0C81"/>
    <w:rsid w:val="004F2362"/>
    <w:rsid w:val="004F7BE5"/>
    <w:rsid w:val="005042B0"/>
    <w:rsid w:val="005069A3"/>
    <w:rsid w:val="005078BB"/>
    <w:rsid w:val="0051038A"/>
    <w:rsid w:val="0051047D"/>
    <w:rsid w:val="00512E67"/>
    <w:rsid w:val="00524FEB"/>
    <w:rsid w:val="005269C6"/>
    <w:rsid w:val="00531C3F"/>
    <w:rsid w:val="00535F9D"/>
    <w:rsid w:val="00551663"/>
    <w:rsid w:val="005556AF"/>
    <w:rsid w:val="00557311"/>
    <w:rsid w:val="00557834"/>
    <w:rsid w:val="00561CB9"/>
    <w:rsid w:val="005653D8"/>
    <w:rsid w:val="00567BF6"/>
    <w:rsid w:val="00570344"/>
    <w:rsid w:val="00582B0B"/>
    <w:rsid w:val="005855E2"/>
    <w:rsid w:val="00591F47"/>
    <w:rsid w:val="00594ED0"/>
    <w:rsid w:val="005A3E31"/>
    <w:rsid w:val="005A5742"/>
    <w:rsid w:val="005B040C"/>
    <w:rsid w:val="005B29EB"/>
    <w:rsid w:val="005C4558"/>
    <w:rsid w:val="005C6528"/>
    <w:rsid w:val="005D106B"/>
    <w:rsid w:val="005D7A1A"/>
    <w:rsid w:val="00601430"/>
    <w:rsid w:val="006058B3"/>
    <w:rsid w:val="0060674B"/>
    <w:rsid w:val="006320E6"/>
    <w:rsid w:val="00634417"/>
    <w:rsid w:val="00641A18"/>
    <w:rsid w:val="00644C1D"/>
    <w:rsid w:val="006451A9"/>
    <w:rsid w:val="00663013"/>
    <w:rsid w:val="0066368E"/>
    <w:rsid w:val="0068240A"/>
    <w:rsid w:val="00685785"/>
    <w:rsid w:val="00686267"/>
    <w:rsid w:val="00695535"/>
    <w:rsid w:val="00696FF1"/>
    <w:rsid w:val="006978F0"/>
    <w:rsid w:val="006A3944"/>
    <w:rsid w:val="006A3F4A"/>
    <w:rsid w:val="006A5172"/>
    <w:rsid w:val="006A7C44"/>
    <w:rsid w:val="006B72AF"/>
    <w:rsid w:val="006E47B7"/>
    <w:rsid w:val="006E7309"/>
    <w:rsid w:val="006F30DC"/>
    <w:rsid w:val="006F42B2"/>
    <w:rsid w:val="006F48CA"/>
    <w:rsid w:val="007114C9"/>
    <w:rsid w:val="00713A51"/>
    <w:rsid w:val="007211C4"/>
    <w:rsid w:val="007350D4"/>
    <w:rsid w:val="00746135"/>
    <w:rsid w:val="00750225"/>
    <w:rsid w:val="007557D5"/>
    <w:rsid w:val="0075712F"/>
    <w:rsid w:val="00773024"/>
    <w:rsid w:val="0077337B"/>
    <w:rsid w:val="00780AFD"/>
    <w:rsid w:val="00794511"/>
    <w:rsid w:val="007945F7"/>
    <w:rsid w:val="00795C6E"/>
    <w:rsid w:val="007963A8"/>
    <w:rsid w:val="007A38D2"/>
    <w:rsid w:val="007A54D5"/>
    <w:rsid w:val="007A58EA"/>
    <w:rsid w:val="007B2984"/>
    <w:rsid w:val="007C36A8"/>
    <w:rsid w:val="007D6672"/>
    <w:rsid w:val="007F7F60"/>
    <w:rsid w:val="008047D8"/>
    <w:rsid w:val="00807C3B"/>
    <w:rsid w:val="008116CB"/>
    <w:rsid w:val="008272A6"/>
    <w:rsid w:val="008330C8"/>
    <w:rsid w:val="00834B53"/>
    <w:rsid w:val="008538A7"/>
    <w:rsid w:val="00853A4C"/>
    <w:rsid w:val="008569BA"/>
    <w:rsid w:val="00857CD6"/>
    <w:rsid w:val="00863D03"/>
    <w:rsid w:val="0086426F"/>
    <w:rsid w:val="00873BE1"/>
    <w:rsid w:val="00885247"/>
    <w:rsid w:val="00886642"/>
    <w:rsid w:val="0089103F"/>
    <w:rsid w:val="008952D7"/>
    <w:rsid w:val="00897092"/>
    <w:rsid w:val="008A1B89"/>
    <w:rsid w:val="008A4FA9"/>
    <w:rsid w:val="008A7E31"/>
    <w:rsid w:val="008B15E0"/>
    <w:rsid w:val="008B6904"/>
    <w:rsid w:val="008C1D57"/>
    <w:rsid w:val="008C2764"/>
    <w:rsid w:val="008D0D24"/>
    <w:rsid w:val="008D1C4F"/>
    <w:rsid w:val="008F2474"/>
    <w:rsid w:val="008F2E14"/>
    <w:rsid w:val="00905A09"/>
    <w:rsid w:val="009100DA"/>
    <w:rsid w:val="00910559"/>
    <w:rsid w:val="009157FA"/>
    <w:rsid w:val="00943E75"/>
    <w:rsid w:val="00956B48"/>
    <w:rsid w:val="00960912"/>
    <w:rsid w:val="00967BF4"/>
    <w:rsid w:val="0097291E"/>
    <w:rsid w:val="00973990"/>
    <w:rsid w:val="0097657A"/>
    <w:rsid w:val="00984032"/>
    <w:rsid w:val="0098508D"/>
    <w:rsid w:val="00990CEA"/>
    <w:rsid w:val="009978A7"/>
    <w:rsid w:val="009A4362"/>
    <w:rsid w:val="009B10DA"/>
    <w:rsid w:val="009B687A"/>
    <w:rsid w:val="009B769F"/>
    <w:rsid w:val="009C24AD"/>
    <w:rsid w:val="009C4474"/>
    <w:rsid w:val="009C6711"/>
    <w:rsid w:val="009D1248"/>
    <w:rsid w:val="009D3818"/>
    <w:rsid w:val="009D4F79"/>
    <w:rsid w:val="009D6313"/>
    <w:rsid w:val="009E03EE"/>
    <w:rsid w:val="009E159F"/>
    <w:rsid w:val="009E21CB"/>
    <w:rsid w:val="009E24BF"/>
    <w:rsid w:val="00A01347"/>
    <w:rsid w:val="00A01851"/>
    <w:rsid w:val="00A10B27"/>
    <w:rsid w:val="00A13FD1"/>
    <w:rsid w:val="00A156E5"/>
    <w:rsid w:val="00A2244A"/>
    <w:rsid w:val="00A3054E"/>
    <w:rsid w:val="00A306B5"/>
    <w:rsid w:val="00A32562"/>
    <w:rsid w:val="00A37806"/>
    <w:rsid w:val="00A52A09"/>
    <w:rsid w:val="00A64F64"/>
    <w:rsid w:val="00A66157"/>
    <w:rsid w:val="00A66527"/>
    <w:rsid w:val="00A7752F"/>
    <w:rsid w:val="00A82FE8"/>
    <w:rsid w:val="00AA2EDD"/>
    <w:rsid w:val="00AB00C2"/>
    <w:rsid w:val="00AB60B1"/>
    <w:rsid w:val="00AC138B"/>
    <w:rsid w:val="00AC56C4"/>
    <w:rsid w:val="00AD0037"/>
    <w:rsid w:val="00AD2236"/>
    <w:rsid w:val="00AD248C"/>
    <w:rsid w:val="00AE5512"/>
    <w:rsid w:val="00AE6055"/>
    <w:rsid w:val="00AE7B3F"/>
    <w:rsid w:val="00AF173F"/>
    <w:rsid w:val="00AF1A7C"/>
    <w:rsid w:val="00AF25A0"/>
    <w:rsid w:val="00AF2D24"/>
    <w:rsid w:val="00B02590"/>
    <w:rsid w:val="00B05AF7"/>
    <w:rsid w:val="00B10629"/>
    <w:rsid w:val="00B1462E"/>
    <w:rsid w:val="00B17F01"/>
    <w:rsid w:val="00B25366"/>
    <w:rsid w:val="00B44012"/>
    <w:rsid w:val="00B45ADD"/>
    <w:rsid w:val="00B50635"/>
    <w:rsid w:val="00B556D3"/>
    <w:rsid w:val="00B64C7E"/>
    <w:rsid w:val="00B6589D"/>
    <w:rsid w:val="00B9629C"/>
    <w:rsid w:val="00BA03FD"/>
    <w:rsid w:val="00BA3A1E"/>
    <w:rsid w:val="00BB61DD"/>
    <w:rsid w:val="00BC31BC"/>
    <w:rsid w:val="00BC5325"/>
    <w:rsid w:val="00BD2193"/>
    <w:rsid w:val="00BE0188"/>
    <w:rsid w:val="00BE2889"/>
    <w:rsid w:val="00BE4075"/>
    <w:rsid w:val="00BE5069"/>
    <w:rsid w:val="00BE74B4"/>
    <w:rsid w:val="00C2798B"/>
    <w:rsid w:val="00C30C01"/>
    <w:rsid w:val="00C32315"/>
    <w:rsid w:val="00C36260"/>
    <w:rsid w:val="00C41747"/>
    <w:rsid w:val="00C459D0"/>
    <w:rsid w:val="00C562E2"/>
    <w:rsid w:val="00C56C0A"/>
    <w:rsid w:val="00C63E7B"/>
    <w:rsid w:val="00C63FE5"/>
    <w:rsid w:val="00C6401E"/>
    <w:rsid w:val="00C648EB"/>
    <w:rsid w:val="00C65B97"/>
    <w:rsid w:val="00C715EA"/>
    <w:rsid w:val="00C809F0"/>
    <w:rsid w:val="00C853CC"/>
    <w:rsid w:val="00C93A41"/>
    <w:rsid w:val="00CA19C8"/>
    <w:rsid w:val="00CA50BC"/>
    <w:rsid w:val="00CC14FE"/>
    <w:rsid w:val="00CD7B50"/>
    <w:rsid w:val="00CE581A"/>
    <w:rsid w:val="00CE6E6D"/>
    <w:rsid w:val="00D04785"/>
    <w:rsid w:val="00D21243"/>
    <w:rsid w:val="00D37C9C"/>
    <w:rsid w:val="00D415F5"/>
    <w:rsid w:val="00D5325E"/>
    <w:rsid w:val="00D57A74"/>
    <w:rsid w:val="00D644E3"/>
    <w:rsid w:val="00D70864"/>
    <w:rsid w:val="00D766E1"/>
    <w:rsid w:val="00D7673E"/>
    <w:rsid w:val="00D85A60"/>
    <w:rsid w:val="00D85EB4"/>
    <w:rsid w:val="00D86598"/>
    <w:rsid w:val="00DC0AFC"/>
    <w:rsid w:val="00DD61A6"/>
    <w:rsid w:val="00DF1EBC"/>
    <w:rsid w:val="00DF3152"/>
    <w:rsid w:val="00E06E63"/>
    <w:rsid w:val="00E07995"/>
    <w:rsid w:val="00E101A9"/>
    <w:rsid w:val="00E10C1B"/>
    <w:rsid w:val="00E122ED"/>
    <w:rsid w:val="00E14014"/>
    <w:rsid w:val="00E25AA5"/>
    <w:rsid w:val="00E32632"/>
    <w:rsid w:val="00E414F9"/>
    <w:rsid w:val="00E41D81"/>
    <w:rsid w:val="00E4593D"/>
    <w:rsid w:val="00E507B6"/>
    <w:rsid w:val="00E5772D"/>
    <w:rsid w:val="00E57E6C"/>
    <w:rsid w:val="00E667A3"/>
    <w:rsid w:val="00E67184"/>
    <w:rsid w:val="00E70C14"/>
    <w:rsid w:val="00E74060"/>
    <w:rsid w:val="00E9062A"/>
    <w:rsid w:val="00E95E62"/>
    <w:rsid w:val="00EB248D"/>
    <w:rsid w:val="00EB5FFE"/>
    <w:rsid w:val="00ED3C9E"/>
    <w:rsid w:val="00EE11FB"/>
    <w:rsid w:val="00EE5764"/>
    <w:rsid w:val="00EF1219"/>
    <w:rsid w:val="00F00776"/>
    <w:rsid w:val="00F022D4"/>
    <w:rsid w:val="00F02A65"/>
    <w:rsid w:val="00F04CFC"/>
    <w:rsid w:val="00F12993"/>
    <w:rsid w:val="00F14174"/>
    <w:rsid w:val="00F40DCA"/>
    <w:rsid w:val="00F44FBF"/>
    <w:rsid w:val="00F5204D"/>
    <w:rsid w:val="00F536C7"/>
    <w:rsid w:val="00F86F5D"/>
    <w:rsid w:val="00F87343"/>
    <w:rsid w:val="00F907FE"/>
    <w:rsid w:val="00FC3682"/>
    <w:rsid w:val="00FC5F91"/>
    <w:rsid w:val="00FD282B"/>
    <w:rsid w:val="00FE63C6"/>
    <w:rsid w:val="00FF1427"/>
    <w:rsid w:val="00FF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2A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963A8"/>
    <w:pPr>
      <w:spacing w:before="100" w:beforeAutospacing="1" w:after="100" w:afterAutospacing="1"/>
      <w:ind w:left="0" w:firstLine="0"/>
      <w:jc w:val="left"/>
    </w:pPr>
    <w:rPr>
      <w:lang w:val="es-GT"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599723373">
      <w:bodyDiv w:val="1"/>
      <w:marLeft w:val="0"/>
      <w:marRight w:val="0"/>
      <w:marTop w:val="0"/>
      <w:marBottom w:val="0"/>
      <w:divBdr>
        <w:top w:val="none" w:sz="0" w:space="0" w:color="auto"/>
        <w:left w:val="none" w:sz="0" w:space="0" w:color="auto"/>
        <w:bottom w:val="none" w:sz="0" w:space="0" w:color="auto"/>
        <w:right w:val="none" w:sz="0" w:space="0" w:color="auto"/>
      </w:divBdr>
      <w:divsChild>
        <w:div w:id="783185302">
          <w:marLeft w:val="0"/>
          <w:marRight w:val="0"/>
          <w:marTop w:val="0"/>
          <w:marBottom w:val="0"/>
          <w:divBdr>
            <w:top w:val="none" w:sz="0" w:space="0" w:color="auto"/>
            <w:left w:val="none" w:sz="0" w:space="0" w:color="auto"/>
            <w:bottom w:val="none" w:sz="0" w:space="0" w:color="auto"/>
            <w:right w:val="none" w:sz="0" w:space="0" w:color="auto"/>
          </w:divBdr>
          <w:divsChild>
            <w:div w:id="2045013921">
              <w:marLeft w:val="0"/>
              <w:marRight w:val="0"/>
              <w:marTop w:val="0"/>
              <w:marBottom w:val="0"/>
              <w:divBdr>
                <w:top w:val="none" w:sz="0" w:space="0" w:color="auto"/>
                <w:left w:val="none" w:sz="0" w:space="0" w:color="auto"/>
                <w:bottom w:val="none" w:sz="0" w:space="0" w:color="auto"/>
                <w:right w:val="none" w:sz="0" w:space="0" w:color="auto"/>
              </w:divBdr>
              <w:divsChild>
                <w:div w:id="2928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1A80-3EB5-4641-8AA9-F2C9D0472AE0}">
  <ds:schemaRefs>
    <ds:schemaRef ds:uri="http://schemas.microsoft.com/office/2006/documentManagement/types"/>
    <ds:schemaRef ds:uri="http://purl.org/dc/elements/1.1/"/>
    <ds:schemaRef ds:uri="http://schemas.microsoft.com/office/infopath/2007/PartnerControls"/>
    <ds:schemaRef ds:uri="http://www.w3.org/XML/1998/namespace"/>
    <ds:schemaRef ds:uri="682f1ccd-e5c5-43c9-b9d9-dd72e0a643d0"/>
    <ds:schemaRef ds:uri="http://schemas.microsoft.com/office/2006/metadata/properties"/>
    <ds:schemaRef ds:uri="http://purl.org/dc/terms/"/>
    <ds:schemaRef ds:uri="http://schemas.openxmlformats.org/package/2006/metadata/core-properties"/>
    <ds:schemaRef ds:uri="75035800-fbd9-4494-bf62-86cc10c5d50d"/>
    <ds:schemaRef ds:uri="http://purl.org/dc/dcmitype/"/>
  </ds:schemaRefs>
</ds:datastoreItem>
</file>

<file path=customXml/itemProps2.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3.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0670F-EF7B-4535-8ED1-BA399801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2532</Words>
  <Characters>14433</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16932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3</cp:revision>
  <dcterms:created xsi:type="dcterms:W3CDTF">2022-05-21T19:49:00Z</dcterms:created>
  <dcterms:modified xsi:type="dcterms:W3CDTF">2022-05-21T20:03:00Z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