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DEA80" w14:textId="3BB0C3E1" w:rsidR="00065B8F" w:rsidRPr="00A513DE" w:rsidRDefault="00A513DE"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sz w:val="22"/>
          <w:szCs w:val="22"/>
          <w:lang w:val="fr-CH"/>
        </w:rPr>
      </w:pPr>
      <w:r>
        <w:rPr>
          <w:rFonts w:asciiTheme="minorHAnsi" w:hAnsiTheme="minorHAnsi" w:cstheme="minorHAnsi"/>
          <w:bCs/>
          <w:sz w:val="22"/>
          <w:szCs w:val="22"/>
          <w:lang w:val="fr-CH"/>
        </w:rPr>
        <w:t>CONVENTION SUR LES ZONES HUMIDES</w:t>
      </w:r>
    </w:p>
    <w:p w14:paraId="4A0A0432" w14:textId="6ABEDD9F" w:rsidR="00B556D3" w:rsidRPr="00A513DE" w:rsidRDefault="00B556D3"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lang w:val="fr-CH"/>
        </w:rPr>
      </w:pPr>
      <w:r w:rsidRPr="00A513DE">
        <w:rPr>
          <w:rFonts w:asciiTheme="minorHAnsi" w:hAnsiTheme="minorHAnsi" w:cstheme="minorHAnsi"/>
          <w:lang w:val="fr-CH"/>
        </w:rPr>
        <w:t>59</w:t>
      </w:r>
      <w:r w:rsidR="00A513DE" w:rsidRPr="00A513DE">
        <w:rPr>
          <w:rFonts w:asciiTheme="minorHAnsi" w:hAnsiTheme="minorHAnsi" w:cstheme="minorHAnsi"/>
          <w:vertAlign w:val="superscript"/>
          <w:lang w:val="fr-CH"/>
        </w:rPr>
        <w:t>e</w:t>
      </w:r>
      <w:r w:rsidR="00A513DE">
        <w:rPr>
          <w:rFonts w:asciiTheme="minorHAnsi" w:hAnsiTheme="minorHAnsi" w:cstheme="minorHAnsi"/>
          <w:lang w:val="fr-CH"/>
        </w:rPr>
        <w:t xml:space="preserve"> Réunion du Comité permanent</w:t>
      </w:r>
      <w:r w:rsidRPr="00A513DE">
        <w:rPr>
          <w:rFonts w:asciiTheme="minorHAnsi" w:hAnsiTheme="minorHAnsi" w:cstheme="minorHAnsi"/>
          <w:lang w:val="fr-CH"/>
        </w:rPr>
        <w:t xml:space="preserve"> </w:t>
      </w:r>
    </w:p>
    <w:p w14:paraId="7D4FC7E1" w14:textId="4F66D45E" w:rsidR="00B556D3" w:rsidRPr="00A513DE" w:rsidRDefault="00A513DE"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lang w:val="fr-CH"/>
        </w:rPr>
      </w:pPr>
      <w:r>
        <w:rPr>
          <w:rFonts w:asciiTheme="minorHAnsi" w:hAnsiTheme="minorHAnsi" w:cstheme="minorHAnsi"/>
          <w:lang w:val="fr-CH"/>
        </w:rPr>
        <w:t>Reprise de séance</w:t>
      </w:r>
    </w:p>
    <w:p w14:paraId="78B3FB25" w14:textId="057590FE" w:rsidR="00065B8F" w:rsidRPr="00A513DE" w:rsidRDefault="00B556D3"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sz w:val="22"/>
          <w:szCs w:val="22"/>
          <w:lang w:val="fr-CH"/>
        </w:rPr>
      </w:pPr>
      <w:r w:rsidRPr="00A513DE">
        <w:rPr>
          <w:rFonts w:asciiTheme="minorHAnsi" w:hAnsiTheme="minorHAnsi" w:cstheme="minorHAnsi"/>
          <w:lang w:val="fr-CH"/>
        </w:rPr>
        <w:t xml:space="preserve">Gland, </w:t>
      </w:r>
      <w:r w:rsidR="00A513DE">
        <w:rPr>
          <w:rFonts w:asciiTheme="minorHAnsi" w:hAnsiTheme="minorHAnsi" w:cstheme="minorHAnsi"/>
          <w:lang w:val="fr-CH"/>
        </w:rPr>
        <w:t>Suisse</w:t>
      </w:r>
      <w:r w:rsidRPr="00A513DE">
        <w:rPr>
          <w:rFonts w:asciiTheme="minorHAnsi" w:hAnsiTheme="minorHAnsi" w:cstheme="minorHAnsi"/>
          <w:lang w:val="fr-CH"/>
        </w:rPr>
        <w:t>, 23</w:t>
      </w:r>
      <w:r w:rsidR="00A513DE">
        <w:rPr>
          <w:rFonts w:asciiTheme="minorHAnsi" w:hAnsiTheme="minorHAnsi" w:cstheme="minorHAnsi"/>
          <w:lang w:val="fr-CH"/>
        </w:rPr>
        <w:t xml:space="preserve"> au </w:t>
      </w:r>
      <w:r w:rsidRPr="00A513DE">
        <w:rPr>
          <w:rFonts w:asciiTheme="minorHAnsi" w:hAnsiTheme="minorHAnsi" w:cstheme="minorHAnsi"/>
          <w:lang w:val="fr-CH"/>
        </w:rPr>
        <w:t xml:space="preserve">27 </w:t>
      </w:r>
      <w:r w:rsidR="00A513DE">
        <w:rPr>
          <w:rFonts w:asciiTheme="minorHAnsi" w:hAnsiTheme="minorHAnsi" w:cstheme="minorHAnsi"/>
          <w:lang w:val="fr-CH"/>
        </w:rPr>
        <w:t>mai</w:t>
      </w:r>
      <w:r w:rsidRPr="00A513DE">
        <w:rPr>
          <w:rFonts w:asciiTheme="minorHAnsi" w:hAnsiTheme="minorHAnsi" w:cstheme="minorHAnsi"/>
          <w:lang w:val="fr-CH"/>
        </w:rPr>
        <w:t xml:space="preserve"> 2022</w:t>
      </w:r>
    </w:p>
    <w:p w14:paraId="2BB6B6C0" w14:textId="77777777" w:rsidR="00065B8F" w:rsidRPr="00A513DE" w:rsidRDefault="00065B8F" w:rsidP="00A451D1">
      <w:pPr>
        <w:widowControl w:val="0"/>
        <w:rPr>
          <w:rFonts w:asciiTheme="minorHAnsi" w:hAnsiTheme="minorHAnsi" w:cstheme="minorHAnsi"/>
          <w:lang w:val="fr-CH"/>
        </w:rPr>
      </w:pPr>
      <w:bookmarkStart w:id="0" w:name="_GoBack"/>
    </w:p>
    <w:p w14:paraId="1B8DA46A" w14:textId="2A9B1AAA" w:rsidR="00065B8F" w:rsidRPr="00A513DE" w:rsidRDefault="006A7C44" w:rsidP="00A451D1">
      <w:pPr>
        <w:widowControl w:val="0"/>
        <w:jc w:val="right"/>
        <w:rPr>
          <w:rFonts w:asciiTheme="minorHAnsi" w:hAnsiTheme="minorHAnsi" w:cstheme="minorHAnsi"/>
          <w:b/>
          <w:sz w:val="28"/>
          <w:szCs w:val="28"/>
          <w:lang w:val="fr-CH"/>
        </w:rPr>
      </w:pPr>
      <w:r w:rsidRPr="00A513DE">
        <w:rPr>
          <w:rFonts w:asciiTheme="minorHAnsi" w:hAnsiTheme="minorHAnsi" w:cstheme="minorHAnsi"/>
          <w:b/>
          <w:sz w:val="28"/>
          <w:szCs w:val="28"/>
          <w:lang w:val="fr-CH"/>
        </w:rPr>
        <w:t>SC59</w:t>
      </w:r>
      <w:r w:rsidR="00B556D3" w:rsidRPr="00A513DE">
        <w:rPr>
          <w:rFonts w:asciiTheme="minorHAnsi" w:hAnsiTheme="minorHAnsi" w:cstheme="minorHAnsi"/>
          <w:b/>
          <w:sz w:val="28"/>
          <w:szCs w:val="28"/>
          <w:lang w:val="fr-CH"/>
        </w:rPr>
        <w:t>/2022</w:t>
      </w:r>
      <w:r w:rsidR="00065B8F" w:rsidRPr="00A513DE">
        <w:rPr>
          <w:rFonts w:asciiTheme="minorHAnsi" w:hAnsiTheme="minorHAnsi" w:cstheme="minorHAnsi"/>
          <w:b/>
          <w:sz w:val="28"/>
          <w:szCs w:val="28"/>
          <w:lang w:val="fr-CH"/>
        </w:rPr>
        <w:t xml:space="preserve"> Doc.</w:t>
      </w:r>
      <w:r w:rsidR="00C56C0A" w:rsidRPr="00A513DE">
        <w:rPr>
          <w:rFonts w:asciiTheme="minorHAnsi" w:hAnsiTheme="minorHAnsi" w:cstheme="minorHAnsi"/>
          <w:b/>
          <w:sz w:val="28"/>
          <w:szCs w:val="28"/>
          <w:lang w:val="fr-CH"/>
        </w:rPr>
        <w:t>8.4</w:t>
      </w:r>
    </w:p>
    <w:p w14:paraId="23E946FC" w14:textId="77777777" w:rsidR="00065B8F" w:rsidRPr="00A513DE" w:rsidRDefault="00065B8F" w:rsidP="00A451D1">
      <w:pPr>
        <w:widowControl w:val="0"/>
        <w:jc w:val="center"/>
        <w:rPr>
          <w:rFonts w:asciiTheme="minorHAnsi" w:hAnsiTheme="minorHAnsi" w:cstheme="minorHAnsi"/>
          <w:bCs/>
          <w:sz w:val="28"/>
          <w:szCs w:val="28"/>
          <w:lang w:val="fr-CH"/>
        </w:rPr>
      </w:pPr>
    </w:p>
    <w:p w14:paraId="4754E82B" w14:textId="527D370B" w:rsidR="00065B8F" w:rsidRPr="00A513DE" w:rsidRDefault="00A513DE" w:rsidP="00A451D1">
      <w:pPr>
        <w:widowControl w:val="0"/>
        <w:jc w:val="center"/>
        <w:rPr>
          <w:rFonts w:asciiTheme="minorHAnsi" w:hAnsiTheme="minorHAnsi" w:cstheme="minorHAnsi"/>
          <w:b/>
          <w:bCs/>
          <w:sz w:val="28"/>
          <w:szCs w:val="28"/>
          <w:lang w:val="fr-CH"/>
        </w:rPr>
      </w:pPr>
      <w:r>
        <w:rPr>
          <w:rFonts w:asciiTheme="minorHAnsi" w:hAnsiTheme="minorHAnsi" w:cstheme="minorHAnsi"/>
          <w:b/>
          <w:bCs/>
          <w:sz w:val="28"/>
          <w:szCs w:val="28"/>
          <w:lang w:val="fr-CH"/>
        </w:rPr>
        <w:t xml:space="preserve">Incidences financières </w:t>
      </w:r>
      <w:r w:rsidR="003E5A59">
        <w:rPr>
          <w:rFonts w:asciiTheme="minorHAnsi" w:hAnsiTheme="minorHAnsi" w:cstheme="minorHAnsi"/>
          <w:b/>
          <w:bCs/>
          <w:sz w:val="28"/>
          <w:szCs w:val="28"/>
          <w:lang w:val="fr-CH"/>
        </w:rPr>
        <w:t>éventuelles</w:t>
      </w:r>
      <w:r>
        <w:rPr>
          <w:rFonts w:asciiTheme="minorHAnsi" w:hAnsiTheme="minorHAnsi" w:cstheme="minorHAnsi"/>
          <w:b/>
          <w:bCs/>
          <w:sz w:val="28"/>
          <w:szCs w:val="28"/>
          <w:lang w:val="fr-CH"/>
        </w:rPr>
        <w:t xml:space="preserve"> des projets de résolutions</w:t>
      </w:r>
      <w:r w:rsidR="006A5172" w:rsidRPr="00A513DE">
        <w:rPr>
          <w:rFonts w:asciiTheme="minorHAnsi" w:hAnsiTheme="minorHAnsi" w:cstheme="minorHAnsi"/>
          <w:b/>
          <w:bCs/>
          <w:sz w:val="28"/>
          <w:szCs w:val="28"/>
          <w:lang w:val="fr-CH"/>
        </w:rPr>
        <w:t xml:space="preserve"> </w:t>
      </w:r>
    </w:p>
    <w:bookmarkEnd w:id="0"/>
    <w:p w14:paraId="1F5BA36C" w14:textId="77777777" w:rsidR="006058B3" w:rsidRPr="00A513DE" w:rsidRDefault="006058B3" w:rsidP="00A451D1">
      <w:pPr>
        <w:widowControl w:val="0"/>
        <w:jc w:val="center"/>
        <w:rPr>
          <w:rFonts w:asciiTheme="minorHAnsi" w:hAnsiTheme="minorHAnsi" w:cstheme="minorHAnsi"/>
          <w:b/>
          <w:bCs/>
          <w:sz w:val="28"/>
          <w:szCs w:val="28"/>
          <w:lang w:val="fr-CH"/>
        </w:rPr>
      </w:pPr>
    </w:p>
    <w:p w14:paraId="19992BFF" w14:textId="77777777" w:rsidR="00E95E62" w:rsidRPr="00A513DE" w:rsidRDefault="006058B3" w:rsidP="00A451D1">
      <w:pPr>
        <w:widowControl w:val="0"/>
        <w:jc w:val="center"/>
        <w:rPr>
          <w:rFonts w:asciiTheme="minorHAnsi" w:hAnsiTheme="minorHAnsi" w:cstheme="minorHAnsi"/>
          <w:b/>
          <w:bCs/>
          <w:sz w:val="28"/>
          <w:szCs w:val="28"/>
          <w:lang w:val="fr-CH"/>
        </w:rPr>
      </w:pPr>
      <w:r w:rsidRPr="00A513DE">
        <w:rPr>
          <w:rFonts w:asciiTheme="minorHAnsi" w:hAnsiTheme="minorHAnsi" w:cstheme="minorHAnsi"/>
          <w:b/>
          <w:bCs/>
          <w:noProof/>
          <w:sz w:val="28"/>
          <w:szCs w:val="28"/>
        </w:rPr>
        <mc:AlternateContent>
          <mc:Choice Requires="wps">
            <w:drawing>
              <wp:inline distT="0" distB="0" distL="0" distR="0" wp14:anchorId="25811330" wp14:editId="63C9E9F5">
                <wp:extent cx="5768340" cy="962025"/>
                <wp:effectExtent l="0" t="0" r="2286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962025"/>
                        </a:xfrm>
                        <a:prstGeom prst="rect">
                          <a:avLst/>
                        </a:prstGeom>
                        <a:solidFill>
                          <a:srgbClr val="FFFFFF"/>
                        </a:solidFill>
                        <a:ln w="9525">
                          <a:solidFill>
                            <a:srgbClr val="000000"/>
                          </a:solidFill>
                          <a:miter lim="800000"/>
                          <a:headEnd/>
                          <a:tailEnd/>
                        </a:ln>
                      </wps:spPr>
                      <wps:txbx>
                        <w:txbxContent>
                          <w:p w14:paraId="2409A187" w14:textId="7B29D9F9" w:rsidR="00812E45" w:rsidRPr="00A513DE" w:rsidRDefault="00812E45" w:rsidP="007F7F60">
                            <w:pPr>
                              <w:rPr>
                                <w:rFonts w:asciiTheme="minorHAnsi" w:hAnsiTheme="minorHAnsi" w:cstheme="minorHAnsi"/>
                                <w:b/>
                                <w:sz w:val="22"/>
                                <w:szCs w:val="22"/>
                                <w:lang w:val="fr-CH"/>
                              </w:rPr>
                            </w:pPr>
                            <w:r>
                              <w:rPr>
                                <w:rFonts w:asciiTheme="minorHAnsi" w:hAnsiTheme="minorHAnsi" w:cstheme="minorHAnsi"/>
                                <w:b/>
                                <w:sz w:val="22"/>
                                <w:szCs w:val="22"/>
                                <w:lang w:val="fr-CH"/>
                              </w:rPr>
                              <w:t>Mesure requise </w:t>
                            </w:r>
                            <w:r w:rsidRPr="00A513DE">
                              <w:rPr>
                                <w:rFonts w:asciiTheme="minorHAnsi" w:hAnsiTheme="minorHAnsi" w:cstheme="minorHAnsi"/>
                                <w:b/>
                                <w:sz w:val="22"/>
                                <w:szCs w:val="22"/>
                                <w:lang w:val="fr-CH"/>
                              </w:rPr>
                              <w:t>:</w:t>
                            </w:r>
                          </w:p>
                          <w:p w14:paraId="20867855" w14:textId="77777777" w:rsidR="00812E45" w:rsidRPr="00A513DE" w:rsidRDefault="00812E45" w:rsidP="000E637A">
                            <w:pPr>
                              <w:pStyle w:val="ColorfulList-Accent11"/>
                              <w:ind w:left="0"/>
                              <w:rPr>
                                <w:lang w:val="fr-CH"/>
                              </w:rPr>
                            </w:pPr>
                          </w:p>
                          <w:p w14:paraId="61C328DF" w14:textId="5C74E4B8" w:rsidR="00812E45" w:rsidRPr="00A513DE" w:rsidRDefault="00812E45" w:rsidP="000E637A">
                            <w:pPr>
                              <w:pStyle w:val="ColorfulList-Accent11"/>
                              <w:ind w:left="0" w:firstLine="0"/>
                              <w:rPr>
                                <w:rFonts w:asciiTheme="minorHAnsi" w:hAnsiTheme="minorHAnsi" w:cstheme="minorHAnsi"/>
                                <w:lang w:val="fr-CH"/>
                              </w:rPr>
                            </w:pPr>
                            <w:r>
                              <w:rPr>
                                <w:lang w:val="fr-CH"/>
                              </w:rPr>
                              <w:t>Le Comité permanent est invité à prendre note des incidences administratives et financières prévues des projets de résolutions soumis à la 59</w:t>
                            </w:r>
                            <w:r w:rsidRPr="00A513DE">
                              <w:rPr>
                                <w:vertAlign w:val="superscript"/>
                                <w:lang w:val="fr-CH"/>
                              </w:rPr>
                              <w:t>e</w:t>
                            </w:r>
                            <w:r>
                              <w:rPr>
                                <w:lang w:val="fr-CH"/>
                              </w:rPr>
                              <w:t>/2022 Réunion du Comité permanent pour examen.</w:t>
                            </w:r>
                          </w:p>
                          <w:p w14:paraId="1703E49B" w14:textId="77777777" w:rsidR="00812E45" w:rsidRPr="002F2051" w:rsidRDefault="00812E45">
                            <w:pPr>
                              <w:rPr>
                                <w:rFonts w:asciiTheme="minorHAnsi" w:hAnsiTheme="minorHAnsi" w:cstheme="minorHAnsi"/>
                                <w:lang w:val="fr-FR"/>
                              </w:rPr>
                            </w:pPr>
                          </w:p>
                        </w:txbxContent>
                      </wps:txbx>
                      <wps:bodyPr rot="0" vert="horz" wrap="square" lIns="91440" tIns="45720" rIns="91440" bIns="45720" anchor="t" anchorCtr="0">
                        <a:noAutofit/>
                      </wps:bodyPr>
                    </wps:wsp>
                  </a:graphicData>
                </a:graphic>
              </wp:inline>
            </w:drawing>
          </mc:Choice>
          <mc:Fallback>
            <w:pict>
              <v:shapetype w14:anchorId="25811330" id="_x0000_t202" coordsize="21600,21600" o:spt="202" path="m,l,21600r21600,l21600,xe">
                <v:stroke joinstyle="miter"/>
                <v:path gradientshapeok="t" o:connecttype="rect"/>
              </v:shapetype>
              <v:shape id="Text Box 2" o:spid="_x0000_s1026" type="#_x0000_t202" style="width:454.2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">
                <v:textbox>
                  <w:txbxContent>
                    <w:p w14:paraId="2409A187" w14:textId="7B29D9F9" w:rsidR="00812E45" w:rsidRPr="00A513DE" w:rsidRDefault="00812E45" w:rsidP="007F7F60">
                      <w:pPr>
                        <w:rPr>
                          <w:rFonts w:asciiTheme="minorHAnsi" w:hAnsiTheme="minorHAnsi" w:cstheme="minorHAnsi"/>
                          <w:b/>
                          <w:sz w:val="22"/>
                          <w:szCs w:val="22"/>
                          <w:lang w:val="fr-CH"/>
                        </w:rPr>
                      </w:pPr>
                      <w:r>
                        <w:rPr>
                          <w:rFonts w:asciiTheme="minorHAnsi" w:hAnsiTheme="minorHAnsi" w:cstheme="minorHAnsi"/>
                          <w:b/>
                          <w:sz w:val="22"/>
                          <w:szCs w:val="22"/>
                          <w:lang w:val="fr-CH"/>
                        </w:rPr>
                        <w:t>Mesure requise </w:t>
                      </w:r>
                      <w:r w:rsidRPr="00A513DE">
                        <w:rPr>
                          <w:rFonts w:asciiTheme="minorHAnsi" w:hAnsiTheme="minorHAnsi" w:cstheme="minorHAnsi"/>
                          <w:b/>
                          <w:sz w:val="22"/>
                          <w:szCs w:val="22"/>
                          <w:lang w:val="fr-CH"/>
                        </w:rPr>
                        <w:t>:</w:t>
                      </w:r>
                    </w:p>
                    <w:p w14:paraId="20867855" w14:textId="77777777" w:rsidR="00812E45" w:rsidRPr="00A513DE" w:rsidRDefault="00812E45" w:rsidP="000E637A">
                      <w:pPr>
                        <w:pStyle w:val="ColorfulList-Accent11"/>
                        <w:ind w:left="0"/>
                        <w:rPr>
                          <w:lang w:val="fr-CH"/>
                        </w:rPr>
                      </w:pPr>
                    </w:p>
                    <w:p w14:paraId="61C328DF" w14:textId="5C74E4B8" w:rsidR="00812E45" w:rsidRPr="00A513DE" w:rsidRDefault="00812E45" w:rsidP="000E637A">
                      <w:pPr>
                        <w:pStyle w:val="ColorfulList-Accent11"/>
                        <w:ind w:left="0" w:firstLine="0"/>
                        <w:rPr>
                          <w:rFonts w:asciiTheme="minorHAnsi" w:hAnsiTheme="minorHAnsi" w:cstheme="minorHAnsi"/>
                          <w:lang w:val="fr-CH"/>
                        </w:rPr>
                      </w:pPr>
                      <w:r>
                        <w:rPr>
                          <w:lang w:val="fr-CH"/>
                        </w:rPr>
                        <w:t>Le Comité permanent est invité à prendre note des incidences administratives et financières prévues des projets de résolutions soumis à la 59</w:t>
                      </w:r>
                      <w:r w:rsidRPr="00A513DE">
                        <w:rPr>
                          <w:vertAlign w:val="superscript"/>
                          <w:lang w:val="fr-CH"/>
                        </w:rPr>
                        <w:t>e</w:t>
                      </w:r>
                      <w:r>
                        <w:rPr>
                          <w:lang w:val="fr-CH"/>
                        </w:rPr>
                        <w:t>/2022 Réunion du Comité permanent pour examen.</w:t>
                      </w:r>
                    </w:p>
                    <w:p w14:paraId="1703E49B" w14:textId="77777777" w:rsidR="00812E45" w:rsidRPr="002F2051" w:rsidRDefault="00812E45">
                      <w:pPr>
                        <w:rPr>
                          <w:rFonts w:asciiTheme="minorHAnsi" w:hAnsiTheme="minorHAnsi" w:cstheme="minorHAnsi"/>
                          <w:lang w:val="fr-FR"/>
                        </w:rPr>
                      </w:pPr>
                    </w:p>
                  </w:txbxContent>
                </v:textbox>
                <w10:anchorlock/>
              </v:shape>
            </w:pict>
          </mc:Fallback>
        </mc:AlternateContent>
      </w:r>
    </w:p>
    <w:p w14:paraId="24398D3C" w14:textId="77777777" w:rsidR="006058B3" w:rsidRPr="00A513DE" w:rsidRDefault="006058B3" w:rsidP="00A451D1">
      <w:pPr>
        <w:widowControl w:val="0"/>
        <w:jc w:val="left"/>
        <w:rPr>
          <w:rFonts w:asciiTheme="minorHAnsi" w:hAnsiTheme="minorHAnsi" w:cstheme="minorHAnsi"/>
          <w:b/>
          <w:bCs/>
          <w:sz w:val="22"/>
          <w:szCs w:val="22"/>
          <w:lang w:val="fr-CH"/>
        </w:rPr>
      </w:pPr>
    </w:p>
    <w:p w14:paraId="4EEC0818" w14:textId="77777777" w:rsidR="006058B3" w:rsidRPr="00A513DE" w:rsidRDefault="006058B3" w:rsidP="00A451D1">
      <w:pPr>
        <w:widowControl w:val="0"/>
        <w:jc w:val="left"/>
        <w:rPr>
          <w:rFonts w:asciiTheme="minorHAnsi" w:hAnsiTheme="minorHAnsi" w:cstheme="minorHAnsi"/>
          <w:b/>
          <w:bCs/>
          <w:sz w:val="22"/>
          <w:szCs w:val="22"/>
          <w:lang w:val="fr-CH"/>
        </w:rPr>
      </w:pPr>
    </w:p>
    <w:p w14:paraId="4FFF5DA1" w14:textId="22246F29" w:rsidR="00773024" w:rsidRPr="00A513DE" w:rsidRDefault="00FD7B00" w:rsidP="00A451D1">
      <w:pPr>
        <w:widowControl w:val="0"/>
        <w:ind w:left="425" w:hanging="425"/>
        <w:jc w:val="left"/>
        <w:rPr>
          <w:rFonts w:asciiTheme="minorHAnsi" w:hAnsiTheme="minorHAnsi" w:cstheme="minorHAnsi"/>
          <w:b/>
          <w:bCs/>
          <w:sz w:val="22"/>
          <w:szCs w:val="22"/>
          <w:lang w:val="fr-CH"/>
        </w:rPr>
      </w:pPr>
      <w:r w:rsidRPr="00A513DE">
        <w:rPr>
          <w:rFonts w:asciiTheme="minorHAnsi" w:hAnsiTheme="minorHAnsi" w:cstheme="minorHAnsi"/>
          <w:b/>
          <w:bCs/>
          <w:sz w:val="22"/>
          <w:szCs w:val="22"/>
          <w:lang w:val="fr-CH"/>
        </w:rPr>
        <w:t>Contexte</w:t>
      </w:r>
    </w:p>
    <w:p w14:paraId="12B7CC52" w14:textId="77777777" w:rsidR="00C32315" w:rsidRPr="00A513DE" w:rsidRDefault="00C32315" w:rsidP="00A451D1">
      <w:pPr>
        <w:widowControl w:val="0"/>
        <w:ind w:left="0" w:firstLine="0"/>
        <w:jc w:val="left"/>
        <w:rPr>
          <w:rFonts w:asciiTheme="minorHAnsi" w:hAnsiTheme="minorHAnsi" w:cstheme="minorHAnsi"/>
          <w:sz w:val="22"/>
          <w:szCs w:val="22"/>
          <w:lang w:val="fr-CH"/>
        </w:rPr>
      </w:pPr>
    </w:p>
    <w:p w14:paraId="30262FAB" w14:textId="32888A0F" w:rsidR="00027DBC" w:rsidRPr="00A513DE" w:rsidRDefault="003501A9" w:rsidP="00A451D1">
      <w:pPr>
        <w:widowControl w:val="0"/>
        <w:ind w:left="425" w:hanging="425"/>
        <w:jc w:val="left"/>
        <w:rPr>
          <w:rFonts w:asciiTheme="minorHAnsi" w:hAnsiTheme="minorHAnsi" w:cstheme="minorHAnsi"/>
          <w:bCs/>
          <w:sz w:val="22"/>
          <w:szCs w:val="22"/>
          <w:lang w:val="fr-CH"/>
        </w:rPr>
      </w:pPr>
      <w:r w:rsidRPr="00A513DE">
        <w:rPr>
          <w:rFonts w:asciiTheme="minorHAnsi" w:hAnsiTheme="minorHAnsi" w:cstheme="minorHAnsi"/>
          <w:bCs/>
          <w:sz w:val="22"/>
          <w:szCs w:val="22"/>
          <w:lang w:val="fr-CH"/>
        </w:rPr>
        <w:t>1</w:t>
      </w:r>
      <w:r w:rsidR="006058B3" w:rsidRPr="00A513DE">
        <w:rPr>
          <w:rFonts w:asciiTheme="minorHAnsi" w:hAnsiTheme="minorHAnsi" w:cstheme="minorHAnsi"/>
          <w:bCs/>
          <w:sz w:val="22"/>
          <w:szCs w:val="22"/>
          <w:lang w:val="fr-CH"/>
        </w:rPr>
        <w:t>.</w:t>
      </w:r>
      <w:r w:rsidR="006058B3" w:rsidRPr="00A513DE">
        <w:rPr>
          <w:rFonts w:asciiTheme="minorHAnsi" w:hAnsiTheme="minorHAnsi" w:cstheme="minorHAnsi"/>
          <w:bCs/>
          <w:sz w:val="22"/>
          <w:szCs w:val="22"/>
          <w:lang w:val="fr-CH"/>
        </w:rPr>
        <w:tab/>
      </w:r>
      <w:r w:rsidR="00FD7B00" w:rsidRPr="00A513DE">
        <w:rPr>
          <w:rFonts w:asciiTheme="minorHAnsi" w:hAnsiTheme="minorHAnsi" w:cstheme="minorHAnsi"/>
          <w:sz w:val="22"/>
          <w:szCs w:val="22"/>
          <w:lang w:val="fr-CH"/>
        </w:rPr>
        <w:t>L’article</w:t>
      </w:r>
      <w:r w:rsidR="00BD2193" w:rsidRPr="00A513DE">
        <w:rPr>
          <w:rFonts w:asciiTheme="minorHAnsi" w:hAnsiTheme="minorHAnsi" w:cstheme="minorHAnsi"/>
          <w:sz w:val="22"/>
          <w:szCs w:val="22"/>
          <w:lang w:val="fr-CH"/>
        </w:rPr>
        <w:t xml:space="preserve"> 14 </w:t>
      </w:r>
      <w:r w:rsidR="00FD7B00" w:rsidRPr="00A513DE">
        <w:rPr>
          <w:rFonts w:asciiTheme="minorHAnsi" w:hAnsiTheme="minorHAnsi" w:cstheme="minorHAnsi"/>
          <w:sz w:val="22"/>
          <w:szCs w:val="22"/>
          <w:lang w:val="fr-CH"/>
        </w:rPr>
        <w:t xml:space="preserve">du Règlement intérieur de la </w:t>
      </w:r>
      <w:r w:rsidR="00BD2193" w:rsidRPr="00A513DE">
        <w:rPr>
          <w:rFonts w:asciiTheme="minorHAnsi" w:hAnsiTheme="minorHAnsi" w:cstheme="minorHAnsi"/>
          <w:sz w:val="22"/>
          <w:szCs w:val="22"/>
          <w:lang w:val="fr-CH"/>
        </w:rPr>
        <w:t xml:space="preserve">Convention </w:t>
      </w:r>
      <w:r w:rsidR="00FD7B00" w:rsidRPr="00A513DE">
        <w:rPr>
          <w:rFonts w:asciiTheme="minorHAnsi" w:hAnsiTheme="minorHAnsi" w:cstheme="minorHAnsi"/>
          <w:sz w:val="22"/>
          <w:szCs w:val="22"/>
          <w:lang w:val="fr-CH"/>
        </w:rPr>
        <w:t>sur les zones humides stipule que</w:t>
      </w:r>
      <w:r w:rsidR="00BD2193" w:rsidRPr="00A513DE">
        <w:rPr>
          <w:rFonts w:asciiTheme="minorHAnsi" w:hAnsiTheme="minorHAnsi" w:cstheme="minorHAnsi"/>
          <w:sz w:val="22"/>
          <w:szCs w:val="22"/>
          <w:lang w:val="fr-CH"/>
        </w:rPr>
        <w:t xml:space="preserve"> </w:t>
      </w:r>
      <w:r w:rsidR="00FD7B00" w:rsidRPr="00A513DE">
        <w:rPr>
          <w:rFonts w:asciiTheme="minorHAnsi" w:hAnsiTheme="minorHAnsi" w:cstheme="minorHAnsi"/>
          <w:sz w:val="22"/>
          <w:szCs w:val="22"/>
          <w:lang w:val="fr-CH"/>
        </w:rPr>
        <w:t>le Secrétariat fait rapport, dans un délai de 24 heures après l’ouverture de la session de la Conférence des Parties sur les incidences administratives et financières prévues de toutes les questions de fond inscrites à l’ordre du jour de la session avant que ces questions ne soient examinées par la Conférence des Parties</w:t>
      </w:r>
      <w:r w:rsidR="00B64C7E" w:rsidRPr="00A513DE">
        <w:rPr>
          <w:rFonts w:asciiTheme="minorHAnsi" w:hAnsiTheme="minorHAnsi" w:cstheme="minorHAnsi"/>
          <w:sz w:val="22"/>
          <w:szCs w:val="22"/>
          <w:lang w:val="fr-CH"/>
        </w:rPr>
        <w:t>.</w:t>
      </w:r>
    </w:p>
    <w:p w14:paraId="43FF90B5" w14:textId="77777777" w:rsidR="00027DBC" w:rsidRPr="00A513DE" w:rsidRDefault="00027DBC" w:rsidP="00A451D1">
      <w:pPr>
        <w:widowControl w:val="0"/>
        <w:ind w:left="425" w:hanging="425"/>
        <w:jc w:val="left"/>
        <w:rPr>
          <w:rFonts w:asciiTheme="minorHAnsi" w:hAnsiTheme="minorHAnsi" w:cstheme="minorHAnsi"/>
          <w:bCs/>
          <w:sz w:val="22"/>
          <w:szCs w:val="22"/>
          <w:lang w:val="fr-CH"/>
        </w:rPr>
      </w:pPr>
    </w:p>
    <w:p w14:paraId="3E5F4493" w14:textId="4DFCBE03" w:rsidR="00C41747" w:rsidRPr="00A513DE" w:rsidRDefault="00027DBC" w:rsidP="00A451D1">
      <w:pPr>
        <w:widowControl w:val="0"/>
        <w:ind w:left="425" w:hanging="425"/>
        <w:jc w:val="left"/>
        <w:rPr>
          <w:rFonts w:asciiTheme="minorHAnsi" w:hAnsiTheme="minorHAnsi" w:cstheme="minorHAnsi"/>
          <w:sz w:val="22"/>
          <w:szCs w:val="22"/>
          <w:lang w:val="fr-CH"/>
        </w:rPr>
      </w:pPr>
      <w:r w:rsidRPr="00A513DE">
        <w:rPr>
          <w:rFonts w:asciiTheme="minorHAnsi" w:hAnsiTheme="minorHAnsi" w:cstheme="minorHAnsi"/>
          <w:bCs/>
          <w:sz w:val="22"/>
          <w:szCs w:val="22"/>
          <w:lang w:val="fr-CH"/>
        </w:rPr>
        <w:t xml:space="preserve">2. </w:t>
      </w:r>
      <w:r w:rsidRPr="00A513DE">
        <w:rPr>
          <w:rFonts w:asciiTheme="minorHAnsi" w:hAnsiTheme="minorHAnsi" w:cstheme="minorHAnsi"/>
          <w:bCs/>
          <w:sz w:val="22"/>
          <w:szCs w:val="22"/>
          <w:lang w:val="fr-CH"/>
        </w:rPr>
        <w:tab/>
      </w:r>
      <w:r w:rsidR="00FD7B00" w:rsidRPr="00A513DE">
        <w:rPr>
          <w:rFonts w:asciiTheme="minorHAnsi" w:hAnsiTheme="minorHAnsi" w:cstheme="minorHAnsi"/>
          <w:bCs/>
          <w:sz w:val="22"/>
          <w:szCs w:val="22"/>
          <w:lang w:val="fr-CH"/>
        </w:rPr>
        <w:t>Comme le</w:t>
      </w:r>
      <w:r w:rsidR="00BD2193" w:rsidRPr="00A513DE">
        <w:rPr>
          <w:rFonts w:asciiTheme="minorHAnsi" w:hAnsiTheme="minorHAnsi" w:cstheme="minorHAnsi"/>
          <w:bCs/>
          <w:sz w:val="22"/>
          <w:szCs w:val="22"/>
          <w:lang w:val="fr-CH"/>
        </w:rPr>
        <w:t xml:space="preserve"> </w:t>
      </w:r>
      <w:r w:rsidR="00FD7B00" w:rsidRPr="00A513DE">
        <w:rPr>
          <w:rFonts w:asciiTheme="minorHAnsi" w:hAnsiTheme="minorHAnsi" w:cstheme="minorHAnsi"/>
          <w:sz w:val="22"/>
          <w:szCs w:val="22"/>
          <w:lang w:val="fr-CH"/>
        </w:rPr>
        <w:t>Règlement intérieur s’applique</w:t>
      </w:r>
      <w:r w:rsidR="00BD2193" w:rsidRPr="00A513DE">
        <w:rPr>
          <w:rFonts w:asciiTheme="minorHAnsi" w:hAnsiTheme="minorHAnsi" w:cstheme="minorHAnsi"/>
          <w:bCs/>
          <w:sz w:val="22"/>
          <w:szCs w:val="22"/>
          <w:lang w:val="fr-CH"/>
        </w:rPr>
        <w:t xml:space="preserve"> </w:t>
      </w:r>
      <w:r w:rsidR="00BD2193" w:rsidRPr="00A513DE">
        <w:rPr>
          <w:rFonts w:asciiTheme="minorHAnsi" w:hAnsiTheme="minorHAnsi" w:cstheme="minorHAnsi"/>
          <w:bCs/>
          <w:i/>
          <w:sz w:val="22"/>
          <w:szCs w:val="22"/>
          <w:lang w:val="fr-CH"/>
        </w:rPr>
        <w:t>mutatis mutandis</w:t>
      </w:r>
      <w:r w:rsidR="00B17F01" w:rsidRPr="00A513DE">
        <w:rPr>
          <w:rFonts w:asciiTheme="minorHAnsi" w:hAnsiTheme="minorHAnsi" w:cstheme="minorHAnsi"/>
          <w:bCs/>
          <w:sz w:val="22"/>
          <w:szCs w:val="22"/>
          <w:lang w:val="fr-CH"/>
        </w:rPr>
        <w:t xml:space="preserve"> </w:t>
      </w:r>
      <w:r w:rsidR="00FD7B00" w:rsidRPr="00A513DE">
        <w:rPr>
          <w:rFonts w:asciiTheme="minorHAnsi" w:hAnsiTheme="minorHAnsi" w:cstheme="minorHAnsi"/>
          <w:bCs/>
          <w:sz w:val="22"/>
          <w:szCs w:val="22"/>
          <w:lang w:val="fr-CH"/>
        </w:rPr>
        <w:t>aux réunions du Comité permanent</w:t>
      </w:r>
      <w:r w:rsidR="00B17F01" w:rsidRPr="00A513DE">
        <w:rPr>
          <w:rFonts w:asciiTheme="minorHAnsi" w:hAnsiTheme="minorHAnsi" w:cstheme="minorHAnsi"/>
          <w:bCs/>
          <w:sz w:val="22"/>
          <w:szCs w:val="22"/>
          <w:lang w:val="fr-CH"/>
        </w:rPr>
        <w:t xml:space="preserve">, </w:t>
      </w:r>
      <w:r w:rsidR="00FD7B00" w:rsidRPr="00A513DE">
        <w:rPr>
          <w:rFonts w:asciiTheme="minorHAnsi" w:hAnsiTheme="minorHAnsi" w:cstheme="minorHAnsi"/>
          <w:bCs/>
          <w:sz w:val="22"/>
          <w:szCs w:val="22"/>
          <w:lang w:val="fr-CH"/>
        </w:rPr>
        <w:t>le</w:t>
      </w:r>
      <w:r w:rsidR="00B17F01" w:rsidRPr="00A513DE">
        <w:rPr>
          <w:rFonts w:asciiTheme="minorHAnsi" w:hAnsiTheme="minorHAnsi" w:cstheme="minorHAnsi"/>
          <w:bCs/>
          <w:sz w:val="22"/>
          <w:szCs w:val="22"/>
          <w:lang w:val="fr-CH"/>
        </w:rPr>
        <w:t xml:space="preserve"> Secr</w:t>
      </w:r>
      <w:r w:rsidR="00FD7B00" w:rsidRPr="00A513DE">
        <w:rPr>
          <w:rFonts w:asciiTheme="minorHAnsi" w:hAnsiTheme="minorHAnsi" w:cstheme="minorHAnsi"/>
          <w:bCs/>
          <w:sz w:val="22"/>
          <w:szCs w:val="22"/>
          <w:lang w:val="fr-CH"/>
        </w:rPr>
        <w:t>é</w:t>
      </w:r>
      <w:r w:rsidR="00B17F01" w:rsidRPr="00A513DE">
        <w:rPr>
          <w:rFonts w:asciiTheme="minorHAnsi" w:hAnsiTheme="minorHAnsi" w:cstheme="minorHAnsi"/>
          <w:bCs/>
          <w:sz w:val="22"/>
          <w:szCs w:val="22"/>
          <w:lang w:val="fr-CH"/>
        </w:rPr>
        <w:t xml:space="preserve">tariat </w:t>
      </w:r>
      <w:r w:rsidR="00FD7B00" w:rsidRPr="00A513DE">
        <w:rPr>
          <w:rFonts w:asciiTheme="minorHAnsi" w:hAnsiTheme="minorHAnsi" w:cstheme="minorHAnsi"/>
          <w:bCs/>
          <w:sz w:val="22"/>
          <w:szCs w:val="22"/>
          <w:lang w:val="fr-CH"/>
        </w:rPr>
        <w:t>a</w:t>
      </w:r>
      <w:r w:rsidR="00B17F01" w:rsidRPr="00A513DE">
        <w:rPr>
          <w:rFonts w:asciiTheme="minorHAnsi" w:hAnsiTheme="minorHAnsi" w:cstheme="minorHAnsi"/>
          <w:bCs/>
          <w:sz w:val="22"/>
          <w:szCs w:val="22"/>
          <w:lang w:val="fr-CH"/>
        </w:rPr>
        <w:t xml:space="preserve"> pr</w:t>
      </w:r>
      <w:r w:rsidR="00FD7B00" w:rsidRPr="00A513DE">
        <w:rPr>
          <w:rFonts w:asciiTheme="minorHAnsi" w:hAnsiTheme="minorHAnsi" w:cstheme="minorHAnsi"/>
          <w:bCs/>
          <w:sz w:val="22"/>
          <w:szCs w:val="22"/>
          <w:lang w:val="fr-CH"/>
        </w:rPr>
        <w:t>é</w:t>
      </w:r>
      <w:r w:rsidR="00B17F01" w:rsidRPr="00A513DE">
        <w:rPr>
          <w:rFonts w:asciiTheme="minorHAnsi" w:hAnsiTheme="minorHAnsi" w:cstheme="minorHAnsi"/>
          <w:bCs/>
          <w:sz w:val="22"/>
          <w:szCs w:val="22"/>
          <w:lang w:val="fr-CH"/>
        </w:rPr>
        <w:t>par</w:t>
      </w:r>
      <w:r w:rsidR="00FD7B00" w:rsidRPr="00A513DE">
        <w:rPr>
          <w:rFonts w:asciiTheme="minorHAnsi" w:hAnsiTheme="minorHAnsi" w:cstheme="minorHAnsi"/>
          <w:bCs/>
          <w:sz w:val="22"/>
          <w:szCs w:val="22"/>
          <w:lang w:val="fr-CH"/>
        </w:rPr>
        <w:t>é</w:t>
      </w:r>
      <w:r w:rsidR="00B17F01" w:rsidRPr="00A513DE">
        <w:rPr>
          <w:rFonts w:asciiTheme="minorHAnsi" w:hAnsiTheme="minorHAnsi" w:cstheme="minorHAnsi"/>
          <w:bCs/>
          <w:sz w:val="22"/>
          <w:szCs w:val="22"/>
          <w:lang w:val="fr-CH"/>
        </w:rPr>
        <w:t xml:space="preserve"> </w:t>
      </w:r>
      <w:r w:rsidR="00FD7B00" w:rsidRPr="00A513DE">
        <w:rPr>
          <w:rFonts w:asciiTheme="minorHAnsi" w:hAnsiTheme="minorHAnsi" w:cstheme="minorHAnsi"/>
          <w:bCs/>
          <w:sz w:val="22"/>
          <w:szCs w:val="22"/>
          <w:lang w:val="fr-CH"/>
        </w:rPr>
        <w:t xml:space="preserve">le tableau 1 ci-dessous </w:t>
      </w:r>
      <w:r w:rsidR="00A513DE">
        <w:rPr>
          <w:rFonts w:asciiTheme="minorHAnsi" w:hAnsiTheme="minorHAnsi" w:cstheme="minorHAnsi"/>
          <w:bCs/>
          <w:sz w:val="22"/>
          <w:szCs w:val="22"/>
          <w:lang w:val="fr-CH"/>
        </w:rPr>
        <w:t>qui détermine les incidences administratives et financières préliminaires prévues des projets de résolutions soumis à la 59</w:t>
      </w:r>
      <w:r w:rsidR="00A513DE" w:rsidRPr="00A513DE">
        <w:rPr>
          <w:rFonts w:asciiTheme="minorHAnsi" w:hAnsiTheme="minorHAnsi" w:cstheme="minorHAnsi"/>
          <w:bCs/>
          <w:sz w:val="22"/>
          <w:szCs w:val="22"/>
          <w:vertAlign w:val="superscript"/>
          <w:lang w:val="fr-CH"/>
        </w:rPr>
        <w:t>e</w:t>
      </w:r>
      <w:r w:rsidR="00A513DE">
        <w:rPr>
          <w:rFonts w:asciiTheme="minorHAnsi" w:hAnsiTheme="minorHAnsi" w:cstheme="minorHAnsi"/>
          <w:bCs/>
          <w:sz w:val="22"/>
          <w:szCs w:val="22"/>
          <w:lang w:val="fr-CH"/>
        </w:rPr>
        <w:t xml:space="preserve"> Réunion du Comité permanent pour examen par la COP14. Un rapport actualisé sur les incidences administratives et financières des projets de résolutions sera préparé par le Secrétariat pour la </w:t>
      </w:r>
      <w:r w:rsidR="00473C47" w:rsidRPr="00A513DE">
        <w:rPr>
          <w:rFonts w:asciiTheme="minorHAnsi" w:hAnsiTheme="minorHAnsi" w:cstheme="minorHAnsi"/>
          <w:sz w:val="22"/>
          <w:szCs w:val="22"/>
          <w:lang w:val="fr-CH"/>
        </w:rPr>
        <w:t>COP14.</w:t>
      </w:r>
    </w:p>
    <w:p w14:paraId="7F025D77" w14:textId="77777777" w:rsidR="002B429F" w:rsidRPr="00A513DE" w:rsidRDefault="002B429F" w:rsidP="00A451D1">
      <w:pPr>
        <w:widowControl w:val="0"/>
        <w:ind w:left="425" w:hanging="425"/>
        <w:jc w:val="left"/>
        <w:rPr>
          <w:rFonts w:asciiTheme="minorHAnsi" w:hAnsiTheme="minorHAnsi" w:cstheme="minorHAnsi"/>
          <w:sz w:val="22"/>
          <w:szCs w:val="22"/>
          <w:lang w:val="fr-CH"/>
        </w:rPr>
      </w:pPr>
    </w:p>
    <w:p w14:paraId="7908F4F2" w14:textId="70E78132" w:rsidR="002B429F" w:rsidRPr="00A513DE" w:rsidRDefault="002B429F" w:rsidP="00A451D1">
      <w:pPr>
        <w:widowControl w:val="0"/>
        <w:ind w:left="425" w:hanging="425"/>
        <w:jc w:val="left"/>
        <w:rPr>
          <w:rFonts w:asciiTheme="minorHAnsi" w:hAnsiTheme="minorHAnsi" w:cstheme="minorHAnsi"/>
          <w:bCs/>
          <w:sz w:val="22"/>
          <w:szCs w:val="22"/>
          <w:lang w:val="fr-CH"/>
        </w:rPr>
      </w:pPr>
      <w:r w:rsidRPr="00A513DE">
        <w:rPr>
          <w:rFonts w:asciiTheme="minorHAnsi" w:hAnsiTheme="minorHAnsi" w:cstheme="minorHAnsi"/>
          <w:bCs/>
          <w:sz w:val="22"/>
          <w:szCs w:val="22"/>
          <w:lang w:val="fr-CH"/>
        </w:rPr>
        <w:t>3.</w:t>
      </w:r>
      <w:r w:rsidRPr="00A513DE">
        <w:rPr>
          <w:rFonts w:asciiTheme="minorHAnsi" w:hAnsiTheme="minorHAnsi" w:cstheme="minorHAnsi"/>
          <w:bCs/>
          <w:sz w:val="22"/>
          <w:szCs w:val="22"/>
          <w:lang w:val="fr-CH"/>
        </w:rPr>
        <w:tab/>
      </w:r>
      <w:r w:rsidR="007A0101">
        <w:rPr>
          <w:rFonts w:asciiTheme="minorHAnsi" w:hAnsiTheme="minorHAnsi" w:cstheme="minorHAnsi"/>
          <w:bCs/>
          <w:sz w:val="22"/>
          <w:szCs w:val="22"/>
          <w:lang w:val="fr-CH"/>
        </w:rPr>
        <w:t>Les mesures proposées, compilées par le Secrétariat dans le tableau 1, sont reprises des projets de résolutions soumis par les Parties, les groupes de travail, les organes subsi</w:t>
      </w:r>
      <w:r w:rsidR="00C4222A">
        <w:rPr>
          <w:rFonts w:asciiTheme="minorHAnsi" w:hAnsiTheme="minorHAnsi" w:cstheme="minorHAnsi"/>
          <w:bCs/>
          <w:sz w:val="22"/>
          <w:szCs w:val="22"/>
          <w:lang w:val="fr-CH"/>
        </w:rPr>
        <w:t>diaires ou préparé</w:t>
      </w:r>
      <w:r w:rsidR="007A0101">
        <w:rPr>
          <w:rFonts w:asciiTheme="minorHAnsi" w:hAnsiTheme="minorHAnsi" w:cstheme="minorHAnsi"/>
          <w:bCs/>
          <w:sz w:val="22"/>
          <w:szCs w:val="22"/>
          <w:lang w:val="fr-CH"/>
        </w:rPr>
        <w:t xml:space="preserve">s par le Secrétariat. </w:t>
      </w:r>
      <w:r w:rsidR="003E5A59">
        <w:rPr>
          <w:rFonts w:asciiTheme="minorHAnsi" w:hAnsiTheme="minorHAnsi" w:cstheme="minorHAnsi"/>
          <w:bCs/>
          <w:sz w:val="22"/>
          <w:szCs w:val="22"/>
          <w:lang w:val="fr-CH"/>
        </w:rPr>
        <w:t>U</w:t>
      </w:r>
      <w:r w:rsidR="007A0101">
        <w:rPr>
          <w:rFonts w:asciiTheme="minorHAnsi" w:hAnsiTheme="minorHAnsi" w:cstheme="minorHAnsi"/>
          <w:bCs/>
          <w:sz w:val="22"/>
          <w:szCs w:val="22"/>
          <w:lang w:val="fr-CH"/>
        </w:rPr>
        <w:t xml:space="preserve">n astérisque (*) </w:t>
      </w:r>
      <w:r w:rsidR="003E5A59">
        <w:rPr>
          <w:rFonts w:asciiTheme="minorHAnsi" w:hAnsiTheme="minorHAnsi" w:cstheme="minorHAnsi"/>
          <w:bCs/>
          <w:sz w:val="22"/>
          <w:szCs w:val="22"/>
          <w:lang w:val="fr-CH"/>
        </w:rPr>
        <w:t>indique les</w:t>
      </w:r>
      <w:r w:rsidR="007A0101">
        <w:rPr>
          <w:rFonts w:asciiTheme="minorHAnsi" w:hAnsiTheme="minorHAnsi" w:cstheme="minorHAnsi"/>
          <w:bCs/>
          <w:sz w:val="22"/>
          <w:szCs w:val="22"/>
          <w:lang w:val="fr-CH"/>
        </w:rPr>
        <w:t xml:space="preserve"> incidences administratives et financières fournies par les auteurs et un double astérisque (**)</w:t>
      </w:r>
      <w:r w:rsidR="003E5A59">
        <w:rPr>
          <w:rFonts w:asciiTheme="minorHAnsi" w:hAnsiTheme="minorHAnsi" w:cstheme="minorHAnsi"/>
          <w:bCs/>
          <w:sz w:val="22"/>
          <w:szCs w:val="22"/>
          <w:lang w:val="fr-CH"/>
        </w:rPr>
        <w:t xml:space="preserve"> </w:t>
      </w:r>
      <w:r w:rsidR="007A0101">
        <w:rPr>
          <w:rFonts w:asciiTheme="minorHAnsi" w:hAnsiTheme="minorHAnsi" w:cstheme="minorHAnsi"/>
          <w:bCs/>
          <w:sz w:val="22"/>
          <w:szCs w:val="22"/>
          <w:lang w:val="fr-CH"/>
        </w:rPr>
        <w:t xml:space="preserve">les estimations fournies par le Secrétariat. Concernant les journées du personnel, l’information fournie dans le tableau </w:t>
      </w:r>
      <w:r w:rsidR="003E5A59">
        <w:rPr>
          <w:rFonts w:asciiTheme="minorHAnsi" w:hAnsiTheme="minorHAnsi" w:cstheme="minorHAnsi"/>
          <w:bCs/>
          <w:sz w:val="22"/>
          <w:szCs w:val="22"/>
          <w:lang w:val="fr-CH"/>
        </w:rPr>
        <w:t>concerne</w:t>
      </w:r>
      <w:r w:rsidR="007A0101">
        <w:rPr>
          <w:rFonts w:asciiTheme="minorHAnsi" w:hAnsiTheme="minorHAnsi" w:cstheme="minorHAnsi"/>
          <w:bCs/>
          <w:sz w:val="22"/>
          <w:szCs w:val="22"/>
          <w:lang w:val="fr-CH"/>
        </w:rPr>
        <w:t xml:space="preserve"> </w:t>
      </w:r>
      <w:r w:rsidR="003E5A59">
        <w:rPr>
          <w:rFonts w:asciiTheme="minorHAnsi" w:hAnsiTheme="minorHAnsi" w:cstheme="minorHAnsi"/>
          <w:bCs/>
          <w:sz w:val="22"/>
          <w:szCs w:val="22"/>
          <w:lang w:val="fr-CH"/>
        </w:rPr>
        <w:t>l</w:t>
      </w:r>
      <w:r w:rsidR="00C713BF">
        <w:rPr>
          <w:rFonts w:asciiTheme="minorHAnsi" w:hAnsiTheme="minorHAnsi" w:cstheme="minorHAnsi"/>
          <w:bCs/>
          <w:sz w:val="22"/>
          <w:szCs w:val="22"/>
          <w:lang w:val="fr-CH"/>
        </w:rPr>
        <w:t xml:space="preserve">es journées additionnelles </w:t>
      </w:r>
      <w:r w:rsidR="003E5A59">
        <w:rPr>
          <w:rFonts w:asciiTheme="minorHAnsi" w:hAnsiTheme="minorHAnsi" w:cstheme="minorHAnsi"/>
          <w:bCs/>
          <w:sz w:val="22"/>
          <w:szCs w:val="22"/>
          <w:lang w:val="fr-CH"/>
        </w:rPr>
        <w:t>du</w:t>
      </w:r>
      <w:r w:rsidR="00C713BF">
        <w:rPr>
          <w:rFonts w:asciiTheme="minorHAnsi" w:hAnsiTheme="minorHAnsi" w:cstheme="minorHAnsi"/>
          <w:bCs/>
          <w:sz w:val="22"/>
          <w:szCs w:val="22"/>
          <w:lang w:val="fr-CH"/>
        </w:rPr>
        <w:t xml:space="preserve"> personnel requises </w:t>
      </w:r>
      <w:r w:rsidR="003E5A59">
        <w:rPr>
          <w:rFonts w:asciiTheme="minorHAnsi" w:hAnsiTheme="minorHAnsi" w:cstheme="minorHAnsi"/>
          <w:bCs/>
          <w:sz w:val="22"/>
          <w:szCs w:val="22"/>
          <w:lang w:val="fr-CH"/>
        </w:rPr>
        <w:t>pour</w:t>
      </w:r>
      <w:r w:rsidR="00C713BF">
        <w:rPr>
          <w:rFonts w:asciiTheme="minorHAnsi" w:hAnsiTheme="minorHAnsi" w:cstheme="minorHAnsi"/>
          <w:bCs/>
          <w:sz w:val="22"/>
          <w:szCs w:val="22"/>
          <w:lang w:val="fr-CH"/>
        </w:rPr>
        <w:t xml:space="preserve"> mener à bien les activités et les tâches proposées. Les journées du personnel requises pour remplir les activités et charges déjà incluses dans les domaines de travail principaux</w:t>
      </w:r>
      <w:r w:rsidR="00735BED">
        <w:rPr>
          <w:rFonts w:asciiTheme="minorHAnsi" w:hAnsiTheme="minorHAnsi" w:cstheme="minorHAnsi"/>
          <w:bCs/>
          <w:sz w:val="22"/>
          <w:szCs w:val="22"/>
          <w:lang w:val="fr-CH"/>
        </w:rPr>
        <w:t xml:space="preserve"> </w:t>
      </w:r>
      <w:r w:rsidR="00C713BF">
        <w:rPr>
          <w:rFonts w:asciiTheme="minorHAnsi" w:hAnsiTheme="minorHAnsi" w:cstheme="minorHAnsi"/>
          <w:bCs/>
          <w:sz w:val="22"/>
          <w:szCs w:val="22"/>
          <w:lang w:val="fr-CH"/>
        </w:rPr>
        <w:t>du Secrétariat et dans son plan de travail ne figurent pas dans le tableau.</w:t>
      </w:r>
    </w:p>
    <w:p w14:paraId="02350DE4" w14:textId="0EE6F92A" w:rsidR="002B429F" w:rsidRPr="00A513DE" w:rsidRDefault="002B429F" w:rsidP="00A451D1">
      <w:pPr>
        <w:widowControl w:val="0"/>
        <w:ind w:left="425" w:hanging="425"/>
        <w:jc w:val="left"/>
        <w:rPr>
          <w:rFonts w:asciiTheme="minorHAnsi" w:hAnsiTheme="minorHAnsi" w:cstheme="minorHAnsi"/>
          <w:bCs/>
          <w:sz w:val="22"/>
          <w:szCs w:val="22"/>
          <w:lang w:val="fr-CH"/>
        </w:rPr>
      </w:pPr>
    </w:p>
    <w:p w14:paraId="570FC610" w14:textId="77777777" w:rsidR="002B429F" w:rsidRPr="00A513DE" w:rsidRDefault="002B429F" w:rsidP="00A451D1">
      <w:pPr>
        <w:widowControl w:val="0"/>
        <w:spacing w:after="160" w:line="259" w:lineRule="auto"/>
        <w:ind w:left="0" w:firstLine="0"/>
        <w:jc w:val="left"/>
        <w:rPr>
          <w:rFonts w:asciiTheme="minorHAnsi" w:hAnsiTheme="minorHAnsi" w:cstheme="minorHAnsi"/>
          <w:i/>
          <w:sz w:val="22"/>
          <w:szCs w:val="22"/>
          <w:lang w:val="fr-CH"/>
        </w:rPr>
      </w:pPr>
      <w:r w:rsidRPr="00A513DE">
        <w:rPr>
          <w:rFonts w:asciiTheme="minorHAnsi" w:hAnsiTheme="minorHAnsi" w:cstheme="minorHAnsi"/>
          <w:i/>
          <w:sz w:val="22"/>
          <w:szCs w:val="22"/>
          <w:lang w:val="fr-CH"/>
        </w:rPr>
        <w:br w:type="page"/>
      </w:r>
    </w:p>
    <w:p w14:paraId="4DF17515" w14:textId="6A852E8D" w:rsidR="002B429F" w:rsidRPr="00A513DE" w:rsidRDefault="002B429F" w:rsidP="00A451D1">
      <w:pPr>
        <w:widowControl w:val="0"/>
        <w:ind w:left="425" w:hanging="425"/>
        <w:jc w:val="left"/>
        <w:rPr>
          <w:rFonts w:asciiTheme="minorHAnsi" w:hAnsiTheme="minorHAnsi" w:cstheme="minorHAnsi"/>
          <w:bCs/>
          <w:sz w:val="22"/>
          <w:szCs w:val="22"/>
          <w:lang w:val="fr-CH"/>
        </w:rPr>
      </w:pPr>
      <w:r w:rsidRPr="00A513DE">
        <w:rPr>
          <w:rFonts w:asciiTheme="minorHAnsi" w:hAnsiTheme="minorHAnsi" w:cstheme="minorHAnsi"/>
          <w:i/>
          <w:sz w:val="22"/>
          <w:szCs w:val="22"/>
          <w:lang w:val="fr-CH"/>
        </w:rPr>
        <w:lastRenderedPageBreak/>
        <w:t>Table</w:t>
      </w:r>
      <w:r w:rsidR="00C713BF">
        <w:rPr>
          <w:rFonts w:asciiTheme="minorHAnsi" w:hAnsiTheme="minorHAnsi" w:cstheme="minorHAnsi"/>
          <w:i/>
          <w:sz w:val="22"/>
          <w:szCs w:val="22"/>
          <w:lang w:val="fr-CH"/>
        </w:rPr>
        <w:t>au</w:t>
      </w:r>
      <w:r w:rsidRPr="00A513DE">
        <w:rPr>
          <w:rFonts w:asciiTheme="minorHAnsi" w:hAnsiTheme="minorHAnsi" w:cstheme="minorHAnsi"/>
          <w:i/>
          <w:sz w:val="22"/>
          <w:szCs w:val="22"/>
          <w:lang w:val="fr-CH"/>
        </w:rPr>
        <w:t xml:space="preserve"> 1</w:t>
      </w:r>
      <w:r w:rsidR="00C713BF">
        <w:rPr>
          <w:rFonts w:asciiTheme="minorHAnsi" w:hAnsiTheme="minorHAnsi" w:cstheme="minorHAnsi"/>
          <w:i/>
          <w:sz w:val="22"/>
          <w:szCs w:val="22"/>
          <w:lang w:val="fr-CH"/>
        </w:rPr>
        <w:t xml:space="preserve"> : Incidences administratives et financières prévues des projets de résolutions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35"/>
        <w:gridCol w:w="1904"/>
        <w:gridCol w:w="3119"/>
        <w:gridCol w:w="1417"/>
        <w:gridCol w:w="1781"/>
      </w:tblGrid>
      <w:tr w:rsidR="00772E80" w:rsidRPr="00A513DE" w14:paraId="713C34C8" w14:textId="77777777" w:rsidTr="002F2051">
        <w:trPr>
          <w:cantSplit/>
          <w:tblHeader/>
        </w:trPr>
        <w:tc>
          <w:tcPr>
            <w:tcW w:w="1135" w:type="dxa"/>
            <w:shd w:val="clear" w:color="auto" w:fill="D9D9D9" w:themeFill="background1" w:themeFillShade="D9"/>
            <w:noWrap/>
            <w:vAlign w:val="center"/>
          </w:tcPr>
          <w:p w14:paraId="4EFDD6A2" w14:textId="77777777" w:rsidR="00A451D1" w:rsidRPr="00A513DE" w:rsidRDefault="00A451D1" w:rsidP="00812E45">
            <w:pPr>
              <w:widowControl w:val="0"/>
              <w:ind w:left="0" w:firstLine="0"/>
              <w:jc w:val="center"/>
              <w:rPr>
                <w:rFonts w:asciiTheme="minorHAnsi" w:hAnsiTheme="minorHAnsi" w:cstheme="minorHAnsi"/>
                <w:b/>
                <w:bCs/>
                <w:color w:val="000000"/>
                <w:sz w:val="22"/>
                <w:szCs w:val="22"/>
                <w:lang w:val="fr-CH"/>
              </w:rPr>
            </w:pPr>
            <w:r w:rsidRPr="00A513DE">
              <w:rPr>
                <w:rFonts w:asciiTheme="minorHAnsi" w:hAnsiTheme="minorHAnsi" w:cstheme="minorHAnsi"/>
                <w:b/>
                <w:bCs/>
                <w:color w:val="000000"/>
                <w:sz w:val="22"/>
                <w:szCs w:val="22"/>
                <w:lang w:val="fr-CH"/>
              </w:rPr>
              <w:t>Document</w:t>
            </w:r>
          </w:p>
        </w:tc>
        <w:tc>
          <w:tcPr>
            <w:tcW w:w="1904" w:type="dxa"/>
            <w:shd w:val="clear" w:color="auto" w:fill="D9D9D9" w:themeFill="background1" w:themeFillShade="D9"/>
            <w:noWrap/>
            <w:vAlign w:val="center"/>
          </w:tcPr>
          <w:p w14:paraId="7B1FF384" w14:textId="7BE4B499" w:rsidR="00A451D1" w:rsidRPr="00A513DE" w:rsidRDefault="00C713BF" w:rsidP="00C713BF">
            <w:pPr>
              <w:widowControl w:val="0"/>
              <w:ind w:left="0" w:firstLine="0"/>
              <w:jc w:val="center"/>
              <w:rPr>
                <w:rFonts w:asciiTheme="minorHAnsi" w:hAnsiTheme="minorHAnsi" w:cstheme="minorHAnsi"/>
                <w:b/>
                <w:bCs/>
                <w:color w:val="000000"/>
                <w:sz w:val="22"/>
                <w:szCs w:val="22"/>
                <w:lang w:val="fr-CH"/>
              </w:rPr>
            </w:pPr>
            <w:r>
              <w:rPr>
                <w:rFonts w:asciiTheme="minorHAnsi" w:hAnsiTheme="minorHAnsi" w:cstheme="minorHAnsi"/>
                <w:b/>
                <w:bCs/>
                <w:color w:val="000000"/>
                <w:sz w:val="22"/>
                <w:szCs w:val="22"/>
                <w:lang w:val="fr-CH"/>
              </w:rPr>
              <w:t>Projet de résolution (PR)</w:t>
            </w:r>
          </w:p>
        </w:tc>
        <w:tc>
          <w:tcPr>
            <w:tcW w:w="3119" w:type="dxa"/>
            <w:shd w:val="clear" w:color="auto" w:fill="D9D9D9" w:themeFill="background1" w:themeFillShade="D9"/>
            <w:vAlign w:val="center"/>
          </w:tcPr>
          <w:p w14:paraId="13CE1A06" w14:textId="53159DB2" w:rsidR="00A451D1" w:rsidRPr="00A513DE" w:rsidRDefault="00C713BF" w:rsidP="00C713BF">
            <w:pPr>
              <w:widowControl w:val="0"/>
              <w:ind w:left="0" w:firstLine="0"/>
              <w:jc w:val="center"/>
              <w:rPr>
                <w:rFonts w:asciiTheme="minorHAnsi" w:hAnsiTheme="minorHAnsi" w:cstheme="minorHAnsi"/>
                <w:b/>
                <w:bCs/>
                <w:color w:val="000000"/>
                <w:sz w:val="22"/>
                <w:szCs w:val="22"/>
                <w:lang w:val="fr-CH"/>
              </w:rPr>
            </w:pPr>
            <w:r w:rsidRPr="00A513DE">
              <w:rPr>
                <w:rFonts w:asciiTheme="minorHAnsi" w:hAnsiTheme="minorHAnsi" w:cstheme="minorHAnsi"/>
                <w:b/>
                <w:bCs/>
                <w:color w:val="000000"/>
                <w:sz w:val="22"/>
                <w:szCs w:val="22"/>
                <w:lang w:val="fr-CH"/>
              </w:rPr>
              <w:t>Activités</w:t>
            </w:r>
            <w:r w:rsidR="00A451D1" w:rsidRPr="00A513DE">
              <w:rPr>
                <w:rFonts w:asciiTheme="minorHAnsi" w:hAnsiTheme="minorHAnsi" w:cstheme="minorHAnsi"/>
                <w:b/>
                <w:bCs/>
                <w:color w:val="000000"/>
                <w:sz w:val="22"/>
                <w:szCs w:val="22"/>
                <w:lang w:val="fr-CH"/>
              </w:rPr>
              <w:t>/T</w:t>
            </w:r>
            <w:r>
              <w:rPr>
                <w:rFonts w:asciiTheme="minorHAnsi" w:hAnsiTheme="minorHAnsi" w:cstheme="minorHAnsi"/>
                <w:b/>
                <w:bCs/>
                <w:color w:val="000000"/>
                <w:sz w:val="22"/>
                <w:szCs w:val="22"/>
                <w:lang w:val="fr-CH"/>
              </w:rPr>
              <w:t>âches requises</w:t>
            </w:r>
            <w:r w:rsidR="00A451D1" w:rsidRPr="00A513DE">
              <w:rPr>
                <w:rFonts w:asciiTheme="minorHAnsi" w:hAnsiTheme="minorHAnsi" w:cstheme="minorHAnsi"/>
                <w:b/>
                <w:bCs/>
                <w:color w:val="000000"/>
                <w:sz w:val="22"/>
                <w:szCs w:val="22"/>
                <w:lang w:val="fr-CH"/>
              </w:rPr>
              <w:t xml:space="preserve"> </w:t>
            </w:r>
          </w:p>
        </w:tc>
        <w:tc>
          <w:tcPr>
            <w:tcW w:w="1417" w:type="dxa"/>
            <w:shd w:val="clear" w:color="auto" w:fill="D9D9D9" w:themeFill="background1" w:themeFillShade="D9"/>
            <w:vAlign w:val="center"/>
          </w:tcPr>
          <w:p w14:paraId="64C91073" w14:textId="483DF72A" w:rsidR="00A451D1" w:rsidRPr="00A513DE" w:rsidRDefault="00C713BF" w:rsidP="00812E45">
            <w:pPr>
              <w:widowControl w:val="0"/>
              <w:ind w:left="0" w:firstLine="0"/>
              <w:jc w:val="center"/>
              <w:rPr>
                <w:rFonts w:asciiTheme="minorHAnsi" w:hAnsiTheme="minorHAnsi" w:cstheme="minorHAnsi"/>
                <w:b/>
                <w:bCs/>
                <w:color w:val="000000"/>
                <w:sz w:val="22"/>
                <w:szCs w:val="22"/>
                <w:lang w:val="fr-CH"/>
              </w:rPr>
            </w:pPr>
            <w:r>
              <w:rPr>
                <w:rFonts w:asciiTheme="minorHAnsi" w:hAnsiTheme="minorHAnsi" w:cstheme="minorHAnsi"/>
                <w:b/>
                <w:bCs/>
                <w:color w:val="000000"/>
                <w:sz w:val="22"/>
                <w:szCs w:val="22"/>
                <w:lang w:val="fr-CH"/>
              </w:rPr>
              <w:t>Journées additionnelles du personnel</w:t>
            </w:r>
            <w:r w:rsidR="00735BED">
              <w:rPr>
                <w:rFonts w:asciiTheme="minorHAnsi" w:hAnsiTheme="minorHAnsi" w:cstheme="minorHAnsi"/>
                <w:b/>
                <w:bCs/>
                <w:color w:val="000000"/>
                <w:sz w:val="22"/>
                <w:szCs w:val="22"/>
                <w:lang w:val="fr-CH"/>
              </w:rPr>
              <w:t xml:space="preserve"> </w:t>
            </w:r>
          </w:p>
        </w:tc>
        <w:tc>
          <w:tcPr>
            <w:tcW w:w="1781" w:type="dxa"/>
            <w:shd w:val="clear" w:color="auto" w:fill="D9D9D9" w:themeFill="background1" w:themeFillShade="D9"/>
            <w:vAlign w:val="center"/>
          </w:tcPr>
          <w:p w14:paraId="1088F56E" w14:textId="0A56C751" w:rsidR="00A451D1" w:rsidRPr="00A513DE" w:rsidRDefault="00C713BF" w:rsidP="00812E45">
            <w:pPr>
              <w:widowControl w:val="0"/>
              <w:ind w:left="0" w:firstLine="0"/>
              <w:jc w:val="center"/>
              <w:rPr>
                <w:rFonts w:asciiTheme="minorHAnsi" w:hAnsiTheme="minorHAnsi" w:cstheme="minorHAnsi"/>
                <w:b/>
                <w:bCs/>
                <w:color w:val="000000"/>
                <w:sz w:val="22"/>
                <w:szCs w:val="22"/>
                <w:lang w:val="fr-CH"/>
              </w:rPr>
            </w:pPr>
            <w:r>
              <w:rPr>
                <w:rFonts w:asciiTheme="minorHAnsi" w:hAnsiTheme="minorHAnsi" w:cstheme="minorHAnsi"/>
                <w:b/>
                <w:bCs/>
                <w:color w:val="000000"/>
                <w:sz w:val="22"/>
                <w:szCs w:val="22"/>
                <w:lang w:val="fr-CH"/>
              </w:rPr>
              <w:t>Coût</w:t>
            </w:r>
            <w:r w:rsidR="00735BED">
              <w:rPr>
                <w:rFonts w:asciiTheme="minorHAnsi" w:hAnsiTheme="minorHAnsi" w:cstheme="minorHAnsi"/>
                <w:b/>
                <w:bCs/>
                <w:color w:val="000000"/>
                <w:sz w:val="22"/>
                <w:szCs w:val="22"/>
                <w:lang w:val="fr-CH"/>
              </w:rPr>
              <w:t xml:space="preserve"> </w:t>
            </w:r>
            <w:r w:rsidR="00A451D1" w:rsidRPr="00A513DE">
              <w:rPr>
                <w:rFonts w:asciiTheme="minorHAnsi" w:hAnsiTheme="minorHAnsi" w:cstheme="minorHAnsi"/>
                <w:b/>
                <w:bCs/>
                <w:color w:val="000000"/>
                <w:sz w:val="22"/>
                <w:szCs w:val="22"/>
                <w:lang w:val="fr-CH"/>
              </w:rPr>
              <w:t>(CHF)</w:t>
            </w:r>
          </w:p>
        </w:tc>
      </w:tr>
      <w:tr w:rsidR="00D22D6F" w:rsidRPr="002F2051" w14:paraId="4B81FFCB" w14:textId="77777777" w:rsidTr="00772E80">
        <w:trPr>
          <w:cantSplit/>
        </w:trPr>
        <w:tc>
          <w:tcPr>
            <w:tcW w:w="9356" w:type="dxa"/>
            <w:gridSpan w:val="5"/>
            <w:shd w:val="clear" w:color="auto" w:fill="auto"/>
            <w:noWrap/>
            <w:vAlign w:val="center"/>
          </w:tcPr>
          <w:p w14:paraId="28F7F515" w14:textId="08C2DAE7" w:rsidR="00D22D6F" w:rsidRPr="00A513DE" w:rsidDel="00886642" w:rsidRDefault="00C713BF" w:rsidP="00C713BF">
            <w:pPr>
              <w:widowControl w:val="0"/>
              <w:spacing w:before="60" w:after="60"/>
              <w:ind w:left="0" w:firstLine="0"/>
              <w:jc w:val="left"/>
              <w:rPr>
                <w:rFonts w:asciiTheme="minorHAnsi" w:hAnsiTheme="minorHAnsi" w:cstheme="minorHAnsi"/>
                <w:bCs/>
                <w:color w:val="000000"/>
                <w:sz w:val="22"/>
                <w:szCs w:val="22"/>
                <w:lang w:val="fr-CH"/>
              </w:rPr>
            </w:pPr>
            <w:r>
              <w:rPr>
                <w:rFonts w:asciiTheme="minorHAnsi" w:hAnsiTheme="minorHAnsi" w:cstheme="minorHAnsi"/>
                <w:b/>
                <w:bCs/>
                <w:color w:val="000000"/>
                <w:sz w:val="22"/>
                <w:szCs w:val="22"/>
                <w:lang w:val="fr-CH"/>
              </w:rPr>
              <w:t>PR préparés par le Secrétariat</w:t>
            </w:r>
          </w:p>
        </w:tc>
      </w:tr>
      <w:tr w:rsidR="00772E80" w:rsidRPr="00A513DE" w14:paraId="3683D293" w14:textId="77777777" w:rsidTr="002F2051">
        <w:trPr>
          <w:cantSplit/>
        </w:trPr>
        <w:tc>
          <w:tcPr>
            <w:tcW w:w="1135" w:type="dxa"/>
            <w:shd w:val="clear" w:color="auto" w:fill="auto"/>
            <w:noWrap/>
          </w:tcPr>
          <w:p w14:paraId="553EEE6E"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sz w:val="22"/>
                <w:szCs w:val="22"/>
                <w:lang w:val="fr-CH"/>
              </w:rPr>
              <w:t>SC59/2022 Doc.8.3</w:t>
            </w:r>
          </w:p>
        </w:tc>
        <w:tc>
          <w:tcPr>
            <w:tcW w:w="1904" w:type="dxa"/>
            <w:shd w:val="clear" w:color="auto" w:fill="auto"/>
            <w:noWrap/>
          </w:tcPr>
          <w:p w14:paraId="6A4DCA13" w14:textId="245274F9" w:rsidR="00A451D1" w:rsidRPr="00A513DE" w:rsidRDefault="00FE106E"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color w:val="000000"/>
                <w:sz w:val="22"/>
                <w:szCs w:val="22"/>
                <w:lang w:val="fr-CH"/>
              </w:rPr>
              <w:t>Projet de résolution sur</w:t>
            </w:r>
            <w:r w:rsidR="00FD7B00" w:rsidRPr="00A513DE">
              <w:rPr>
                <w:rFonts w:asciiTheme="minorHAnsi" w:hAnsiTheme="minorHAnsi" w:cstheme="minorHAnsi"/>
                <w:color w:val="000000"/>
                <w:sz w:val="22"/>
                <w:szCs w:val="22"/>
                <w:lang w:val="fr-CH"/>
              </w:rPr>
              <w:t xml:space="preserve"> les questions financières et budgétaires</w:t>
            </w:r>
          </w:p>
        </w:tc>
        <w:tc>
          <w:tcPr>
            <w:tcW w:w="3119" w:type="dxa"/>
            <w:shd w:val="clear" w:color="auto" w:fill="auto"/>
          </w:tcPr>
          <w:p w14:paraId="454E2C1E" w14:textId="63544005" w:rsidR="00A451D1" w:rsidRPr="00A513DE" w:rsidRDefault="00EE0572" w:rsidP="00EE0572">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sz w:val="22"/>
                <w:szCs w:val="22"/>
                <w:lang w:val="fr-CH"/>
              </w:rPr>
              <w:t>Selon le scénario budgétaire approuvé par la COP14</w:t>
            </w:r>
          </w:p>
        </w:tc>
        <w:tc>
          <w:tcPr>
            <w:tcW w:w="1417" w:type="dxa"/>
            <w:shd w:val="clear" w:color="auto" w:fill="auto"/>
          </w:tcPr>
          <w:p w14:paraId="62FF6658"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sz w:val="22"/>
                <w:szCs w:val="22"/>
                <w:lang w:val="fr-CH"/>
              </w:rPr>
              <w:t>0</w:t>
            </w:r>
          </w:p>
        </w:tc>
        <w:tc>
          <w:tcPr>
            <w:tcW w:w="1781" w:type="dxa"/>
            <w:shd w:val="clear" w:color="auto" w:fill="auto"/>
          </w:tcPr>
          <w:p w14:paraId="7B0629F0" w14:textId="77777777" w:rsidR="00A451D1" w:rsidRPr="00A513DE" w:rsidDel="00886642"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sz w:val="22"/>
                <w:szCs w:val="22"/>
                <w:lang w:val="fr-CH"/>
              </w:rPr>
              <w:t>0</w:t>
            </w:r>
          </w:p>
        </w:tc>
      </w:tr>
      <w:tr w:rsidR="00772E80" w:rsidRPr="00A513DE" w14:paraId="4AF98413" w14:textId="77777777" w:rsidTr="002F2051">
        <w:trPr>
          <w:cantSplit/>
        </w:trPr>
        <w:tc>
          <w:tcPr>
            <w:tcW w:w="1135" w:type="dxa"/>
            <w:shd w:val="clear" w:color="auto" w:fill="auto"/>
            <w:noWrap/>
          </w:tcPr>
          <w:p w14:paraId="7A322AF0"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sz w:val="22"/>
                <w:szCs w:val="22"/>
                <w:lang w:val="fr-CH"/>
              </w:rPr>
              <w:t xml:space="preserve">SC59 Doc.13.1 </w:t>
            </w:r>
          </w:p>
        </w:tc>
        <w:tc>
          <w:tcPr>
            <w:tcW w:w="1904" w:type="dxa"/>
            <w:shd w:val="clear" w:color="auto" w:fill="auto"/>
            <w:noWrap/>
          </w:tcPr>
          <w:p w14:paraId="71A63BB6" w14:textId="17D5F85D" w:rsidR="00A451D1" w:rsidRPr="005C53FC" w:rsidRDefault="005C53FC" w:rsidP="00EB53AC">
            <w:pPr>
              <w:widowControl w:val="0"/>
              <w:ind w:left="0" w:firstLine="0"/>
              <w:jc w:val="left"/>
              <w:rPr>
                <w:rFonts w:asciiTheme="minorHAnsi" w:hAnsiTheme="minorHAnsi" w:cstheme="minorHAnsi"/>
                <w:bCs/>
                <w:color w:val="000000"/>
                <w:sz w:val="22"/>
                <w:szCs w:val="22"/>
                <w:lang w:val="fr-FR"/>
              </w:rPr>
            </w:pPr>
            <w:r w:rsidRPr="005C53FC">
              <w:rPr>
                <w:rFonts w:asciiTheme="minorHAnsi" w:hAnsiTheme="minorHAnsi" w:cstheme="minorHAnsi"/>
                <w:color w:val="000000"/>
                <w:sz w:val="22"/>
                <w:szCs w:val="22"/>
                <w:lang w:val="fr-FR"/>
              </w:rPr>
              <w:t>Projet de résolution sur un processus d’examen et de regroupement des résolutions et recommandations de la Conférence des Parties</w:t>
            </w:r>
          </w:p>
        </w:tc>
        <w:tc>
          <w:tcPr>
            <w:tcW w:w="3119" w:type="dxa"/>
            <w:shd w:val="clear" w:color="auto" w:fill="auto"/>
          </w:tcPr>
          <w:p w14:paraId="114D9F25" w14:textId="3228DD41" w:rsidR="00A451D1" w:rsidRPr="00A513DE" w:rsidRDefault="00EB53AC" w:rsidP="00EB53AC">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sz w:val="22"/>
                <w:szCs w:val="22"/>
                <w:lang w:val="fr-CH"/>
              </w:rPr>
              <w:t>Pour approuver l’attribution de 12 000 CHF, y compris de fonds non dépensés à la fin de 2021, pour couvrir le coût du travail continu sur le regroupement des résolutions</w:t>
            </w:r>
          </w:p>
        </w:tc>
        <w:tc>
          <w:tcPr>
            <w:tcW w:w="1417" w:type="dxa"/>
            <w:shd w:val="clear" w:color="auto" w:fill="auto"/>
          </w:tcPr>
          <w:p w14:paraId="69DF02D0"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sz w:val="22"/>
                <w:szCs w:val="22"/>
                <w:lang w:val="fr-CH"/>
              </w:rPr>
              <w:t>0</w:t>
            </w:r>
          </w:p>
        </w:tc>
        <w:tc>
          <w:tcPr>
            <w:tcW w:w="1781" w:type="dxa"/>
            <w:shd w:val="clear" w:color="auto" w:fill="auto"/>
          </w:tcPr>
          <w:p w14:paraId="2B7BE47E" w14:textId="6324CCA8" w:rsidR="00A451D1" w:rsidRPr="00A513DE" w:rsidDel="00886642" w:rsidRDefault="00A451D1" w:rsidP="00C713BF">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sz w:val="22"/>
                <w:szCs w:val="22"/>
                <w:lang w:val="fr-CH"/>
              </w:rPr>
              <w:t>10</w:t>
            </w:r>
            <w:r w:rsidR="00C713BF">
              <w:rPr>
                <w:rFonts w:asciiTheme="minorHAnsi" w:hAnsiTheme="minorHAnsi" w:cstheme="minorHAnsi"/>
                <w:sz w:val="22"/>
                <w:szCs w:val="22"/>
                <w:lang w:val="fr-CH"/>
              </w:rPr>
              <w:t xml:space="preserve"> </w:t>
            </w:r>
            <w:r w:rsidRPr="00A513DE">
              <w:rPr>
                <w:rFonts w:asciiTheme="minorHAnsi" w:hAnsiTheme="minorHAnsi" w:cstheme="minorHAnsi"/>
                <w:sz w:val="22"/>
                <w:szCs w:val="22"/>
                <w:lang w:val="fr-CH"/>
              </w:rPr>
              <w:t>000</w:t>
            </w:r>
          </w:p>
        </w:tc>
      </w:tr>
      <w:tr w:rsidR="00772E80" w:rsidRPr="00A513DE" w14:paraId="4FCC6233" w14:textId="77777777" w:rsidTr="002F2051">
        <w:trPr>
          <w:cantSplit/>
        </w:trPr>
        <w:tc>
          <w:tcPr>
            <w:tcW w:w="1135" w:type="dxa"/>
            <w:shd w:val="clear" w:color="auto" w:fill="auto"/>
            <w:noWrap/>
          </w:tcPr>
          <w:p w14:paraId="614C9F9F"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SC59 Doc.13.3</w:t>
            </w:r>
          </w:p>
        </w:tc>
        <w:tc>
          <w:tcPr>
            <w:tcW w:w="1904" w:type="dxa"/>
            <w:shd w:val="clear" w:color="auto" w:fill="auto"/>
            <w:noWrap/>
          </w:tcPr>
          <w:p w14:paraId="539484FB" w14:textId="4F39D5EC" w:rsidR="00A451D1" w:rsidRPr="00A513DE" w:rsidRDefault="00C1395F"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Projet de</w:t>
            </w:r>
            <w:r w:rsidR="00EB53AC">
              <w:rPr>
                <w:rFonts w:asciiTheme="minorHAnsi" w:hAnsiTheme="minorHAnsi" w:cstheme="minorHAnsi"/>
                <w:bCs/>
                <w:color w:val="000000"/>
                <w:sz w:val="22"/>
                <w:szCs w:val="22"/>
                <w:lang w:val="fr-CH"/>
              </w:rPr>
              <w:t xml:space="preserve"> résolution regroupée sur les « </w:t>
            </w:r>
            <w:r w:rsidRPr="00A513DE">
              <w:rPr>
                <w:rFonts w:asciiTheme="minorHAnsi" w:hAnsiTheme="minorHAnsi" w:cstheme="minorHAnsi"/>
                <w:bCs/>
                <w:color w:val="000000"/>
                <w:sz w:val="22"/>
                <w:szCs w:val="22"/>
                <w:lang w:val="fr-CH"/>
              </w:rPr>
              <w:t>Inventaires »</w:t>
            </w:r>
          </w:p>
        </w:tc>
        <w:tc>
          <w:tcPr>
            <w:tcW w:w="3119" w:type="dxa"/>
            <w:shd w:val="clear" w:color="auto" w:fill="auto"/>
          </w:tcPr>
          <w:p w14:paraId="03BE7272" w14:textId="3A245488" w:rsidR="00EB53AC" w:rsidRPr="00A513DE" w:rsidRDefault="00EB53AC" w:rsidP="00EB53AC">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bCs/>
                <w:color w:val="000000"/>
                <w:sz w:val="22"/>
                <w:szCs w:val="22"/>
                <w:lang w:val="fr-CH"/>
              </w:rPr>
              <w:t>Pas d’activités/de t</w:t>
            </w:r>
            <w:r w:rsidR="00C65B5D">
              <w:rPr>
                <w:rFonts w:asciiTheme="minorHAnsi" w:hAnsiTheme="minorHAnsi" w:cstheme="minorHAnsi"/>
                <w:bCs/>
                <w:color w:val="000000"/>
                <w:sz w:val="22"/>
                <w:szCs w:val="22"/>
                <w:lang w:val="fr-CH"/>
              </w:rPr>
              <w:t>âches importantes requises</w:t>
            </w:r>
            <w:r>
              <w:rPr>
                <w:rFonts w:asciiTheme="minorHAnsi" w:hAnsiTheme="minorHAnsi" w:cstheme="minorHAnsi"/>
                <w:bCs/>
                <w:color w:val="000000"/>
                <w:sz w:val="22"/>
                <w:szCs w:val="22"/>
                <w:lang w:val="fr-CH"/>
              </w:rPr>
              <w:t xml:space="preserve"> </w:t>
            </w:r>
          </w:p>
          <w:p w14:paraId="3C392A0C" w14:textId="00100E7D"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p>
        </w:tc>
        <w:tc>
          <w:tcPr>
            <w:tcW w:w="1417" w:type="dxa"/>
            <w:shd w:val="clear" w:color="auto" w:fill="auto"/>
          </w:tcPr>
          <w:p w14:paraId="780EF5C2"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shd w:val="clear" w:color="auto" w:fill="auto"/>
          </w:tcPr>
          <w:p w14:paraId="70F706CA" w14:textId="77777777" w:rsidR="00A451D1" w:rsidRPr="00A513DE" w:rsidDel="00886642"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r>
      <w:tr w:rsidR="00772E80" w:rsidRPr="00A513DE" w14:paraId="6DD2F15F" w14:textId="77777777" w:rsidTr="002F2051">
        <w:trPr>
          <w:cantSplit/>
        </w:trPr>
        <w:tc>
          <w:tcPr>
            <w:tcW w:w="1135" w:type="dxa"/>
            <w:shd w:val="clear" w:color="auto" w:fill="auto"/>
            <w:noWrap/>
          </w:tcPr>
          <w:p w14:paraId="6EE0313D"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sz w:val="22"/>
                <w:szCs w:val="22"/>
                <w:lang w:val="fr-CH"/>
              </w:rPr>
              <w:t>SC59 Doc.15</w:t>
            </w:r>
          </w:p>
        </w:tc>
        <w:tc>
          <w:tcPr>
            <w:tcW w:w="1904" w:type="dxa"/>
            <w:shd w:val="clear" w:color="auto" w:fill="auto"/>
            <w:noWrap/>
          </w:tcPr>
          <w:p w14:paraId="29CDF4E3" w14:textId="0E11BF24" w:rsidR="00A451D1" w:rsidRPr="00A513DE" w:rsidRDefault="00FE106E"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color w:val="000000"/>
                <w:sz w:val="22"/>
                <w:szCs w:val="22"/>
                <w:lang w:val="fr-CH"/>
              </w:rPr>
              <w:t>Projet de résolution sur les r</w:t>
            </w:r>
            <w:r w:rsidR="00C1395F" w:rsidRPr="00A513DE">
              <w:rPr>
                <w:rFonts w:asciiTheme="minorHAnsi" w:hAnsiTheme="minorHAnsi" w:cstheme="minorHAnsi"/>
                <w:sz w:val="22"/>
                <w:szCs w:val="22"/>
                <w:lang w:val="fr-CH"/>
              </w:rPr>
              <w:t>ôles et responsabilités du Comité permanent</w:t>
            </w:r>
          </w:p>
        </w:tc>
        <w:tc>
          <w:tcPr>
            <w:tcW w:w="3119" w:type="dxa"/>
            <w:shd w:val="clear" w:color="auto" w:fill="auto"/>
          </w:tcPr>
          <w:p w14:paraId="5D386887" w14:textId="0A68FA92" w:rsidR="00A451D1" w:rsidRPr="00A513DE" w:rsidRDefault="00EB53AC" w:rsidP="00812E45">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bCs/>
                <w:color w:val="000000"/>
                <w:sz w:val="22"/>
                <w:szCs w:val="22"/>
                <w:lang w:val="fr-CH"/>
              </w:rPr>
              <w:t>Pas d’activités/de t</w:t>
            </w:r>
            <w:r w:rsidR="00C65B5D">
              <w:rPr>
                <w:rFonts w:asciiTheme="minorHAnsi" w:hAnsiTheme="minorHAnsi" w:cstheme="minorHAnsi"/>
                <w:bCs/>
                <w:color w:val="000000"/>
                <w:sz w:val="22"/>
                <w:szCs w:val="22"/>
                <w:lang w:val="fr-CH"/>
              </w:rPr>
              <w:t>âches importantes requises</w:t>
            </w:r>
          </w:p>
        </w:tc>
        <w:tc>
          <w:tcPr>
            <w:tcW w:w="1417" w:type="dxa"/>
            <w:shd w:val="clear" w:color="auto" w:fill="auto"/>
          </w:tcPr>
          <w:p w14:paraId="580EE87F"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shd w:val="clear" w:color="auto" w:fill="auto"/>
          </w:tcPr>
          <w:p w14:paraId="4EFA27BA" w14:textId="77777777" w:rsidR="00A451D1" w:rsidRPr="00A513DE" w:rsidDel="00886642"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r>
      <w:tr w:rsidR="00772E80" w:rsidRPr="00A513DE" w14:paraId="49345897" w14:textId="77777777" w:rsidTr="002F2051">
        <w:trPr>
          <w:cantSplit/>
        </w:trPr>
        <w:tc>
          <w:tcPr>
            <w:tcW w:w="1135" w:type="dxa"/>
            <w:tcBorders>
              <w:bottom w:val="single" w:sz="4" w:space="0" w:color="auto"/>
            </w:tcBorders>
            <w:shd w:val="clear" w:color="auto" w:fill="auto"/>
            <w:noWrap/>
          </w:tcPr>
          <w:p w14:paraId="5082AB71"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SC59/2022 Doc.16</w:t>
            </w:r>
          </w:p>
        </w:tc>
        <w:tc>
          <w:tcPr>
            <w:tcW w:w="1904" w:type="dxa"/>
            <w:tcBorders>
              <w:bottom w:val="single" w:sz="4" w:space="0" w:color="auto"/>
            </w:tcBorders>
            <w:shd w:val="clear" w:color="auto" w:fill="auto"/>
            <w:noWrap/>
          </w:tcPr>
          <w:p w14:paraId="3FF7F77A" w14:textId="4BDE02E4" w:rsidR="00A451D1" w:rsidRPr="00A513DE" w:rsidRDefault="00FE106E"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color w:val="000000"/>
                <w:sz w:val="22"/>
                <w:szCs w:val="22"/>
                <w:lang w:val="fr-CH"/>
              </w:rPr>
              <w:t>Projet de résolution sur</w:t>
            </w:r>
            <w:r w:rsidR="00735BED">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le r</w:t>
            </w:r>
            <w:r w:rsidRPr="00A513DE">
              <w:rPr>
                <w:rFonts w:asciiTheme="minorHAnsi" w:hAnsiTheme="minorHAnsi" w:cstheme="minorHAnsi"/>
                <w:bCs/>
                <w:color w:val="000000"/>
                <w:sz w:val="22"/>
                <w:szCs w:val="22"/>
                <w:lang w:val="fr-CH"/>
              </w:rPr>
              <w:t>enforcement de la visibilité de la Convention et des synergies avec d’autres accords multilatéraux sur l’environnement et institutions internationales – Mise à jour</w:t>
            </w:r>
          </w:p>
        </w:tc>
        <w:tc>
          <w:tcPr>
            <w:tcW w:w="3119" w:type="dxa"/>
            <w:tcBorders>
              <w:bottom w:val="single" w:sz="4" w:space="0" w:color="auto"/>
            </w:tcBorders>
            <w:shd w:val="clear" w:color="auto" w:fill="auto"/>
          </w:tcPr>
          <w:p w14:paraId="26DDCC9A" w14:textId="4AD4D111" w:rsidR="00A451D1" w:rsidRPr="00A513DE" w:rsidRDefault="00EB53AC" w:rsidP="00812E45">
            <w:pPr>
              <w:widowControl w:val="0"/>
              <w:ind w:left="0" w:firstLine="0"/>
              <w:jc w:val="left"/>
              <w:rPr>
                <w:rFonts w:asciiTheme="minorHAnsi" w:hAnsiTheme="minorHAnsi" w:cstheme="minorHAnsi"/>
                <w:sz w:val="22"/>
                <w:szCs w:val="22"/>
                <w:lang w:val="fr-CH"/>
              </w:rPr>
            </w:pPr>
            <w:r>
              <w:rPr>
                <w:rFonts w:asciiTheme="minorHAnsi" w:hAnsiTheme="minorHAnsi" w:cstheme="minorHAnsi"/>
                <w:bCs/>
                <w:color w:val="000000"/>
                <w:sz w:val="22"/>
                <w:szCs w:val="22"/>
                <w:lang w:val="fr-CH"/>
              </w:rPr>
              <w:t>Pas d’activités/de t</w:t>
            </w:r>
            <w:r w:rsidR="00C65B5D">
              <w:rPr>
                <w:rFonts w:asciiTheme="minorHAnsi" w:hAnsiTheme="minorHAnsi" w:cstheme="minorHAnsi"/>
                <w:bCs/>
                <w:color w:val="000000"/>
                <w:sz w:val="22"/>
                <w:szCs w:val="22"/>
                <w:lang w:val="fr-CH"/>
              </w:rPr>
              <w:t>âches importantes requises</w:t>
            </w:r>
          </w:p>
        </w:tc>
        <w:tc>
          <w:tcPr>
            <w:tcW w:w="1417" w:type="dxa"/>
            <w:tcBorders>
              <w:bottom w:val="single" w:sz="4" w:space="0" w:color="auto"/>
            </w:tcBorders>
            <w:shd w:val="clear" w:color="auto" w:fill="auto"/>
          </w:tcPr>
          <w:p w14:paraId="25FEFC26"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tcBorders>
              <w:bottom w:val="single" w:sz="4" w:space="0" w:color="auto"/>
            </w:tcBorders>
            <w:shd w:val="clear" w:color="auto" w:fill="auto"/>
          </w:tcPr>
          <w:p w14:paraId="421C0D3B" w14:textId="77777777" w:rsidR="00A451D1" w:rsidRPr="00A513DE" w:rsidDel="00886642"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r>
      <w:tr w:rsidR="00772E80" w:rsidRPr="00A513DE" w14:paraId="7645911D" w14:textId="77777777" w:rsidTr="002F2051">
        <w:trPr>
          <w:cantSplit/>
        </w:trPr>
        <w:tc>
          <w:tcPr>
            <w:tcW w:w="1135" w:type="dxa"/>
            <w:tcBorders>
              <w:bottom w:val="single" w:sz="4" w:space="0" w:color="auto"/>
            </w:tcBorders>
            <w:shd w:val="clear" w:color="auto" w:fill="auto"/>
            <w:noWrap/>
          </w:tcPr>
          <w:p w14:paraId="78376F9F"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SC59 Doc.23 Rev.1</w:t>
            </w:r>
          </w:p>
        </w:tc>
        <w:tc>
          <w:tcPr>
            <w:tcW w:w="1904" w:type="dxa"/>
            <w:tcBorders>
              <w:bottom w:val="single" w:sz="4" w:space="0" w:color="auto"/>
            </w:tcBorders>
            <w:shd w:val="clear" w:color="auto" w:fill="auto"/>
            <w:noWrap/>
          </w:tcPr>
          <w:p w14:paraId="01C20DA4" w14:textId="2F38371B" w:rsidR="002F2051" w:rsidRPr="00A513DE" w:rsidRDefault="00FE106E"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color w:val="000000"/>
                <w:sz w:val="22"/>
                <w:szCs w:val="22"/>
                <w:lang w:val="fr-CH"/>
              </w:rPr>
              <w:t>Projet de résolution sur</w:t>
            </w:r>
            <w:r w:rsidR="00735BED">
              <w:rPr>
                <w:rFonts w:asciiTheme="minorHAnsi" w:hAnsiTheme="minorHAnsi" w:cstheme="minorHAnsi"/>
                <w:color w:val="000000"/>
                <w:sz w:val="22"/>
                <w:szCs w:val="22"/>
                <w:lang w:val="fr-CH"/>
              </w:rPr>
              <w:t xml:space="preserve"> </w:t>
            </w:r>
            <w:r w:rsidR="0037468B" w:rsidRPr="00A513DE">
              <w:rPr>
                <w:rFonts w:asciiTheme="minorHAnsi" w:hAnsiTheme="minorHAnsi" w:cstheme="minorHAnsi"/>
                <w:bCs/>
                <w:color w:val="000000"/>
                <w:sz w:val="22"/>
                <w:szCs w:val="22"/>
                <w:lang w:val="fr-CH"/>
              </w:rPr>
              <w:t>l’état des sites inscrits sur la Liste des zones humides d’importance internationale</w:t>
            </w:r>
          </w:p>
        </w:tc>
        <w:tc>
          <w:tcPr>
            <w:tcW w:w="3119" w:type="dxa"/>
            <w:tcBorders>
              <w:bottom w:val="single" w:sz="4" w:space="0" w:color="auto"/>
            </w:tcBorders>
            <w:shd w:val="clear" w:color="auto" w:fill="auto"/>
          </w:tcPr>
          <w:p w14:paraId="0C920F31" w14:textId="06375D40" w:rsidR="00A451D1" w:rsidRPr="00A513DE" w:rsidRDefault="00EB53AC" w:rsidP="00812E45">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bCs/>
                <w:color w:val="000000"/>
                <w:sz w:val="22"/>
                <w:szCs w:val="22"/>
                <w:lang w:val="fr-CH"/>
              </w:rPr>
              <w:t>Pas d’activités/de t</w:t>
            </w:r>
            <w:r w:rsidR="00C65B5D">
              <w:rPr>
                <w:rFonts w:asciiTheme="minorHAnsi" w:hAnsiTheme="minorHAnsi" w:cstheme="minorHAnsi"/>
                <w:bCs/>
                <w:color w:val="000000"/>
                <w:sz w:val="22"/>
                <w:szCs w:val="22"/>
                <w:lang w:val="fr-CH"/>
              </w:rPr>
              <w:t>âches importantes requises</w:t>
            </w:r>
          </w:p>
        </w:tc>
        <w:tc>
          <w:tcPr>
            <w:tcW w:w="1417" w:type="dxa"/>
            <w:tcBorders>
              <w:bottom w:val="single" w:sz="4" w:space="0" w:color="auto"/>
            </w:tcBorders>
            <w:shd w:val="clear" w:color="auto" w:fill="auto"/>
          </w:tcPr>
          <w:p w14:paraId="5A5D90A3"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tcBorders>
              <w:bottom w:val="single" w:sz="4" w:space="0" w:color="auto"/>
            </w:tcBorders>
            <w:shd w:val="clear" w:color="auto" w:fill="auto"/>
          </w:tcPr>
          <w:p w14:paraId="528292C6" w14:textId="77777777" w:rsidR="00A451D1" w:rsidRPr="00A513DE" w:rsidDel="00886642"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r>
      <w:tr w:rsidR="002F2051" w:rsidRPr="00A513DE" w14:paraId="4FFB359F" w14:textId="77777777" w:rsidTr="002F2051">
        <w:trPr>
          <w:cantSplit/>
        </w:trPr>
        <w:tc>
          <w:tcPr>
            <w:tcW w:w="1135" w:type="dxa"/>
            <w:tcBorders>
              <w:top w:val="single" w:sz="4" w:space="0" w:color="auto"/>
              <w:left w:val="nil"/>
              <w:bottom w:val="single" w:sz="4" w:space="0" w:color="auto"/>
              <w:right w:val="nil"/>
            </w:tcBorders>
            <w:shd w:val="clear" w:color="auto" w:fill="auto"/>
            <w:noWrap/>
          </w:tcPr>
          <w:p w14:paraId="243F3A9A" w14:textId="77777777" w:rsidR="002F2051" w:rsidRDefault="002F2051" w:rsidP="00812E45">
            <w:pPr>
              <w:widowControl w:val="0"/>
              <w:ind w:left="0" w:firstLine="0"/>
              <w:jc w:val="left"/>
              <w:rPr>
                <w:rFonts w:asciiTheme="minorHAnsi" w:hAnsiTheme="minorHAnsi" w:cstheme="minorHAnsi"/>
                <w:bCs/>
                <w:color w:val="000000"/>
                <w:sz w:val="22"/>
                <w:szCs w:val="22"/>
                <w:lang w:val="fr-CH"/>
              </w:rPr>
            </w:pPr>
          </w:p>
          <w:p w14:paraId="2DBFFABA" w14:textId="77777777" w:rsidR="002F2051" w:rsidRDefault="002F2051" w:rsidP="00812E45">
            <w:pPr>
              <w:widowControl w:val="0"/>
              <w:ind w:left="0" w:firstLine="0"/>
              <w:jc w:val="left"/>
              <w:rPr>
                <w:rFonts w:asciiTheme="minorHAnsi" w:hAnsiTheme="minorHAnsi" w:cstheme="minorHAnsi"/>
                <w:bCs/>
                <w:color w:val="000000"/>
                <w:sz w:val="22"/>
                <w:szCs w:val="22"/>
                <w:lang w:val="fr-CH"/>
              </w:rPr>
            </w:pPr>
          </w:p>
          <w:p w14:paraId="1DCB161B" w14:textId="77777777" w:rsidR="002F2051" w:rsidRDefault="002F2051" w:rsidP="00812E45">
            <w:pPr>
              <w:widowControl w:val="0"/>
              <w:ind w:left="0" w:firstLine="0"/>
              <w:jc w:val="left"/>
              <w:rPr>
                <w:rFonts w:asciiTheme="minorHAnsi" w:hAnsiTheme="minorHAnsi" w:cstheme="minorHAnsi"/>
                <w:bCs/>
                <w:color w:val="000000"/>
                <w:sz w:val="22"/>
                <w:szCs w:val="22"/>
                <w:lang w:val="fr-CH"/>
              </w:rPr>
            </w:pPr>
          </w:p>
          <w:p w14:paraId="77B880DE" w14:textId="77777777" w:rsidR="002F2051" w:rsidRDefault="002F2051" w:rsidP="00812E45">
            <w:pPr>
              <w:widowControl w:val="0"/>
              <w:ind w:left="0" w:firstLine="0"/>
              <w:jc w:val="left"/>
              <w:rPr>
                <w:rFonts w:asciiTheme="minorHAnsi" w:hAnsiTheme="minorHAnsi" w:cstheme="minorHAnsi"/>
                <w:bCs/>
                <w:color w:val="000000"/>
                <w:sz w:val="22"/>
                <w:szCs w:val="22"/>
                <w:lang w:val="fr-CH"/>
              </w:rPr>
            </w:pPr>
          </w:p>
          <w:p w14:paraId="7C1FDA51" w14:textId="34B0A50C" w:rsidR="002F2051" w:rsidRPr="00A513DE" w:rsidRDefault="002F2051" w:rsidP="00812E45">
            <w:pPr>
              <w:widowControl w:val="0"/>
              <w:ind w:left="0" w:firstLine="0"/>
              <w:jc w:val="left"/>
              <w:rPr>
                <w:rFonts w:asciiTheme="minorHAnsi" w:hAnsiTheme="minorHAnsi" w:cstheme="minorHAnsi"/>
                <w:bCs/>
                <w:color w:val="000000"/>
                <w:sz w:val="22"/>
                <w:szCs w:val="22"/>
                <w:lang w:val="fr-CH"/>
              </w:rPr>
            </w:pPr>
          </w:p>
        </w:tc>
        <w:tc>
          <w:tcPr>
            <w:tcW w:w="1904" w:type="dxa"/>
            <w:tcBorders>
              <w:top w:val="single" w:sz="4" w:space="0" w:color="auto"/>
              <w:left w:val="nil"/>
              <w:bottom w:val="single" w:sz="4" w:space="0" w:color="auto"/>
              <w:right w:val="nil"/>
            </w:tcBorders>
            <w:shd w:val="clear" w:color="auto" w:fill="auto"/>
            <w:noWrap/>
          </w:tcPr>
          <w:p w14:paraId="6D074A89" w14:textId="77777777" w:rsidR="002F2051" w:rsidRPr="00A513DE" w:rsidRDefault="002F2051" w:rsidP="00812E45">
            <w:pPr>
              <w:widowControl w:val="0"/>
              <w:ind w:left="0" w:firstLine="0"/>
              <w:jc w:val="left"/>
              <w:rPr>
                <w:rFonts w:asciiTheme="minorHAnsi" w:hAnsiTheme="minorHAnsi" w:cstheme="minorHAnsi"/>
                <w:color w:val="000000"/>
                <w:sz w:val="22"/>
                <w:szCs w:val="22"/>
                <w:lang w:val="fr-CH"/>
              </w:rPr>
            </w:pPr>
          </w:p>
        </w:tc>
        <w:tc>
          <w:tcPr>
            <w:tcW w:w="3119" w:type="dxa"/>
            <w:tcBorders>
              <w:top w:val="single" w:sz="4" w:space="0" w:color="auto"/>
              <w:left w:val="nil"/>
              <w:bottom w:val="single" w:sz="4" w:space="0" w:color="auto"/>
              <w:right w:val="nil"/>
            </w:tcBorders>
            <w:shd w:val="clear" w:color="auto" w:fill="auto"/>
          </w:tcPr>
          <w:p w14:paraId="4BC36660" w14:textId="77777777" w:rsidR="002F2051" w:rsidRDefault="002F2051" w:rsidP="00812E45">
            <w:pPr>
              <w:widowControl w:val="0"/>
              <w:ind w:left="0" w:firstLine="0"/>
              <w:jc w:val="left"/>
              <w:rPr>
                <w:rFonts w:asciiTheme="minorHAnsi" w:hAnsiTheme="minorHAnsi" w:cstheme="minorHAnsi"/>
                <w:bCs/>
                <w:color w:val="000000"/>
                <w:sz w:val="22"/>
                <w:szCs w:val="22"/>
                <w:lang w:val="fr-CH"/>
              </w:rPr>
            </w:pPr>
          </w:p>
        </w:tc>
        <w:tc>
          <w:tcPr>
            <w:tcW w:w="1417" w:type="dxa"/>
            <w:tcBorders>
              <w:top w:val="single" w:sz="4" w:space="0" w:color="auto"/>
              <w:left w:val="nil"/>
              <w:bottom w:val="single" w:sz="4" w:space="0" w:color="auto"/>
              <w:right w:val="nil"/>
            </w:tcBorders>
            <w:shd w:val="clear" w:color="auto" w:fill="auto"/>
          </w:tcPr>
          <w:p w14:paraId="223B4D6A" w14:textId="77777777" w:rsidR="002F2051" w:rsidRPr="00A513DE" w:rsidRDefault="002F2051" w:rsidP="00812E45">
            <w:pPr>
              <w:widowControl w:val="0"/>
              <w:ind w:left="0" w:firstLine="0"/>
              <w:jc w:val="left"/>
              <w:rPr>
                <w:rFonts w:asciiTheme="minorHAnsi" w:hAnsiTheme="minorHAnsi" w:cstheme="minorHAnsi"/>
                <w:bCs/>
                <w:color w:val="000000"/>
                <w:sz w:val="22"/>
                <w:szCs w:val="22"/>
                <w:lang w:val="fr-CH"/>
              </w:rPr>
            </w:pPr>
          </w:p>
        </w:tc>
        <w:tc>
          <w:tcPr>
            <w:tcW w:w="1781" w:type="dxa"/>
            <w:tcBorders>
              <w:top w:val="single" w:sz="4" w:space="0" w:color="auto"/>
              <w:left w:val="nil"/>
              <w:bottom w:val="single" w:sz="4" w:space="0" w:color="auto"/>
              <w:right w:val="nil"/>
            </w:tcBorders>
            <w:shd w:val="clear" w:color="auto" w:fill="auto"/>
          </w:tcPr>
          <w:p w14:paraId="58159B7F" w14:textId="77777777" w:rsidR="002F2051" w:rsidRPr="00A513DE" w:rsidRDefault="002F2051" w:rsidP="00812E45">
            <w:pPr>
              <w:widowControl w:val="0"/>
              <w:ind w:left="0" w:firstLine="0"/>
              <w:jc w:val="left"/>
              <w:rPr>
                <w:rFonts w:asciiTheme="minorHAnsi" w:hAnsiTheme="minorHAnsi" w:cstheme="minorHAnsi"/>
                <w:bCs/>
                <w:color w:val="000000"/>
                <w:sz w:val="22"/>
                <w:szCs w:val="22"/>
                <w:lang w:val="fr-CH"/>
              </w:rPr>
            </w:pPr>
          </w:p>
        </w:tc>
      </w:tr>
      <w:tr w:rsidR="00D22D6F" w:rsidRPr="002F2051" w14:paraId="6ECC58FD" w14:textId="77777777" w:rsidTr="002F2051">
        <w:trPr>
          <w:cantSplit/>
        </w:trPr>
        <w:tc>
          <w:tcPr>
            <w:tcW w:w="9356" w:type="dxa"/>
            <w:gridSpan w:val="5"/>
            <w:tcBorders>
              <w:top w:val="single" w:sz="4" w:space="0" w:color="auto"/>
            </w:tcBorders>
            <w:shd w:val="clear" w:color="auto" w:fill="auto"/>
            <w:noWrap/>
          </w:tcPr>
          <w:p w14:paraId="45732E84" w14:textId="3347C8C4" w:rsidR="00D22D6F" w:rsidRPr="00A513DE" w:rsidRDefault="00C65B5D" w:rsidP="00165BEA">
            <w:pPr>
              <w:widowControl w:val="0"/>
              <w:spacing w:before="60" w:after="60"/>
              <w:ind w:left="0" w:firstLine="0"/>
              <w:jc w:val="left"/>
              <w:rPr>
                <w:rFonts w:asciiTheme="minorHAnsi" w:hAnsiTheme="minorHAnsi" w:cstheme="minorHAnsi"/>
                <w:b/>
                <w:bCs/>
                <w:color w:val="000000"/>
                <w:sz w:val="22"/>
                <w:szCs w:val="22"/>
                <w:lang w:val="fr-CH"/>
              </w:rPr>
            </w:pPr>
            <w:r>
              <w:rPr>
                <w:rFonts w:asciiTheme="minorHAnsi" w:hAnsiTheme="minorHAnsi" w:cstheme="minorHAnsi"/>
                <w:b/>
                <w:bCs/>
                <w:color w:val="000000"/>
                <w:sz w:val="22"/>
                <w:szCs w:val="22"/>
                <w:lang w:val="fr-CH"/>
              </w:rPr>
              <w:lastRenderedPageBreak/>
              <w:t>PR soumis par les groupes de travail</w:t>
            </w:r>
          </w:p>
        </w:tc>
      </w:tr>
      <w:tr w:rsidR="00772E80" w:rsidRPr="00A513DE" w14:paraId="24213C48" w14:textId="77777777" w:rsidTr="002F2051">
        <w:trPr>
          <w:cantSplit/>
        </w:trPr>
        <w:tc>
          <w:tcPr>
            <w:tcW w:w="1135" w:type="dxa"/>
            <w:shd w:val="clear" w:color="auto" w:fill="auto"/>
            <w:noWrap/>
          </w:tcPr>
          <w:p w14:paraId="307ED65A"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SC59/2022 Doc.10 Rev.1</w:t>
            </w:r>
          </w:p>
        </w:tc>
        <w:tc>
          <w:tcPr>
            <w:tcW w:w="1904" w:type="dxa"/>
            <w:shd w:val="clear" w:color="auto" w:fill="auto"/>
            <w:noWrap/>
          </w:tcPr>
          <w:p w14:paraId="0CF1F8AA" w14:textId="5DD8A0F8" w:rsidR="00A451D1" w:rsidRPr="00A513DE" w:rsidRDefault="0037468B"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Projet de résolution sur l’examen du quatrième Plan stratégique de la Convention de Ramsar</w:t>
            </w:r>
          </w:p>
        </w:tc>
        <w:tc>
          <w:tcPr>
            <w:tcW w:w="3119" w:type="dxa"/>
            <w:shd w:val="clear" w:color="auto" w:fill="auto"/>
          </w:tcPr>
          <w:p w14:paraId="39DD4D8D" w14:textId="441DB58E" w:rsidR="00A451D1" w:rsidRPr="00A513DE" w:rsidRDefault="00C65B5D" w:rsidP="00C65B5D">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Préparation</w:t>
            </w:r>
            <w:r w:rsidR="00A451D1" w:rsidRPr="00A513DE">
              <w:rPr>
                <w:rFonts w:asciiTheme="minorHAnsi" w:hAnsiTheme="minorHAnsi" w:cstheme="minorHAnsi"/>
                <w:bCs/>
                <w:color w:val="000000"/>
                <w:sz w:val="22"/>
                <w:szCs w:val="22"/>
                <w:lang w:val="fr-CH"/>
              </w:rPr>
              <w:t xml:space="preserve"> </w:t>
            </w:r>
            <w:r>
              <w:rPr>
                <w:rFonts w:asciiTheme="minorHAnsi" w:hAnsiTheme="minorHAnsi" w:cstheme="minorHAnsi"/>
                <w:bCs/>
                <w:color w:val="000000"/>
                <w:sz w:val="22"/>
                <w:szCs w:val="22"/>
                <w:lang w:val="fr-CH"/>
              </w:rPr>
              <w:t>du PS5 pour adoption à la COP15 (</w:t>
            </w:r>
            <w:r w:rsidR="00AA4722">
              <w:rPr>
                <w:rFonts w:asciiTheme="minorHAnsi" w:hAnsiTheme="minorHAnsi" w:cstheme="minorHAnsi"/>
                <w:bCs/>
                <w:color w:val="000000"/>
                <w:sz w:val="22"/>
                <w:szCs w:val="22"/>
                <w:lang w:val="fr-CH"/>
              </w:rPr>
              <w:t>b</w:t>
            </w:r>
            <w:r>
              <w:rPr>
                <w:rFonts w:asciiTheme="minorHAnsi" w:hAnsiTheme="minorHAnsi" w:cstheme="minorHAnsi"/>
                <w:bCs/>
                <w:color w:val="000000"/>
                <w:sz w:val="22"/>
                <w:szCs w:val="22"/>
                <w:lang w:val="fr-CH"/>
              </w:rPr>
              <w:t xml:space="preserve">udget de 90 000 CHF approuvé par la Décision </w:t>
            </w:r>
            <w:r w:rsidR="00A451D1" w:rsidRPr="00A513DE">
              <w:rPr>
                <w:rFonts w:asciiTheme="minorHAnsi" w:hAnsiTheme="minorHAnsi" w:cstheme="minorHAnsi"/>
                <w:bCs/>
                <w:color w:val="000000"/>
                <w:sz w:val="22"/>
                <w:szCs w:val="22"/>
                <w:lang w:val="fr-CH"/>
              </w:rPr>
              <w:t xml:space="preserve">SC59-32) </w:t>
            </w:r>
          </w:p>
        </w:tc>
        <w:tc>
          <w:tcPr>
            <w:tcW w:w="1417" w:type="dxa"/>
            <w:shd w:val="clear" w:color="auto" w:fill="auto"/>
          </w:tcPr>
          <w:p w14:paraId="79F4F21C"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shd w:val="clear" w:color="auto" w:fill="auto"/>
          </w:tcPr>
          <w:p w14:paraId="44F91ED9"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r>
      <w:tr w:rsidR="00772E80" w:rsidRPr="00A513DE" w14:paraId="20003C21" w14:textId="77777777" w:rsidTr="002F2051">
        <w:trPr>
          <w:cantSplit/>
        </w:trPr>
        <w:tc>
          <w:tcPr>
            <w:tcW w:w="1135" w:type="dxa"/>
            <w:shd w:val="clear" w:color="auto" w:fill="auto"/>
            <w:noWrap/>
          </w:tcPr>
          <w:p w14:paraId="2A125AA4"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SC59/2022 Doc.11</w:t>
            </w:r>
          </w:p>
        </w:tc>
        <w:tc>
          <w:tcPr>
            <w:tcW w:w="1904" w:type="dxa"/>
            <w:shd w:val="clear" w:color="auto" w:fill="auto"/>
            <w:noWrap/>
          </w:tcPr>
          <w:p w14:paraId="1D2C202B" w14:textId="3C4D1E1E" w:rsidR="00A451D1" w:rsidRPr="00A513DE" w:rsidRDefault="0037468B"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Projet de résolution sur l’efficacité et l’efficience de la Convention de Ramsar</w:t>
            </w:r>
          </w:p>
        </w:tc>
        <w:tc>
          <w:tcPr>
            <w:tcW w:w="3119" w:type="dxa"/>
            <w:shd w:val="clear" w:color="auto" w:fill="auto"/>
          </w:tcPr>
          <w:p w14:paraId="40DADC40" w14:textId="0A9D81BB" w:rsidR="00A451D1" w:rsidRPr="00A513DE" w:rsidRDefault="00A451D1" w:rsidP="00262977">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w:t>
            </w:r>
            <w:r w:rsidR="00262977">
              <w:rPr>
                <w:rFonts w:asciiTheme="minorHAnsi" w:hAnsiTheme="minorHAnsi" w:cstheme="minorHAnsi"/>
                <w:bCs/>
                <w:color w:val="000000"/>
                <w:sz w:val="22"/>
                <w:szCs w:val="22"/>
                <w:lang w:val="fr-CH"/>
              </w:rPr>
              <w:t xml:space="preserve">ous réserve de ressources disponibles à attribuer [XXXCHF] au Secrétariat sur les fonds excédentaires pour remplir le mandat </w:t>
            </w:r>
            <w:r w:rsidR="00AA4722">
              <w:rPr>
                <w:rFonts w:asciiTheme="minorHAnsi" w:hAnsiTheme="minorHAnsi" w:cstheme="minorHAnsi"/>
                <w:bCs/>
                <w:color w:val="000000"/>
                <w:sz w:val="22"/>
                <w:szCs w:val="22"/>
                <w:lang w:val="fr-CH"/>
              </w:rPr>
              <w:t>confié par</w:t>
            </w:r>
            <w:r w:rsidR="00262977">
              <w:rPr>
                <w:rFonts w:asciiTheme="minorHAnsi" w:hAnsiTheme="minorHAnsi" w:cstheme="minorHAnsi"/>
                <w:bCs/>
                <w:color w:val="000000"/>
                <w:sz w:val="22"/>
                <w:szCs w:val="22"/>
                <w:lang w:val="fr-CH"/>
              </w:rPr>
              <w:t xml:space="preserve"> cette résolution </w:t>
            </w:r>
          </w:p>
        </w:tc>
        <w:tc>
          <w:tcPr>
            <w:tcW w:w="1417" w:type="dxa"/>
            <w:shd w:val="clear" w:color="auto" w:fill="auto"/>
          </w:tcPr>
          <w:p w14:paraId="274059CB"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shd w:val="clear" w:color="auto" w:fill="auto"/>
          </w:tcPr>
          <w:p w14:paraId="6AC192B7" w14:textId="0A9B74A8"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w:t>
            </w:r>
            <w:r w:rsidR="00262977">
              <w:rPr>
                <w:rFonts w:asciiTheme="minorHAnsi" w:hAnsiTheme="minorHAnsi" w:cstheme="minorHAnsi"/>
                <w:bCs/>
                <w:color w:val="000000"/>
                <w:sz w:val="22"/>
                <w:szCs w:val="22"/>
                <w:lang w:val="fr-CH"/>
              </w:rPr>
              <w:t xml:space="preserve"> </w:t>
            </w:r>
            <w:r w:rsidRPr="00A513DE">
              <w:rPr>
                <w:rFonts w:asciiTheme="minorHAnsi" w:hAnsiTheme="minorHAnsi" w:cstheme="minorHAnsi"/>
                <w:bCs/>
                <w:color w:val="000000"/>
                <w:sz w:val="22"/>
                <w:szCs w:val="22"/>
                <w:lang w:val="fr-CH"/>
              </w:rPr>
              <w:t xml:space="preserve">XXXCHF </w:t>
            </w:r>
            <w:r w:rsidR="00262977">
              <w:rPr>
                <w:rFonts w:asciiTheme="minorHAnsi" w:hAnsiTheme="minorHAnsi" w:cstheme="minorHAnsi"/>
                <w:bCs/>
                <w:color w:val="000000"/>
                <w:sz w:val="22"/>
                <w:szCs w:val="22"/>
                <w:lang w:val="fr-CH"/>
              </w:rPr>
              <w:t xml:space="preserve">sous réserve de ressources disponibles dans les fonds excédentaires </w:t>
            </w:r>
          </w:p>
          <w:p w14:paraId="1F266BBF" w14:textId="414649CF" w:rsidR="00A451D1" w:rsidRPr="00A513DE" w:rsidRDefault="00A451D1" w:rsidP="00262977">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 xml:space="preserve">** </w:t>
            </w:r>
            <w:r w:rsidR="00262977">
              <w:rPr>
                <w:rFonts w:asciiTheme="minorHAnsi" w:hAnsiTheme="minorHAnsi" w:cstheme="minorHAnsi"/>
                <w:bCs/>
                <w:color w:val="000000"/>
                <w:sz w:val="22"/>
                <w:szCs w:val="22"/>
                <w:lang w:val="fr-CH"/>
              </w:rPr>
              <w:t>Incidences administratives</w:t>
            </w:r>
            <w:r w:rsidRPr="00A513DE">
              <w:rPr>
                <w:rFonts w:asciiTheme="minorHAnsi" w:hAnsiTheme="minorHAnsi" w:cstheme="minorHAnsi"/>
                <w:bCs/>
                <w:color w:val="000000"/>
                <w:sz w:val="22"/>
                <w:szCs w:val="22"/>
                <w:lang w:val="fr-CH"/>
              </w:rPr>
              <w:t xml:space="preserve"> </w:t>
            </w:r>
          </w:p>
        </w:tc>
      </w:tr>
      <w:tr w:rsidR="00772E80" w:rsidRPr="002F2051" w14:paraId="5AC892B7" w14:textId="77777777" w:rsidTr="002F2051">
        <w:trPr>
          <w:cantSplit/>
        </w:trPr>
        <w:tc>
          <w:tcPr>
            <w:tcW w:w="1135" w:type="dxa"/>
            <w:shd w:val="clear" w:color="auto" w:fill="auto"/>
            <w:noWrap/>
          </w:tcPr>
          <w:p w14:paraId="440F8B3D"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SC59/2022 Doc.17.1</w:t>
            </w:r>
          </w:p>
        </w:tc>
        <w:tc>
          <w:tcPr>
            <w:tcW w:w="1904" w:type="dxa"/>
            <w:shd w:val="clear" w:color="auto" w:fill="auto"/>
            <w:noWrap/>
          </w:tcPr>
          <w:p w14:paraId="235D876B" w14:textId="3D7110F2" w:rsidR="00A451D1" w:rsidRPr="00A513DE" w:rsidRDefault="00684199"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Projet de résolution sur la nouvelle approche de la CESP</w:t>
            </w:r>
          </w:p>
        </w:tc>
        <w:tc>
          <w:tcPr>
            <w:tcW w:w="3119" w:type="dxa"/>
            <w:shd w:val="clear" w:color="auto" w:fill="auto"/>
          </w:tcPr>
          <w:p w14:paraId="5620C8B2" w14:textId="54612935" w:rsidR="00A451D1" w:rsidRPr="00A513DE" w:rsidRDefault="00767E4D" w:rsidP="00767E4D">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bCs/>
                <w:color w:val="000000"/>
                <w:sz w:val="22"/>
                <w:szCs w:val="22"/>
                <w:lang w:val="fr-CH"/>
              </w:rPr>
              <w:t>Renforcement des capacités de CESP au Secrétariat</w:t>
            </w:r>
            <w:r w:rsidR="00A451D1" w:rsidRPr="00A513DE">
              <w:rPr>
                <w:rFonts w:asciiTheme="minorHAnsi" w:hAnsiTheme="minorHAnsi" w:cstheme="minorHAnsi"/>
                <w:bCs/>
                <w:color w:val="000000"/>
                <w:sz w:val="22"/>
                <w:szCs w:val="22"/>
                <w:lang w:val="fr-CH"/>
              </w:rPr>
              <w:t>.</w:t>
            </w:r>
          </w:p>
        </w:tc>
        <w:tc>
          <w:tcPr>
            <w:tcW w:w="1417" w:type="dxa"/>
            <w:shd w:val="clear" w:color="auto" w:fill="auto"/>
          </w:tcPr>
          <w:p w14:paraId="42C030AD" w14:textId="2EC19BFB" w:rsidR="00A451D1" w:rsidRPr="00A513DE" w:rsidRDefault="00A451D1" w:rsidP="00767E4D">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 xml:space="preserve">* 1 </w:t>
            </w:r>
            <w:r w:rsidR="00AA4722">
              <w:rPr>
                <w:rFonts w:asciiTheme="minorHAnsi" w:hAnsiTheme="minorHAnsi" w:cstheme="minorHAnsi"/>
                <w:bCs/>
                <w:color w:val="000000"/>
                <w:sz w:val="22"/>
                <w:szCs w:val="22"/>
                <w:lang w:val="fr-CH"/>
              </w:rPr>
              <w:t>membre du personnel</w:t>
            </w:r>
            <w:r w:rsidR="00767E4D">
              <w:rPr>
                <w:rFonts w:asciiTheme="minorHAnsi" w:hAnsiTheme="minorHAnsi" w:cstheme="minorHAnsi"/>
                <w:bCs/>
                <w:color w:val="000000"/>
                <w:sz w:val="22"/>
                <w:szCs w:val="22"/>
                <w:lang w:val="fr-CH"/>
              </w:rPr>
              <w:t xml:space="preserve"> additionnel</w:t>
            </w:r>
          </w:p>
        </w:tc>
        <w:tc>
          <w:tcPr>
            <w:tcW w:w="1781" w:type="dxa"/>
            <w:shd w:val="clear" w:color="auto" w:fill="auto"/>
          </w:tcPr>
          <w:p w14:paraId="621838C8" w14:textId="24B3A965"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w:t>
            </w:r>
            <w:r w:rsidRPr="00A513DE">
              <w:rPr>
                <w:rFonts w:cs="Arial"/>
                <w:lang w:val="fr-CH"/>
              </w:rPr>
              <w:t xml:space="preserve"> </w:t>
            </w:r>
            <w:r w:rsidR="00767E4D">
              <w:rPr>
                <w:rFonts w:asciiTheme="minorHAnsi" w:hAnsiTheme="minorHAnsi" w:cstheme="minorHAnsi"/>
                <w:sz w:val="22"/>
                <w:szCs w:val="22"/>
                <w:lang w:val="fr-CH"/>
              </w:rPr>
              <w:t xml:space="preserve">Avoir un </w:t>
            </w:r>
            <w:r w:rsidR="003A147C">
              <w:rPr>
                <w:rFonts w:asciiTheme="minorHAnsi" w:hAnsiTheme="minorHAnsi" w:cstheme="minorHAnsi"/>
                <w:bCs/>
                <w:color w:val="000000"/>
                <w:sz w:val="22"/>
                <w:szCs w:val="22"/>
                <w:lang w:val="fr-CH"/>
              </w:rPr>
              <w:t xml:space="preserve">membre du personnel </w:t>
            </w:r>
            <w:r w:rsidR="00767E4D">
              <w:rPr>
                <w:rFonts w:asciiTheme="minorHAnsi" w:hAnsiTheme="minorHAnsi" w:cstheme="minorHAnsi"/>
                <w:sz w:val="22"/>
                <w:szCs w:val="22"/>
                <w:lang w:val="fr-CH"/>
              </w:rPr>
              <w:t xml:space="preserve">additionnel augmentera les coûts pour le Secrétariat </w:t>
            </w:r>
          </w:p>
          <w:p w14:paraId="56474BFD"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p>
          <w:p w14:paraId="083B0201" w14:textId="199C6E9D" w:rsidR="00A451D1" w:rsidRPr="00A513DE" w:rsidRDefault="00A451D1" w:rsidP="00767E4D">
            <w:pPr>
              <w:widowControl w:val="0"/>
              <w:ind w:left="0" w:firstLine="0"/>
              <w:jc w:val="left"/>
              <w:rPr>
                <w:lang w:val="fr-CH"/>
              </w:rPr>
            </w:pPr>
            <w:r w:rsidRPr="00A513DE">
              <w:rPr>
                <w:rFonts w:asciiTheme="minorHAnsi" w:hAnsiTheme="minorHAnsi" w:cstheme="minorHAnsi"/>
                <w:bCs/>
                <w:color w:val="000000"/>
                <w:sz w:val="22"/>
                <w:szCs w:val="22"/>
                <w:lang w:val="fr-CH"/>
              </w:rPr>
              <w:t>**</w:t>
            </w:r>
            <w:r w:rsidR="00767E4D">
              <w:rPr>
                <w:rFonts w:asciiTheme="minorHAnsi" w:hAnsiTheme="minorHAnsi" w:cstheme="minorHAnsi"/>
                <w:bCs/>
                <w:color w:val="000000"/>
                <w:sz w:val="22"/>
                <w:szCs w:val="22"/>
                <w:lang w:val="fr-CH"/>
              </w:rPr>
              <w:t xml:space="preserve"> aura des incidences financières à déterminer</w:t>
            </w:r>
            <w:r w:rsidRPr="00A513DE">
              <w:rPr>
                <w:rFonts w:asciiTheme="minorHAnsi" w:hAnsiTheme="minorHAnsi" w:cstheme="minorHAnsi"/>
                <w:bCs/>
                <w:color w:val="000000"/>
                <w:sz w:val="22"/>
                <w:szCs w:val="22"/>
                <w:lang w:val="fr-CH"/>
              </w:rPr>
              <w:t xml:space="preserve"> </w:t>
            </w:r>
          </w:p>
        </w:tc>
      </w:tr>
      <w:tr w:rsidR="00D22D6F" w:rsidRPr="002F2051" w14:paraId="6E03E5EC" w14:textId="77777777" w:rsidTr="002F2051">
        <w:trPr>
          <w:cantSplit/>
        </w:trPr>
        <w:tc>
          <w:tcPr>
            <w:tcW w:w="1135" w:type="dxa"/>
            <w:vMerge w:val="restart"/>
            <w:shd w:val="clear" w:color="auto" w:fill="auto"/>
            <w:noWrap/>
          </w:tcPr>
          <w:p w14:paraId="5BB152B7"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SC59/2022 Doc.17.1</w:t>
            </w:r>
          </w:p>
        </w:tc>
        <w:tc>
          <w:tcPr>
            <w:tcW w:w="1904" w:type="dxa"/>
            <w:vMerge w:val="restart"/>
            <w:shd w:val="clear" w:color="auto" w:fill="auto"/>
            <w:noWrap/>
          </w:tcPr>
          <w:p w14:paraId="3CBF2753" w14:textId="0A533D6A" w:rsidR="00D22D6F" w:rsidRPr="00A513DE" w:rsidRDefault="00684199"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Projet de résolution sur</w:t>
            </w:r>
            <w:r w:rsidR="00FE106E" w:rsidRPr="00A513DE">
              <w:rPr>
                <w:rFonts w:asciiTheme="minorHAnsi" w:hAnsiTheme="minorHAnsi" w:cstheme="minorHAnsi"/>
                <w:bCs/>
                <w:color w:val="000000"/>
                <w:sz w:val="22"/>
                <w:szCs w:val="22"/>
                <w:lang w:val="fr-CH"/>
              </w:rPr>
              <w:t xml:space="preserve"> les</w:t>
            </w:r>
            <w:r w:rsidRPr="00A513DE">
              <w:rPr>
                <w:rFonts w:asciiTheme="minorHAnsi" w:hAnsiTheme="minorHAnsi" w:cstheme="minorHAnsi"/>
                <w:bCs/>
                <w:color w:val="000000"/>
                <w:sz w:val="22"/>
                <w:szCs w:val="22"/>
                <w:lang w:val="fr-CH"/>
              </w:rPr>
              <w:t xml:space="preserve"> </w:t>
            </w:r>
            <w:r w:rsidR="00FE106E" w:rsidRPr="00A513DE">
              <w:rPr>
                <w:rFonts w:asciiTheme="minorHAnsi" w:hAnsiTheme="minorHAnsi" w:cstheme="minorHAnsi"/>
                <w:bCs/>
                <w:color w:val="000000"/>
                <w:sz w:val="22"/>
                <w:szCs w:val="22"/>
                <w:lang w:val="fr-CH"/>
              </w:rPr>
              <w:t>t</w:t>
            </w:r>
            <w:r w:rsidRPr="00A513DE">
              <w:rPr>
                <w:rFonts w:asciiTheme="minorHAnsi" w:hAnsiTheme="minorHAnsi" w:cstheme="minorHAnsi"/>
                <w:bCs/>
                <w:color w:val="000000"/>
                <w:sz w:val="22"/>
                <w:szCs w:val="22"/>
                <w:lang w:val="fr-CH"/>
              </w:rPr>
              <w:t>ravaux des organes Ramsar sur la CESP COP14-COP15</w:t>
            </w:r>
          </w:p>
        </w:tc>
        <w:tc>
          <w:tcPr>
            <w:tcW w:w="3119" w:type="dxa"/>
            <w:shd w:val="clear" w:color="auto" w:fill="auto"/>
          </w:tcPr>
          <w:p w14:paraId="0C5463C3" w14:textId="5EE47878" w:rsidR="00D22D6F" w:rsidRPr="00A513DE" w:rsidRDefault="00D22D6F" w:rsidP="00767E4D">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N</w:t>
            </w:r>
            <w:r w:rsidR="00767E4D">
              <w:rPr>
                <w:rFonts w:asciiTheme="minorHAnsi" w:hAnsiTheme="minorHAnsi" w:cstheme="minorHAnsi"/>
                <w:bCs/>
                <w:color w:val="000000"/>
                <w:sz w:val="22"/>
                <w:szCs w:val="22"/>
                <w:lang w:val="fr-CH"/>
              </w:rPr>
              <w:t xml:space="preserve">ouveau calendrier pour l’établissement </w:t>
            </w:r>
            <w:r w:rsidR="00767E4D" w:rsidRPr="00DB4887">
              <w:rPr>
                <w:rFonts w:asciiTheme="minorHAnsi" w:hAnsiTheme="minorHAnsi" w:cstheme="minorHAnsi"/>
                <w:bCs/>
                <w:color w:val="000000"/>
                <w:sz w:val="22"/>
                <w:szCs w:val="22"/>
                <w:lang w:val="fr-CH"/>
              </w:rPr>
              <w:t xml:space="preserve">du </w:t>
            </w:r>
            <w:r w:rsidR="00DB4887" w:rsidRPr="00DB4887">
              <w:rPr>
                <w:rFonts w:asciiTheme="minorHAnsi" w:hAnsiTheme="minorHAnsi" w:cstheme="minorHAnsi"/>
                <w:bCs/>
                <w:color w:val="000000"/>
                <w:sz w:val="22"/>
                <w:szCs w:val="22"/>
                <w:lang w:val="fr-CH"/>
              </w:rPr>
              <w:t xml:space="preserve">Groupe de coordination </w:t>
            </w:r>
            <w:r w:rsidR="00767E4D" w:rsidRPr="00DB4887">
              <w:rPr>
                <w:rFonts w:asciiTheme="minorHAnsi" w:hAnsiTheme="minorHAnsi" w:cstheme="minorHAnsi"/>
                <w:bCs/>
                <w:color w:val="000000"/>
                <w:sz w:val="22"/>
                <w:szCs w:val="22"/>
                <w:lang w:val="fr-CH"/>
              </w:rPr>
              <w:t>CESP</w:t>
            </w:r>
            <w:r w:rsidR="00DB4887">
              <w:rPr>
                <w:rFonts w:asciiTheme="minorHAnsi" w:hAnsiTheme="minorHAnsi" w:cstheme="minorHAnsi"/>
                <w:bCs/>
                <w:color w:val="000000"/>
                <w:sz w:val="22"/>
                <w:szCs w:val="22"/>
                <w:lang w:val="fr-CH"/>
              </w:rPr>
              <w:t xml:space="preserve"> (GC CESP)</w:t>
            </w:r>
            <w:r w:rsidR="00767E4D" w:rsidRPr="00DB4887">
              <w:rPr>
                <w:rFonts w:asciiTheme="minorHAnsi" w:hAnsiTheme="minorHAnsi" w:cstheme="minorHAnsi"/>
                <w:bCs/>
                <w:color w:val="000000"/>
                <w:sz w:val="22"/>
                <w:szCs w:val="22"/>
                <w:lang w:val="fr-CH"/>
              </w:rPr>
              <w:t xml:space="preserve"> </w:t>
            </w:r>
          </w:p>
        </w:tc>
        <w:tc>
          <w:tcPr>
            <w:tcW w:w="1417" w:type="dxa"/>
            <w:shd w:val="clear" w:color="auto" w:fill="auto"/>
          </w:tcPr>
          <w:p w14:paraId="1C83E3B1"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shd w:val="clear" w:color="auto" w:fill="auto"/>
          </w:tcPr>
          <w:p w14:paraId="0AC2CB74" w14:textId="653F03FB" w:rsidR="00D22D6F" w:rsidRPr="00A513DE" w:rsidRDefault="00D22D6F" w:rsidP="00767E4D">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w:t>
            </w:r>
            <w:r w:rsidR="00767E4D">
              <w:rPr>
                <w:rFonts w:asciiTheme="minorHAnsi" w:hAnsiTheme="minorHAnsi" w:cstheme="minorHAnsi"/>
                <w:bCs/>
                <w:color w:val="000000"/>
                <w:sz w:val="22"/>
                <w:szCs w:val="22"/>
                <w:lang w:val="fr-CH"/>
              </w:rPr>
              <w:t xml:space="preserve"> Pas de coûts additionnels par rapport à la procédure actuelle </w:t>
            </w:r>
          </w:p>
        </w:tc>
      </w:tr>
      <w:tr w:rsidR="00D22D6F" w:rsidRPr="002F2051" w14:paraId="7B6366B8" w14:textId="77777777" w:rsidTr="002F2051">
        <w:trPr>
          <w:cantSplit/>
        </w:trPr>
        <w:tc>
          <w:tcPr>
            <w:tcW w:w="1135" w:type="dxa"/>
            <w:vMerge/>
            <w:shd w:val="clear" w:color="auto" w:fill="auto"/>
            <w:noWrap/>
          </w:tcPr>
          <w:p w14:paraId="26988533"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p>
        </w:tc>
        <w:tc>
          <w:tcPr>
            <w:tcW w:w="1904" w:type="dxa"/>
            <w:vMerge/>
            <w:shd w:val="clear" w:color="auto" w:fill="auto"/>
            <w:noWrap/>
          </w:tcPr>
          <w:p w14:paraId="443AAFBF"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p>
        </w:tc>
        <w:tc>
          <w:tcPr>
            <w:tcW w:w="3119" w:type="dxa"/>
            <w:shd w:val="clear" w:color="auto" w:fill="auto"/>
          </w:tcPr>
          <w:p w14:paraId="1A751166" w14:textId="15966B2F" w:rsidR="00D22D6F" w:rsidRPr="00A513DE" w:rsidRDefault="00767E4D" w:rsidP="00767E4D">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sz w:val="22"/>
                <w:szCs w:val="22"/>
                <w:lang w:val="fr-CH"/>
              </w:rPr>
              <w:t xml:space="preserve">Le Secrétariat révisera le Manuel sur la CESP et participera davantage à l’application de la CESP </w:t>
            </w:r>
          </w:p>
        </w:tc>
        <w:tc>
          <w:tcPr>
            <w:tcW w:w="1417" w:type="dxa"/>
            <w:shd w:val="clear" w:color="auto" w:fill="auto"/>
          </w:tcPr>
          <w:p w14:paraId="182935D2" w14:textId="6721E6CB" w:rsidR="00D22D6F" w:rsidRPr="00A513DE" w:rsidRDefault="00767E4D" w:rsidP="00767E4D">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bCs/>
                <w:color w:val="000000"/>
                <w:sz w:val="22"/>
                <w:szCs w:val="22"/>
                <w:lang w:val="fr-CH"/>
              </w:rPr>
              <w:t xml:space="preserve">1 </w:t>
            </w:r>
            <w:r w:rsidR="00DB4887">
              <w:rPr>
                <w:rFonts w:asciiTheme="minorHAnsi" w:hAnsiTheme="minorHAnsi" w:cstheme="minorHAnsi"/>
                <w:bCs/>
                <w:color w:val="000000"/>
                <w:sz w:val="22"/>
                <w:szCs w:val="22"/>
                <w:lang w:val="fr-CH"/>
              </w:rPr>
              <w:t>membre du personnel</w:t>
            </w:r>
            <w:r>
              <w:rPr>
                <w:rFonts w:asciiTheme="minorHAnsi" w:hAnsiTheme="minorHAnsi" w:cstheme="minorHAnsi"/>
                <w:bCs/>
                <w:color w:val="000000"/>
                <w:sz w:val="22"/>
                <w:szCs w:val="22"/>
                <w:lang w:val="fr-CH"/>
              </w:rPr>
              <w:t xml:space="preserve"> additionnel</w:t>
            </w:r>
          </w:p>
        </w:tc>
        <w:tc>
          <w:tcPr>
            <w:tcW w:w="1781" w:type="dxa"/>
            <w:shd w:val="clear" w:color="auto" w:fill="auto"/>
          </w:tcPr>
          <w:p w14:paraId="000282DF" w14:textId="2B5B46BE" w:rsidR="00D22D6F" w:rsidRPr="00A513DE" w:rsidRDefault="00D22D6F" w:rsidP="00DC396C">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sz w:val="22"/>
                <w:szCs w:val="22"/>
                <w:lang w:val="fr-CH"/>
              </w:rPr>
              <w:t>*</w:t>
            </w:r>
            <w:r w:rsidR="00767E4D">
              <w:rPr>
                <w:rFonts w:asciiTheme="minorHAnsi" w:hAnsiTheme="minorHAnsi" w:cstheme="minorHAnsi"/>
                <w:sz w:val="22"/>
                <w:szCs w:val="22"/>
                <w:lang w:val="fr-CH"/>
              </w:rPr>
              <w:t xml:space="preserve"> </w:t>
            </w:r>
            <w:r w:rsidRPr="00A513DE">
              <w:rPr>
                <w:rFonts w:asciiTheme="minorHAnsi" w:hAnsiTheme="minorHAnsi" w:cstheme="minorHAnsi"/>
                <w:sz w:val="22"/>
                <w:szCs w:val="22"/>
                <w:lang w:val="fr-CH"/>
              </w:rPr>
              <w:t>U</w:t>
            </w:r>
            <w:r w:rsidR="003F43EA">
              <w:rPr>
                <w:rFonts w:asciiTheme="minorHAnsi" w:hAnsiTheme="minorHAnsi" w:cstheme="minorHAnsi"/>
                <w:sz w:val="22"/>
                <w:szCs w:val="22"/>
                <w:lang w:val="fr-CH"/>
              </w:rPr>
              <w:t xml:space="preserve">tilisation </w:t>
            </w:r>
            <w:r w:rsidR="00DB4887">
              <w:rPr>
                <w:rFonts w:asciiTheme="minorHAnsi" w:hAnsiTheme="minorHAnsi" w:cstheme="minorHAnsi"/>
                <w:sz w:val="22"/>
                <w:szCs w:val="22"/>
                <w:lang w:val="fr-CH"/>
              </w:rPr>
              <w:t>du</w:t>
            </w:r>
            <w:r w:rsidR="003F43EA">
              <w:rPr>
                <w:rFonts w:asciiTheme="minorHAnsi" w:hAnsiTheme="minorHAnsi" w:cstheme="minorHAnsi"/>
                <w:sz w:val="22"/>
                <w:szCs w:val="22"/>
                <w:lang w:val="fr-CH"/>
              </w:rPr>
              <w:t xml:space="preserve"> </w:t>
            </w:r>
            <w:r w:rsidR="00DB4887">
              <w:rPr>
                <w:rFonts w:asciiTheme="minorHAnsi" w:hAnsiTheme="minorHAnsi" w:cstheme="minorHAnsi"/>
                <w:bCs/>
                <w:color w:val="000000"/>
                <w:sz w:val="22"/>
                <w:szCs w:val="22"/>
                <w:lang w:val="fr-CH"/>
              </w:rPr>
              <w:t>membre du personnel</w:t>
            </w:r>
            <w:r w:rsidR="003F43EA">
              <w:rPr>
                <w:rFonts w:asciiTheme="minorHAnsi" w:hAnsiTheme="minorHAnsi" w:cstheme="minorHAnsi"/>
                <w:sz w:val="22"/>
                <w:szCs w:val="22"/>
                <w:lang w:val="fr-CH"/>
              </w:rPr>
              <w:t xml:space="preserve"> additionnel pour la CESP demandé dans la résolution sur la nouvelle approche</w:t>
            </w:r>
          </w:p>
        </w:tc>
      </w:tr>
      <w:tr w:rsidR="00D22D6F" w:rsidRPr="00A513DE" w14:paraId="518FC2C5" w14:textId="77777777" w:rsidTr="002F2051">
        <w:trPr>
          <w:cantSplit/>
        </w:trPr>
        <w:tc>
          <w:tcPr>
            <w:tcW w:w="1135" w:type="dxa"/>
            <w:vMerge/>
            <w:shd w:val="clear" w:color="auto" w:fill="auto"/>
            <w:noWrap/>
          </w:tcPr>
          <w:p w14:paraId="34D3F6A6"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p>
        </w:tc>
        <w:tc>
          <w:tcPr>
            <w:tcW w:w="1904" w:type="dxa"/>
            <w:vMerge/>
            <w:shd w:val="clear" w:color="auto" w:fill="auto"/>
            <w:noWrap/>
          </w:tcPr>
          <w:p w14:paraId="42AA0D5B"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p>
        </w:tc>
        <w:tc>
          <w:tcPr>
            <w:tcW w:w="3119" w:type="dxa"/>
            <w:shd w:val="clear" w:color="auto" w:fill="auto"/>
          </w:tcPr>
          <w:p w14:paraId="10CF27BD" w14:textId="3C92DD0D" w:rsidR="00D22D6F" w:rsidRPr="00A513DE" w:rsidRDefault="003F43EA" w:rsidP="003F43EA">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bCs/>
                <w:color w:val="000000"/>
                <w:sz w:val="22"/>
                <w:szCs w:val="22"/>
                <w:lang w:val="fr-CH"/>
              </w:rPr>
              <w:t>Processus de recrutement pour un Responsable de la communication additionnel</w:t>
            </w:r>
          </w:p>
        </w:tc>
        <w:tc>
          <w:tcPr>
            <w:tcW w:w="1417" w:type="dxa"/>
            <w:shd w:val="clear" w:color="auto" w:fill="auto"/>
          </w:tcPr>
          <w:p w14:paraId="763442AB"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shd w:val="clear" w:color="auto" w:fill="auto"/>
          </w:tcPr>
          <w:p w14:paraId="4DEE7F20" w14:textId="4F90AA92" w:rsidR="00D22D6F" w:rsidRPr="00A513DE" w:rsidRDefault="00D22D6F" w:rsidP="003F43EA">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w:t>
            </w:r>
            <w:r w:rsidR="003F43EA">
              <w:rPr>
                <w:rFonts w:asciiTheme="minorHAnsi" w:hAnsiTheme="minorHAnsi" w:cstheme="minorHAnsi"/>
                <w:bCs/>
                <w:color w:val="000000"/>
                <w:sz w:val="22"/>
                <w:szCs w:val="22"/>
                <w:lang w:val="fr-CH"/>
              </w:rPr>
              <w:t xml:space="preserve"> Coût du recrutement</w:t>
            </w:r>
          </w:p>
        </w:tc>
      </w:tr>
      <w:tr w:rsidR="00D22D6F" w:rsidRPr="002F2051" w14:paraId="6969E67F" w14:textId="77777777" w:rsidTr="002F2051">
        <w:trPr>
          <w:cantSplit/>
        </w:trPr>
        <w:tc>
          <w:tcPr>
            <w:tcW w:w="1135" w:type="dxa"/>
            <w:vMerge/>
            <w:shd w:val="clear" w:color="auto" w:fill="auto"/>
            <w:noWrap/>
          </w:tcPr>
          <w:p w14:paraId="132FD8BC"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p>
        </w:tc>
        <w:tc>
          <w:tcPr>
            <w:tcW w:w="1904" w:type="dxa"/>
            <w:vMerge/>
            <w:shd w:val="clear" w:color="auto" w:fill="auto"/>
            <w:noWrap/>
          </w:tcPr>
          <w:p w14:paraId="2D9A5D9E"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p>
        </w:tc>
        <w:tc>
          <w:tcPr>
            <w:tcW w:w="3119" w:type="dxa"/>
            <w:shd w:val="clear" w:color="auto" w:fill="auto"/>
          </w:tcPr>
          <w:p w14:paraId="16064E84" w14:textId="3E9F5424" w:rsidR="00D22D6F" w:rsidRPr="00A513DE" w:rsidRDefault="003F43EA" w:rsidP="003F43EA">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bCs/>
                <w:color w:val="000000"/>
                <w:sz w:val="22"/>
                <w:szCs w:val="22"/>
                <w:lang w:val="fr-CH"/>
              </w:rPr>
              <w:t>Nouveau poste CESP au Secrétariat Ramsar</w:t>
            </w:r>
          </w:p>
        </w:tc>
        <w:tc>
          <w:tcPr>
            <w:tcW w:w="1417" w:type="dxa"/>
            <w:shd w:val="clear" w:color="auto" w:fill="auto"/>
          </w:tcPr>
          <w:p w14:paraId="0AFEE8CF"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shd w:val="clear" w:color="auto" w:fill="auto"/>
          </w:tcPr>
          <w:p w14:paraId="70361248" w14:textId="3ECF3CD5"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w:t>
            </w:r>
            <w:r w:rsidR="003F43EA">
              <w:rPr>
                <w:rFonts w:asciiTheme="minorHAnsi" w:hAnsiTheme="minorHAnsi" w:cstheme="minorHAnsi"/>
                <w:bCs/>
                <w:color w:val="000000"/>
                <w:sz w:val="22"/>
                <w:szCs w:val="22"/>
                <w:lang w:val="fr-CH"/>
              </w:rPr>
              <w:t xml:space="preserve"> </w:t>
            </w:r>
            <w:r w:rsidRPr="00A513DE">
              <w:rPr>
                <w:rFonts w:asciiTheme="minorHAnsi" w:hAnsiTheme="minorHAnsi" w:cstheme="minorHAnsi"/>
                <w:bCs/>
                <w:color w:val="000000"/>
                <w:sz w:val="22"/>
                <w:szCs w:val="22"/>
                <w:lang w:val="fr-CH"/>
              </w:rPr>
              <w:t>Co</w:t>
            </w:r>
            <w:r w:rsidR="00017894">
              <w:rPr>
                <w:rFonts w:asciiTheme="minorHAnsi" w:hAnsiTheme="minorHAnsi" w:cstheme="minorHAnsi"/>
                <w:bCs/>
                <w:color w:val="000000"/>
                <w:sz w:val="22"/>
                <w:szCs w:val="22"/>
                <w:lang w:val="fr-CH"/>
              </w:rPr>
              <w:t xml:space="preserve">ût d’un </w:t>
            </w:r>
            <w:r w:rsidR="00DB4887">
              <w:rPr>
                <w:rFonts w:asciiTheme="minorHAnsi" w:hAnsiTheme="minorHAnsi" w:cstheme="minorHAnsi"/>
                <w:bCs/>
                <w:color w:val="000000"/>
                <w:sz w:val="22"/>
                <w:szCs w:val="22"/>
                <w:lang w:val="fr-CH"/>
              </w:rPr>
              <w:t>membre du personnel</w:t>
            </w:r>
          </w:p>
          <w:p w14:paraId="65684020"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p>
          <w:p w14:paraId="6B710216" w14:textId="664E68B8" w:rsidR="00D22D6F" w:rsidRPr="00A513DE" w:rsidRDefault="00D22D6F" w:rsidP="00017894">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w:t>
            </w:r>
            <w:r w:rsidR="003F43EA">
              <w:rPr>
                <w:rFonts w:asciiTheme="minorHAnsi" w:hAnsiTheme="minorHAnsi" w:cstheme="minorHAnsi"/>
                <w:bCs/>
                <w:color w:val="000000"/>
                <w:sz w:val="22"/>
                <w:szCs w:val="22"/>
                <w:lang w:val="fr-CH"/>
              </w:rPr>
              <w:t xml:space="preserve"> </w:t>
            </w:r>
            <w:r w:rsidRPr="00A513DE">
              <w:rPr>
                <w:rFonts w:asciiTheme="minorHAnsi" w:hAnsiTheme="minorHAnsi" w:cstheme="minorHAnsi"/>
                <w:bCs/>
                <w:color w:val="000000"/>
                <w:sz w:val="22"/>
                <w:szCs w:val="22"/>
                <w:lang w:val="fr-CH"/>
              </w:rPr>
              <w:t>Co</w:t>
            </w:r>
            <w:r w:rsidR="00017894">
              <w:rPr>
                <w:rFonts w:asciiTheme="minorHAnsi" w:hAnsiTheme="minorHAnsi" w:cstheme="minorHAnsi"/>
                <w:bCs/>
                <w:color w:val="000000"/>
                <w:sz w:val="22"/>
                <w:szCs w:val="22"/>
                <w:lang w:val="fr-CH"/>
              </w:rPr>
              <w:t xml:space="preserve">ût d’un </w:t>
            </w:r>
            <w:r w:rsidR="00DB4887">
              <w:rPr>
                <w:rFonts w:asciiTheme="minorHAnsi" w:hAnsiTheme="minorHAnsi" w:cstheme="minorHAnsi"/>
                <w:bCs/>
                <w:color w:val="000000"/>
                <w:sz w:val="22"/>
                <w:szCs w:val="22"/>
                <w:lang w:val="fr-CH"/>
              </w:rPr>
              <w:t>membre du personnel</w:t>
            </w:r>
            <w:r w:rsidR="00017894">
              <w:rPr>
                <w:rFonts w:asciiTheme="minorHAnsi" w:hAnsiTheme="minorHAnsi" w:cstheme="minorHAnsi"/>
                <w:bCs/>
                <w:color w:val="000000"/>
                <w:sz w:val="22"/>
                <w:szCs w:val="22"/>
                <w:lang w:val="fr-CH"/>
              </w:rPr>
              <w:t xml:space="preserve"> à déterminer sur confirmation du grade d</w:t>
            </w:r>
            <w:r w:rsidR="00733B0C">
              <w:rPr>
                <w:rFonts w:asciiTheme="minorHAnsi" w:hAnsiTheme="minorHAnsi" w:cstheme="minorHAnsi"/>
                <w:bCs/>
                <w:color w:val="000000"/>
                <w:sz w:val="22"/>
                <w:szCs w:val="22"/>
                <w:lang w:val="fr-CH"/>
              </w:rPr>
              <w:t>u</w:t>
            </w:r>
            <w:r w:rsidR="00017894">
              <w:rPr>
                <w:rFonts w:asciiTheme="minorHAnsi" w:hAnsiTheme="minorHAnsi" w:cstheme="minorHAnsi"/>
                <w:bCs/>
                <w:color w:val="000000"/>
                <w:sz w:val="22"/>
                <w:szCs w:val="22"/>
                <w:lang w:val="fr-CH"/>
              </w:rPr>
              <w:t xml:space="preserve"> </w:t>
            </w:r>
            <w:r w:rsidR="00733B0C">
              <w:rPr>
                <w:rFonts w:asciiTheme="minorHAnsi" w:hAnsiTheme="minorHAnsi" w:cstheme="minorHAnsi"/>
                <w:bCs/>
                <w:color w:val="000000"/>
                <w:sz w:val="22"/>
                <w:szCs w:val="22"/>
                <w:lang w:val="fr-CH"/>
              </w:rPr>
              <w:t>membre du personnel</w:t>
            </w:r>
          </w:p>
        </w:tc>
      </w:tr>
      <w:tr w:rsidR="00D22D6F" w:rsidRPr="00A513DE" w14:paraId="4CE6C1DE" w14:textId="77777777" w:rsidTr="002F2051">
        <w:trPr>
          <w:cantSplit/>
        </w:trPr>
        <w:tc>
          <w:tcPr>
            <w:tcW w:w="1135" w:type="dxa"/>
            <w:vMerge/>
            <w:shd w:val="clear" w:color="auto" w:fill="auto"/>
            <w:noWrap/>
          </w:tcPr>
          <w:p w14:paraId="1EBC948B"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p>
        </w:tc>
        <w:tc>
          <w:tcPr>
            <w:tcW w:w="1904" w:type="dxa"/>
            <w:vMerge/>
            <w:shd w:val="clear" w:color="auto" w:fill="auto"/>
            <w:noWrap/>
          </w:tcPr>
          <w:p w14:paraId="439B5C62"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p>
        </w:tc>
        <w:tc>
          <w:tcPr>
            <w:tcW w:w="3119" w:type="dxa"/>
            <w:shd w:val="clear" w:color="auto" w:fill="auto"/>
          </w:tcPr>
          <w:p w14:paraId="3A33E4CF" w14:textId="1694466D" w:rsidR="00D22D6F" w:rsidRPr="00A513DE" w:rsidRDefault="00017894" w:rsidP="00017894">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bCs/>
                <w:color w:val="000000"/>
                <w:sz w:val="22"/>
                <w:szCs w:val="22"/>
                <w:lang w:val="fr-CH"/>
              </w:rPr>
              <w:t xml:space="preserve">Atelier pour </w:t>
            </w:r>
            <w:r w:rsidR="00DB4887">
              <w:rPr>
                <w:rFonts w:asciiTheme="minorHAnsi" w:hAnsiTheme="minorHAnsi" w:cstheme="minorHAnsi"/>
                <w:bCs/>
                <w:color w:val="000000"/>
                <w:sz w:val="22"/>
                <w:szCs w:val="22"/>
                <w:lang w:val="fr-CH"/>
              </w:rPr>
              <w:t xml:space="preserve">le </w:t>
            </w:r>
            <w:r w:rsidR="00B63583">
              <w:rPr>
                <w:rFonts w:asciiTheme="minorHAnsi" w:hAnsiTheme="minorHAnsi" w:cstheme="minorHAnsi"/>
                <w:bCs/>
                <w:color w:val="000000"/>
                <w:sz w:val="22"/>
                <w:szCs w:val="22"/>
                <w:lang w:val="fr-CH"/>
              </w:rPr>
              <w:t>CG</w:t>
            </w:r>
            <w:r w:rsidR="00DB4887">
              <w:rPr>
                <w:rFonts w:asciiTheme="minorHAnsi" w:hAnsiTheme="minorHAnsi" w:cstheme="minorHAnsi"/>
                <w:bCs/>
                <w:color w:val="000000"/>
                <w:sz w:val="22"/>
                <w:szCs w:val="22"/>
                <w:lang w:val="fr-CH"/>
              </w:rPr>
              <w:t xml:space="preserve"> </w:t>
            </w:r>
            <w:r w:rsidRPr="00DB4887">
              <w:rPr>
                <w:rFonts w:asciiTheme="minorHAnsi" w:hAnsiTheme="minorHAnsi" w:cstheme="minorHAnsi"/>
                <w:bCs/>
                <w:color w:val="000000"/>
                <w:sz w:val="22"/>
                <w:szCs w:val="22"/>
                <w:lang w:val="fr-CH"/>
              </w:rPr>
              <w:t xml:space="preserve">CESP </w:t>
            </w:r>
          </w:p>
        </w:tc>
        <w:tc>
          <w:tcPr>
            <w:tcW w:w="1417" w:type="dxa"/>
            <w:shd w:val="clear" w:color="auto" w:fill="auto"/>
          </w:tcPr>
          <w:p w14:paraId="73DD9E6E" w14:textId="77777777" w:rsidR="00D22D6F" w:rsidRPr="00A513DE" w:rsidRDefault="00D22D6F"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shd w:val="clear" w:color="auto" w:fill="auto"/>
          </w:tcPr>
          <w:p w14:paraId="1813DBDF" w14:textId="0F0D9886" w:rsidR="00D22D6F" w:rsidRPr="00A513DE" w:rsidRDefault="00D22D6F" w:rsidP="003F43EA">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w:t>
            </w:r>
            <w:r w:rsidR="00017894">
              <w:rPr>
                <w:rFonts w:asciiTheme="minorHAnsi" w:hAnsiTheme="minorHAnsi" w:cstheme="minorHAnsi"/>
                <w:bCs/>
                <w:color w:val="000000"/>
                <w:sz w:val="22"/>
                <w:szCs w:val="22"/>
                <w:lang w:val="fr-CH"/>
              </w:rPr>
              <w:t xml:space="preserve"> </w:t>
            </w:r>
            <w:r w:rsidRPr="00A513DE">
              <w:rPr>
                <w:rFonts w:asciiTheme="minorHAnsi" w:hAnsiTheme="minorHAnsi" w:cstheme="minorHAnsi"/>
                <w:bCs/>
                <w:color w:val="000000"/>
                <w:sz w:val="22"/>
                <w:szCs w:val="22"/>
                <w:lang w:val="fr-CH"/>
              </w:rPr>
              <w:t>20</w:t>
            </w:r>
            <w:r w:rsidR="003F43EA">
              <w:rPr>
                <w:rFonts w:asciiTheme="minorHAnsi" w:hAnsiTheme="minorHAnsi" w:cstheme="minorHAnsi"/>
                <w:bCs/>
                <w:color w:val="000000"/>
                <w:sz w:val="22"/>
                <w:szCs w:val="22"/>
                <w:lang w:val="fr-CH"/>
              </w:rPr>
              <w:t xml:space="preserve"> </w:t>
            </w:r>
            <w:r w:rsidRPr="00A513DE">
              <w:rPr>
                <w:rFonts w:asciiTheme="minorHAnsi" w:hAnsiTheme="minorHAnsi" w:cstheme="minorHAnsi"/>
                <w:bCs/>
                <w:color w:val="000000"/>
                <w:sz w:val="22"/>
                <w:szCs w:val="22"/>
                <w:lang w:val="fr-CH"/>
              </w:rPr>
              <w:t>000</w:t>
            </w:r>
          </w:p>
        </w:tc>
      </w:tr>
      <w:tr w:rsidR="00772E80" w:rsidRPr="00A513DE" w14:paraId="1F4CB378" w14:textId="77777777" w:rsidTr="002F2051">
        <w:trPr>
          <w:cantSplit/>
        </w:trPr>
        <w:tc>
          <w:tcPr>
            <w:tcW w:w="1135" w:type="dxa"/>
            <w:shd w:val="clear" w:color="auto" w:fill="auto"/>
            <w:noWrap/>
          </w:tcPr>
          <w:p w14:paraId="4BA842E8"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SC59 Doc.21.1</w:t>
            </w:r>
          </w:p>
        </w:tc>
        <w:tc>
          <w:tcPr>
            <w:tcW w:w="1904" w:type="dxa"/>
            <w:shd w:val="clear" w:color="auto" w:fill="auto"/>
            <w:noWrap/>
          </w:tcPr>
          <w:p w14:paraId="111B8F48" w14:textId="14DDE797" w:rsidR="00A451D1" w:rsidRPr="00A513DE" w:rsidRDefault="00684199"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Projet de résolution sur les</w:t>
            </w:r>
            <w:r w:rsidR="00735BED">
              <w:rPr>
                <w:rFonts w:asciiTheme="minorHAnsi" w:hAnsiTheme="minorHAnsi" w:cstheme="minorHAnsi"/>
                <w:bCs/>
                <w:color w:val="000000"/>
                <w:sz w:val="22"/>
                <w:szCs w:val="22"/>
                <w:lang w:val="fr-CH"/>
              </w:rPr>
              <w:t xml:space="preserve"> </w:t>
            </w:r>
            <w:r w:rsidR="00A451D1" w:rsidRPr="00A513DE">
              <w:rPr>
                <w:rFonts w:asciiTheme="minorHAnsi" w:hAnsiTheme="minorHAnsi" w:cstheme="minorHAnsi"/>
                <w:bCs/>
                <w:color w:val="000000"/>
                <w:sz w:val="22"/>
                <w:szCs w:val="22"/>
                <w:lang w:val="fr-CH"/>
              </w:rPr>
              <w:t>Initiatives</w:t>
            </w:r>
            <w:r w:rsidR="00735BED">
              <w:rPr>
                <w:rFonts w:asciiTheme="minorHAnsi" w:hAnsiTheme="minorHAnsi" w:cstheme="minorHAnsi"/>
                <w:bCs/>
                <w:color w:val="000000"/>
                <w:sz w:val="22"/>
                <w:szCs w:val="22"/>
                <w:lang w:val="fr-CH"/>
              </w:rPr>
              <w:t xml:space="preserve"> </w:t>
            </w:r>
            <w:r w:rsidR="00017894" w:rsidRPr="00A513DE">
              <w:rPr>
                <w:rFonts w:asciiTheme="minorHAnsi" w:hAnsiTheme="minorHAnsi" w:cstheme="minorHAnsi"/>
                <w:bCs/>
                <w:color w:val="000000"/>
                <w:sz w:val="22"/>
                <w:szCs w:val="22"/>
                <w:lang w:val="fr-CH"/>
              </w:rPr>
              <w:t>régionales</w:t>
            </w:r>
            <w:r w:rsidR="004A5590" w:rsidRPr="00A513DE">
              <w:rPr>
                <w:rFonts w:asciiTheme="minorHAnsi" w:hAnsiTheme="minorHAnsi" w:cstheme="minorHAnsi"/>
                <w:bCs/>
                <w:color w:val="000000"/>
                <w:sz w:val="22"/>
                <w:szCs w:val="22"/>
                <w:lang w:val="fr-CH"/>
              </w:rPr>
              <w:t xml:space="preserve"> Ramsar </w:t>
            </w:r>
            <w:r w:rsidR="00A451D1" w:rsidRPr="00A513DE">
              <w:rPr>
                <w:rFonts w:asciiTheme="minorHAnsi" w:hAnsiTheme="minorHAnsi" w:cstheme="minorHAnsi"/>
                <w:bCs/>
                <w:color w:val="000000"/>
                <w:sz w:val="22"/>
                <w:szCs w:val="22"/>
                <w:lang w:val="fr-CH"/>
              </w:rPr>
              <w:t>202</w:t>
            </w:r>
            <w:r w:rsidR="004A5590" w:rsidRPr="00A513DE">
              <w:rPr>
                <w:rFonts w:asciiTheme="minorHAnsi" w:hAnsiTheme="minorHAnsi" w:cstheme="minorHAnsi"/>
                <w:bCs/>
                <w:color w:val="000000"/>
                <w:sz w:val="22"/>
                <w:szCs w:val="22"/>
                <w:lang w:val="fr-CH"/>
              </w:rPr>
              <w:t>3</w:t>
            </w:r>
            <w:r w:rsidR="00A451D1" w:rsidRPr="00A513DE">
              <w:rPr>
                <w:rFonts w:asciiTheme="minorHAnsi" w:hAnsiTheme="minorHAnsi" w:cstheme="minorHAnsi"/>
                <w:bCs/>
                <w:color w:val="000000"/>
                <w:sz w:val="22"/>
                <w:szCs w:val="22"/>
                <w:lang w:val="fr-CH"/>
              </w:rPr>
              <w:t>-2024</w:t>
            </w:r>
          </w:p>
        </w:tc>
        <w:tc>
          <w:tcPr>
            <w:tcW w:w="3119" w:type="dxa"/>
            <w:shd w:val="clear" w:color="auto" w:fill="auto"/>
          </w:tcPr>
          <w:p w14:paraId="69547E31" w14:textId="78138A4C" w:rsidR="00A451D1" w:rsidRPr="00A513DE" w:rsidRDefault="003B3885" w:rsidP="003B3885">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bCs/>
                <w:color w:val="000000"/>
                <w:sz w:val="22"/>
                <w:szCs w:val="22"/>
                <w:lang w:val="fr-CH"/>
              </w:rPr>
              <w:t>Pas d’activités additionnelles</w:t>
            </w:r>
            <w:r w:rsidR="00A451D1" w:rsidRPr="00A513DE">
              <w:rPr>
                <w:rFonts w:asciiTheme="minorHAnsi" w:hAnsiTheme="minorHAnsi" w:cstheme="minorHAnsi"/>
                <w:bCs/>
                <w:color w:val="000000"/>
                <w:sz w:val="22"/>
                <w:szCs w:val="22"/>
                <w:lang w:val="fr-CH"/>
              </w:rPr>
              <w:t xml:space="preserve"> </w:t>
            </w:r>
          </w:p>
        </w:tc>
        <w:tc>
          <w:tcPr>
            <w:tcW w:w="1417" w:type="dxa"/>
            <w:shd w:val="clear" w:color="auto" w:fill="auto"/>
          </w:tcPr>
          <w:p w14:paraId="697A111D"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shd w:val="clear" w:color="auto" w:fill="auto"/>
          </w:tcPr>
          <w:p w14:paraId="0AEF7448"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r>
      <w:tr w:rsidR="00772E80" w:rsidRPr="00A513DE" w14:paraId="7C1715D3" w14:textId="77777777" w:rsidTr="002F2051">
        <w:trPr>
          <w:cantSplit/>
        </w:trPr>
        <w:tc>
          <w:tcPr>
            <w:tcW w:w="1135" w:type="dxa"/>
            <w:tcBorders>
              <w:bottom w:val="single" w:sz="4" w:space="0" w:color="auto"/>
            </w:tcBorders>
            <w:shd w:val="clear" w:color="auto" w:fill="auto"/>
            <w:noWrap/>
          </w:tcPr>
          <w:p w14:paraId="5C8DB6BE"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SC59/2022 Doc.26</w:t>
            </w:r>
          </w:p>
        </w:tc>
        <w:tc>
          <w:tcPr>
            <w:tcW w:w="1904" w:type="dxa"/>
            <w:tcBorders>
              <w:bottom w:val="single" w:sz="4" w:space="0" w:color="auto"/>
            </w:tcBorders>
            <w:shd w:val="clear" w:color="auto" w:fill="auto"/>
            <w:noWrap/>
          </w:tcPr>
          <w:p w14:paraId="43A8810C" w14:textId="5417EA55" w:rsidR="00772E80" w:rsidRPr="00A513DE" w:rsidRDefault="004A5590"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Projet de résolution sur l’application future des aspects scientifiques et techniques de la Convention pour 2023-2025</w:t>
            </w:r>
          </w:p>
        </w:tc>
        <w:tc>
          <w:tcPr>
            <w:tcW w:w="3119" w:type="dxa"/>
            <w:tcBorders>
              <w:bottom w:val="single" w:sz="4" w:space="0" w:color="auto"/>
            </w:tcBorders>
            <w:shd w:val="clear" w:color="auto" w:fill="auto"/>
          </w:tcPr>
          <w:p w14:paraId="326B8406" w14:textId="55C175C6" w:rsidR="00A451D1" w:rsidRPr="00A513DE" w:rsidRDefault="003B3885" w:rsidP="003B3885">
            <w:pPr>
              <w:widowControl w:val="0"/>
              <w:ind w:left="0" w:firstLine="0"/>
              <w:jc w:val="left"/>
              <w:rPr>
                <w:rFonts w:asciiTheme="minorHAnsi" w:hAnsiTheme="minorHAnsi" w:cstheme="minorHAnsi"/>
                <w:bCs/>
                <w:color w:val="000000"/>
                <w:sz w:val="22"/>
                <w:szCs w:val="22"/>
                <w:lang w:val="fr-CH"/>
              </w:rPr>
            </w:pPr>
            <w:r>
              <w:rPr>
                <w:rFonts w:asciiTheme="minorHAnsi" w:hAnsiTheme="minorHAnsi" w:cstheme="minorHAnsi"/>
                <w:sz w:val="22"/>
                <w:szCs w:val="22"/>
                <w:lang w:val="fr-CH"/>
              </w:rPr>
              <w:t>Pas d’activités/</w:t>
            </w:r>
            <w:r w:rsidR="00B63583">
              <w:rPr>
                <w:rFonts w:asciiTheme="minorHAnsi" w:hAnsiTheme="minorHAnsi" w:cstheme="minorHAnsi"/>
                <w:sz w:val="22"/>
                <w:szCs w:val="22"/>
                <w:lang w:val="fr-CH"/>
              </w:rPr>
              <w:t xml:space="preserve">de </w:t>
            </w:r>
            <w:r>
              <w:rPr>
                <w:rFonts w:asciiTheme="minorHAnsi" w:hAnsiTheme="minorHAnsi" w:cstheme="minorHAnsi"/>
                <w:sz w:val="22"/>
                <w:szCs w:val="22"/>
                <w:lang w:val="fr-CH"/>
              </w:rPr>
              <w:t xml:space="preserve">tâches </w:t>
            </w:r>
            <w:r w:rsidRPr="00B63583">
              <w:rPr>
                <w:rFonts w:asciiTheme="minorHAnsi" w:hAnsiTheme="minorHAnsi" w:cstheme="minorHAnsi"/>
                <w:sz w:val="22"/>
                <w:szCs w:val="22"/>
                <w:lang w:val="fr-CH"/>
              </w:rPr>
              <w:t>additionnelles</w:t>
            </w:r>
            <w:r>
              <w:rPr>
                <w:rFonts w:asciiTheme="minorHAnsi" w:hAnsiTheme="minorHAnsi" w:cstheme="minorHAnsi"/>
                <w:sz w:val="22"/>
                <w:szCs w:val="22"/>
                <w:lang w:val="fr-CH"/>
              </w:rPr>
              <w:t xml:space="preserve"> requises </w:t>
            </w:r>
          </w:p>
        </w:tc>
        <w:tc>
          <w:tcPr>
            <w:tcW w:w="1417" w:type="dxa"/>
            <w:tcBorders>
              <w:bottom w:val="single" w:sz="4" w:space="0" w:color="auto"/>
            </w:tcBorders>
            <w:shd w:val="clear" w:color="auto" w:fill="auto"/>
          </w:tcPr>
          <w:p w14:paraId="61B4ABC6"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c>
          <w:tcPr>
            <w:tcW w:w="1781" w:type="dxa"/>
            <w:tcBorders>
              <w:bottom w:val="single" w:sz="4" w:space="0" w:color="auto"/>
            </w:tcBorders>
            <w:shd w:val="clear" w:color="auto" w:fill="auto"/>
          </w:tcPr>
          <w:p w14:paraId="6B2EC3B6" w14:textId="77777777" w:rsidR="00A451D1" w:rsidRPr="00A513DE" w:rsidRDefault="00A451D1" w:rsidP="00812E45">
            <w:pPr>
              <w:widowControl w:val="0"/>
              <w:ind w:left="0" w:firstLine="0"/>
              <w:jc w:val="left"/>
              <w:rPr>
                <w:rFonts w:asciiTheme="minorHAnsi" w:hAnsiTheme="minorHAnsi" w:cstheme="minorHAnsi"/>
                <w:bCs/>
                <w:color w:val="000000"/>
                <w:sz w:val="22"/>
                <w:szCs w:val="22"/>
                <w:lang w:val="fr-CH"/>
              </w:rPr>
            </w:pPr>
            <w:r w:rsidRPr="00A513DE">
              <w:rPr>
                <w:rFonts w:asciiTheme="minorHAnsi" w:hAnsiTheme="minorHAnsi" w:cstheme="minorHAnsi"/>
                <w:bCs/>
                <w:color w:val="000000"/>
                <w:sz w:val="22"/>
                <w:szCs w:val="22"/>
                <w:lang w:val="fr-CH"/>
              </w:rPr>
              <w:t>0</w:t>
            </w:r>
          </w:p>
        </w:tc>
      </w:tr>
      <w:tr w:rsidR="00D22D6F" w:rsidRPr="002F2051" w14:paraId="60706FF4" w14:textId="77777777" w:rsidTr="00772E80">
        <w:trPr>
          <w:cantSplit/>
        </w:trPr>
        <w:tc>
          <w:tcPr>
            <w:tcW w:w="9356" w:type="dxa"/>
            <w:gridSpan w:val="5"/>
            <w:tcBorders>
              <w:top w:val="nil"/>
            </w:tcBorders>
            <w:shd w:val="clear" w:color="auto" w:fill="auto"/>
            <w:noWrap/>
          </w:tcPr>
          <w:p w14:paraId="3A0156EC" w14:textId="29DD6DED" w:rsidR="00D22D6F" w:rsidRPr="00A513DE" w:rsidRDefault="003B3885" w:rsidP="003B3885">
            <w:pPr>
              <w:widowControl w:val="0"/>
              <w:spacing w:before="60" w:after="60"/>
              <w:ind w:left="0" w:firstLine="0"/>
              <w:jc w:val="left"/>
              <w:rPr>
                <w:rFonts w:asciiTheme="minorHAnsi" w:hAnsiTheme="minorHAnsi" w:cstheme="minorHAnsi"/>
                <w:b/>
                <w:bCs/>
                <w:color w:val="000000"/>
                <w:sz w:val="22"/>
                <w:szCs w:val="22"/>
                <w:lang w:val="fr-CH"/>
              </w:rPr>
            </w:pPr>
            <w:r>
              <w:rPr>
                <w:rFonts w:asciiTheme="minorHAnsi" w:hAnsiTheme="minorHAnsi" w:cstheme="minorHAnsi"/>
                <w:b/>
                <w:bCs/>
                <w:color w:val="000000"/>
                <w:sz w:val="22"/>
                <w:szCs w:val="22"/>
                <w:lang w:val="fr-CH"/>
              </w:rPr>
              <w:t>PR soumis par les Parties contractantes</w:t>
            </w:r>
          </w:p>
        </w:tc>
      </w:tr>
      <w:tr w:rsidR="00D22D6F" w:rsidRPr="00A513DE" w14:paraId="20A0A818" w14:textId="77777777" w:rsidTr="002F2051">
        <w:trPr>
          <w:cantSplit/>
        </w:trPr>
        <w:tc>
          <w:tcPr>
            <w:tcW w:w="1135" w:type="dxa"/>
            <w:vMerge w:val="restart"/>
            <w:shd w:val="clear" w:color="auto" w:fill="auto"/>
            <w:hideMark/>
          </w:tcPr>
          <w:p w14:paraId="5483C3C6"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Doc.24.1 Rev.1</w:t>
            </w:r>
          </w:p>
        </w:tc>
        <w:tc>
          <w:tcPr>
            <w:tcW w:w="1904" w:type="dxa"/>
            <w:vMerge w:val="restart"/>
            <w:shd w:val="clear" w:color="auto" w:fill="auto"/>
            <w:hideMark/>
          </w:tcPr>
          <w:p w14:paraId="5DFA5E7E" w14:textId="71E0060D" w:rsidR="00D22D6F" w:rsidRPr="00A513DE" w:rsidRDefault="004A5590"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bCs/>
                <w:color w:val="000000"/>
                <w:sz w:val="22"/>
                <w:szCs w:val="22"/>
                <w:lang w:val="fr-CH"/>
              </w:rPr>
              <w:t xml:space="preserve">Projet de résolution sur </w:t>
            </w:r>
            <w:r w:rsidR="006155CE" w:rsidRPr="00A513DE">
              <w:rPr>
                <w:rFonts w:asciiTheme="minorHAnsi" w:hAnsiTheme="minorHAnsi" w:cstheme="minorHAnsi"/>
                <w:color w:val="000000"/>
                <w:sz w:val="22"/>
                <w:szCs w:val="22"/>
                <w:lang w:val="fr-CH"/>
              </w:rPr>
              <w:t>la protection, la gestion et la restauration des zones humides en tant que solutions fondées sur la nature pour faire face à la crise climatique</w:t>
            </w:r>
          </w:p>
        </w:tc>
        <w:tc>
          <w:tcPr>
            <w:tcW w:w="3119" w:type="dxa"/>
            <w:shd w:val="clear" w:color="auto" w:fill="auto"/>
            <w:hideMark/>
          </w:tcPr>
          <w:p w14:paraId="6907E043" w14:textId="1A14B99B" w:rsidR="00D22D6F" w:rsidRPr="00A513DE" w:rsidRDefault="00A75BA0" w:rsidP="00A75BA0">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 xml:space="preserve">Le Secrétariat assure la liaison avec les conventions et organisations internationales pertinentes, </w:t>
            </w:r>
            <w:r w:rsidR="00B63583">
              <w:rPr>
                <w:rFonts w:asciiTheme="minorHAnsi" w:hAnsiTheme="minorHAnsi" w:cstheme="minorHAnsi"/>
                <w:color w:val="000000"/>
                <w:sz w:val="22"/>
                <w:szCs w:val="22"/>
                <w:lang w:val="fr-CH"/>
              </w:rPr>
              <w:t>le cas échéant</w:t>
            </w:r>
            <w:r>
              <w:rPr>
                <w:rFonts w:asciiTheme="minorHAnsi" w:hAnsiTheme="minorHAnsi" w:cstheme="minorHAnsi"/>
                <w:color w:val="000000"/>
                <w:sz w:val="22"/>
                <w:szCs w:val="22"/>
                <w:lang w:val="fr-CH"/>
              </w:rPr>
              <w:t>, et explore la possibilité de nouer des liens officiels pour promouvoir la protection, la gestion et la restauration des zones humides en tant que solutions fondées sur la nature</w:t>
            </w:r>
            <w:r w:rsidR="00B63583">
              <w:rPr>
                <w:rFonts w:asciiTheme="minorHAnsi" w:hAnsiTheme="minorHAnsi" w:cstheme="minorHAnsi"/>
                <w:color w:val="000000"/>
                <w:sz w:val="22"/>
                <w:szCs w:val="22"/>
                <w:lang w:val="fr-CH"/>
              </w:rPr>
              <w:t xml:space="preserve"> (SfN)</w:t>
            </w:r>
            <w:r>
              <w:rPr>
                <w:rFonts w:asciiTheme="minorHAnsi" w:hAnsiTheme="minorHAnsi" w:cstheme="minorHAnsi"/>
                <w:color w:val="000000"/>
                <w:sz w:val="22"/>
                <w:szCs w:val="22"/>
                <w:lang w:val="fr-CH"/>
              </w:rPr>
              <w:t xml:space="preserve"> pour l’adaptation aux changements climatiques.</w:t>
            </w:r>
            <w:r w:rsidR="00D22D6F" w:rsidRPr="00A513DE">
              <w:rPr>
                <w:rFonts w:asciiTheme="minorHAnsi" w:hAnsiTheme="minorHAnsi" w:cstheme="minorHAnsi"/>
                <w:sz w:val="22"/>
                <w:szCs w:val="22"/>
                <w:lang w:val="fr-CH"/>
              </w:rPr>
              <w:t xml:space="preserve"> </w:t>
            </w:r>
          </w:p>
        </w:tc>
        <w:tc>
          <w:tcPr>
            <w:tcW w:w="1417" w:type="dxa"/>
          </w:tcPr>
          <w:p w14:paraId="6E335808"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0</w:t>
            </w:r>
          </w:p>
        </w:tc>
        <w:tc>
          <w:tcPr>
            <w:tcW w:w="1781" w:type="dxa"/>
            <w:shd w:val="clear" w:color="auto" w:fill="auto"/>
            <w:hideMark/>
          </w:tcPr>
          <w:p w14:paraId="42C5281D" w14:textId="1D84DB49"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A75BA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r>
      <w:tr w:rsidR="00D22D6F" w:rsidRPr="00A513DE" w14:paraId="770C2CEF" w14:textId="77777777" w:rsidTr="002F2051">
        <w:trPr>
          <w:cantSplit/>
        </w:trPr>
        <w:tc>
          <w:tcPr>
            <w:tcW w:w="1135" w:type="dxa"/>
            <w:vMerge/>
            <w:hideMark/>
          </w:tcPr>
          <w:p w14:paraId="4E5D661A"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hideMark/>
          </w:tcPr>
          <w:p w14:paraId="7022D4ED"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hideMark/>
          </w:tcPr>
          <w:p w14:paraId="034F6E01" w14:textId="5F81F5C9" w:rsidR="00D22D6F" w:rsidRPr="00A513DE" w:rsidRDefault="00573610" w:rsidP="00573610">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 xml:space="preserve">Le Secrétariat encourage une </w:t>
            </w:r>
            <w:r w:rsidR="00B63583">
              <w:rPr>
                <w:rFonts w:asciiTheme="minorHAnsi" w:hAnsiTheme="minorHAnsi" w:cstheme="minorHAnsi"/>
                <w:color w:val="000000"/>
                <w:sz w:val="22"/>
                <w:szCs w:val="22"/>
                <w:lang w:val="fr-CH"/>
              </w:rPr>
              <w:t>c</w:t>
            </w:r>
            <w:r>
              <w:rPr>
                <w:rFonts w:asciiTheme="minorHAnsi" w:hAnsiTheme="minorHAnsi" w:cstheme="minorHAnsi"/>
                <w:color w:val="000000"/>
                <w:sz w:val="22"/>
                <w:szCs w:val="22"/>
                <w:lang w:val="fr-CH"/>
              </w:rPr>
              <w:t>ommunauté de pratique appropriée en impliquant des initiatives régionales sur la protection, la gestion et la restauration des zones humides en tant que SfN</w:t>
            </w:r>
            <w:r w:rsidR="00B63583">
              <w:rPr>
                <w:rFonts w:asciiTheme="minorHAnsi" w:hAnsiTheme="minorHAnsi" w:cstheme="minorHAnsi"/>
                <w:color w:val="000000"/>
                <w:sz w:val="22"/>
                <w:szCs w:val="22"/>
                <w:lang w:val="fr-CH"/>
              </w:rPr>
              <w:t>,</w:t>
            </w:r>
            <w:r>
              <w:rPr>
                <w:rFonts w:asciiTheme="minorHAnsi" w:hAnsiTheme="minorHAnsi" w:cstheme="minorHAnsi"/>
                <w:color w:val="000000"/>
                <w:sz w:val="22"/>
                <w:szCs w:val="22"/>
                <w:lang w:val="fr-CH"/>
              </w:rPr>
              <w:t xml:space="preserve"> avec </w:t>
            </w:r>
            <w:r w:rsidR="00B63583">
              <w:rPr>
                <w:rFonts w:asciiTheme="minorHAnsi" w:hAnsiTheme="minorHAnsi" w:cstheme="minorHAnsi"/>
                <w:color w:val="000000"/>
                <w:sz w:val="22"/>
                <w:szCs w:val="22"/>
                <w:lang w:val="fr-CH"/>
              </w:rPr>
              <w:t>le soutien</w:t>
            </w:r>
            <w:r>
              <w:rPr>
                <w:rFonts w:asciiTheme="minorHAnsi" w:hAnsiTheme="minorHAnsi" w:cstheme="minorHAnsi"/>
                <w:color w:val="000000"/>
                <w:sz w:val="22"/>
                <w:szCs w:val="22"/>
                <w:lang w:val="fr-CH"/>
              </w:rPr>
              <w:t xml:space="preserve"> de </w:t>
            </w:r>
            <w:r w:rsidR="00D22D6F" w:rsidRPr="00A513DE">
              <w:rPr>
                <w:rFonts w:asciiTheme="minorHAnsi" w:hAnsiTheme="minorHAnsi" w:cstheme="minorHAnsi"/>
                <w:color w:val="000000"/>
                <w:sz w:val="22"/>
                <w:szCs w:val="22"/>
                <w:lang w:val="fr-CH"/>
              </w:rPr>
              <w:t xml:space="preserve">MedWet. </w:t>
            </w:r>
          </w:p>
        </w:tc>
        <w:tc>
          <w:tcPr>
            <w:tcW w:w="1417" w:type="dxa"/>
          </w:tcPr>
          <w:p w14:paraId="193BD10A" w14:textId="06097A3C"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A75BA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10</w:t>
            </w:r>
          </w:p>
        </w:tc>
        <w:tc>
          <w:tcPr>
            <w:tcW w:w="1781" w:type="dxa"/>
            <w:shd w:val="clear" w:color="auto" w:fill="auto"/>
            <w:hideMark/>
          </w:tcPr>
          <w:p w14:paraId="26CF3AB6" w14:textId="64555518" w:rsidR="00D22D6F" w:rsidRPr="00A513DE" w:rsidRDefault="00D22D6F" w:rsidP="003B388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A75BA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15</w:t>
            </w:r>
            <w:r w:rsidR="003B3885">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000</w:t>
            </w:r>
          </w:p>
        </w:tc>
      </w:tr>
      <w:tr w:rsidR="00D22D6F" w:rsidRPr="00A513DE" w14:paraId="36D41226" w14:textId="77777777" w:rsidTr="002F2051">
        <w:trPr>
          <w:cantSplit/>
        </w:trPr>
        <w:tc>
          <w:tcPr>
            <w:tcW w:w="1135" w:type="dxa"/>
            <w:vMerge/>
          </w:tcPr>
          <w:p w14:paraId="2924BE58"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tcPr>
          <w:p w14:paraId="01A6F0A4"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tcPr>
          <w:p w14:paraId="7C6A7FAB" w14:textId="7F652540" w:rsidR="00D22D6F" w:rsidRPr="00A513DE" w:rsidRDefault="00573610" w:rsidP="00573610">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Le Groupe d’évaluation scientifique et technique</w:t>
            </w:r>
            <w:r w:rsidR="00B63583">
              <w:rPr>
                <w:rFonts w:asciiTheme="minorHAnsi" w:hAnsiTheme="minorHAnsi" w:cstheme="minorHAnsi"/>
                <w:color w:val="000000"/>
                <w:sz w:val="22"/>
                <w:szCs w:val="22"/>
                <w:lang w:val="fr-CH"/>
              </w:rPr>
              <w:t xml:space="preserve"> (GEST)</w:t>
            </w:r>
            <w:r>
              <w:rPr>
                <w:rFonts w:asciiTheme="minorHAnsi" w:hAnsiTheme="minorHAnsi" w:cstheme="minorHAnsi"/>
                <w:color w:val="000000"/>
                <w:sz w:val="22"/>
                <w:szCs w:val="22"/>
                <w:lang w:val="fr-CH"/>
              </w:rPr>
              <w:t xml:space="preserve"> collabore avec </w:t>
            </w:r>
            <w:r w:rsidR="00D22D6F" w:rsidRPr="00A513DE">
              <w:rPr>
                <w:rFonts w:asciiTheme="minorHAnsi" w:hAnsiTheme="minorHAnsi" w:cstheme="minorHAnsi"/>
                <w:color w:val="000000"/>
                <w:sz w:val="22"/>
                <w:szCs w:val="22"/>
                <w:lang w:val="fr-CH"/>
              </w:rPr>
              <w:t xml:space="preserve">MedWet </w:t>
            </w:r>
            <w:r>
              <w:rPr>
                <w:rFonts w:asciiTheme="minorHAnsi" w:hAnsiTheme="minorHAnsi" w:cstheme="minorHAnsi"/>
                <w:color w:val="000000"/>
                <w:sz w:val="22"/>
                <w:szCs w:val="22"/>
                <w:lang w:val="fr-CH"/>
              </w:rPr>
              <w:t>à différentes activités</w:t>
            </w:r>
            <w:r w:rsidR="00D22D6F" w:rsidRPr="00A513DE">
              <w:rPr>
                <w:rFonts w:asciiTheme="minorHAnsi" w:hAnsiTheme="minorHAnsi" w:cstheme="minorHAnsi"/>
                <w:color w:val="000000"/>
                <w:sz w:val="22"/>
                <w:szCs w:val="22"/>
                <w:lang w:val="fr-CH"/>
              </w:rPr>
              <w:t>.</w:t>
            </w:r>
          </w:p>
        </w:tc>
        <w:tc>
          <w:tcPr>
            <w:tcW w:w="1417" w:type="dxa"/>
          </w:tcPr>
          <w:p w14:paraId="1CB0B6E4" w14:textId="34A30752"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A75BA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20</w:t>
            </w:r>
          </w:p>
        </w:tc>
        <w:tc>
          <w:tcPr>
            <w:tcW w:w="1781" w:type="dxa"/>
            <w:shd w:val="clear" w:color="auto" w:fill="auto"/>
          </w:tcPr>
          <w:p w14:paraId="4264F9E8" w14:textId="3AE87668" w:rsidR="00D22D6F" w:rsidRPr="00A513DE" w:rsidRDefault="00D22D6F" w:rsidP="003B388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A75BA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60</w:t>
            </w:r>
            <w:r w:rsidR="003B3885">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000</w:t>
            </w:r>
          </w:p>
        </w:tc>
      </w:tr>
      <w:tr w:rsidR="00D22D6F" w:rsidRPr="00A513DE" w14:paraId="21349D8A" w14:textId="77777777" w:rsidTr="002F2051">
        <w:trPr>
          <w:cantSplit/>
        </w:trPr>
        <w:tc>
          <w:tcPr>
            <w:tcW w:w="1135" w:type="dxa"/>
            <w:vMerge w:val="restart"/>
            <w:shd w:val="clear" w:color="auto" w:fill="auto"/>
            <w:hideMark/>
          </w:tcPr>
          <w:p w14:paraId="00C8FF9E"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 Doc.24.2</w:t>
            </w:r>
          </w:p>
        </w:tc>
        <w:tc>
          <w:tcPr>
            <w:tcW w:w="1904" w:type="dxa"/>
            <w:vMerge w:val="restart"/>
            <w:shd w:val="clear" w:color="auto" w:fill="auto"/>
            <w:hideMark/>
          </w:tcPr>
          <w:p w14:paraId="3A0312A3" w14:textId="50D7918E" w:rsidR="00D22D6F" w:rsidRPr="00A513DE" w:rsidRDefault="00483222"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 xml:space="preserve">Projet de </w:t>
            </w:r>
            <w:r w:rsidR="00B63583">
              <w:rPr>
                <w:rFonts w:asciiTheme="minorHAnsi" w:hAnsiTheme="minorHAnsi" w:cstheme="minorHAnsi"/>
                <w:color w:val="000000"/>
                <w:sz w:val="22"/>
                <w:szCs w:val="22"/>
                <w:lang w:val="fr-CH"/>
              </w:rPr>
              <w:t>r</w:t>
            </w:r>
            <w:r w:rsidRPr="00A513DE">
              <w:rPr>
                <w:rFonts w:asciiTheme="minorHAnsi" w:hAnsiTheme="minorHAnsi" w:cstheme="minorHAnsi"/>
                <w:color w:val="000000"/>
                <w:sz w:val="22"/>
                <w:szCs w:val="22"/>
                <w:lang w:val="fr-CH"/>
              </w:rPr>
              <w:t xml:space="preserve">ésolution sur la révision des critères Ramsar, et déclassement des sites inscrits sur la liste Ramsar situés sur des territoires non reconnus au niveau onusien, faisant partie du territoire du pays soumissionnaire </w:t>
            </w:r>
          </w:p>
        </w:tc>
        <w:tc>
          <w:tcPr>
            <w:tcW w:w="3119" w:type="dxa"/>
            <w:shd w:val="clear" w:color="auto" w:fill="auto"/>
            <w:noWrap/>
            <w:hideMark/>
          </w:tcPr>
          <w:p w14:paraId="22EEC093" w14:textId="1ECC3559" w:rsidR="00D22D6F" w:rsidRPr="00A513DE" w:rsidRDefault="00573610" w:rsidP="00573610">
            <w:pPr>
              <w:widowControl w:val="0"/>
              <w:autoSpaceDE w:val="0"/>
              <w:autoSpaceDN w:val="0"/>
              <w:adjustRightInd w:val="0"/>
              <w:ind w:left="36" w:firstLine="0"/>
              <w:jc w:val="left"/>
              <w:rPr>
                <w:rFonts w:asciiTheme="minorHAnsi" w:hAnsiTheme="minorHAnsi" w:cstheme="minorHAnsi"/>
                <w:color w:val="000000"/>
                <w:sz w:val="22"/>
                <w:szCs w:val="22"/>
                <w:lang w:val="fr-CH"/>
              </w:rPr>
            </w:pPr>
            <w:r>
              <w:rPr>
                <w:rFonts w:asciiTheme="minorHAnsi" w:hAnsiTheme="minorHAnsi" w:cstheme="minorHAnsi"/>
                <w:sz w:val="22"/>
                <w:szCs w:val="22"/>
                <w:lang w:val="fr-CH"/>
              </w:rPr>
              <w:t>Le GEST examine le Système</w:t>
            </w:r>
            <w:r w:rsidR="00B63583">
              <w:rPr>
                <w:rFonts w:asciiTheme="minorHAnsi" w:hAnsiTheme="minorHAnsi" w:cstheme="minorHAnsi"/>
                <w:sz w:val="22"/>
                <w:szCs w:val="22"/>
                <w:lang w:val="fr-CH"/>
              </w:rPr>
              <w:t xml:space="preserve"> Ramsar</w:t>
            </w:r>
            <w:r>
              <w:rPr>
                <w:rFonts w:asciiTheme="minorHAnsi" w:hAnsiTheme="minorHAnsi" w:cstheme="minorHAnsi"/>
                <w:sz w:val="22"/>
                <w:szCs w:val="22"/>
                <w:lang w:val="fr-CH"/>
              </w:rPr>
              <w:t xml:space="preserve"> de classification des types de zones humides en vue d’inclure des aspects additionnels. </w:t>
            </w:r>
          </w:p>
        </w:tc>
        <w:tc>
          <w:tcPr>
            <w:tcW w:w="1417" w:type="dxa"/>
          </w:tcPr>
          <w:p w14:paraId="3C5E7FAD" w14:textId="012AA161"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3</w:t>
            </w:r>
          </w:p>
        </w:tc>
        <w:tc>
          <w:tcPr>
            <w:tcW w:w="1781" w:type="dxa"/>
            <w:shd w:val="clear" w:color="auto" w:fill="auto"/>
            <w:noWrap/>
            <w:hideMark/>
          </w:tcPr>
          <w:p w14:paraId="1054D323" w14:textId="3D26177A" w:rsidR="00D22D6F" w:rsidRPr="00A513DE" w:rsidRDefault="00D22D6F" w:rsidP="003B388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5</w:t>
            </w:r>
            <w:r w:rsidR="00240188">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000</w:t>
            </w:r>
          </w:p>
        </w:tc>
      </w:tr>
      <w:tr w:rsidR="00D22D6F" w:rsidRPr="00A513DE" w14:paraId="1D291116" w14:textId="77777777" w:rsidTr="002F2051">
        <w:trPr>
          <w:cantSplit/>
        </w:trPr>
        <w:tc>
          <w:tcPr>
            <w:tcW w:w="1135" w:type="dxa"/>
            <w:vMerge/>
            <w:shd w:val="clear" w:color="auto" w:fill="auto"/>
          </w:tcPr>
          <w:p w14:paraId="7A8C76F8"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79BCFF00"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tcPr>
          <w:p w14:paraId="628FAD64" w14:textId="423D5E13" w:rsidR="00D22D6F" w:rsidRPr="00A513DE" w:rsidRDefault="00397FA4" w:rsidP="00397FA4">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sz w:val="22"/>
                <w:szCs w:val="22"/>
                <w:lang w:val="fr-CH"/>
              </w:rPr>
              <w:t>Le G</w:t>
            </w:r>
            <w:r w:rsidR="00B63583">
              <w:rPr>
                <w:rFonts w:asciiTheme="minorHAnsi" w:hAnsiTheme="minorHAnsi" w:cstheme="minorHAnsi"/>
                <w:sz w:val="22"/>
                <w:szCs w:val="22"/>
                <w:lang w:val="fr-CH"/>
              </w:rPr>
              <w:t>EST</w:t>
            </w:r>
            <w:r>
              <w:rPr>
                <w:rFonts w:asciiTheme="minorHAnsi" w:hAnsiTheme="minorHAnsi" w:cstheme="minorHAnsi"/>
                <w:sz w:val="22"/>
                <w:szCs w:val="22"/>
                <w:lang w:val="fr-CH"/>
              </w:rPr>
              <w:t xml:space="preserve">, en consultation avec des experts et des organisations partenaires compétentes et avec l’aide du Secrétariat, examine les critères </w:t>
            </w:r>
            <w:r w:rsidR="00B63583">
              <w:rPr>
                <w:rFonts w:asciiTheme="minorHAnsi" w:hAnsiTheme="minorHAnsi" w:cstheme="minorHAnsi"/>
                <w:sz w:val="22"/>
                <w:szCs w:val="22"/>
                <w:lang w:val="fr-CH"/>
              </w:rPr>
              <w:t>actuels</w:t>
            </w:r>
            <w:r>
              <w:rPr>
                <w:rFonts w:asciiTheme="minorHAnsi" w:hAnsiTheme="minorHAnsi" w:cstheme="minorHAnsi"/>
                <w:sz w:val="22"/>
                <w:szCs w:val="22"/>
                <w:lang w:val="fr-CH"/>
              </w:rPr>
              <w:t xml:space="preserve"> d’identification des zones humides d’importance internationale. </w:t>
            </w:r>
          </w:p>
        </w:tc>
        <w:tc>
          <w:tcPr>
            <w:tcW w:w="1417" w:type="dxa"/>
          </w:tcPr>
          <w:p w14:paraId="3CFBC20D" w14:textId="02A92361"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3</w:t>
            </w:r>
          </w:p>
        </w:tc>
        <w:tc>
          <w:tcPr>
            <w:tcW w:w="1781" w:type="dxa"/>
            <w:shd w:val="clear" w:color="auto" w:fill="auto"/>
          </w:tcPr>
          <w:p w14:paraId="215035B4" w14:textId="5A8F0E57"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5</w:t>
            </w:r>
            <w:r w:rsidR="00240188">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000</w:t>
            </w:r>
          </w:p>
        </w:tc>
      </w:tr>
      <w:tr w:rsidR="00772E80" w:rsidRPr="00A513DE" w14:paraId="3A856B85" w14:textId="77777777" w:rsidTr="002F2051">
        <w:trPr>
          <w:cantSplit/>
        </w:trPr>
        <w:tc>
          <w:tcPr>
            <w:tcW w:w="1135" w:type="dxa"/>
            <w:vMerge w:val="restart"/>
            <w:shd w:val="clear" w:color="auto" w:fill="auto"/>
            <w:hideMark/>
          </w:tcPr>
          <w:p w14:paraId="4B813289" w14:textId="2E0194B3" w:rsidR="00A451D1" w:rsidRPr="00A513DE" w:rsidRDefault="00573610" w:rsidP="00812E45">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SC59 Doc.</w:t>
            </w:r>
            <w:r w:rsidR="00A451D1" w:rsidRPr="00A513DE">
              <w:rPr>
                <w:rFonts w:asciiTheme="minorHAnsi" w:hAnsiTheme="minorHAnsi" w:cstheme="minorHAnsi"/>
                <w:color w:val="000000"/>
                <w:sz w:val="22"/>
                <w:szCs w:val="22"/>
                <w:lang w:val="fr-CH"/>
              </w:rPr>
              <w:t>24.3</w:t>
            </w:r>
          </w:p>
        </w:tc>
        <w:tc>
          <w:tcPr>
            <w:tcW w:w="1904" w:type="dxa"/>
            <w:vMerge w:val="restart"/>
            <w:shd w:val="clear" w:color="auto" w:fill="auto"/>
            <w:hideMark/>
          </w:tcPr>
          <w:p w14:paraId="367C9ECB" w14:textId="7E28383A" w:rsidR="00A451D1" w:rsidRPr="00A513DE" w:rsidRDefault="00483222" w:rsidP="00633F07">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 xml:space="preserve">Projet de </w:t>
            </w:r>
            <w:r w:rsidR="00633F07">
              <w:rPr>
                <w:rFonts w:asciiTheme="minorHAnsi" w:hAnsiTheme="minorHAnsi" w:cstheme="minorHAnsi"/>
                <w:color w:val="000000"/>
                <w:sz w:val="22"/>
                <w:szCs w:val="22"/>
                <w:lang w:val="fr-CH"/>
              </w:rPr>
              <w:t>r</w:t>
            </w:r>
            <w:r w:rsidRPr="00A513DE">
              <w:rPr>
                <w:rFonts w:asciiTheme="minorHAnsi" w:hAnsiTheme="minorHAnsi" w:cstheme="minorHAnsi"/>
                <w:color w:val="000000"/>
                <w:sz w:val="22"/>
                <w:szCs w:val="22"/>
                <w:lang w:val="fr-CH"/>
              </w:rPr>
              <w:t xml:space="preserve">ésolution sur la </w:t>
            </w:r>
            <w:r w:rsidR="00240188" w:rsidRPr="00A513DE">
              <w:rPr>
                <w:rFonts w:asciiTheme="minorHAnsi" w:hAnsiTheme="minorHAnsi" w:cstheme="minorHAnsi"/>
                <w:color w:val="000000"/>
                <w:sz w:val="22"/>
                <w:szCs w:val="22"/>
                <w:lang w:val="fr-CH"/>
              </w:rPr>
              <w:t>création</w:t>
            </w:r>
            <w:r w:rsidRPr="00A513DE">
              <w:rPr>
                <w:rFonts w:asciiTheme="minorHAnsi" w:hAnsiTheme="minorHAnsi" w:cstheme="minorHAnsi"/>
                <w:color w:val="000000"/>
                <w:sz w:val="22"/>
                <w:szCs w:val="22"/>
                <w:lang w:val="fr-CH"/>
              </w:rPr>
              <w:t xml:space="preserve"> d’indicateurs juridiques pour mesurer l’effectivité de la Convention de Ramsar </w:t>
            </w:r>
          </w:p>
        </w:tc>
        <w:tc>
          <w:tcPr>
            <w:tcW w:w="3119" w:type="dxa"/>
            <w:shd w:val="clear" w:color="auto" w:fill="auto"/>
            <w:hideMark/>
          </w:tcPr>
          <w:p w14:paraId="65E4903C" w14:textId="1CB7ABFE" w:rsidR="00A451D1" w:rsidRPr="00A513DE" w:rsidRDefault="00CD7BD1" w:rsidP="00CD7BD1">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 xml:space="preserve">Recrutement par le Secrétariat d’un consultant pour contribuer à la formulation d’indicateurs juridiques </w:t>
            </w:r>
          </w:p>
        </w:tc>
        <w:tc>
          <w:tcPr>
            <w:tcW w:w="1417" w:type="dxa"/>
          </w:tcPr>
          <w:p w14:paraId="0C7E3A5F" w14:textId="319D549B"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8</w:t>
            </w:r>
          </w:p>
        </w:tc>
        <w:tc>
          <w:tcPr>
            <w:tcW w:w="1781" w:type="dxa"/>
            <w:shd w:val="clear" w:color="auto" w:fill="auto"/>
            <w:hideMark/>
          </w:tcPr>
          <w:p w14:paraId="6192098E" w14:textId="2955F6EE" w:rsidR="00A451D1" w:rsidRPr="00A513DE" w:rsidRDefault="00A451D1" w:rsidP="00573610">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18</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000</w:t>
            </w:r>
          </w:p>
        </w:tc>
      </w:tr>
      <w:tr w:rsidR="00772E80" w:rsidRPr="00A513DE" w14:paraId="0A36A366" w14:textId="77777777" w:rsidTr="002F2051">
        <w:trPr>
          <w:cantSplit/>
        </w:trPr>
        <w:tc>
          <w:tcPr>
            <w:tcW w:w="1135" w:type="dxa"/>
            <w:vMerge/>
            <w:hideMark/>
          </w:tcPr>
          <w:p w14:paraId="2B7AAC7A" w14:textId="77777777" w:rsidR="00A451D1" w:rsidRPr="00A513DE" w:rsidRDefault="00A451D1" w:rsidP="00812E45">
            <w:pPr>
              <w:widowControl w:val="0"/>
              <w:ind w:left="0" w:firstLine="0"/>
              <w:jc w:val="left"/>
              <w:rPr>
                <w:rFonts w:asciiTheme="minorHAnsi" w:hAnsiTheme="minorHAnsi" w:cstheme="minorHAnsi"/>
                <w:color w:val="000000"/>
                <w:sz w:val="22"/>
                <w:szCs w:val="22"/>
                <w:lang w:val="fr-CH"/>
              </w:rPr>
            </w:pPr>
          </w:p>
        </w:tc>
        <w:tc>
          <w:tcPr>
            <w:tcW w:w="1904" w:type="dxa"/>
            <w:vMerge/>
            <w:hideMark/>
          </w:tcPr>
          <w:p w14:paraId="1C379206" w14:textId="77777777" w:rsidR="00A451D1" w:rsidRPr="00A513DE" w:rsidRDefault="00A451D1"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hideMark/>
          </w:tcPr>
          <w:p w14:paraId="1AE9B185" w14:textId="69638815" w:rsidR="00A451D1" w:rsidRPr="00A513DE" w:rsidRDefault="00CD7BD1" w:rsidP="00CD7BD1">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 xml:space="preserve">Supervision de l’élaboration des indicateurs juridiques par le Groupe de travail sur l’efficacité et le Comité permanent </w:t>
            </w:r>
          </w:p>
        </w:tc>
        <w:tc>
          <w:tcPr>
            <w:tcW w:w="1417" w:type="dxa"/>
          </w:tcPr>
          <w:p w14:paraId="124BFDC8" w14:textId="75F77701"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hideMark/>
          </w:tcPr>
          <w:p w14:paraId="0853998E" w14:textId="252B88C7" w:rsidR="00A451D1" w:rsidRPr="00A513DE" w:rsidRDefault="00CD7BD1" w:rsidP="00CD7BD1">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w:t>
            </w:r>
            <w:r w:rsidR="00E75AC9">
              <w:rPr>
                <w:rFonts w:asciiTheme="minorHAnsi" w:hAnsiTheme="minorHAnsi" w:cstheme="minorHAnsi"/>
                <w:color w:val="000000"/>
                <w:sz w:val="22"/>
                <w:szCs w:val="22"/>
                <w:lang w:val="fr-CH"/>
              </w:rPr>
              <w:t xml:space="preserve"> </w:t>
            </w:r>
            <w:r>
              <w:rPr>
                <w:rFonts w:asciiTheme="minorHAnsi" w:hAnsiTheme="minorHAnsi" w:cstheme="minorHAnsi"/>
                <w:color w:val="000000"/>
                <w:sz w:val="22"/>
                <w:szCs w:val="22"/>
                <w:lang w:val="fr-CH"/>
              </w:rPr>
              <w:t>Pas d’incidences financières</w:t>
            </w:r>
          </w:p>
        </w:tc>
      </w:tr>
      <w:tr w:rsidR="00772E80" w:rsidRPr="00A513DE" w14:paraId="26BFD19B" w14:textId="77777777" w:rsidTr="002F2051">
        <w:trPr>
          <w:cantSplit/>
        </w:trPr>
        <w:tc>
          <w:tcPr>
            <w:tcW w:w="1135" w:type="dxa"/>
            <w:shd w:val="clear" w:color="auto" w:fill="auto"/>
            <w:hideMark/>
          </w:tcPr>
          <w:p w14:paraId="6D27261E" w14:textId="77777777"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Doc.24.4</w:t>
            </w:r>
          </w:p>
        </w:tc>
        <w:tc>
          <w:tcPr>
            <w:tcW w:w="1904" w:type="dxa"/>
            <w:shd w:val="clear" w:color="auto" w:fill="auto"/>
            <w:hideMark/>
          </w:tcPr>
          <w:p w14:paraId="11EE313B" w14:textId="26E5D0CF" w:rsidR="00A451D1" w:rsidRPr="00A513DE" w:rsidRDefault="006155CE"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Projet de résolution sur les orientations en matière de conservation et de gestion des petites zones humides</w:t>
            </w:r>
          </w:p>
        </w:tc>
        <w:tc>
          <w:tcPr>
            <w:tcW w:w="3119" w:type="dxa"/>
            <w:shd w:val="clear" w:color="auto" w:fill="auto"/>
            <w:noWrap/>
            <w:hideMark/>
          </w:tcPr>
          <w:p w14:paraId="79E3604C" w14:textId="17A69282" w:rsidR="00A451D1" w:rsidRPr="00A513DE" w:rsidRDefault="00C17220" w:rsidP="00C17220">
            <w:pPr>
              <w:widowControl w:val="0"/>
              <w:ind w:left="0" w:firstLine="0"/>
              <w:jc w:val="left"/>
              <w:rPr>
                <w:rFonts w:asciiTheme="minorHAnsi" w:eastAsia="SimSun" w:hAnsiTheme="minorHAnsi" w:cstheme="minorHAnsi"/>
                <w:bCs/>
                <w:sz w:val="22"/>
                <w:szCs w:val="22"/>
                <w:lang w:val="fr-CH" w:eastAsia="zh-CN"/>
              </w:rPr>
            </w:pPr>
            <w:r>
              <w:rPr>
                <w:rFonts w:asciiTheme="minorHAnsi" w:eastAsia="SimSun" w:hAnsiTheme="minorHAnsi" w:cstheme="minorHAnsi"/>
                <w:bCs/>
                <w:sz w:val="22"/>
                <w:szCs w:val="22"/>
                <w:lang w:val="fr-CH" w:eastAsia="zh-CN"/>
              </w:rPr>
              <w:t>Le G</w:t>
            </w:r>
            <w:r w:rsidR="00214C33">
              <w:rPr>
                <w:rFonts w:asciiTheme="minorHAnsi" w:eastAsia="SimSun" w:hAnsiTheme="minorHAnsi" w:cstheme="minorHAnsi"/>
                <w:bCs/>
                <w:sz w:val="22"/>
                <w:szCs w:val="22"/>
                <w:lang w:val="fr-CH" w:eastAsia="zh-CN"/>
              </w:rPr>
              <w:t>EST</w:t>
            </w:r>
            <w:r>
              <w:rPr>
                <w:rFonts w:asciiTheme="minorHAnsi" w:eastAsia="SimSun" w:hAnsiTheme="minorHAnsi" w:cstheme="minorHAnsi"/>
                <w:bCs/>
                <w:sz w:val="22"/>
                <w:szCs w:val="22"/>
                <w:lang w:val="fr-CH" w:eastAsia="zh-CN"/>
              </w:rPr>
              <w:t xml:space="preserve">, avec </w:t>
            </w:r>
            <w:r w:rsidR="00214C33">
              <w:rPr>
                <w:rFonts w:asciiTheme="minorHAnsi" w:eastAsia="SimSun" w:hAnsiTheme="minorHAnsi" w:cstheme="minorHAnsi"/>
                <w:bCs/>
                <w:sz w:val="22"/>
                <w:szCs w:val="22"/>
                <w:lang w:val="fr-CH" w:eastAsia="zh-CN"/>
              </w:rPr>
              <w:t xml:space="preserve">le soutien </w:t>
            </w:r>
            <w:r>
              <w:rPr>
                <w:rFonts w:asciiTheme="minorHAnsi" w:eastAsia="SimSun" w:hAnsiTheme="minorHAnsi" w:cstheme="minorHAnsi"/>
                <w:bCs/>
                <w:sz w:val="22"/>
                <w:szCs w:val="22"/>
                <w:lang w:val="fr-CH" w:eastAsia="zh-CN"/>
              </w:rPr>
              <w:t>du Secrétariat et du consultant, en s’appuyant sur les dernières connaissances scientifiques et les commentaires des Parties contractantes, élabore et améliore les orientations et les inscrit dans le Cadre Ramsar pour l’Inventaire des zones humides et les manuels.</w:t>
            </w:r>
          </w:p>
        </w:tc>
        <w:tc>
          <w:tcPr>
            <w:tcW w:w="1417" w:type="dxa"/>
          </w:tcPr>
          <w:p w14:paraId="22F248D6" w14:textId="55854D68"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8</w:t>
            </w:r>
          </w:p>
        </w:tc>
        <w:tc>
          <w:tcPr>
            <w:tcW w:w="1781" w:type="dxa"/>
            <w:shd w:val="clear" w:color="auto" w:fill="auto"/>
            <w:hideMark/>
          </w:tcPr>
          <w:p w14:paraId="43E0EBB8" w14:textId="5ECC0FC1" w:rsidR="00A451D1" w:rsidRPr="00A513DE" w:rsidRDefault="00A451D1" w:rsidP="00573610">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10</w:t>
            </w:r>
            <w:r w:rsidR="00573610">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000</w:t>
            </w:r>
          </w:p>
        </w:tc>
      </w:tr>
      <w:tr w:rsidR="00D22D6F" w:rsidRPr="00A513DE" w14:paraId="0B5E688B" w14:textId="77777777" w:rsidTr="002F2051">
        <w:trPr>
          <w:cantSplit/>
        </w:trPr>
        <w:tc>
          <w:tcPr>
            <w:tcW w:w="1135" w:type="dxa"/>
            <w:vMerge w:val="restart"/>
            <w:shd w:val="clear" w:color="auto" w:fill="auto"/>
            <w:hideMark/>
          </w:tcPr>
          <w:p w14:paraId="27D8E008"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lastRenderedPageBreak/>
              <w:t>SC59 Doc.24.5</w:t>
            </w:r>
          </w:p>
        </w:tc>
        <w:tc>
          <w:tcPr>
            <w:tcW w:w="1904" w:type="dxa"/>
            <w:vMerge w:val="restart"/>
            <w:shd w:val="clear" w:color="auto" w:fill="auto"/>
            <w:hideMark/>
          </w:tcPr>
          <w:p w14:paraId="08B478FC" w14:textId="77777777" w:rsidR="00483222" w:rsidRPr="00A513DE" w:rsidRDefault="00483222" w:rsidP="00483222">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Projet de résolution sur l’intégration de la conservation et de la restauration</w:t>
            </w:r>
          </w:p>
          <w:p w14:paraId="461759A3" w14:textId="0E920C8E" w:rsidR="00D22D6F" w:rsidRPr="00A513DE" w:rsidRDefault="00483222" w:rsidP="00483222">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des zones humides dans la stratégie nationale de développement durable</w:t>
            </w:r>
          </w:p>
        </w:tc>
        <w:tc>
          <w:tcPr>
            <w:tcW w:w="3119" w:type="dxa"/>
            <w:shd w:val="clear" w:color="auto" w:fill="auto"/>
            <w:noWrap/>
            <w:hideMark/>
          </w:tcPr>
          <w:p w14:paraId="08D6AE0A" w14:textId="7D6B43D7" w:rsidR="00D22D6F" w:rsidRPr="00A513DE" w:rsidRDefault="00DF27A9" w:rsidP="00DF27A9">
            <w:pPr>
              <w:widowControl w:val="0"/>
              <w:ind w:left="36" w:firstLine="0"/>
              <w:jc w:val="left"/>
              <w:rPr>
                <w:rFonts w:asciiTheme="minorHAnsi" w:eastAsia="FangSong" w:hAnsiTheme="minorHAnsi" w:cstheme="minorHAnsi"/>
                <w:sz w:val="22"/>
                <w:szCs w:val="22"/>
                <w:lang w:val="fr-CH" w:eastAsia="zh-CN"/>
              </w:rPr>
            </w:pPr>
            <w:r>
              <w:rPr>
                <w:rFonts w:asciiTheme="minorHAnsi" w:hAnsiTheme="minorHAnsi" w:cstheme="minorHAnsi"/>
                <w:sz w:val="22"/>
                <w:szCs w:val="22"/>
                <w:lang w:val="fr-CH"/>
              </w:rPr>
              <w:t>Le Secrétariat renforce la coopération avec la Commission des Nations Unies sur le développement durable, la Convention-cadre des Nations Unies sur les changements climatiques (CCNUCC) et la Convention sur la diversité biologique (CDB) ainsi que d’autres accords multilatéraux sur l’environnement pour promouvoir la prise en compte mondiale de la conservation et de la restauration des zones humides.</w:t>
            </w:r>
          </w:p>
        </w:tc>
        <w:tc>
          <w:tcPr>
            <w:tcW w:w="1417" w:type="dxa"/>
          </w:tcPr>
          <w:p w14:paraId="2EDF77B9" w14:textId="17169335"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DF27A9">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hideMark/>
          </w:tcPr>
          <w:p w14:paraId="4E00AFA0" w14:textId="6D66D183" w:rsidR="00D22D6F" w:rsidRPr="00A513DE" w:rsidRDefault="00D22D6F" w:rsidP="00DF27A9">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DF27A9">
              <w:rPr>
                <w:rFonts w:asciiTheme="minorHAnsi" w:hAnsiTheme="minorHAnsi" w:cstheme="minorHAnsi"/>
                <w:color w:val="000000"/>
                <w:sz w:val="22"/>
                <w:szCs w:val="22"/>
                <w:lang w:val="fr-CH"/>
              </w:rPr>
              <w:t xml:space="preserve"> Pas d’incidences financières</w:t>
            </w:r>
          </w:p>
        </w:tc>
      </w:tr>
      <w:tr w:rsidR="00D22D6F" w:rsidRPr="00A513DE" w14:paraId="66BA89AF" w14:textId="77777777" w:rsidTr="002F2051">
        <w:trPr>
          <w:cantSplit/>
        </w:trPr>
        <w:tc>
          <w:tcPr>
            <w:tcW w:w="1135" w:type="dxa"/>
            <w:vMerge/>
            <w:shd w:val="clear" w:color="auto" w:fill="auto"/>
          </w:tcPr>
          <w:p w14:paraId="3FDD40B0"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26076F83"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064DCAB0" w14:textId="33CA2A45" w:rsidR="00D22D6F" w:rsidRPr="00A513DE" w:rsidRDefault="002F6161" w:rsidP="00606BF2">
            <w:pPr>
              <w:widowControl w:val="0"/>
              <w:ind w:left="36" w:firstLine="0"/>
              <w:jc w:val="left"/>
              <w:rPr>
                <w:rFonts w:asciiTheme="minorHAnsi" w:hAnsiTheme="minorHAnsi" w:cstheme="minorHAnsi"/>
                <w:sz w:val="22"/>
                <w:szCs w:val="22"/>
                <w:lang w:val="fr-CH"/>
              </w:rPr>
            </w:pPr>
            <w:r>
              <w:rPr>
                <w:rFonts w:asciiTheme="minorHAnsi" w:hAnsiTheme="minorHAnsi" w:cstheme="minorHAnsi"/>
                <w:sz w:val="22"/>
                <w:szCs w:val="22"/>
                <w:lang w:val="fr-CH"/>
              </w:rPr>
              <w:t>Un c</w:t>
            </w:r>
            <w:r w:rsidR="00D22D6F" w:rsidRPr="00A513DE">
              <w:rPr>
                <w:rFonts w:asciiTheme="minorHAnsi" w:hAnsiTheme="minorHAnsi" w:cstheme="minorHAnsi"/>
                <w:sz w:val="22"/>
                <w:szCs w:val="22"/>
                <w:lang w:val="fr-CH"/>
              </w:rPr>
              <w:t xml:space="preserve">onsultant </w:t>
            </w:r>
            <w:r w:rsidR="00606BF2">
              <w:rPr>
                <w:rFonts w:asciiTheme="minorHAnsi" w:hAnsiTheme="minorHAnsi" w:cstheme="minorHAnsi"/>
                <w:sz w:val="22"/>
                <w:szCs w:val="22"/>
                <w:lang w:val="fr-CH"/>
              </w:rPr>
              <w:t xml:space="preserve">compile des études de cas et prépare des orientations techniques sur l’intégration de la conservation et </w:t>
            </w:r>
            <w:r w:rsidR="00DF5A8C">
              <w:rPr>
                <w:rFonts w:asciiTheme="minorHAnsi" w:hAnsiTheme="minorHAnsi" w:cstheme="minorHAnsi"/>
                <w:sz w:val="22"/>
                <w:szCs w:val="22"/>
                <w:lang w:val="fr-CH"/>
              </w:rPr>
              <w:t xml:space="preserve">de </w:t>
            </w:r>
            <w:r w:rsidR="00606BF2">
              <w:rPr>
                <w:rFonts w:asciiTheme="minorHAnsi" w:hAnsiTheme="minorHAnsi" w:cstheme="minorHAnsi"/>
                <w:sz w:val="22"/>
                <w:szCs w:val="22"/>
                <w:lang w:val="fr-CH"/>
              </w:rPr>
              <w:t xml:space="preserve">la restauration des zones humides au niveau national dans les stratégies </w:t>
            </w:r>
            <w:r w:rsidR="00DF5A8C">
              <w:rPr>
                <w:rFonts w:asciiTheme="minorHAnsi" w:hAnsiTheme="minorHAnsi" w:cstheme="minorHAnsi"/>
                <w:sz w:val="22"/>
                <w:szCs w:val="22"/>
                <w:lang w:val="fr-CH"/>
              </w:rPr>
              <w:t xml:space="preserve">nationales </w:t>
            </w:r>
            <w:r w:rsidR="00606BF2">
              <w:rPr>
                <w:rFonts w:asciiTheme="minorHAnsi" w:hAnsiTheme="minorHAnsi" w:cstheme="minorHAnsi"/>
                <w:sz w:val="22"/>
                <w:szCs w:val="22"/>
                <w:lang w:val="fr-CH"/>
              </w:rPr>
              <w:t xml:space="preserve">de développement durable. </w:t>
            </w:r>
          </w:p>
        </w:tc>
        <w:tc>
          <w:tcPr>
            <w:tcW w:w="1417" w:type="dxa"/>
          </w:tcPr>
          <w:p w14:paraId="71656A19" w14:textId="1C807552"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DF27A9">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20</w:t>
            </w:r>
          </w:p>
        </w:tc>
        <w:tc>
          <w:tcPr>
            <w:tcW w:w="1781" w:type="dxa"/>
            <w:shd w:val="clear" w:color="auto" w:fill="auto"/>
          </w:tcPr>
          <w:p w14:paraId="5AA428B5" w14:textId="167B8285" w:rsidR="00D22D6F" w:rsidRPr="00A513DE" w:rsidRDefault="00D22D6F" w:rsidP="00DF27A9">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DF27A9">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15</w:t>
            </w:r>
            <w:r w:rsidR="00DF27A9">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000</w:t>
            </w:r>
          </w:p>
        </w:tc>
      </w:tr>
      <w:tr w:rsidR="00772E80" w:rsidRPr="00A513DE" w14:paraId="1E0E40C6" w14:textId="77777777" w:rsidTr="002F2051">
        <w:trPr>
          <w:cantSplit/>
        </w:trPr>
        <w:tc>
          <w:tcPr>
            <w:tcW w:w="1135" w:type="dxa"/>
            <w:vMerge w:val="restart"/>
            <w:shd w:val="clear" w:color="auto" w:fill="auto"/>
            <w:hideMark/>
          </w:tcPr>
          <w:p w14:paraId="1D40E7ED" w14:textId="77777777"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 Doc.24.6</w:t>
            </w:r>
          </w:p>
        </w:tc>
        <w:tc>
          <w:tcPr>
            <w:tcW w:w="1904" w:type="dxa"/>
            <w:vMerge w:val="restart"/>
            <w:shd w:val="clear" w:color="auto" w:fill="auto"/>
            <w:hideMark/>
          </w:tcPr>
          <w:p w14:paraId="5E0E3168" w14:textId="5F52DBBC" w:rsidR="00A451D1" w:rsidRPr="00A513DE" w:rsidRDefault="00AB20ED"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Projet de résolution sur l’éducation aux zones humides dans le secteur de l’enseignement officie</w:t>
            </w:r>
            <w:r w:rsidR="00606BF2">
              <w:rPr>
                <w:rFonts w:asciiTheme="minorHAnsi" w:hAnsiTheme="minorHAnsi" w:cstheme="minorHAnsi"/>
                <w:color w:val="000000"/>
                <w:sz w:val="22"/>
                <w:szCs w:val="22"/>
                <w:lang w:val="fr-CH"/>
              </w:rPr>
              <w:t>l</w:t>
            </w:r>
          </w:p>
        </w:tc>
        <w:tc>
          <w:tcPr>
            <w:tcW w:w="3119" w:type="dxa"/>
            <w:shd w:val="clear" w:color="auto" w:fill="auto"/>
            <w:noWrap/>
            <w:hideMark/>
          </w:tcPr>
          <w:p w14:paraId="618A5977" w14:textId="67C6F32E" w:rsidR="00A451D1" w:rsidRPr="00A513DE" w:rsidRDefault="00606BF2" w:rsidP="00606BF2">
            <w:pPr>
              <w:widowControl w:val="0"/>
              <w:ind w:left="0" w:firstLine="0"/>
              <w:jc w:val="left"/>
              <w:rPr>
                <w:rFonts w:asciiTheme="minorHAnsi" w:hAnsiTheme="minorHAnsi" w:cstheme="minorHAnsi"/>
                <w:sz w:val="22"/>
                <w:szCs w:val="22"/>
                <w:lang w:val="fr-CH" w:eastAsia="ko-KR"/>
              </w:rPr>
            </w:pPr>
            <w:r>
              <w:rPr>
                <w:rFonts w:asciiTheme="minorHAnsi" w:hAnsiTheme="minorHAnsi" w:cstheme="minorHAnsi"/>
                <w:sz w:val="22"/>
                <w:szCs w:val="22"/>
                <w:lang w:val="fr-CH" w:eastAsia="ko-KR"/>
              </w:rPr>
              <w:t>Le Secrétariat inscrit l’éducation aux zones humides en tant qu’indicateur dans les Rapports nationaux, analyse les progrès d’élaboration et d’application des programmes d’éducation aux zones humides à partir des Rapports nationaux, en coopération avec le Groupe de surveillance des activités de CESP et fait rapport sur les progrès aux Parties contractantes</w:t>
            </w:r>
            <w:r w:rsidR="00344D8F">
              <w:rPr>
                <w:rFonts w:asciiTheme="minorHAnsi" w:hAnsiTheme="minorHAnsi" w:cstheme="minorHAnsi"/>
                <w:sz w:val="22"/>
                <w:szCs w:val="22"/>
                <w:lang w:val="fr-CH" w:eastAsia="ko-KR"/>
              </w:rPr>
              <w:t>,</w:t>
            </w:r>
            <w:r>
              <w:rPr>
                <w:rFonts w:asciiTheme="minorHAnsi" w:hAnsiTheme="minorHAnsi" w:cstheme="minorHAnsi"/>
                <w:sz w:val="22"/>
                <w:szCs w:val="22"/>
                <w:lang w:val="fr-CH" w:eastAsia="ko-KR"/>
              </w:rPr>
              <w:t xml:space="preserve"> à l’occasion</w:t>
            </w:r>
            <w:r w:rsidR="00344D8F">
              <w:rPr>
                <w:rFonts w:asciiTheme="minorHAnsi" w:hAnsiTheme="minorHAnsi" w:cstheme="minorHAnsi"/>
                <w:sz w:val="22"/>
                <w:szCs w:val="22"/>
                <w:lang w:val="fr-CH" w:eastAsia="ko-KR"/>
              </w:rPr>
              <w:t xml:space="preserve"> des sessions</w:t>
            </w:r>
            <w:r>
              <w:rPr>
                <w:rFonts w:asciiTheme="minorHAnsi" w:hAnsiTheme="minorHAnsi" w:cstheme="minorHAnsi"/>
                <w:sz w:val="22"/>
                <w:szCs w:val="22"/>
                <w:lang w:val="fr-CH" w:eastAsia="ko-KR"/>
              </w:rPr>
              <w:t xml:space="preserve"> de</w:t>
            </w:r>
            <w:r w:rsidR="00005A0B">
              <w:rPr>
                <w:rFonts w:asciiTheme="minorHAnsi" w:hAnsiTheme="minorHAnsi" w:cstheme="minorHAnsi"/>
                <w:sz w:val="22"/>
                <w:szCs w:val="22"/>
                <w:lang w:val="fr-CH" w:eastAsia="ko-KR"/>
              </w:rPr>
              <w:t xml:space="preserve"> la</w:t>
            </w:r>
            <w:r>
              <w:rPr>
                <w:rFonts w:asciiTheme="minorHAnsi" w:hAnsiTheme="minorHAnsi" w:cstheme="minorHAnsi"/>
                <w:sz w:val="22"/>
                <w:szCs w:val="22"/>
                <w:lang w:val="fr-CH" w:eastAsia="ko-KR"/>
              </w:rPr>
              <w:t xml:space="preserve"> COP, concernant l’objectif d’inscription de l’éducation aux zones humides dans l’éducation officielle. </w:t>
            </w:r>
          </w:p>
        </w:tc>
        <w:tc>
          <w:tcPr>
            <w:tcW w:w="1417" w:type="dxa"/>
          </w:tcPr>
          <w:p w14:paraId="13971FA5" w14:textId="1B4AD62D"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DF27A9">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2</w:t>
            </w:r>
          </w:p>
        </w:tc>
        <w:tc>
          <w:tcPr>
            <w:tcW w:w="1781" w:type="dxa"/>
            <w:shd w:val="clear" w:color="auto" w:fill="auto"/>
            <w:hideMark/>
          </w:tcPr>
          <w:p w14:paraId="27A5C89F" w14:textId="586EEA85" w:rsidR="00A451D1" w:rsidRPr="00A513DE" w:rsidRDefault="00A451D1" w:rsidP="00DF27A9">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DF27A9">
              <w:rPr>
                <w:rFonts w:asciiTheme="minorHAnsi" w:hAnsiTheme="minorHAnsi" w:cstheme="minorHAnsi"/>
                <w:color w:val="000000"/>
                <w:sz w:val="22"/>
                <w:szCs w:val="22"/>
                <w:lang w:val="fr-CH"/>
              </w:rPr>
              <w:t xml:space="preserve"> Pas d’incidences financières</w:t>
            </w:r>
          </w:p>
        </w:tc>
      </w:tr>
      <w:tr w:rsidR="00772E80" w:rsidRPr="00A513DE" w14:paraId="493FD958" w14:textId="77777777" w:rsidTr="002F2051">
        <w:trPr>
          <w:cantSplit/>
        </w:trPr>
        <w:tc>
          <w:tcPr>
            <w:tcW w:w="1135" w:type="dxa"/>
            <w:vMerge/>
            <w:shd w:val="clear" w:color="auto" w:fill="auto"/>
          </w:tcPr>
          <w:p w14:paraId="23D7AA92" w14:textId="77777777" w:rsidR="00A451D1" w:rsidRPr="00A513DE" w:rsidRDefault="00A451D1"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23B77730" w14:textId="77777777" w:rsidR="00A451D1" w:rsidRPr="00A513DE" w:rsidRDefault="00A451D1"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50641F3D" w14:textId="214EA68D" w:rsidR="00A451D1" w:rsidRPr="00A513DE" w:rsidRDefault="00B82AF2" w:rsidP="00B82AF2">
            <w:pPr>
              <w:widowControl w:val="0"/>
              <w:ind w:left="0" w:firstLine="0"/>
              <w:jc w:val="left"/>
              <w:rPr>
                <w:rFonts w:asciiTheme="minorHAnsi" w:hAnsiTheme="minorHAnsi" w:cstheme="minorHAnsi"/>
                <w:sz w:val="22"/>
                <w:szCs w:val="22"/>
                <w:lang w:val="fr-CH" w:eastAsia="ko-KR"/>
              </w:rPr>
            </w:pPr>
            <w:r w:rsidRPr="00752863">
              <w:rPr>
                <w:rFonts w:asciiTheme="minorHAnsi" w:hAnsiTheme="minorHAnsi" w:cstheme="minorHAnsi"/>
                <w:sz w:val="22"/>
                <w:szCs w:val="22"/>
                <w:lang w:val="fr-FR"/>
              </w:rPr>
              <w:t>Le Secrétaire général</w:t>
            </w:r>
            <w:r w:rsidR="00752863" w:rsidRPr="00752863">
              <w:rPr>
                <w:rFonts w:asciiTheme="minorHAnsi" w:hAnsiTheme="minorHAnsi" w:cstheme="minorHAnsi"/>
                <w:sz w:val="22"/>
                <w:szCs w:val="22"/>
                <w:lang w:val="fr-FR"/>
              </w:rPr>
              <w:t xml:space="preserve"> coordonne avec l’UNESCO et œuvre à la synergie entre le but de la Convention de Ramsar visant à inscrire l’éducation aux zones humides dans l’enseignement officiel et la feuille de route EDD pour 2030 de l’UNESCO</w:t>
            </w:r>
            <w:r>
              <w:rPr>
                <w:rFonts w:asciiTheme="minorHAnsi" w:hAnsiTheme="minorHAnsi" w:cstheme="minorHAnsi"/>
                <w:sz w:val="22"/>
                <w:szCs w:val="22"/>
                <w:lang w:val="fr-CH"/>
              </w:rPr>
              <w:t xml:space="preserve">. </w:t>
            </w:r>
          </w:p>
        </w:tc>
        <w:tc>
          <w:tcPr>
            <w:tcW w:w="1417" w:type="dxa"/>
          </w:tcPr>
          <w:p w14:paraId="2C0F46D8" w14:textId="1C383E72"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606BF2">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10</w:t>
            </w:r>
          </w:p>
        </w:tc>
        <w:tc>
          <w:tcPr>
            <w:tcW w:w="1781" w:type="dxa"/>
            <w:shd w:val="clear" w:color="auto" w:fill="auto"/>
          </w:tcPr>
          <w:p w14:paraId="611DA495" w14:textId="41E2287E" w:rsidR="00A451D1" w:rsidRPr="00A513DE" w:rsidRDefault="00A451D1" w:rsidP="00606BF2">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606BF2">
              <w:rPr>
                <w:rFonts w:asciiTheme="minorHAnsi" w:hAnsiTheme="minorHAnsi" w:cstheme="minorHAnsi"/>
                <w:color w:val="000000"/>
                <w:sz w:val="22"/>
                <w:szCs w:val="22"/>
                <w:lang w:val="fr-CH"/>
              </w:rPr>
              <w:t xml:space="preserve"> Pas d’incidences financières </w:t>
            </w:r>
          </w:p>
        </w:tc>
      </w:tr>
      <w:tr w:rsidR="00772E80" w:rsidRPr="00A513DE" w14:paraId="07C8A9A9" w14:textId="77777777" w:rsidTr="002F2051">
        <w:trPr>
          <w:cantSplit/>
        </w:trPr>
        <w:tc>
          <w:tcPr>
            <w:tcW w:w="1135" w:type="dxa"/>
            <w:shd w:val="clear" w:color="auto" w:fill="auto"/>
            <w:hideMark/>
          </w:tcPr>
          <w:p w14:paraId="3181F06B" w14:textId="77777777"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 Doc.24.7</w:t>
            </w:r>
          </w:p>
        </w:tc>
        <w:tc>
          <w:tcPr>
            <w:tcW w:w="1904" w:type="dxa"/>
            <w:shd w:val="clear" w:color="auto" w:fill="auto"/>
            <w:hideMark/>
          </w:tcPr>
          <w:p w14:paraId="60F0FE7A" w14:textId="37A03BF0" w:rsidR="00A451D1" w:rsidRPr="00A513DE" w:rsidRDefault="00AB20ED"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Projet de résolution sur les prix Ramsar pour les zones humides</w:t>
            </w:r>
          </w:p>
        </w:tc>
        <w:tc>
          <w:tcPr>
            <w:tcW w:w="3119" w:type="dxa"/>
            <w:shd w:val="clear" w:color="auto" w:fill="auto"/>
            <w:noWrap/>
            <w:hideMark/>
          </w:tcPr>
          <w:p w14:paraId="185F84B6" w14:textId="124B51BE" w:rsidR="00A451D1" w:rsidRPr="00A513DE" w:rsidRDefault="002807FD" w:rsidP="002807FD">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sz w:val="22"/>
                <w:szCs w:val="22"/>
                <w:lang w:val="fr-CH"/>
              </w:rPr>
              <w:t>Les lauréats du prix</w:t>
            </w:r>
            <w:r w:rsidR="00A451D1" w:rsidRPr="00A513DE">
              <w:rPr>
                <w:rFonts w:asciiTheme="minorHAnsi" w:hAnsiTheme="minorHAnsi" w:cstheme="minorHAnsi"/>
                <w:sz w:val="22"/>
                <w:szCs w:val="22"/>
                <w:lang w:val="fr-CH"/>
              </w:rPr>
              <w:t xml:space="preserve"> Ramsar </w:t>
            </w:r>
            <w:r>
              <w:rPr>
                <w:rFonts w:asciiTheme="minorHAnsi" w:hAnsiTheme="minorHAnsi" w:cstheme="minorHAnsi"/>
                <w:sz w:val="22"/>
                <w:szCs w:val="22"/>
                <w:lang w:val="fr-CH"/>
              </w:rPr>
              <w:t xml:space="preserve">pour les zones humides </w:t>
            </w:r>
            <w:r w:rsidR="00005A0B">
              <w:rPr>
                <w:rFonts w:asciiTheme="minorHAnsi" w:hAnsiTheme="minorHAnsi" w:cstheme="minorHAnsi"/>
                <w:sz w:val="22"/>
                <w:szCs w:val="22"/>
                <w:lang w:val="fr-CH"/>
              </w:rPr>
              <w:t xml:space="preserve">reçoivent </w:t>
            </w:r>
            <w:r>
              <w:rPr>
                <w:rFonts w:asciiTheme="minorHAnsi" w:hAnsiTheme="minorHAnsi" w:cstheme="minorHAnsi"/>
                <w:sz w:val="22"/>
                <w:szCs w:val="22"/>
                <w:lang w:val="fr-CH"/>
              </w:rPr>
              <w:t>un trophée et un certificat. Les lauréats du prix du Mérite pour les zones humides reçoivent un trophée et un certificat.</w:t>
            </w:r>
          </w:p>
        </w:tc>
        <w:tc>
          <w:tcPr>
            <w:tcW w:w="1417" w:type="dxa"/>
          </w:tcPr>
          <w:p w14:paraId="2372ED4C" w14:textId="4F8239E3"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2807FD">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hideMark/>
          </w:tcPr>
          <w:p w14:paraId="0B063269" w14:textId="0D6C8493" w:rsidR="00A451D1" w:rsidRPr="00A513DE" w:rsidRDefault="00A451D1" w:rsidP="00B82AF2">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B82AF2">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w:t>
            </w:r>
            <w:r w:rsidR="00B82AF2">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200</w:t>
            </w:r>
          </w:p>
        </w:tc>
      </w:tr>
      <w:tr w:rsidR="00D22D6F" w:rsidRPr="00A513DE" w14:paraId="2EBBAD9C" w14:textId="77777777" w:rsidTr="002F2051">
        <w:trPr>
          <w:cantSplit/>
        </w:trPr>
        <w:tc>
          <w:tcPr>
            <w:tcW w:w="1135" w:type="dxa"/>
            <w:vMerge w:val="restart"/>
            <w:shd w:val="clear" w:color="auto" w:fill="auto"/>
          </w:tcPr>
          <w:p w14:paraId="38215EC2" w14:textId="32B30315"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w:t>
            </w:r>
            <w:r w:rsidR="00B82AF2">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24.8</w:t>
            </w:r>
          </w:p>
        </w:tc>
        <w:tc>
          <w:tcPr>
            <w:tcW w:w="1904" w:type="dxa"/>
            <w:vMerge w:val="restart"/>
            <w:shd w:val="clear" w:color="auto" w:fill="auto"/>
          </w:tcPr>
          <w:p w14:paraId="733D1250" w14:textId="03D8CF25" w:rsidR="00D22D6F" w:rsidRPr="00A513DE" w:rsidRDefault="00D34FC0"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Projet de résolution sur la mise à jour du label Ville des Zones Humides accréditée par la Convention de Ramsar</w:t>
            </w:r>
          </w:p>
        </w:tc>
        <w:tc>
          <w:tcPr>
            <w:tcW w:w="3119" w:type="dxa"/>
            <w:shd w:val="clear" w:color="auto" w:fill="auto"/>
            <w:noWrap/>
          </w:tcPr>
          <w:p w14:paraId="08F47F1A" w14:textId="066E652E" w:rsidR="00D22D6F" w:rsidRPr="00A513DE" w:rsidRDefault="00644E6B" w:rsidP="00644E6B">
            <w:pPr>
              <w:widowControl w:val="0"/>
              <w:ind w:left="0" w:firstLine="0"/>
              <w:jc w:val="left"/>
              <w:rPr>
                <w:rFonts w:asciiTheme="minorHAnsi" w:hAnsiTheme="minorHAnsi" w:cstheme="minorHAnsi"/>
                <w:sz w:val="22"/>
                <w:szCs w:val="22"/>
                <w:lang w:val="fr-CH"/>
              </w:rPr>
            </w:pPr>
            <w:r>
              <w:rPr>
                <w:rFonts w:asciiTheme="minorHAnsi" w:hAnsiTheme="minorHAnsi" w:cstheme="minorHAnsi"/>
                <w:bCs/>
                <w:sz w:val="22"/>
                <w:szCs w:val="22"/>
                <w:lang w:val="fr-CH"/>
              </w:rPr>
              <w:t xml:space="preserve">Le Secrétariat soutient le </w:t>
            </w:r>
            <w:r w:rsidR="00E228CD">
              <w:rPr>
                <w:rFonts w:asciiTheme="minorHAnsi" w:hAnsiTheme="minorHAnsi" w:cstheme="minorHAnsi"/>
                <w:bCs/>
                <w:sz w:val="22"/>
                <w:szCs w:val="22"/>
                <w:lang w:val="fr-CH"/>
              </w:rPr>
              <w:t>label</w:t>
            </w:r>
            <w:r>
              <w:rPr>
                <w:rFonts w:asciiTheme="minorHAnsi" w:hAnsiTheme="minorHAnsi" w:cstheme="minorHAnsi"/>
                <w:bCs/>
                <w:sz w:val="22"/>
                <w:szCs w:val="22"/>
                <w:lang w:val="fr-CH"/>
              </w:rPr>
              <w:t xml:space="preserve"> Ville des Zones Humides accréditée (10 jours par an pour un personnel </w:t>
            </w:r>
            <w:r w:rsidR="00E228CD">
              <w:rPr>
                <w:rFonts w:asciiTheme="minorHAnsi" w:hAnsiTheme="minorHAnsi" w:cstheme="minorHAnsi"/>
                <w:bCs/>
                <w:sz w:val="22"/>
                <w:szCs w:val="22"/>
                <w:lang w:val="fr-CH"/>
              </w:rPr>
              <w:t>de soutien</w:t>
            </w:r>
            <w:r>
              <w:rPr>
                <w:rFonts w:asciiTheme="minorHAnsi" w:hAnsiTheme="minorHAnsi" w:cstheme="minorHAnsi"/>
                <w:bCs/>
                <w:sz w:val="22"/>
                <w:szCs w:val="22"/>
                <w:lang w:val="fr-CH"/>
              </w:rPr>
              <w:t xml:space="preserve">). </w:t>
            </w:r>
          </w:p>
        </w:tc>
        <w:tc>
          <w:tcPr>
            <w:tcW w:w="1417" w:type="dxa"/>
          </w:tcPr>
          <w:p w14:paraId="26BCBBA0" w14:textId="214E594C"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2807FD">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10</w:t>
            </w:r>
          </w:p>
        </w:tc>
        <w:tc>
          <w:tcPr>
            <w:tcW w:w="1781" w:type="dxa"/>
            <w:shd w:val="clear" w:color="auto" w:fill="auto"/>
          </w:tcPr>
          <w:p w14:paraId="31769EED" w14:textId="7B1A6D68" w:rsidR="00D22D6F" w:rsidRPr="00A513DE" w:rsidRDefault="00D22D6F" w:rsidP="00644E6B">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B82AF2">
              <w:rPr>
                <w:rFonts w:asciiTheme="minorHAnsi" w:hAnsiTheme="minorHAnsi" w:cstheme="minorHAnsi"/>
                <w:color w:val="000000"/>
                <w:sz w:val="22"/>
                <w:szCs w:val="22"/>
                <w:lang w:val="fr-CH"/>
              </w:rPr>
              <w:t xml:space="preserve"> 4 200 </w:t>
            </w:r>
            <w:r w:rsidRPr="00A513DE">
              <w:rPr>
                <w:rFonts w:asciiTheme="minorHAnsi" w:hAnsiTheme="minorHAnsi" w:cstheme="minorHAnsi"/>
                <w:color w:val="000000"/>
                <w:sz w:val="22"/>
                <w:szCs w:val="22"/>
                <w:lang w:val="fr-CH"/>
              </w:rPr>
              <w:t xml:space="preserve">CHF </w:t>
            </w:r>
            <w:r w:rsidR="00B82AF2">
              <w:rPr>
                <w:rFonts w:asciiTheme="minorHAnsi" w:hAnsiTheme="minorHAnsi" w:cstheme="minorHAnsi"/>
                <w:color w:val="000000"/>
                <w:sz w:val="22"/>
                <w:szCs w:val="22"/>
                <w:lang w:val="fr-CH"/>
              </w:rPr>
              <w:t>par an</w:t>
            </w:r>
          </w:p>
        </w:tc>
      </w:tr>
      <w:tr w:rsidR="00D22D6F" w:rsidRPr="00A513DE" w14:paraId="1430CCDC" w14:textId="77777777" w:rsidTr="002F2051">
        <w:trPr>
          <w:cantSplit/>
        </w:trPr>
        <w:tc>
          <w:tcPr>
            <w:tcW w:w="1135" w:type="dxa"/>
            <w:vMerge/>
            <w:shd w:val="clear" w:color="auto" w:fill="auto"/>
          </w:tcPr>
          <w:p w14:paraId="71000665"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290250E5"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58E632F0" w14:textId="370984C3" w:rsidR="00D22D6F" w:rsidRPr="00A513DE" w:rsidRDefault="00D22D6F" w:rsidP="00644E6B">
            <w:pPr>
              <w:widowControl w:val="0"/>
              <w:ind w:left="0" w:firstLine="0"/>
              <w:jc w:val="left"/>
              <w:rPr>
                <w:rFonts w:asciiTheme="minorHAnsi" w:hAnsiTheme="minorHAnsi" w:cstheme="minorHAnsi"/>
                <w:bCs/>
                <w:sz w:val="22"/>
                <w:szCs w:val="22"/>
                <w:lang w:val="fr-CH"/>
              </w:rPr>
            </w:pPr>
            <w:r w:rsidRPr="00A513DE">
              <w:rPr>
                <w:rFonts w:asciiTheme="minorHAnsi" w:hAnsiTheme="minorHAnsi" w:cstheme="minorHAnsi"/>
                <w:bCs/>
                <w:sz w:val="22"/>
                <w:szCs w:val="22"/>
                <w:lang w:val="fr-CH"/>
              </w:rPr>
              <w:t xml:space="preserve">Production </w:t>
            </w:r>
            <w:r w:rsidR="00644E6B">
              <w:rPr>
                <w:rFonts w:asciiTheme="minorHAnsi" w:hAnsiTheme="minorHAnsi" w:cstheme="minorHAnsi"/>
                <w:bCs/>
                <w:sz w:val="22"/>
                <w:szCs w:val="22"/>
                <w:lang w:val="fr-CH"/>
              </w:rPr>
              <w:t xml:space="preserve">des certificats </w:t>
            </w:r>
            <w:r w:rsidR="00E228CD">
              <w:rPr>
                <w:rFonts w:asciiTheme="minorHAnsi" w:hAnsiTheme="minorHAnsi" w:cstheme="minorHAnsi"/>
                <w:bCs/>
                <w:sz w:val="22"/>
                <w:szCs w:val="22"/>
                <w:lang w:val="fr-CH"/>
              </w:rPr>
              <w:t>du label</w:t>
            </w:r>
          </w:p>
        </w:tc>
        <w:tc>
          <w:tcPr>
            <w:tcW w:w="1417" w:type="dxa"/>
          </w:tcPr>
          <w:p w14:paraId="123D018C" w14:textId="55C48689"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2807FD">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497121F7"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r>
      <w:tr w:rsidR="00772E80" w:rsidRPr="002F2051" w14:paraId="4033A43D" w14:textId="77777777" w:rsidTr="002F2051">
        <w:trPr>
          <w:cantSplit/>
        </w:trPr>
        <w:tc>
          <w:tcPr>
            <w:tcW w:w="1135" w:type="dxa"/>
            <w:shd w:val="clear" w:color="auto" w:fill="auto"/>
          </w:tcPr>
          <w:p w14:paraId="2F2FDC61" w14:textId="1726B1F4"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w:t>
            </w:r>
            <w:r w:rsidR="00B82AF2">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24.9</w:t>
            </w:r>
          </w:p>
        </w:tc>
        <w:tc>
          <w:tcPr>
            <w:tcW w:w="1904" w:type="dxa"/>
            <w:shd w:val="clear" w:color="auto" w:fill="auto"/>
          </w:tcPr>
          <w:p w14:paraId="5A264184" w14:textId="7B7E5E67" w:rsidR="00A451D1" w:rsidRPr="00A513DE" w:rsidRDefault="00243DD8"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 xml:space="preserve">Projet de résolution proposé sur </w:t>
            </w:r>
            <w:r w:rsidR="00AB20ED" w:rsidRPr="00A513DE">
              <w:rPr>
                <w:rFonts w:asciiTheme="minorHAnsi" w:hAnsiTheme="minorHAnsi" w:cstheme="minorHAnsi"/>
                <w:color w:val="000000"/>
                <w:sz w:val="22"/>
                <w:szCs w:val="22"/>
                <w:lang w:val="fr-CH"/>
              </w:rPr>
              <w:t>l</w:t>
            </w:r>
            <w:r w:rsidRPr="00A513DE">
              <w:rPr>
                <w:rFonts w:asciiTheme="minorHAnsi" w:hAnsiTheme="minorHAnsi" w:cstheme="minorHAnsi"/>
                <w:color w:val="000000"/>
                <w:sz w:val="22"/>
                <w:szCs w:val="22"/>
                <w:lang w:val="fr-CH"/>
              </w:rPr>
              <w:t>es Initiatives régionales Ramsar – Les fondamentaux</w:t>
            </w:r>
          </w:p>
        </w:tc>
        <w:tc>
          <w:tcPr>
            <w:tcW w:w="3119" w:type="dxa"/>
            <w:shd w:val="clear" w:color="auto" w:fill="auto"/>
            <w:noWrap/>
          </w:tcPr>
          <w:p w14:paraId="08AC3B59" w14:textId="0E702B33" w:rsidR="00A451D1" w:rsidRPr="00A513DE" w:rsidRDefault="006F10A7" w:rsidP="006F10A7">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Le Secrétariat publie l’information fournie par les IRR, notamment les rapports sur leurs succès et leurs programmes de travail et d’autres informations pertinentes sur les IRR, le cas échéant, sur le site web de la Convention.</w:t>
            </w:r>
          </w:p>
        </w:tc>
        <w:tc>
          <w:tcPr>
            <w:tcW w:w="1417" w:type="dxa"/>
          </w:tcPr>
          <w:p w14:paraId="526D895E" w14:textId="5695F981"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2807FD">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4F3BB24A" w14:textId="46E6F220" w:rsidR="00A451D1" w:rsidRPr="00A513DE" w:rsidRDefault="00A451D1" w:rsidP="006F10A7">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2807FD">
              <w:rPr>
                <w:rFonts w:asciiTheme="minorHAnsi" w:hAnsiTheme="minorHAnsi" w:cstheme="minorHAnsi"/>
                <w:color w:val="000000"/>
                <w:sz w:val="22"/>
                <w:szCs w:val="22"/>
                <w:lang w:val="fr-CH"/>
              </w:rPr>
              <w:t xml:space="preserve"> </w:t>
            </w:r>
            <w:r w:rsidR="006F10A7">
              <w:rPr>
                <w:rFonts w:asciiTheme="minorHAnsi" w:hAnsiTheme="minorHAnsi" w:cstheme="minorHAnsi"/>
                <w:color w:val="000000"/>
                <w:sz w:val="22"/>
                <w:szCs w:val="22"/>
                <w:lang w:val="fr-CH"/>
              </w:rPr>
              <w:t>Pas d’incidences financières mais des incidences administratives</w:t>
            </w:r>
            <w:r w:rsidR="00735BED">
              <w:rPr>
                <w:rFonts w:asciiTheme="minorHAnsi" w:hAnsiTheme="minorHAnsi" w:cstheme="minorHAnsi"/>
                <w:color w:val="000000"/>
                <w:sz w:val="22"/>
                <w:szCs w:val="22"/>
                <w:lang w:val="fr-CH"/>
              </w:rPr>
              <w:t xml:space="preserve"> </w:t>
            </w:r>
          </w:p>
        </w:tc>
      </w:tr>
      <w:tr w:rsidR="00D22D6F" w:rsidRPr="00A513DE" w14:paraId="3BFBC7EE" w14:textId="77777777" w:rsidTr="002F2051">
        <w:trPr>
          <w:cantSplit/>
        </w:trPr>
        <w:tc>
          <w:tcPr>
            <w:tcW w:w="1135" w:type="dxa"/>
            <w:vMerge w:val="restart"/>
            <w:shd w:val="clear" w:color="auto" w:fill="auto"/>
          </w:tcPr>
          <w:p w14:paraId="18308C75" w14:textId="42859A1C"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w:t>
            </w:r>
            <w:r w:rsidR="00B82AF2">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24.10</w:t>
            </w:r>
          </w:p>
        </w:tc>
        <w:tc>
          <w:tcPr>
            <w:tcW w:w="1904" w:type="dxa"/>
            <w:vMerge w:val="restart"/>
            <w:shd w:val="clear" w:color="auto" w:fill="auto"/>
          </w:tcPr>
          <w:p w14:paraId="1989253F" w14:textId="673284F6" w:rsidR="00D22D6F" w:rsidRPr="00A513DE" w:rsidRDefault="00243DD8"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bCs/>
                <w:color w:val="000000"/>
                <w:sz w:val="22"/>
                <w:szCs w:val="22"/>
                <w:lang w:val="fr-CH"/>
              </w:rPr>
              <w:t>Projet de résolution sur les</w:t>
            </w:r>
            <w:r w:rsidR="00735BED">
              <w:rPr>
                <w:rFonts w:asciiTheme="minorHAnsi" w:hAnsiTheme="minorHAnsi" w:cstheme="minorHAnsi"/>
                <w:bCs/>
                <w:color w:val="000000"/>
                <w:sz w:val="22"/>
                <w:szCs w:val="22"/>
                <w:lang w:val="fr-CH"/>
              </w:rPr>
              <w:t xml:space="preserve"> </w:t>
            </w:r>
            <w:r w:rsidRPr="00A513DE">
              <w:rPr>
                <w:rFonts w:asciiTheme="minorHAnsi" w:hAnsiTheme="minorHAnsi" w:cstheme="minorHAnsi"/>
                <w:bCs/>
                <w:color w:val="000000"/>
                <w:sz w:val="22"/>
                <w:szCs w:val="22"/>
                <w:lang w:val="fr-CH"/>
              </w:rPr>
              <w:t>Initiatives</w:t>
            </w:r>
            <w:r w:rsidR="00735BED">
              <w:rPr>
                <w:rFonts w:asciiTheme="minorHAnsi" w:hAnsiTheme="minorHAnsi" w:cstheme="minorHAnsi"/>
                <w:bCs/>
                <w:color w:val="000000"/>
                <w:sz w:val="22"/>
                <w:szCs w:val="22"/>
                <w:lang w:val="fr-CH"/>
              </w:rPr>
              <w:t xml:space="preserve"> </w:t>
            </w:r>
            <w:r w:rsidR="006F10A7" w:rsidRPr="00A513DE">
              <w:rPr>
                <w:rFonts w:asciiTheme="minorHAnsi" w:hAnsiTheme="minorHAnsi" w:cstheme="minorHAnsi"/>
                <w:bCs/>
                <w:color w:val="000000"/>
                <w:sz w:val="22"/>
                <w:szCs w:val="22"/>
                <w:lang w:val="fr-CH"/>
              </w:rPr>
              <w:t>régionales</w:t>
            </w:r>
            <w:r w:rsidRPr="00A513DE">
              <w:rPr>
                <w:rFonts w:asciiTheme="minorHAnsi" w:hAnsiTheme="minorHAnsi" w:cstheme="minorHAnsi"/>
                <w:bCs/>
                <w:color w:val="000000"/>
                <w:sz w:val="22"/>
                <w:szCs w:val="22"/>
                <w:lang w:val="fr-CH"/>
              </w:rPr>
              <w:t xml:space="preserve"> Ramsar </w:t>
            </w:r>
            <w:r w:rsidR="00D22D6F" w:rsidRPr="00A513DE">
              <w:rPr>
                <w:rFonts w:asciiTheme="minorHAnsi" w:hAnsiTheme="minorHAnsi" w:cstheme="minorHAnsi"/>
                <w:color w:val="000000"/>
                <w:sz w:val="22"/>
                <w:szCs w:val="22"/>
                <w:lang w:val="fr-CH"/>
              </w:rPr>
              <w:t>– COP14-COP15</w:t>
            </w:r>
          </w:p>
        </w:tc>
        <w:tc>
          <w:tcPr>
            <w:tcW w:w="3119" w:type="dxa"/>
            <w:shd w:val="clear" w:color="auto" w:fill="auto"/>
            <w:noWrap/>
          </w:tcPr>
          <w:p w14:paraId="3D6692F7" w14:textId="68CBC3DC" w:rsidR="00D22D6F" w:rsidRPr="00A513DE" w:rsidRDefault="006F10A7" w:rsidP="006F10A7">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 xml:space="preserve">Le Secrétariat met à jour la liste regroupée des décisions </w:t>
            </w:r>
            <w:r w:rsidR="00215629">
              <w:rPr>
                <w:rFonts w:asciiTheme="minorHAnsi" w:hAnsiTheme="minorHAnsi" w:cstheme="minorHAnsi"/>
                <w:bCs/>
                <w:sz w:val="22"/>
                <w:szCs w:val="22"/>
                <w:lang w:val="fr-CH"/>
              </w:rPr>
              <w:t>abrogées</w:t>
            </w:r>
            <w:r>
              <w:rPr>
                <w:rFonts w:asciiTheme="minorHAnsi" w:hAnsiTheme="minorHAnsi" w:cstheme="minorHAnsi"/>
                <w:bCs/>
                <w:sz w:val="22"/>
                <w:szCs w:val="22"/>
                <w:lang w:val="fr-CH"/>
              </w:rPr>
              <w:t xml:space="preserve"> et </w:t>
            </w:r>
            <w:r w:rsidR="00215629">
              <w:rPr>
                <w:rFonts w:asciiTheme="minorHAnsi" w:hAnsiTheme="minorHAnsi" w:cstheme="minorHAnsi"/>
                <w:bCs/>
                <w:sz w:val="22"/>
                <w:szCs w:val="22"/>
                <w:lang w:val="fr-CH"/>
              </w:rPr>
              <w:t>place un onglet « abrogé » sur</w:t>
            </w:r>
            <w:r>
              <w:rPr>
                <w:rFonts w:asciiTheme="minorHAnsi" w:hAnsiTheme="minorHAnsi" w:cstheme="minorHAnsi"/>
                <w:bCs/>
                <w:sz w:val="22"/>
                <w:szCs w:val="22"/>
                <w:lang w:val="fr-CH"/>
              </w:rPr>
              <w:t xml:space="preserve"> le document sur le site web ou adopte toute autre procédure convenue dans une autre résolution de la COP14.</w:t>
            </w:r>
          </w:p>
        </w:tc>
        <w:tc>
          <w:tcPr>
            <w:tcW w:w="1417" w:type="dxa"/>
          </w:tcPr>
          <w:p w14:paraId="2320E699" w14:textId="5291B5AF"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2807FD">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403B3F64" w14:textId="2CEB6BDA" w:rsidR="00D22D6F" w:rsidRPr="00A513DE" w:rsidRDefault="00D22D6F" w:rsidP="006F10A7">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2807FD">
              <w:rPr>
                <w:rFonts w:asciiTheme="minorHAnsi" w:hAnsiTheme="minorHAnsi" w:cstheme="minorHAnsi"/>
                <w:color w:val="000000"/>
                <w:sz w:val="22"/>
                <w:szCs w:val="22"/>
                <w:lang w:val="fr-CH"/>
              </w:rPr>
              <w:t xml:space="preserve"> </w:t>
            </w:r>
            <w:r w:rsidR="006F10A7">
              <w:rPr>
                <w:rFonts w:asciiTheme="minorHAnsi" w:hAnsiTheme="minorHAnsi" w:cstheme="minorHAnsi"/>
                <w:color w:val="000000"/>
                <w:sz w:val="22"/>
                <w:szCs w:val="22"/>
                <w:lang w:val="fr-CH"/>
              </w:rPr>
              <w:t>Moins de 20 CHF</w:t>
            </w:r>
          </w:p>
        </w:tc>
      </w:tr>
      <w:tr w:rsidR="00D22D6F" w:rsidRPr="002F2051" w14:paraId="2F4AB4C9" w14:textId="77777777" w:rsidTr="002F2051">
        <w:trPr>
          <w:cantSplit/>
        </w:trPr>
        <w:tc>
          <w:tcPr>
            <w:tcW w:w="1135" w:type="dxa"/>
            <w:vMerge/>
            <w:shd w:val="clear" w:color="auto" w:fill="auto"/>
          </w:tcPr>
          <w:p w14:paraId="4531BED1"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20722B19" w14:textId="77777777" w:rsidR="00D22D6F" w:rsidRPr="00A513DE" w:rsidDel="001E2ECF"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56EC2962" w14:textId="127AFB75" w:rsidR="00D22D6F" w:rsidRPr="00A513DE" w:rsidRDefault="00997F4C" w:rsidP="00997F4C">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 xml:space="preserve">Le Secrétariat trouve le moyen de </w:t>
            </w:r>
            <w:r w:rsidR="00215629">
              <w:rPr>
                <w:rFonts w:asciiTheme="minorHAnsi" w:hAnsiTheme="minorHAnsi" w:cstheme="minorHAnsi"/>
                <w:bCs/>
                <w:sz w:val="22"/>
                <w:szCs w:val="22"/>
                <w:lang w:val="fr-CH"/>
              </w:rPr>
              <w:t xml:space="preserve">mettre fin à </w:t>
            </w:r>
            <w:r>
              <w:rPr>
                <w:rFonts w:asciiTheme="minorHAnsi" w:hAnsiTheme="minorHAnsi" w:cstheme="minorHAnsi"/>
                <w:bCs/>
                <w:sz w:val="22"/>
                <w:szCs w:val="22"/>
                <w:lang w:val="fr-CH"/>
              </w:rPr>
              <w:t xml:space="preserve">sa participation au projet IKI dès que possible et </w:t>
            </w:r>
            <w:r w:rsidR="00215629">
              <w:rPr>
                <w:rFonts w:asciiTheme="minorHAnsi" w:hAnsiTheme="minorHAnsi" w:cstheme="minorHAnsi"/>
                <w:bCs/>
                <w:sz w:val="22"/>
                <w:szCs w:val="22"/>
                <w:lang w:val="fr-CH"/>
              </w:rPr>
              <w:t xml:space="preserve">d’entamer </w:t>
            </w:r>
            <w:r>
              <w:rPr>
                <w:rFonts w:asciiTheme="minorHAnsi" w:hAnsiTheme="minorHAnsi" w:cstheme="minorHAnsi"/>
                <w:bCs/>
                <w:sz w:val="22"/>
                <w:szCs w:val="22"/>
                <w:lang w:val="fr-CH"/>
              </w:rPr>
              <w:t xml:space="preserve">des activités pour </w:t>
            </w:r>
            <w:r w:rsidR="00215629">
              <w:rPr>
                <w:rFonts w:asciiTheme="minorHAnsi" w:hAnsiTheme="minorHAnsi" w:cstheme="minorHAnsi"/>
                <w:bCs/>
                <w:sz w:val="22"/>
                <w:szCs w:val="22"/>
                <w:lang w:val="fr-CH"/>
              </w:rPr>
              <w:t>ce faire</w:t>
            </w:r>
            <w:r>
              <w:rPr>
                <w:rFonts w:asciiTheme="minorHAnsi" w:hAnsiTheme="minorHAnsi" w:cstheme="minorHAnsi"/>
                <w:bCs/>
                <w:sz w:val="22"/>
                <w:szCs w:val="22"/>
                <w:lang w:val="fr-CH"/>
              </w:rPr>
              <w:t xml:space="preserve"> dans les trois mois à partir de la clôture de la COP14.</w:t>
            </w:r>
          </w:p>
        </w:tc>
        <w:tc>
          <w:tcPr>
            <w:tcW w:w="1417" w:type="dxa"/>
          </w:tcPr>
          <w:p w14:paraId="3CFC837F" w14:textId="19503842"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997F4C">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3E4D7262" w14:textId="346B1773"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997F4C">
              <w:rPr>
                <w:rFonts w:asciiTheme="minorHAnsi" w:hAnsiTheme="minorHAnsi" w:cstheme="minorHAnsi"/>
                <w:color w:val="000000"/>
                <w:sz w:val="22"/>
                <w:szCs w:val="22"/>
                <w:lang w:val="fr-CH"/>
              </w:rPr>
              <w:t xml:space="preserve"> Inconnu</w:t>
            </w:r>
          </w:p>
          <w:p w14:paraId="3C29EBE0" w14:textId="7748044D" w:rsidR="00D22D6F" w:rsidRPr="00A513DE" w:rsidRDefault="00D22D6F" w:rsidP="00997F4C">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997F4C">
              <w:rPr>
                <w:rFonts w:asciiTheme="minorHAnsi" w:hAnsiTheme="minorHAnsi" w:cstheme="minorHAnsi"/>
                <w:color w:val="000000"/>
                <w:sz w:val="22"/>
                <w:szCs w:val="22"/>
                <w:lang w:val="fr-CH"/>
              </w:rPr>
              <w:t xml:space="preserve"> Incidences administratives et financières</w:t>
            </w:r>
            <w:r w:rsidRPr="00A513DE">
              <w:rPr>
                <w:rFonts w:asciiTheme="minorHAnsi" w:hAnsiTheme="minorHAnsi" w:cstheme="minorHAnsi"/>
                <w:color w:val="000000"/>
                <w:sz w:val="22"/>
                <w:szCs w:val="22"/>
                <w:lang w:val="fr-CH"/>
              </w:rPr>
              <w:t xml:space="preserve"> </w:t>
            </w:r>
          </w:p>
        </w:tc>
      </w:tr>
      <w:tr w:rsidR="00772E80" w:rsidRPr="002F2051" w14:paraId="59F82FAF" w14:textId="77777777" w:rsidTr="002F2051">
        <w:trPr>
          <w:cantSplit/>
        </w:trPr>
        <w:tc>
          <w:tcPr>
            <w:tcW w:w="1135" w:type="dxa"/>
            <w:shd w:val="clear" w:color="auto" w:fill="auto"/>
          </w:tcPr>
          <w:p w14:paraId="600656A3" w14:textId="2B444882"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lastRenderedPageBreak/>
              <w:t>SC59/2022 Doc</w:t>
            </w:r>
            <w:r w:rsidR="00997F4C">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24.11</w:t>
            </w:r>
          </w:p>
        </w:tc>
        <w:tc>
          <w:tcPr>
            <w:tcW w:w="1904" w:type="dxa"/>
            <w:shd w:val="clear" w:color="auto" w:fill="auto"/>
          </w:tcPr>
          <w:p w14:paraId="6E36A053" w14:textId="17C3D0B5" w:rsidR="00A451D1" w:rsidRPr="00A513DE" w:rsidRDefault="00243DD8"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bCs/>
                <w:color w:val="000000"/>
                <w:sz w:val="22"/>
                <w:szCs w:val="22"/>
                <w:lang w:val="fr-CH"/>
              </w:rPr>
              <w:t>Projet de résolution sur les</w:t>
            </w:r>
            <w:r w:rsidR="00735BED">
              <w:rPr>
                <w:rFonts w:asciiTheme="minorHAnsi" w:hAnsiTheme="minorHAnsi" w:cstheme="minorHAnsi"/>
                <w:bCs/>
                <w:color w:val="000000"/>
                <w:sz w:val="22"/>
                <w:szCs w:val="22"/>
                <w:lang w:val="fr-CH"/>
              </w:rPr>
              <w:t xml:space="preserve"> </w:t>
            </w:r>
            <w:r w:rsidRPr="00A513DE">
              <w:rPr>
                <w:rFonts w:asciiTheme="minorHAnsi" w:hAnsiTheme="minorHAnsi" w:cstheme="minorHAnsi"/>
                <w:bCs/>
                <w:color w:val="000000"/>
                <w:sz w:val="22"/>
                <w:szCs w:val="22"/>
                <w:lang w:val="fr-CH"/>
              </w:rPr>
              <w:t>Initiatives</w:t>
            </w:r>
            <w:r w:rsidR="00735BED">
              <w:rPr>
                <w:rFonts w:asciiTheme="minorHAnsi" w:hAnsiTheme="minorHAnsi" w:cstheme="minorHAnsi"/>
                <w:bCs/>
                <w:color w:val="000000"/>
                <w:sz w:val="22"/>
                <w:szCs w:val="22"/>
                <w:lang w:val="fr-CH"/>
              </w:rPr>
              <w:t xml:space="preserve"> </w:t>
            </w:r>
            <w:r w:rsidR="00997F4C" w:rsidRPr="00A513DE">
              <w:rPr>
                <w:rFonts w:asciiTheme="minorHAnsi" w:hAnsiTheme="minorHAnsi" w:cstheme="minorHAnsi"/>
                <w:bCs/>
                <w:color w:val="000000"/>
                <w:sz w:val="22"/>
                <w:szCs w:val="22"/>
                <w:lang w:val="fr-CH"/>
              </w:rPr>
              <w:t>régionales</w:t>
            </w:r>
            <w:r w:rsidRPr="00A513DE">
              <w:rPr>
                <w:rFonts w:asciiTheme="minorHAnsi" w:hAnsiTheme="minorHAnsi" w:cstheme="minorHAnsi"/>
                <w:bCs/>
                <w:color w:val="000000"/>
                <w:sz w:val="22"/>
                <w:szCs w:val="22"/>
                <w:lang w:val="fr-CH"/>
              </w:rPr>
              <w:t xml:space="preserve"> Ramsar </w:t>
            </w:r>
            <w:r w:rsidR="00A451D1" w:rsidRPr="00A513DE">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Traitement des anciennes décisions</w:t>
            </w:r>
          </w:p>
        </w:tc>
        <w:tc>
          <w:tcPr>
            <w:tcW w:w="3119" w:type="dxa"/>
            <w:shd w:val="clear" w:color="auto" w:fill="auto"/>
            <w:noWrap/>
          </w:tcPr>
          <w:p w14:paraId="40B18CAF" w14:textId="011CC6C7" w:rsidR="00A451D1" w:rsidRPr="00A513DE" w:rsidRDefault="00997F4C" w:rsidP="00997F4C">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Recours à un consultant pour examiner toutes les résolutions et décisions relatives aux IRR afin de préparer une résolution regroupée qui supprime les décisions obsolètes et regroupe les décisions en vigueur.</w:t>
            </w:r>
            <w:r w:rsidR="00A451D1" w:rsidRPr="00A513DE">
              <w:rPr>
                <w:rFonts w:asciiTheme="minorHAnsi" w:hAnsiTheme="minorHAnsi" w:cstheme="minorHAnsi"/>
                <w:bCs/>
                <w:sz w:val="22"/>
                <w:szCs w:val="22"/>
                <w:lang w:val="fr-CH"/>
              </w:rPr>
              <w:t xml:space="preserve"> </w:t>
            </w:r>
          </w:p>
        </w:tc>
        <w:tc>
          <w:tcPr>
            <w:tcW w:w="1417" w:type="dxa"/>
          </w:tcPr>
          <w:p w14:paraId="766EEB37" w14:textId="358AF8F8"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997F4C">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w:t>
            </w:r>
          </w:p>
        </w:tc>
        <w:tc>
          <w:tcPr>
            <w:tcW w:w="1781" w:type="dxa"/>
            <w:shd w:val="clear" w:color="auto" w:fill="auto"/>
          </w:tcPr>
          <w:p w14:paraId="18428E6D" w14:textId="2C3222F6"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997F4C">
              <w:rPr>
                <w:rFonts w:asciiTheme="minorHAnsi" w:hAnsiTheme="minorHAnsi" w:cstheme="minorHAnsi"/>
                <w:color w:val="000000"/>
                <w:sz w:val="22"/>
                <w:szCs w:val="22"/>
                <w:lang w:val="fr-CH"/>
              </w:rPr>
              <w:t xml:space="preserve"> Moins de</w:t>
            </w:r>
            <w:r w:rsidRPr="00A513DE">
              <w:rPr>
                <w:rFonts w:asciiTheme="minorHAnsi" w:hAnsiTheme="minorHAnsi" w:cstheme="minorHAnsi"/>
                <w:color w:val="000000"/>
                <w:sz w:val="22"/>
                <w:szCs w:val="22"/>
                <w:lang w:val="fr-CH"/>
              </w:rPr>
              <w:t xml:space="preserve"> 100</w:t>
            </w:r>
            <w:r w:rsidR="00997F4C">
              <w:rPr>
                <w:rFonts w:asciiTheme="minorHAnsi" w:hAnsiTheme="minorHAnsi" w:cstheme="minorHAnsi"/>
                <w:color w:val="000000"/>
                <w:sz w:val="22"/>
                <w:szCs w:val="22"/>
                <w:lang w:val="fr-CH"/>
              </w:rPr>
              <w:t> </w:t>
            </w:r>
            <w:r w:rsidRPr="00A513DE">
              <w:rPr>
                <w:rFonts w:asciiTheme="minorHAnsi" w:hAnsiTheme="minorHAnsi" w:cstheme="minorHAnsi"/>
                <w:color w:val="000000"/>
                <w:sz w:val="22"/>
                <w:szCs w:val="22"/>
                <w:lang w:val="fr-CH"/>
              </w:rPr>
              <w:t>CHF</w:t>
            </w:r>
          </w:p>
          <w:p w14:paraId="4C5E9F5F" w14:textId="77777777" w:rsidR="00A451D1" w:rsidRPr="00A513DE" w:rsidRDefault="00A451D1" w:rsidP="00812E45">
            <w:pPr>
              <w:widowControl w:val="0"/>
              <w:ind w:left="0" w:firstLine="0"/>
              <w:jc w:val="left"/>
              <w:rPr>
                <w:rFonts w:asciiTheme="minorHAnsi" w:hAnsiTheme="minorHAnsi" w:cstheme="minorHAnsi"/>
                <w:color w:val="000000"/>
                <w:sz w:val="22"/>
                <w:szCs w:val="22"/>
                <w:lang w:val="fr-CH"/>
              </w:rPr>
            </w:pPr>
          </w:p>
          <w:p w14:paraId="6514ED0E" w14:textId="4D1EE9BB"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997F4C">
              <w:rPr>
                <w:rFonts w:asciiTheme="minorHAnsi" w:hAnsiTheme="minorHAnsi" w:cstheme="minorHAnsi"/>
                <w:color w:val="000000"/>
                <w:sz w:val="22"/>
                <w:szCs w:val="22"/>
                <w:lang w:val="fr-CH"/>
              </w:rPr>
              <w:t xml:space="preserve"> Incidences financières à déterminer</w:t>
            </w:r>
            <w:r w:rsidR="00735BED">
              <w:rPr>
                <w:rFonts w:asciiTheme="minorHAnsi" w:hAnsiTheme="minorHAnsi" w:cstheme="minorHAnsi"/>
                <w:color w:val="000000"/>
                <w:sz w:val="22"/>
                <w:szCs w:val="22"/>
                <w:lang w:val="fr-CH"/>
              </w:rPr>
              <w:t xml:space="preserve"> </w:t>
            </w:r>
          </w:p>
          <w:p w14:paraId="6ED7215A" w14:textId="77777777" w:rsidR="00A451D1" w:rsidRPr="00A513DE" w:rsidRDefault="00A451D1" w:rsidP="00812E45">
            <w:pPr>
              <w:widowControl w:val="0"/>
              <w:ind w:left="0" w:firstLine="0"/>
              <w:jc w:val="left"/>
              <w:rPr>
                <w:rFonts w:asciiTheme="minorHAnsi" w:hAnsiTheme="minorHAnsi" w:cstheme="minorHAnsi"/>
                <w:bCs/>
                <w:sz w:val="22"/>
                <w:szCs w:val="22"/>
                <w:lang w:val="fr-CH"/>
              </w:rPr>
            </w:pPr>
          </w:p>
          <w:p w14:paraId="4E276FC8" w14:textId="6BA061F0" w:rsidR="00A451D1" w:rsidRPr="00A513DE" w:rsidRDefault="00A451D1" w:rsidP="00997F4C">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bCs/>
                <w:sz w:val="22"/>
                <w:szCs w:val="22"/>
                <w:lang w:val="fr-CH"/>
              </w:rPr>
              <w:t>**</w:t>
            </w:r>
            <w:r w:rsidR="00997F4C">
              <w:rPr>
                <w:rFonts w:asciiTheme="minorHAnsi" w:hAnsiTheme="minorHAnsi" w:cstheme="minorHAnsi"/>
                <w:bCs/>
                <w:sz w:val="22"/>
                <w:szCs w:val="22"/>
                <w:lang w:val="fr-CH"/>
              </w:rPr>
              <w:t xml:space="preserve"> Voir ci</w:t>
            </w:r>
            <w:r w:rsidR="00997F4C">
              <w:rPr>
                <w:rFonts w:asciiTheme="minorHAnsi" w:hAnsiTheme="minorHAnsi" w:cstheme="minorHAnsi"/>
                <w:bCs/>
                <w:sz w:val="22"/>
                <w:szCs w:val="22"/>
                <w:lang w:val="fr-CH"/>
              </w:rPr>
              <w:noBreakHyphen/>
              <w:t>dessus</w:t>
            </w:r>
            <w:r w:rsidRPr="00A513DE">
              <w:rPr>
                <w:rFonts w:asciiTheme="minorHAnsi" w:hAnsiTheme="minorHAnsi" w:cstheme="minorHAnsi"/>
                <w:bCs/>
                <w:sz w:val="22"/>
                <w:szCs w:val="22"/>
                <w:lang w:val="fr-CH"/>
              </w:rPr>
              <w:t xml:space="preserve"> Doc</w:t>
            </w:r>
            <w:r w:rsidR="00997F4C">
              <w:rPr>
                <w:rFonts w:asciiTheme="minorHAnsi" w:hAnsiTheme="minorHAnsi" w:cstheme="minorHAnsi"/>
                <w:bCs/>
                <w:sz w:val="22"/>
                <w:szCs w:val="22"/>
                <w:lang w:val="fr-CH"/>
              </w:rPr>
              <w:t>.</w:t>
            </w:r>
            <w:r w:rsidRPr="00A513DE">
              <w:rPr>
                <w:rFonts w:asciiTheme="minorHAnsi" w:hAnsiTheme="minorHAnsi" w:cstheme="minorHAnsi"/>
                <w:bCs/>
                <w:sz w:val="22"/>
                <w:szCs w:val="22"/>
                <w:lang w:val="fr-CH"/>
              </w:rPr>
              <w:t xml:space="preserve">SC59-13.1 </w:t>
            </w:r>
          </w:p>
        </w:tc>
      </w:tr>
      <w:tr w:rsidR="00D22D6F" w:rsidRPr="00A513DE" w14:paraId="2586F6A8" w14:textId="77777777" w:rsidTr="002F2051">
        <w:trPr>
          <w:cantSplit/>
        </w:trPr>
        <w:tc>
          <w:tcPr>
            <w:tcW w:w="1135" w:type="dxa"/>
            <w:vMerge w:val="restart"/>
            <w:shd w:val="clear" w:color="auto" w:fill="auto"/>
          </w:tcPr>
          <w:p w14:paraId="214A3939" w14:textId="759E63E3"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w:t>
            </w:r>
            <w:r w:rsidR="00997F4C">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24.12</w:t>
            </w:r>
          </w:p>
        </w:tc>
        <w:tc>
          <w:tcPr>
            <w:tcW w:w="1904" w:type="dxa"/>
            <w:vMerge w:val="restart"/>
            <w:shd w:val="clear" w:color="auto" w:fill="auto"/>
          </w:tcPr>
          <w:p w14:paraId="378201B8" w14:textId="6199309E" w:rsidR="00D22D6F" w:rsidRPr="00A513DE" w:rsidRDefault="004731B4"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Projet de résolution sur le renforcement des liens Ramsar avec la jeunesse</w:t>
            </w:r>
          </w:p>
        </w:tc>
        <w:tc>
          <w:tcPr>
            <w:tcW w:w="3119" w:type="dxa"/>
            <w:shd w:val="clear" w:color="auto" w:fill="auto"/>
            <w:noWrap/>
          </w:tcPr>
          <w:p w14:paraId="1188CAA9" w14:textId="7D3170C0" w:rsidR="00D22D6F" w:rsidRPr="00A513DE" w:rsidRDefault="00AF1521" w:rsidP="00AF1521">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 xml:space="preserve">Le Secrétariat explore des modèles hybrides comme les Forums virtuels qui permettent aux jeunes de se réunir avant la Conférence des Parties et </w:t>
            </w:r>
            <w:r w:rsidR="00215629">
              <w:rPr>
                <w:rFonts w:asciiTheme="minorHAnsi" w:hAnsiTheme="minorHAnsi" w:cstheme="minorHAnsi"/>
                <w:bCs/>
                <w:sz w:val="22"/>
                <w:szCs w:val="22"/>
                <w:lang w:val="fr-CH"/>
              </w:rPr>
              <w:t>d’</w:t>
            </w:r>
            <w:r>
              <w:rPr>
                <w:rFonts w:asciiTheme="minorHAnsi" w:hAnsiTheme="minorHAnsi" w:cstheme="minorHAnsi"/>
                <w:bCs/>
                <w:sz w:val="22"/>
                <w:szCs w:val="22"/>
                <w:lang w:val="fr-CH"/>
              </w:rPr>
              <w:t xml:space="preserve">y prendre part, dans le but d’étendre la participation de la jeunesse et </w:t>
            </w:r>
            <w:r w:rsidR="00215629">
              <w:rPr>
                <w:rFonts w:asciiTheme="minorHAnsi" w:hAnsiTheme="minorHAnsi" w:cstheme="minorHAnsi"/>
                <w:bCs/>
                <w:sz w:val="22"/>
                <w:szCs w:val="22"/>
                <w:lang w:val="fr-CH"/>
              </w:rPr>
              <w:t>l’influence</w:t>
            </w:r>
            <w:r>
              <w:rPr>
                <w:rFonts w:asciiTheme="minorHAnsi" w:hAnsiTheme="minorHAnsi" w:cstheme="minorHAnsi"/>
                <w:bCs/>
                <w:sz w:val="22"/>
                <w:szCs w:val="22"/>
                <w:lang w:val="fr-CH"/>
              </w:rPr>
              <w:t xml:space="preserve"> régional</w:t>
            </w:r>
            <w:r w:rsidR="00215629">
              <w:rPr>
                <w:rFonts w:asciiTheme="minorHAnsi" w:hAnsiTheme="minorHAnsi" w:cstheme="minorHAnsi"/>
                <w:bCs/>
                <w:sz w:val="22"/>
                <w:szCs w:val="22"/>
                <w:lang w:val="fr-CH"/>
              </w:rPr>
              <w:t>e</w:t>
            </w:r>
            <w:r>
              <w:rPr>
                <w:rFonts w:asciiTheme="minorHAnsi" w:hAnsiTheme="minorHAnsi" w:cstheme="minorHAnsi"/>
                <w:bCs/>
                <w:sz w:val="22"/>
                <w:szCs w:val="22"/>
                <w:lang w:val="fr-CH"/>
              </w:rPr>
              <w:t xml:space="preserve"> de la Conférence.</w:t>
            </w:r>
          </w:p>
        </w:tc>
        <w:tc>
          <w:tcPr>
            <w:tcW w:w="1417" w:type="dxa"/>
          </w:tcPr>
          <w:p w14:paraId="47D36E91" w14:textId="2F7E1664"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997F4C">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10</w:t>
            </w:r>
          </w:p>
        </w:tc>
        <w:tc>
          <w:tcPr>
            <w:tcW w:w="1781" w:type="dxa"/>
            <w:shd w:val="clear" w:color="auto" w:fill="auto"/>
          </w:tcPr>
          <w:p w14:paraId="15457ADC" w14:textId="4AB6FBA8" w:rsidR="00D22D6F" w:rsidRPr="00A513DE" w:rsidRDefault="00AF1521" w:rsidP="00AF1521">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 xml:space="preserve">** Incidences financières à déterminer </w:t>
            </w:r>
          </w:p>
        </w:tc>
      </w:tr>
      <w:tr w:rsidR="00D22D6F" w:rsidRPr="00A513DE" w14:paraId="0E0223F2" w14:textId="77777777" w:rsidTr="002F2051">
        <w:trPr>
          <w:cantSplit/>
        </w:trPr>
        <w:tc>
          <w:tcPr>
            <w:tcW w:w="1135" w:type="dxa"/>
            <w:vMerge/>
            <w:shd w:val="clear" w:color="auto" w:fill="auto"/>
          </w:tcPr>
          <w:p w14:paraId="45B14F5E"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3E3E95CD"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0205AC59" w14:textId="1ACACA9F" w:rsidR="00D22D6F" w:rsidRPr="00A513DE" w:rsidRDefault="00500D99" w:rsidP="00500D99">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Le Secrétariat nomme un Conseiller pour coordonner le Groupe de travail Ramsar sur la jeunesse et les projets axés sur la jeunesse, ainsi que pour collaborer avec des points focaux nationaux de la jeunesse et d’autres acteurs et organisations clés comme</w:t>
            </w:r>
            <w:r w:rsidR="00735BED">
              <w:rPr>
                <w:rFonts w:asciiTheme="minorHAnsi" w:hAnsiTheme="minorHAnsi" w:cstheme="minorHAnsi"/>
                <w:bCs/>
                <w:sz w:val="22"/>
                <w:szCs w:val="22"/>
                <w:lang w:val="fr-CH"/>
              </w:rPr>
              <w:t xml:space="preserve"> </w:t>
            </w:r>
            <w:r w:rsidR="00D22D6F" w:rsidRPr="00A513DE">
              <w:rPr>
                <w:rFonts w:asciiTheme="minorHAnsi" w:hAnsiTheme="minorHAnsi" w:cstheme="minorHAnsi"/>
                <w:bCs/>
                <w:sz w:val="22"/>
                <w:szCs w:val="22"/>
                <w:lang w:val="fr-CH"/>
              </w:rPr>
              <w:t>YEW</w:t>
            </w:r>
            <w:r>
              <w:rPr>
                <w:rFonts w:asciiTheme="minorHAnsi" w:hAnsiTheme="minorHAnsi" w:cstheme="minorHAnsi"/>
                <w:bCs/>
                <w:sz w:val="22"/>
                <w:szCs w:val="22"/>
                <w:lang w:val="fr-CH"/>
              </w:rPr>
              <w:t> </w:t>
            </w:r>
            <w:r w:rsidR="00D22D6F" w:rsidRPr="00A513DE">
              <w:rPr>
                <w:rFonts w:asciiTheme="minorHAnsi" w:hAnsiTheme="minorHAnsi" w:cstheme="minorHAnsi"/>
                <w:bCs/>
                <w:sz w:val="22"/>
                <w:szCs w:val="22"/>
                <w:lang w:val="fr-CH"/>
              </w:rPr>
              <w:t xml:space="preserve">; </w:t>
            </w:r>
            <w:r>
              <w:rPr>
                <w:rFonts w:asciiTheme="minorHAnsi" w:hAnsiTheme="minorHAnsi" w:cstheme="minorHAnsi"/>
                <w:bCs/>
                <w:sz w:val="22"/>
                <w:szCs w:val="22"/>
                <w:lang w:val="fr-CH"/>
              </w:rPr>
              <w:t>y compris le Réseau mondial des jeunes pour la biodiversité et les programmes des organisations internationales de l’environnement et des conventions</w:t>
            </w:r>
            <w:r w:rsidR="007826FF">
              <w:rPr>
                <w:rFonts w:asciiTheme="minorHAnsi" w:hAnsiTheme="minorHAnsi" w:cstheme="minorHAnsi"/>
                <w:bCs/>
                <w:sz w:val="22"/>
                <w:szCs w:val="22"/>
                <w:lang w:val="fr-CH"/>
              </w:rPr>
              <w:t>,</w:t>
            </w:r>
            <w:r>
              <w:rPr>
                <w:rFonts w:asciiTheme="minorHAnsi" w:hAnsiTheme="minorHAnsi" w:cstheme="minorHAnsi"/>
                <w:bCs/>
                <w:sz w:val="22"/>
                <w:szCs w:val="22"/>
                <w:lang w:val="fr-CH"/>
              </w:rPr>
              <w:t xml:space="preserve"> </w:t>
            </w:r>
            <w:r w:rsidR="007826FF">
              <w:rPr>
                <w:rFonts w:asciiTheme="minorHAnsi" w:hAnsiTheme="minorHAnsi" w:cstheme="minorHAnsi"/>
                <w:bCs/>
                <w:sz w:val="22"/>
                <w:szCs w:val="22"/>
                <w:lang w:val="fr-CH"/>
              </w:rPr>
              <w:t xml:space="preserve">axés sur </w:t>
            </w:r>
            <w:r>
              <w:rPr>
                <w:rFonts w:asciiTheme="minorHAnsi" w:hAnsiTheme="minorHAnsi" w:cstheme="minorHAnsi"/>
                <w:bCs/>
                <w:sz w:val="22"/>
                <w:szCs w:val="22"/>
                <w:lang w:val="fr-CH"/>
              </w:rPr>
              <w:t>la jeunesse. Coût annuel permanent d’un poste P1.</w:t>
            </w:r>
          </w:p>
        </w:tc>
        <w:tc>
          <w:tcPr>
            <w:tcW w:w="1417" w:type="dxa"/>
          </w:tcPr>
          <w:p w14:paraId="2EB181C3" w14:textId="35AE5D71" w:rsidR="00D22D6F" w:rsidRPr="00A513DE" w:rsidRDefault="00500D99" w:rsidP="00500D99">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Un poste</w:t>
            </w:r>
            <w:r w:rsidR="00D22D6F" w:rsidRPr="00A513DE">
              <w:rPr>
                <w:rFonts w:asciiTheme="minorHAnsi" w:hAnsiTheme="minorHAnsi" w:cstheme="minorHAnsi"/>
                <w:color w:val="000000"/>
                <w:sz w:val="22"/>
                <w:szCs w:val="22"/>
                <w:lang w:val="fr-CH"/>
              </w:rPr>
              <w:t xml:space="preserve"> P1</w:t>
            </w:r>
            <w:r w:rsidR="00735BED">
              <w:rPr>
                <w:rFonts w:asciiTheme="minorHAnsi" w:hAnsiTheme="minorHAnsi" w:cstheme="minorHAnsi"/>
                <w:color w:val="000000"/>
                <w:sz w:val="22"/>
                <w:szCs w:val="22"/>
                <w:lang w:val="fr-CH"/>
              </w:rPr>
              <w:t xml:space="preserve"> </w:t>
            </w:r>
          </w:p>
        </w:tc>
        <w:tc>
          <w:tcPr>
            <w:tcW w:w="1781" w:type="dxa"/>
            <w:shd w:val="clear" w:color="auto" w:fill="auto"/>
          </w:tcPr>
          <w:p w14:paraId="6ACBEEDB" w14:textId="00B6AEE6"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997F4C">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140</w:t>
            </w:r>
            <w:r w:rsidR="00997F4C">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 xml:space="preserve">000 </w:t>
            </w:r>
          </w:p>
          <w:p w14:paraId="2C97304F"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p w14:paraId="3F251E24"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r>
      <w:tr w:rsidR="00772E80" w:rsidRPr="00A513DE" w14:paraId="3881CD9F" w14:textId="77777777" w:rsidTr="002F2051">
        <w:trPr>
          <w:cantSplit/>
        </w:trPr>
        <w:tc>
          <w:tcPr>
            <w:tcW w:w="1135" w:type="dxa"/>
            <w:shd w:val="clear" w:color="auto" w:fill="auto"/>
          </w:tcPr>
          <w:p w14:paraId="0329BEBA" w14:textId="35CB2C8E"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w:t>
            </w:r>
            <w:r w:rsidR="00500D99">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24.13</w:t>
            </w:r>
          </w:p>
        </w:tc>
        <w:tc>
          <w:tcPr>
            <w:tcW w:w="1904" w:type="dxa"/>
            <w:shd w:val="clear" w:color="auto" w:fill="auto"/>
          </w:tcPr>
          <w:p w14:paraId="7386A7CE" w14:textId="0F3D95C6" w:rsidR="00A451D1" w:rsidRPr="00A513DE" w:rsidRDefault="00EE5B6D"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Projet de r</w:t>
            </w:r>
            <w:r w:rsidR="00FE106E" w:rsidRPr="00A513DE">
              <w:rPr>
                <w:rFonts w:asciiTheme="minorHAnsi" w:hAnsiTheme="minorHAnsi" w:cstheme="minorHAnsi"/>
                <w:color w:val="000000"/>
                <w:sz w:val="22"/>
                <w:szCs w:val="22"/>
                <w:lang w:val="fr-CH"/>
              </w:rPr>
              <w:t>é</w:t>
            </w:r>
            <w:r w:rsidRPr="00A513DE">
              <w:rPr>
                <w:rFonts w:asciiTheme="minorHAnsi" w:hAnsiTheme="minorHAnsi" w:cstheme="minorHAnsi"/>
                <w:color w:val="000000"/>
                <w:sz w:val="22"/>
                <w:szCs w:val="22"/>
                <w:lang w:val="fr-CH"/>
              </w:rPr>
              <w:t xml:space="preserve">solution sur les </w:t>
            </w:r>
            <w:r w:rsidR="00AB20ED" w:rsidRPr="00A513DE">
              <w:rPr>
                <w:rFonts w:asciiTheme="minorHAnsi" w:hAnsiTheme="minorHAnsi" w:cstheme="minorHAnsi"/>
                <w:color w:val="000000"/>
                <w:sz w:val="22"/>
                <w:szCs w:val="22"/>
                <w:lang w:val="fr-CH"/>
              </w:rPr>
              <w:t>e</w:t>
            </w:r>
            <w:r w:rsidRPr="00A513DE">
              <w:rPr>
                <w:rFonts w:asciiTheme="minorHAnsi" w:hAnsiTheme="minorHAnsi" w:cstheme="minorHAnsi"/>
                <w:color w:val="000000"/>
                <w:sz w:val="22"/>
                <w:szCs w:val="22"/>
                <w:lang w:val="fr-CH"/>
              </w:rPr>
              <w:t>stimations des populations d'oiseaux d'eau pour soutenir les inscriptions de Sites Ramsar nouveaux et existants selon le Critère 6 de Ramsar - utilisation de nouvelles estimations</w:t>
            </w:r>
          </w:p>
        </w:tc>
        <w:tc>
          <w:tcPr>
            <w:tcW w:w="3119" w:type="dxa"/>
            <w:shd w:val="clear" w:color="auto" w:fill="auto"/>
            <w:noWrap/>
          </w:tcPr>
          <w:p w14:paraId="0FE0798F" w14:textId="222161F2" w:rsidR="00A451D1" w:rsidRPr="00A513DE" w:rsidRDefault="00312CFF" w:rsidP="00312CFF">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 xml:space="preserve">Le Secrétariat modifie le Cadre stratégique – Révision 2012 (adopté dans la Résolution </w:t>
            </w:r>
            <w:r w:rsidR="00A451D1" w:rsidRPr="00A513DE">
              <w:rPr>
                <w:rFonts w:asciiTheme="minorHAnsi" w:hAnsiTheme="minorHAnsi" w:cstheme="minorHAnsi"/>
                <w:bCs/>
                <w:sz w:val="22"/>
                <w:szCs w:val="22"/>
                <w:lang w:val="fr-CH"/>
              </w:rPr>
              <w:t>XI.8, Annex</w:t>
            </w:r>
            <w:r>
              <w:rPr>
                <w:rFonts w:asciiTheme="minorHAnsi" w:hAnsiTheme="minorHAnsi" w:cstheme="minorHAnsi"/>
                <w:bCs/>
                <w:sz w:val="22"/>
                <w:szCs w:val="22"/>
                <w:lang w:val="fr-CH"/>
              </w:rPr>
              <w:t>e </w:t>
            </w:r>
            <w:r w:rsidR="00A451D1" w:rsidRPr="00A513DE">
              <w:rPr>
                <w:rFonts w:asciiTheme="minorHAnsi" w:hAnsiTheme="minorHAnsi" w:cstheme="minorHAnsi"/>
                <w:bCs/>
                <w:sz w:val="22"/>
                <w:szCs w:val="22"/>
                <w:lang w:val="fr-CH"/>
              </w:rPr>
              <w:t>2, Rev. COP13)</w:t>
            </w:r>
            <w:r>
              <w:rPr>
                <w:rFonts w:asciiTheme="minorHAnsi" w:hAnsiTheme="minorHAnsi" w:cstheme="minorHAnsi"/>
                <w:bCs/>
                <w:sz w:val="22"/>
                <w:szCs w:val="22"/>
                <w:lang w:val="fr-CH"/>
              </w:rPr>
              <w:t xml:space="preserve"> pour donner effet au paragraphe 11, comme souligné dans l’Annexe 1.</w:t>
            </w:r>
            <w:r w:rsidR="00735BED">
              <w:rPr>
                <w:rFonts w:asciiTheme="minorHAnsi" w:hAnsiTheme="minorHAnsi" w:cstheme="minorHAnsi"/>
                <w:bCs/>
                <w:sz w:val="22"/>
                <w:szCs w:val="22"/>
                <w:lang w:val="fr-CH"/>
              </w:rPr>
              <w:t xml:space="preserve"> </w:t>
            </w:r>
          </w:p>
        </w:tc>
        <w:tc>
          <w:tcPr>
            <w:tcW w:w="1417" w:type="dxa"/>
          </w:tcPr>
          <w:p w14:paraId="31A426C3" w14:textId="06AFBAB8"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312CFF">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016FC915" w14:textId="187E6EFE" w:rsidR="00A451D1" w:rsidRPr="00A513DE" w:rsidRDefault="00A451D1" w:rsidP="00312CFF">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312CFF">
              <w:rPr>
                <w:rFonts w:asciiTheme="minorHAnsi" w:hAnsiTheme="minorHAnsi" w:cstheme="minorHAnsi"/>
                <w:color w:val="000000"/>
                <w:sz w:val="22"/>
                <w:szCs w:val="22"/>
                <w:lang w:val="fr-CH"/>
              </w:rPr>
              <w:t xml:space="preserve"> Pas d’incidences financières</w:t>
            </w:r>
          </w:p>
        </w:tc>
      </w:tr>
      <w:tr w:rsidR="00D22D6F" w:rsidRPr="00A513DE" w14:paraId="4D4A3E5C" w14:textId="77777777" w:rsidTr="002F2051">
        <w:trPr>
          <w:cantSplit/>
        </w:trPr>
        <w:tc>
          <w:tcPr>
            <w:tcW w:w="1135" w:type="dxa"/>
            <w:vMerge w:val="restart"/>
            <w:shd w:val="clear" w:color="auto" w:fill="auto"/>
          </w:tcPr>
          <w:p w14:paraId="66BA1FEE" w14:textId="4E790752"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lastRenderedPageBreak/>
              <w:t>SC59/2022 Doc</w:t>
            </w:r>
            <w:r w:rsidR="00500D99">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24.14</w:t>
            </w:r>
          </w:p>
        </w:tc>
        <w:tc>
          <w:tcPr>
            <w:tcW w:w="1904" w:type="dxa"/>
            <w:vMerge w:val="restart"/>
            <w:shd w:val="clear" w:color="auto" w:fill="auto"/>
          </w:tcPr>
          <w:p w14:paraId="0D67EA98" w14:textId="00248ABC" w:rsidR="00D22D6F" w:rsidRPr="00A513DE" w:rsidRDefault="00EE5B6D"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Proposition de projet de résolution sur les travaux scientifiques et techniques de la Convention de Ramsar - Principes de base</w:t>
            </w:r>
          </w:p>
        </w:tc>
        <w:tc>
          <w:tcPr>
            <w:tcW w:w="3119" w:type="dxa"/>
            <w:shd w:val="clear" w:color="auto" w:fill="auto"/>
            <w:noWrap/>
          </w:tcPr>
          <w:p w14:paraId="669F89BB" w14:textId="64B306FA" w:rsidR="00D22D6F" w:rsidRPr="00A513DE" w:rsidRDefault="00A708CD" w:rsidP="00A708CD">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 xml:space="preserve">Le Secrétariat mobilise des ressources additionnelles pour la mise en œuvre d’orientations et d’avis techniques et, ce faisant, un soutien aux Parties contractantes pour l’application de la </w:t>
            </w:r>
            <w:r w:rsidR="00D22D6F" w:rsidRPr="00A513DE">
              <w:rPr>
                <w:rFonts w:asciiTheme="minorHAnsi" w:hAnsiTheme="minorHAnsi" w:cstheme="minorHAnsi"/>
                <w:bCs/>
                <w:sz w:val="22"/>
                <w:szCs w:val="22"/>
                <w:lang w:val="fr-CH"/>
              </w:rPr>
              <w:t>Convention.</w:t>
            </w:r>
          </w:p>
        </w:tc>
        <w:tc>
          <w:tcPr>
            <w:tcW w:w="1417" w:type="dxa"/>
          </w:tcPr>
          <w:p w14:paraId="1173B3D6" w14:textId="1E9AC990"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312CFF">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1EC6D79C" w14:textId="09A45513"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312CFF">
              <w:rPr>
                <w:rFonts w:asciiTheme="minorHAnsi" w:hAnsiTheme="minorHAnsi" w:cstheme="minorHAnsi"/>
                <w:color w:val="000000"/>
                <w:sz w:val="22"/>
                <w:szCs w:val="22"/>
                <w:lang w:val="fr-CH"/>
              </w:rPr>
              <w:t xml:space="preserve"> Pas d’incidences financières</w:t>
            </w:r>
          </w:p>
        </w:tc>
      </w:tr>
      <w:tr w:rsidR="00D22D6F" w:rsidRPr="00A513DE" w14:paraId="5E92E24F" w14:textId="77777777" w:rsidTr="002F2051">
        <w:trPr>
          <w:cantSplit/>
        </w:trPr>
        <w:tc>
          <w:tcPr>
            <w:tcW w:w="1135" w:type="dxa"/>
            <w:vMerge/>
            <w:shd w:val="clear" w:color="auto" w:fill="auto"/>
          </w:tcPr>
          <w:p w14:paraId="34471C39"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27129784"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0F4B7082" w14:textId="65324794" w:rsidR="00D22D6F" w:rsidRPr="00A513DE" w:rsidRDefault="00A708CD" w:rsidP="00A708CD">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 xml:space="preserve">Le Secrétariat contribue au processus de nomination décrit dans l’Annexe 1, partie 3, aux mises à jour nécessaires du projet de résolution pour les organes </w:t>
            </w:r>
            <w:r w:rsidR="00D45FFD">
              <w:rPr>
                <w:rFonts w:asciiTheme="minorHAnsi" w:hAnsiTheme="minorHAnsi" w:cstheme="minorHAnsi"/>
                <w:bCs/>
                <w:sz w:val="22"/>
                <w:szCs w:val="22"/>
                <w:lang w:val="fr-CH"/>
              </w:rPr>
              <w:t>scientifiques et techniques</w:t>
            </w:r>
            <w:r>
              <w:rPr>
                <w:rFonts w:asciiTheme="minorHAnsi" w:hAnsiTheme="minorHAnsi" w:cstheme="minorHAnsi"/>
                <w:bCs/>
                <w:sz w:val="22"/>
                <w:szCs w:val="22"/>
                <w:lang w:val="fr-CH"/>
              </w:rPr>
              <w:t>.</w:t>
            </w:r>
            <w:r w:rsidR="00D22D6F" w:rsidRPr="00A513DE">
              <w:rPr>
                <w:rFonts w:asciiTheme="minorHAnsi" w:hAnsiTheme="minorHAnsi" w:cstheme="minorHAnsi"/>
                <w:bCs/>
                <w:sz w:val="22"/>
                <w:szCs w:val="22"/>
                <w:lang w:val="fr-CH"/>
              </w:rPr>
              <w:t xml:space="preserve"> </w:t>
            </w:r>
          </w:p>
        </w:tc>
        <w:tc>
          <w:tcPr>
            <w:tcW w:w="1417" w:type="dxa"/>
          </w:tcPr>
          <w:p w14:paraId="5C27DEA0" w14:textId="33334CF0"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312CFF">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00949132" w14:textId="0C8228BC"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312CFF">
              <w:rPr>
                <w:rFonts w:asciiTheme="minorHAnsi" w:hAnsiTheme="minorHAnsi" w:cstheme="minorHAnsi"/>
                <w:color w:val="000000"/>
                <w:sz w:val="22"/>
                <w:szCs w:val="22"/>
                <w:lang w:val="fr-CH"/>
              </w:rPr>
              <w:t xml:space="preserve"> Pas d’incidences financières</w:t>
            </w:r>
          </w:p>
        </w:tc>
      </w:tr>
      <w:tr w:rsidR="00772E80" w:rsidRPr="00A513DE" w14:paraId="79EA5910" w14:textId="77777777" w:rsidTr="002F2051">
        <w:trPr>
          <w:cantSplit/>
        </w:trPr>
        <w:tc>
          <w:tcPr>
            <w:tcW w:w="1135" w:type="dxa"/>
            <w:shd w:val="clear" w:color="auto" w:fill="auto"/>
          </w:tcPr>
          <w:p w14:paraId="4400E4EA" w14:textId="141AB66C"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w:t>
            </w:r>
            <w:r w:rsidR="00500D99">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24.15</w:t>
            </w:r>
          </w:p>
        </w:tc>
        <w:tc>
          <w:tcPr>
            <w:tcW w:w="1904" w:type="dxa"/>
            <w:shd w:val="clear" w:color="auto" w:fill="auto"/>
          </w:tcPr>
          <w:p w14:paraId="715ABFBE" w14:textId="3277712A" w:rsidR="00A451D1" w:rsidRPr="00A513DE" w:rsidRDefault="00EE5B6D"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 xml:space="preserve">Proposition de projet de résolution </w:t>
            </w:r>
            <w:r w:rsidR="00AB20ED" w:rsidRPr="00A513DE">
              <w:rPr>
                <w:rFonts w:asciiTheme="minorHAnsi" w:hAnsiTheme="minorHAnsi" w:cstheme="minorHAnsi"/>
                <w:color w:val="000000"/>
                <w:sz w:val="22"/>
                <w:szCs w:val="22"/>
                <w:lang w:val="fr-CH"/>
              </w:rPr>
              <w:t>sur l</w:t>
            </w:r>
            <w:r w:rsidRPr="00A513DE">
              <w:rPr>
                <w:rFonts w:asciiTheme="minorHAnsi" w:hAnsiTheme="minorHAnsi" w:cstheme="minorHAnsi"/>
                <w:color w:val="000000"/>
                <w:sz w:val="22"/>
                <w:szCs w:val="22"/>
                <w:lang w:val="fr-CH"/>
              </w:rPr>
              <w:t>es organes scientifiques et techniques de la Convention de Ramsar entre la COP14 et la COP15</w:t>
            </w:r>
          </w:p>
        </w:tc>
        <w:tc>
          <w:tcPr>
            <w:tcW w:w="3119" w:type="dxa"/>
            <w:shd w:val="clear" w:color="auto" w:fill="auto"/>
            <w:noWrap/>
          </w:tcPr>
          <w:p w14:paraId="417ADAF4" w14:textId="07D719C0" w:rsidR="00A451D1" w:rsidRPr="00A513DE" w:rsidRDefault="00A451D1" w:rsidP="00A708CD">
            <w:pPr>
              <w:widowControl w:val="0"/>
              <w:ind w:left="0" w:firstLine="0"/>
              <w:jc w:val="left"/>
              <w:rPr>
                <w:rFonts w:asciiTheme="minorHAnsi" w:hAnsiTheme="minorHAnsi" w:cstheme="minorHAnsi"/>
                <w:bCs/>
                <w:sz w:val="22"/>
                <w:szCs w:val="22"/>
                <w:lang w:val="fr-CH"/>
              </w:rPr>
            </w:pPr>
            <w:r w:rsidRPr="00A513DE">
              <w:rPr>
                <w:rFonts w:asciiTheme="minorHAnsi" w:hAnsiTheme="minorHAnsi" w:cstheme="minorHAnsi"/>
                <w:bCs/>
                <w:sz w:val="22"/>
                <w:szCs w:val="22"/>
                <w:lang w:val="fr-CH"/>
              </w:rPr>
              <w:t>**</w:t>
            </w:r>
            <w:r w:rsidR="00312CFF">
              <w:rPr>
                <w:rFonts w:asciiTheme="minorHAnsi" w:hAnsiTheme="minorHAnsi" w:cstheme="minorHAnsi"/>
                <w:bCs/>
                <w:sz w:val="22"/>
                <w:szCs w:val="22"/>
                <w:lang w:val="fr-CH"/>
              </w:rPr>
              <w:t xml:space="preserve"> </w:t>
            </w:r>
            <w:r w:rsidR="00A708CD">
              <w:rPr>
                <w:rFonts w:asciiTheme="minorHAnsi" w:hAnsiTheme="minorHAnsi" w:cstheme="minorHAnsi"/>
                <w:bCs/>
                <w:sz w:val="22"/>
                <w:szCs w:val="22"/>
                <w:lang w:val="fr-CH"/>
              </w:rPr>
              <w:t>Aucune action requise du Secrétariat</w:t>
            </w:r>
          </w:p>
        </w:tc>
        <w:tc>
          <w:tcPr>
            <w:tcW w:w="1417" w:type="dxa"/>
          </w:tcPr>
          <w:p w14:paraId="212E9118" w14:textId="521B72CC"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312CFF">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12810004" w14:textId="4D77C43A" w:rsidR="00A451D1" w:rsidRPr="00A513DE" w:rsidRDefault="00A451D1"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312CFF">
              <w:rPr>
                <w:rFonts w:asciiTheme="minorHAnsi" w:hAnsiTheme="minorHAnsi" w:cstheme="minorHAnsi"/>
                <w:color w:val="000000"/>
                <w:sz w:val="22"/>
                <w:szCs w:val="22"/>
                <w:lang w:val="fr-CH"/>
              </w:rPr>
              <w:t xml:space="preserve"> Pas d’incidences financières</w:t>
            </w:r>
          </w:p>
        </w:tc>
      </w:tr>
      <w:tr w:rsidR="00D22D6F" w:rsidRPr="002F2051" w14:paraId="46D56181" w14:textId="77777777" w:rsidTr="002F2051">
        <w:trPr>
          <w:cantSplit/>
        </w:trPr>
        <w:tc>
          <w:tcPr>
            <w:tcW w:w="1135" w:type="dxa"/>
            <w:vMerge w:val="restart"/>
            <w:shd w:val="clear" w:color="auto" w:fill="auto"/>
          </w:tcPr>
          <w:p w14:paraId="2E67C32F" w14:textId="5FD51AB5"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w:t>
            </w:r>
            <w:r w:rsidR="00500D99">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24.16</w:t>
            </w:r>
          </w:p>
        </w:tc>
        <w:tc>
          <w:tcPr>
            <w:tcW w:w="1904" w:type="dxa"/>
            <w:vMerge w:val="restart"/>
            <w:shd w:val="clear" w:color="auto" w:fill="auto"/>
          </w:tcPr>
          <w:p w14:paraId="5DB7AC07" w14:textId="22B3AD77" w:rsidR="00D22D6F" w:rsidRPr="00A513DE" w:rsidRDefault="00EE5B6D"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Projet de résolution sur l'établissement du Centre international des mangroves dans le cadre de la Convention de Ramsar</w:t>
            </w:r>
          </w:p>
        </w:tc>
        <w:tc>
          <w:tcPr>
            <w:tcW w:w="3119" w:type="dxa"/>
            <w:shd w:val="clear" w:color="auto" w:fill="auto"/>
            <w:noWrap/>
          </w:tcPr>
          <w:p w14:paraId="6A4F6D18" w14:textId="2AAFB64A" w:rsidR="00D22D6F" w:rsidRPr="00A513DE" w:rsidRDefault="00812E45" w:rsidP="00812E45">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Le Secrétariat apporte son appui à la coordination et à la communication concernant la mise en place et le fonctionnement du Centre international des mangroves. L’appui de coordination pour l’établissement et le fonctionnement nécessite du temps du personnel.</w:t>
            </w:r>
          </w:p>
        </w:tc>
        <w:tc>
          <w:tcPr>
            <w:tcW w:w="1417" w:type="dxa"/>
          </w:tcPr>
          <w:p w14:paraId="041928C9" w14:textId="2B8E0BDB"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812E45">
              <w:rPr>
                <w:rFonts w:asciiTheme="minorHAnsi" w:hAnsiTheme="minorHAnsi" w:cstheme="minorHAnsi"/>
                <w:color w:val="000000"/>
                <w:sz w:val="22"/>
                <w:szCs w:val="22"/>
                <w:lang w:val="fr-CH"/>
              </w:rPr>
              <w:t xml:space="preserve"> 30 jours selon les tâches attendues</w:t>
            </w:r>
            <w:r w:rsidRPr="00A513DE">
              <w:rPr>
                <w:rFonts w:asciiTheme="minorHAnsi" w:hAnsiTheme="minorHAnsi" w:cstheme="minorHAnsi"/>
                <w:color w:val="000000"/>
                <w:sz w:val="22"/>
                <w:szCs w:val="22"/>
                <w:lang w:val="fr-CH"/>
              </w:rPr>
              <w:t xml:space="preserve"> </w:t>
            </w:r>
          </w:p>
        </w:tc>
        <w:tc>
          <w:tcPr>
            <w:tcW w:w="1781" w:type="dxa"/>
            <w:shd w:val="clear" w:color="auto" w:fill="auto"/>
          </w:tcPr>
          <w:p w14:paraId="543E4C2F" w14:textId="0878DF5E"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A708CD">
              <w:rPr>
                <w:rFonts w:asciiTheme="minorHAnsi" w:hAnsiTheme="minorHAnsi" w:cstheme="minorHAnsi"/>
                <w:color w:val="000000"/>
                <w:sz w:val="22"/>
                <w:szCs w:val="22"/>
                <w:lang w:val="fr-CH"/>
              </w:rPr>
              <w:t xml:space="preserve"> Pas d’incidences financières</w:t>
            </w:r>
          </w:p>
          <w:p w14:paraId="74FD8482"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p w14:paraId="3CD15C79" w14:textId="4BC4EF97" w:rsidR="00D22D6F" w:rsidRPr="00A513DE" w:rsidRDefault="00C13226" w:rsidP="00812E45">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 S</w:t>
            </w:r>
            <w:r w:rsidR="00812E45">
              <w:rPr>
                <w:rFonts w:asciiTheme="minorHAnsi" w:hAnsiTheme="minorHAnsi" w:cstheme="minorHAnsi"/>
                <w:color w:val="000000"/>
                <w:sz w:val="22"/>
                <w:szCs w:val="22"/>
                <w:lang w:val="fr-CH"/>
              </w:rPr>
              <w:t xml:space="preserve">elon les fonds non administratifs disponibles et </w:t>
            </w:r>
            <w:r w:rsidR="00005A0B">
              <w:rPr>
                <w:rFonts w:asciiTheme="minorHAnsi" w:hAnsiTheme="minorHAnsi" w:cstheme="minorHAnsi"/>
                <w:color w:val="000000"/>
                <w:sz w:val="22"/>
                <w:szCs w:val="22"/>
                <w:lang w:val="fr-CH"/>
              </w:rPr>
              <w:t>le</w:t>
            </w:r>
            <w:r w:rsidR="00D45FFD">
              <w:rPr>
                <w:rFonts w:asciiTheme="minorHAnsi" w:hAnsiTheme="minorHAnsi" w:cstheme="minorHAnsi"/>
                <w:color w:val="000000"/>
                <w:sz w:val="22"/>
                <w:szCs w:val="22"/>
                <w:lang w:val="fr-CH"/>
              </w:rPr>
              <w:t xml:space="preserve"> grade du</w:t>
            </w:r>
            <w:r w:rsidR="00812E45">
              <w:rPr>
                <w:rFonts w:asciiTheme="minorHAnsi" w:hAnsiTheme="minorHAnsi" w:cstheme="minorHAnsi"/>
                <w:color w:val="000000"/>
                <w:sz w:val="22"/>
                <w:szCs w:val="22"/>
                <w:lang w:val="fr-CH"/>
              </w:rPr>
              <w:t xml:space="preserve"> personnel </w:t>
            </w:r>
          </w:p>
        </w:tc>
      </w:tr>
      <w:tr w:rsidR="00D22D6F" w:rsidRPr="002F2051" w14:paraId="507BF65E" w14:textId="77777777" w:rsidTr="002F2051">
        <w:trPr>
          <w:cantSplit/>
        </w:trPr>
        <w:tc>
          <w:tcPr>
            <w:tcW w:w="1135" w:type="dxa"/>
            <w:vMerge/>
            <w:shd w:val="clear" w:color="auto" w:fill="auto"/>
          </w:tcPr>
          <w:p w14:paraId="030A59A6"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3F1DE93B"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240A8C41" w14:textId="17D52419" w:rsidR="00D22D6F" w:rsidRPr="00A513DE" w:rsidRDefault="00812E45" w:rsidP="00812E45">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Le Groupe d’évaluation scientifique et technique fournit un appui scientifique et technique au Centre international des mangroves</w:t>
            </w:r>
            <w:r w:rsidR="00D22D6F" w:rsidRPr="00A513DE">
              <w:rPr>
                <w:rFonts w:asciiTheme="minorHAnsi" w:hAnsiTheme="minorHAnsi" w:cstheme="minorHAnsi"/>
                <w:bCs/>
                <w:sz w:val="22"/>
                <w:szCs w:val="22"/>
                <w:lang w:val="fr-CH"/>
              </w:rPr>
              <w:t>.</w:t>
            </w:r>
          </w:p>
        </w:tc>
        <w:tc>
          <w:tcPr>
            <w:tcW w:w="1417" w:type="dxa"/>
          </w:tcPr>
          <w:p w14:paraId="43B3612B" w14:textId="6B2E89BA"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812E45">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53A39A5E" w14:textId="79BC2A39"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A708CD">
              <w:rPr>
                <w:rFonts w:asciiTheme="minorHAnsi" w:hAnsiTheme="minorHAnsi" w:cstheme="minorHAnsi"/>
                <w:color w:val="000000"/>
                <w:sz w:val="22"/>
                <w:szCs w:val="22"/>
                <w:lang w:val="fr-CH"/>
              </w:rPr>
              <w:t xml:space="preserve"> Pas d’incidences financières</w:t>
            </w:r>
          </w:p>
          <w:p w14:paraId="4665E9A1"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p w14:paraId="4EC0AB64" w14:textId="3D6C5067" w:rsidR="00D22D6F" w:rsidRPr="00A513DE" w:rsidRDefault="00812E45" w:rsidP="00812E45">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 xml:space="preserve">Un coût additionnel </w:t>
            </w:r>
            <w:r w:rsidR="00D45FFD">
              <w:rPr>
                <w:rFonts w:asciiTheme="minorHAnsi" w:hAnsiTheme="minorHAnsi" w:cstheme="minorHAnsi"/>
                <w:color w:val="000000"/>
                <w:sz w:val="22"/>
                <w:szCs w:val="22"/>
                <w:lang w:val="fr-CH"/>
              </w:rPr>
              <w:t xml:space="preserve">qui </w:t>
            </w:r>
            <w:r>
              <w:rPr>
                <w:rFonts w:asciiTheme="minorHAnsi" w:hAnsiTheme="minorHAnsi" w:cstheme="minorHAnsi"/>
                <w:color w:val="000000"/>
                <w:sz w:val="22"/>
                <w:szCs w:val="22"/>
                <w:lang w:val="fr-CH"/>
              </w:rPr>
              <w:t>dépendra de l’</w:t>
            </w:r>
            <w:r w:rsidR="00D45FFD">
              <w:rPr>
                <w:rFonts w:asciiTheme="minorHAnsi" w:hAnsiTheme="minorHAnsi" w:cstheme="minorHAnsi"/>
                <w:color w:val="000000"/>
                <w:sz w:val="22"/>
                <w:szCs w:val="22"/>
                <w:lang w:val="fr-CH"/>
              </w:rPr>
              <w:t>ampleur</w:t>
            </w:r>
            <w:r>
              <w:rPr>
                <w:rFonts w:asciiTheme="minorHAnsi" w:hAnsiTheme="minorHAnsi" w:cstheme="minorHAnsi"/>
                <w:color w:val="000000"/>
                <w:sz w:val="22"/>
                <w:szCs w:val="22"/>
                <w:lang w:val="fr-CH"/>
              </w:rPr>
              <w:t xml:space="preserve"> de l’appui requis.</w:t>
            </w:r>
          </w:p>
        </w:tc>
      </w:tr>
      <w:tr w:rsidR="00D22D6F" w:rsidRPr="002F2051" w14:paraId="3C52C42B" w14:textId="77777777" w:rsidTr="002F2051">
        <w:trPr>
          <w:cantSplit/>
        </w:trPr>
        <w:tc>
          <w:tcPr>
            <w:tcW w:w="1135" w:type="dxa"/>
            <w:vMerge w:val="restart"/>
            <w:shd w:val="clear" w:color="auto" w:fill="auto"/>
          </w:tcPr>
          <w:p w14:paraId="3EA74239" w14:textId="0D6E8AEB"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lastRenderedPageBreak/>
              <w:t>SC59/2022 Doc</w:t>
            </w:r>
            <w:r w:rsidR="00500D99">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24.17</w:t>
            </w:r>
          </w:p>
        </w:tc>
        <w:tc>
          <w:tcPr>
            <w:tcW w:w="1904" w:type="dxa"/>
            <w:vMerge w:val="restart"/>
            <w:shd w:val="clear" w:color="auto" w:fill="auto"/>
          </w:tcPr>
          <w:p w14:paraId="31A468E3" w14:textId="032CE695" w:rsidR="00D22D6F" w:rsidRPr="00A513DE" w:rsidRDefault="00EE5B6D"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 xml:space="preserve">Projet de résolution proposé </w:t>
            </w:r>
            <w:r w:rsidR="00AB20ED" w:rsidRPr="00A513DE">
              <w:rPr>
                <w:rFonts w:asciiTheme="minorHAnsi" w:hAnsiTheme="minorHAnsi" w:cstheme="minorHAnsi"/>
                <w:color w:val="000000"/>
                <w:sz w:val="22"/>
                <w:szCs w:val="22"/>
                <w:lang w:val="fr-CH"/>
              </w:rPr>
              <w:t>sur la</w:t>
            </w:r>
            <w:r w:rsidRPr="00A513DE">
              <w:rPr>
                <w:rFonts w:asciiTheme="minorHAnsi" w:hAnsiTheme="minorHAnsi" w:cstheme="minorHAnsi"/>
                <w:color w:val="000000"/>
                <w:sz w:val="22"/>
                <w:szCs w:val="22"/>
                <w:lang w:val="fr-CH"/>
              </w:rPr>
              <w:t xml:space="preserve"> </w:t>
            </w:r>
            <w:r w:rsidR="00AB20ED" w:rsidRPr="00A513DE">
              <w:rPr>
                <w:rFonts w:asciiTheme="minorHAnsi" w:hAnsiTheme="minorHAnsi" w:cstheme="minorHAnsi"/>
                <w:color w:val="000000"/>
                <w:sz w:val="22"/>
                <w:szCs w:val="22"/>
                <w:lang w:val="fr-CH"/>
              </w:rPr>
              <w:t>r</w:t>
            </w:r>
            <w:r w:rsidRPr="00A513DE">
              <w:rPr>
                <w:rFonts w:asciiTheme="minorHAnsi" w:hAnsiTheme="minorHAnsi" w:cstheme="minorHAnsi"/>
                <w:color w:val="000000"/>
                <w:sz w:val="22"/>
                <w:szCs w:val="22"/>
                <w:lang w:val="fr-CH"/>
              </w:rPr>
              <w:t>édaction des documents et négociations préparatoires en ligne</w:t>
            </w:r>
          </w:p>
        </w:tc>
        <w:tc>
          <w:tcPr>
            <w:tcW w:w="3119" w:type="dxa"/>
            <w:shd w:val="clear" w:color="auto" w:fill="auto"/>
            <w:noWrap/>
          </w:tcPr>
          <w:p w14:paraId="0B58A0B0" w14:textId="11A9668E" w:rsidR="00D22D6F" w:rsidRPr="00A513DE" w:rsidRDefault="00812E45" w:rsidP="00812E45">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 xml:space="preserve">Établir des domaines de travail en ligne pour commenter et suggérer des amendements </w:t>
            </w:r>
          </w:p>
          <w:p w14:paraId="621939B5"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p w14:paraId="7CC7B050" w14:textId="77777777" w:rsidR="00D22D6F" w:rsidRPr="00A513DE" w:rsidRDefault="00D22D6F" w:rsidP="00812E45">
            <w:pPr>
              <w:widowControl w:val="0"/>
              <w:ind w:left="0" w:firstLine="0"/>
              <w:jc w:val="left"/>
              <w:rPr>
                <w:rFonts w:asciiTheme="minorHAnsi" w:hAnsiTheme="minorHAnsi" w:cstheme="minorHAnsi"/>
                <w:bCs/>
                <w:sz w:val="22"/>
                <w:szCs w:val="22"/>
                <w:lang w:val="fr-CH"/>
              </w:rPr>
            </w:pPr>
          </w:p>
        </w:tc>
        <w:tc>
          <w:tcPr>
            <w:tcW w:w="1417" w:type="dxa"/>
          </w:tcPr>
          <w:p w14:paraId="13C3EBEB" w14:textId="1E942FCD" w:rsidR="00D22D6F" w:rsidRPr="00A513DE" w:rsidRDefault="00812E45" w:rsidP="00812E45">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 15 jours selon les tâches</w:t>
            </w:r>
            <w:r w:rsidR="00D22D6F" w:rsidRPr="00A513DE">
              <w:rPr>
                <w:rFonts w:asciiTheme="minorHAnsi" w:hAnsiTheme="minorHAnsi" w:cstheme="minorHAnsi"/>
                <w:color w:val="000000"/>
                <w:sz w:val="22"/>
                <w:szCs w:val="22"/>
                <w:lang w:val="fr-CH"/>
              </w:rPr>
              <w:t xml:space="preserve"> </w:t>
            </w:r>
          </w:p>
        </w:tc>
        <w:tc>
          <w:tcPr>
            <w:tcW w:w="1781" w:type="dxa"/>
            <w:shd w:val="clear" w:color="auto" w:fill="auto"/>
          </w:tcPr>
          <w:p w14:paraId="5E3E5DC7" w14:textId="3292DF61" w:rsidR="00D22D6F" w:rsidRPr="00A513DE" w:rsidRDefault="00D22D6F" w:rsidP="00812E45">
            <w:pPr>
              <w:widowControl w:val="0"/>
              <w:ind w:left="0" w:firstLine="0"/>
              <w:jc w:val="left"/>
              <w:rPr>
                <w:rFonts w:asciiTheme="minorHAnsi" w:hAnsiTheme="minorHAnsi" w:cstheme="minorHAnsi"/>
                <w:sz w:val="22"/>
                <w:szCs w:val="22"/>
                <w:lang w:val="fr-CH"/>
              </w:rPr>
            </w:pPr>
            <w:r w:rsidRPr="00A513DE">
              <w:rPr>
                <w:rFonts w:asciiTheme="minorHAnsi" w:hAnsiTheme="minorHAnsi" w:cstheme="minorHAnsi"/>
                <w:color w:val="000000"/>
                <w:sz w:val="22"/>
                <w:szCs w:val="22"/>
                <w:lang w:val="fr-CH"/>
              </w:rPr>
              <w:t xml:space="preserve">* </w:t>
            </w:r>
            <w:r w:rsidR="00812E45">
              <w:rPr>
                <w:rFonts w:asciiTheme="minorHAnsi" w:hAnsiTheme="minorHAnsi" w:cstheme="minorHAnsi"/>
                <w:sz w:val="22"/>
                <w:szCs w:val="22"/>
                <w:lang w:val="fr-CH"/>
              </w:rPr>
              <w:t xml:space="preserve">Très difficile à estimer </w:t>
            </w:r>
          </w:p>
          <w:p w14:paraId="19A0791B" w14:textId="24E87C1D"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sz w:val="22"/>
                <w:szCs w:val="22"/>
                <w:lang w:val="fr-CH"/>
              </w:rPr>
              <w:t xml:space="preserve">** </w:t>
            </w:r>
            <w:r w:rsidR="00C00982">
              <w:rPr>
                <w:rFonts w:asciiTheme="minorHAnsi" w:hAnsiTheme="minorHAnsi" w:cstheme="minorHAnsi"/>
                <w:sz w:val="22"/>
                <w:szCs w:val="22"/>
                <w:lang w:val="fr-CH"/>
              </w:rPr>
              <w:t>I</w:t>
            </w:r>
            <w:r w:rsidR="00812E45">
              <w:rPr>
                <w:rFonts w:asciiTheme="minorHAnsi" w:hAnsiTheme="minorHAnsi" w:cstheme="minorHAnsi"/>
                <w:sz w:val="22"/>
                <w:szCs w:val="22"/>
                <w:lang w:val="fr-CH"/>
              </w:rPr>
              <w:t xml:space="preserve">ncidences administratives et financières dépendant </w:t>
            </w:r>
            <w:r w:rsidR="00812E45" w:rsidRPr="00D45FFD">
              <w:rPr>
                <w:rFonts w:asciiTheme="minorHAnsi" w:hAnsiTheme="minorHAnsi" w:cstheme="minorHAnsi"/>
                <w:sz w:val="22"/>
                <w:szCs w:val="22"/>
                <w:lang w:val="fr-CH"/>
              </w:rPr>
              <w:t>de la disponibilité</w:t>
            </w:r>
            <w:r w:rsidR="00D45FFD">
              <w:rPr>
                <w:rFonts w:asciiTheme="minorHAnsi" w:hAnsiTheme="minorHAnsi" w:cstheme="minorHAnsi"/>
                <w:sz w:val="22"/>
                <w:szCs w:val="22"/>
                <w:lang w:val="fr-CH"/>
              </w:rPr>
              <w:t xml:space="preserve"> des fonds et</w:t>
            </w:r>
            <w:r w:rsidR="00812E45" w:rsidRPr="00D45FFD">
              <w:rPr>
                <w:rFonts w:asciiTheme="minorHAnsi" w:hAnsiTheme="minorHAnsi" w:cstheme="minorHAnsi"/>
                <w:sz w:val="22"/>
                <w:szCs w:val="22"/>
                <w:lang w:val="fr-CH"/>
              </w:rPr>
              <w:t xml:space="preserve"> </w:t>
            </w:r>
            <w:r w:rsidR="00D45FFD" w:rsidRPr="00D45FFD">
              <w:rPr>
                <w:rFonts w:asciiTheme="minorHAnsi" w:hAnsiTheme="minorHAnsi" w:cstheme="minorHAnsi"/>
                <w:sz w:val="22"/>
                <w:szCs w:val="22"/>
                <w:lang w:val="fr-CH"/>
              </w:rPr>
              <w:t>du grade du</w:t>
            </w:r>
            <w:r w:rsidR="00812E45" w:rsidRPr="00D45FFD">
              <w:rPr>
                <w:rFonts w:asciiTheme="minorHAnsi" w:hAnsiTheme="minorHAnsi" w:cstheme="minorHAnsi"/>
                <w:sz w:val="22"/>
                <w:szCs w:val="22"/>
                <w:lang w:val="fr-CH"/>
              </w:rPr>
              <w:t xml:space="preserve"> personnel </w:t>
            </w:r>
          </w:p>
        </w:tc>
      </w:tr>
      <w:tr w:rsidR="00D22D6F" w:rsidRPr="002F2051" w14:paraId="14BA7300" w14:textId="77777777" w:rsidTr="002F2051">
        <w:trPr>
          <w:cantSplit/>
        </w:trPr>
        <w:tc>
          <w:tcPr>
            <w:tcW w:w="1135" w:type="dxa"/>
            <w:vMerge/>
            <w:shd w:val="clear" w:color="auto" w:fill="auto"/>
          </w:tcPr>
          <w:p w14:paraId="4E3C8AC6"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03A4B004"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60013403" w14:textId="2D074B87" w:rsidR="00D22D6F" w:rsidRPr="00A513DE" w:rsidRDefault="00812E45" w:rsidP="00812E45">
            <w:pPr>
              <w:widowControl w:val="0"/>
              <w:ind w:left="0" w:firstLine="0"/>
              <w:jc w:val="left"/>
              <w:rPr>
                <w:rFonts w:asciiTheme="minorHAnsi" w:hAnsiTheme="minorHAnsi" w:cstheme="minorHAnsi"/>
                <w:color w:val="000000"/>
                <w:sz w:val="22"/>
                <w:szCs w:val="22"/>
                <w:lang w:val="fr-CH"/>
              </w:rPr>
            </w:pPr>
            <w:r>
              <w:rPr>
                <w:rFonts w:asciiTheme="minorHAnsi" w:hAnsiTheme="minorHAnsi" w:cstheme="minorHAnsi"/>
                <w:color w:val="000000"/>
                <w:sz w:val="22"/>
                <w:szCs w:val="22"/>
                <w:lang w:val="fr-CH"/>
              </w:rPr>
              <w:t xml:space="preserve">Évaluer l’utilisation </w:t>
            </w:r>
            <w:r w:rsidR="00615404">
              <w:rPr>
                <w:rFonts w:asciiTheme="minorHAnsi" w:hAnsiTheme="minorHAnsi" w:cstheme="minorHAnsi"/>
                <w:color w:val="000000"/>
                <w:sz w:val="22"/>
                <w:szCs w:val="22"/>
                <w:lang w:val="fr-CH"/>
              </w:rPr>
              <w:t>du MS de l’</w:t>
            </w:r>
            <w:r>
              <w:rPr>
                <w:rFonts w:asciiTheme="minorHAnsi" w:hAnsiTheme="minorHAnsi" w:cstheme="minorHAnsi"/>
                <w:color w:val="000000"/>
                <w:sz w:val="22"/>
                <w:szCs w:val="22"/>
                <w:lang w:val="fr-CH"/>
              </w:rPr>
              <w:t xml:space="preserve">UICN </w:t>
            </w:r>
          </w:p>
          <w:p w14:paraId="29353786"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417" w:type="dxa"/>
          </w:tcPr>
          <w:p w14:paraId="799FE0C0"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7</w:t>
            </w:r>
          </w:p>
        </w:tc>
        <w:tc>
          <w:tcPr>
            <w:tcW w:w="1781" w:type="dxa"/>
            <w:shd w:val="clear" w:color="auto" w:fill="auto"/>
          </w:tcPr>
          <w:p w14:paraId="057E1420" w14:textId="15932E96" w:rsidR="00D22D6F" w:rsidRPr="00A513DE" w:rsidRDefault="00D22D6F" w:rsidP="00812E45">
            <w:pPr>
              <w:widowControl w:val="0"/>
              <w:ind w:left="0" w:firstLine="0"/>
              <w:jc w:val="left"/>
              <w:rPr>
                <w:rFonts w:asciiTheme="minorHAnsi" w:hAnsiTheme="minorHAnsi" w:cstheme="minorHAnsi"/>
                <w:sz w:val="22"/>
                <w:szCs w:val="22"/>
                <w:lang w:val="fr-CH"/>
              </w:rPr>
            </w:pPr>
            <w:r w:rsidRPr="00A513DE">
              <w:rPr>
                <w:rFonts w:asciiTheme="minorHAnsi" w:hAnsiTheme="minorHAnsi" w:cstheme="minorHAnsi"/>
                <w:color w:val="000000"/>
                <w:sz w:val="22"/>
                <w:szCs w:val="22"/>
                <w:lang w:val="fr-CH"/>
              </w:rPr>
              <w:t xml:space="preserve">* </w:t>
            </w:r>
            <w:r w:rsidR="00812E45">
              <w:rPr>
                <w:rFonts w:asciiTheme="minorHAnsi" w:hAnsiTheme="minorHAnsi" w:cstheme="minorHAnsi"/>
                <w:color w:val="000000"/>
                <w:sz w:val="22"/>
                <w:szCs w:val="22"/>
                <w:lang w:val="fr-CH"/>
              </w:rPr>
              <w:t>Très difficile à estimer</w:t>
            </w:r>
            <w:r w:rsidRPr="00A513DE">
              <w:rPr>
                <w:rFonts w:asciiTheme="minorHAnsi" w:hAnsiTheme="minorHAnsi" w:cstheme="minorHAnsi"/>
                <w:sz w:val="22"/>
                <w:szCs w:val="22"/>
                <w:lang w:val="fr-CH"/>
              </w:rPr>
              <w:t xml:space="preserve"> </w:t>
            </w:r>
          </w:p>
          <w:p w14:paraId="50D6B22B" w14:textId="77777777" w:rsidR="00D22D6F" w:rsidRPr="00A513DE" w:rsidRDefault="00D22D6F" w:rsidP="00812E45">
            <w:pPr>
              <w:widowControl w:val="0"/>
              <w:ind w:left="0" w:firstLine="0"/>
              <w:jc w:val="left"/>
              <w:rPr>
                <w:rFonts w:asciiTheme="minorHAnsi" w:hAnsiTheme="minorHAnsi" w:cstheme="minorHAnsi"/>
                <w:sz w:val="22"/>
                <w:szCs w:val="22"/>
                <w:lang w:val="fr-CH"/>
              </w:rPr>
            </w:pPr>
          </w:p>
          <w:p w14:paraId="577DEB58" w14:textId="0C2C7903"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sz w:val="22"/>
                <w:szCs w:val="22"/>
                <w:lang w:val="fr-CH"/>
              </w:rPr>
              <w:t xml:space="preserve">** </w:t>
            </w:r>
            <w:r w:rsidR="00A82E3F">
              <w:rPr>
                <w:rFonts w:asciiTheme="minorHAnsi" w:hAnsiTheme="minorHAnsi" w:cstheme="minorHAnsi"/>
                <w:color w:val="000000"/>
                <w:sz w:val="22"/>
                <w:szCs w:val="22"/>
                <w:lang w:val="fr-CH"/>
              </w:rPr>
              <w:t>I</w:t>
            </w:r>
            <w:r w:rsidR="00812E45">
              <w:rPr>
                <w:rFonts w:asciiTheme="minorHAnsi" w:hAnsiTheme="minorHAnsi" w:cstheme="minorHAnsi"/>
                <w:color w:val="000000"/>
                <w:sz w:val="22"/>
                <w:szCs w:val="22"/>
                <w:lang w:val="fr-CH"/>
              </w:rPr>
              <w:t xml:space="preserve">ncidences administratives et financières </w:t>
            </w:r>
          </w:p>
        </w:tc>
      </w:tr>
      <w:tr w:rsidR="00D22D6F" w:rsidRPr="002F2051" w14:paraId="3F92A719" w14:textId="77777777" w:rsidTr="002F2051">
        <w:trPr>
          <w:cantSplit/>
        </w:trPr>
        <w:tc>
          <w:tcPr>
            <w:tcW w:w="1135" w:type="dxa"/>
            <w:vMerge/>
            <w:shd w:val="clear" w:color="auto" w:fill="auto"/>
          </w:tcPr>
          <w:p w14:paraId="4FDA8D48"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0E6AEB89"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34EC8BEB" w14:textId="2659F8F9" w:rsidR="00D22D6F" w:rsidRPr="00A513DE" w:rsidDel="00D70864" w:rsidRDefault="00812E45" w:rsidP="00812E45">
            <w:pPr>
              <w:widowControl w:val="0"/>
              <w:ind w:left="0" w:firstLine="0"/>
              <w:jc w:val="left"/>
              <w:rPr>
                <w:rFonts w:asciiTheme="minorHAnsi" w:hAnsiTheme="minorHAnsi" w:cstheme="minorHAnsi"/>
                <w:bCs/>
                <w:sz w:val="22"/>
                <w:szCs w:val="22"/>
                <w:lang w:val="fr-CH"/>
              </w:rPr>
            </w:pPr>
            <w:r>
              <w:rPr>
                <w:rFonts w:asciiTheme="minorHAnsi" w:hAnsiTheme="minorHAnsi" w:cstheme="minorHAnsi"/>
                <w:sz w:val="22"/>
                <w:szCs w:val="22"/>
                <w:lang w:val="fr-CH"/>
              </w:rPr>
              <w:t xml:space="preserve">Les processus de négociation et de décision et le processus </w:t>
            </w:r>
            <w:r w:rsidR="00615404">
              <w:rPr>
                <w:rFonts w:asciiTheme="minorHAnsi" w:hAnsiTheme="minorHAnsi" w:cstheme="minorHAnsi"/>
                <w:sz w:val="22"/>
                <w:szCs w:val="22"/>
                <w:lang w:val="fr-CH"/>
              </w:rPr>
              <w:t>d’abrogation</w:t>
            </w:r>
            <w:r>
              <w:rPr>
                <w:rFonts w:asciiTheme="minorHAnsi" w:hAnsiTheme="minorHAnsi" w:cstheme="minorHAnsi"/>
                <w:sz w:val="22"/>
                <w:szCs w:val="22"/>
                <w:lang w:val="fr-CH"/>
              </w:rPr>
              <w:t xml:space="preserve"> et</w:t>
            </w:r>
            <w:r w:rsidR="00615404">
              <w:rPr>
                <w:rFonts w:asciiTheme="minorHAnsi" w:hAnsiTheme="minorHAnsi" w:cstheme="minorHAnsi"/>
                <w:sz w:val="22"/>
                <w:szCs w:val="22"/>
                <w:lang w:val="fr-CH"/>
              </w:rPr>
              <w:t xml:space="preserve"> de</w:t>
            </w:r>
            <w:r>
              <w:rPr>
                <w:rFonts w:asciiTheme="minorHAnsi" w:hAnsiTheme="minorHAnsi" w:cstheme="minorHAnsi"/>
                <w:sz w:val="22"/>
                <w:szCs w:val="22"/>
                <w:lang w:val="fr-CH"/>
              </w:rPr>
              <w:t xml:space="preserve"> regroupement d’anciennes décisions de la Convention peuvent être </w:t>
            </w:r>
            <w:r w:rsidR="00615404">
              <w:rPr>
                <w:rFonts w:asciiTheme="minorHAnsi" w:hAnsiTheme="minorHAnsi" w:cstheme="minorHAnsi"/>
                <w:sz w:val="22"/>
                <w:szCs w:val="22"/>
                <w:lang w:val="fr-CH"/>
              </w:rPr>
              <w:t>conduits</w:t>
            </w:r>
            <w:r>
              <w:rPr>
                <w:rFonts w:asciiTheme="minorHAnsi" w:hAnsiTheme="minorHAnsi" w:cstheme="minorHAnsi"/>
                <w:sz w:val="22"/>
                <w:szCs w:val="22"/>
                <w:lang w:val="fr-CH"/>
              </w:rPr>
              <w:t xml:space="preserve"> plus efficacement en améliorant la manière dont le projet de résolution et les documents du Comité permanent sont révisés et structurés ainsi que la manière dont les décisions du Comité permanent sont préparées.</w:t>
            </w:r>
          </w:p>
        </w:tc>
        <w:tc>
          <w:tcPr>
            <w:tcW w:w="1417" w:type="dxa"/>
          </w:tcPr>
          <w:p w14:paraId="71C0899D"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781" w:type="dxa"/>
            <w:shd w:val="clear" w:color="auto" w:fill="auto"/>
          </w:tcPr>
          <w:p w14:paraId="026C44AC" w14:textId="0D5085E5" w:rsidR="00D22D6F" w:rsidRPr="00A513DE" w:rsidRDefault="00D22D6F" w:rsidP="00812E45">
            <w:pPr>
              <w:widowControl w:val="0"/>
              <w:ind w:left="0" w:firstLine="0"/>
              <w:jc w:val="left"/>
              <w:rPr>
                <w:rFonts w:asciiTheme="minorHAnsi" w:hAnsiTheme="minorHAnsi" w:cstheme="minorHAnsi"/>
                <w:iCs/>
                <w:sz w:val="22"/>
                <w:szCs w:val="22"/>
                <w:lang w:val="fr-CH"/>
              </w:rPr>
            </w:pPr>
            <w:r w:rsidRPr="00A513DE">
              <w:rPr>
                <w:rFonts w:asciiTheme="minorHAnsi" w:hAnsiTheme="minorHAnsi" w:cstheme="minorHAnsi"/>
                <w:iCs/>
                <w:sz w:val="22"/>
                <w:szCs w:val="22"/>
                <w:lang w:val="fr-CH"/>
              </w:rPr>
              <w:t>*</w:t>
            </w:r>
            <w:r w:rsidR="00812E45">
              <w:rPr>
                <w:rFonts w:asciiTheme="minorHAnsi" w:hAnsiTheme="minorHAnsi" w:cstheme="minorHAnsi"/>
                <w:iCs/>
                <w:sz w:val="22"/>
                <w:szCs w:val="22"/>
                <w:lang w:val="fr-CH"/>
              </w:rPr>
              <w:t xml:space="preserve"> Les coûts de traduction augmenteront légèrement.</w:t>
            </w:r>
          </w:p>
          <w:p w14:paraId="0E933F0C" w14:textId="77777777" w:rsidR="00D22D6F" w:rsidRPr="00A513DE" w:rsidRDefault="00D22D6F" w:rsidP="00812E45">
            <w:pPr>
              <w:widowControl w:val="0"/>
              <w:ind w:left="0" w:firstLine="0"/>
              <w:jc w:val="left"/>
              <w:rPr>
                <w:rFonts w:asciiTheme="minorHAnsi" w:hAnsiTheme="minorHAnsi" w:cstheme="minorHAnsi"/>
                <w:iCs/>
                <w:sz w:val="22"/>
                <w:szCs w:val="22"/>
                <w:lang w:val="fr-CH"/>
              </w:rPr>
            </w:pPr>
          </w:p>
          <w:p w14:paraId="41E66A8E" w14:textId="1210DE9B" w:rsidR="00D22D6F" w:rsidRPr="00A513DE" w:rsidDel="00D70864"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iCs/>
                <w:sz w:val="22"/>
                <w:szCs w:val="22"/>
                <w:lang w:val="fr-CH"/>
              </w:rPr>
              <w:t>**</w:t>
            </w:r>
            <w:r w:rsidR="00812E45">
              <w:rPr>
                <w:rFonts w:asciiTheme="minorHAnsi" w:hAnsiTheme="minorHAnsi" w:cstheme="minorHAnsi"/>
                <w:iCs/>
                <w:sz w:val="22"/>
                <w:szCs w:val="22"/>
                <w:lang w:val="fr-CH"/>
              </w:rPr>
              <w:t xml:space="preserve"> Il n’y a pas de coût inclus mais cela aura des incidences financières.</w:t>
            </w:r>
            <w:r w:rsidR="00735BED">
              <w:rPr>
                <w:rFonts w:asciiTheme="minorHAnsi" w:hAnsiTheme="minorHAnsi" w:cstheme="minorHAnsi"/>
                <w:iCs/>
                <w:sz w:val="22"/>
                <w:szCs w:val="22"/>
                <w:lang w:val="fr-CH"/>
              </w:rPr>
              <w:t xml:space="preserve"> </w:t>
            </w:r>
          </w:p>
        </w:tc>
      </w:tr>
      <w:tr w:rsidR="00D22D6F" w:rsidRPr="002F2051" w14:paraId="61A105E1" w14:textId="77777777" w:rsidTr="002F2051">
        <w:trPr>
          <w:cantSplit/>
        </w:trPr>
        <w:tc>
          <w:tcPr>
            <w:tcW w:w="1135" w:type="dxa"/>
            <w:vMerge w:val="restart"/>
            <w:shd w:val="clear" w:color="auto" w:fill="auto"/>
          </w:tcPr>
          <w:p w14:paraId="782137EE" w14:textId="64D401D5"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SC59/2022 Doc</w:t>
            </w:r>
            <w:r w:rsidR="00500D99">
              <w:rPr>
                <w:rFonts w:asciiTheme="minorHAnsi" w:hAnsiTheme="minorHAnsi" w:cstheme="minorHAnsi"/>
                <w:color w:val="000000"/>
                <w:sz w:val="22"/>
                <w:szCs w:val="22"/>
                <w:lang w:val="fr-CH"/>
              </w:rPr>
              <w:t>.</w:t>
            </w:r>
            <w:r w:rsidRPr="00A513DE">
              <w:rPr>
                <w:rFonts w:asciiTheme="minorHAnsi" w:hAnsiTheme="minorHAnsi" w:cstheme="minorHAnsi"/>
                <w:color w:val="000000"/>
                <w:sz w:val="22"/>
                <w:szCs w:val="22"/>
                <w:lang w:val="fr-CH"/>
              </w:rPr>
              <w:t>24.18</w:t>
            </w:r>
          </w:p>
        </w:tc>
        <w:tc>
          <w:tcPr>
            <w:tcW w:w="1904" w:type="dxa"/>
            <w:vMerge w:val="restart"/>
            <w:shd w:val="clear" w:color="auto" w:fill="auto"/>
          </w:tcPr>
          <w:p w14:paraId="2D6B9B1A" w14:textId="50083A63" w:rsidR="00D22D6F" w:rsidRPr="00A513DE" w:rsidRDefault="00EE5B6D"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Proposition de projet de résolution – Comment structurer, rédiger et traiter les documents et messages de la Convention</w:t>
            </w:r>
          </w:p>
        </w:tc>
        <w:tc>
          <w:tcPr>
            <w:tcW w:w="3119" w:type="dxa"/>
            <w:shd w:val="clear" w:color="auto" w:fill="auto"/>
            <w:noWrap/>
          </w:tcPr>
          <w:p w14:paraId="1429EED1" w14:textId="64B12599" w:rsidR="00D22D6F" w:rsidRPr="00A513DE" w:rsidRDefault="004C1E61" w:rsidP="004C1E61">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Le Secrétariat organisera des séminaires en ligne dans toutes les langues de travail Ramsar au moins</w:t>
            </w:r>
            <w:r w:rsidR="00615404">
              <w:rPr>
                <w:rFonts w:asciiTheme="minorHAnsi" w:hAnsiTheme="minorHAnsi" w:cstheme="minorHAnsi"/>
                <w:bCs/>
                <w:sz w:val="22"/>
                <w:szCs w:val="22"/>
                <w:lang w:val="fr-CH"/>
              </w:rPr>
              <w:t>,</w:t>
            </w:r>
            <w:r>
              <w:rPr>
                <w:rFonts w:asciiTheme="minorHAnsi" w:hAnsiTheme="minorHAnsi" w:cstheme="minorHAnsi"/>
                <w:bCs/>
                <w:sz w:val="22"/>
                <w:szCs w:val="22"/>
                <w:lang w:val="fr-CH"/>
              </w:rPr>
              <w:t xml:space="preserve"> sur la manière de rédiger les résolutions pour renforcer les capacités.</w:t>
            </w:r>
          </w:p>
        </w:tc>
        <w:tc>
          <w:tcPr>
            <w:tcW w:w="1417" w:type="dxa"/>
          </w:tcPr>
          <w:p w14:paraId="27BB8E83" w14:textId="19441659"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4C1E61">
              <w:rPr>
                <w:rFonts w:asciiTheme="minorHAnsi" w:hAnsiTheme="minorHAnsi" w:cstheme="minorHAnsi"/>
                <w:color w:val="000000"/>
                <w:sz w:val="22"/>
                <w:szCs w:val="22"/>
                <w:lang w:val="fr-CH"/>
              </w:rPr>
              <w:t xml:space="preserve"> </w:t>
            </w:r>
            <w:r w:rsidRPr="00A513DE">
              <w:rPr>
                <w:rFonts w:asciiTheme="minorHAnsi" w:hAnsiTheme="minorHAnsi" w:cstheme="minorHAnsi"/>
                <w:color w:val="000000"/>
                <w:sz w:val="22"/>
                <w:szCs w:val="22"/>
                <w:lang w:val="fr-CH"/>
              </w:rPr>
              <w:t>0</w:t>
            </w:r>
          </w:p>
        </w:tc>
        <w:tc>
          <w:tcPr>
            <w:tcW w:w="1781" w:type="dxa"/>
            <w:shd w:val="clear" w:color="auto" w:fill="auto"/>
          </w:tcPr>
          <w:p w14:paraId="6156EF1C" w14:textId="693367B8" w:rsidR="00D22D6F" w:rsidRPr="00A513DE" w:rsidRDefault="00D22D6F" w:rsidP="00812E45">
            <w:pPr>
              <w:widowControl w:val="0"/>
              <w:ind w:left="0" w:firstLine="0"/>
              <w:jc w:val="left"/>
              <w:rPr>
                <w:rFonts w:asciiTheme="minorHAnsi" w:hAnsiTheme="minorHAnsi" w:cstheme="minorHAnsi"/>
                <w:iCs/>
                <w:sz w:val="22"/>
                <w:szCs w:val="22"/>
                <w:lang w:val="fr-CH"/>
              </w:rPr>
            </w:pPr>
            <w:r w:rsidRPr="00A513DE">
              <w:rPr>
                <w:rFonts w:asciiTheme="minorHAnsi" w:hAnsiTheme="minorHAnsi" w:cstheme="minorHAnsi"/>
                <w:iCs/>
                <w:sz w:val="22"/>
                <w:szCs w:val="22"/>
                <w:lang w:val="fr-CH"/>
              </w:rPr>
              <w:t>*</w:t>
            </w:r>
            <w:r w:rsidR="004C1E61">
              <w:rPr>
                <w:rFonts w:asciiTheme="minorHAnsi" w:hAnsiTheme="minorHAnsi" w:cstheme="minorHAnsi"/>
                <w:iCs/>
                <w:sz w:val="22"/>
                <w:szCs w:val="22"/>
                <w:lang w:val="fr-CH"/>
              </w:rPr>
              <w:t xml:space="preserve"> Les coûts de traduction augmenteront légèrement.</w:t>
            </w:r>
          </w:p>
          <w:p w14:paraId="5F1FF5DD" w14:textId="77777777" w:rsidR="00D22D6F" w:rsidRPr="00A513DE" w:rsidRDefault="00D22D6F" w:rsidP="00812E45">
            <w:pPr>
              <w:widowControl w:val="0"/>
              <w:ind w:left="0" w:firstLine="0"/>
              <w:jc w:val="left"/>
              <w:rPr>
                <w:rFonts w:asciiTheme="minorHAnsi" w:hAnsiTheme="minorHAnsi" w:cstheme="minorHAnsi"/>
                <w:iCs/>
                <w:sz w:val="22"/>
                <w:szCs w:val="22"/>
                <w:lang w:val="fr-CH"/>
              </w:rPr>
            </w:pPr>
          </w:p>
          <w:p w14:paraId="68280051" w14:textId="3CDA623D"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iCs/>
                <w:sz w:val="22"/>
                <w:szCs w:val="22"/>
                <w:lang w:val="fr-CH"/>
              </w:rPr>
              <w:t>**</w:t>
            </w:r>
            <w:r w:rsidR="004C1E61">
              <w:rPr>
                <w:rFonts w:asciiTheme="minorHAnsi" w:hAnsiTheme="minorHAnsi" w:cstheme="minorHAnsi"/>
                <w:iCs/>
                <w:sz w:val="22"/>
                <w:szCs w:val="22"/>
                <w:lang w:val="fr-CH"/>
              </w:rPr>
              <w:t xml:space="preserve"> Il n’y a pas de coût inclus mais cela aura des incidences financières</w:t>
            </w:r>
            <w:r w:rsidRPr="00A513DE">
              <w:rPr>
                <w:rFonts w:asciiTheme="minorHAnsi" w:hAnsiTheme="minorHAnsi" w:cstheme="minorHAnsi"/>
                <w:iCs/>
                <w:sz w:val="22"/>
                <w:szCs w:val="22"/>
                <w:lang w:val="fr-CH"/>
              </w:rPr>
              <w:t>.</w:t>
            </w:r>
          </w:p>
        </w:tc>
      </w:tr>
      <w:tr w:rsidR="00D22D6F" w:rsidRPr="00A513DE" w14:paraId="10FF1565" w14:textId="77777777" w:rsidTr="002F2051">
        <w:trPr>
          <w:cantSplit/>
        </w:trPr>
        <w:tc>
          <w:tcPr>
            <w:tcW w:w="1135" w:type="dxa"/>
            <w:vMerge/>
            <w:shd w:val="clear" w:color="auto" w:fill="auto"/>
          </w:tcPr>
          <w:p w14:paraId="796B7C80"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2B942CB1"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6E83553E" w14:textId="4B9B8C29" w:rsidR="00D22D6F" w:rsidRPr="00A513DE" w:rsidRDefault="00E6493A" w:rsidP="00E6493A">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 xml:space="preserve">Donner des avis </w:t>
            </w:r>
            <w:r w:rsidR="00615404">
              <w:rPr>
                <w:rFonts w:asciiTheme="minorHAnsi" w:hAnsiTheme="minorHAnsi" w:cstheme="minorHAnsi"/>
                <w:bCs/>
                <w:sz w:val="22"/>
                <w:szCs w:val="22"/>
                <w:lang w:val="fr-CH"/>
              </w:rPr>
              <w:t xml:space="preserve">aux auteurs </w:t>
            </w:r>
            <w:r w:rsidR="00615404" w:rsidRPr="00A513DE">
              <w:rPr>
                <w:rFonts w:asciiTheme="minorHAnsi" w:hAnsiTheme="minorHAnsi" w:cstheme="minorHAnsi"/>
                <w:bCs/>
                <w:sz w:val="22"/>
                <w:szCs w:val="22"/>
                <w:lang w:val="fr-CH"/>
              </w:rPr>
              <w:t xml:space="preserve"> </w:t>
            </w:r>
            <w:r>
              <w:rPr>
                <w:rFonts w:asciiTheme="minorHAnsi" w:hAnsiTheme="minorHAnsi" w:cstheme="minorHAnsi"/>
                <w:bCs/>
                <w:sz w:val="22"/>
                <w:szCs w:val="22"/>
                <w:lang w:val="fr-CH"/>
              </w:rPr>
              <w:t xml:space="preserve">et suggérer des amendements mineurs sur les projets de résolutions </w:t>
            </w:r>
          </w:p>
        </w:tc>
        <w:tc>
          <w:tcPr>
            <w:tcW w:w="1417" w:type="dxa"/>
          </w:tcPr>
          <w:p w14:paraId="3F6A2EA6" w14:textId="24B05233" w:rsidR="00D22D6F" w:rsidRPr="00A513DE" w:rsidRDefault="00D22D6F" w:rsidP="00E6493A">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4C1E61">
              <w:rPr>
                <w:rFonts w:asciiTheme="minorHAnsi" w:hAnsiTheme="minorHAnsi" w:cstheme="minorHAnsi"/>
                <w:color w:val="000000"/>
                <w:sz w:val="22"/>
                <w:szCs w:val="22"/>
                <w:lang w:val="fr-CH"/>
              </w:rPr>
              <w:t xml:space="preserve"> </w:t>
            </w:r>
            <w:r w:rsidR="00E6493A">
              <w:rPr>
                <w:rFonts w:asciiTheme="minorHAnsi" w:hAnsiTheme="minorHAnsi" w:cstheme="minorHAnsi"/>
                <w:color w:val="000000"/>
                <w:sz w:val="22"/>
                <w:szCs w:val="22"/>
                <w:lang w:val="fr-CH"/>
              </w:rPr>
              <w:t>à déterminer</w:t>
            </w:r>
          </w:p>
        </w:tc>
        <w:tc>
          <w:tcPr>
            <w:tcW w:w="1781" w:type="dxa"/>
            <w:shd w:val="clear" w:color="auto" w:fill="auto"/>
          </w:tcPr>
          <w:p w14:paraId="678C6B59"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r>
      <w:tr w:rsidR="00D22D6F" w:rsidRPr="002F2051" w14:paraId="5A4BC7AF" w14:textId="77777777" w:rsidTr="002F2051">
        <w:trPr>
          <w:cantSplit/>
        </w:trPr>
        <w:tc>
          <w:tcPr>
            <w:tcW w:w="1135" w:type="dxa"/>
            <w:vMerge/>
            <w:shd w:val="clear" w:color="auto" w:fill="auto"/>
          </w:tcPr>
          <w:p w14:paraId="24E471ED"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1904" w:type="dxa"/>
            <w:vMerge/>
            <w:shd w:val="clear" w:color="auto" w:fill="auto"/>
          </w:tcPr>
          <w:p w14:paraId="6AF34758" w14:textId="77777777" w:rsidR="00D22D6F" w:rsidRPr="00A513DE" w:rsidRDefault="00D22D6F" w:rsidP="00812E45">
            <w:pPr>
              <w:widowControl w:val="0"/>
              <w:ind w:left="0" w:firstLine="0"/>
              <w:jc w:val="left"/>
              <w:rPr>
                <w:rFonts w:asciiTheme="minorHAnsi" w:hAnsiTheme="minorHAnsi" w:cstheme="minorHAnsi"/>
                <w:color w:val="000000"/>
                <w:sz w:val="22"/>
                <w:szCs w:val="22"/>
                <w:lang w:val="fr-CH"/>
              </w:rPr>
            </w:pPr>
          </w:p>
        </w:tc>
        <w:tc>
          <w:tcPr>
            <w:tcW w:w="3119" w:type="dxa"/>
            <w:shd w:val="clear" w:color="auto" w:fill="auto"/>
            <w:noWrap/>
          </w:tcPr>
          <w:p w14:paraId="1204E84B" w14:textId="11150C04" w:rsidR="00D22D6F" w:rsidRPr="00A513DE" w:rsidRDefault="00E6493A" w:rsidP="00E6493A">
            <w:pPr>
              <w:widowControl w:val="0"/>
              <w:ind w:left="0" w:firstLine="0"/>
              <w:jc w:val="left"/>
              <w:rPr>
                <w:rFonts w:asciiTheme="minorHAnsi" w:hAnsiTheme="minorHAnsi" w:cstheme="minorHAnsi"/>
                <w:bCs/>
                <w:sz w:val="22"/>
                <w:szCs w:val="22"/>
                <w:lang w:val="fr-CH"/>
              </w:rPr>
            </w:pPr>
            <w:r>
              <w:rPr>
                <w:rFonts w:asciiTheme="minorHAnsi" w:hAnsiTheme="minorHAnsi" w:cstheme="minorHAnsi"/>
                <w:bCs/>
                <w:sz w:val="22"/>
                <w:szCs w:val="22"/>
                <w:lang w:val="fr-CH"/>
              </w:rPr>
              <w:t xml:space="preserve">Diffusion des messages par le Secrétariat et prise de décisions au Secrétariat </w:t>
            </w:r>
          </w:p>
        </w:tc>
        <w:tc>
          <w:tcPr>
            <w:tcW w:w="1417" w:type="dxa"/>
          </w:tcPr>
          <w:p w14:paraId="61503952" w14:textId="0992B504"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color w:val="000000"/>
                <w:sz w:val="22"/>
                <w:szCs w:val="22"/>
                <w:lang w:val="fr-CH"/>
              </w:rPr>
              <w:t>**</w:t>
            </w:r>
            <w:r w:rsidR="004C1E61">
              <w:rPr>
                <w:rFonts w:asciiTheme="minorHAnsi" w:hAnsiTheme="minorHAnsi" w:cstheme="minorHAnsi"/>
                <w:color w:val="000000"/>
                <w:sz w:val="22"/>
                <w:szCs w:val="22"/>
                <w:lang w:val="fr-CH"/>
              </w:rPr>
              <w:t xml:space="preserve"> </w:t>
            </w:r>
            <w:r w:rsidR="00E6493A">
              <w:rPr>
                <w:rFonts w:asciiTheme="minorHAnsi" w:hAnsiTheme="minorHAnsi" w:cstheme="minorHAnsi"/>
                <w:color w:val="000000"/>
                <w:sz w:val="22"/>
                <w:szCs w:val="22"/>
                <w:lang w:val="fr-CH"/>
              </w:rPr>
              <w:t>à déterminer</w:t>
            </w:r>
          </w:p>
        </w:tc>
        <w:tc>
          <w:tcPr>
            <w:tcW w:w="1781" w:type="dxa"/>
            <w:shd w:val="clear" w:color="auto" w:fill="auto"/>
          </w:tcPr>
          <w:p w14:paraId="5DB3E1D8" w14:textId="049D3363" w:rsidR="00D22D6F" w:rsidRPr="00A513DE" w:rsidRDefault="00D22D6F" w:rsidP="00812E45">
            <w:pPr>
              <w:widowControl w:val="0"/>
              <w:ind w:left="0" w:firstLine="0"/>
              <w:jc w:val="left"/>
              <w:rPr>
                <w:rFonts w:asciiTheme="minorHAnsi" w:hAnsiTheme="minorHAnsi" w:cstheme="minorHAnsi"/>
                <w:iCs/>
                <w:sz w:val="22"/>
                <w:szCs w:val="22"/>
                <w:lang w:val="fr-CH"/>
              </w:rPr>
            </w:pPr>
            <w:r w:rsidRPr="00A513DE">
              <w:rPr>
                <w:rFonts w:asciiTheme="minorHAnsi" w:hAnsiTheme="minorHAnsi" w:cstheme="minorHAnsi"/>
                <w:iCs/>
                <w:sz w:val="22"/>
                <w:szCs w:val="22"/>
                <w:lang w:val="fr-CH"/>
              </w:rPr>
              <w:t>**</w:t>
            </w:r>
            <w:r w:rsidR="00E6493A">
              <w:rPr>
                <w:rFonts w:asciiTheme="minorHAnsi" w:hAnsiTheme="minorHAnsi" w:cstheme="minorHAnsi"/>
                <w:iCs/>
                <w:sz w:val="22"/>
                <w:szCs w:val="22"/>
                <w:lang w:val="fr-CH"/>
              </w:rPr>
              <w:t xml:space="preserve"> Incidences administratives et financières</w:t>
            </w:r>
          </w:p>
          <w:p w14:paraId="58EBFA40" w14:textId="77777777" w:rsidR="00D22D6F" w:rsidRPr="00A513DE" w:rsidRDefault="00D22D6F" w:rsidP="00812E45">
            <w:pPr>
              <w:widowControl w:val="0"/>
              <w:ind w:left="0" w:firstLine="0"/>
              <w:jc w:val="left"/>
              <w:rPr>
                <w:rFonts w:asciiTheme="minorHAnsi" w:hAnsiTheme="minorHAnsi" w:cstheme="minorHAnsi"/>
                <w:iCs/>
                <w:sz w:val="22"/>
                <w:szCs w:val="22"/>
                <w:lang w:val="fr-CH"/>
              </w:rPr>
            </w:pPr>
          </w:p>
          <w:p w14:paraId="6FEC60D5" w14:textId="5AEE2CA7" w:rsidR="00D22D6F" w:rsidRPr="00A513DE" w:rsidRDefault="00D22D6F" w:rsidP="00812E45">
            <w:pPr>
              <w:widowControl w:val="0"/>
              <w:ind w:left="0" w:firstLine="0"/>
              <w:jc w:val="left"/>
              <w:rPr>
                <w:rFonts w:asciiTheme="minorHAnsi" w:hAnsiTheme="minorHAnsi" w:cstheme="minorHAnsi"/>
                <w:color w:val="000000"/>
                <w:sz w:val="22"/>
                <w:szCs w:val="22"/>
                <w:lang w:val="fr-CH"/>
              </w:rPr>
            </w:pPr>
            <w:r w:rsidRPr="00A513DE">
              <w:rPr>
                <w:rFonts w:asciiTheme="minorHAnsi" w:hAnsiTheme="minorHAnsi" w:cstheme="minorHAnsi"/>
                <w:iCs/>
                <w:sz w:val="22"/>
                <w:szCs w:val="22"/>
                <w:lang w:val="fr-CH"/>
              </w:rPr>
              <w:t>**</w:t>
            </w:r>
            <w:r w:rsidR="004C1E61">
              <w:rPr>
                <w:rFonts w:asciiTheme="minorHAnsi" w:hAnsiTheme="minorHAnsi" w:cstheme="minorHAnsi"/>
                <w:iCs/>
                <w:sz w:val="22"/>
                <w:szCs w:val="22"/>
                <w:lang w:val="fr-CH"/>
              </w:rPr>
              <w:t xml:space="preserve"> Il n’y a pas de coût inclus mais cela aura des incidences financières.</w:t>
            </w:r>
          </w:p>
        </w:tc>
      </w:tr>
    </w:tbl>
    <w:p w14:paraId="01313558" w14:textId="77777777" w:rsidR="00A451D1" w:rsidRPr="00A513DE" w:rsidRDefault="00A451D1" w:rsidP="00A451D1">
      <w:pPr>
        <w:widowControl w:val="0"/>
        <w:ind w:left="0" w:firstLine="0"/>
        <w:jc w:val="left"/>
        <w:rPr>
          <w:rFonts w:asciiTheme="minorHAnsi" w:hAnsiTheme="minorHAnsi" w:cstheme="minorHAnsi"/>
          <w:color w:val="000000"/>
          <w:sz w:val="22"/>
          <w:szCs w:val="22"/>
          <w:lang w:val="fr-CH"/>
        </w:rPr>
      </w:pPr>
    </w:p>
    <w:sectPr w:rsidR="00A451D1" w:rsidRPr="00A513DE" w:rsidSect="003D680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0E4D" w14:textId="77777777" w:rsidR="00CC0394" w:rsidRDefault="00CC0394" w:rsidP="006058B3">
      <w:r>
        <w:separator/>
      </w:r>
    </w:p>
  </w:endnote>
  <w:endnote w:type="continuationSeparator" w:id="0">
    <w:p w14:paraId="6275FE9F" w14:textId="77777777" w:rsidR="00CC0394" w:rsidRDefault="00CC0394"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
    <w:altName w:val="Microsoft YaHei Light"/>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DE03" w14:textId="0ECA7613" w:rsidR="00812E45" w:rsidRPr="006058B3" w:rsidRDefault="00812E45">
    <w:pPr>
      <w:pStyle w:val="Footer"/>
      <w:rPr>
        <w:rFonts w:asciiTheme="minorHAnsi" w:hAnsiTheme="minorHAnsi" w:cstheme="minorHAnsi"/>
        <w:sz w:val="20"/>
        <w:szCs w:val="20"/>
      </w:rPr>
    </w:pPr>
    <w:r w:rsidRPr="00967BF4">
      <w:rPr>
        <w:rFonts w:asciiTheme="minorHAnsi" w:hAnsiTheme="minorHAnsi" w:cstheme="minorHAnsi"/>
        <w:sz w:val="20"/>
        <w:szCs w:val="20"/>
      </w:rPr>
      <w:t>SC59</w:t>
    </w:r>
    <w:r>
      <w:rPr>
        <w:rFonts w:asciiTheme="minorHAnsi" w:hAnsiTheme="minorHAnsi" w:cstheme="minorHAnsi"/>
        <w:sz w:val="20"/>
        <w:szCs w:val="20"/>
      </w:rPr>
      <w:t>/2022</w:t>
    </w:r>
    <w:r w:rsidRPr="00967BF4">
      <w:rPr>
        <w:rFonts w:asciiTheme="minorHAnsi" w:hAnsiTheme="minorHAnsi" w:cstheme="minorHAnsi"/>
        <w:sz w:val="20"/>
        <w:szCs w:val="20"/>
      </w:rPr>
      <w:t xml:space="preserve"> Doc.</w:t>
    </w:r>
    <w:r>
      <w:rPr>
        <w:rFonts w:asciiTheme="minorHAnsi" w:hAnsiTheme="minorHAnsi" w:cstheme="minorHAnsi"/>
        <w:sz w:val="20"/>
        <w:szCs w:val="20"/>
      </w:rPr>
      <w:t>8.4</w:t>
    </w:r>
    <w:r w:rsidRPr="00967BF4">
      <w:rPr>
        <w:rFonts w:asciiTheme="minorHAnsi" w:hAnsiTheme="minorHAnsi" w:cstheme="minorHAnsi"/>
        <w:sz w:val="20"/>
        <w:szCs w:val="20"/>
      </w:rPr>
      <w:tab/>
    </w:r>
    <w:r w:rsidRPr="00967BF4">
      <w:rPr>
        <w:rFonts w:asciiTheme="minorHAnsi" w:hAnsiTheme="minorHAnsi" w:cstheme="minorHAnsi"/>
        <w:sz w:val="20"/>
        <w:szCs w:val="20"/>
      </w:rPr>
      <w:tab/>
    </w:r>
    <w:r w:rsidRPr="00967BF4">
      <w:rPr>
        <w:rFonts w:asciiTheme="minorHAnsi" w:hAnsiTheme="minorHAnsi" w:cstheme="minorHAnsi"/>
        <w:sz w:val="20"/>
        <w:szCs w:val="20"/>
      </w:rPr>
      <w:fldChar w:fldCharType="begin"/>
    </w:r>
    <w:r w:rsidRPr="00967BF4">
      <w:rPr>
        <w:rFonts w:asciiTheme="minorHAnsi" w:hAnsiTheme="minorHAnsi" w:cstheme="minorHAnsi"/>
        <w:sz w:val="20"/>
        <w:szCs w:val="20"/>
      </w:rPr>
      <w:instrText xml:space="preserve"> PAGE   \* MERGEFORMAT </w:instrText>
    </w:r>
    <w:r w:rsidRPr="00967BF4">
      <w:rPr>
        <w:rFonts w:asciiTheme="minorHAnsi" w:hAnsiTheme="minorHAnsi" w:cstheme="minorHAnsi"/>
        <w:sz w:val="20"/>
        <w:szCs w:val="20"/>
      </w:rPr>
      <w:fldChar w:fldCharType="separate"/>
    </w:r>
    <w:r w:rsidR="002F2051">
      <w:rPr>
        <w:rFonts w:asciiTheme="minorHAnsi" w:hAnsiTheme="minorHAnsi" w:cstheme="minorHAnsi"/>
        <w:noProof/>
        <w:sz w:val="20"/>
        <w:szCs w:val="20"/>
      </w:rPr>
      <w:t>2</w:t>
    </w:r>
    <w:r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C9ADD" w14:textId="77777777" w:rsidR="00CC0394" w:rsidRDefault="00CC0394" w:rsidP="006058B3">
      <w:r>
        <w:separator/>
      </w:r>
    </w:p>
  </w:footnote>
  <w:footnote w:type="continuationSeparator" w:id="0">
    <w:p w14:paraId="150F843B" w14:textId="77777777" w:rsidR="00CC0394" w:rsidRDefault="00CC0394" w:rsidP="0060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B94814"/>
    <w:multiLevelType w:val="hybridMultilevel"/>
    <w:tmpl w:val="EFD6AEC6"/>
    <w:lvl w:ilvl="0" w:tplc="DFA2C69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F51A4C"/>
    <w:multiLevelType w:val="hybridMultilevel"/>
    <w:tmpl w:val="0FA448C8"/>
    <w:lvl w:ilvl="0" w:tplc="4656AA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FD"/>
    <w:rsid w:val="00005A0B"/>
    <w:rsid w:val="0000755C"/>
    <w:rsid w:val="00013636"/>
    <w:rsid w:val="00017894"/>
    <w:rsid w:val="000206E7"/>
    <w:rsid w:val="00022A0A"/>
    <w:rsid w:val="000250FF"/>
    <w:rsid w:val="000267EF"/>
    <w:rsid w:val="00027DBC"/>
    <w:rsid w:val="00046B52"/>
    <w:rsid w:val="00065171"/>
    <w:rsid w:val="00065B8F"/>
    <w:rsid w:val="000737A0"/>
    <w:rsid w:val="00074DFF"/>
    <w:rsid w:val="00076CE7"/>
    <w:rsid w:val="00087E7E"/>
    <w:rsid w:val="00090B48"/>
    <w:rsid w:val="000A7F0C"/>
    <w:rsid w:val="000C73F3"/>
    <w:rsid w:val="000D0626"/>
    <w:rsid w:val="000E637A"/>
    <w:rsid w:val="000F55EE"/>
    <w:rsid w:val="001353CD"/>
    <w:rsid w:val="00141784"/>
    <w:rsid w:val="001438E6"/>
    <w:rsid w:val="00144492"/>
    <w:rsid w:val="001529FF"/>
    <w:rsid w:val="00152C0C"/>
    <w:rsid w:val="00155904"/>
    <w:rsid w:val="00165BEA"/>
    <w:rsid w:val="001842F0"/>
    <w:rsid w:val="001A624D"/>
    <w:rsid w:val="001B1070"/>
    <w:rsid w:val="001B1EDC"/>
    <w:rsid w:val="001B6A31"/>
    <w:rsid w:val="001B6F33"/>
    <w:rsid w:val="001B7AB2"/>
    <w:rsid w:val="001C341F"/>
    <w:rsid w:val="001C4D6A"/>
    <w:rsid w:val="001D5A0F"/>
    <w:rsid w:val="001E2ECF"/>
    <w:rsid w:val="001E57F5"/>
    <w:rsid w:val="001F488E"/>
    <w:rsid w:val="00214C33"/>
    <w:rsid w:val="00215629"/>
    <w:rsid w:val="00224BB3"/>
    <w:rsid w:val="002314AC"/>
    <w:rsid w:val="00240188"/>
    <w:rsid w:val="00243DD8"/>
    <w:rsid w:val="0025233F"/>
    <w:rsid w:val="00262977"/>
    <w:rsid w:val="00275E30"/>
    <w:rsid w:val="002807FD"/>
    <w:rsid w:val="002864ED"/>
    <w:rsid w:val="00295E57"/>
    <w:rsid w:val="002A5383"/>
    <w:rsid w:val="002B429F"/>
    <w:rsid w:val="002C6100"/>
    <w:rsid w:val="002D31B4"/>
    <w:rsid w:val="002F2051"/>
    <w:rsid w:val="002F4875"/>
    <w:rsid w:val="002F6161"/>
    <w:rsid w:val="00303D77"/>
    <w:rsid w:val="00307B7E"/>
    <w:rsid w:val="00311716"/>
    <w:rsid w:val="00311F01"/>
    <w:rsid w:val="00312CFF"/>
    <w:rsid w:val="003149A3"/>
    <w:rsid w:val="00317FDC"/>
    <w:rsid w:val="00343274"/>
    <w:rsid w:val="00343A90"/>
    <w:rsid w:val="00344D8F"/>
    <w:rsid w:val="003501A9"/>
    <w:rsid w:val="00354D36"/>
    <w:rsid w:val="003574E3"/>
    <w:rsid w:val="0037468B"/>
    <w:rsid w:val="00384AA8"/>
    <w:rsid w:val="003951B5"/>
    <w:rsid w:val="00397FA4"/>
    <w:rsid w:val="003A147C"/>
    <w:rsid w:val="003B3885"/>
    <w:rsid w:val="003D6800"/>
    <w:rsid w:val="003E5A59"/>
    <w:rsid w:val="003E79DA"/>
    <w:rsid w:val="003F43EA"/>
    <w:rsid w:val="003F63D8"/>
    <w:rsid w:val="004063DA"/>
    <w:rsid w:val="00421460"/>
    <w:rsid w:val="00444FF1"/>
    <w:rsid w:val="00453CB9"/>
    <w:rsid w:val="004553B8"/>
    <w:rsid w:val="004731B4"/>
    <w:rsid w:val="00473C47"/>
    <w:rsid w:val="0047624A"/>
    <w:rsid w:val="00482698"/>
    <w:rsid w:val="00483222"/>
    <w:rsid w:val="004911DF"/>
    <w:rsid w:val="00491BEE"/>
    <w:rsid w:val="004A5590"/>
    <w:rsid w:val="004C1E61"/>
    <w:rsid w:val="004C6C80"/>
    <w:rsid w:val="004D2F86"/>
    <w:rsid w:val="004E0DB3"/>
    <w:rsid w:val="004F0C81"/>
    <w:rsid w:val="004F2362"/>
    <w:rsid w:val="004F7BE5"/>
    <w:rsid w:val="00500D99"/>
    <w:rsid w:val="005069A3"/>
    <w:rsid w:val="005078BB"/>
    <w:rsid w:val="0051038A"/>
    <w:rsid w:val="00524FEB"/>
    <w:rsid w:val="00535F9D"/>
    <w:rsid w:val="00557311"/>
    <w:rsid w:val="00557635"/>
    <w:rsid w:val="00561CB9"/>
    <w:rsid w:val="005653D8"/>
    <w:rsid w:val="00573610"/>
    <w:rsid w:val="005855E2"/>
    <w:rsid w:val="00591F47"/>
    <w:rsid w:val="00594ED0"/>
    <w:rsid w:val="005A3E31"/>
    <w:rsid w:val="005A5742"/>
    <w:rsid w:val="005C4558"/>
    <w:rsid w:val="005C53FC"/>
    <w:rsid w:val="005C6528"/>
    <w:rsid w:val="005D106B"/>
    <w:rsid w:val="00601430"/>
    <w:rsid w:val="006058B3"/>
    <w:rsid w:val="00606BF2"/>
    <w:rsid w:val="00615404"/>
    <w:rsid w:val="006155CE"/>
    <w:rsid w:val="00621304"/>
    <w:rsid w:val="006320E6"/>
    <w:rsid w:val="00633F07"/>
    <w:rsid w:val="00634417"/>
    <w:rsid w:val="00644C1D"/>
    <w:rsid w:val="00644E6B"/>
    <w:rsid w:val="006451A9"/>
    <w:rsid w:val="00663013"/>
    <w:rsid w:val="0066368E"/>
    <w:rsid w:val="0068240A"/>
    <w:rsid w:val="00684199"/>
    <w:rsid w:val="00685785"/>
    <w:rsid w:val="00686267"/>
    <w:rsid w:val="00695535"/>
    <w:rsid w:val="00696FF1"/>
    <w:rsid w:val="006978F0"/>
    <w:rsid w:val="006A5172"/>
    <w:rsid w:val="006A7C44"/>
    <w:rsid w:val="006B72AF"/>
    <w:rsid w:val="006F10A7"/>
    <w:rsid w:val="006F30DC"/>
    <w:rsid w:val="006F48CA"/>
    <w:rsid w:val="007114C9"/>
    <w:rsid w:val="00713A51"/>
    <w:rsid w:val="00733B0C"/>
    <w:rsid w:val="007350D4"/>
    <w:rsid w:val="00735BED"/>
    <w:rsid w:val="00746135"/>
    <w:rsid w:val="00750225"/>
    <w:rsid w:val="00752863"/>
    <w:rsid w:val="007557D5"/>
    <w:rsid w:val="0075712F"/>
    <w:rsid w:val="00757BA5"/>
    <w:rsid w:val="00767E4D"/>
    <w:rsid w:val="00772E80"/>
    <w:rsid w:val="00773024"/>
    <w:rsid w:val="00780AFD"/>
    <w:rsid w:val="007826FF"/>
    <w:rsid w:val="00795C6E"/>
    <w:rsid w:val="007A0101"/>
    <w:rsid w:val="007A38D2"/>
    <w:rsid w:val="007A58EA"/>
    <w:rsid w:val="007C36A8"/>
    <w:rsid w:val="007F15B5"/>
    <w:rsid w:val="007F7F60"/>
    <w:rsid w:val="008047D8"/>
    <w:rsid w:val="00807C3B"/>
    <w:rsid w:val="008116CB"/>
    <w:rsid w:val="00812E45"/>
    <w:rsid w:val="00853A4C"/>
    <w:rsid w:val="00857CD6"/>
    <w:rsid w:val="00863D03"/>
    <w:rsid w:val="00873BE1"/>
    <w:rsid w:val="00885247"/>
    <w:rsid w:val="00886642"/>
    <w:rsid w:val="0089103F"/>
    <w:rsid w:val="008952D7"/>
    <w:rsid w:val="008A1B89"/>
    <w:rsid w:val="008B6904"/>
    <w:rsid w:val="008C1D57"/>
    <w:rsid w:val="008C2764"/>
    <w:rsid w:val="008D0D24"/>
    <w:rsid w:val="008D1C4F"/>
    <w:rsid w:val="008F2E14"/>
    <w:rsid w:val="00905A09"/>
    <w:rsid w:val="00910559"/>
    <w:rsid w:val="00943E75"/>
    <w:rsid w:val="00956B48"/>
    <w:rsid w:val="00960912"/>
    <w:rsid w:val="00966A2F"/>
    <w:rsid w:val="00967BF4"/>
    <w:rsid w:val="0097291E"/>
    <w:rsid w:val="00973990"/>
    <w:rsid w:val="0097657A"/>
    <w:rsid w:val="00984032"/>
    <w:rsid w:val="0098508D"/>
    <w:rsid w:val="009978A7"/>
    <w:rsid w:val="00997F4C"/>
    <w:rsid w:val="009A4362"/>
    <w:rsid w:val="009B10DA"/>
    <w:rsid w:val="009B2C8F"/>
    <w:rsid w:val="009B687A"/>
    <w:rsid w:val="009B769F"/>
    <w:rsid w:val="009C24AD"/>
    <w:rsid w:val="009C4474"/>
    <w:rsid w:val="009C6711"/>
    <w:rsid w:val="009D2623"/>
    <w:rsid w:val="009D3818"/>
    <w:rsid w:val="009D4F79"/>
    <w:rsid w:val="009D6313"/>
    <w:rsid w:val="009E03EE"/>
    <w:rsid w:val="009E159F"/>
    <w:rsid w:val="009F201C"/>
    <w:rsid w:val="00A01347"/>
    <w:rsid w:val="00A01851"/>
    <w:rsid w:val="00A10B27"/>
    <w:rsid w:val="00A156E5"/>
    <w:rsid w:val="00A2244A"/>
    <w:rsid w:val="00A24454"/>
    <w:rsid w:val="00A32562"/>
    <w:rsid w:val="00A42828"/>
    <w:rsid w:val="00A451D1"/>
    <w:rsid w:val="00A513DE"/>
    <w:rsid w:val="00A52A09"/>
    <w:rsid w:val="00A64F64"/>
    <w:rsid w:val="00A66157"/>
    <w:rsid w:val="00A66527"/>
    <w:rsid w:val="00A708CD"/>
    <w:rsid w:val="00A75BA0"/>
    <w:rsid w:val="00A7752F"/>
    <w:rsid w:val="00A82E3F"/>
    <w:rsid w:val="00A82FE8"/>
    <w:rsid w:val="00AA2EDD"/>
    <w:rsid w:val="00AA4722"/>
    <w:rsid w:val="00AB00C2"/>
    <w:rsid w:val="00AB20ED"/>
    <w:rsid w:val="00AB60B1"/>
    <w:rsid w:val="00AC138B"/>
    <w:rsid w:val="00AC56C4"/>
    <w:rsid w:val="00AD0037"/>
    <w:rsid w:val="00AD2236"/>
    <w:rsid w:val="00AE6055"/>
    <w:rsid w:val="00AE6F27"/>
    <w:rsid w:val="00AE7B3F"/>
    <w:rsid w:val="00AF1521"/>
    <w:rsid w:val="00AF1A7C"/>
    <w:rsid w:val="00AF25A0"/>
    <w:rsid w:val="00AF2D24"/>
    <w:rsid w:val="00AF7A00"/>
    <w:rsid w:val="00B02590"/>
    <w:rsid w:val="00B10629"/>
    <w:rsid w:val="00B1462E"/>
    <w:rsid w:val="00B17F01"/>
    <w:rsid w:val="00B25366"/>
    <w:rsid w:val="00B44012"/>
    <w:rsid w:val="00B50635"/>
    <w:rsid w:val="00B556D3"/>
    <w:rsid w:val="00B63583"/>
    <w:rsid w:val="00B64C7E"/>
    <w:rsid w:val="00B82AF2"/>
    <w:rsid w:val="00B863C9"/>
    <w:rsid w:val="00B9629C"/>
    <w:rsid w:val="00BA3A1E"/>
    <w:rsid w:val="00BB61DD"/>
    <w:rsid w:val="00BC31BC"/>
    <w:rsid w:val="00BC5325"/>
    <w:rsid w:val="00BD2193"/>
    <w:rsid w:val="00BE0188"/>
    <w:rsid w:val="00BE2889"/>
    <w:rsid w:val="00BE4075"/>
    <w:rsid w:val="00BF4B4C"/>
    <w:rsid w:val="00C00982"/>
    <w:rsid w:val="00C13226"/>
    <w:rsid w:val="00C1395F"/>
    <w:rsid w:val="00C17220"/>
    <w:rsid w:val="00C30C01"/>
    <w:rsid w:val="00C32315"/>
    <w:rsid w:val="00C36260"/>
    <w:rsid w:val="00C41747"/>
    <w:rsid w:val="00C4222A"/>
    <w:rsid w:val="00C460C0"/>
    <w:rsid w:val="00C56C0A"/>
    <w:rsid w:val="00C63E7B"/>
    <w:rsid w:val="00C6401E"/>
    <w:rsid w:val="00C648EB"/>
    <w:rsid w:val="00C65B5D"/>
    <w:rsid w:val="00C65B97"/>
    <w:rsid w:val="00C713BF"/>
    <w:rsid w:val="00CA19C8"/>
    <w:rsid w:val="00CA43DA"/>
    <w:rsid w:val="00CC0394"/>
    <w:rsid w:val="00CC14FE"/>
    <w:rsid w:val="00CD7BD1"/>
    <w:rsid w:val="00D04785"/>
    <w:rsid w:val="00D22D6F"/>
    <w:rsid w:val="00D34FC0"/>
    <w:rsid w:val="00D37C9C"/>
    <w:rsid w:val="00D415F5"/>
    <w:rsid w:val="00D45FFD"/>
    <w:rsid w:val="00D5325E"/>
    <w:rsid w:val="00D644E3"/>
    <w:rsid w:val="00D70864"/>
    <w:rsid w:val="00D86598"/>
    <w:rsid w:val="00DB4887"/>
    <w:rsid w:val="00DC0AFC"/>
    <w:rsid w:val="00DC396C"/>
    <w:rsid w:val="00DF1EBC"/>
    <w:rsid w:val="00DF27A9"/>
    <w:rsid w:val="00DF3152"/>
    <w:rsid w:val="00DF5A8C"/>
    <w:rsid w:val="00E06E63"/>
    <w:rsid w:val="00E07995"/>
    <w:rsid w:val="00E101A9"/>
    <w:rsid w:val="00E122ED"/>
    <w:rsid w:val="00E14014"/>
    <w:rsid w:val="00E228CD"/>
    <w:rsid w:val="00E25AA5"/>
    <w:rsid w:val="00E414F9"/>
    <w:rsid w:val="00E41D81"/>
    <w:rsid w:val="00E4593D"/>
    <w:rsid w:val="00E507B6"/>
    <w:rsid w:val="00E5772D"/>
    <w:rsid w:val="00E57E6C"/>
    <w:rsid w:val="00E6493A"/>
    <w:rsid w:val="00E66BBF"/>
    <w:rsid w:val="00E67184"/>
    <w:rsid w:val="00E70C14"/>
    <w:rsid w:val="00E75AC9"/>
    <w:rsid w:val="00E9062A"/>
    <w:rsid w:val="00E95E62"/>
    <w:rsid w:val="00EB248D"/>
    <w:rsid w:val="00EB53AC"/>
    <w:rsid w:val="00EB5FFE"/>
    <w:rsid w:val="00EC0D60"/>
    <w:rsid w:val="00ED3C9E"/>
    <w:rsid w:val="00EE0572"/>
    <w:rsid w:val="00EE11FB"/>
    <w:rsid w:val="00EE5B6D"/>
    <w:rsid w:val="00F00776"/>
    <w:rsid w:val="00F022D4"/>
    <w:rsid w:val="00F04CFC"/>
    <w:rsid w:val="00F12993"/>
    <w:rsid w:val="00F14174"/>
    <w:rsid w:val="00F40DCA"/>
    <w:rsid w:val="00F44FBF"/>
    <w:rsid w:val="00F5204D"/>
    <w:rsid w:val="00F536C7"/>
    <w:rsid w:val="00F86F5D"/>
    <w:rsid w:val="00F87343"/>
    <w:rsid w:val="00FB7720"/>
    <w:rsid w:val="00FC3682"/>
    <w:rsid w:val="00FC5F91"/>
    <w:rsid w:val="00FD282B"/>
    <w:rsid w:val="00FD7B00"/>
    <w:rsid w:val="00FE106E"/>
    <w:rsid w:val="00FE63C6"/>
    <w:rsid w:val="00FF1427"/>
    <w:rsid w:val="00FF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2A6"/>
  <w15:docId w15:val="{6E743231-4CFC-4C47-9703-03123BAD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uiPriority w:val="99"/>
    <w:semiHidden/>
    <w:unhideWhenUsed/>
    <w:rsid w:val="00AE7B3F"/>
    <w:rPr>
      <w:sz w:val="16"/>
      <w:szCs w:val="16"/>
    </w:rPr>
  </w:style>
  <w:style w:type="paragraph" w:styleId="CommentText">
    <w:name w:val="annotation text"/>
    <w:basedOn w:val="Normal"/>
    <w:link w:val="CommentTextChar"/>
    <w:uiPriority w:val="99"/>
    <w:unhideWhenUsed/>
    <w:rsid w:val="00AE7B3F"/>
    <w:rPr>
      <w:sz w:val="20"/>
      <w:szCs w:val="20"/>
    </w:rPr>
  </w:style>
  <w:style w:type="character" w:customStyle="1" w:styleId="CommentTextChar">
    <w:name w:val="Comment Text Char"/>
    <w:basedOn w:val="DefaultParagraphFont"/>
    <w:link w:val="CommentText"/>
    <w:uiPriority w:val="99"/>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n-U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6058B3"/>
    <w:rPr>
      <w:sz w:val="20"/>
      <w:szCs w:val="20"/>
    </w:rPr>
  </w:style>
  <w:style w:type="character" w:customStyle="1" w:styleId="FootnoteTextChar">
    <w:name w:val="Footnote Text Char"/>
    <w:basedOn w:val="DefaultParagraphFont"/>
    <w:link w:val="FootnoteText"/>
    <w:uiPriority w:val="99"/>
    <w:semiHidden/>
    <w:rsid w:val="006058B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paragraph" w:styleId="Revision">
    <w:name w:val="Revision"/>
    <w:hidden/>
    <w:uiPriority w:val="99"/>
    <w:semiHidden/>
    <w:rsid w:val="0048269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4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248465961">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426198269">
      <w:bodyDiv w:val="1"/>
      <w:marLeft w:val="0"/>
      <w:marRight w:val="0"/>
      <w:marTop w:val="0"/>
      <w:marBottom w:val="0"/>
      <w:divBdr>
        <w:top w:val="none" w:sz="0" w:space="0" w:color="auto"/>
        <w:left w:val="none" w:sz="0" w:space="0" w:color="auto"/>
        <w:bottom w:val="none" w:sz="0" w:space="0" w:color="auto"/>
        <w:right w:val="none" w:sz="0" w:space="0" w:color="auto"/>
      </w:divBdr>
    </w:div>
    <w:div w:id="834761879">
      <w:bodyDiv w:val="1"/>
      <w:marLeft w:val="0"/>
      <w:marRight w:val="0"/>
      <w:marTop w:val="0"/>
      <w:marBottom w:val="0"/>
      <w:divBdr>
        <w:top w:val="none" w:sz="0" w:space="0" w:color="auto"/>
        <w:left w:val="none" w:sz="0" w:space="0" w:color="auto"/>
        <w:bottom w:val="none" w:sz="0" w:space="0" w:color="auto"/>
        <w:right w:val="none" w:sz="0" w:space="0" w:color="auto"/>
      </w:divBdr>
    </w:div>
    <w:div w:id="95710219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 w:id="1499542462">
      <w:bodyDiv w:val="1"/>
      <w:marLeft w:val="0"/>
      <w:marRight w:val="0"/>
      <w:marTop w:val="0"/>
      <w:marBottom w:val="0"/>
      <w:divBdr>
        <w:top w:val="none" w:sz="0" w:space="0" w:color="auto"/>
        <w:left w:val="none" w:sz="0" w:space="0" w:color="auto"/>
        <w:bottom w:val="none" w:sz="0" w:space="0" w:color="auto"/>
        <w:right w:val="none" w:sz="0" w:space="0" w:color="auto"/>
      </w:divBdr>
    </w:div>
    <w:div w:id="1654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F06C2-A773-4AD3-A05C-458A023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71A80-3EB5-4641-8AA9-F2C9D0472AE0}">
  <ds:schemaRefs>
    <ds:schemaRef ds:uri="75035800-fbd9-4494-bf62-86cc10c5d50d"/>
    <ds:schemaRef ds:uri="http://purl.org/dc/elements/1.1/"/>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82f1ccd-e5c5-43c9-b9d9-dd72e0a643d0"/>
  </ds:schemaRefs>
</ds:datastoreItem>
</file>

<file path=customXml/itemProps3.xml><?xml version="1.0" encoding="utf-8"?>
<ds:datastoreItem xmlns:ds="http://schemas.openxmlformats.org/officeDocument/2006/customXml" ds:itemID="{81DEA916-19D4-4B41-800A-1B7C448A1581}">
  <ds:schemaRefs>
    <ds:schemaRef ds:uri="http://schemas.microsoft.com/sharepoint/v3/contenttype/forms"/>
  </ds:schemaRefs>
</ds:datastoreItem>
</file>

<file path=customXml/itemProps4.xml><?xml version="1.0" encoding="utf-8"?>
<ds:datastoreItem xmlns:ds="http://schemas.openxmlformats.org/officeDocument/2006/customXml" ds:itemID="{D4F34FB2-8595-4D15-BFDA-06CE6329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2429</Words>
  <Characters>13851</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Ed Jennings</cp:lastModifiedBy>
  <cp:revision>2</cp:revision>
  <dcterms:created xsi:type="dcterms:W3CDTF">2022-05-23T06:23:00Z</dcterms:created>
  <dcterms:modified xsi:type="dcterms:W3CDTF">2022-05-23T06:23:00Z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