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DEA80" w14:textId="77777777" w:rsidR="00065B8F" w:rsidRPr="00772E80" w:rsidRDefault="00065B8F" w:rsidP="00A451D1">
      <w:pPr>
        <w:widowControl w:val="0"/>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bCs/>
          <w:sz w:val="22"/>
          <w:szCs w:val="22"/>
        </w:rPr>
      </w:pPr>
      <w:r w:rsidRPr="00772E80">
        <w:rPr>
          <w:rFonts w:asciiTheme="minorHAnsi" w:hAnsiTheme="minorHAnsi" w:cstheme="minorHAnsi"/>
          <w:bCs/>
          <w:sz w:val="22"/>
          <w:szCs w:val="22"/>
        </w:rPr>
        <w:t>THE CONVENTION ON WETLANDS</w:t>
      </w:r>
    </w:p>
    <w:p w14:paraId="4A0A0432" w14:textId="77777777" w:rsidR="00B556D3" w:rsidRPr="00772E80" w:rsidRDefault="00B556D3" w:rsidP="00A451D1">
      <w:pPr>
        <w:widowControl w:val="0"/>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rPr>
      </w:pPr>
      <w:r w:rsidRPr="00772E80">
        <w:rPr>
          <w:rFonts w:asciiTheme="minorHAnsi" w:hAnsiTheme="minorHAnsi" w:cstheme="minorHAnsi"/>
        </w:rPr>
        <w:t xml:space="preserve">59th Meeting of the Standing Committee </w:t>
      </w:r>
    </w:p>
    <w:p w14:paraId="7D4FC7E1" w14:textId="77777777" w:rsidR="00B556D3" w:rsidRPr="00772E80" w:rsidRDefault="00B556D3" w:rsidP="00A451D1">
      <w:pPr>
        <w:widowControl w:val="0"/>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rPr>
      </w:pPr>
      <w:r w:rsidRPr="00772E80">
        <w:rPr>
          <w:rFonts w:asciiTheme="minorHAnsi" w:hAnsiTheme="minorHAnsi" w:cstheme="minorHAnsi"/>
        </w:rPr>
        <w:t xml:space="preserve">Resumed session </w:t>
      </w:r>
    </w:p>
    <w:p w14:paraId="78B3FB25" w14:textId="77777777" w:rsidR="00065B8F" w:rsidRPr="00772E80" w:rsidRDefault="00B556D3" w:rsidP="00A451D1">
      <w:pPr>
        <w:widowControl w:val="0"/>
        <w:pBdr>
          <w:top w:val="single" w:sz="12" w:space="0" w:color="auto" w:shadow="1"/>
          <w:left w:val="single" w:sz="12" w:space="4" w:color="auto" w:shadow="1"/>
          <w:bottom w:val="single" w:sz="12" w:space="1" w:color="auto" w:shadow="1"/>
          <w:right w:val="single" w:sz="12" w:space="0" w:color="auto" w:shadow="1"/>
        </w:pBdr>
        <w:ind w:right="3214"/>
        <w:rPr>
          <w:rFonts w:asciiTheme="minorHAnsi" w:hAnsiTheme="minorHAnsi" w:cstheme="minorHAnsi"/>
          <w:sz w:val="22"/>
          <w:szCs w:val="22"/>
          <w:lang w:val="de-CH"/>
        </w:rPr>
      </w:pPr>
      <w:r w:rsidRPr="00772E80">
        <w:rPr>
          <w:rFonts w:asciiTheme="minorHAnsi" w:hAnsiTheme="minorHAnsi" w:cstheme="minorHAnsi"/>
        </w:rPr>
        <w:t>Gland, Switzerland, 23-27 May 2022</w:t>
      </w:r>
    </w:p>
    <w:p w14:paraId="2BB6B6C0" w14:textId="77777777" w:rsidR="00065B8F" w:rsidRPr="00772E80" w:rsidRDefault="00065B8F" w:rsidP="00A451D1">
      <w:pPr>
        <w:widowControl w:val="0"/>
        <w:rPr>
          <w:rFonts w:asciiTheme="minorHAnsi" w:hAnsiTheme="minorHAnsi" w:cstheme="minorHAnsi"/>
          <w:lang w:val="de-CH"/>
        </w:rPr>
      </w:pPr>
    </w:p>
    <w:p w14:paraId="1B8DA46A" w14:textId="2A9B1AAA" w:rsidR="00065B8F" w:rsidRPr="00772E80" w:rsidRDefault="006A7C44" w:rsidP="00A451D1">
      <w:pPr>
        <w:widowControl w:val="0"/>
        <w:jc w:val="right"/>
        <w:rPr>
          <w:rFonts w:asciiTheme="minorHAnsi" w:hAnsiTheme="minorHAnsi" w:cstheme="minorHAnsi"/>
          <w:b/>
          <w:sz w:val="28"/>
          <w:szCs w:val="28"/>
          <w:lang w:val="de-CH"/>
        </w:rPr>
      </w:pPr>
      <w:r w:rsidRPr="00772E80">
        <w:rPr>
          <w:rFonts w:asciiTheme="minorHAnsi" w:hAnsiTheme="minorHAnsi" w:cstheme="minorHAnsi"/>
          <w:b/>
          <w:sz w:val="28"/>
          <w:szCs w:val="28"/>
          <w:lang w:val="de-CH"/>
        </w:rPr>
        <w:t>SC59</w:t>
      </w:r>
      <w:r w:rsidR="00B556D3" w:rsidRPr="00772E80">
        <w:rPr>
          <w:rFonts w:asciiTheme="minorHAnsi" w:hAnsiTheme="minorHAnsi" w:cstheme="minorHAnsi"/>
          <w:b/>
          <w:sz w:val="28"/>
          <w:szCs w:val="28"/>
          <w:lang w:val="de-CH"/>
        </w:rPr>
        <w:t>/2022</w:t>
      </w:r>
      <w:r w:rsidR="00065B8F" w:rsidRPr="00772E80">
        <w:rPr>
          <w:rFonts w:asciiTheme="minorHAnsi" w:hAnsiTheme="minorHAnsi" w:cstheme="minorHAnsi"/>
          <w:b/>
          <w:sz w:val="28"/>
          <w:szCs w:val="28"/>
          <w:lang w:val="de-CH"/>
        </w:rPr>
        <w:t xml:space="preserve"> Doc.</w:t>
      </w:r>
      <w:r w:rsidR="00C56C0A" w:rsidRPr="00772E80">
        <w:rPr>
          <w:rFonts w:asciiTheme="minorHAnsi" w:hAnsiTheme="minorHAnsi" w:cstheme="minorHAnsi"/>
          <w:b/>
          <w:sz w:val="28"/>
          <w:szCs w:val="28"/>
          <w:lang w:val="de-CH"/>
        </w:rPr>
        <w:t>8.4</w:t>
      </w:r>
    </w:p>
    <w:p w14:paraId="23E946FC" w14:textId="77777777" w:rsidR="00065B8F" w:rsidRPr="00772E80" w:rsidRDefault="00065B8F" w:rsidP="00A451D1">
      <w:pPr>
        <w:widowControl w:val="0"/>
        <w:jc w:val="center"/>
        <w:rPr>
          <w:rFonts w:asciiTheme="minorHAnsi" w:hAnsiTheme="minorHAnsi" w:cstheme="minorHAnsi"/>
          <w:bCs/>
          <w:sz w:val="28"/>
          <w:szCs w:val="28"/>
          <w:lang w:val="de-CH"/>
        </w:rPr>
      </w:pPr>
    </w:p>
    <w:p w14:paraId="4754E82B" w14:textId="77777777" w:rsidR="00065B8F" w:rsidRPr="00772E80" w:rsidRDefault="006A5172" w:rsidP="00A451D1">
      <w:pPr>
        <w:widowControl w:val="0"/>
        <w:jc w:val="center"/>
        <w:rPr>
          <w:rFonts w:asciiTheme="minorHAnsi" w:hAnsiTheme="minorHAnsi" w:cstheme="minorHAnsi"/>
          <w:b/>
          <w:bCs/>
          <w:sz w:val="28"/>
          <w:szCs w:val="28"/>
        </w:rPr>
      </w:pPr>
      <w:r w:rsidRPr="00772E80">
        <w:rPr>
          <w:rFonts w:asciiTheme="minorHAnsi" w:hAnsiTheme="minorHAnsi" w:cstheme="minorHAnsi"/>
          <w:b/>
          <w:bCs/>
          <w:sz w:val="28"/>
          <w:szCs w:val="28"/>
        </w:rPr>
        <w:t xml:space="preserve">Potential financial implications of draft resolutions </w:t>
      </w:r>
      <w:bookmarkStart w:id="0" w:name="_GoBack"/>
      <w:bookmarkEnd w:id="0"/>
    </w:p>
    <w:p w14:paraId="1F5BA36C" w14:textId="77777777" w:rsidR="006058B3" w:rsidRPr="00772E80" w:rsidRDefault="006058B3" w:rsidP="00A451D1">
      <w:pPr>
        <w:widowControl w:val="0"/>
        <w:jc w:val="center"/>
        <w:rPr>
          <w:rFonts w:asciiTheme="minorHAnsi" w:hAnsiTheme="minorHAnsi" w:cstheme="minorHAnsi"/>
          <w:b/>
          <w:bCs/>
          <w:sz w:val="28"/>
          <w:szCs w:val="28"/>
        </w:rPr>
      </w:pPr>
    </w:p>
    <w:p w14:paraId="19992BFF" w14:textId="77777777" w:rsidR="00E95E62" w:rsidRPr="00772E80" w:rsidRDefault="006058B3" w:rsidP="00A451D1">
      <w:pPr>
        <w:widowControl w:val="0"/>
        <w:jc w:val="center"/>
        <w:rPr>
          <w:rFonts w:asciiTheme="minorHAnsi" w:hAnsiTheme="minorHAnsi" w:cstheme="minorHAnsi"/>
          <w:b/>
          <w:bCs/>
          <w:sz w:val="28"/>
          <w:szCs w:val="28"/>
        </w:rPr>
      </w:pPr>
      <w:r w:rsidRPr="00772E80">
        <w:rPr>
          <w:rFonts w:asciiTheme="minorHAnsi" w:hAnsiTheme="minorHAnsi" w:cstheme="minorHAnsi"/>
          <w:b/>
          <w:bCs/>
          <w:noProof/>
          <w:sz w:val="28"/>
          <w:szCs w:val="28"/>
        </w:rPr>
        <mc:AlternateContent>
          <mc:Choice Requires="wps">
            <w:drawing>
              <wp:inline distT="0" distB="0" distL="0" distR="0" wp14:anchorId="25811330" wp14:editId="63C9E9F5">
                <wp:extent cx="5768340" cy="962025"/>
                <wp:effectExtent l="0" t="0" r="2286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962025"/>
                        </a:xfrm>
                        <a:prstGeom prst="rect">
                          <a:avLst/>
                        </a:prstGeom>
                        <a:solidFill>
                          <a:srgbClr val="FFFFFF"/>
                        </a:solidFill>
                        <a:ln w="9525">
                          <a:solidFill>
                            <a:srgbClr val="000000"/>
                          </a:solidFill>
                          <a:miter lim="800000"/>
                          <a:headEnd/>
                          <a:tailEnd/>
                        </a:ln>
                      </wps:spPr>
                      <wps:txbx>
                        <w:txbxContent>
                          <w:p w14:paraId="2409A187" w14:textId="77777777" w:rsidR="00AA2EDD" w:rsidRPr="000E637A" w:rsidRDefault="000E637A" w:rsidP="007F7F60">
                            <w:pPr>
                              <w:rPr>
                                <w:rFonts w:asciiTheme="minorHAnsi" w:hAnsiTheme="minorHAnsi" w:cstheme="minorHAnsi"/>
                                <w:b/>
                                <w:sz w:val="22"/>
                                <w:szCs w:val="22"/>
                              </w:rPr>
                            </w:pPr>
                            <w:r w:rsidRPr="000E637A">
                              <w:rPr>
                                <w:rFonts w:asciiTheme="minorHAnsi" w:hAnsiTheme="minorHAnsi" w:cstheme="minorHAnsi"/>
                                <w:b/>
                                <w:sz w:val="22"/>
                                <w:szCs w:val="22"/>
                              </w:rPr>
                              <w:t>Action requested</w:t>
                            </w:r>
                            <w:r w:rsidR="00AA2EDD" w:rsidRPr="000E637A">
                              <w:rPr>
                                <w:rFonts w:asciiTheme="minorHAnsi" w:hAnsiTheme="minorHAnsi" w:cstheme="minorHAnsi"/>
                                <w:b/>
                                <w:sz w:val="22"/>
                                <w:szCs w:val="22"/>
                              </w:rPr>
                              <w:t>:</w:t>
                            </w:r>
                          </w:p>
                          <w:p w14:paraId="20867855" w14:textId="77777777" w:rsidR="000E637A" w:rsidRDefault="000E637A" w:rsidP="000E637A">
                            <w:pPr>
                              <w:pStyle w:val="ColorfulList-Accent11"/>
                              <w:ind w:left="0"/>
                            </w:pPr>
                          </w:p>
                          <w:p w14:paraId="61C328DF" w14:textId="77777777" w:rsidR="00AA2EDD" w:rsidRDefault="000E637A" w:rsidP="000E637A">
                            <w:pPr>
                              <w:pStyle w:val="ColorfulList-Accent11"/>
                              <w:ind w:left="0" w:firstLine="0"/>
                              <w:rPr>
                                <w:rFonts w:asciiTheme="minorHAnsi" w:hAnsiTheme="minorHAnsi" w:cstheme="minorHAnsi"/>
                              </w:rPr>
                            </w:pPr>
                            <w:r>
                              <w:t xml:space="preserve">The Standing Committee is </w:t>
                            </w:r>
                            <w:r w:rsidR="00857CD6">
                              <w:rPr>
                                <w:rFonts w:cs="Calibri"/>
                              </w:rPr>
                              <w:t xml:space="preserve">invited to note </w:t>
                            </w:r>
                            <w:r w:rsidR="00F87343">
                              <w:rPr>
                                <w:rFonts w:cs="Calibri"/>
                              </w:rPr>
                              <w:t xml:space="preserve">the </w:t>
                            </w:r>
                            <w:r w:rsidR="00C41747">
                              <w:t xml:space="preserve">projected administrative and financial implications </w:t>
                            </w:r>
                            <w:r w:rsidR="00F87343">
                              <w:rPr>
                                <w:rFonts w:cs="Calibri"/>
                              </w:rPr>
                              <w:t>of draft resoluti</w:t>
                            </w:r>
                            <w:r w:rsidR="00C41747">
                              <w:rPr>
                                <w:rFonts w:cs="Calibri"/>
                              </w:rPr>
                              <w:t xml:space="preserve">ons submitted </w:t>
                            </w:r>
                            <w:r w:rsidR="00F87343">
                              <w:rPr>
                                <w:rFonts w:cs="Calibri"/>
                              </w:rPr>
                              <w:t>to SC59</w:t>
                            </w:r>
                            <w:r w:rsidR="00B556D3">
                              <w:rPr>
                                <w:rFonts w:cs="Calibri"/>
                              </w:rPr>
                              <w:t>/2022</w:t>
                            </w:r>
                            <w:r w:rsidR="00C6401E">
                              <w:rPr>
                                <w:rFonts w:cs="Calibri"/>
                              </w:rPr>
                              <w:t xml:space="preserve"> for consideration</w:t>
                            </w:r>
                            <w:r w:rsidR="00F87343">
                              <w:rPr>
                                <w:rFonts w:cs="Calibri"/>
                              </w:rPr>
                              <w:t>.</w:t>
                            </w:r>
                          </w:p>
                          <w:p w14:paraId="1703E49B" w14:textId="77777777" w:rsidR="007F7F60" w:rsidRPr="007F7F60" w:rsidRDefault="007F7F60">
                            <w:pPr>
                              <w:rPr>
                                <w:rFonts w:asciiTheme="minorHAnsi" w:hAnsiTheme="minorHAnsi" w:cstheme="minorHAnsi"/>
                              </w:rPr>
                            </w:pP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811330" id="_x0000_t202" coordsize="21600,21600" o:spt="202" path="m,l,21600r21600,l21600,xe">
                <v:stroke joinstyle="miter"/>
                <v:path gradientshapeok="t" o:connecttype="rect"/>
              </v:shapetype>
              <v:shape id="Text Box 2" o:spid="_x0000_s1026" type="#_x0000_t202" style="width:454.2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">
                <v:textbox>
                  <w:txbxContent>
                    <w:p w14:paraId="2409A187" w14:textId="77777777" w:rsidR="00AA2EDD" w:rsidRPr="000E637A" w:rsidRDefault="000E637A" w:rsidP="007F7F60">
                      <w:pPr>
                        <w:rPr>
                          <w:rFonts w:asciiTheme="minorHAnsi" w:hAnsiTheme="minorHAnsi" w:cstheme="minorHAnsi"/>
                          <w:b/>
                          <w:sz w:val="22"/>
                          <w:szCs w:val="22"/>
                        </w:rPr>
                      </w:pPr>
                      <w:r w:rsidRPr="000E637A">
                        <w:rPr>
                          <w:rFonts w:asciiTheme="minorHAnsi" w:hAnsiTheme="minorHAnsi" w:cstheme="minorHAnsi"/>
                          <w:b/>
                          <w:sz w:val="22"/>
                          <w:szCs w:val="22"/>
                        </w:rPr>
                        <w:t>Action requested</w:t>
                      </w:r>
                      <w:r w:rsidR="00AA2EDD" w:rsidRPr="000E637A">
                        <w:rPr>
                          <w:rFonts w:asciiTheme="minorHAnsi" w:hAnsiTheme="minorHAnsi" w:cstheme="minorHAnsi"/>
                          <w:b/>
                          <w:sz w:val="22"/>
                          <w:szCs w:val="22"/>
                        </w:rPr>
                        <w:t>:</w:t>
                      </w:r>
                    </w:p>
                    <w:p w14:paraId="20867855" w14:textId="77777777" w:rsidR="000E637A" w:rsidRDefault="000E637A" w:rsidP="000E637A">
                      <w:pPr>
                        <w:pStyle w:val="ColorfulList-Accent11"/>
                        <w:ind w:left="0"/>
                      </w:pPr>
                    </w:p>
                    <w:p w14:paraId="61C328DF" w14:textId="77777777" w:rsidR="00AA2EDD" w:rsidRDefault="000E637A" w:rsidP="000E637A">
                      <w:pPr>
                        <w:pStyle w:val="ColorfulList-Accent11"/>
                        <w:ind w:left="0" w:firstLine="0"/>
                        <w:rPr>
                          <w:rFonts w:asciiTheme="minorHAnsi" w:hAnsiTheme="minorHAnsi" w:cstheme="minorHAnsi"/>
                        </w:rPr>
                      </w:pPr>
                      <w:r>
                        <w:t xml:space="preserve">The Standing Committee is </w:t>
                      </w:r>
                      <w:r w:rsidR="00857CD6">
                        <w:rPr>
                          <w:rFonts w:cs="Calibri"/>
                        </w:rPr>
                        <w:t xml:space="preserve">invited to note </w:t>
                      </w:r>
                      <w:r w:rsidR="00F87343">
                        <w:rPr>
                          <w:rFonts w:cs="Calibri"/>
                        </w:rPr>
                        <w:t xml:space="preserve">the </w:t>
                      </w:r>
                      <w:r w:rsidR="00C41747">
                        <w:t xml:space="preserve">projected administrative and financial implications </w:t>
                      </w:r>
                      <w:r w:rsidR="00F87343">
                        <w:rPr>
                          <w:rFonts w:cs="Calibri"/>
                        </w:rPr>
                        <w:t>of draft resoluti</w:t>
                      </w:r>
                      <w:r w:rsidR="00C41747">
                        <w:rPr>
                          <w:rFonts w:cs="Calibri"/>
                        </w:rPr>
                        <w:t xml:space="preserve">ons submitted </w:t>
                      </w:r>
                      <w:r w:rsidR="00F87343">
                        <w:rPr>
                          <w:rFonts w:cs="Calibri"/>
                        </w:rPr>
                        <w:t>to SC59</w:t>
                      </w:r>
                      <w:r w:rsidR="00B556D3">
                        <w:rPr>
                          <w:rFonts w:cs="Calibri"/>
                        </w:rPr>
                        <w:t>/2022</w:t>
                      </w:r>
                      <w:r w:rsidR="00C6401E">
                        <w:rPr>
                          <w:rFonts w:cs="Calibri"/>
                        </w:rPr>
                        <w:t xml:space="preserve"> for consideration</w:t>
                      </w:r>
                      <w:r w:rsidR="00F87343">
                        <w:rPr>
                          <w:rFonts w:cs="Calibri"/>
                        </w:rPr>
                        <w:t>.</w:t>
                      </w:r>
                    </w:p>
                    <w:p w14:paraId="1703E49B" w14:textId="77777777" w:rsidR="007F7F60" w:rsidRPr="007F7F60" w:rsidRDefault="007F7F60">
                      <w:pPr>
                        <w:rPr>
                          <w:rFonts w:asciiTheme="minorHAnsi" w:hAnsiTheme="minorHAnsi" w:cstheme="minorHAnsi"/>
                        </w:rPr>
                      </w:pPr>
                    </w:p>
                  </w:txbxContent>
                </v:textbox>
                <w10:anchorlock/>
              </v:shape>
            </w:pict>
          </mc:Fallback>
        </mc:AlternateContent>
      </w:r>
    </w:p>
    <w:p w14:paraId="24398D3C" w14:textId="77777777" w:rsidR="006058B3" w:rsidRPr="00772E80" w:rsidRDefault="006058B3" w:rsidP="00A451D1">
      <w:pPr>
        <w:widowControl w:val="0"/>
        <w:jc w:val="left"/>
        <w:rPr>
          <w:rFonts w:asciiTheme="minorHAnsi" w:hAnsiTheme="minorHAnsi" w:cstheme="minorHAnsi"/>
          <w:b/>
          <w:bCs/>
          <w:sz w:val="22"/>
          <w:szCs w:val="22"/>
        </w:rPr>
      </w:pPr>
    </w:p>
    <w:p w14:paraId="4EEC0818" w14:textId="77777777" w:rsidR="006058B3" w:rsidRPr="00772E80" w:rsidRDefault="006058B3" w:rsidP="00A451D1">
      <w:pPr>
        <w:widowControl w:val="0"/>
        <w:jc w:val="left"/>
        <w:rPr>
          <w:rFonts w:asciiTheme="minorHAnsi" w:hAnsiTheme="minorHAnsi" w:cstheme="minorHAnsi"/>
          <w:b/>
          <w:bCs/>
          <w:sz w:val="22"/>
          <w:szCs w:val="22"/>
        </w:rPr>
      </w:pPr>
    </w:p>
    <w:p w14:paraId="4FFF5DA1" w14:textId="77777777" w:rsidR="00773024" w:rsidRPr="00772E80" w:rsidRDefault="00773024" w:rsidP="00A451D1">
      <w:pPr>
        <w:widowControl w:val="0"/>
        <w:ind w:left="425" w:hanging="425"/>
        <w:jc w:val="left"/>
        <w:rPr>
          <w:rFonts w:asciiTheme="minorHAnsi" w:hAnsiTheme="minorHAnsi" w:cstheme="minorHAnsi"/>
          <w:b/>
          <w:bCs/>
          <w:sz w:val="22"/>
          <w:szCs w:val="22"/>
        </w:rPr>
      </w:pPr>
      <w:r w:rsidRPr="00772E80">
        <w:rPr>
          <w:rFonts w:asciiTheme="minorHAnsi" w:hAnsiTheme="minorHAnsi" w:cstheme="minorHAnsi"/>
          <w:b/>
          <w:bCs/>
          <w:sz w:val="22"/>
          <w:szCs w:val="22"/>
        </w:rPr>
        <w:t>Background</w:t>
      </w:r>
    </w:p>
    <w:p w14:paraId="12B7CC52" w14:textId="77777777" w:rsidR="00C32315" w:rsidRPr="00772E80" w:rsidRDefault="00C32315" w:rsidP="00A451D1">
      <w:pPr>
        <w:widowControl w:val="0"/>
        <w:ind w:left="0" w:firstLine="0"/>
        <w:jc w:val="left"/>
        <w:rPr>
          <w:rFonts w:asciiTheme="minorHAnsi" w:hAnsiTheme="minorHAnsi" w:cstheme="minorHAnsi"/>
          <w:sz w:val="22"/>
          <w:szCs w:val="22"/>
        </w:rPr>
      </w:pPr>
    </w:p>
    <w:p w14:paraId="30262FAB" w14:textId="77777777" w:rsidR="00027DBC" w:rsidRPr="00772E80" w:rsidRDefault="003501A9" w:rsidP="00A451D1">
      <w:pPr>
        <w:widowControl w:val="0"/>
        <w:ind w:left="425" w:hanging="425"/>
        <w:jc w:val="left"/>
        <w:rPr>
          <w:rFonts w:asciiTheme="minorHAnsi" w:hAnsiTheme="minorHAnsi" w:cstheme="minorHAnsi"/>
          <w:bCs/>
          <w:sz w:val="22"/>
          <w:szCs w:val="22"/>
        </w:rPr>
      </w:pPr>
      <w:r w:rsidRPr="00772E80">
        <w:rPr>
          <w:rFonts w:asciiTheme="minorHAnsi" w:hAnsiTheme="minorHAnsi" w:cstheme="minorHAnsi"/>
          <w:bCs/>
          <w:sz w:val="22"/>
          <w:szCs w:val="22"/>
        </w:rPr>
        <w:t>1</w:t>
      </w:r>
      <w:r w:rsidR="006058B3" w:rsidRPr="00772E80">
        <w:rPr>
          <w:rFonts w:asciiTheme="minorHAnsi" w:hAnsiTheme="minorHAnsi" w:cstheme="minorHAnsi"/>
          <w:bCs/>
          <w:sz w:val="22"/>
          <w:szCs w:val="22"/>
        </w:rPr>
        <w:t>.</w:t>
      </w:r>
      <w:r w:rsidR="006058B3" w:rsidRPr="00772E80">
        <w:rPr>
          <w:rFonts w:asciiTheme="minorHAnsi" w:hAnsiTheme="minorHAnsi" w:cstheme="minorHAnsi"/>
          <w:bCs/>
          <w:sz w:val="22"/>
          <w:szCs w:val="22"/>
        </w:rPr>
        <w:tab/>
      </w:r>
      <w:r w:rsidR="00BD2193" w:rsidRPr="00772E80">
        <w:rPr>
          <w:rFonts w:asciiTheme="minorHAnsi" w:hAnsiTheme="minorHAnsi" w:cstheme="minorHAnsi"/>
          <w:sz w:val="22"/>
          <w:szCs w:val="22"/>
        </w:rPr>
        <w:t>Rule 14 of the Convention on Wetlands Rules of Procedure state that t</w:t>
      </w:r>
      <w:r w:rsidR="00C41747" w:rsidRPr="00772E80">
        <w:rPr>
          <w:rFonts w:asciiTheme="minorHAnsi" w:hAnsiTheme="minorHAnsi" w:cstheme="minorHAnsi"/>
          <w:sz w:val="22"/>
          <w:szCs w:val="22"/>
        </w:rPr>
        <w:t xml:space="preserve">he Secretariat shall report, within 24 hours of the opening of the meeting of the Conference of the </w:t>
      </w:r>
      <w:r w:rsidR="003D6800" w:rsidRPr="00772E80">
        <w:rPr>
          <w:rFonts w:asciiTheme="minorHAnsi" w:hAnsiTheme="minorHAnsi" w:cstheme="minorHAnsi"/>
          <w:sz w:val="22"/>
          <w:szCs w:val="22"/>
        </w:rPr>
        <w:t xml:space="preserve">Contracting </w:t>
      </w:r>
      <w:r w:rsidR="00C41747" w:rsidRPr="00772E80">
        <w:rPr>
          <w:rFonts w:asciiTheme="minorHAnsi" w:hAnsiTheme="minorHAnsi" w:cstheme="minorHAnsi"/>
          <w:sz w:val="22"/>
          <w:szCs w:val="22"/>
        </w:rPr>
        <w:t>Parties, on the projected administrative and financial implications of all substantive agenda items submitted to the meeting and before decisions on these items are taken by the Conference of the Parties</w:t>
      </w:r>
      <w:r w:rsidR="00B64C7E" w:rsidRPr="00772E80">
        <w:rPr>
          <w:rFonts w:asciiTheme="minorHAnsi" w:hAnsiTheme="minorHAnsi" w:cstheme="minorHAnsi"/>
          <w:sz w:val="22"/>
          <w:szCs w:val="22"/>
        </w:rPr>
        <w:t>.</w:t>
      </w:r>
    </w:p>
    <w:p w14:paraId="43FF90B5" w14:textId="77777777" w:rsidR="00027DBC" w:rsidRPr="00772E80" w:rsidRDefault="00027DBC" w:rsidP="00A451D1">
      <w:pPr>
        <w:widowControl w:val="0"/>
        <w:ind w:left="425" w:hanging="425"/>
        <w:jc w:val="left"/>
        <w:rPr>
          <w:rFonts w:asciiTheme="minorHAnsi" w:hAnsiTheme="minorHAnsi" w:cstheme="minorHAnsi"/>
          <w:bCs/>
          <w:sz w:val="22"/>
          <w:szCs w:val="22"/>
        </w:rPr>
      </w:pPr>
    </w:p>
    <w:p w14:paraId="3E5F4493" w14:textId="273D8ACB" w:rsidR="00C41747" w:rsidRPr="00772E80" w:rsidRDefault="00027DBC" w:rsidP="00A451D1">
      <w:pPr>
        <w:widowControl w:val="0"/>
        <w:ind w:left="425" w:hanging="425"/>
        <w:jc w:val="left"/>
        <w:rPr>
          <w:rFonts w:asciiTheme="minorHAnsi" w:hAnsiTheme="minorHAnsi" w:cstheme="minorHAnsi"/>
          <w:sz w:val="22"/>
          <w:szCs w:val="22"/>
        </w:rPr>
      </w:pPr>
      <w:r w:rsidRPr="00772E80">
        <w:rPr>
          <w:rFonts w:asciiTheme="minorHAnsi" w:hAnsiTheme="minorHAnsi" w:cstheme="minorHAnsi"/>
          <w:bCs/>
          <w:sz w:val="22"/>
          <w:szCs w:val="22"/>
        </w:rPr>
        <w:t xml:space="preserve">2. </w:t>
      </w:r>
      <w:r w:rsidRPr="00772E80">
        <w:rPr>
          <w:rFonts w:asciiTheme="minorHAnsi" w:hAnsiTheme="minorHAnsi" w:cstheme="minorHAnsi"/>
          <w:bCs/>
          <w:sz w:val="22"/>
          <w:szCs w:val="22"/>
        </w:rPr>
        <w:tab/>
      </w:r>
      <w:r w:rsidR="00BD2193" w:rsidRPr="00772E80">
        <w:rPr>
          <w:rFonts w:asciiTheme="minorHAnsi" w:hAnsiTheme="minorHAnsi" w:cstheme="minorHAnsi"/>
          <w:bCs/>
          <w:sz w:val="22"/>
          <w:szCs w:val="22"/>
        </w:rPr>
        <w:t xml:space="preserve">As the Rules of Procedure apply </w:t>
      </w:r>
      <w:r w:rsidR="00BD2193" w:rsidRPr="00772E80">
        <w:rPr>
          <w:rFonts w:asciiTheme="minorHAnsi" w:hAnsiTheme="minorHAnsi" w:cstheme="minorHAnsi"/>
          <w:bCs/>
          <w:i/>
          <w:sz w:val="22"/>
          <w:szCs w:val="22"/>
        </w:rPr>
        <w:t>mutatis mutandis</w:t>
      </w:r>
      <w:r w:rsidR="00B17F01" w:rsidRPr="00772E80">
        <w:rPr>
          <w:rFonts w:asciiTheme="minorHAnsi" w:hAnsiTheme="minorHAnsi" w:cstheme="minorHAnsi"/>
          <w:bCs/>
          <w:sz w:val="22"/>
          <w:szCs w:val="22"/>
        </w:rPr>
        <w:t xml:space="preserve"> to </w:t>
      </w:r>
      <w:r w:rsidR="001E57F5" w:rsidRPr="00772E80">
        <w:rPr>
          <w:rFonts w:asciiTheme="minorHAnsi" w:hAnsiTheme="minorHAnsi" w:cstheme="minorHAnsi"/>
          <w:sz w:val="22"/>
          <w:szCs w:val="22"/>
        </w:rPr>
        <w:t>meetings of the Standing Committee</w:t>
      </w:r>
      <w:r w:rsidR="00B17F01" w:rsidRPr="00772E80">
        <w:rPr>
          <w:rFonts w:asciiTheme="minorHAnsi" w:hAnsiTheme="minorHAnsi" w:cstheme="minorHAnsi"/>
          <w:bCs/>
          <w:sz w:val="22"/>
          <w:szCs w:val="22"/>
        </w:rPr>
        <w:t xml:space="preserve">, the Secretariat has prepared </w:t>
      </w:r>
      <w:r w:rsidR="00C41747" w:rsidRPr="00772E80">
        <w:rPr>
          <w:rFonts w:asciiTheme="minorHAnsi" w:hAnsiTheme="minorHAnsi" w:cstheme="minorHAnsi"/>
          <w:sz w:val="22"/>
          <w:szCs w:val="22"/>
        </w:rPr>
        <w:t xml:space="preserve">Table 1 below </w:t>
      </w:r>
      <w:r w:rsidR="00B17F01" w:rsidRPr="00772E80">
        <w:rPr>
          <w:rFonts w:asciiTheme="minorHAnsi" w:hAnsiTheme="minorHAnsi" w:cstheme="minorHAnsi"/>
          <w:sz w:val="22"/>
          <w:szCs w:val="22"/>
        </w:rPr>
        <w:t xml:space="preserve">which </w:t>
      </w:r>
      <w:r w:rsidR="00C41747" w:rsidRPr="00772E80">
        <w:rPr>
          <w:rFonts w:asciiTheme="minorHAnsi" w:hAnsiTheme="minorHAnsi" w:cstheme="minorHAnsi"/>
          <w:sz w:val="22"/>
          <w:szCs w:val="22"/>
        </w:rPr>
        <w:t>identifies the</w:t>
      </w:r>
      <w:r w:rsidR="00473C47" w:rsidRPr="00772E80">
        <w:rPr>
          <w:rFonts w:asciiTheme="minorHAnsi" w:hAnsiTheme="minorHAnsi" w:cstheme="minorHAnsi"/>
          <w:sz w:val="22"/>
          <w:szCs w:val="22"/>
        </w:rPr>
        <w:t xml:space="preserve"> preliminary </w:t>
      </w:r>
      <w:r w:rsidR="00C41747" w:rsidRPr="00772E80">
        <w:rPr>
          <w:rFonts w:asciiTheme="minorHAnsi" w:hAnsiTheme="minorHAnsi" w:cstheme="minorHAnsi"/>
          <w:sz w:val="22"/>
          <w:szCs w:val="22"/>
        </w:rPr>
        <w:t xml:space="preserve">projected administrative and financial implications of </w:t>
      </w:r>
      <w:r w:rsidR="00B17F01" w:rsidRPr="00772E80">
        <w:rPr>
          <w:rFonts w:asciiTheme="minorHAnsi" w:hAnsiTheme="minorHAnsi" w:cstheme="minorHAnsi"/>
          <w:sz w:val="22"/>
          <w:szCs w:val="22"/>
        </w:rPr>
        <w:t xml:space="preserve">draft resolutions submitted to SC59 for </w:t>
      </w:r>
      <w:r w:rsidR="00473C47" w:rsidRPr="00772E80">
        <w:rPr>
          <w:rFonts w:asciiTheme="minorHAnsi" w:hAnsiTheme="minorHAnsi" w:cstheme="minorHAnsi"/>
          <w:sz w:val="22"/>
          <w:szCs w:val="22"/>
        </w:rPr>
        <w:t>COP14 consideration</w:t>
      </w:r>
      <w:r w:rsidR="00B17F01" w:rsidRPr="00772E80">
        <w:rPr>
          <w:rFonts w:asciiTheme="minorHAnsi" w:hAnsiTheme="minorHAnsi" w:cstheme="minorHAnsi"/>
          <w:sz w:val="22"/>
          <w:szCs w:val="22"/>
        </w:rPr>
        <w:t xml:space="preserve">. </w:t>
      </w:r>
      <w:r w:rsidR="00473C47" w:rsidRPr="00772E80">
        <w:rPr>
          <w:rFonts w:asciiTheme="minorHAnsi" w:hAnsiTheme="minorHAnsi" w:cstheme="minorHAnsi"/>
          <w:sz w:val="22"/>
          <w:szCs w:val="22"/>
        </w:rPr>
        <w:t>An updated report on administrative and financial implications of draft resolutions will be prepared by the Secretariat to COP14.</w:t>
      </w:r>
    </w:p>
    <w:p w14:paraId="7F025D77" w14:textId="77777777" w:rsidR="002B429F" w:rsidRPr="00772E80" w:rsidRDefault="002B429F" w:rsidP="00A451D1">
      <w:pPr>
        <w:widowControl w:val="0"/>
        <w:ind w:left="425" w:hanging="425"/>
        <w:jc w:val="left"/>
        <w:rPr>
          <w:rFonts w:asciiTheme="minorHAnsi" w:hAnsiTheme="minorHAnsi" w:cstheme="minorHAnsi"/>
          <w:sz w:val="22"/>
          <w:szCs w:val="22"/>
        </w:rPr>
      </w:pPr>
    </w:p>
    <w:p w14:paraId="7908F4F2" w14:textId="78E84892" w:rsidR="002B429F" w:rsidRPr="00772E80" w:rsidRDefault="002B429F" w:rsidP="00A451D1">
      <w:pPr>
        <w:widowControl w:val="0"/>
        <w:ind w:left="425" w:hanging="425"/>
        <w:jc w:val="left"/>
        <w:rPr>
          <w:rFonts w:asciiTheme="minorHAnsi" w:hAnsiTheme="minorHAnsi" w:cstheme="minorHAnsi"/>
          <w:bCs/>
          <w:sz w:val="22"/>
          <w:szCs w:val="22"/>
        </w:rPr>
      </w:pPr>
      <w:r w:rsidRPr="00772E80">
        <w:rPr>
          <w:rFonts w:asciiTheme="minorHAnsi" w:hAnsiTheme="minorHAnsi" w:cstheme="minorHAnsi"/>
          <w:bCs/>
          <w:sz w:val="22"/>
          <w:szCs w:val="22"/>
        </w:rPr>
        <w:t>3.</w:t>
      </w:r>
      <w:r w:rsidRPr="00772E80">
        <w:rPr>
          <w:rFonts w:asciiTheme="minorHAnsi" w:hAnsiTheme="minorHAnsi" w:cstheme="minorHAnsi"/>
          <w:bCs/>
          <w:sz w:val="22"/>
          <w:szCs w:val="22"/>
        </w:rPr>
        <w:tab/>
        <w:t>The proposed actions compiled by the Secretariat in Table 1 are taken from the draft resolutions submitted by Parties, Working Groups, Subsidiary Bodies and the ones prepared by the Secretariat. The Secretariat has noted with an asterisk (*) administrative and financial implications provided by proponents, and with a double asterisk (**) estimates provided by the Secretariat. Concerning staff days, the information provided in the table refers to additional staff days required to carry out the activities and tasks proposed. The staff days required to fulfil activities and task that are already included in the core areas of work of the Secretariat and its work plan are not included.</w:t>
      </w:r>
    </w:p>
    <w:p w14:paraId="02350DE4" w14:textId="0EE6F92A" w:rsidR="002B429F" w:rsidRPr="00772E80" w:rsidRDefault="002B429F" w:rsidP="00A451D1">
      <w:pPr>
        <w:widowControl w:val="0"/>
        <w:ind w:left="425" w:hanging="425"/>
        <w:jc w:val="left"/>
        <w:rPr>
          <w:rFonts w:asciiTheme="minorHAnsi" w:hAnsiTheme="minorHAnsi" w:cstheme="minorHAnsi"/>
          <w:bCs/>
          <w:sz w:val="22"/>
          <w:szCs w:val="22"/>
        </w:rPr>
      </w:pPr>
    </w:p>
    <w:p w14:paraId="570FC610" w14:textId="77777777" w:rsidR="002B429F" w:rsidRPr="00772E80" w:rsidRDefault="002B429F" w:rsidP="00A451D1">
      <w:pPr>
        <w:widowControl w:val="0"/>
        <w:spacing w:after="160" w:line="259" w:lineRule="auto"/>
        <w:ind w:left="0" w:firstLine="0"/>
        <w:jc w:val="left"/>
        <w:rPr>
          <w:rFonts w:asciiTheme="minorHAnsi" w:hAnsiTheme="minorHAnsi" w:cstheme="minorHAnsi"/>
          <w:i/>
          <w:sz w:val="22"/>
          <w:szCs w:val="22"/>
        </w:rPr>
      </w:pPr>
      <w:r w:rsidRPr="00772E80">
        <w:rPr>
          <w:rFonts w:asciiTheme="minorHAnsi" w:hAnsiTheme="minorHAnsi" w:cstheme="minorHAnsi"/>
          <w:i/>
          <w:sz w:val="22"/>
          <w:szCs w:val="22"/>
        </w:rPr>
        <w:br w:type="page"/>
      </w:r>
    </w:p>
    <w:p w14:paraId="4DF17515" w14:textId="3D469004" w:rsidR="002B429F" w:rsidRPr="00772E80" w:rsidRDefault="002B429F" w:rsidP="00A451D1">
      <w:pPr>
        <w:widowControl w:val="0"/>
        <w:ind w:left="425" w:hanging="425"/>
        <w:jc w:val="left"/>
        <w:rPr>
          <w:rFonts w:asciiTheme="minorHAnsi" w:hAnsiTheme="minorHAnsi" w:cstheme="minorHAnsi"/>
          <w:bCs/>
          <w:sz w:val="22"/>
          <w:szCs w:val="22"/>
        </w:rPr>
      </w:pPr>
      <w:r w:rsidRPr="00772E80">
        <w:rPr>
          <w:rFonts w:asciiTheme="minorHAnsi" w:hAnsiTheme="minorHAnsi" w:cstheme="minorHAnsi"/>
          <w:i/>
          <w:sz w:val="22"/>
          <w:szCs w:val="22"/>
        </w:rPr>
        <w:lastRenderedPageBreak/>
        <w:t>Table 1: Projected administrative and financial implications of draft resolutions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35"/>
        <w:gridCol w:w="1842"/>
        <w:gridCol w:w="2835"/>
        <w:gridCol w:w="1418"/>
        <w:gridCol w:w="2126"/>
      </w:tblGrid>
      <w:tr w:rsidR="00772E80" w:rsidRPr="00772E80" w14:paraId="713C34C8" w14:textId="77777777" w:rsidTr="00165BEA">
        <w:trPr>
          <w:cantSplit/>
          <w:tblHeader/>
        </w:trPr>
        <w:tc>
          <w:tcPr>
            <w:tcW w:w="1135" w:type="dxa"/>
            <w:shd w:val="clear" w:color="auto" w:fill="D9D9D9" w:themeFill="background1" w:themeFillShade="D9"/>
            <w:noWrap/>
            <w:vAlign w:val="center"/>
          </w:tcPr>
          <w:p w14:paraId="4EFDD6A2" w14:textId="77777777" w:rsidR="00A451D1" w:rsidRPr="00772E80" w:rsidRDefault="00A451D1" w:rsidP="0042447D">
            <w:pPr>
              <w:widowControl w:val="0"/>
              <w:ind w:left="0" w:firstLine="0"/>
              <w:jc w:val="center"/>
              <w:rPr>
                <w:rFonts w:asciiTheme="minorHAnsi" w:hAnsiTheme="minorHAnsi" w:cstheme="minorHAnsi"/>
                <w:b/>
                <w:bCs/>
                <w:color w:val="000000"/>
                <w:sz w:val="22"/>
                <w:szCs w:val="22"/>
              </w:rPr>
            </w:pPr>
            <w:r w:rsidRPr="00772E80">
              <w:rPr>
                <w:rFonts w:asciiTheme="minorHAnsi" w:hAnsiTheme="minorHAnsi" w:cstheme="minorHAnsi"/>
                <w:b/>
                <w:bCs/>
                <w:color w:val="000000"/>
                <w:sz w:val="22"/>
                <w:szCs w:val="22"/>
              </w:rPr>
              <w:t>Document</w:t>
            </w:r>
          </w:p>
        </w:tc>
        <w:tc>
          <w:tcPr>
            <w:tcW w:w="1842" w:type="dxa"/>
            <w:shd w:val="clear" w:color="auto" w:fill="D9D9D9" w:themeFill="background1" w:themeFillShade="D9"/>
            <w:noWrap/>
            <w:vAlign w:val="center"/>
          </w:tcPr>
          <w:p w14:paraId="7B1FF384" w14:textId="77777777" w:rsidR="00A451D1" w:rsidRPr="00772E80" w:rsidRDefault="00A451D1" w:rsidP="0042447D">
            <w:pPr>
              <w:widowControl w:val="0"/>
              <w:ind w:left="0" w:firstLine="0"/>
              <w:jc w:val="center"/>
              <w:rPr>
                <w:rFonts w:asciiTheme="minorHAnsi" w:hAnsiTheme="minorHAnsi" w:cstheme="minorHAnsi"/>
                <w:b/>
                <w:bCs/>
                <w:color w:val="000000"/>
                <w:sz w:val="22"/>
                <w:szCs w:val="22"/>
              </w:rPr>
            </w:pPr>
            <w:r w:rsidRPr="00772E80">
              <w:rPr>
                <w:rFonts w:asciiTheme="minorHAnsi" w:hAnsiTheme="minorHAnsi" w:cstheme="minorHAnsi"/>
                <w:b/>
                <w:bCs/>
                <w:color w:val="000000"/>
                <w:sz w:val="22"/>
                <w:szCs w:val="22"/>
              </w:rPr>
              <w:t>Draft Resolution</w:t>
            </w:r>
          </w:p>
        </w:tc>
        <w:tc>
          <w:tcPr>
            <w:tcW w:w="2835" w:type="dxa"/>
            <w:shd w:val="clear" w:color="auto" w:fill="D9D9D9" w:themeFill="background1" w:themeFillShade="D9"/>
            <w:vAlign w:val="center"/>
          </w:tcPr>
          <w:p w14:paraId="13CE1A06" w14:textId="77777777" w:rsidR="00A451D1" w:rsidRPr="00772E80" w:rsidRDefault="00A451D1" w:rsidP="0042447D">
            <w:pPr>
              <w:widowControl w:val="0"/>
              <w:ind w:left="0" w:firstLine="0"/>
              <w:jc w:val="center"/>
              <w:rPr>
                <w:rFonts w:asciiTheme="minorHAnsi" w:hAnsiTheme="minorHAnsi" w:cstheme="minorHAnsi"/>
                <w:b/>
                <w:bCs/>
                <w:color w:val="000000"/>
                <w:sz w:val="22"/>
                <w:szCs w:val="22"/>
              </w:rPr>
            </w:pPr>
            <w:r w:rsidRPr="00772E80">
              <w:rPr>
                <w:rFonts w:asciiTheme="minorHAnsi" w:hAnsiTheme="minorHAnsi" w:cstheme="minorHAnsi"/>
                <w:b/>
                <w:bCs/>
                <w:color w:val="000000"/>
                <w:sz w:val="22"/>
                <w:szCs w:val="22"/>
              </w:rPr>
              <w:t xml:space="preserve">Activities/Tasks required </w:t>
            </w:r>
          </w:p>
        </w:tc>
        <w:tc>
          <w:tcPr>
            <w:tcW w:w="1418" w:type="dxa"/>
            <w:shd w:val="clear" w:color="auto" w:fill="D9D9D9" w:themeFill="background1" w:themeFillShade="D9"/>
            <w:vAlign w:val="center"/>
          </w:tcPr>
          <w:p w14:paraId="64C91073" w14:textId="77777777" w:rsidR="00A451D1" w:rsidRPr="00772E80" w:rsidRDefault="00A451D1" w:rsidP="0042447D">
            <w:pPr>
              <w:widowControl w:val="0"/>
              <w:ind w:left="0" w:firstLine="0"/>
              <w:jc w:val="center"/>
              <w:rPr>
                <w:rFonts w:asciiTheme="minorHAnsi" w:hAnsiTheme="minorHAnsi" w:cstheme="minorHAnsi"/>
                <w:b/>
                <w:bCs/>
                <w:color w:val="000000"/>
                <w:sz w:val="22"/>
                <w:szCs w:val="22"/>
              </w:rPr>
            </w:pPr>
            <w:r w:rsidRPr="00772E80">
              <w:rPr>
                <w:rFonts w:asciiTheme="minorHAnsi" w:hAnsiTheme="minorHAnsi" w:cstheme="minorHAnsi"/>
                <w:b/>
                <w:bCs/>
                <w:color w:val="000000"/>
                <w:sz w:val="22"/>
                <w:szCs w:val="22"/>
              </w:rPr>
              <w:t xml:space="preserve">Additional Staff Days  </w:t>
            </w:r>
          </w:p>
        </w:tc>
        <w:tc>
          <w:tcPr>
            <w:tcW w:w="2126" w:type="dxa"/>
            <w:shd w:val="clear" w:color="auto" w:fill="D9D9D9" w:themeFill="background1" w:themeFillShade="D9"/>
            <w:vAlign w:val="center"/>
          </w:tcPr>
          <w:p w14:paraId="1088F56E" w14:textId="77777777" w:rsidR="00A451D1" w:rsidRPr="00772E80" w:rsidRDefault="00A451D1" w:rsidP="0042447D">
            <w:pPr>
              <w:widowControl w:val="0"/>
              <w:ind w:left="0" w:firstLine="0"/>
              <w:jc w:val="center"/>
              <w:rPr>
                <w:rFonts w:asciiTheme="minorHAnsi" w:hAnsiTheme="minorHAnsi" w:cstheme="minorHAnsi"/>
                <w:b/>
                <w:bCs/>
                <w:color w:val="000000"/>
                <w:sz w:val="22"/>
                <w:szCs w:val="22"/>
              </w:rPr>
            </w:pPr>
            <w:r w:rsidRPr="00772E80">
              <w:rPr>
                <w:rFonts w:asciiTheme="minorHAnsi" w:hAnsiTheme="minorHAnsi" w:cstheme="minorHAnsi"/>
                <w:b/>
                <w:bCs/>
                <w:color w:val="000000"/>
                <w:sz w:val="22"/>
                <w:szCs w:val="22"/>
              </w:rPr>
              <w:t>Cost  (CHF)</w:t>
            </w:r>
          </w:p>
        </w:tc>
      </w:tr>
      <w:tr w:rsidR="00D22D6F" w:rsidRPr="00772E80" w14:paraId="4B81FFCB" w14:textId="77777777" w:rsidTr="00772E80">
        <w:trPr>
          <w:cantSplit/>
        </w:trPr>
        <w:tc>
          <w:tcPr>
            <w:tcW w:w="9356" w:type="dxa"/>
            <w:gridSpan w:val="5"/>
            <w:shd w:val="clear" w:color="auto" w:fill="auto"/>
            <w:noWrap/>
            <w:vAlign w:val="center"/>
          </w:tcPr>
          <w:p w14:paraId="28F7F515" w14:textId="4B504311" w:rsidR="00D22D6F" w:rsidRPr="00772E80" w:rsidDel="00886642" w:rsidRDefault="00D22D6F" w:rsidP="00165BEA">
            <w:pPr>
              <w:widowControl w:val="0"/>
              <w:spacing w:before="60" w:after="60"/>
              <w:ind w:left="0" w:firstLine="0"/>
              <w:jc w:val="left"/>
              <w:rPr>
                <w:rFonts w:asciiTheme="minorHAnsi" w:hAnsiTheme="minorHAnsi" w:cstheme="minorHAnsi"/>
                <w:bCs/>
                <w:color w:val="000000"/>
                <w:sz w:val="22"/>
                <w:szCs w:val="22"/>
              </w:rPr>
            </w:pPr>
            <w:r w:rsidRPr="00772E80">
              <w:rPr>
                <w:rFonts w:asciiTheme="minorHAnsi" w:hAnsiTheme="minorHAnsi" w:cstheme="minorHAnsi"/>
                <w:b/>
                <w:bCs/>
                <w:color w:val="000000"/>
                <w:sz w:val="22"/>
                <w:szCs w:val="22"/>
              </w:rPr>
              <w:t>DRs prepared by the Secretariat</w:t>
            </w:r>
          </w:p>
        </w:tc>
      </w:tr>
      <w:tr w:rsidR="00772E80" w:rsidRPr="00772E80" w14:paraId="3683D293" w14:textId="77777777" w:rsidTr="00165BEA">
        <w:trPr>
          <w:cantSplit/>
        </w:trPr>
        <w:tc>
          <w:tcPr>
            <w:tcW w:w="1135" w:type="dxa"/>
            <w:shd w:val="clear" w:color="auto" w:fill="auto"/>
            <w:noWrap/>
          </w:tcPr>
          <w:p w14:paraId="553EEE6E"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sz w:val="22"/>
                <w:szCs w:val="22"/>
              </w:rPr>
              <w:t>SC59/2022 Doc.8.3</w:t>
            </w:r>
          </w:p>
        </w:tc>
        <w:tc>
          <w:tcPr>
            <w:tcW w:w="1842" w:type="dxa"/>
            <w:shd w:val="clear" w:color="auto" w:fill="auto"/>
            <w:noWrap/>
          </w:tcPr>
          <w:p w14:paraId="6A4DCA13"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sz w:val="22"/>
                <w:szCs w:val="22"/>
              </w:rPr>
              <w:t>Draft resolution on financial and budgetary matters</w:t>
            </w:r>
          </w:p>
        </w:tc>
        <w:tc>
          <w:tcPr>
            <w:tcW w:w="2835" w:type="dxa"/>
            <w:shd w:val="clear" w:color="auto" w:fill="auto"/>
          </w:tcPr>
          <w:p w14:paraId="454E2C1E"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sz w:val="22"/>
                <w:szCs w:val="22"/>
              </w:rPr>
              <w:t>Depending on the budget scenario approved by the COP14.</w:t>
            </w:r>
          </w:p>
        </w:tc>
        <w:tc>
          <w:tcPr>
            <w:tcW w:w="1418" w:type="dxa"/>
            <w:shd w:val="clear" w:color="auto" w:fill="auto"/>
          </w:tcPr>
          <w:p w14:paraId="62FF6658"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sz w:val="22"/>
                <w:szCs w:val="22"/>
              </w:rPr>
              <w:t>0</w:t>
            </w:r>
          </w:p>
        </w:tc>
        <w:tc>
          <w:tcPr>
            <w:tcW w:w="2126" w:type="dxa"/>
            <w:shd w:val="clear" w:color="auto" w:fill="auto"/>
          </w:tcPr>
          <w:p w14:paraId="7B0629F0" w14:textId="77777777" w:rsidR="00A451D1" w:rsidRPr="00772E80" w:rsidDel="00886642"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sz w:val="22"/>
                <w:szCs w:val="22"/>
              </w:rPr>
              <w:t>0</w:t>
            </w:r>
          </w:p>
        </w:tc>
      </w:tr>
      <w:tr w:rsidR="00772E80" w:rsidRPr="00772E80" w14:paraId="4AF98413" w14:textId="77777777" w:rsidTr="00165BEA">
        <w:trPr>
          <w:cantSplit/>
        </w:trPr>
        <w:tc>
          <w:tcPr>
            <w:tcW w:w="1135" w:type="dxa"/>
            <w:shd w:val="clear" w:color="auto" w:fill="auto"/>
            <w:noWrap/>
          </w:tcPr>
          <w:p w14:paraId="7A322AF0"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sz w:val="22"/>
                <w:szCs w:val="22"/>
              </w:rPr>
              <w:t xml:space="preserve">SC59 Doc.13.1 </w:t>
            </w:r>
          </w:p>
        </w:tc>
        <w:tc>
          <w:tcPr>
            <w:tcW w:w="1842" w:type="dxa"/>
            <w:shd w:val="clear" w:color="auto" w:fill="auto"/>
            <w:noWrap/>
          </w:tcPr>
          <w:p w14:paraId="71A63BB6"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sz w:val="22"/>
                <w:szCs w:val="22"/>
              </w:rPr>
              <w:t>Draft resolution on a process for the review and consolidation of Resolutions and Recommendations of the Conference of the Parties</w:t>
            </w:r>
          </w:p>
        </w:tc>
        <w:tc>
          <w:tcPr>
            <w:tcW w:w="2835" w:type="dxa"/>
            <w:shd w:val="clear" w:color="auto" w:fill="auto"/>
          </w:tcPr>
          <w:p w14:paraId="114D9F25"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sz w:val="22"/>
                <w:szCs w:val="22"/>
              </w:rPr>
              <w:t>To approve the allocation of CHF 12,000, including unspent funds at the end of 2021, to cover the cost of the continued work on the consolidation of Resolutions</w:t>
            </w:r>
          </w:p>
        </w:tc>
        <w:tc>
          <w:tcPr>
            <w:tcW w:w="1418" w:type="dxa"/>
            <w:shd w:val="clear" w:color="auto" w:fill="auto"/>
          </w:tcPr>
          <w:p w14:paraId="69DF02D0"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sz w:val="22"/>
                <w:szCs w:val="22"/>
              </w:rPr>
              <w:t>0</w:t>
            </w:r>
          </w:p>
        </w:tc>
        <w:tc>
          <w:tcPr>
            <w:tcW w:w="2126" w:type="dxa"/>
            <w:shd w:val="clear" w:color="auto" w:fill="auto"/>
          </w:tcPr>
          <w:p w14:paraId="2B7BE47E" w14:textId="77777777" w:rsidR="00A451D1" w:rsidRPr="00772E80" w:rsidDel="00886642"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sz w:val="22"/>
                <w:szCs w:val="22"/>
              </w:rPr>
              <w:t>10,000</w:t>
            </w:r>
          </w:p>
        </w:tc>
      </w:tr>
      <w:tr w:rsidR="00772E80" w:rsidRPr="00772E80" w14:paraId="4FCC6233" w14:textId="77777777" w:rsidTr="00165BEA">
        <w:trPr>
          <w:cantSplit/>
        </w:trPr>
        <w:tc>
          <w:tcPr>
            <w:tcW w:w="1135" w:type="dxa"/>
            <w:shd w:val="clear" w:color="auto" w:fill="auto"/>
            <w:noWrap/>
          </w:tcPr>
          <w:p w14:paraId="614C9F9F"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SC59 Doc.13.3</w:t>
            </w:r>
          </w:p>
        </w:tc>
        <w:tc>
          <w:tcPr>
            <w:tcW w:w="1842" w:type="dxa"/>
            <w:shd w:val="clear" w:color="auto" w:fill="auto"/>
            <w:noWrap/>
          </w:tcPr>
          <w:p w14:paraId="539484FB"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Draft consolidated resolution on 'Inventories'</w:t>
            </w:r>
          </w:p>
        </w:tc>
        <w:tc>
          <w:tcPr>
            <w:tcW w:w="2835" w:type="dxa"/>
            <w:shd w:val="clear" w:color="auto" w:fill="auto"/>
          </w:tcPr>
          <w:p w14:paraId="03BE7272"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No significant activities/tasks</w:t>
            </w:r>
          </w:p>
          <w:p w14:paraId="3C392A0C"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required.</w:t>
            </w:r>
          </w:p>
        </w:tc>
        <w:tc>
          <w:tcPr>
            <w:tcW w:w="1418" w:type="dxa"/>
            <w:shd w:val="clear" w:color="auto" w:fill="auto"/>
          </w:tcPr>
          <w:p w14:paraId="780EF5C2"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c>
          <w:tcPr>
            <w:tcW w:w="2126" w:type="dxa"/>
            <w:shd w:val="clear" w:color="auto" w:fill="auto"/>
          </w:tcPr>
          <w:p w14:paraId="70F706CA" w14:textId="77777777" w:rsidR="00A451D1" w:rsidRPr="00772E80" w:rsidDel="00886642"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r>
      <w:tr w:rsidR="00772E80" w:rsidRPr="00772E80" w14:paraId="6DD2F15F" w14:textId="77777777" w:rsidTr="00165BEA">
        <w:trPr>
          <w:cantSplit/>
        </w:trPr>
        <w:tc>
          <w:tcPr>
            <w:tcW w:w="1135" w:type="dxa"/>
            <w:shd w:val="clear" w:color="auto" w:fill="auto"/>
            <w:noWrap/>
          </w:tcPr>
          <w:p w14:paraId="6EE0313D"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sz w:val="22"/>
                <w:szCs w:val="22"/>
              </w:rPr>
              <w:t>SC59 Doc.15</w:t>
            </w:r>
          </w:p>
        </w:tc>
        <w:tc>
          <w:tcPr>
            <w:tcW w:w="1842" w:type="dxa"/>
            <w:shd w:val="clear" w:color="auto" w:fill="auto"/>
            <w:noWrap/>
          </w:tcPr>
          <w:p w14:paraId="29CDF4E3"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sz w:val="22"/>
                <w:szCs w:val="22"/>
              </w:rPr>
              <w:t>Draft resolution on roles and responsibilities of the Standing Committee</w:t>
            </w:r>
          </w:p>
        </w:tc>
        <w:tc>
          <w:tcPr>
            <w:tcW w:w="2835" w:type="dxa"/>
            <w:shd w:val="clear" w:color="auto" w:fill="auto"/>
          </w:tcPr>
          <w:p w14:paraId="5D386887"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sz w:val="22"/>
                <w:szCs w:val="22"/>
              </w:rPr>
              <w:t>No significant activities/tasks required.</w:t>
            </w:r>
          </w:p>
        </w:tc>
        <w:tc>
          <w:tcPr>
            <w:tcW w:w="1418" w:type="dxa"/>
            <w:shd w:val="clear" w:color="auto" w:fill="auto"/>
          </w:tcPr>
          <w:p w14:paraId="580EE87F"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c>
          <w:tcPr>
            <w:tcW w:w="2126" w:type="dxa"/>
            <w:shd w:val="clear" w:color="auto" w:fill="auto"/>
          </w:tcPr>
          <w:p w14:paraId="4EFA27BA" w14:textId="77777777" w:rsidR="00A451D1" w:rsidRPr="00772E80" w:rsidDel="00886642"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r>
      <w:tr w:rsidR="00772E80" w:rsidRPr="00772E80" w14:paraId="49345897" w14:textId="77777777" w:rsidTr="00165BEA">
        <w:trPr>
          <w:cantSplit/>
        </w:trPr>
        <w:tc>
          <w:tcPr>
            <w:tcW w:w="1135" w:type="dxa"/>
            <w:shd w:val="clear" w:color="auto" w:fill="auto"/>
            <w:noWrap/>
          </w:tcPr>
          <w:p w14:paraId="5082AB71"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SC59/2022 Doc.16</w:t>
            </w:r>
          </w:p>
        </w:tc>
        <w:tc>
          <w:tcPr>
            <w:tcW w:w="1842" w:type="dxa"/>
            <w:shd w:val="clear" w:color="auto" w:fill="auto"/>
            <w:noWrap/>
          </w:tcPr>
          <w:p w14:paraId="3FF7F77A"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Draft resolution on enhancing the Convention’s visibility and synergies with other multilateral environmental agreements and other international institutions</w:t>
            </w:r>
          </w:p>
        </w:tc>
        <w:tc>
          <w:tcPr>
            <w:tcW w:w="2835" w:type="dxa"/>
            <w:shd w:val="clear" w:color="auto" w:fill="auto"/>
          </w:tcPr>
          <w:p w14:paraId="26DDCC9A" w14:textId="77777777" w:rsidR="00A451D1" w:rsidRPr="00772E80" w:rsidRDefault="00A451D1" w:rsidP="0042447D">
            <w:pPr>
              <w:widowControl w:val="0"/>
              <w:ind w:left="0" w:firstLine="0"/>
              <w:jc w:val="left"/>
              <w:rPr>
                <w:rFonts w:asciiTheme="minorHAnsi" w:hAnsiTheme="minorHAnsi" w:cstheme="minorHAnsi"/>
                <w:sz w:val="22"/>
                <w:szCs w:val="22"/>
              </w:rPr>
            </w:pPr>
            <w:r w:rsidRPr="00772E80">
              <w:rPr>
                <w:rFonts w:asciiTheme="minorHAnsi" w:hAnsiTheme="minorHAnsi" w:cstheme="minorHAnsi"/>
                <w:sz w:val="22"/>
                <w:szCs w:val="22"/>
              </w:rPr>
              <w:t>No significant activities/tasks required.</w:t>
            </w:r>
          </w:p>
        </w:tc>
        <w:tc>
          <w:tcPr>
            <w:tcW w:w="1418" w:type="dxa"/>
            <w:shd w:val="clear" w:color="auto" w:fill="auto"/>
          </w:tcPr>
          <w:p w14:paraId="25FEFC26"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c>
          <w:tcPr>
            <w:tcW w:w="2126" w:type="dxa"/>
            <w:shd w:val="clear" w:color="auto" w:fill="auto"/>
          </w:tcPr>
          <w:p w14:paraId="421C0D3B" w14:textId="77777777" w:rsidR="00A451D1" w:rsidRPr="00772E80" w:rsidDel="00886642"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r>
      <w:tr w:rsidR="00772E80" w:rsidRPr="00772E80" w14:paraId="7645911D" w14:textId="77777777" w:rsidTr="00165BEA">
        <w:trPr>
          <w:cantSplit/>
        </w:trPr>
        <w:tc>
          <w:tcPr>
            <w:tcW w:w="1135" w:type="dxa"/>
            <w:shd w:val="clear" w:color="auto" w:fill="auto"/>
            <w:noWrap/>
          </w:tcPr>
          <w:p w14:paraId="78376F9F"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SC59 Doc.23 Rev.1</w:t>
            </w:r>
          </w:p>
        </w:tc>
        <w:tc>
          <w:tcPr>
            <w:tcW w:w="1842" w:type="dxa"/>
            <w:shd w:val="clear" w:color="auto" w:fill="auto"/>
            <w:noWrap/>
          </w:tcPr>
          <w:p w14:paraId="01C20DA4"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Draft resolution on status of Sites in the Ramsar List of Wetlands of International Importance</w:t>
            </w:r>
          </w:p>
        </w:tc>
        <w:tc>
          <w:tcPr>
            <w:tcW w:w="2835" w:type="dxa"/>
            <w:shd w:val="clear" w:color="auto" w:fill="auto"/>
          </w:tcPr>
          <w:p w14:paraId="0C920F31"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sz w:val="22"/>
                <w:szCs w:val="22"/>
              </w:rPr>
              <w:t>No significant activities/tasks required.</w:t>
            </w:r>
          </w:p>
        </w:tc>
        <w:tc>
          <w:tcPr>
            <w:tcW w:w="1418" w:type="dxa"/>
            <w:shd w:val="clear" w:color="auto" w:fill="auto"/>
          </w:tcPr>
          <w:p w14:paraId="5A5D90A3"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c>
          <w:tcPr>
            <w:tcW w:w="2126" w:type="dxa"/>
            <w:shd w:val="clear" w:color="auto" w:fill="auto"/>
          </w:tcPr>
          <w:p w14:paraId="528292C6" w14:textId="77777777" w:rsidR="00A451D1" w:rsidRPr="00772E80" w:rsidDel="00886642"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r>
      <w:tr w:rsidR="00D22D6F" w:rsidRPr="00165BEA" w14:paraId="6ECC58FD" w14:textId="77777777" w:rsidTr="00772E80">
        <w:trPr>
          <w:cantSplit/>
        </w:trPr>
        <w:tc>
          <w:tcPr>
            <w:tcW w:w="9356" w:type="dxa"/>
            <w:gridSpan w:val="5"/>
            <w:shd w:val="clear" w:color="auto" w:fill="auto"/>
            <w:noWrap/>
          </w:tcPr>
          <w:p w14:paraId="45732E84" w14:textId="010DD1B1" w:rsidR="00D22D6F" w:rsidRPr="00165BEA" w:rsidRDefault="00D22D6F" w:rsidP="00165BEA">
            <w:pPr>
              <w:widowControl w:val="0"/>
              <w:spacing w:before="60" w:after="60"/>
              <w:ind w:left="0" w:firstLine="0"/>
              <w:jc w:val="left"/>
              <w:rPr>
                <w:rFonts w:asciiTheme="minorHAnsi" w:hAnsiTheme="minorHAnsi" w:cstheme="minorHAnsi"/>
                <w:b/>
                <w:bCs/>
                <w:color w:val="000000"/>
                <w:sz w:val="22"/>
                <w:szCs w:val="22"/>
              </w:rPr>
            </w:pPr>
            <w:r w:rsidRPr="00772E80">
              <w:rPr>
                <w:rFonts w:asciiTheme="minorHAnsi" w:hAnsiTheme="minorHAnsi" w:cstheme="minorHAnsi"/>
                <w:b/>
                <w:bCs/>
                <w:color w:val="000000"/>
                <w:sz w:val="22"/>
                <w:szCs w:val="22"/>
              </w:rPr>
              <w:t>DRs submitted by Working Groups</w:t>
            </w:r>
          </w:p>
        </w:tc>
      </w:tr>
      <w:tr w:rsidR="00772E80" w:rsidRPr="00772E80" w14:paraId="24213C48" w14:textId="77777777" w:rsidTr="00165BEA">
        <w:trPr>
          <w:cantSplit/>
        </w:trPr>
        <w:tc>
          <w:tcPr>
            <w:tcW w:w="1135" w:type="dxa"/>
            <w:shd w:val="clear" w:color="auto" w:fill="auto"/>
            <w:noWrap/>
          </w:tcPr>
          <w:p w14:paraId="307ED65A"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SC59/2022 Doc.10 Rev.1</w:t>
            </w:r>
          </w:p>
        </w:tc>
        <w:tc>
          <w:tcPr>
            <w:tcW w:w="1842" w:type="dxa"/>
            <w:shd w:val="clear" w:color="auto" w:fill="auto"/>
            <w:noWrap/>
          </w:tcPr>
          <w:p w14:paraId="0CF1F8AA"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Draft resolution on review of the fourth Strategic Plan of the Ramsar Convention</w:t>
            </w:r>
          </w:p>
        </w:tc>
        <w:tc>
          <w:tcPr>
            <w:tcW w:w="2835" w:type="dxa"/>
            <w:shd w:val="clear" w:color="auto" w:fill="auto"/>
          </w:tcPr>
          <w:p w14:paraId="39DD4D8D"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 xml:space="preserve">Preparation of SP5 for adoption at COP15 (Budget of 90,000 CHF  approved by Decision SC59-32) </w:t>
            </w:r>
          </w:p>
        </w:tc>
        <w:tc>
          <w:tcPr>
            <w:tcW w:w="1418" w:type="dxa"/>
            <w:shd w:val="clear" w:color="auto" w:fill="auto"/>
          </w:tcPr>
          <w:p w14:paraId="79F4F21C"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c>
          <w:tcPr>
            <w:tcW w:w="2126" w:type="dxa"/>
            <w:shd w:val="clear" w:color="auto" w:fill="auto"/>
          </w:tcPr>
          <w:p w14:paraId="44F91ED9"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r>
      <w:tr w:rsidR="00772E80" w:rsidRPr="00772E80" w14:paraId="20003C21" w14:textId="77777777" w:rsidTr="00165BEA">
        <w:trPr>
          <w:cantSplit/>
        </w:trPr>
        <w:tc>
          <w:tcPr>
            <w:tcW w:w="1135" w:type="dxa"/>
            <w:shd w:val="clear" w:color="auto" w:fill="auto"/>
            <w:noWrap/>
          </w:tcPr>
          <w:p w14:paraId="2A125AA4"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SC59/2022 Doc.11</w:t>
            </w:r>
          </w:p>
        </w:tc>
        <w:tc>
          <w:tcPr>
            <w:tcW w:w="1842" w:type="dxa"/>
            <w:shd w:val="clear" w:color="auto" w:fill="auto"/>
            <w:noWrap/>
          </w:tcPr>
          <w:p w14:paraId="1D2C202B"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Draft resolution on the Effectiveness and Efficiency of the Ramsar Convention</w:t>
            </w:r>
          </w:p>
        </w:tc>
        <w:tc>
          <w:tcPr>
            <w:tcW w:w="2835" w:type="dxa"/>
            <w:shd w:val="clear" w:color="auto" w:fill="auto"/>
          </w:tcPr>
          <w:p w14:paraId="40DADC40"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Subject to available resources, to allocate [XXXCHF] to the Secretariat from surplus funds to fulfil the mandate of this resolution</w:t>
            </w:r>
          </w:p>
        </w:tc>
        <w:tc>
          <w:tcPr>
            <w:tcW w:w="1418" w:type="dxa"/>
            <w:shd w:val="clear" w:color="auto" w:fill="auto"/>
          </w:tcPr>
          <w:p w14:paraId="274059CB"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c>
          <w:tcPr>
            <w:tcW w:w="2126" w:type="dxa"/>
            <w:shd w:val="clear" w:color="auto" w:fill="auto"/>
          </w:tcPr>
          <w:p w14:paraId="6AC192B7"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*XXXCHF subject to available resources from surplus funds</w:t>
            </w:r>
          </w:p>
          <w:p w14:paraId="1F266BBF"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 xml:space="preserve">** Administrative implications </w:t>
            </w:r>
          </w:p>
        </w:tc>
      </w:tr>
      <w:tr w:rsidR="00772E80" w:rsidRPr="00772E80" w14:paraId="5AC892B7" w14:textId="77777777" w:rsidTr="00165BEA">
        <w:trPr>
          <w:cantSplit/>
        </w:trPr>
        <w:tc>
          <w:tcPr>
            <w:tcW w:w="1135" w:type="dxa"/>
            <w:shd w:val="clear" w:color="auto" w:fill="auto"/>
            <w:noWrap/>
          </w:tcPr>
          <w:p w14:paraId="440F8B3D"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SC59/2022 Doc.17.1</w:t>
            </w:r>
          </w:p>
        </w:tc>
        <w:tc>
          <w:tcPr>
            <w:tcW w:w="1842" w:type="dxa"/>
            <w:shd w:val="clear" w:color="auto" w:fill="auto"/>
            <w:noWrap/>
          </w:tcPr>
          <w:p w14:paraId="235D876B"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Draft resolution on the new CEPA approach</w:t>
            </w:r>
          </w:p>
        </w:tc>
        <w:tc>
          <w:tcPr>
            <w:tcW w:w="2835" w:type="dxa"/>
            <w:shd w:val="clear" w:color="auto" w:fill="auto"/>
          </w:tcPr>
          <w:p w14:paraId="5620C8B2"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Strengthening the CEPA capacity at the Secretariat.</w:t>
            </w:r>
          </w:p>
        </w:tc>
        <w:tc>
          <w:tcPr>
            <w:tcW w:w="1418" w:type="dxa"/>
            <w:shd w:val="clear" w:color="auto" w:fill="auto"/>
          </w:tcPr>
          <w:p w14:paraId="42C030AD" w14:textId="12950A33"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 1 additional</w:t>
            </w:r>
            <w:r w:rsidRPr="00772E80">
              <w:rPr>
                <w:rFonts w:asciiTheme="minorHAnsi" w:hAnsiTheme="minorHAnsi" w:cstheme="minorHAnsi"/>
                <w:bCs/>
                <w:color w:val="000000"/>
                <w:sz w:val="22"/>
                <w:szCs w:val="22"/>
              </w:rPr>
              <w:t xml:space="preserve"> </w:t>
            </w:r>
            <w:r w:rsidRPr="00772E80">
              <w:rPr>
                <w:rFonts w:asciiTheme="minorHAnsi" w:hAnsiTheme="minorHAnsi" w:cstheme="minorHAnsi"/>
                <w:bCs/>
                <w:color w:val="000000"/>
                <w:sz w:val="22"/>
                <w:szCs w:val="22"/>
              </w:rPr>
              <w:t>staff</w:t>
            </w:r>
          </w:p>
        </w:tc>
        <w:tc>
          <w:tcPr>
            <w:tcW w:w="2126" w:type="dxa"/>
            <w:shd w:val="clear" w:color="auto" w:fill="auto"/>
          </w:tcPr>
          <w:p w14:paraId="621838C8"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w:t>
            </w:r>
            <w:r w:rsidRPr="00772E80">
              <w:rPr>
                <w:rFonts w:cs="Arial"/>
              </w:rPr>
              <w:t xml:space="preserve"> </w:t>
            </w:r>
            <w:r w:rsidRPr="00772E80">
              <w:rPr>
                <w:rFonts w:asciiTheme="minorHAnsi" w:hAnsiTheme="minorHAnsi" w:cstheme="minorHAnsi"/>
                <w:sz w:val="22"/>
                <w:szCs w:val="22"/>
              </w:rPr>
              <w:t>Having an additional staff member will increase the costs for the Secretariat</w:t>
            </w:r>
          </w:p>
          <w:p w14:paraId="56474BFD"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p>
          <w:p w14:paraId="083B0201" w14:textId="77777777" w:rsidR="00A451D1" w:rsidRPr="00772E80" w:rsidRDefault="00A451D1" w:rsidP="0042447D">
            <w:pPr>
              <w:widowControl w:val="0"/>
              <w:ind w:left="0" w:firstLine="0"/>
              <w:jc w:val="left"/>
            </w:pPr>
            <w:r w:rsidRPr="00772E80">
              <w:rPr>
                <w:rFonts w:asciiTheme="minorHAnsi" w:hAnsiTheme="minorHAnsi" w:cstheme="minorHAnsi"/>
                <w:bCs/>
                <w:color w:val="000000"/>
                <w:sz w:val="22"/>
                <w:szCs w:val="22"/>
              </w:rPr>
              <w:t xml:space="preserve">**will have financial implications tbd </w:t>
            </w:r>
          </w:p>
        </w:tc>
      </w:tr>
      <w:tr w:rsidR="00D22D6F" w:rsidRPr="00772E80" w14:paraId="6E03E5EC" w14:textId="77777777" w:rsidTr="00165BEA">
        <w:trPr>
          <w:cantSplit/>
        </w:trPr>
        <w:tc>
          <w:tcPr>
            <w:tcW w:w="1135" w:type="dxa"/>
            <w:vMerge w:val="restart"/>
            <w:shd w:val="clear" w:color="auto" w:fill="auto"/>
            <w:noWrap/>
          </w:tcPr>
          <w:p w14:paraId="5BB152B7"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SC59/2022 Doc.17.1</w:t>
            </w:r>
          </w:p>
        </w:tc>
        <w:tc>
          <w:tcPr>
            <w:tcW w:w="1842" w:type="dxa"/>
            <w:vMerge w:val="restart"/>
            <w:shd w:val="clear" w:color="auto" w:fill="auto"/>
            <w:noWrap/>
          </w:tcPr>
          <w:p w14:paraId="3CBF2753"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Draft resolution on the Ramsar bodies CEPA work COP14-COP15</w:t>
            </w:r>
          </w:p>
        </w:tc>
        <w:tc>
          <w:tcPr>
            <w:tcW w:w="2835" w:type="dxa"/>
            <w:shd w:val="clear" w:color="auto" w:fill="auto"/>
          </w:tcPr>
          <w:p w14:paraId="0C5463C3"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New timetable for establishment of CEPA CG</w:t>
            </w:r>
          </w:p>
        </w:tc>
        <w:tc>
          <w:tcPr>
            <w:tcW w:w="1418" w:type="dxa"/>
            <w:shd w:val="clear" w:color="auto" w:fill="auto"/>
          </w:tcPr>
          <w:p w14:paraId="1C83E3B1"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c>
          <w:tcPr>
            <w:tcW w:w="2126" w:type="dxa"/>
            <w:shd w:val="clear" w:color="auto" w:fill="auto"/>
          </w:tcPr>
          <w:p w14:paraId="0AC2CB74"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*No additional costs compared with today’s procedure</w:t>
            </w:r>
          </w:p>
        </w:tc>
      </w:tr>
      <w:tr w:rsidR="00D22D6F" w:rsidRPr="00772E80" w14:paraId="7B6366B8" w14:textId="77777777" w:rsidTr="00165BEA">
        <w:trPr>
          <w:cantSplit/>
        </w:trPr>
        <w:tc>
          <w:tcPr>
            <w:tcW w:w="1135" w:type="dxa"/>
            <w:vMerge/>
            <w:shd w:val="clear" w:color="auto" w:fill="auto"/>
            <w:noWrap/>
          </w:tcPr>
          <w:p w14:paraId="26988533"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p>
        </w:tc>
        <w:tc>
          <w:tcPr>
            <w:tcW w:w="1842" w:type="dxa"/>
            <w:vMerge/>
            <w:shd w:val="clear" w:color="auto" w:fill="auto"/>
            <w:noWrap/>
          </w:tcPr>
          <w:p w14:paraId="443AAFBF"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p>
        </w:tc>
        <w:tc>
          <w:tcPr>
            <w:tcW w:w="2835" w:type="dxa"/>
            <w:shd w:val="clear" w:color="auto" w:fill="auto"/>
          </w:tcPr>
          <w:p w14:paraId="1A751166"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sz w:val="22"/>
                <w:szCs w:val="22"/>
              </w:rPr>
              <w:t>The Secretariat to revise the CEPA Handbook and engage more in CEPA implementation</w:t>
            </w:r>
          </w:p>
        </w:tc>
        <w:tc>
          <w:tcPr>
            <w:tcW w:w="1418" w:type="dxa"/>
            <w:shd w:val="clear" w:color="auto" w:fill="auto"/>
          </w:tcPr>
          <w:p w14:paraId="182935D2"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1 additional staff</w:t>
            </w:r>
          </w:p>
        </w:tc>
        <w:tc>
          <w:tcPr>
            <w:tcW w:w="2126" w:type="dxa"/>
            <w:shd w:val="clear" w:color="auto" w:fill="auto"/>
          </w:tcPr>
          <w:p w14:paraId="000282DF"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sz w:val="22"/>
                <w:szCs w:val="22"/>
              </w:rPr>
              <w:t>*Using the additional CEPA staff asked for in the resolution on the new approac</w:t>
            </w:r>
            <w:r w:rsidRPr="00772E80">
              <w:rPr>
                <w:rFonts w:cs="Arial"/>
              </w:rPr>
              <w:t>h.</w:t>
            </w:r>
          </w:p>
        </w:tc>
      </w:tr>
      <w:tr w:rsidR="00D22D6F" w:rsidRPr="00772E80" w14:paraId="518FC2C5" w14:textId="77777777" w:rsidTr="00165BEA">
        <w:trPr>
          <w:cantSplit/>
        </w:trPr>
        <w:tc>
          <w:tcPr>
            <w:tcW w:w="1135" w:type="dxa"/>
            <w:vMerge/>
            <w:shd w:val="clear" w:color="auto" w:fill="auto"/>
            <w:noWrap/>
          </w:tcPr>
          <w:p w14:paraId="34D3F6A6"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p>
        </w:tc>
        <w:tc>
          <w:tcPr>
            <w:tcW w:w="1842" w:type="dxa"/>
            <w:vMerge/>
            <w:shd w:val="clear" w:color="auto" w:fill="auto"/>
            <w:noWrap/>
          </w:tcPr>
          <w:p w14:paraId="42AA0D5B"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p>
        </w:tc>
        <w:tc>
          <w:tcPr>
            <w:tcW w:w="2835" w:type="dxa"/>
            <w:shd w:val="clear" w:color="auto" w:fill="auto"/>
          </w:tcPr>
          <w:p w14:paraId="10CF27BD"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Recruitment process for an additional Communication Officer</w:t>
            </w:r>
          </w:p>
        </w:tc>
        <w:tc>
          <w:tcPr>
            <w:tcW w:w="1418" w:type="dxa"/>
            <w:shd w:val="clear" w:color="auto" w:fill="auto"/>
          </w:tcPr>
          <w:p w14:paraId="763442AB"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c>
          <w:tcPr>
            <w:tcW w:w="2126" w:type="dxa"/>
            <w:shd w:val="clear" w:color="auto" w:fill="auto"/>
          </w:tcPr>
          <w:p w14:paraId="4DEE7F20"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*Cost of recruitment</w:t>
            </w:r>
          </w:p>
        </w:tc>
      </w:tr>
      <w:tr w:rsidR="00D22D6F" w:rsidRPr="00772E80" w14:paraId="6969E67F" w14:textId="77777777" w:rsidTr="00165BEA">
        <w:trPr>
          <w:cantSplit/>
        </w:trPr>
        <w:tc>
          <w:tcPr>
            <w:tcW w:w="1135" w:type="dxa"/>
            <w:vMerge/>
            <w:shd w:val="clear" w:color="auto" w:fill="auto"/>
            <w:noWrap/>
          </w:tcPr>
          <w:p w14:paraId="132FD8BC"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p>
        </w:tc>
        <w:tc>
          <w:tcPr>
            <w:tcW w:w="1842" w:type="dxa"/>
            <w:vMerge/>
            <w:shd w:val="clear" w:color="auto" w:fill="auto"/>
            <w:noWrap/>
          </w:tcPr>
          <w:p w14:paraId="2D9A5D9E"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p>
        </w:tc>
        <w:tc>
          <w:tcPr>
            <w:tcW w:w="2835" w:type="dxa"/>
            <w:shd w:val="clear" w:color="auto" w:fill="auto"/>
          </w:tcPr>
          <w:p w14:paraId="16064E84"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New CEPA post at the Ramsar Secretariat</w:t>
            </w:r>
          </w:p>
        </w:tc>
        <w:tc>
          <w:tcPr>
            <w:tcW w:w="1418" w:type="dxa"/>
            <w:shd w:val="clear" w:color="auto" w:fill="auto"/>
          </w:tcPr>
          <w:p w14:paraId="0AFEE8CF"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c>
          <w:tcPr>
            <w:tcW w:w="2126" w:type="dxa"/>
            <w:shd w:val="clear" w:color="auto" w:fill="auto"/>
          </w:tcPr>
          <w:p w14:paraId="70361248"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*Cost of a staff member</w:t>
            </w:r>
          </w:p>
          <w:p w14:paraId="65684020"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p>
          <w:p w14:paraId="6B710216"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**Cost of staff tbd upon confirmation of staff level</w:t>
            </w:r>
          </w:p>
        </w:tc>
      </w:tr>
      <w:tr w:rsidR="00D22D6F" w:rsidRPr="00772E80" w14:paraId="4CE6C1DE" w14:textId="77777777" w:rsidTr="00165BEA">
        <w:trPr>
          <w:cantSplit/>
        </w:trPr>
        <w:tc>
          <w:tcPr>
            <w:tcW w:w="1135" w:type="dxa"/>
            <w:vMerge/>
            <w:shd w:val="clear" w:color="auto" w:fill="auto"/>
            <w:noWrap/>
          </w:tcPr>
          <w:p w14:paraId="1EBC948B"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p>
        </w:tc>
        <w:tc>
          <w:tcPr>
            <w:tcW w:w="1842" w:type="dxa"/>
            <w:vMerge/>
            <w:shd w:val="clear" w:color="auto" w:fill="auto"/>
            <w:noWrap/>
          </w:tcPr>
          <w:p w14:paraId="439B5C62"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p>
        </w:tc>
        <w:tc>
          <w:tcPr>
            <w:tcW w:w="2835" w:type="dxa"/>
            <w:shd w:val="clear" w:color="auto" w:fill="auto"/>
          </w:tcPr>
          <w:p w14:paraId="3A33E4CF"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Workshop for the CEPA CG</w:t>
            </w:r>
          </w:p>
        </w:tc>
        <w:tc>
          <w:tcPr>
            <w:tcW w:w="1418" w:type="dxa"/>
            <w:shd w:val="clear" w:color="auto" w:fill="auto"/>
          </w:tcPr>
          <w:p w14:paraId="73DD9E6E"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c>
          <w:tcPr>
            <w:tcW w:w="2126" w:type="dxa"/>
            <w:shd w:val="clear" w:color="auto" w:fill="auto"/>
          </w:tcPr>
          <w:p w14:paraId="1813DBDF" w14:textId="77777777" w:rsidR="00D22D6F" w:rsidRPr="00772E80" w:rsidRDefault="00D22D6F"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*20,000</w:t>
            </w:r>
          </w:p>
        </w:tc>
      </w:tr>
      <w:tr w:rsidR="00772E80" w:rsidRPr="00772E80" w14:paraId="1F4CB378" w14:textId="77777777" w:rsidTr="00165BEA">
        <w:trPr>
          <w:cantSplit/>
        </w:trPr>
        <w:tc>
          <w:tcPr>
            <w:tcW w:w="1135" w:type="dxa"/>
            <w:shd w:val="clear" w:color="auto" w:fill="auto"/>
            <w:noWrap/>
          </w:tcPr>
          <w:p w14:paraId="4BA842E8"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SC59 Doc.21.1</w:t>
            </w:r>
          </w:p>
        </w:tc>
        <w:tc>
          <w:tcPr>
            <w:tcW w:w="1842" w:type="dxa"/>
            <w:shd w:val="clear" w:color="auto" w:fill="auto"/>
            <w:noWrap/>
          </w:tcPr>
          <w:p w14:paraId="111B8F48"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Draft resolution on Ramsar Regional Initiatives 2022-2024</w:t>
            </w:r>
          </w:p>
        </w:tc>
        <w:tc>
          <w:tcPr>
            <w:tcW w:w="2835" w:type="dxa"/>
            <w:shd w:val="clear" w:color="auto" w:fill="auto"/>
          </w:tcPr>
          <w:p w14:paraId="69547E31"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 xml:space="preserve">No additional activities </w:t>
            </w:r>
          </w:p>
        </w:tc>
        <w:tc>
          <w:tcPr>
            <w:tcW w:w="1418" w:type="dxa"/>
            <w:shd w:val="clear" w:color="auto" w:fill="auto"/>
          </w:tcPr>
          <w:p w14:paraId="697A111D"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c>
          <w:tcPr>
            <w:tcW w:w="2126" w:type="dxa"/>
            <w:shd w:val="clear" w:color="auto" w:fill="auto"/>
          </w:tcPr>
          <w:p w14:paraId="0AEF7448"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r>
      <w:tr w:rsidR="00772E80" w:rsidRPr="00772E80" w14:paraId="7C1715D3" w14:textId="77777777" w:rsidTr="00165BEA">
        <w:trPr>
          <w:cantSplit/>
        </w:trPr>
        <w:tc>
          <w:tcPr>
            <w:tcW w:w="1135" w:type="dxa"/>
            <w:tcBorders>
              <w:bottom w:val="single" w:sz="4" w:space="0" w:color="auto"/>
            </w:tcBorders>
            <w:shd w:val="clear" w:color="auto" w:fill="auto"/>
            <w:noWrap/>
          </w:tcPr>
          <w:p w14:paraId="5C8DB6BE"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SC59/2022 Doc.26</w:t>
            </w:r>
          </w:p>
        </w:tc>
        <w:tc>
          <w:tcPr>
            <w:tcW w:w="1842" w:type="dxa"/>
            <w:tcBorders>
              <w:bottom w:val="single" w:sz="4" w:space="0" w:color="auto"/>
            </w:tcBorders>
            <w:shd w:val="clear" w:color="auto" w:fill="auto"/>
            <w:noWrap/>
          </w:tcPr>
          <w:p w14:paraId="43A8810C" w14:textId="6C10E0F1" w:rsidR="00772E80"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Draft Resolution on the future implementation of scientific and technical aspects of the Convention for 2023-2025</w:t>
            </w:r>
          </w:p>
        </w:tc>
        <w:tc>
          <w:tcPr>
            <w:tcW w:w="2835" w:type="dxa"/>
            <w:tcBorders>
              <w:bottom w:val="single" w:sz="4" w:space="0" w:color="auto"/>
            </w:tcBorders>
            <w:shd w:val="clear" w:color="auto" w:fill="auto"/>
          </w:tcPr>
          <w:p w14:paraId="326B8406"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sz w:val="22"/>
                <w:szCs w:val="22"/>
              </w:rPr>
              <w:t>No additional  activities/tasks required.</w:t>
            </w:r>
          </w:p>
        </w:tc>
        <w:tc>
          <w:tcPr>
            <w:tcW w:w="1418" w:type="dxa"/>
            <w:tcBorders>
              <w:bottom w:val="single" w:sz="4" w:space="0" w:color="auto"/>
            </w:tcBorders>
            <w:shd w:val="clear" w:color="auto" w:fill="auto"/>
          </w:tcPr>
          <w:p w14:paraId="61B4ABC6"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c>
          <w:tcPr>
            <w:tcW w:w="2126" w:type="dxa"/>
            <w:tcBorders>
              <w:bottom w:val="single" w:sz="4" w:space="0" w:color="auto"/>
            </w:tcBorders>
            <w:shd w:val="clear" w:color="auto" w:fill="auto"/>
          </w:tcPr>
          <w:p w14:paraId="6B2EC3B6" w14:textId="77777777" w:rsidR="00A451D1" w:rsidRPr="00772E80" w:rsidRDefault="00A451D1" w:rsidP="0042447D">
            <w:pPr>
              <w:widowControl w:val="0"/>
              <w:ind w:left="0" w:firstLine="0"/>
              <w:jc w:val="left"/>
              <w:rPr>
                <w:rFonts w:asciiTheme="minorHAnsi" w:hAnsiTheme="minorHAnsi" w:cstheme="minorHAnsi"/>
                <w:bCs/>
                <w:color w:val="000000"/>
                <w:sz w:val="22"/>
                <w:szCs w:val="22"/>
              </w:rPr>
            </w:pPr>
            <w:r w:rsidRPr="00772E80">
              <w:rPr>
                <w:rFonts w:asciiTheme="minorHAnsi" w:hAnsiTheme="minorHAnsi" w:cstheme="minorHAnsi"/>
                <w:bCs/>
                <w:color w:val="000000"/>
                <w:sz w:val="22"/>
                <w:szCs w:val="22"/>
              </w:rPr>
              <w:t>0</w:t>
            </w:r>
          </w:p>
        </w:tc>
      </w:tr>
      <w:tr w:rsidR="00772E80" w:rsidRPr="00772E80" w14:paraId="6EBC74F9" w14:textId="77777777" w:rsidTr="00165BEA">
        <w:trPr>
          <w:cantSplit/>
        </w:trPr>
        <w:tc>
          <w:tcPr>
            <w:tcW w:w="1135" w:type="dxa"/>
            <w:tcBorders>
              <w:top w:val="single" w:sz="4" w:space="0" w:color="auto"/>
              <w:left w:val="nil"/>
              <w:bottom w:val="nil"/>
              <w:right w:val="nil"/>
            </w:tcBorders>
            <w:shd w:val="clear" w:color="auto" w:fill="auto"/>
            <w:noWrap/>
          </w:tcPr>
          <w:p w14:paraId="15B9AA98" w14:textId="77777777" w:rsidR="00772E80" w:rsidRDefault="00772E80" w:rsidP="0042447D">
            <w:pPr>
              <w:widowControl w:val="0"/>
              <w:ind w:left="0" w:firstLine="0"/>
              <w:jc w:val="left"/>
              <w:rPr>
                <w:rFonts w:asciiTheme="minorHAnsi" w:hAnsiTheme="minorHAnsi" w:cstheme="minorHAnsi"/>
                <w:bCs/>
                <w:color w:val="000000"/>
                <w:sz w:val="22"/>
                <w:szCs w:val="22"/>
              </w:rPr>
            </w:pPr>
          </w:p>
          <w:p w14:paraId="167A9CB0" w14:textId="77777777" w:rsidR="00772E80" w:rsidRDefault="00772E80" w:rsidP="0042447D">
            <w:pPr>
              <w:widowControl w:val="0"/>
              <w:ind w:left="0" w:firstLine="0"/>
              <w:jc w:val="left"/>
              <w:rPr>
                <w:rFonts w:asciiTheme="minorHAnsi" w:hAnsiTheme="minorHAnsi" w:cstheme="minorHAnsi"/>
                <w:bCs/>
                <w:color w:val="000000"/>
                <w:sz w:val="22"/>
                <w:szCs w:val="22"/>
              </w:rPr>
            </w:pPr>
          </w:p>
          <w:p w14:paraId="646E73A4" w14:textId="78D174CC" w:rsidR="00772E80" w:rsidRPr="00772E80" w:rsidRDefault="00772E80" w:rsidP="0042447D">
            <w:pPr>
              <w:widowControl w:val="0"/>
              <w:ind w:left="0" w:firstLine="0"/>
              <w:jc w:val="left"/>
              <w:rPr>
                <w:rFonts w:asciiTheme="minorHAnsi" w:hAnsiTheme="minorHAnsi" w:cstheme="minorHAnsi"/>
                <w:bCs/>
                <w:color w:val="000000"/>
                <w:sz w:val="22"/>
                <w:szCs w:val="22"/>
              </w:rPr>
            </w:pPr>
          </w:p>
        </w:tc>
        <w:tc>
          <w:tcPr>
            <w:tcW w:w="1842" w:type="dxa"/>
            <w:tcBorders>
              <w:top w:val="single" w:sz="4" w:space="0" w:color="auto"/>
              <w:left w:val="nil"/>
              <w:bottom w:val="nil"/>
              <w:right w:val="nil"/>
            </w:tcBorders>
            <w:shd w:val="clear" w:color="auto" w:fill="auto"/>
            <w:noWrap/>
          </w:tcPr>
          <w:p w14:paraId="7C5738E9" w14:textId="77777777" w:rsidR="00772E80" w:rsidRPr="00772E80" w:rsidRDefault="00772E80" w:rsidP="0042447D">
            <w:pPr>
              <w:widowControl w:val="0"/>
              <w:ind w:left="0" w:firstLine="0"/>
              <w:jc w:val="left"/>
              <w:rPr>
                <w:rFonts w:asciiTheme="minorHAnsi" w:hAnsiTheme="minorHAnsi" w:cstheme="minorHAnsi"/>
                <w:bCs/>
                <w:color w:val="000000"/>
                <w:sz w:val="22"/>
                <w:szCs w:val="22"/>
              </w:rPr>
            </w:pPr>
          </w:p>
        </w:tc>
        <w:tc>
          <w:tcPr>
            <w:tcW w:w="2835" w:type="dxa"/>
            <w:tcBorders>
              <w:top w:val="single" w:sz="4" w:space="0" w:color="auto"/>
              <w:left w:val="nil"/>
              <w:bottom w:val="nil"/>
              <w:right w:val="nil"/>
            </w:tcBorders>
            <w:shd w:val="clear" w:color="auto" w:fill="auto"/>
          </w:tcPr>
          <w:p w14:paraId="392F36C9" w14:textId="77777777" w:rsidR="00772E80" w:rsidRPr="00772E80" w:rsidRDefault="00772E80" w:rsidP="0042447D">
            <w:pPr>
              <w:widowControl w:val="0"/>
              <w:ind w:left="0" w:firstLine="0"/>
              <w:jc w:val="left"/>
              <w:rPr>
                <w:rFonts w:asciiTheme="minorHAnsi" w:hAnsiTheme="minorHAnsi" w:cstheme="minorHAnsi"/>
                <w:sz w:val="22"/>
                <w:szCs w:val="22"/>
              </w:rPr>
            </w:pPr>
          </w:p>
        </w:tc>
        <w:tc>
          <w:tcPr>
            <w:tcW w:w="1418" w:type="dxa"/>
            <w:tcBorders>
              <w:top w:val="single" w:sz="4" w:space="0" w:color="auto"/>
              <w:left w:val="nil"/>
              <w:bottom w:val="nil"/>
              <w:right w:val="nil"/>
            </w:tcBorders>
            <w:shd w:val="clear" w:color="auto" w:fill="auto"/>
          </w:tcPr>
          <w:p w14:paraId="63558579" w14:textId="77777777" w:rsidR="00772E80" w:rsidRPr="00772E80" w:rsidRDefault="00772E80" w:rsidP="0042447D">
            <w:pPr>
              <w:widowControl w:val="0"/>
              <w:ind w:left="0" w:firstLine="0"/>
              <w:jc w:val="left"/>
              <w:rPr>
                <w:rFonts w:asciiTheme="minorHAnsi" w:hAnsiTheme="minorHAnsi" w:cstheme="minorHAnsi"/>
                <w:bCs/>
                <w:color w:val="000000"/>
                <w:sz w:val="22"/>
                <w:szCs w:val="22"/>
              </w:rPr>
            </w:pPr>
          </w:p>
        </w:tc>
        <w:tc>
          <w:tcPr>
            <w:tcW w:w="2126" w:type="dxa"/>
            <w:tcBorders>
              <w:top w:val="single" w:sz="4" w:space="0" w:color="auto"/>
              <w:left w:val="nil"/>
              <w:bottom w:val="nil"/>
              <w:right w:val="nil"/>
            </w:tcBorders>
            <w:shd w:val="clear" w:color="auto" w:fill="auto"/>
          </w:tcPr>
          <w:p w14:paraId="62EE6598" w14:textId="77777777" w:rsidR="00772E80" w:rsidRPr="00772E80" w:rsidRDefault="00772E80" w:rsidP="0042447D">
            <w:pPr>
              <w:widowControl w:val="0"/>
              <w:ind w:left="0" w:firstLine="0"/>
              <w:jc w:val="left"/>
              <w:rPr>
                <w:rFonts w:asciiTheme="minorHAnsi" w:hAnsiTheme="minorHAnsi" w:cstheme="minorHAnsi"/>
                <w:bCs/>
                <w:color w:val="000000"/>
                <w:sz w:val="22"/>
                <w:szCs w:val="22"/>
              </w:rPr>
            </w:pPr>
          </w:p>
        </w:tc>
      </w:tr>
      <w:tr w:rsidR="00D22D6F" w:rsidRPr="00165BEA" w14:paraId="60706FF4" w14:textId="77777777" w:rsidTr="00772E80">
        <w:trPr>
          <w:cantSplit/>
        </w:trPr>
        <w:tc>
          <w:tcPr>
            <w:tcW w:w="9356" w:type="dxa"/>
            <w:gridSpan w:val="5"/>
            <w:tcBorders>
              <w:top w:val="nil"/>
            </w:tcBorders>
            <w:shd w:val="clear" w:color="auto" w:fill="auto"/>
            <w:noWrap/>
          </w:tcPr>
          <w:p w14:paraId="3A0156EC" w14:textId="4C66B4FC" w:rsidR="00D22D6F" w:rsidRPr="00165BEA" w:rsidRDefault="00D22D6F" w:rsidP="00165BEA">
            <w:pPr>
              <w:widowControl w:val="0"/>
              <w:spacing w:before="60" w:after="60"/>
              <w:ind w:left="0" w:firstLine="0"/>
              <w:jc w:val="left"/>
              <w:rPr>
                <w:rFonts w:asciiTheme="minorHAnsi" w:hAnsiTheme="minorHAnsi" w:cstheme="minorHAnsi"/>
                <w:b/>
                <w:bCs/>
                <w:color w:val="000000"/>
                <w:sz w:val="22"/>
                <w:szCs w:val="22"/>
              </w:rPr>
            </w:pPr>
            <w:r w:rsidRPr="00165BEA">
              <w:rPr>
                <w:rFonts w:asciiTheme="minorHAnsi" w:hAnsiTheme="minorHAnsi" w:cstheme="minorHAnsi"/>
                <w:b/>
                <w:bCs/>
                <w:color w:val="000000"/>
                <w:sz w:val="22"/>
                <w:szCs w:val="22"/>
              </w:rPr>
              <w:t>DRs submitted by the Contracting Parties</w:t>
            </w:r>
          </w:p>
        </w:tc>
      </w:tr>
      <w:tr w:rsidR="00D22D6F" w:rsidRPr="00772E80" w14:paraId="20A0A818" w14:textId="77777777" w:rsidTr="00165BEA">
        <w:trPr>
          <w:cantSplit/>
        </w:trPr>
        <w:tc>
          <w:tcPr>
            <w:tcW w:w="1135" w:type="dxa"/>
            <w:vMerge w:val="restart"/>
            <w:shd w:val="clear" w:color="auto" w:fill="auto"/>
            <w:hideMark/>
          </w:tcPr>
          <w:p w14:paraId="5483C3C6"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 Rev.1</w:t>
            </w:r>
          </w:p>
        </w:tc>
        <w:tc>
          <w:tcPr>
            <w:tcW w:w="1842" w:type="dxa"/>
            <w:vMerge w:val="restart"/>
            <w:shd w:val="clear" w:color="auto" w:fill="auto"/>
            <w:hideMark/>
          </w:tcPr>
          <w:p w14:paraId="5DFA5E7E"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Draft resolution on Protection, management and restoration of wetlands as Nature-based solutions to address the climate crisis</w:t>
            </w:r>
          </w:p>
        </w:tc>
        <w:tc>
          <w:tcPr>
            <w:tcW w:w="2835" w:type="dxa"/>
            <w:shd w:val="clear" w:color="auto" w:fill="auto"/>
            <w:hideMark/>
          </w:tcPr>
          <w:p w14:paraId="6907E043"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The Secretariat</w:t>
            </w:r>
            <w:r w:rsidRPr="00772E80">
              <w:rPr>
                <w:rFonts w:asciiTheme="minorHAnsi" w:hAnsiTheme="minorHAnsi" w:cstheme="minorHAnsi"/>
                <w:sz w:val="22"/>
                <w:szCs w:val="22"/>
              </w:rPr>
              <w:t xml:space="preserve"> to liaise with relevant international conventions and organizations as appropriate, including exploring the development of formal links to promote wetland protection, management restoration as NbS for climate change adaptation. </w:t>
            </w:r>
          </w:p>
        </w:tc>
        <w:tc>
          <w:tcPr>
            <w:tcW w:w="1418" w:type="dxa"/>
          </w:tcPr>
          <w:p w14:paraId="6E335808"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0</w:t>
            </w:r>
          </w:p>
        </w:tc>
        <w:tc>
          <w:tcPr>
            <w:tcW w:w="2126" w:type="dxa"/>
            <w:shd w:val="clear" w:color="auto" w:fill="auto"/>
            <w:hideMark/>
          </w:tcPr>
          <w:p w14:paraId="42C5281D"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*0</w:t>
            </w:r>
          </w:p>
        </w:tc>
      </w:tr>
      <w:tr w:rsidR="00D22D6F" w:rsidRPr="00772E80" w14:paraId="770C2CEF" w14:textId="77777777" w:rsidTr="00165BEA">
        <w:trPr>
          <w:cantSplit/>
        </w:trPr>
        <w:tc>
          <w:tcPr>
            <w:tcW w:w="1135" w:type="dxa"/>
            <w:vMerge/>
            <w:hideMark/>
          </w:tcPr>
          <w:p w14:paraId="4E5D661A"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1842" w:type="dxa"/>
            <w:vMerge/>
            <w:hideMark/>
          </w:tcPr>
          <w:p w14:paraId="7022D4ED"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2835" w:type="dxa"/>
            <w:shd w:val="clear" w:color="auto" w:fill="auto"/>
            <w:hideMark/>
          </w:tcPr>
          <w:p w14:paraId="034F6E01"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lang w:val="en-US"/>
              </w:rPr>
              <w:t xml:space="preserve">The Secretariat to promote an appropriate Community of Practice by involving regional initiatives on wetland protection, management and restoration as NbS with the support of MedWet. </w:t>
            </w:r>
          </w:p>
        </w:tc>
        <w:tc>
          <w:tcPr>
            <w:tcW w:w="1418" w:type="dxa"/>
          </w:tcPr>
          <w:p w14:paraId="193BD10A"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**10</w:t>
            </w:r>
          </w:p>
        </w:tc>
        <w:tc>
          <w:tcPr>
            <w:tcW w:w="2126" w:type="dxa"/>
            <w:shd w:val="clear" w:color="auto" w:fill="auto"/>
            <w:hideMark/>
          </w:tcPr>
          <w:p w14:paraId="26CF3AB6"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*15,000</w:t>
            </w:r>
          </w:p>
        </w:tc>
      </w:tr>
      <w:tr w:rsidR="00D22D6F" w:rsidRPr="00772E80" w14:paraId="36D41226" w14:textId="77777777" w:rsidTr="00165BEA">
        <w:trPr>
          <w:cantSplit/>
        </w:trPr>
        <w:tc>
          <w:tcPr>
            <w:tcW w:w="1135" w:type="dxa"/>
            <w:vMerge/>
          </w:tcPr>
          <w:p w14:paraId="2924BE58"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1842" w:type="dxa"/>
            <w:vMerge/>
          </w:tcPr>
          <w:p w14:paraId="01A6F0A4"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2835" w:type="dxa"/>
            <w:shd w:val="clear" w:color="auto" w:fill="auto"/>
          </w:tcPr>
          <w:p w14:paraId="7C6A7FAB"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 xml:space="preserve">The </w:t>
            </w:r>
            <w:r w:rsidRPr="00772E80">
              <w:rPr>
                <w:rFonts w:asciiTheme="minorHAnsi" w:eastAsia="SimSun" w:hAnsiTheme="minorHAnsi" w:cstheme="minorHAnsi"/>
                <w:bCs/>
                <w:sz w:val="22"/>
                <w:szCs w:val="22"/>
                <w:lang w:eastAsia="zh-CN"/>
              </w:rPr>
              <w:t>Scientific and Technical Review Panel</w:t>
            </w:r>
            <w:r w:rsidRPr="00772E80">
              <w:rPr>
                <w:rFonts w:asciiTheme="minorHAnsi" w:hAnsiTheme="minorHAnsi" w:cstheme="minorHAnsi"/>
                <w:color w:val="000000"/>
                <w:sz w:val="22"/>
                <w:szCs w:val="22"/>
              </w:rPr>
              <w:t xml:space="preserve"> to work in collaboration with MedWet on different activities.</w:t>
            </w:r>
          </w:p>
        </w:tc>
        <w:tc>
          <w:tcPr>
            <w:tcW w:w="1418" w:type="dxa"/>
          </w:tcPr>
          <w:p w14:paraId="1CB0B6E4"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**20</w:t>
            </w:r>
          </w:p>
        </w:tc>
        <w:tc>
          <w:tcPr>
            <w:tcW w:w="2126" w:type="dxa"/>
            <w:shd w:val="clear" w:color="auto" w:fill="auto"/>
          </w:tcPr>
          <w:p w14:paraId="4264F9E8"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*60,000</w:t>
            </w:r>
          </w:p>
        </w:tc>
      </w:tr>
      <w:tr w:rsidR="00D22D6F" w:rsidRPr="00772E80" w14:paraId="21349D8A" w14:textId="77777777" w:rsidTr="00165BEA">
        <w:trPr>
          <w:cantSplit/>
        </w:trPr>
        <w:tc>
          <w:tcPr>
            <w:tcW w:w="1135" w:type="dxa"/>
            <w:vMerge w:val="restart"/>
            <w:shd w:val="clear" w:color="auto" w:fill="auto"/>
            <w:hideMark/>
          </w:tcPr>
          <w:p w14:paraId="00C8FF9E"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 Doc.24.2</w:t>
            </w:r>
          </w:p>
        </w:tc>
        <w:tc>
          <w:tcPr>
            <w:tcW w:w="1842" w:type="dxa"/>
            <w:vMerge w:val="restart"/>
            <w:shd w:val="clear" w:color="auto" w:fill="auto"/>
            <w:hideMark/>
          </w:tcPr>
          <w:p w14:paraId="3A0312A3"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Draft Resolution on review of the Ramsar criteria, and delisting of Ramsar Sites located in territories which are not recognized at the UN level as part of the territory of the submitting country</w:t>
            </w:r>
          </w:p>
        </w:tc>
        <w:tc>
          <w:tcPr>
            <w:tcW w:w="2835" w:type="dxa"/>
            <w:shd w:val="clear" w:color="auto" w:fill="auto"/>
            <w:noWrap/>
            <w:hideMark/>
          </w:tcPr>
          <w:p w14:paraId="22EEC093" w14:textId="77777777" w:rsidR="00D22D6F" w:rsidRPr="00772E80" w:rsidRDefault="00D22D6F" w:rsidP="0042447D">
            <w:pPr>
              <w:widowControl w:val="0"/>
              <w:autoSpaceDE w:val="0"/>
              <w:autoSpaceDN w:val="0"/>
              <w:adjustRightInd w:val="0"/>
              <w:ind w:left="36" w:firstLine="0"/>
              <w:jc w:val="left"/>
              <w:rPr>
                <w:rFonts w:asciiTheme="minorHAnsi" w:hAnsiTheme="minorHAnsi" w:cstheme="minorHAnsi"/>
                <w:color w:val="000000"/>
                <w:sz w:val="22"/>
                <w:szCs w:val="22"/>
              </w:rPr>
            </w:pPr>
            <w:r w:rsidRPr="00772E80">
              <w:rPr>
                <w:rFonts w:asciiTheme="minorHAnsi" w:hAnsiTheme="minorHAnsi" w:cstheme="minorHAnsi"/>
                <w:sz w:val="22"/>
                <w:szCs w:val="22"/>
              </w:rPr>
              <w:t xml:space="preserve">The STRP to review the Ramsar Classification System for Wetland Type with a view to including additional aspects </w:t>
            </w:r>
          </w:p>
        </w:tc>
        <w:tc>
          <w:tcPr>
            <w:tcW w:w="1418" w:type="dxa"/>
          </w:tcPr>
          <w:p w14:paraId="3C5E7FAD"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**3</w:t>
            </w:r>
          </w:p>
        </w:tc>
        <w:tc>
          <w:tcPr>
            <w:tcW w:w="2126" w:type="dxa"/>
            <w:shd w:val="clear" w:color="auto" w:fill="auto"/>
            <w:noWrap/>
            <w:hideMark/>
          </w:tcPr>
          <w:p w14:paraId="1054D323"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**5,000</w:t>
            </w:r>
          </w:p>
        </w:tc>
      </w:tr>
      <w:tr w:rsidR="00D22D6F" w:rsidRPr="00772E80" w14:paraId="1D291116" w14:textId="77777777" w:rsidTr="00165BEA">
        <w:trPr>
          <w:cantSplit/>
        </w:trPr>
        <w:tc>
          <w:tcPr>
            <w:tcW w:w="1135" w:type="dxa"/>
            <w:vMerge/>
            <w:shd w:val="clear" w:color="auto" w:fill="auto"/>
          </w:tcPr>
          <w:p w14:paraId="7A8C76F8"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79BCFF00"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2835" w:type="dxa"/>
            <w:shd w:val="clear" w:color="auto" w:fill="auto"/>
          </w:tcPr>
          <w:p w14:paraId="628FAD64"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sz w:val="22"/>
                <w:szCs w:val="22"/>
              </w:rPr>
              <w:t xml:space="preserve">The Scientific and Technical Review Panel, in consultation with experts and competent partner organizations and with the assistance of the Ramsar Secretariat, review the existing Criteria for Identifying Wetlands of International Importance </w:t>
            </w:r>
          </w:p>
        </w:tc>
        <w:tc>
          <w:tcPr>
            <w:tcW w:w="1418" w:type="dxa"/>
          </w:tcPr>
          <w:p w14:paraId="3CFBC20D"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**3</w:t>
            </w:r>
          </w:p>
        </w:tc>
        <w:tc>
          <w:tcPr>
            <w:tcW w:w="2126" w:type="dxa"/>
            <w:shd w:val="clear" w:color="auto" w:fill="auto"/>
          </w:tcPr>
          <w:p w14:paraId="215035B4"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**5,000</w:t>
            </w:r>
          </w:p>
        </w:tc>
      </w:tr>
      <w:tr w:rsidR="00772E80" w:rsidRPr="00772E80" w14:paraId="3A856B85" w14:textId="77777777" w:rsidTr="00165BEA">
        <w:trPr>
          <w:cantSplit/>
        </w:trPr>
        <w:tc>
          <w:tcPr>
            <w:tcW w:w="1135" w:type="dxa"/>
            <w:vMerge w:val="restart"/>
            <w:shd w:val="clear" w:color="auto" w:fill="auto"/>
            <w:hideMark/>
          </w:tcPr>
          <w:p w14:paraId="4B813289"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 Doc. 24.3</w:t>
            </w:r>
          </w:p>
        </w:tc>
        <w:tc>
          <w:tcPr>
            <w:tcW w:w="1842" w:type="dxa"/>
            <w:vMerge w:val="restart"/>
            <w:shd w:val="clear" w:color="auto" w:fill="auto"/>
            <w:hideMark/>
          </w:tcPr>
          <w:p w14:paraId="367C9ECB"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Draft Resolution on development of legal indicators to measure the effectiveness of the Ramsar Convention</w:t>
            </w:r>
          </w:p>
        </w:tc>
        <w:tc>
          <w:tcPr>
            <w:tcW w:w="2835" w:type="dxa"/>
            <w:shd w:val="clear" w:color="auto" w:fill="auto"/>
            <w:hideMark/>
          </w:tcPr>
          <w:p w14:paraId="65E4903C"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Recruitment by the Secretariat of a consultant to assist in the formulation of legal indicators</w:t>
            </w:r>
          </w:p>
        </w:tc>
        <w:tc>
          <w:tcPr>
            <w:tcW w:w="1418" w:type="dxa"/>
          </w:tcPr>
          <w:p w14:paraId="0C7E3A5F"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**8</w:t>
            </w:r>
          </w:p>
        </w:tc>
        <w:tc>
          <w:tcPr>
            <w:tcW w:w="2126" w:type="dxa"/>
            <w:shd w:val="clear" w:color="auto" w:fill="auto"/>
            <w:hideMark/>
          </w:tcPr>
          <w:p w14:paraId="6192098E"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*18,000</w:t>
            </w:r>
          </w:p>
        </w:tc>
      </w:tr>
      <w:tr w:rsidR="00772E80" w:rsidRPr="00772E80" w14:paraId="0A36A366" w14:textId="77777777" w:rsidTr="00165BEA">
        <w:trPr>
          <w:cantSplit/>
        </w:trPr>
        <w:tc>
          <w:tcPr>
            <w:tcW w:w="1135" w:type="dxa"/>
            <w:vMerge/>
            <w:hideMark/>
          </w:tcPr>
          <w:p w14:paraId="2B7AAC7A" w14:textId="77777777" w:rsidR="00A451D1" w:rsidRPr="00772E80" w:rsidRDefault="00A451D1" w:rsidP="0042447D">
            <w:pPr>
              <w:widowControl w:val="0"/>
              <w:ind w:left="0" w:firstLine="0"/>
              <w:jc w:val="left"/>
              <w:rPr>
                <w:rFonts w:asciiTheme="minorHAnsi" w:hAnsiTheme="minorHAnsi" w:cstheme="minorHAnsi"/>
                <w:color w:val="000000"/>
                <w:sz w:val="22"/>
                <w:szCs w:val="22"/>
              </w:rPr>
            </w:pPr>
          </w:p>
        </w:tc>
        <w:tc>
          <w:tcPr>
            <w:tcW w:w="1842" w:type="dxa"/>
            <w:vMerge/>
            <w:hideMark/>
          </w:tcPr>
          <w:p w14:paraId="1C379206" w14:textId="77777777" w:rsidR="00A451D1" w:rsidRPr="00772E80" w:rsidRDefault="00A451D1" w:rsidP="0042447D">
            <w:pPr>
              <w:widowControl w:val="0"/>
              <w:ind w:left="0" w:firstLine="0"/>
              <w:jc w:val="left"/>
              <w:rPr>
                <w:rFonts w:asciiTheme="minorHAnsi" w:hAnsiTheme="minorHAnsi" w:cstheme="minorHAnsi"/>
                <w:color w:val="000000"/>
                <w:sz w:val="22"/>
                <w:szCs w:val="22"/>
              </w:rPr>
            </w:pPr>
          </w:p>
        </w:tc>
        <w:tc>
          <w:tcPr>
            <w:tcW w:w="2835" w:type="dxa"/>
            <w:shd w:val="clear" w:color="auto" w:fill="auto"/>
            <w:hideMark/>
          </w:tcPr>
          <w:p w14:paraId="1AE9B185"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Oversight of the development of legal indicators by the Effectiveness Working Group and the Standing Committee</w:t>
            </w:r>
          </w:p>
        </w:tc>
        <w:tc>
          <w:tcPr>
            <w:tcW w:w="1418" w:type="dxa"/>
          </w:tcPr>
          <w:p w14:paraId="124BFDC8"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**0</w:t>
            </w:r>
          </w:p>
        </w:tc>
        <w:tc>
          <w:tcPr>
            <w:tcW w:w="2126" w:type="dxa"/>
            <w:shd w:val="clear" w:color="auto" w:fill="auto"/>
            <w:hideMark/>
          </w:tcPr>
          <w:p w14:paraId="0853998E"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*No financial implications</w:t>
            </w:r>
          </w:p>
        </w:tc>
      </w:tr>
      <w:tr w:rsidR="00772E80" w:rsidRPr="00772E80" w14:paraId="26BFD19B" w14:textId="77777777" w:rsidTr="00165BEA">
        <w:trPr>
          <w:cantSplit/>
        </w:trPr>
        <w:tc>
          <w:tcPr>
            <w:tcW w:w="1135" w:type="dxa"/>
            <w:shd w:val="clear" w:color="auto" w:fill="auto"/>
            <w:hideMark/>
          </w:tcPr>
          <w:p w14:paraId="6D27261E"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Doc.24.4</w:t>
            </w:r>
          </w:p>
        </w:tc>
        <w:tc>
          <w:tcPr>
            <w:tcW w:w="1842" w:type="dxa"/>
            <w:shd w:val="clear" w:color="auto" w:fill="auto"/>
            <w:hideMark/>
          </w:tcPr>
          <w:p w14:paraId="11EE313B"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Draft resolution on Guidance on Conservation and Management of Small Wetlands</w:t>
            </w:r>
          </w:p>
        </w:tc>
        <w:tc>
          <w:tcPr>
            <w:tcW w:w="2835" w:type="dxa"/>
            <w:shd w:val="clear" w:color="auto" w:fill="auto"/>
            <w:noWrap/>
            <w:hideMark/>
          </w:tcPr>
          <w:p w14:paraId="79E3604C" w14:textId="77777777" w:rsidR="00A451D1" w:rsidRPr="00772E80" w:rsidRDefault="00A451D1" w:rsidP="0042447D">
            <w:pPr>
              <w:widowControl w:val="0"/>
              <w:ind w:left="0" w:firstLine="0"/>
              <w:jc w:val="left"/>
              <w:rPr>
                <w:rFonts w:asciiTheme="minorHAnsi" w:eastAsia="SimSun" w:hAnsiTheme="minorHAnsi" w:cstheme="minorHAnsi"/>
                <w:bCs/>
                <w:sz w:val="22"/>
                <w:szCs w:val="22"/>
                <w:lang w:eastAsia="zh-CN"/>
              </w:rPr>
            </w:pPr>
            <w:r w:rsidRPr="00772E80">
              <w:rPr>
                <w:rFonts w:asciiTheme="minorHAnsi" w:eastAsia="SimSun" w:hAnsiTheme="minorHAnsi" w:cstheme="minorHAnsi"/>
                <w:bCs/>
                <w:sz w:val="22"/>
                <w:szCs w:val="22"/>
                <w:lang w:eastAsia="zh-CN"/>
              </w:rPr>
              <w:t>The Scientific and Technical Review Panel with support of the Secretariat and the consultant, based on the latest scientific knowledge and feedback from Contracting Parties, to develop and improve the guidance, and include in the Ramsar Framework for Wetland Inventory and handbooks.</w:t>
            </w:r>
          </w:p>
        </w:tc>
        <w:tc>
          <w:tcPr>
            <w:tcW w:w="1418" w:type="dxa"/>
          </w:tcPr>
          <w:p w14:paraId="22F248D6"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**8</w:t>
            </w:r>
          </w:p>
        </w:tc>
        <w:tc>
          <w:tcPr>
            <w:tcW w:w="2126" w:type="dxa"/>
            <w:shd w:val="clear" w:color="auto" w:fill="auto"/>
            <w:hideMark/>
          </w:tcPr>
          <w:p w14:paraId="43E0EBB8"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**10,000</w:t>
            </w:r>
          </w:p>
        </w:tc>
      </w:tr>
      <w:tr w:rsidR="00D22D6F" w:rsidRPr="00772E80" w14:paraId="0B5E688B" w14:textId="77777777" w:rsidTr="00165BEA">
        <w:trPr>
          <w:cantSplit/>
        </w:trPr>
        <w:tc>
          <w:tcPr>
            <w:tcW w:w="1135" w:type="dxa"/>
            <w:vMerge w:val="restart"/>
            <w:shd w:val="clear" w:color="auto" w:fill="auto"/>
            <w:hideMark/>
          </w:tcPr>
          <w:p w14:paraId="27D8E008"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 Doc.24.5</w:t>
            </w:r>
          </w:p>
        </w:tc>
        <w:tc>
          <w:tcPr>
            <w:tcW w:w="1842" w:type="dxa"/>
            <w:vMerge w:val="restart"/>
            <w:shd w:val="clear" w:color="auto" w:fill="auto"/>
            <w:hideMark/>
          </w:tcPr>
          <w:p w14:paraId="461759A3"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Draft Resolution on Integrating wetland conservation and restoration into national sustainable development strategy</w:t>
            </w:r>
          </w:p>
        </w:tc>
        <w:tc>
          <w:tcPr>
            <w:tcW w:w="2835" w:type="dxa"/>
            <w:shd w:val="clear" w:color="auto" w:fill="auto"/>
            <w:noWrap/>
            <w:hideMark/>
          </w:tcPr>
          <w:p w14:paraId="08D6AE0A" w14:textId="77777777" w:rsidR="00D22D6F" w:rsidRPr="00772E80" w:rsidRDefault="00D22D6F" w:rsidP="0042447D">
            <w:pPr>
              <w:widowControl w:val="0"/>
              <w:ind w:left="36" w:firstLine="0"/>
              <w:jc w:val="left"/>
              <w:rPr>
                <w:rFonts w:asciiTheme="minorHAnsi" w:eastAsia="仿宋" w:hAnsiTheme="minorHAnsi" w:cstheme="minorHAnsi"/>
                <w:sz w:val="22"/>
                <w:szCs w:val="22"/>
                <w:lang w:val="en-AU" w:eastAsia="zh-CN"/>
              </w:rPr>
            </w:pPr>
            <w:r w:rsidRPr="00772E80">
              <w:rPr>
                <w:rFonts w:asciiTheme="minorHAnsi" w:hAnsiTheme="minorHAnsi" w:cstheme="minorHAnsi"/>
                <w:sz w:val="22"/>
                <w:szCs w:val="22"/>
              </w:rPr>
              <w:t>T</w:t>
            </w:r>
            <w:r w:rsidRPr="00772E80">
              <w:rPr>
                <w:rFonts w:asciiTheme="minorHAnsi" w:eastAsia="仿宋" w:hAnsiTheme="minorHAnsi" w:cstheme="minorHAnsi"/>
                <w:sz w:val="22"/>
                <w:szCs w:val="22"/>
                <w:lang w:val="en-AU" w:eastAsia="zh-CN"/>
              </w:rPr>
              <w:t>he Secretariat to enhance closer cooperation with the United Nations Commission on Sustainable Development (UNCSD), United Nations Framework Convention on Climate Change (UNFCCC) and the Convention on Biological Diversity (CBD) and other multilateral environmental agreements to promote global mainstreaming of wetland conservation and restoration.</w:t>
            </w:r>
          </w:p>
        </w:tc>
        <w:tc>
          <w:tcPr>
            <w:tcW w:w="1418" w:type="dxa"/>
          </w:tcPr>
          <w:p w14:paraId="2EDF77B9"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**0</w:t>
            </w:r>
          </w:p>
        </w:tc>
        <w:tc>
          <w:tcPr>
            <w:tcW w:w="2126" w:type="dxa"/>
            <w:shd w:val="clear" w:color="auto" w:fill="auto"/>
            <w:hideMark/>
          </w:tcPr>
          <w:p w14:paraId="4E00AFA0"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*No financial implications</w:t>
            </w:r>
          </w:p>
        </w:tc>
      </w:tr>
      <w:tr w:rsidR="00D22D6F" w:rsidRPr="00772E80" w14:paraId="66BA89AF" w14:textId="77777777" w:rsidTr="00165BEA">
        <w:trPr>
          <w:cantSplit/>
        </w:trPr>
        <w:tc>
          <w:tcPr>
            <w:tcW w:w="1135" w:type="dxa"/>
            <w:vMerge/>
            <w:shd w:val="clear" w:color="auto" w:fill="auto"/>
          </w:tcPr>
          <w:p w14:paraId="3FDD40B0"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26076F83"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064DCAB0" w14:textId="77777777" w:rsidR="00D22D6F" w:rsidRPr="00772E80" w:rsidRDefault="00D22D6F" w:rsidP="0042447D">
            <w:pPr>
              <w:widowControl w:val="0"/>
              <w:ind w:left="36" w:firstLine="0"/>
              <w:jc w:val="left"/>
              <w:rPr>
                <w:rFonts w:asciiTheme="minorHAnsi" w:hAnsiTheme="minorHAnsi" w:cstheme="minorHAnsi"/>
                <w:sz w:val="22"/>
                <w:szCs w:val="22"/>
              </w:rPr>
            </w:pPr>
            <w:r w:rsidRPr="00772E80">
              <w:rPr>
                <w:rFonts w:asciiTheme="minorHAnsi" w:hAnsiTheme="minorHAnsi" w:cstheme="minorHAnsi"/>
                <w:sz w:val="22"/>
                <w:szCs w:val="22"/>
              </w:rPr>
              <w:t>Consultant to compile case studies and develop technical guidance on the integration of national wetland conservation and restoration into national sustainable development strategies</w:t>
            </w:r>
          </w:p>
        </w:tc>
        <w:tc>
          <w:tcPr>
            <w:tcW w:w="1418" w:type="dxa"/>
          </w:tcPr>
          <w:p w14:paraId="71656A19"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**20</w:t>
            </w:r>
          </w:p>
        </w:tc>
        <w:tc>
          <w:tcPr>
            <w:tcW w:w="2126" w:type="dxa"/>
            <w:shd w:val="clear" w:color="auto" w:fill="auto"/>
          </w:tcPr>
          <w:p w14:paraId="5AA428B5"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**15,000</w:t>
            </w:r>
          </w:p>
        </w:tc>
      </w:tr>
      <w:tr w:rsidR="00772E80" w:rsidRPr="00772E80" w14:paraId="1E0E40C6" w14:textId="77777777" w:rsidTr="00165BEA">
        <w:trPr>
          <w:cantSplit/>
        </w:trPr>
        <w:tc>
          <w:tcPr>
            <w:tcW w:w="1135" w:type="dxa"/>
            <w:vMerge w:val="restart"/>
            <w:shd w:val="clear" w:color="auto" w:fill="auto"/>
            <w:hideMark/>
          </w:tcPr>
          <w:p w14:paraId="1D40E7ED"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 Doc.24.6</w:t>
            </w:r>
          </w:p>
        </w:tc>
        <w:tc>
          <w:tcPr>
            <w:tcW w:w="1842" w:type="dxa"/>
            <w:vMerge w:val="restart"/>
            <w:shd w:val="clear" w:color="auto" w:fill="auto"/>
            <w:hideMark/>
          </w:tcPr>
          <w:p w14:paraId="5E0E3168"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Draft resolution on Wetland education in the formal education sector</w:t>
            </w:r>
          </w:p>
        </w:tc>
        <w:tc>
          <w:tcPr>
            <w:tcW w:w="2835" w:type="dxa"/>
            <w:shd w:val="clear" w:color="auto" w:fill="auto"/>
            <w:noWrap/>
            <w:hideMark/>
          </w:tcPr>
          <w:p w14:paraId="618A5977" w14:textId="77777777" w:rsidR="00A451D1" w:rsidRPr="00772E80" w:rsidRDefault="00A451D1" w:rsidP="0042447D">
            <w:pPr>
              <w:widowControl w:val="0"/>
              <w:ind w:left="0" w:firstLine="0"/>
              <w:jc w:val="left"/>
              <w:rPr>
                <w:rFonts w:asciiTheme="minorHAnsi" w:hAnsiTheme="minorHAnsi" w:cstheme="minorHAnsi"/>
                <w:sz w:val="22"/>
                <w:szCs w:val="22"/>
                <w:lang w:val="en-AU" w:eastAsia="ko-KR"/>
              </w:rPr>
            </w:pPr>
            <w:r w:rsidRPr="00772E80">
              <w:rPr>
                <w:rFonts w:asciiTheme="minorHAnsi" w:hAnsiTheme="minorHAnsi" w:cstheme="minorHAnsi"/>
                <w:sz w:val="22"/>
                <w:szCs w:val="22"/>
                <w:lang w:val="en-AU" w:eastAsia="ko-KR"/>
              </w:rPr>
              <w:t>The Secretariat to include wetland education as an indicator in National Reports, analyse the progress of development and implementation of wetland education programmes based on National Reports in cooperation with the CEPA Oversight Panel, and report the progress to the Contracting Parties through the COPs towards the goal of mainstreaming wetland education in formal education</w:t>
            </w:r>
          </w:p>
        </w:tc>
        <w:tc>
          <w:tcPr>
            <w:tcW w:w="1418" w:type="dxa"/>
          </w:tcPr>
          <w:p w14:paraId="13971FA5"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**2</w:t>
            </w:r>
          </w:p>
        </w:tc>
        <w:tc>
          <w:tcPr>
            <w:tcW w:w="2126" w:type="dxa"/>
            <w:shd w:val="clear" w:color="auto" w:fill="auto"/>
            <w:hideMark/>
          </w:tcPr>
          <w:p w14:paraId="27A5C89F"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*No financial implications</w:t>
            </w:r>
          </w:p>
        </w:tc>
      </w:tr>
      <w:tr w:rsidR="00772E80" w:rsidRPr="00772E80" w14:paraId="493FD958" w14:textId="77777777" w:rsidTr="00165BEA">
        <w:trPr>
          <w:cantSplit/>
        </w:trPr>
        <w:tc>
          <w:tcPr>
            <w:tcW w:w="1135" w:type="dxa"/>
            <w:vMerge/>
            <w:shd w:val="clear" w:color="auto" w:fill="auto"/>
          </w:tcPr>
          <w:p w14:paraId="23D7AA92" w14:textId="77777777" w:rsidR="00A451D1" w:rsidRPr="00772E80" w:rsidRDefault="00A451D1" w:rsidP="0042447D">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23B77730" w14:textId="77777777" w:rsidR="00A451D1" w:rsidRPr="00772E80" w:rsidRDefault="00A451D1" w:rsidP="0042447D">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50641F3D" w14:textId="77777777" w:rsidR="00A451D1" w:rsidRPr="00772E80" w:rsidRDefault="00A451D1" w:rsidP="0042447D">
            <w:pPr>
              <w:widowControl w:val="0"/>
              <w:ind w:left="0" w:firstLine="0"/>
              <w:jc w:val="left"/>
              <w:rPr>
                <w:rFonts w:asciiTheme="minorHAnsi" w:hAnsiTheme="minorHAnsi" w:cstheme="minorHAnsi"/>
                <w:sz w:val="22"/>
                <w:szCs w:val="22"/>
                <w:lang w:val="en-AU" w:eastAsia="ko-KR"/>
              </w:rPr>
            </w:pPr>
            <w:r w:rsidRPr="00772E80">
              <w:rPr>
                <w:rFonts w:asciiTheme="minorHAnsi" w:hAnsiTheme="minorHAnsi" w:cstheme="minorHAnsi"/>
                <w:sz w:val="22"/>
                <w:szCs w:val="22"/>
                <w:lang w:val="en-AU"/>
              </w:rPr>
              <w:t>The Secretary General to coordinate with UNESCO and work to synergise Ramsar Convention’s goal of mainstreaming wetland education in formal education with UNESCO’s ESD for 2030 Roadmap.</w:t>
            </w:r>
          </w:p>
        </w:tc>
        <w:tc>
          <w:tcPr>
            <w:tcW w:w="1418" w:type="dxa"/>
          </w:tcPr>
          <w:p w14:paraId="2C0F46D8"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**10</w:t>
            </w:r>
          </w:p>
        </w:tc>
        <w:tc>
          <w:tcPr>
            <w:tcW w:w="2126" w:type="dxa"/>
            <w:shd w:val="clear" w:color="auto" w:fill="auto"/>
          </w:tcPr>
          <w:p w14:paraId="611DA495"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*No financial implications</w:t>
            </w:r>
          </w:p>
        </w:tc>
      </w:tr>
      <w:tr w:rsidR="00772E80" w:rsidRPr="00772E80" w14:paraId="07C8A9A9" w14:textId="77777777" w:rsidTr="00165BEA">
        <w:trPr>
          <w:cantSplit/>
        </w:trPr>
        <w:tc>
          <w:tcPr>
            <w:tcW w:w="1135" w:type="dxa"/>
            <w:shd w:val="clear" w:color="auto" w:fill="auto"/>
            <w:hideMark/>
          </w:tcPr>
          <w:p w14:paraId="3181F06B"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 Doc.24.7</w:t>
            </w:r>
          </w:p>
        </w:tc>
        <w:tc>
          <w:tcPr>
            <w:tcW w:w="1842" w:type="dxa"/>
            <w:shd w:val="clear" w:color="auto" w:fill="auto"/>
            <w:hideMark/>
          </w:tcPr>
          <w:p w14:paraId="60F0FE7A"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Draft Resolution on the Ramsar Wetland Awards</w:t>
            </w:r>
          </w:p>
        </w:tc>
        <w:tc>
          <w:tcPr>
            <w:tcW w:w="2835" w:type="dxa"/>
            <w:shd w:val="clear" w:color="auto" w:fill="auto"/>
            <w:noWrap/>
            <w:hideMark/>
          </w:tcPr>
          <w:p w14:paraId="185F84B6"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sz w:val="22"/>
                <w:szCs w:val="22"/>
              </w:rPr>
              <w:t>The Ramsar Wetland Award recipients shall receive a trophy and a certificate. The Ramsar Wetland Merit Awards recipients shall receive a trophy and a certificate.</w:t>
            </w:r>
          </w:p>
        </w:tc>
        <w:tc>
          <w:tcPr>
            <w:tcW w:w="1418" w:type="dxa"/>
          </w:tcPr>
          <w:p w14:paraId="2372ED4C"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*0</w:t>
            </w:r>
          </w:p>
        </w:tc>
        <w:tc>
          <w:tcPr>
            <w:tcW w:w="2126" w:type="dxa"/>
            <w:shd w:val="clear" w:color="auto" w:fill="auto"/>
            <w:hideMark/>
          </w:tcPr>
          <w:p w14:paraId="0B063269"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**1,200</w:t>
            </w:r>
          </w:p>
        </w:tc>
      </w:tr>
      <w:tr w:rsidR="00D22D6F" w:rsidRPr="00772E80" w14:paraId="2EBBAD9C" w14:textId="77777777" w:rsidTr="00165BEA">
        <w:trPr>
          <w:cantSplit/>
        </w:trPr>
        <w:tc>
          <w:tcPr>
            <w:tcW w:w="1135" w:type="dxa"/>
            <w:vMerge w:val="restart"/>
            <w:shd w:val="clear" w:color="auto" w:fill="auto"/>
          </w:tcPr>
          <w:p w14:paraId="38215EC2"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Doc24.8</w:t>
            </w:r>
          </w:p>
        </w:tc>
        <w:tc>
          <w:tcPr>
            <w:tcW w:w="1842" w:type="dxa"/>
            <w:vMerge w:val="restart"/>
            <w:shd w:val="clear" w:color="auto" w:fill="auto"/>
          </w:tcPr>
          <w:p w14:paraId="733D1250"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 xml:space="preserve">Draft </w:t>
            </w:r>
            <w:r w:rsidRPr="00772E80">
              <w:rPr>
                <w:rFonts w:asciiTheme="minorHAnsi" w:hAnsiTheme="minorHAnsi" w:cstheme="minorHAnsi"/>
                <w:sz w:val="22"/>
                <w:szCs w:val="22"/>
                <w:lang w:val="en-ZA" w:eastAsia="ko-KR"/>
              </w:rPr>
              <w:t>Resolution on Updating the Wetland City Accreditation of the Ramsar Convention</w:t>
            </w:r>
          </w:p>
        </w:tc>
        <w:tc>
          <w:tcPr>
            <w:tcW w:w="2835" w:type="dxa"/>
            <w:shd w:val="clear" w:color="auto" w:fill="auto"/>
            <w:noWrap/>
          </w:tcPr>
          <w:p w14:paraId="08F47F1A" w14:textId="77777777" w:rsidR="00D22D6F" w:rsidRPr="00772E80" w:rsidRDefault="00D22D6F" w:rsidP="0042447D">
            <w:pPr>
              <w:widowControl w:val="0"/>
              <w:ind w:left="0" w:firstLine="0"/>
              <w:jc w:val="left"/>
              <w:rPr>
                <w:rFonts w:asciiTheme="minorHAnsi" w:hAnsiTheme="minorHAnsi" w:cstheme="minorHAnsi"/>
                <w:sz w:val="22"/>
                <w:szCs w:val="22"/>
              </w:rPr>
            </w:pPr>
            <w:r w:rsidRPr="00772E80">
              <w:rPr>
                <w:rFonts w:asciiTheme="minorHAnsi" w:hAnsiTheme="minorHAnsi" w:cstheme="minorHAnsi"/>
                <w:bCs/>
                <w:sz w:val="22"/>
                <w:szCs w:val="22"/>
              </w:rPr>
              <w:t>Secretariat to support the Wetland City Accreditation process (10 days per annum for support staff)</w:t>
            </w:r>
          </w:p>
        </w:tc>
        <w:tc>
          <w:tcPr>
            <w:tcW w:w="1418" w:type="dxa"/>
          </w:tcPr>
          <w:p w14:paraId="26BCBBA0"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*10</w:t>
            </w:r>
          </w:p>
        </w:tc>
        <w:tc>
          <w:tcPr>
            <w:tcW w:w="2126" w:type="dxa"/>
            <w:shd w:val="clear" w:color="auto" w:fill="auto"/>
          </w:tcPr>
          <w:p w14:paraId="31769EED"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*CHF 4,200 per annum</w:t>
            </w:r>
          </w:p>
        </w:tc>
      </w:tr>
      <w:tr w:rsidR="00D22D6F" w:rsidRPr="00772E80" w14:paraId="1430CCDC" w14:textId="77777777" w:rsidTr="00165BEA">
        <w:trPr>
          <w:cantSplit/>
        </w:trPr>
        <w:tc>
          <w:tcPr>
            <w:tcW w:w="1135" w:type="dxa"/>
            <w:vMerge/>
            <w:shd w:val="clear" w:color="auto" w:fill="auto"/>
          </w:tcPr>
          <w:p w14:paraId="71000665"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290250E5"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58E632F0" w14:textId="77777777" w:rsidR="00D22D6F" w:rsidRPr="00772E80" w:rsidRDefault="00D22D6F"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bCs/>
                <w:sz w:val="22"/>
                <w:szCs w:val="22"/>
              </w:rPr>
              <w:t>Production of accreditation certificates</w:t>
            </w:r>
          </w:p>
        </w:tc>
        <w:tc>
          <w:tcPr>
            <w:tcW w:w="1418" w:type="dxa"/>
          </w:tcPr>
          <w:p w14:paraId="123D018C"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*0</w:t>
            </w:r>
          </w:p>
        </w:tc>
        <w:tc>
          <w:tcPr>
            <w:tcW w:w="2126" w:type="dxa"/>
            <w:shd w:val="clear" w:color="auto" w:fill="auto"/>
          </w:tcPr>
          <w:p w14:paraId="497121F7"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r>
      <w:tr w:rsidR="00772E80" w:rsidRPr="00772E80" w14:paraId="4033A43D" w14:textId="77777777" w:rsidTr="00165BEA">
        <w:trPr>
          <w:cantSplit/>
        </w:trPr>
        <w:tc>
          <w:tcPr>
            <w:tcW w:w="1135" w:type="dxa"/>
            <w:shd w:val="clear" w:color="auto" w:fill="auto"/>
          </w:tcPr>
          <w:p w14:paraId="2F2FDC61"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Doc24.9</w:t>
            </w:r>
          </w:p>
        </w:tc>
        <w:tc>
          <w:tcPr>
            <w:tcW w:w="1842" w:type="dxa"/>
            <w:shd w:val="clear" w:color="auto" w:fill="auto"/>
          </w:tcPr>
          <w:p w14:paraId="5A264184"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Draft resolution on Ramsar Regional Initiatives – the basics</w:t>
            </w:r>
          </w:p>
        </w:tc>
        <w:tc>
          <w:tcPr>
            <w:tcW w:w="2835" w:type="dxa"/>
            <w:shd w:val="clear" w:color="auto" w:fill="auto"/>
            <w:noWrap/>
          </w:tcPr>
          <w:p w14:paraId="08AC3B59" w14:textId="77777777" w:rsidR="00A451D1" w:rsidRPr="00772E80" w:rsidRDefault="00A451D1"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bCs/>
                <w:sz w:val="22"/>
                <w:szCs w:val="22"/>
              </w:rPr>
              <w:t>The Secretariat to publish information provided by the RRIs, including reports on their successes and work programmes and other relevant information on RRIs as appropriate, on the Convention’s website.</w:t>
            </w:r>
          </w:p>
        </w:tc>
        <w:tc>
          <w:tcPr>
            <w:tcW w:w="1418" w:type="dxa"/>
          </w:tcPr>
          <w:p w14:paraId="526D895E"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*0</w:t>
            </w:r>
          </w:p>
        </w:tc>
        <w:tc>
          <w:tcPr>
            <w:tcW w:w="2126" w:type="dxa"/>
            <w:shd w:val="clear" w:color="auto" w:fill="auto"/>
          </w:tcPr>
          <w:p w14:paraId="4F3BB24A"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 xml:space="preserve">*No financial implications but has administrative implications  </w:t>
            </w:r>
          </w:p>
        </w:tc>
      </w:tr>
      <w:tr w:rsidR="00D22D6F" w:rsidRPr="00772E80" w14:paraId="3BFBC7EE" w14:textId="77777777" w:rsidTr="00165BEA">
        <w:trPr>
          <w:cantSplit/>
        </w:trPr>
        <w:tc>
          <w:tcPr>
            <w:tcW w:w="1135" w:type="dxa"/>
            <w:vMerge w:val="restart"/>
            <w:shd w:val="clear" w:color="auto" w:fill="auto"/>
          </w:tcPr>
          <w:p w14:paraId="18308C75"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Doc24.10</w:t>
            </w:r>
          </w:p>
        </w:tc>
        <w:tc>
          <w:tcPr>
            <w:tcW w:w="1842" w:type="dxa"/>
            <w:vMerge w:val="restart"/>
            <w:shd w:val="clear" w:color="auto" w:fill="auto"/>
          </w:tcPr>
          <w:p w14:paraId="1989253F"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Draft Resolution on Ramsar Regional Initiatives – COP14-COP15</w:t>
            </w:r>
          </w:p>
        </w:tc>
        <w:tc>
          <w:tcPr>
            <w:tcW w:w="2835" w:type="dxa"/>
            <w:shd w:val="clear" w:color="auto" w:fill="auto"/>
            <w:noWrap/>
          </w:tcPr>
          <w:p w14:paraId="3D6692F7" w14:textId="77777777" w:rsidR="00D22D6F" w:rsidRPr="00772E80" w:rsidRDefault="00D22D6F"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bCs/>
                <w:sz w:val="22"/>
                <w:szCs w:val="22"/>
              </w:rPr>
              <w:t>The Secretariat to update the consolidated list of retired decisions and tag the document as retired at the website or any other procedure decided in another resolution at the COP14.</w:t>
            </w:r>
          </w:p>
        </w:tc>
        <w:tc>
          <w:tcPr>
            <w:tcW w:w="1418" w:type="dxa"/>
          </w:tcPr>
          <w:p w14:paraId="2320E699"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*0</w:t>
            </w:r>
          </w:p>
        </w:tc>
        <w:tc>
          <w:tcPr>
            <w:tcW w:w="2126" w:type="dxa"/>
            <w:shd w:val="clear" w:color="auto" w:fill="auto"/>
          </w:tcPr>
          <w:p w14:paraId="403B3F64"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*Less than 20 CHF</w:t>
            </w:r>
          </w:p>
        </w:tc>
      </w:tr>
      <w:tr w:rsidR="00D22D6F" w:rsidRPr="00772E80" w14:paraId="2F4AB4C9" w14:textId="77777777" w:rsidTr="00165BEA">
        <w:trPr>
          <w:cantSplit/>
        </w:trPr>
        <w:tc>
          <w:tcPr>
            <w:tcW w:w="1135" w:type="dxa"/>
            <w:vMerge/>
            <w:shd w:val="clear" w:color="auto" w:fill="auto"/>
          </w:tcPr>
          <w:p w14:paraId="4531BED1"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20722B19" w14:textId="77777777" w:rsidR="00D22D6F" w:rsidRPr="00772E80" w:rsidDel="001E2ECF" w:rsidRDefault="00D22D6F" w:rsidP="0042447D">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56EC2962" w14:textId="1DB327A0" w:rsidR="00D22D6F" w:rsidRPr="00772E80" w:rsidRDefault="00D22D6F"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bCs/>
                <w:sz w:val="22"/>
                <w:szCs w:val="22"/>
              </w:rPr>
              <w:t>The Secretariat to find a way to finalize their involvement in the IKI project as soon as possible and start activities to make this happen within three</w:t>
            </w:r>
            <w:r w:rsidRPr="00772E80">
              <w:rPr>
                <w:rFonts w:asciiTheme="minorHAnsi" w:hAnsiTheme="minorHAnsi" w:cstheme="minorHAnsi"/>
                <w:bCs/>
                <w:sz w:val="22"/>
                <w:szCs w:val="22"/>
              </w:rPr>
              <w:t xml:space="preserve"> months from the end of COP14.</w:t>
            </w:r>
          </w:p>
        </w:tc>
        <w:tc>
          <w:tcPr>
            <w:tcW w:w="1418" w:type="dxa"/>
          </w:tcPr>
          <w:p w14:paraId="3CFC837F"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*0</w:t>
            </w:r>
          </w:p>
        </w:tc>
        <w:tc>
          <w:tcPr>
            <w:tcW w:w="2126" w:type="dxa"/>
            <w:shd w:val="clear" w:color="auto" w:fill="auto"/>
          </w:tcPr>
          <w:p w14:paraId="3E4D7262"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*Unknown</w:t>
            </w:r>
          </w:p>
          <w:p w14:paraId="3C29EBE0"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 xml:space="preserve">**Administrative and financial implications. </w:t>
            </w:r>
          </w:p>
        </w:tc>
      </w:tr>
      <w:tr w:rsidR="00772E80" w:rsidRPr="00772E80" w14:paraId="59F82FAF" w14:textId="77777777" w:rsidTr="00165BEA">
        <w:trPr>
          <w:cantSplit/>
        </w:trPr>
        <w:tc>
          <w:tcPr>
            <w:tcW w:w="1135" w:type="dxa"/>
            <w:shd w:val="clear" w:color="auto" w:fill="auto"/>
          </w:tcPr>
          <w:p w14:paraId="600656A3"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Doc24.11</w:t>
            </w:r>
          </w:p>
        </w:tc>
        <w:tc>
          <w:tcPr>
            <w:tcW w:w="1842" w:type="dxa"/>
            <w:shd w:val="clear" w:color="auto" w:fill="auto"/>
          </w:tcPr>
          <w:p w14:paraId="6E36A053"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Draft Resolution on Ramsar Regional Initiatives – addressing old decisions</w:t>
            </w:r>
          </w:p>
        </w:tc>
        <w:tc>
          <w:tcPr>
            <w:tcW w:w="2835" w:type="dxa"/>
            <w:shd w:val="clear" w:color="auto" w:fill="auto"/>
            <w:noWrap/>
          </w:tcPr>
          <w:p w14:paraId="40B18CAF" w14:textId="77777777" w:rsidR="00A451D1" w:rsidRPr="00772E80" w:rsidRDefault="00A451D1"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bCs/>
                <w:sz w:val="22"/>
                <w:szCs w:val="22"/>
              </w:rPr>
              <w:t xml:space="preserve">Use of a consultant to review all RRI related Resolutions and Decisions to prepare a consolidated resolution that retires obsolete decisions and consolidates decisions in effect. </w:t>
            </w:r>
          </w:p>
        </w:tc>
        <w:tc>
          <w:tcPr>
            <w:tcW w:w="1418" w:type="dxa"/>
          </w:tcPr>
          <w:p w14:paraId="766EEB37"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**1</w:t>
            </w:r>
          </w:p>
        </w:tc>
        <w:tc>
          <w:tcPr>
            <w:tcW w:w="2126" w:type="dxa"/>
            <w:shd w:val="clear" w:color="auto" w:fill="auto"/>
          </w:tcPr>
          <w:p w14:paraId="18428E6D"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*Less than 100 CHF</w:t>
            </w:r>
          </w:p>
          <w:p w14:paraId="4C5E9F5F" w14:textId="77777777" w:rsidR="00A451D1" w:rsidRPr="00772E80" w:rsidRDefault="00A451D1" w:rsidP="0042447D">
            <w:pPr>
              <w:widowControl w:val="0"/>
              <w:ind w:left="0" w:firstLine="0"/>
              <w:jc w:val="left"/>
              <w:rPr>
                <w:rFonts w:asciiTheme="minorHAnsi" w:hAnsiTheme="minorHAnsi" w:cstheme="minorHAnsi"/>
                <w:color w:val="000000"/>
                <w:sz w:val="22"/>
                <w:szCs w:val="22"/>
              </w:rPr>
            </w:pPr>
          </w:p>
          <w:p w14:paraId="6514ED0E"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 xml:space="preserve">**Financial implications to be determined.  </w:t>
            </w:r>
          </w:p>
          <w:p w14:paraId="6ED7215A" w14:textId="77777777" w:rsidR="00A451D1" w:rsidRPr="00772E80" w:rsidRDefault="00A451D1" w:rsidP="0042447D">
            <w:pPr>
              <w:widowControl w:val="0"/>
              <w:ind w:left="0" w:firstLine="0"/>
              <w:jc w:val="left"/>
              <w:rPr>
                <w:rFonts w:asciiTheme="minorHAnsi" w:hAnsiTheme="minorHAnsi" w:cstheme="minorHAnsi"/>
                <w:bCs/>
                <w:sz w:val="22"/>
                <w:szCs w:val="22"/>
              </w:rPr>
            </w:pPr>
          </w:p>
          <w:p w14:paraId="4E276FC8"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bCs/>
                <w:sz w:val="22"/>
                <w:szCs w:val="22"/>
              </w:rPr>
              <w:t xml:space="preserve">**See above Doc SC59-13.1 </w:t>
            </w:r>
          </w:p>
        </w:tc>
      </w:tr>
      <w:tr w:rsidR="00D22D6F" w:rsidRPr="00772E80" w14:paraId="2586F6A8" w14:textId="77777777" w:rsidTr="00165BEA">
        <w:trPr>
          <w:cantSplit/>
        </w:trPr>
        <w:tc>
          <w:tcPr>
            <w:tcW w:w="1135" w:type="dxa"/>
            <w:vMerge w:val="restart"/>
            <w:shd w:val="clear" w:color="auto" w:fill="auto"/>
          </w:tcPr>
          <w:p w14:paraId="214A3939"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Doc24.12</w:t>
            </w:r>
          </w:p>
        </w:tc>
        <w:tc>
          <w:tcPr>
            <w:tcW w:w="1842" w:type="dxa"/>
            <w:vMerge w:val="restart"/>
            <w:shd w:val="clear" w:color="auto" w:fill="auto"/>
          </w:tcPr>
          <w:p w14:paraId="378201B8"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Draft Resolution on Strengthening Ramsar Connections Through Youth</w:t>
            </w:r>
          </w:p>
        </w:tc>
        <w:tc>
          <w:tcPr>
            <w:tcW w:w="2835" w:type="dxa"/>
            <w:shd w:val="clear" w:color="auto" w:fill="auto"/>
            <w:noWrap/>
          </w:tcPr>
          <w:p w14:paraId="1188CAA9" w14:textId="77777777" w:rsidR="00D22D6F" w:rsidRPr="00772E80" w:rsidRDefault="00D22D6F"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bCs/>
                <w:sz w:val="22"/>
                <w:szCs w:val="22"/>
              </w:rPr>
              <w:t>The Secretariat to explore hybrid models like virtual Forums that allow young people to meet ahead of and take part in the Conference of the Parties, for the purpose of expanding youth participation and regional outreach of the Conference.</w:t>
            </w:r>
          </w:p>
        </w:tc>
        <w:tc>
          <w:tcPr>
            <w:tcW w:w="1418" w:type="dxa"/>
          </w:tcPr>
          <w:p w14:paraId="47D36E91"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**10</w:t>
            </w:r>
          </w:p>
        </w:tc>
        <w:tc>
          <w:tcPr>
            <w:tcW w:w="2126" w:type="dxa"/>
            <w:shd w:val="clear" w:color="auto" w:fill="auto"/>
          </w:tcPr>
          <w:p w14:paraId="15457ADC"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 xml:space="preserve">** Financial implications to be determined </w:t>
            </w:r>
          </w:p>
        </w:tc>
      </w:tr>
      <w:tr w:rsidR="00D22D6F" w:rsidRPr="00772E80" w14:paraId="0E0223F2" w14:textId="77777777" w:rsidTr="00165BEA">
        <w:trPr>
          <w:cantSplit/>
        </w:trPr>
        <w:tc>
          <w:tcPr>
            <w:tcW w:w="1135" w:type="dxa"/>
            <w:vMerge/>
            <w:shd w:val="clear" w:color="auto" w:fill="auto"/>
          </w:tcPr>
          <w:p w14:paraId="45B14F5E"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3E3E95CD"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0205AC59" w14:textId="77777777" w:rsidR="00D22D6F" w:rsidRPr="00772E80" w:rsidRDefault="00D22D6F"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bCs/>
                <w:sz w:val="22"/>
                <w:szCs w:val="22"/>
              </w:rPr>
              <w:t>The Secretariat to appoint an Advisor to coordinate the Ramsar Youth Working group and projects with a youth focus, as well as engage with national youth focal points and other key actors and organizations such as YEW; including the Global Youth Biodiversity Network and the youth programs of international environmental organizations and conventions. Ongoing annual cost of a P1 position.</w:t>
            </w:r>
          </w:p>
        </w:tc>
        <w:tc>
          <w:tcPr>
            <w:tcW w:w="1418" w:type="dxa"/>
          </w:tcPr>
          <w:p w14:paraId="2EB181C3"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 xml:space="preserve">one P1 staff  </w:t>
            </w:r>
          </w:p>
        </w:tc>
        <w:tc>
          <w:tcPr>
            <w:tcW w:w="2126" w:type="dxa"/>
            <w:shd w:val="clear" w:color="auto" w:fill="auto"/>
          </w:tcPr>
          <w:p w14:paraId="6ACBEEDB"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 xml:space="preserve">*140,000 </w:t>
            </w:r>
          </w:p>
          <w:p w14:paraId="2C97304F"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p w14:paraId="3F251E24"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r>
      <w:tr w:rsidR="00772E80" w:rsidRPr="00772E80" w14:paraId="3881CD9F" w14:textId="77777777" w:rsidTr="00165BEA">
        <w:trPr>
          <w:cantSplit/>
        </w:trPr>
        <w:tc>
          <w:tcPr>
            <w:tcW w:w="1135" w:type="dxa"/>
            <w:shd w:val="clear" w:color="auto" w:fill="auto"/>
          </w:tcPr>
          <w:p w14:paraId="0329BEBA"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Doc24.13</w:t>
            </w:r>
          </w:p>
        </w:tc>
        <w:tc>
          <w:tcPr>
            <w:tcW w:w="1842" w:type="dxa"/>
            <w:shd w:val="clear" w:color="auto" w:fill="auto"/>
          </w:tcPr>
          <w:p w14:paraId="7386A7CE"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Draft Resolution on Waterbird population estimates to support new and existing Ramsar site designations under Ramsar Criterion 6 – use of alternative estimates</w:t>
            </w:r>
          </w:p>
        </w:tc>
        <w:tc>
          <w:tcPr>
            <w:tcW w:w="2835" w:type="dxa"/>
            <w:shd w:val="clear" w:color="auto" w:fill="auto"/>
            <w:noWrap/>
          </w:tcPr>
          <w:p w14:paraId="0FE0798F" w14:textId="77777777" w:rsidR="00A451D1" w:rsidRPr="00772E80" w:rsidRDefault="00A451D1"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bCs/>
                <w:sz w:val="22"/>
                <w:szCs w:val="22"/>
              </w:rPr>
              <w:t>The Secretariat to amend the Strategic Framework – 2012 Revision, (adopted as Resolution XI.8, Annex 2, Rev. COP13) to give effect to para 11, as outlined in Annex 1</w:t>
            </w:r>
          </w:p>
        </w:tc>
        <w:tc>
          <w:tcPr>
            <w:tcW w:w="1418" w:type="dxa"/>
          </w:tcPr>
          <w:p w14:paraId="31A426C3"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*0</w:t>
            </w:r>
          </w:p>
        </w:tc>
        <w:tc>
          <w:tcPr>
            <w:tcW w:w="2126" w:type="dxa"/>
            <w:shd w:val="clear" w:color="auto" w:fill="auto"/>
          </w:tcPr>
          <w:p w14:paraId="016FC915"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*No financial implications</w:t>
            </w:r>
          </w:p>
        </w:tc>
      </w:tr>
      <w:tr w:rsidR="00D22D6F" w:rsidRPr="00772E80" w14:paraId="4D4A3E5C" w14:textId="77777777" w:rsidTr="00165BEA">
        <w:trPr>
          <w:cantSplit/>
        </w:trPr>
        <w:tc>
          <w:tcPr>
            <w:tcW w:w="1135" w:type="dxa"/>
            <w:vMerge w:val="restart"/>
            <w:shd w:val="clear" w:color="auto" w:fill="auto"/>
          </w:tcPr>
          <w:p w14:paraId="66BA1FEE"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Doc24.14</w:t>
            </w:r>
          </w:p>
        </w:tc>
        <w:tc>
          <w:tcPr>
            <w:tcW w:w="1842" w:type="dxa"/>
            <w:vMerge w:val="restart"/>
            <w:shd w:val="clear" w:color="auto" w:fill="auto"/>
          </w:tcPr>
          <w:p w14:paraId="0D67EA98"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Draft Resolution - The Ramsar Convention’s Scientific and Technical work – The basics</w:t>
            </w:r>
          </w:p>
        </w:tc>
        <w:tc>
          <w:tcPr>
            <w:tcW w:w="2835" w:type="dxa"/>
            <w:shd w:val="clear" w:color="auto" w:fill="auto"/>
            <w:noWrap/>
          </w:tcPr>
          <w:p w14:paraId="669F89BB" w14:textId="77777777" w:rsidR="00D22D6F" w:rsidRPr="00772E80" w:rsidRDefault="00D22D6F"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bCs/>
                <w:sz w:val="22"/>
                <w:szCs w:val="22"/>
              </w:rPr>
              <w:t>The Secretariat to mobilize additional resources for implementation of technical guidance and advice, and by that also supporting Contracting Parties’ implementation of the Convention.</w:t>
            </w:r>
          </w:p>
        </w:tc>
        <w:tc>
          <w:tcPr>
            <w:tcW w:w="1418" w:type="dxa"/>
          </w:tcPr>
          <w:p w14:paraId="1173B3D6"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*0</w:t>
            </w:r>
          </w:p>
        </w:tc>
        <w:tc>
          <w:tcPr>
            <w:tcW w:w="2126" w:type="dxa"/>
            <w:shd w:val="clear" w:color="auto" w:fill="auto"/>
          </w:tcPr>
          <w:p w14:paraId="1EC6D79C"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*No financial implications</w:t>
            </w:r>
          </w:p>
        </w:tc>
      </w:tr>
      <w:tr w:rsidR="00D22D6F" w:rsidRPr="00772E80" w14:paraId="5E92E24F" w14:textId="77777777" w:rsidTr="00165BEA">
        <w:trPr>
          <w:cantSplit/>
        </w:trPr>
        <w:tc>
          <w:tcPr>
            <w:tcW w:w="1135" w:type="dxa"/>
            <w:vMerge/>
            <w:shd w:val="clear" w:color="auto" w:fill="auto"/>
          </w:tcPr>
          <w:p w14:paraId="34471C39"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27129784"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0F4B7082" w14:textId="77777777" w:rsidR="00D22D6F" w:rsidRPr="00772E80" w:rsidRDefault="00D22D6F"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bCs/>
                <w:sz w:val="22"/>
                <w:szCs w:val="22"/>
              </w:rPr>
              <w:t xml:space="preserve">The Secretariat to assist with the nomination process as described in Annex 1, part 3, do necessary updates of the draft resolution for the ST bodies. </w:t>
            </w:r>
          </w:p>
        </w:tc>
        <w:tc>
          <w:tcPr>
            <w:tcW w:w="1418" w:type="dxa"/>
          </w:tcPr>
          <w:p w14:paraId="5C27DEA0"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*0</w:t>
            </w:r>
          </w:p>
        </w:tc>
        <w:tc>
          <w:tcPr>
            <w:tcW w:w="2126" w:type="dxa"/>
            <w:shd w:val="clear" w:color="auto" w:fill="auto"/>
          </w:tcPr>
          <w:p w14:paraId="00949132"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*No financial implications</w:t>
            </w:r>
          </w:p>
        </w:tc>
      </w:tr>
      <w:tr w:rsidR="00772E80" w:rsidRPr="00772E80" w14:paraId="79EA5910" w14:textId="77777777" w:rsidTr="00165BEA">
        <w:trPr>
          <w:cantSplit/>
        </w:trPr>
        <w:tc>
          <w:tcPr>
            <w:tcW w:w="1135" w:type="dxa"/>
            <w:shd w:val="clear" w:color="auto" w:fill="auto"/>
          </w:tcPr>
          <w:p w14:paraId="4400E4EA"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Doc24.15</w:t>
            </w:r>
          </w:p>
        </w:tc>
        <w:tc>
          <w:tcPr>
            <w:tcW w:w="1842" w:type="dxa"/>
            <w:shd w:val="clear" w:color="auto" w:fill="auto"/>
          </w:tcPr>
          <w:p w14:paraId="715ABFBE"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Draft Resolution on the Ramsar Convention’s Scientific and Technical bodies COP14-COP15</w:t>
            </w:r>
          </w:p>
        </w:tc>
        <w:tc>
          <w:tcPr>
            <w:tcW w:w="2835" w:type="dxa"/>
            <w:shd w:val="clear" w:color="auto" w:fill="auto"/>
            <w:noWrap/>
          </w:tcPr>
          <w:p w14:paraId="417ADAF4" w14:textId="77777777" w:rsidR="00A451D1" w:rsidRPr="00772E80" w:rsidRDefault="00A451D1"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bCs/>
                <w:sz w:val="22"/>
                <w:szCs w:val="22"/>
              </w:rPr>
              <w:t>**no action required by the Secretariat</w:t>
            </w:r>
          </w:p>
        </w:tc>
        <w:tc>
          <w:tcPr>
            <w:tcW w:w="1418" w:type="dxa"/>
          </w:tcPr>
          <w:p w14:paraId="212E9118"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*0</w:t>
            </w:r>
          </w:p>
        </w:tc>
        <w:tc>
          <w:tcPr>
            <w:tcW w:w="2126" w:type="dxa"/>
            <w:shd w:val="clear" w:color="auto" w:fill="auto"/>
          </w:tcPr>
          <w:p w14:paraId="12810004" w14:textId="77777777" w:rsidR="00A451D1" w:rsidRPr="00772E80" w:rsidRDefault="00A451D1"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*No financial implications</w:t>
            </w:r>
          </w:p>
        </w:tc>
      </w:tr>
      <w:tr w:rsidR="00D22D6F" w:rsidRPr="00772E80" w14:paraId="46D56181" w14:textId="77777777" w:rsidTr="00165BEA">
        <w:trPr>
          <w:cantSplit/>
        </w:trPr>
        <w:tc>
          <w:tcPr>
            <w:tcW w:w="1135" w:type="dxa"/>
            <w:vMerge w:val="restart"/>
            <w:shd w:val="clear" w:color="auto" w:fill="auto"/>
          </w:tcPr>
          <w:p w14:paraId="2E67C32F"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Doc24.16</w:t>
            </w:r>
          </w:p>
        </w:tc>
        <w:tc>
          <w:tcPr>
            <w:tcW w:w="1842" w:type="dxa"/>
            <w:vMerge w:val="restart"/>
            <w:shd w:val="clear" w:color="auto" w:fill="auto"/>
          </w:tcPr>
          <w:p w14:paraId="5DB7AC07"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Draft Resolution on the establishment of the International Mangrove Center in the Framework of the Ramsar Convention</w:t>
            </w:r>
          </w:p>
        </w:tc>
        <w:tc>
          <w:tcPr>
            <w:tcW w:w="2835" w:type="dxa"/>
            <w:shd w:val="clear" w:color="auto" w:fill="auto"/>
            <w:noWrap/>
          </w:tcPr>
          <w:p w14:paraId="6A4F6D18" w14:textId="77777777" w:rsidR="00D22D6F" w:rsidRPr="00772E80" w:rsidRDefault="00D22D6F"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bCs/>
                <w:sz w:val="22"/>
                <w:szCs w:val="22"/>
              </w:rPr>
              <w:t>Secretariat to provide support in coordination and communication with regard to the establishment and operation of the International Mangrove Center. Coordination support for establishment and operation will require Secretariat staff time.</w:t>
            </w:r>
          </w:p>
        </w:tc>
        <w:tc>
          <w:tcPr>
            <w:tcW w:w="1418" w:type="dxa"/>
          </w:tcPr>
          <w:p w14:paraId="041928C9"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 xml:space="preserve">**30 days pending on tasks expected </w:t>
            </w:r>
          </w:p>
        </w:tc>
        <w:tc>
          <w:tcPr>
            <w:tcW w:w="2126" w:type="dxa"/>
            <w:shd w:val="clear" w:color="auto" w:fill="auto"/>
          </w:tcPr>
          <w:p w14:paraId="543E4C2F"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*No financial implications</w:t>
            </w:r>
          </w:p>
          <w:p w14:paraId="74FD8482"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p w14:paraId="3CD15C79"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 depending on availability of non-core funds and level of staff</w:t>
            </w:r>
          </w:p>
        </w:tc>
      </w:tr>
      <w:tr w:rsidR="00D22D6F" w:rsidRPr="00772E80" w14:paraId="507BF65E" w14:textId="77777777" w:rsidTr="00165BEA">
        <w:trPr>
          <w:cantSplit/>
        </w:trPr>
        <w:tc>
          <w:tcPr>
            <w:tcW w:w="1135" w:type="dxa"/>
            <w:vMerge/>
            <w:shd w:val="clear" w:color="auto" w:fill="auto"/>
          </w:tcPr>
          <w:p w14:paraId="030A59A6"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3F1DE93B"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240A8C41" w14:textId="6D90555F" w:rsidR="00D22D6F" w:rsidRPr="00772E80" w:rsidRDefault="00D22D6F"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bCs/>
                <w:sz w:val="22"/>
                <w:szCs w:val="22"/>
              </w:rPr>
              <w:t xml:space="preserve">The </w:t>
            </w:r>
            <w:r w:rsidRPr="00772E80">
              <w:rPr>
                <w:rFonts w:asciiTheme="minorHAnsi" w:eastAsia="SimSun" w:hAnsiTheme="minorHAnsi" w:cstheme="minorHAnsi"/>
                <w:bCs/>
                <w:sz w:val="22"/>
                <w:szCs w:val="22"/>
                <w:lang w:eastAsia="zh-CN"/>
              </w:rPr>
              <w:t>Scientific and Technical Review Panel</w:t>
            </w:r>
            <w:r w:rsidRPr="00772E80">
              <w:rPr>
                <w:rFonts w:asciiTheme="minorHAnsi" w:hAnsiTheme="minorHAnsi" w:cstheme="minorHAnsi"/>
                <w:bCs/>
                <w:sz w:val="22"/>
                <w:szCs w:val="22"/>
              </w:rPr>
              <w:t xml:space="preserve"> to provide scientific and technical support to the International Mangrove Center.</w:t>
            </w:r>
          </w:p>
        </w:tc>
        <w:tc>
          <w:tcPr>
            <w:tcW w:w="1418" w:type="dxa"/>
          </w:tcPr>
          <w:p w14:paraId="43B3612B"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*0</w:t>
            </w:r>
          </w:p>
        </w:tc>
        <w:tc>
          <w:tcPr>
            <w:tcW w:w="2126" w:type="dxa"/>
            <w:shd w:val="clear" w:color="auto" w:fill="auto"/>
          </w:tcPr>
          <w:p w14:paraId="53A39A5E"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*No financial implications</w:t>
            </w:r>
          </w:p>
          <w:p w14:paraId="4665E9A1"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p w14:paraId="4EC0AB64"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 xml:space="preserve">Additional cost will depend </w:t>
            </w:r>
            <w:r w:rsidRPr="00772E80">
              <w:rPr>
                <w:rFonts w:asciiTheme="minorHAnsi" w:hAnsiTheme="minorHAnsi" w:cstheme="minorHAnsi"/>
                <w:bCs/>
                <w:sz w:val="22"/>
                <w:szCs w:val="22"/>
              </w:rPr>
              <w:t>on the extent of support required.</w:t>
            </w:r>
          </w:p>
        </w:tc>
      </w:tr>
      <w:tr w:rsidR="00D22D6F" w:rsidRPr="00772E80" w14:paraId="3C52C42B" w14:textId="77777777" w:rsidTr="00165BEA">
        <w:trPr>
          <w:cantSplit/>
        </w:trPr>
        <w:tc>
          <w:tcPr>
            <w:tcW w:w="1135" w:type="dxa"/>
            <w:vMerge w:val="restart"/>
            <w:shd w:val="clear" w:color="auto" w:fill="auto"/>
          </w:tcPr>
          <w:p w14:paraId="3EA74239"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Doc24.17</w:t>
            </w:r>
          </w:p>
        </w:tc>
        <w:tc>
          <w:tcPr>
            <w:tcW w:w="1842" w:type="dxa"/>
            <w:vMerge w:val="restart"/>
            <w:shd w:val="clear" w:color="auto" w:fill="auto"/>
          </w:tcPr>
          <w:p w14:paraId="31A468E3"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Draft resolution on online drafting and preparatory negotiations of documents</w:t>
            </w:r>
          </w:p>
        </w:tc>
        <w:tc>
          <w:tcPr>
            <w:tcW w:w="2835" w:type="dxa"/>
            <w:shd w:val="clear" w:color="auto" w:fill="auto"/>
            <w:noWrap/>
          </w:tcPr>
          <w:p w14:paraId="0B58A0B0" w14:textId="77777777" w:rsidR="00D22D6F" w:rsidRPr="00772E80" w:rsidRDefault="00D22D6F"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bCs/>
                <w:sz w:val="22"/>
                <w:szCs w:val="22"/>
              </w:rPr>
              <w:t xml:space="preserve">Establish work areas on line to comment and suggest amendments </w:t>
            </w:r>
          </w:p>
          <w:p w14:paraId="621939B5"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p w14:paraId="7CC7B050" w14:textId="77777777" w:rsidR="00D22D6F" w:rsidRPr="00772E80" w:rsidRDefault="00D22D6F" w:rsidP="0042447D">
            <w:pPr>
              <w:widowControl w:val="0"/>
              <w:ind w:left="0" w:firstLine="0"/>
              <w:jc w:val="left"/>
              <w:rPr>
                <w:rFonts w:asciiTheme="minorHAnsi" w:hAnsiTheme="minorHAnsi" w:cstheme="minorHAnsi"/>
                <w:bCs/>
                <w:sz w:val="22"/>
                <w:szCs w:val="22"/>
              </w:rPr>
            </w:pPr>
          </w:p>
        </w:tc>
        <w:tc>
          <w:tcPr>
            <w:tcW w:w="1418" w:type="dxa"/>
          </w:tcPr>
          <w:p w14:paraId="13C3EBEB"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 xml:space="preserve">** 15 days pending on tasks </w:t>
            </w:r>
          </w:p>
        </w:tc>
        <w:tc>
          <w:tcPr>
            <w:tcW w:w="2126" w:type="dxa"/>
            <w:shd w:val="clear" w:color="auto" w:fill="auto"/>
          </w:tcPr>
          <w:p w14:paraId="5E3E5DC7" w14:textId="77777777" w:rsidR="00D22D6F" w:rsidRPr="00772E80" w:rsidRDefault="00D22D6F" w:rsidP="0042447D">
            <w:pPr>
              <w:widowControl w:val="0"/>
              <w:ind w:left="0" w:firstLine="0"/>
              <w:jc w:val="left"/>
              <w:rPr>
                <w:rFonts w:asciiTheme="minorHAnsi" w:hAnsiTheme="minorHAnsi" w:cstheme="minorHAnsi"/>
                <w:sz w:val="22"/>
                <w:szCs w:val="22"/>
              </w:rPr>
            </w:pPr>
            <w:r w:rsidRPr="00772E80">
              <w:rPr>
                <w:rFonts w:asciiTheme="minorHAnsi" w:hAnsiTheme="minorHAnsi" w:cstheme="minorHAnsi"/>
                <w:color w:val="000000"/>
                <w:sz w:val="22"/>
                <w:szCs w:val="22"/>
              </w:rPr>
              <w:t xml:space="preserve">* </w:t>
            </w:r>
            <w:r w:rsidRPr="00772E80">
              <w:rPr>
                <w:rFonts w:asciiTheme="minorHAnsi" w:hAnsiTheme="minorHAnsi" w:cstheme="minorHAnsi"/>
                <w:sz w:val="22"/>
                <w:szCs w:val="22"/>
              </w:rPr>
              <w:t xml:space="preserve">Very difficult to estimate </w:t>
            </w:r>
          </w:p>
          <w:p w14:paraId="19A0791B"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sz w:val="22"/>
                <w:szCs w:val="22"/>
              </w:rPr>
              <w:t xml:space="preserve">** </w:t>
            </w:r>
            <w:r w:rsidRPr="00772E80">
              <w:rPr>
                <w:rFonts w:asciiTheme="minorHAnsi" w:hAnsiTheme="minorHAnsi" w:cstheme="minorHAnsi"/>
                <w:color w:val="000000"/>
                <w:sz w:val="22"/>
                <w:szCs w:val="22"/>
              </w:rPr>
              <w:t xml:space="preserve">administrative and  financial implications depending on availability of funds and staff levels. </w:t>
            </w:r>
          </w:p>
        </w:tc>
      </w:tr>
      <w:tr w:rsidR="00D22D6F" w:rsidRPr="00772E80" w14:paraId="14BA7300" w14:textId="77777777" w:rsidTr="00165BEA">
        <w:trPr>
          <w:cantSplit/>
        </w:trPr>
        <w:tc>
          <w:tcPr>
            <w:tcW w:w="1135" w:type="dxa"/>
            <w:vMerge/>
            <w:shd w:val="clear" w:color="auto" w:fill="auto"/>
          </w:tcPr>
          <w:p w14:paraId="4E3C8AC6"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03A4B004"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60013403"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Evaluate utilization of IUCN MS</w:t>
            </w:r>
          </w:p>
          <w:p w14:paraId="29353786"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1418" w:type="dxa"/>
          </w:tcPr>
          <w:p w14:paraId="799FE0C0"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7</w:t>
            </w:r>
          </w:p>
        </w:tc>
        <w:tc>
          <w:tcPr>
            <w:tcW w:w="2126" w:type="dxa"/>
            <w:shd w:val="clear" w:color="auto" w:fill="auto"/>
          </w:tcPr>
          <w:p w14:paraId="057E1420" w14:textId="77777777" w:rsidR="00D22D6F" w:rsidRPr="00772E80" w:rsidRDefault="00D22D6F" w:rsidP="0042447D">
            <w:pPr>
              <w:widowControl w:val="0"/>
              <w:ind w:left="0" w:firstLine="0"/>
              <w:jc w:val="left"/>
              <w:rPr>
                <w:rFonts w:asciiTheme="minorHAnsi" w:hAnsiTheme="minorHAnsi" w:cstheme="minorHAnsi"/>
                <w:sz w:val="22"/>
                <w:szCs w:val="22"/>
              </w:rPr>
            </w:pPr>
            <w:r w:rsidRPr="00772E80">
              <w:rPr>
                <w:rFonts w:asciiTheme="minorHAnsi" w:hAnsiTheme="minorHAnsi" w:cstheme="minorHAnsi"/>
                <w:color w:val="000000"/>
                <w:sz w:val="22"/>
                <w:szCs w:val="22"/>
              </w:rPr>
              <w:t xml:space="preserve">* </w:t>
            </w:r>
            <w:r w:rsidRPr="00772E80">
              <w:rPr>
                <w:rFonts w:asciiTheme="minorHAnsi" w:hAnsiTheme="minorHAnsi" w:cstheme="minorHAnsi"/>
                <w:sz w:val="22"/>
                <w:szCs w:val="22"/>
              </w:rPr>
              <w:t xml:space="preserve">Very difficult to estimate </w:t>
            </w:r>
          </w:p>
          <w:p w14:paraId="50D6B22B" w14:textId="77777777" w:rsidR="00D22D6F" w:rsidRPr="00772E80" w:rsidRDefault="00D22D6F" w:rsidP="0042447D">
            <w:pPr>
              <w:widowControl w:val="0"/>
              <w:ind w:left="0" w:firstLine="0"/>
              <w:jc w:val="left"/>
              <w:rPr>
                <w:rFonts w:asciiTheme="minorHAnsi" w:hAnsiTheme="minorHAnsi" w:cstheme="minorHAnsi"/>
                <w:sz w:val="22"/>
                <w:szCs w:val="22"/>
              </w:rPr>
            </w:pPr>
          </w:p>
          <w:p w14:paraId="577DEB58"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sz w:val="22"/>
                <w:szCs w:val="22"/>
              </w:rPr>
              <w:t xml:space="preserve">** </w:t>
            </w:r>
            <w:r w:rsidRPr="00772E80">
              <w:rPr>
                <w:rFonts w:asciiTheme="minorHAnsi" w:hAnsiTheme="minorHAnsi" w:cstheme="minorHAnsi"/>
                <w:color w:val="000000"/>
                <w:sz w:val="22"/>
                <w:szCs w:val="22"/>
              </w:rPr>
              <w:t xml:space="preserve">administrative and financial implications </w:t>
            </w:r>
          </w:p>
        </w:tc>
      </w:tr>
      <w:tr w:rsidR="00D22D6F" w:rsidRPr="00772E80" w14:paraId="3F92A719" w14:textId="77777777" w:rsidTr="00165BEA">
        <w:trPr>
          <w:cantSplit/>
        </w:trPr>
        <w:tc>
          <w:tcPr>
            <w:tcW w:w="1135" w:type="dxa"/>
            <w:vMerge/>
            <w:shd w:val="clear" w:color="auto" w:fill="auto"/>
          </w:tcPr>
          <w:p w14:paraId="4FDA8D48"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0E6AEB89"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34EC8BEB" w14:textId="26E0BF13" w:rsidR="00D22D6F" w:rsidRPr="00772E80" w:rsidDel="00D70864" w:rsidRDefault="00D22D6F"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sz w:val="22"/>
                <w:szCs w:val="22"/>
              </w:rPr>
              <w:t>The negotiations and decision processes and the process for retirement and consolidation of older decisions of the Convention can be done more efficiently by improving the way the draft resolution and the Standing Committee documents are written and structured, as well as how SC-decisions are prepared.</w:t>
            </w:r>
          </w:p>
        </w:tc>
        <w:tc>
          <w:tcPr>
            <w:tcW w:w="1418" w:type="dxa"/>
          </w:tcPr>
          <w:p w14:paraId="71C0899D"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2126" w:type="dxa"/>
            <w:shd w:val="clear" w:color="auto" w:fill="auto"/>
          </w:tcPr>
          <w:p w14:paraId="026C44AC" w14:textId="77777777" w:rsidR="00D22D6F" w:rsidRPr="00772E80" w:rsidRDefault="00D22D6F" w:rsidP="0042447D">
            <w:pPr>
              <w:widowControl w:val="0"/>
              <w:ind w:left="0" w:firstLine="0"/>
              <w:jc w:val="left"/>
              <w:rPr>
                <w:rFonts w:asciiTheme="minorHAnsi" w:hAnsiTheme="minorHAnsi" w:cstheme="minorHAnsi"/>
                <w:iCs/>
                <w:sz w:val="22"/>
                <w:szCs w:val="22"/>
              </w:rPr>
            </w:pPr>
            <w:r w:rsidRPr="00772E80">
              <w:rPr>
                <w:rFonts w:asciiTheme="minorHAnsi" w:hAnsiTheme="minorHAnsi" w:cstheme="minorHAnsi"/>
                <w:iCs/>
                <w:sz w:val="22"/>
                <w:szCs w:val="22"/>
              </w:rPr>
              <w:t>*The costs for translation will slightly increase.</w:t>
            </w:r>
          </w:p>
          <w:p w14:paraId="0E933F0C" w14:textId="77777777" w:rsidR="00D22D6F" w:rsidRPr="00772E80" w:rsidRDefault="00D22D6F" w:rsidP="0042447D">
            <w:pPr>
              <w:widowControl w:val="0"/>
              <w:ind w:left="0" w:firstLine="0"/>
              <w:jc w:val="left"/>
              <w:rPr>
                <w:rFonts w:asciiTheme="minorHAnsi" w:hAnsiTheme="minorHAnsi" w:cstheme="minorHAnsi"/>
                <w:iCs/>
                <w:sz w:val="22"/>
                <w:szCs w:val="22"/>
              </w:rPr>
            </w:pPr>
          </w:p>
          <w:p w14:paraId="41E66A8E" w14:textId="77777777" w:rsidR="00D22D6F" w:rsidRPr="00772E80" w:rsidDel="00D70864"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iCs/>
                <w:sz w:val="22"/>
                <w:szCs w:val="22"/>
              </w:rPr>
              <w:t xml:space="preserve">**There are not cost included but will have financial implications  </w:t>
            </w:r>
          </w:p>
        </w:tc>
      </w:tr>
      <w:tr w:rsidR="00D22D6F" w:rsidRPr="00772E80" w14:paraId="61A105E1" w14:textId="77777777" w:rsidTr="00165BEA">
        <w:trPr>
          <w:cantSplit/>
        </w:trPr>
        <w:tc>
          <w:tcPr>
            <w:tcW w:w="1135" w:type="dxa"/>
            <w:vMerge w:val="restart"/>
            <w:shd w:val="clear" w:color="auto" w:fill="auto"/>
          </w:tcPr>
          <w:p w14:paraId="782137EE"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SC59/2022 Doc24.18</w:t>
            </w:r>
          </w:p>
        </w:tc>
        <w:tc>
          <w:tcPr>
            <w:tcW w:w="1842" w:type="dxa"/>
            <w:vMerge w:val="restart"/>
            <w:shd w:val="clear" w:color="auto" w:fill="auto"/>
          </w:tcPr>
          <w:p w14:paraId="2D6B9B1A"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Draft Resolution on how to structure, write and handle Convention documents and messages</w:t>
            </w:r>
          </w:p>
        </w:tc>
        <w:tc>
          <w:tcPr>
            <w:tcW w:w="2835" w:type="dxa"/>
            <w:shd w:val="clear" w:color="auto" w:fill="auto"/>
            <w:noWrap/>
          </w:tcPr>
          <w:p w14:paraId="1429EED1" w14:textId="77777777" w:rsidR="00D22D6F" w:rsidRPr="00772E80" w:rsidRDefault="00D22D6F"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bCs/>
                <w:sz w:val="22"/>
                <w:szCs w:val="22"/>
              </w:rPr>
              <w:t>The Secretariat to hold online webinars in at least all official Ramsar languages on how to write resolutions as a way of capacity-building.</w:t>
            </w:r>
          </w:p>
        </w:tc>
        <w:tc>
          <w:tcPr>
            <w:tcW w:w="1418" w:type="dxa"/>
          </w:tcPr>
          <w:p w14:paraId="27BB8E83"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*0</w:t>
            </w:r>
          </w:p>
        </w:tc>
        <w:tc>
          <w:tcPr>
            <w:tcW w:w="2126" w:type="dxa"/>
            <w:shd w:val="clear" w:color="auto" w:fill="auto"/>
          </w:tcPr>
          <w:p w14:paraId="6156EF1C" w14:textId="77777777" w:rsidR="00D22D6F" w:rsidRPr="00772E80" w:rsidRDefault="00D22D6F" w:rsidP="0042447D">
            <w:pPr>
              <w:widowControl w:val="0"/>
              <w:ind w:left="0" w:firstLine="0"/>
              <w:jc w:val="left"/>
              <w:rPr>
                <w:rFonts w:asciiTheme="minorHAnsi" w:hAnsiTheme="minorHAnsi" w:cstheme="minorHAnsi"/>
                <w:iCs/>
                <w:sz w:val="22"/>
                <w:szCs w:val="22"/>
              </w:rPr>
            </w:pPr>
            <w:r w:rsidRPr="00772E80">
              <w:rPr>
                <w:rFonts w:asciiTheme="minorHAnsi" w:hAnsiTheme="minorHAnsi" w:cstheme="minorHAnsi"/>
                <w:iCs/>
                <w:sz w:val="22"/>
                <w:szCs w:val="22"/>
              </w:rPr>
              <w:t>*The costs for translation will slightly increase.</w:t>
            </w:r>
          </w:p>
          <w:p w14:paraId="5F1FF5DD" w14:textId="77777777" w:rsidR="00D22D6F" w:rsidRPr="00772E80" w:rsidRDefault="00D22D6F" w:rsidP="0042447D">
            <w:pPr>
              <w:widowControl w:val="0"/>
              <w:ind w:left="0" w:firstLine="0"/>
              <w:jc w:val="left"/>
              <w:rPr>
                <w:rFonts w:asciiTheme="minorHAnsi" w:hAnsiTheme="minorHAnsi" w:cstheme="minorHAnsi"/>
                <w:iCs/>
                <w:sz w:val="22"/>
                <w:szCs w:val="22"/>
              </w:rPr>
            </w:pPr>
          </w:p>
          <w:p w14:paraId="68280051"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iCs/>
                <w:sz w:val="22"/>
                <w:szCs w:val="22"/>
              </w:rPr>
              <w:t>**There are not cost included but will have financial implications.</w:t>
            </w:r>
          </w:p>
        </w:tc>
      </w:tr>
      <w:tr w:rsidR="00D22D6F" w:rsidRPr="00772E80" w14:paraId="10FF1565" w14:textId="77777777" w:rsidTr="00165BEA">
        <w:trPr>
          <w:cantSplit/>
        </w:trPr>
        <w:tc>
          <w:tcPr>
            <w:tcW w:w="1135" w:type="dxa"/>
            <w:vMerge/>
            <w:shd w:val="clear" w:color="auto" w:fill="auto"/>
          </w:tcPr>
          <w:p w14:paraId="796B7C80"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2B942CB1"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6E83553E" w14:textId="77777777" w:rsidR="00D22D6F" w:rsidRPr="00772E80" w:rsidRDefault="00D22D6F"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bCs/>
                <w:sz w:val="22"/>
                <w:szCs w:val="22"/>
              </w:rPr>
              <w:t xml:space="preserve">Give advice and suggest minor amendment on draft resolutions to the authors   </w:t>
            </w:r>
          </w:p>
        </w:tc>
        <w:tc>
          <w:tcPr>
            <w:tcW w:w="1418" w:type="dxa"/>
          </w:tcPr>
          <w:p w14:paraId="3F6A2EA6"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**tbd</w:t>
            </w:r>
          </w:p>
        </w:tc>
        <w:tc>
          <w:tcPr>
            <w:tcW w:w="2126" w:type="dxa"/>
            <w:shd w:val="clear" w:color="auto" w:fill="auto"/>
          </w:tcPr>
          <w:p w14:paraId="678C6B59"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r>
      <w:tr w:rsidR="00D22D6F" w:rsidRPr="005069A3" w14:paraId="5A4BC7AF" w14:textId="77777777" w:rsidTr="00165BEA">
        <w:trPr>
          <w:cantSplit/>
        </w:trPr>
        <w:tc>
          <w:tcPr>
            <w:tcW w:w="1135" w:type="dxa"/>
            <w:vMerge/>
            <w:shd w:val="clear" w:color="auto" w:fill="auto"/>
          </w:tcPr>
          <w:p w14:paraId="24E471ED"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1842" w:type="dxa"/>
            <w:vMerge/>
            <w:shd w:val="clear" w:color="auto" w:fill="auto"/>
          </w:tcPr>
          <w:p w14:paraId="6AF34758" w14:textId="77777777" w:rsidR="00D22D6F" w:rsidRPr="00772E80" w:rsidRDefault="00D22D6F" w:rsidP="0042447D">
            <w:pPr>
              <w:widowControl w:val="0"/>
              <w:ind w:left="0" w:firstLine="0"/>
              <w:jc w:val="left"/>
              <w:rPr>
                <w:rFonts w:asciiTheme="minorHAnsi" w:hAnsiTheme="minorHAnsi" w:cstheme="minorHAnsi"/>
                <w:color w:val="000000"/>
                <w:sz w:val="22"/>
                <w:szCs w:val="22"/>
              </w:rPr>
            </w:pPr>
          </w:p>
        </w:tc>
        <w:tc>
          <w:tcPr>
            <w:tcW w:w="2835" w:type="dxa"/>
            <w:shd w:val="clear" w:color="auto" w:fill="auto"/>
            <w:noWrap/>
          </w:tcPr>
          <w:p w14:paraId="1204E84B" w14:textId="77777777" w:rsidR="00D22D6F" w:rsidRPr="00772E80" w:rsidRDefault="00D22D6F" w:rsidP="0042447D">
            <w:pPr>
              <w:widowControl w:val="0"/>
              <w:ind w:left="0" w:firstLine="0"/>
              <w:jc w:val="left"/>
              <w:rPr>
                <w:rFonts w:asciiTheme="minorHAnsi" w:hAnsiTheme="minorHAnsi" w:cstheme="minorHAnsi"/>
                <w:bCs/>
                <w:sz w:val="22"/>
                <w:szCs w:val="22"/>
              </w:rPr>
            </w:pPr>
            <w:r w:rsidRPr="00772E80">
              <w:rPr>
                <w:rFonts w:asciiTheme="minorHAnsi" w:hAnsiTheme="minorHAnsi" w:cstheme="minorHAnsi"/>
                <w:bCs/>
                <w:sz w:val="22"/>
                <w:szCs w:val="22"/>
              </w:rPr>
              <w:t xml:space="preserve">Distribution of messages by the Secretariat and decision making in the Secretariat.  </w:t>
            </w:r>
          </w:p>
        </w:tc>
        <w:tc>
          <w:tcPr>
            <w:tcW w:w="1418" w:type="dxa"/>
          </w:tcPr>
          <w:p w14:paraId="61503952" w14:textId="77777777" w:rsidR="00D22D6F" w:rsidRPr="00772E80"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color w:val="000000"/>
                <w:sz w:val="22"/>
                <w:szCs w:val="22"/>
              </w:rPr>
              <w:t>**tbd</w:t>
            </w:r>
          </w:p>
        </w:tc>
        <w:tc>
          <w:tcPr>
            <w:tcW w:w="2126" w:type="dxa"/>
            <w:shd w:val="clear" w:color="auto" w:fill="auto"/>
          </w:tcPr>
          <w:p w14:paraId="5DB3E1D8" w14:textId="77777777" w:rsidR="00D22D6F" w:rsidRPr="00772E80" w:rsidRDefault="00D22D6F" w:rsidP="0042447D">
            <w:pPr>
              <w:widowControl w:val="0"/>
              <w:ind w:left="0" w:firstLine="0"/>
              <w:jc w:val="left"/>
              <w:rPr>
                <w:rFonts w:asciiTheme="minorHAnsi" w:hAnsiTheme="minorHAnsi" w:cstheme="minorHAnsi"/>
                <w:iCs/>
                <w:sz w:val="22"/>
                <w:szCs w:val="22"/>
              </w:rPr>
            </w:pPr>
            <w:r w:rsidRPr="00772E80">
              <w:rPr>
                <w:rFonts w:asciiTheme="minorHAnsi" w:hAnsiTheme="minorHAnsi" w:cstheme="minorHAnsi"/>
                <w:iCs/>
                <w:sz w:val="22"/>
                <w:szCs w:val="22"/>
              </w:rPr>
              <w:t>**Administrative and financial implications</w:t>
            </w:r>
          </w:p>
          <w:p w14:paraId="58EBFA40" w14:textId="77777777" w:rsidR="00D22D6F" w:rsidRPr="00772E80" w:rsidRDefault="00D22D6F" w:rsidP="0042447D">
            <w:pPr>
              <w:widowControl w:val="0"/>
              <w:ind w:left="0" w:firstLine="0"/>
              <w:jc w:val="left"/>
              <w:rPr>
                <w:rFonts w:asciiTheme="minorHAnsi" w:hAnsiTheme="minorHAnsi" w:cstheme="minorHAnsi"/>
                <w:iCs/>
                <w:sz w:val="22"/>
                <w:szCs w:val="22"/>
              </w:rPr>
            </w:pPr>
          </w:p>
          <w:p w14:paraId="6FEC60D5" w14:textId="77777777" w:rsidR="00D22D6F" w:rsidRPr="00482698" w:rsidRDefault="00D22D6F" w:rsidP="0042447D">
            <w:pPr>
              <w:widowControl w:val="0"/>
              <w:ind w:left="0" w:firstLine="0"/>
              <w:jc w:val="left"/>
              <w:rPr>
                <w:rFonts w:asciiTheme="minorHAnsi" w:hAnsiTheme="minorHAnsi" w:cstheme="minorHAnsi"/>
                <w:color w:val="000000"/>
                <w:sz w:val="22"/>
                <w:szCs w:val="22"/>
              </w:rPr>
            </w:pPr>
            <w:r w:rsidRPr="00772E80">
              <w:rPr>
                <w:rFonts w:asciiTheme="minorHAnsi" w:hAnsiTheme="minorHAnsi" w:cstheme="minorHAnsi"/>
                <w:iCs/>
                <w:sz w:val="22"/>
                <w:szCs w:val="22"/>
              </w:rPr>
              <w:t>**There are not cost included but will have financial implications</w:t>
            </w:r>
            <w:r w:rsidRPr="00482698">
              <w:rPr>
                <w:rFonts w:asciiTheme="minorHAnsi" w:hAnsiTheme="minorHAnsi" w:cstheme="minorHAnsi"/>
                <w:iCs/>
                <w:sz w:val="22"/>
                <w:szCs w:val="22"/>
              </w:rPr>
              <w:t xml:space="preserve">  </w:t>
            </w:r>
          </w:p>
        </w:tc>
      </w:tr>
    </w:tbl>
    <w:p w14:paraId="01313558" w14:textId="77777777" w:rsidR="00A451D1" w:rsidRPr="005069A3" w:rsidRDefault="00A451D1" w:rsidP="00A451D1">
      <w:pPr>
        <w:widowControl w:val="0"/>
        <w:ind w:left="0" w:firstLine="0"/>
        <w:jc w:val="left"/>
        <w:rPr>
          <w:rFonts w:asciiTheme="minorHAnsi" w:hAnsiTheme="minorHAnsi" w:cstheme="minorHAnsi"/>
          <w:color w:val="000000"/>
          <w:sz w:val="22"/>
          <w:szCs w:val="22"/>
        </w:rPr>
      </w:pPr>
    </w:p>
    <w:sectPr w:rsidR="00A451D1" w:rsidRPr="005069A3" w:rsidSect="003D680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5E973" w14:textId="77777777" w:rsidR="00F5204D" w:rsidRDefault="00F5204D" w:rsidP="006058B3">
      <w:r>
        <w:separator/>
      </w:r>
    </w:p>
  </w:endnote>
  <w:endnote w:type="continuationSeparator" w:id="0">
    <w:p w14:paraId="5A9299F2" w14:textId="77777777" w:rsidR="00F5204D" w:rsidRDefault="00F5204D" w:rsidP="0060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仿宋">
    <w:altName w:val="Microsoft YaHei Light"/>
    <w:charset w:val="86"/>
    <w:family w:val="modern"/>
    <w:pitch w:val="fixed"/>
    <w:sig w:usb0="00000000"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EDE03" w14:textId="3773F3C7" w:rsidR="006058B3" w:rsidRPr="006058B3" w:rsidRDefault="00AE6055">
    <w:pPr>
      <w:pStyle w:val="Footer"/>
      <w:rPr>
        <w:rFonts w:asciiTheme="minorHAnsi" w:hAnsiTheme="minorHAnsi" w:cstheme="minorHAnsi"/>
        <w:sz w:val="20"/>
        <w:szCs w:val="20"/>
      </w:rPr>
    </w:pPr>
    <w:r w:rsidRPr="00967BF4">
      <w:rPr>
        <w:rFonts w:asciiTheme="minorHAnsi" w:hAnsiTheme="minorHAnsi" w:cstheme="minorHAnsi"/>
        <w:sz w:val="20"/>
        <w:szCs w:val="20"/>
      </w:rPr>
      <w:t>SC59</w:t>
    </w:r>
    <w:r w:rsidR="00165BEA">
      <w:rPr>
        <w:rFonts w:asciiTheme="minorHAnsi" w:hAnsiTheme="minorHAnsi" w:cstheme="minorHAnsi"/>
        <w:sz w:val="20"/>
        <w:szCs w:val="20"/>
      </w:rPr>
      <w:t>/2022</w:t>
    </w:r>
    <w:r w:rsidRPr="00967BF4">
      <w:rPr>
        <w:rFonts w:asciiTheme="minorHAnsi" w:hAnsiTheme="minorHAnsi" w:cstheme="minorHAnsi"/>
        <w:sz w:val="20"/>
        <w:szCs w:val="20"/>
      </w:rPr>
      <w:t xml:space="preserve"> Doc.</w:t>
    </w:r>
    <w:r w:rsidR="00D5325E">
      <w:rPr>
        <w:rFonts w:asciiTheme="minorHAnsi" w:hAnsiTheme="minorHAnsi" w:cstheme="minorHAnsi"/>
        <w:sz w:val="20"/>
        <w:szCs w:val="20"/>
      </w:rPr>
      <w:t>8.4</w:t>
    </w:r>
    <w:r w:rsidR="006058B3" w:rsidRPr="00967BF4">
      <w:rPr>
        <w:rFonts w:asciiTheme="minorHAnsi" w:hAnsiTheme="minorHAnsi" w:cstheme="minorHAnsi"/>
        <w:sz w:val="20"/>
        <w:szCs w:val="20"/>
      </w:rPr>
      <w:tab/>
    </w:r>
    <w:r w:rsidR="006058B3" w:rsidRPr="00967BF4">
      <w:rPr>
        <w:rFonts w:asciiTheme="minorHAnsi" w:hAnsiTheme="minorHAnsi" w:cstheme="minorHAnsi"/>
        <w:sz w:val="20"/>
        <w:szCs w:val="20"/>
      </w:rPr>
      <w:tab/>
    </w:r>
    <w:r w:rsidR="006058B3" w:rsidRPr="00967BF4">
      <w:rPr>
        <w:rFonts w:asciiTheme="minorHAnsi" w:hAnsiTheme="minorHAnsi" w:cstheme="minorHAnsi"/>
        <w:sz w:val="20"/>
        <w:szCs w:val="20"/>
      </w:rPr>
      <w:fldChar w:fldCharType="begin"/>
    </w:r>
    <w:r w:rsidR="006058B3" w:rsidRPr="00967BF4">
      <w:rPr>
        <w:rFonts w:asciiTheme="minorHAnsi" w:hAnsiTheme="minorHAnsi" w:cstheme="minorHAnsi"/>
        <w:sz w:val="20"/>
        <w:szCs w:val="20"/>
      </w:rPr>
      <w:instrText xml:space="preserve"> PAGE   \* MERGEFORMAT </w:instrText>
    </w:r>
    <w:r w:rsidR="006058B3" w:rsidRPr="00967BF4">
      <w:rPr>
        <w:rFonts w:asciiTheme="minorHAnsi" w:hAnsiTheme="minorHAnsi" w:cstheme="minorHAnsi"/>
        <w:sz w:val="20"/>
        <w:szCs w:val="20"/>
      </w:rPr>
      <w:fldChar w:fldCharType="separate"/>
    </w:r>
    <w:r w:rsidR="00165BEA">
      <w:rPr>
        <w:rFonts w:asciiTheme="minorHAnsi" w:hAnsiTheme="minorHAnsi" w:cstheme="minorHAnsi"/>
        <w:noProof/>
        <w:sz w:val="20"/>
        <w:szCs w:val="20"/>
      </w:rPr>
      <w:t>4</w:t>
    </w:r>
    <w:r w:rsidR="006058B3" w:rsidRPr="00967BF4">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D32C3" w14:textId="77777777" w:rsidR="00F5204D" w:rsidRDefault="00F5204D" w:rsidP="006058B3">
      <w:r>
        <w:separator/>
      </w:r>
    </w:p>
  </w:footnote>
  <w:footnote w:type="continuationSeparator" w:id="0">
    <w:p w14:paraId="0827F94F" w14:textId="77777777" w:rsidR="00F5204D" w:rsidRDefault="00F5204D" w:rsidP="00605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84C"/>
    <w:multiLevelType w:val="hybridMultilevel"/>
    <w:tmpl w:val="84A2A9D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B94814"/>
    <w:multiLevelType w:val="hybridMultilevel"/>
    <w:tmpl w:val="EFD6AEC6"/>
    <w:lvl w:ilvl="0" w:tplc="DFA2C69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15:restartNumberingAfterBreak="0">
    <w:nsid w:val="57786ADB"/>
    <w:multiLevelType w:val="hybridMultilevel"/>
    <w:tmpl w:val="2E9EE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2F51A4C"/>
    <w:multiLevelType w:val="hybridMultilevel"/>
    <w:tmpl w:val="0FA448C8"/>
    <w:lvl w:ilvl="0" w:tplc="4656AA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951639"/>
    <w:multiLevelType w:val="hybridMultilevel"/>
    <w:tmpl w:val="78FE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775B16"/>
    <w:multiLevelType w:val="hybridMultilevel"/>
    <w:tmpl w:val="D93C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0"/>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FD"/>
    <w:rsid w:val="0000755C"/>
    <w:rsid w:val="00013636"/>
    <w:rsid w:val="000206E7"/>
    <w:rsid w:val="00022A0A"/>
    <w:rsid w:val="000250FF"/>
    <w:rsid w:val="000267EF"/>
    <w:rsid w:val="00027DBC"/>
    <w:rsid w:val="00046B52"/>
    <w:rsid w:val="00065171"/>
    <w:rsid w:val="00065B8F"/>
    <w:rsid w:val="000737A0"/>
    <w:rsid w:val="00074DFF"/>
    <w:rsid w:val="00076CE7"/>
    <w:rsid w:val="00087E7E"/>
    <w:rsid w:val="00090B48"/>
    <w:rsid w:val="000A7F0C"/>
    <w:rsid w:val="000C73F3"/>
    <w:rsid w:val="000D0626"/>
    <w:rsid w:val="000E637A"/>
    <w:rsid w:val="000F55EE"/>
    <w:rsid w:val="001353CD"/>
    <w:rsid w:val="00141784"/>
    <w:rsid w:val="001438E6"/>
    <w:rsid w:val="00144492"/>
    <w:rsid w:val="001529FF"/>
    <w:rsid w:val="00152C0C"/>
    <w:rsid w:val="00155904"/>
    <w:rsid w:val="00165BEA"/>
    <w:rsid w:val="001A624D"/>
    <w:rsid w:val="001B1070"/>
    <w:rsid w:val="001B1EDC"/>
    <w:rsid w:val="001B6A31"/>
    <w:rsid w:val="001B6F33"/>
    <w:rsid w:val="001B7AB2"/>
    <w:rsid w:val="001C341F"/>
    <w:rsid w:val="001C4D6A"/>
    <w:rsid w:val="001D5A0F"/>
    <w:rsid w:val="001E2ECF"/>
    <w:rsid w:val="001E57F5"/>
    <w:rsid w:val="001F488E"/>
    <w:rsid w:val="00224BB3"/>
    <w:rsid w:val="002314AC"/>
    <w:rsid w:val="0025233F"/>
    <w:rsid w:val="00275E30"/>
    <w:rsid w:val="002864ED"/>
    <w:rsid w:val="00295E57"/>
    <w:rsid w:val="002A5383"/>
    <w:rsid w:val="002B429F"/>
    <w:rsid w:val="002C6100"/>
    <w:rsid w:val="002F4875"/>
    <w:rsid w:val="00303D77"/>
    <w:rsid w:val="00307B7E"/>
    <w:rsid w:val="00311716"/>
    <w:rsid w:val="003149A3"/>
    <w:rsid w:val="00317FDC"/>
    <w:rsid w:val="00343274"/>
    <w:rsid w:val="00343A90"/>
    <w:rsid w:val="003501A9"/>
    <w:rsid w:val="00354D36"/>
    <w:rsid w:val="003574E3"/>
    <w:rsid w:val="00384AA8"/>
    <w:rsid w:val="003951B5"/>
    <w:rsid w:val="003D6800"/>
    <w:rsid w:val="003E79DA"/>
    <w:rsid w:val="003F63D8"/>
    <w:rsid w:val="004063DA"/>
    <w:rsid w:val="00421460"/>
    <w:rsid w:val="00444FF1"/>
    <w:rsid w:val="00453CB9"/>
    <w:rsid w:val="004553B8"/>
    <w:rsid w:val="00473C47"/>
    <w:rsid w:val="00482698"/>
    <w:rsid w:val="004911DF"/>
    <w:rsid w:val="00491BEE"/>
    <w:rsid w:val="004C6C80"/>
    <w:rsid w:val="004E0DB3"/>
    <w:rsid w:val="004F0C81"/>
    <w:rsid w:val="004F2362"/>
    <w:rsid w:val="004F7BE5"/>
    <w:rsid w:val="005069A3"/>
    <w:rsid w:val="005078BB"/>
    <w:rsid w:val="0051038A"/>
    <w:rsid w:val="00524FEB"/>
    <w:rsid w:val="00535F9D"/>
    <w:rsid w:val="00557311"/>
    <w:rsid w:val="00557635"/>
    <w:rsid w:val="00561CB9"/>
    <w:rsid w:val="005653D8"/>
    <w:rsid w:val="005855E2"/>
    <w:rsid w:val="00591F47"/>
    <w:rsid w:val="00594ED0"/>
    <w:rsid w:val="005A3E31"/>
    <w:rsid w:val="005A5742"/>
    <w:rsid w:val="005C4558"/>
    <w:rsid w:val="005C6528"/>
    <w:rsid w:val="005D106B"/>
    <w:rsid w:val="00601430"/>
    <w:rsid w:val="006058B3"/>
    <w:rsid w:val="006320E6"/>
    <w:rsid w:val="00634417"/>
    <w:rsid w:val="00644C1D"/>
    <w:rsid w:val="006451A9"/>
    <w:rsid w:val="00663013"/>
    <w:rsid w:val="0066368E"/>
    <w:rsid w:val="0068240A"/>
    <w:rsid w:val="00685785"/>
    <w:rsid w:val="00686267"/>
    <w:rsid w:val="00695535"/>
    <w:rsid w:val="00696FF1"/>
    <w:rsid w:val="006978F0"/>
    <w:rsid w:val="006A5172"/>
    <w:rsid w:val="006A7C44"/>
    <w:rsid w:val="006B72AF"/>
    <w:rsid w:val="006F30DC"/>
    <w:rsid w:val="006F48CA"/>
    <w:rsid w:val="007114C9"/>
    <w:rsid w:val="00713A51"/>
    <w:rsid w:val="007350D4"/>
    <w:rsid w:val="00746135"/>
    <w:rsid w:val="00750225"/>
    <w:rsid w:val="007557D5"/>
    <w:rsid w:val="0075712F"/>
    <w:rsid w:val="00772E80"/>
    <w:rsid w:val="00773024"/>
    <w:rsid w:val="00780AFD"/>
    <w:rsid w:val="00795C6E"/>
    <w:rsid w:val="007A38D2"/>
    <w:rsid w:val="007A58EA"/>
    <w:rsid w:val="007C36A8"/>
    <w:rsid w:val="007F15B5"/>
    <w:rsid w:val="007F7F60"/>
    <w:rsid w:val="008047D8"/>
    <w:rsid w:val="00807C3B"/>
    <w:rsid w:val="008116CB"/>
    <w:rsid w:val="00853A4C"/>
    <w:rsid w:val="00857CD6"/>
    <w:rsid w:val="00863D03"/>
    <w:rsid w:val="00873BE1"/>
    <w:rsid w:val="00885247"/>
    <w:rsid w:val="00886642"/>
    <w:rsid w:val="0089103F"/>
    <w:rsid w:val="008952D7"/>
    <w:rsid w:val="008A1B89"/>
    <w:rsid w:val="008B6904"/>
    <w:rsid w:val="008C1D57"/>
    <w:rsid w:val="008C2764"/>
    <w:rsid w:val="008D0D24"/>
    <w:rsid w:val="008D1C4F"/>
    <w:rsid w:val="008F2E14"/>
    <w:rsid w:val="00905A09"/>
    <w:rsid w:val="00910559"/>
    <w:rsid w:val="00943E75"/>
    <w:rsid w:val="00956B48"/>
    <w:rsid w:val="00960912"/>
    <w:rsid w:val="00967BF4"/>
    <w:rsid w:val="0097291E"/>
    <w:rsid w:val="00973990"/>
    <w:rsid w:val="0097657A"/>
    <w:rsid w:val="00984032"/>
    <w:rsid w:val="0098508D"/>
    <w:rsid w:val="009978A7"/>
    <w:rsid w:val="009A4362"/>
    <w:rsid w:val="009B10DA"/>
    <w:rsid w:val="009B2C8F"/>
    <w:rsid w:val="009B687A"/>
    <w:rsid w:val="009B769F"/>
    <w:rsid w:val="009C24AD"/>
    <w:rsid w:val="009C4474"/>
    <w:rsid w:val="009C6711"/>
    <w:rsid w:val="009D3818"/>
    <w:rsid w:val="009D4F79"/>
    <w:rsid w:val="009D6313"/>
    <w:rsid w:val="009E03EE"/>
    <w:rsid w:val="009E159F"/>
    <w:rsid w:val="00A01347"/>
    <w:rsid w:val="00A01851"/>
    <w:rsid w:val="00A10B27"/>
    <w:rsid w:val="00A156E5"/>
    <w:rsid w:val="00A2244A"/>
    <w:rsid w:val="00A24454"/>
    <w:rsid w:val="00A32562"/>
    <w:rsid w:val="00A451D1"/>
    <w:rsid w:val="00A52A09"/>
    <w:rsid w:val="00A64F64"/>
    <w:rsid w:val="00A66157"/>
    <w:rsid w:val="00A66527"/>
    <w:rsid w:val="00A7752F"/>
    <w:rsid w:val="00A82FE8"/>
    <w:rsid w:val="00AA2EDD"/>
    <w:rsid w:val="00AB00C2"/>
    <w:rsid w:val="00AB60B1"/>
    <w:rsid w:val="00AC138B"/>
    <w:rsid w:val="00AC56C4"/>
    <w:rsid w:val="00AD0037"/>
    <w:rsid w:val="00AD2236"/>
    <w:rsid w:val="00AE6055"/>
    <w:rsid w:val="00AE7B3F"/>
    <w:rsid w:val="00AF1A7C"/>
    <w:rsid w:val="00AF25A0"/>
    <w:rsid w:val="00AF2D24"/>
    <w:rsid w:val="00B02590"/>
    <w:rsid w:val="00B10629"/>
    <w:rsid w:val="00B1462E"/>
    <w:rsid w:val="00B17F01"/>
    <w:rsid w:val="00B25366"/>
    <w:rsid w:val="00B44012"/>
    <w:rsid w:val="00B50635"/>
    <w:rsid w:val="00B556D3"/>
    <w:rsid w:val="00B64C7E"/>
    <w:rsid w:val="00B9629C"/>
    <w:rsid w:val="00BA3A1E"/>
    <w:rsid w:val="00BB61DD"/>
    <w:rsid w:val="00BC31BC"/>
    <w:rsid w:val="00BC5325"/>
    <w:rsid w:val="00BD2193"/>
    <w:rsid w:val="00BE0188"/>
    <w:rsid w:val="00BE2889"/>
    <w:rsid w:val="00BE4075"/>
    <w:rsid w:val="00C30C01"/>
    <w:rsid w:val="00C32315"/>
    <w:rsid w:val="00C36260"/>
    <w:rsid w:val="00C41747"/>
    <w:rsid w:val="00C56C0A"/>
    <w:rsid w:val="00C63E7B"/>
    <w:rsid w:val="00C6401E"/>
    <w:rsid w:val="00C648EB"/>
    <w:rsid w:val="00C65B97"/>
    <w:rsid w:val="00CA19C8"/>
    <w:rsid w:val="00CA43DA"/>
    <w:rsid w:val="00CC14FE"/>
    <w:rsid w:val="00D04785"/>
    <w:rsid w:val="00D22D6F"/>
    <w:rsid w:val="00D37C9C"/>
    <w:rsid w:val="00D415F5"/>
    <w:rsid w:val="00D5325E"/>
    <w:rsid w:val="00D644E3"/>
    <w:rsid w:val="00D70864"/>
    <w:rsid w:val="00D86598"/>
    <w:rsid w:val="00DC0AFC"/>
    <w:rsid w:val="00DF1EBC"/>
    <w:rsid w:val="00DF3152"/>
    <w:rsid w:val="00E06E63"/>
    <w:rsid w:val="00E07995"/>
    <w:rsid w:val="00E101A9"/>
    <w:rsid w:val="00E122ED"/>
    <w:rsid w:val="00E14014"/>
    <w:rsid w:val="00E25AA5"/>
    <w:rsid w:val="00E414F9"/>
    <w:rsid w:val="00E41D81"/>
    <w:rsid w:val="00E4593D"/>
    <w:rsid w:val="00E507B6"/>
    <w:rsid w:val="00E5772D"/>
    <w:rsid w:val="00E57E6C"/>
    <w:rsid w:val="00E67184"/>
    <w:rsid w:val="00E70C14"/>
    <w:rsid w:val="00E9062A"/>
    <w:rsid w:val="00E95E62"/>
    <w:rsid w:val="00EB248D"/>
    <w:rsid w:val="00EB5FFE"/>
    <w:rsid w:val="00ED3C9E"/>
    <w:rsid w:val="00EE11FB"/>
    <w:rsid w:val="00F00776"/>
    <w:rsid w:val="00F022D4"/>
    <w:rsid w:val="00F04CFC"/>
    <w:rsid w:val="00F12993"/>
    <w:rsid w:val="00F14174"/>
    <w:rsid w:val="00F40DCA"/>
    <w:rsid w:val="00F44FBF"/>
    <w:rsid w:val="00F5204D"/>
    <w:rsid w:val="00F536C7"/>
    <w:rsid w:val="00F86F5D"/>
    <w:rsid w:val="00F87343"/>
    <w:rsid w:val="00FB7720"/>
    <w:rsid w:val="00FC3682"/>
    <w:rsid w:val="00FC5F91"/>
    <w:rsid w:val="00FD282B"/>
    <w:rsid w:val="00FE63C6"/>
    <w:rsid w:val="00FF1427"/>
    <w:rsid w:val="00FF5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F2A6"/>
  <w15:chartTrackingRefBased/>
  <w15:docId w15:val="{465E57F8-2E7A-4441-A14F-7C36034E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8F"/>
    <w:pPr>
      <w:spacing w:after="0" w:line="240" w:lineRule="auto"/>
      <w:ind w:left="357" w:hanging="357"/>
      <w:jc w:val="both"/>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B8F"/>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character" w:customStyle="1" w:styleId="EnlacedeInternet">
    <w:name w:val="Enlace de Internet"/>
    <w:basedOn w:val="DefaultParagraphFont"/>
    <w:rsid w:val="001C4D6A"/>
    <w:rPr>
      <w:color w:val="0000FF"/>
      <w:u w:val="single"/>
    </w:rPr>
  </w:style>
  <w:style w:type="paragraph" w:styleId="ListParagraph">
    <w:name w:val="List Paragraph"/>
    <w:aliases w:val="Rec para"/>
    <w:basedOn w:val="Normal"/>
    <w:link w:val="ListParagraphChar"/>
    <w:uiPriority w:val="34"/>
    <w:qFormat/>
    <w:rsid w:val="0063441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Rec para Char"/>
    <w:link w:val="ListParagraph"/>
    <w:uiPriority w:val="34"/>
    <w:locked/>
    <w:rsid w:val="00634417"/>
  </w:style>
  <w:style w:type="character" w:styleId="CommentReference">
    <w:name w:val="annotation reference"/>
    <w:basedOn w:val="DefaultParagraphFont"/>
    <w:uiPriority w:val="99"/>
    <w:semiHidden/>
    <w:unhideWhenUsed/>
    <w:rsid w:val="00AE7B3F"/>
    <w:rPr>
      <w:sz w:val="16"/>
      <w:szCs w:val="16"/>
    </w:rPr>
  </w:style>
  <w:style w:type="paragraph" w:styleId="CommentText">
    <w:name w:val="annotation text"/>
    <w:basedOn w:val="Normal"/>
    <w:link w:val="CommentTextChar"/>
    <w:uiPriority w:val="99"/>
    <w:unhideWhenUsed/>
    <w:rsid w:val="00AE7B3F"/>
    <w:rPr>
      <w:sz w:val="20"/>
      <w:szCs w:val="20"/>
    </w:rPr>
  </w:style>
  <w:style w:type="character" w:customStyle="1" w:styleId="CommentTextChar">
    <w:name w:val="Comment Text Char"/>
    <w:basedOn w:val="DefaultParagraphFont"/>
    <w:link w:val="CommentText"/>
    <w:uiPriority w:val="99"/>
    <w:rsid w:val="00AE7B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7B3F"/>
    <w:rPr>
      <w:b/>
      <w:bCs/>
    </w:rPr>
  </w:style>
  <w:style w:type="character" w:customStyle="1" w:styleId="CommentSubjectChar">
    <w:name w:val="Comment Subject Char"/>
    <w:basedOn w:val="CommentTextChar"/>
    <w:link w:val="CommentSubject"/>
    <w:uiPriority w:val="99"/>
    <w:semiHidden/>
    <w:rsid w:val="00AE7B3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E7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3F"/>
    <w:rPr>
      <w:rFonts w:ascii="Segoe UI" w:eastAsia="Times New Roman" w:hAnsi="Segoe UI" w:cs="Segoe UI"/>
      <w:sz w:val="18"/>
      <w:szCs w:val="18"/>
      <w:lang w:eastAsia="en-GB"/>
    </w:rPr>
  </w:style>
  <w:style w:type="paragraph" w:styleId="BodyText">
    <w:name w:val="Body Text"/>
    <w:basedOn w:val="Normal"/>
    <w:link w:val="BodyTextChar"/>
    <w:uiPriority w:val="1"/>
    <w:qFormat/>
    <w:rsid w:val="00960912"/>
    <w:pPr>
      <w:widowControl w:val="0"/>
      <w:autoSpaceDE w:val="0"/>
      <w:autoSpaceDN w:val="0"/>
      <w:ind w:left="0" w:firstLine="0"/>
      <w:jc w:val="left"/>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960912"/>
    <w:rPr>
      <w:rFonts w:ascii="Calibri" w:eastAsia="Calibri" w:hAnsi="Calibri" w:cs="Calibri"/>
      <w:sz w:val="24"/>
      <w:szCs w:val="24"/>
      <w:lang w:val="en-US"/>
    </w:rPr>
  </w:style>
  <w:style w:type="paragraph" w:customStyle="1" w:styleId="ColorfulList-Accent11">
    <w:name w:val="Colorful List - Accent 11"/>
    <w:basedOn w:val="Normal"/>
    <w:uiPriority w:val="34"/>
    <w:qFormat/>
    <w:rsid w:val="007F7F60"/>
    <w:pPr>
      <w:ind w:left="720" w:hanging="425"/>
      <w:contextualSpacing/>
      <w:jc w:val="left"/>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6058B3"/>
    <w:rPr>
      <w:sz w:val="20"/>
      <w:szCs w:val="20"/>
    </w:rPr>
  </w:style>
  <w:style w:type="character" w:customStyle="1" w:styleId="FootnoteTextChar">
    <w:name w:val="Footnote Text Char"/>
    <w:basedOn w:val="DefaultParagraphFont"/>
    <w:link w:val="FootnoteText"/>
    <w:uiPriority w:val="99"/>
    <w:semiHidden/>
    <w:rsid w:val="006058B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058B3"/>
    <w:rPr>
      <w:vertAlign w:val="superscript"/>
    </w:rPr>
  </w:style>
  <w:style w:type="character" w:styleId="Hyperlink">
    <w:name w:val="Hyperlink"/>
    <w:basedOn w:val="DefaultParagraphFont"/>
    <w:uiPriority w:val="99"/>
    <w:unhideWhenUsed/>
    <w:rsid w:val="006058B3"/>
    <w:rPr>
      <w:color w:val="0000FF"/>
      <w:u w:val="single"/>
    </w:rPr>
  </w:style>
  <w:style w:type="paragraph" w:styleId="Header">
    <w:name w:val="header"/>
    <w:basedOn w:val="Normal"/>
    <w:link w:val="HeaderChar"/>
    <w:uiPriority w:val="99"/>
    <w:unhideWhenUsed/>
    <w:rsid w:val="006058B3"/>
    <w:pPr>
      <w:tabs>
        <w:tab w:val="center" w:pos="4513"/>
        <w:tab w:val="right" w:pos="9026"/>
      </w:tabs>
    </w:pPr>
  </w:style>
  <w:style w:type="character" w:customStyle="1" w:styleId="HeaderChar">
    <w:name w:val="Header Char"/>
    <w:basedOn w:val="DefaultParagraphFont"/>
    <w:link w:val="Header"/>
    <w:uiPriority w:val="99"/>
    <w:rsid w:val="00605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58B3"/>
    <w:pPr>
      <w:tabs>
        <w:tab w:val="center" w:pos="4513"/>
        <w:tab w:val="right" w:pos="9026"/>
      </w:tabs>
    </w:pPr>
  </w:style>
  <w:style w:type="character" w:customStyle="1" w:styleId="FooterChar">
    <w:name w:val="Footer Char"/>
    <w:basedOn w:val="DefaultParagraphFont"/>
    <w:link w:val="Footer"/>
    <w:uiPriority w:val="99"/>
    <w:rsid w:val="006058B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67BF4"/>
    <w:rPr>
      <w:color w:val="954F72" w:themeColor="followedHyperlink"/>
      <w:u w:val="single"/>
    </w:rPr>
  </w:style>
  <w:style w:type="paragraph" w:styleId="Revision">
    <w:name w:val="Revision"/>
    <w:hidden/>
    <w:uiPriority w:val="99"/>
    <w:semiHidden/>
    <w:rsid w:val="00482698"/>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45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4327">
      <w:bodyDiv w:val="1"/>
      <w:marLeft w:val="0"/>
      <w:marRight w:val="0"/>
      <w:marTop w:val="0"/>
      <w:marBottom w:val="0"/>
      <w:divBdr>
        <w:top w:val="none" w:sz="0" w:space="0" w:color="auto"/>
        <w:left w:val="none" w:sz="0" w:space="0" w:color="auto"/>
        <w:bottom w:val="none" w:sz="0" w:space="0" w:color="auto"/>
        <w:right w:val="none" w:sz="0" w:space="0" w:color="auto"/>
      </w:divBdr>
    </w:div>
    <w:div w:id="248465961">
      <w:bodyDiv w:val="1"/>
      <w:marLeft w:val="0"/>
      <w:marRight w:val="0"/>
      <w:marTop w:val="0"/>
      <w:marBottom w:val="0"/>
      <w:divBdr>
        <w:top w:val="none" w:sz="0" w:space="0" w:color="auto"/>
        <w:left w:val="none" w:sz="0" w:space="0" w:color="auto"/>
        <w:bottom w:val="none" w:sz="0" w:space="0" w:color="auto"/>
        <w:right w:val="none" w:sz="0" w:space="0" w:color="auto"/>
      </w:divBdr>
    </w:div>
    <w:div w:id="410977514">
      <w:bodyDiv w:val="1"/>
      <w:marLeft w:val="0"/>
      <w:marRight w:val="0"/>
      <w:marTop w:val="0"/>
      <w:marBottom w:val="0"/>
      <w:divBdr>
        <w:top w:val="none" w:sz="0" w:space="0" w:color="auto"/>
        <w:left w:val="none" w:sz="0" w:space="0" w:color="auto"/>
        <w:bottom w:val="none" w:sz="0" w:space="0" w:color="auto"/>
        <w:right w:val="none" w:sz="0" w:space="0" w:color="auto"/>
      </w:divBdr>
    </w:div>
    <w:div w:id="426198269">
      <w:bodyDiv w:val="1"/>
      <w:marLeft w:val="0"/>
      <w:marRight w:val="0"/>
      <w:marTop w:val="0"/>
      <w:marBottom w:val="0"/>
      <w:divBdr>
        <w:top w:val="none" w:sz="0" w:space="0" w:color="auto"/>
        <w:left w:val="none" w:sz="0" w:space="0" w:color="auto"/>
        <w:bottom w:val="none" w:sz="0" w:space="0" w:color="auto"/>
        <w:right w:val="none" w:sz="0" w:space="0" w:color="auto"/>
      </w:divBdr>
    </w:div>
    <w:div w:id="834761879">
      <w:bodyDiv w:val="1"/>
      <w:marLeft w:val="0"/>
      <w:marRight w:val="0"/>
      <w:marTop w:val="0"/>
      <w:marBottom w:val="0"/>
      <w:divBdr>
        <w:top w:val="none" w:sz="0" w:space="0" w:color="auto"/>
        <w:left w:val="none" w:sz="0" w:space="0" w:color="auto"/>
        <w:bottom w:val="none" w:sz="0" w:space="0" w:color="auto"/>
        <w:right w:val="none" w:sz="0" w:space="0" w:color="auto"/>
      </w:divBdr>
    </w:div>
    <w:div w:id="957102199">
      <w:bodyDiv w:val="1"/>
      <w:marLeft w:val="0"/>
      <w:marRight w:val="0"/>
      <w:marTop w:val="0"/>
      <w:marBottom w:val="0"/>
      <w:divBdr>
        <w:top w:val="none" w:sz="0" w:space="0" w:color="auto"/>
        <w:left w:val="none" w:sz="0" w:space="0" w:color="auto"/>
        <w:bottom w:val="none" w:sz="0" w:space="0" w:color="auto"/>
        <w:right w:val="none" w:sz="0" w:space="0" w:color="auto"/>
      </w:divBdr>
    </w:div>
    <w:div w:id="960766400">
      <w:bodyDiv w:val="1"/>
      <w:marLeft w:val="0"/>
      <w:marRight w:val="0"/>
      <w:marTop w:val="0"/>
      <w:marBottom w:val="0"/>
      <w:divBdr>
        <w:top w:val="none" w:sz="0" w:space="0" w:color="auto"/>
        <w:left w:val="none" w:sz="0" w:space="0" w:color="auto"/>
        <w:bottom w:val="none" w:sz="0" w:space="0" w:color="auto"/>
        <w:right w:val="none" w:sz="0" w:space="0" w:color="auto"/>
      </w:divBdr>
    </w:div>
    <w:div w:id="1320187299">
      <w:bodyDiv w:val="1"/>
      <w:marLeft w:val="0"/>
      <w:marRight w:val="0"/>
      <w:marTop w:val="0"/>
      <w:marBottom w:val="0"/>
      <w:divBdr>
        <w:top w:val="none" w:sz="0" w:space="0" w:color="auto"/>
        <w:left w:val="none" w:sz="0" w:space="0" w:color="auto"/>
        <w:bottom w:val="none" w:sz="0" w:space="0" w:color="auto"/>
        <w:right w:val="none" w:sz="0" w:space="0" w:color="auto"/>
      </w:divBdr>
    </w:div>
    <w:div w:id="1489589704">
      <w:bodyDiv w:val="1"/>
      <w:marLeft w:val="0"/>
      <w:marRight w:val="0"/>
      <w:marTop w:val="0"/>
      <w:marBottom w:val="0"/>
      <w:divBdr>
        <w:top w:val="none" w:sz="0" w:space="0" w:color="auto"/>
        <w:left w:val="none" w:sz="0" w:space="0" w:color="auto"/>
        <w:bottom w:val="none" w:sz="0" w:space="0" w:color="auto"/>
        <w:right w:val="none" w:sz="0" w:space="0" w:color="auto"/>
      </w:divBdr>
    </w:div>
    <w:div w:id="1499542462">
      <w:bodyDiv w:val="1"/>
      <w:marLeft w:val="0"/>
      <w:marRight w:val="0"/>
      <w:marTop w:val="0"/>
      <w:marBottom w:val="0"/>
      <w:divBdr>
        <w:top w:val="none" w:sz="0" w:space="0" w:color="auto"/>
        <w:left w:val="none" w:sz="0" w:space="0" w:color="auto"/>
        <w:bottom w:val="none" w:sz="0" w:space="0" w:color="auto"/>
        <w:right w:val="none" w:sz="0" w:space="0" w:color="auto"/>
      </w:divBdr>
    </w:div>
    <w:div w:id="16544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28499A3D4EBC46A54B223F15BF4755" ma:contentTypeVersion="14" ma:contentTypeDescription="Create a new document." ma:contentTypeScope="" ma:versionID="e19d1ba65b16215b94192fe30fef1093">
  <xsd:schema xmlns:xsd="http://www.w3.org/2001/XMLSchema" xmlns:xs="http://www.w3.org/2001/XMLSchema" xmlns:p="http://schemas.microsoft.com/office/2006/metadata/properties" xmlns:ns3="682f1ccd-e5c5-43c9-b9d9-dd72e0a643d0" xmlns:ns4="75035800-fbd9-4494-bf62-86cc10c5d50d" targetNamespace="http://schemas.microsoft.com/office/2006/metadata/properties" ma:root="true" ma:fieldsID="793f03ab7b181d42bf7ece909e5aba98" ns3:_="" ns4:_="">
    <xsd:import namespace="682f1ccd-e5c5-43c9-b9d9-dd72e0a643d0"/>
    <xsd:import namespace="75035800-fbd9-4494-bf62-86cc10c5d5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f1ccd-e5c5-43c9-b9d9-dd72e0a64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35800-fbd9-4494-bf62-86cc10c5d5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71A80-3EB5-4641-8AA9-F2C9D0472AE0}">
  <ds:schemaRefs>
    <ds:schemaRef ds:uri="75035800-fbd9-4494-bf62-86cc10c5d50d"/>
    <ds:schemaRef ds:uri="http://schemas.microsoft.com/office/2006/documentManagement/types"/>
    <ds:schemaRef ds:uri="http://schemas.microsoft.com/office/infopath/2007/PartnerControls"/>
    <ds:schemaRef ds:uri="http://www.w3.org/XML/1998/namespace"/>
    <ds:schemaRef ds:uri="682f1ccd-e5c5-43c9-b9d9-dd72e0a643d0"/>
    <ds:schemaRef ds:uri="http://schemas.openxmlformats.org/package/2006/metadata/core-properties"/>
    <ds:schemaRef ds:uri="http://purl.org/dc/term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063F06C2-A773-4AD3-A05C-458A023A3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f1ccd-e5c5-43c9-b9d9-dd72e0a643d0"/>
    <ds:schemaRef ds:uri="75035800-fbd9-4494-bf62-86cc10c5d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EA916-19D4-4B41-800A-1B7C448A1581}">
  <ds:schemaRefs>
    <ds:schemaRef ds:uri="http://schemas.microsoft.com/sharepoint/v3/contenttype/forms"/>
  </ds:schemaRefs>
</ds:datastoreItem>
</file>

<file path=customXml/itemProps4.xml><?xml version="1.0" encoding="utf-8"?>
<ds:datastoreItem xmlns:ds="http://schemas.openxmlformats.org/officeDocument/2006/customXml" ds:itemID="{51A9F202-1F11-4414-8194-32B0AACF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2111</Words>
  <Characters>12036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Maria</dc:creator>
  <cp:keywords/>
  <dc:description/>
  <cp:lastModifiedBy>Ed Jennings</cp:lastModifiedBy>
  <cp:revision>2</cp:revision>
  <dcterms:created xsi:type="dcterms:W3CDTF">2022-05-20T09:52:00Z</dcterms:created>
  <dcterms:modified xsi:type="dcterms:W3CDTF">2022-05-20T09:52:00Z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0x0101009528499A3D4EBC46A54B223F15BF4755</vt:lpwstr>
  </property>
</Properties>
</file>