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9CE5" w14:textId="77777777" w:rsidR="0072250A" w:rsidRPr="00814222" w:rsidRDefault="0072250A" w:rsidP="0072250A">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cstheme="minorHAnsi"/>
          <w:bCs/>
          <w:noProof/>
          <w:szCs w:val="20"/>
          <w:lang w:val="es-ES"/>
        </w:rPr>
      </w:pPr>
      <w:r w:rsidRPr="00814222">
        <w:rPr>
          <w:rFonts w:cstheme="minorHAnsi"/>
          <w:bCs/>
          <w:noProof/>
          <w:szCs w:val="20"/>
          <w:lang w:val="es-ES"/>
        </w:rPr>
        <w:t>LA CONVENCIÓN SOBRE LOS HUMEDALES</w:t>
      </w:r>
    </w:p>
    <w:p w14:paraId="4F00DE5F" w14:textId="77777777" w:rsidR="0072250A" w:rsidRPr="00814222" w:rsidRDefault="0072250A" w:rsidP="0072250A">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cstheme="minorHAnsi"/>
          <w:bCs/>
          <w:noProof/>
          <w:szCs w:val="20"/>
          <w:lang w:val="es-ES"/>
        </w:rPr>
      </w:pPr>
      <w:r w:rsidRPr="00814222">
        <w:rPr>
          <w:rFonts w:cstheme="minorHAnsi"/>
          <w:bCs/>
          <w:noProof/>
          <w:szCs w:val="20"/>
          <w:lang w:val="es-ES"/>
        </w:rPr>
        <w:t>59ª Reunión del Comité Permanente</w:t>
      </w:r>
    </w:p>
    <w:p w14:paraId="6F5FD2E7" w14:textId="082D2307" w:rsidR="0072250A" w:rsidRPr="00814222" w:rsidRDefault="00D270F1" w:rsidP="0072250A">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cstheme="minorHAnsi"/>
          <w:bCs/>
          <w:noProof/>
          <w:szCs w:val="20"/>
          <w:lang w:val="es-ES"/>
        </w:rPr>
      </w:pPr>
      <w:r>
        <w:rPr>
          <w:rFonts w:cstheme="minorHAnsi"/>
          <w:bCs/>
          <w:noProof/>
          <w:szCs w:val="20"/>
          <w:lang w:val="es-ES"/>
        </w:rPr>
        <w:t>Reanud</w:t>
      </w:r>
      <w:r w:rsidR="0072250A" w:rsidRPr="00814222">
        <w:rPr>
          <w:rFonts w:cstheme="minorHAnsi"/>
          <w:bCs/>
          <w:noProof/>
          <w:szCs w:val="20"/>
          <w:lang w:val="es-ES"/>
        </w:rPr>
        <w:t>ación de la reunión</w:t>
      </w:r>
    </w:p>
    <w:p w14:paraId="4A2AD371" w14:textId="77777777" w:rsidR="0072250A" w:rsidRPr="00814222" w:rsidRDefault="0072250A" w:rsidP="0072250A">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cstheme="minorHAnsi"/>
          <w:bCs/>
          <w:noProof/>
          <w:szCs w:val="20"/>
          <w:lang w:val="es-ES"/>
        </w:rPr>
      </w:pPr>
      <w:r w:rsidRPr="00814222">
        <w:rPr>
          <w:rFonts w:cstheme="minorHAnsi"/>
          <w:bCs/>
          <w:noProof/>
          <w:szCs w:val="20"/>
          <w:lang w:val="es-ES"/>
        </w:rPr>
        <w:t>Gland, Suiza, 23 a 27 de mayo de 2022</w:t>
      </w:r>
    </w:p>
    <w:p w14:paraId="67FE62B3" w14:textId="77777777" w:rsidR="0072250A" w:rsidRPr="00814222" w:rsidRDefault="0072250A" w:rsidP="0072250A">
      <w:pPr>
        <w:outlineLvl w:val="0"/>
        <w:rPr>
          <w:rFonts w:asciiTheme="minorHAnsi" w:hAnsiTheme="minorHAnsi" w:cstheme="minorHAnsi"/>
          <w:b/>
          <w:noProof/>
          <w:sz w:val="28"/>
          <w:szCs w:val="28"/>
          <w:lang w:val="es-ES"/>
        </w:rPr>
      </w:pPr>
    </w:p>
    <w:p w14:paraId="251D6643" w14:textId="77777777" w:rsidR="0072250A" w:rsidRPr="00814222" w:rsidRDefault="0072250A" w:rsidP="0072250A">
      <w:pPr>
        <w:jc w:val="right"/>
        <w:rPr>
          <w:rFonts w:asciiTheme="minorHAnsi" w:hAnsiTheme="minorHAnsi" w:cstheme="minorHAnsi"/>
          <w:noProof/>
          <w:sz w:val="28"/>
          <w:szCs w:val="28"/>
          <w:lang w:val="es-ES"/>
        </w:rPr>
      </w:pPr>
      <w:r w:rsidRPr="00814222">
        <w:rPr>
          <w:rFonts w:asciiTheme="minorHAnsi" w:hAnsiTheme="minorHAnsi" w:cstheme="minorHAnsi"/>
          <w:b/>
          <w:noProof/>
          <w:sz w:val="28"/>
          <w:szCs w:val="28"/>
          <w:lang w:val="es-ES"/>
        </w:rPr>
        <w:t xml:space="preserve">SC59/2022 Doc.8.3 </w:t>
      </w:r>
    </w:p>
    <w:p w14:paraId="73E8EE21" w14:textId="77777777" w:rsidR="0072250A" w:rsidRPr="00814222" w:rsidRDefault="0072250A" w:rsidP="0072250A">
      <w:pPr>
        <w:ind w:left="0" w:firstLine="0"/>
        <w:rPr>
          <w:rFonts w:asciiTheme="minorHAnsi" w:hAnsiTheme="minorHAnsi" w:cstheme="minorHAnsi"/>
          <w:b/>
          <w:noProof/>
          <w:sz w:val="28"/>
          <w:szCs w:val="28"/>
          <w:lang w:val="es-ES"/>
        </w:rPr>
      </w:pPr>
    </w:p>
    <w:p w14:paraId="4A04675E" w14:textId="77777777" w:rsidR="0072250A" w:rsidRPr="00814222" w:rsidRDefault="0072250A" w:rsidP="0072250A">
      <w:pPr>
        <w:ind w:left="0" w:firstLine="0"/>
        <w:jc w:val="center"/>
        <w:rPr>
          <w:rFonts w:asciiTheme="minorHAnsi" w:hAnsiTheme="minorHAnsi" w:cstheme="minorHAnsi"/>
          <w:b/>
          <w:noProof/>
          <w:sz w:val="28"/>
          <w:szCs w:val="28"/>
          <w:lang w:val="es-ES"/>
        </w:rPr>
      </w:pPr>
      <w:r w:rsidRPr="00814222">
        <w:rPr>
          <w:rFonts w:asciiTheme="minorHAnsi" w:hAnsiTheme="minorHAnsi" w:cstheme="minorHAnsi"/>
          <w:b/>
          <w:noProof/>
          <w:sz w:val="28"/>
          <w:szCs w:val="28"/>
          <w:lang w:val="es-ES"/>
        </w:rPr>
        <w:t xml:space="preserve">Escenarios presupuestarios para 2023-2025 y </w:t>
      </w:r>
    </w:p>
    <w:p w14:paraId="25FE52E6" w14:textId="77777777" w:rsidR="0072250A" w:rsidRPr="00814222" w:rsidRDefault="0072250A" w:rsidP="0072250A">
      <w:pPr>
        <w:ind w:left="0" w:firstLine="0"/>
        <w:jc w:val="center"/>
        <w:rPr>
          <w:rFonts w:asciiTheme="minorHAnsi" w:hAnsiTheme="minorHAnsi" w:cstheme="minorHAnsi"/>
          <w:b/>
          <w:noProof/>
          <w:sz w:val="28"/>
          <w:szCs w:val="28"/>
          <w:lang w:val="es-ES"/>
        </w:rPr>
      </w:pPr>
      <w:r w:rsidRPr="00814222">
        <w:rPr>
          <w:rFonts w:asciiTheme="minorHAnsi" w:hAnsiTheme="minorHAnsi" w:cstheme="minorHAnsi"/>
          <w:b/>
          <w:noProof/>
          <w:sz w:val="28"/>
          <w:szCs w:val="28"/>
          <w:lang w:val="es-ES"/>
        </w:rPr>
        <w:t>proyecto de resolución sobre cuestiones financieras y presupuestarias</w:t>
      </w:r>
    </w:p>
    <w:p w14:paraId="28BEFB8D" w14:textId="77777777" w:rsidR="0072250A" w:rsidRPr="00814222" w:rsidRDefault="0072250A" w:rsidP="0072250A">
      <w:pPr>
        <w:ind w:left="0" w:firstLine="0"/>
        <w:jc w:val="center"/>
        <w:rPr>
          <w:rFonts w:asciiTheme="minorHAnsi" w:hAnsiTheme="minorHAnsi" w:cstheme="minorHAnsi"/>
          <w:b/>
          <w:noProof/>
          <w:sz w:val="28"/>
          <w:szCs w:val="28"/>
          <w:lang w:val="es-ES"/>
        </w:rPr>
      </w:pPr>
    </w:p>
    <w:p w14:paraId="41C51A54" w14:textId="77777777" w:rsidR="0072250A" w:rsidRPr="00814222" w:rsidRDefault="0072250A" w:rsidP="0072250A">
      <w:pPr>
        <w:autoSpaceDE w:val="0"/>
        <w:autoSpaceDN w:val="0"/>
        <w:adjustRightInd w:val="0"/>
        <w:rPr>
          <w:rFonts w:asciiTheme="minorHAnsi" w:eastAsiaTheme="minorHAnsi" w:hAnsiTheme="minorHAnsi" w:cs="Calibri-Bold"/>
          <w:b/>
          <w:bCs/>
          <w:noProof/>
          <w:lang w:val="es-ES"/>
        </w:rPr>
      </w:pPr>
      <w:r w:rsidRPr="00814222">
        <w:rPr>
          <w:noProof/>
          <w:lang w:eastAsia="en-GB"/>
        </w:rPr>
        <mc:AlternateContent>
          <mc:Choice Requires="wps">
            <w:drawing>
              <wp:inline distT="0" distB="0" distL="0" distR="0" wp14:anchorId="1CA7FE6B" wp14:editId="73D80484">
                <wp:extent cx="5731510" cy="2096933"/>
                <wp:effectExtent l="0" t="0" r="34290" b="368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96933"/>
                        </a:xfrm>
                        <a:prstGeom prst="rect">
                          <a:avLst/>
                        </a:prstGeom>
                        <a:solidFill>
                          <a:srgbClr val="FFFFFF"/>
                        </a:solidFill>
                        <a:ln w="9525">
                          <a:solidFill>
                            <a:srgbClr val="000000"/>
                          </a:solidFill>
                          <a:miter lim="800000"/>
                          <a:headEnd/>
                          <a:tailEnd/>
                        </a:ln>
                      </wps:spPr>
                      <wps:txbx>
                        <w:txbxContent>
                          <w:p w14:paraId="0434D670" w14:textId="77777777" w:rsidR="00E02DE1" w:rsidRPr="005A3A87" w:rsidRDefault="00E02DE1" w:rsidP="0072250A">
                            <w:pPr>
                              <w:rPr>
                                <w:b/>
                                <w:bCs/>
                                <w:lang w:val="es-ES_tradnl"/>
                              </w:rPr>
                            </w:pPr>
                            <w:r w:rsidRPr="005A3A87">
                              <w:rPr>
                                <w:b/>
                                <w:bCs/>
                                <w:lang w:val="es-ES_tradnl"/>
                              </w:rPr>
                              <w:t xml:space="preserve">Acciones solicitadas: </w:t>
                            </w:r>
                          </w:p>
                          <w:p w14:paraId="7A134600" w14:textId="77777777" w:rsidR="00E02DE1" w:rsidRPr="005A3A87" w:rsidRDefault="00E02DE1" w:rsidP="0072250A">
                            <w:pPr>
                              <w:pStyle w:val="ColorfulList-Accent11"/>
                              <w:ind w:left="0"/>
                              <w:rPr>
                                <w:lang w:val="es-ES_tradnl"/>
                              </w:rPr>
                            </w:pPr>
                          </w:p>
                          <w:p w14:paraId="50715A7F" w14:textId="77777777" w:rsidR="00E02DE1" w:rsidRPr="005A3A87" w:rsidRDefault="00E02DE1" w:rsidP="0072250A">
                            <w:pPr>
                              <w:pStyle w:val="ColorfulList-Accent11"/>
                              <w:ind w:left="0" w:firstLine="0"/>
                              <w:rPr>
                                <w:lang w:val="es-ES_tradnl"/>
                              </w:rPr>
                            </w:pPr>
                            <w:r w:rsidRPr="005A3A87">
                              <w:rPr>
                                <w:lang w:val="es-ES_tradnl"/>
                              </w:rPr>
                              <w:t>Se invita al Comité Permanente a hacer lo siguiente:</w:t>
                            </w:r>
                          </w:p>
                          <w:p w14:paraId="27A99494" w14:textId="77777777" w:rsidR="00E02DE1" w:rsidRPr="005A3A87" w:rsidRDefault="00E02DE1" w:rsidP="0072250A">
                            <w:pPr>
                              <w:pStyle w:val="ColorfulList-Accent11"/>
                              <w:ind w:left="0"/>
                              <w:rPr>
                                <w:rFonts w:cs="Calibri"/>
                                <w:lang w:val="es-ES_tradnl"/>
                              </w:rPr>
                            </w:pPr>
                          </w:p>
                          <w:p w14:paraId="2FB5AE75" w14:textId="77777777" w:rsidR="00E02DE1" w:rsidRPr="005A3A87" w:rsidRDefault="00E02DE1" w:rsidP="0072250A">
                            <w:pPr>
                              <w:pStyle w:val="ColorfulList-Accent11"/>
                              <w:ind w:left="850"/>
                              <w:rPr>
                                <w:rFonts w:cs="Calibri"/>
                                <w:lang w:val="es-ES_tradnl"/>
                              </w:rPr>
                            </w:pPr>
                            <w:r w:rsidRPr="005A3A87">
                              <w:rPr>
                                <w:rFonts w:cs="Calibri"/>
                                <w:lang w:val="es-ES_tradnl"/>
                              </w:rPr>
                              <w:t>i.</w:t>
                            </w:r>
                            <w:r w:rsidRPr="005A3A87">
                              <w:rPr>
                                <w:rFonts w:cs="Calibri"/>
                                <w:lang w:val="es-ES_tradnl"/>
                              </w:rPr>
                              <w:tab/>
                            </w:r>
                            <w:r w:rsidRPr="005A3A87">
                              <w:rPr>
                                <w:rFonts w:asciiTheme="minorHAnsi" w:hAnsiTheme="minorHAnsi"/>
                                <w:lang w:val="es-ES_tradnl"/>
                              </w:rPr>
                              <w:t>tomar nota del contenido del presente informe</w:t>
                            </w:r>
                            <w:r w:rsidRPr="005A3A87">
                              <w:rPr>
                                <w:rFonts w:cs="Calibri"/>
                                <w:lang w:val="es-ES_tradnl"/>
                              </w:rPr>
                              <w:t xml:space="preserve">; </w:t>
                            </w:r>
                          </w:p>
                          <w:p w14:paraId="67F29D49" w14:textId="77777777" w:rsidR="00E02DE1" w:rsidRPr="005A3A87" w:rsidRDefault="00E02DE1" w:rsidP="0072250A">
                            <w:pPr>
                              <w:pStyle w:val="ColorfulList-Accent11"/>
                              <w:ind w:left="-425" w:firstLine="0"/>
                              <w:rPr>
                                <w:lang w:val="es-ES_tradnl"/>
                              </w:rPr>
                            </w:pPr>
                          </w:p>
                          <w:p w14:paraId="6188F11A" w14:textId="77777777" w:rsidR="00E02DE1" w:rsidRPr="005A3A87" w:rsidRDefault="00E02DE1" w:rsidP="0072250A">
                            <w:pPr>
                              <w:pStyle w:val="ColorfulList-Accent11"/>
                              <w:ind w:left="850"/>
                              <w:rPr>
                                <w:lang w:val="es-ES_tradnl"/>
                              </w:rPr>
                            </w:pPr>
                            <w:r w:rsidRPr="005A3A87">
                              <w:rPr>
                                <w:rFonts w:cs="Calibri"/>
                                <w:lang w:val="es-ES_tradnl"/>
                              </w:rPr>
                              <w:t>ii.</w:t>
                            </w:r>
                            <w:r w:rsidRPr="005A3A87">
                              <w:rPr>
                                <w:rFonts w:cs="Calibri"/>
                                <w:lang w:val="es-ES_tradnl"/>
                              </w:rPr>
                              <w:tab/>
                            </w:r>
                            <w:r w:rsidRPr="005A3A87">
                              <w:rPr>
                                <w:rFonts w:asciiTheme="minorHAnsi" w:hAnsiTheme="minorHAnsi"/>
                                <w:lang w:val="es-ES_tradnl"/>
                              </w:rPr>
                              <w:t xml:space="preserve">confirmar los escenarios </w:t>
                            </w:r>
                            <w:r>
                              <w:rPr>
                                <w:rFonts w:asciiTheme="minorHAnsi" w:hAnsiTheme="minorHAnsi"/>
                                <w:lang w:val="es-ES_tradnl"/>
                              </w:rPr>
                              <w:t>presupuestarios</w:t>
                            </w:r>
                            <w:r w:rsidRPr="005A3A87">
                              <w:rPr>
                                <w:rFonts w:asciiTheme="minorHAnsi" w:hAnsiTheme="minorHAnsi"/>
                                <w:lang w:val="es-ES_tradnl"/>
                              </w:rPr>
                              <w:t xml:space="preserve"> que se presentarán a las Partes en la 1</w:t>
                            </w:r>
                            <w:r>
                              <w:rPr>
                                <w:rFonts w:asciiTheme="minorHAnsi" w:hAnsiTheme="minorHAnsi"/>
                                <w:lang w:val="es-ES_tradnl"/>
                              </w:rPr>
                              <w:t>4</w:t>
                            </w:r>
                            <w:r w:rsidRPr="005A3A87">
                              <w:rPr>
                                <w:rFonts w:asciiTheme="minorHAnsi" w:hAnsiTheme="minorHAnsi"/>
                                <w:lang w:val="es-ES_tradnl"/>
                              </w:rPr>
                              <w:t>ª reunión de la Conferencia de las Partes Contratantes</w:t>
                            </w:r>
                            <w:r w:rsidRPr="005A3A87">
                              <w:rPr>
                                <w:rFonts w:cs="Calibri"/>
                                <w:lang w:val="es-ES_tradnl"/>
                              </w:rPr>
                              <w:t>;</w:t>
                            </w:r>
                            <w:r>
                              <w:rPr>
                                <w:rFonts w:cs="Calibri"/>
                                <w:lang w:val="es-ES_tradnl"/>
                              </w:rPr>
                              <w:t xml:space="preserve"> y</w:t>
                            </w:r>
                          </w:p>
                          <w:p w14:paraId="5D966EC0" w14:textId="77777777" w:rsidR="00E02DE1" w:rsidRPr="005A3A87" w:rsidRDefault="00E02DE1" w:rsidP="0072250A">
                            <w:pPr>
                              <w:pStyle w:val="ColorfulList-Accent11"/>
                              <w:ind w:left="-425" w:firstLine="0"/>
                              <w:rPr>
                                <w:lang w:val="es-ES_tradnl"/>
                              </w:rPr>
                            </w:pPr>
                          </w:p>
                          <w:p w14:paraId="6F23A2B3" w14:textId="77777777" w:rsidR="00E02DE1" w:rsidRPr="006E7A7B" w:rsidRDefault="00E02DE1" w:rsidP="0072250A">
                            <w:pPr>
                              <w:pStyle w:val="ColorfulList-Accent11"/>
                              <w:ind w:left="850"/>
                              <w:rPr>
                                <w:rFonts w:cs="Calibri"/>
                                <w:lang w:val="es-ES_tradnl"/>
                              </w:rPr>
                            </w:pPr>
                            <w:r>
                              <w:rPr>
                                <w:rFonts w:cs="Calibri"/>
                                <w:lang w:val="es-ES_tradnl"/>
                              </w:rPr>
                              <w:t>iii.</w:t>
                            </w:r>
                            <w:r>
                              <w:rPr>
                                <w:rFonts w:cs="Calibri"/>
                                <w:lang w:val="es-ES_tradnl"/>
                              </w:rPr>
                              <w:tab/>
                              <w:t>examinar el proyecto de r</w:t>
                            </w:r>
                            <w:r w:rsidRPr="005A3A87">
                              <w:rPr>
                                <w:rFonts w:cs="Calibri"/>
                                <w:lang w:val="es-ES_tradnl"/>
                              </w:rPr>
                              <w:t>esolución propuesto sobre cuestiones fi</w:t>
                            </w:r>
                            <w:r>
                              <w:rPr>
                                <w:rFonts w:cs="Calibri"/>
                                <w:lang w:val="es-ES_tradnl"/>
                              </w:rPr>
                              <w:t>n</w:t>
                            </w:r>
                            <w:r w:rsidRPr="005A3A87">
                              <w:rPr>
                                <w:rFonts w:cs="Calibri"/>
                                <w:lang w:val="es-ES_tradnl"/>
                              </w:rPr>
                              <w:t>ancieras y presupuestarias.</w:t>
                            </w:r>
                          </w:p>
                        </w:txbxContent>
                      </wps:txbx>
                      <wps:bodyPr rot="0" vert="horz" wrap="square" lIns="91440" tIns="45720" rIns="91440" bIns="45720" anchor="t" anchorCtr="0" upright="1">
                        <a:noAutofit/>
                      </wps:bodyPr>
                    </wps:wsp>
                  </a:graphicData>
                </a:graphic>
              </wp:inline>
            </w:drawing>
          </mc:Choice>
          <mc:Fallback>
            <w:pict>
              <v:shapetype w14:anchorId="1CA7FE6B" id="_x0000_t202" coordsize="21600,21600" o:spt="202" path="m,l,21600r21600,l21600,xe">
                <v:stroke joinstyle="miter"/>
                <v:path gradientshapeok="t" o:connecttype="rect"/>
              </v:shapetype>
              <v:shape id="Text Box 1" o:spid="_x0000_s1026" type="#_x0000_t202" style="width:451.3pt;height:1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">
                <v:textbox>
                  <w:txbxContent>
                    <w:p w14:paraId="0434D670" w14:textId="77777777" w:rsidR="00E02DE1" w:rsidRPr="005A3A87" w:rsidRDefault="00E02DE1" w:rsidP="0072250A">
                      <w:pPr>
                        <w:rPr>
                          <w:b/>
                          <w:bCs/>
                          <w:lang w:val="es-ES_tradnl"/>
                        </w:rPr>
                      </w:pPr>
                      <w:r w:rsidRPr="005A3A87">
                        <w:rPr>
                          <w:b/>
                          <w:bCs/>
                          <w:lang w:val="es-ES_tradnl"/>
                        </w:rPr>
                        <w:t xml:space="preserve">Acciones solicitadas: </w:t>
                      </w:r>
                    </w:p>
                    <w:p w14:paraId="7A134600" w14:textId="77777777" w:rsidR="00E02DE1" w:rsidRPr="005A3A87" w:rsidRDefault="00E02DE1" w:rsidP="0072250A">
                      <w:pPr>
                        <w:pStyle w:val="ColorfulList-Accent11"/>
                        <w:ind w:left="0"/>
                        <w:rPr>
                          <w:lang w:val="es-ES_tradnl"/>
                        </w:rPr>
                      </w:pPr>
                    </w:p>
                    <w:p w14:paraId="50715A7F" w14:textId="77777777" w:rsidR="00E02DE1" w:rsidRPr="005A3A87" w:rsidRDefault="00E02DE1" w:rsidP="0072250A">
                      <w:pPr>
                        <w:pStyle w:val="ColorfulList-Accent11"/>
                        <w:ind w:left="0" w:firstLine="0"/>
                        <w:rPr>
                          <w:lang w:val="es-ES_tradnl"/>
                        </w:rPr>
                      </w:pPr>
                      <w:r w:rsidRPr="005A3A87">
                        <w:rPr>
                          <w:lang w:val="es-ES_tradnl"/>
                        </w:rPr>
                        <w:t>Se invita al Comité Permanente a hacer lo siguiente:</w:t>
                      </w:r>
                    </w:p>
                    <w:p w14:paraId="27A99494" w14:textId="77777777" w:rsidR="00E02DE1" w:rsidRPr="005A3A87" w:rsidRDefault="00E02DE1" w:rsidP="0072250A">
                      <w:pPr>
                        <w:pStyle w:val="ColorfulList-Accent11"/>
                        <w:ind w:left="0"/>
                        <w:rPr>
                          <w:rFonts w:cs="Calibri"/>
                          <w:lang w:val="es-ES_tradnl"/>
                        </w:rPr>
                      </w:pPr>
                    </w:p>
                    <w:p w14:paraId="2FB5AE75" w14:textId="77777777" w:rsidR="00E02DE1" w:rsidRPr="005A3A87" w:rsidRDefault="00E02DE1" w:rsidP="0072250A">
                      <w:pPr>
                        <w:pStyle w:val="ColorfulList-Accent11"/>
                        <w:ind w:left="850"/>
                        <w:rPr>
                          <w:rFonts w:cs="Calibri"/>
                          <w:lang w:val="es-ES_tradnl"/>
                        </w:rPr>
                      </w:pPr>
                      <w:r w:rsidRPr="005A3A87">
                        <w:rPr>
                          <w:rFonts w:cs="Calibri"/>
                          <w:lang w:val="es-ES_tradnl"/>
                        </w:rPr>
                        <w:t>i.</w:t>
                      </w:r>
                      <w:r w:rsidRPr="005A3A87">
                        <w:rPr>
                          <w:rFonts w:cs="Calibri"/>
                          <w:lang w:val="es-ES_tradnl"/>
                        </w:rPr>
                        <w:tab/>
                      </w:r>
                      <w:r w:rsidRPr="005A3A87">
                        <w:rPr>
                          <w:rFonts w:asciiTheme="minorHAnsi" w:hAnsiTheme="minorHAnsi"/>
                          <w:lang w:val="es-ES_tradnl"/>
                        </w:rPr>
                        <w:t>tomar nota del contenido del presente informe</w:t>
                      </w:r>
                      <w:r w:rsidRPr="005A3A87">
                        <w:rPr>
                          <w:rFonts w:cs="Calibri"/>
                          <w:lang w:val="es-ES_tradnl"/>
                        </w:rPr>
                        <w:t xml:space="preserve">; </w:t>
                      </w:r>
                    </w:p>
                    <w:p w14:paraId="67F29D49" w14:textId="77777777" w:rsidR="00E02DE1" w:rsidRPr="005A3A87" w:rsidRDefault="00E02DE1" w:rsidP="0072250A">
                      <w:pPr>
                        <w:pStyle w:val="ColorfulList-Accent11"/>
                        <w:ind w:left="-425" w:firstLine="0"/>
                        <w:rPr>
                          <w:lang w:val="es-ES_tradnl"/>
                        </w:rPr>
                      </w:pPr>
                    </w:p>
                    <w:p w14:paraId="6188F11A" w14:textId="77777777" w:rsidR="00E02DE1" w:rsidRPr="005A3A87" w:rsidRDefault="00E02DE1" w:rsidP="0072250A">
                      <w:pPr>
                        <w:pStyle w:val="ColorfulList-Accent11"/>
                        <w:ind w:left="850"/>
                        <w:rPr>
                          <w:lang w:val="es-ES_tradnl"/>
                        </w:rPr>
                      </w:pPr>
                      <w:r w:rsidRPr="005A3A87">
                        <w:rPr>
                          <w:rFonts w:cs="Calibri"/>
                          <w:lang w:val="es-ES_tradnl"/>
                        </w:rPr>
                        <w:t>ii.</w:t>
                      </w:r>
                      <w:r w:rsidRPr="005A3A87">
                        <w:rPr>
                          <w:rFonts w:cs="Calibri"/>
                          <w:lang w:val="es-ES_tradnl"/>
                        </w:rPr>
                        <w:tab/>
                      </w:r>
                      <w:r w:rsidRPr="005A3A87">
                        <w:rPr>
                          <w:rFonts w:asciiTheme="minorHAnsi" w:hAnsiTheme="minorHAnsi"/>
                          <w:lang w:val="es-ES_tradnl"/>
                        </w:rPr>
                        <w:t xml:space="preserve">confirmar los escenarios </w:t>
                      </w:r>
                      <w:r>
                        <w:rPr>
                          <w:rFonts w:asciiTheme="minorHAnsi" w:hAnsiTheme="minorHAnsi"/>
                          <w:lang w:val="es-ES_tradnl"/>
                        </w:rPr>
                        <w:t>presupuestarios</w:t>
                      </w:r>
                      <w:r w:rsidRPr="005A3A87">
                        <w:rPr>
                          <w:rFonts w:asciiTheme="minorHAnsi" w:hAnsiTheme="minorHAnsi"/>
                          <w:lang w:val="es-ES_tradnl"/>
                        </w:rPr>
                        <w:t xml:space="preserve"> que se presentarán a las Partes en la 1</w:t>
                      </w:r>
                      <w:r>
                        <w:rPr>
                          <w:rFonts w:asciiTheme="minorHAnsi" w:hAnsiTheme="minorHAnsi"/>
                          <w:lang w:val="es-ES_tradnl"/>
                        </w:rPr>
                        <w:t>4</w:t>
                      </w:r>
                      <w:r w:rsidRPr="005A3A87">
                        <w:rPr>
                          <w:rFonts w:asciiTheme="minorHAnsi" w:hAnsiTheme="minorHAnsi"/>
                          <w:lang w:val="es-ES_tradnl"/>
                        </w:rPr>
                        <w:t>ª reunión de la Conferencia de las Partes Contratantes</w:t>
                      </w:r>
                      <w:r w:rsidRPr="005A3A87">
                        <w:rPr>
                          <w:rFonts w:cs="Calibri"/>
                          <w:lang w:val="es-ES_tradnl"/>
                        </w:rPr>
                        <w:t>;</w:t>
                      </w:r>
                      <w:r>
                        <w:rPr>
                          <w:rFonts w:cs="Calibri"/>
                          <w:lang w:val="es-ES_tradnl"/>
                        </w:rPr>
                        <w:t xml:space="preserve"> y</w:t>
                      </w:r>
                    </w:p>
                    <w:p w14:paraId="5D966EC0" w14:textId="77777777" w:rsidR="00E02DE1" w:rsidRPr="005A3A87" w:rsidRDefault="00E02DE1" w:rsidP="0072250A">
                      <w:pPr>
                        <w:pStyle w:val="ColorfulList-Accent11"/>
                        <w:ind w:left="-425" w:firstLine="0"/>
                        <w:rPr>
                          <w:lang w:val="es-ES_tradnl"/>
                        </w:rPr>
                      </w:pPr>
                    </w:p>
                    <w:p w14:paraId="6F23A2B3" w14:textId="77777777" w:rsidR="00E02DE1" w:rsidRPr="006E7A7B" w:rsidRDefault="00E02DE1" w:rsidP="0072250A">
                      <w:pPr>
                        <w:pStyle w:val="ColorfulList-Accent11"/>
                        <w:ind w:left="850"/>
                        <w:rPr>
                          <w:rFonts w:cs="Calibri"/>
                          <w:lang w:val="es-ES_tradnl"/>
                        </w:rPr>
                      </w:pPr>
                      <w:r>
                        <w:rPr>
                          <w:rFonts w:cs="Calibri"/>
                          <w:lang w:val="es-ES_tradnl"/>
                        </w:rPr>
                        <w:t>iii.</w:t>
                      </w:r>
                      <w:r>
                        <w:rPr>
                          <w:rFonts w:cs="Calibri"/>
                          <w:lang w:val="es-ES_tradnl"/>
                        </w:rPr>
                        <w:tab/>
                        <w:t>examinar el proyecto de r</w:t>
                      </w:r>
                      <w:r w:rsidRPr="005A3A87">
                        <w:rPr>
                          <w:rFonts w:cs="Calibri"/>
                          <w:lang w:val="es-ES_tradnl"/>
                        </w:rPr>
                        <w:t>esolución propuesto sobre cuestiones fi</w:t>
                      </w:r>
                      <w:r>
                        <w:rPr>
                          <w:rFonts w:cs="Calibri"/>
                          <w:lang w:val="es-ES_tradnl"/>
                        </w:rPr>
                        <w:t>n</w:t>
                      </w:r>
                      <w:r w:rsidRPr="005A3A87">
                        <w:rPr>
                          <w:rFonts w:cs="Calibri"/>
                          <w:lang w:val="es-ES_tradnl"/>
                        </w:rPr>
                        <w:t>ancieras y presupuestarias.</w:t>
                      </w:r>
                    </w:p>
                  </w:txbxContent>
                </v:textbox>
                <w10:anchorlock/>
              </v:shape>
            </w:pict>
          </mc:Fallback>
        </mc:AlternateContent>
      </w:r>
    </w:p>
    <w:p w14:paraId="418FD4A5" w14:textId="77777777" w:rsidR="0072250A" w:rsidRPr="00814222" w:rsidRDefault="0072250A" w:rsidP="0072250A">
      <w:pPr>
        <w:rPr>
          <w:rFonts w:cs="Arial"/>
          <w:b/>
          <w:noProof/>
          <w:lang w:val="es-ES"/>
        </w:rPr>
      </w:pPr>
    </w:p>
    <w:p w14:paraId="45DD8666" w14:textId="77777777" w:rsidR="0072250A" w:rsidRPr="00814222" w:rsidRDefault="0072250A" w:rsidP="0072250A">
      <w:pPr>
        <w:rPr>
          <w:rFonts w:cs="Arial"/>
          <w:b/>
          <w:noProof/>
          <w:lang w:val="es-ES"/>
        </w:rPr>
      </w:pPr>
    </w:p>
    <w:p w14:paraId="5E79C355"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1.</w:t>
      </w:r>
      <w:r w:rsidRPr="00814222">
        <w:rPr>
          <w:rFonts w:asciiTheme="minorHAnsi" w:eastAsia="Batang" w:hAnsiTheme="minorHAnsi" w:cs="Times New Roman"/>
          <w:noProof/>
          <w:sz w:val="22"/>
          <w:szCs w:val="22"/>
          <w:lang w:val="es-ES"/>
        </w:rPr>
        <w:tab/>
        <w:t xml:space="preserve">La Secretaría de la Convención sobre los Humedales ha elaborado tres escenarios del presupuesto básico para la consideración del Comité Permanente. También pide confirmación respecto de los escenarios que serán presentados a la Conferencia de las Partes. Además del presupuesto básico, la Secretaría de Ramsar buscará fondos para el presupuesto no básico cuando sean necesarios. </w:t>
      </w:r>
    </w:p>
    <w:p w14:paraId="00476A47" w14:textId="77777777" w:rsidR="0072250A" w:rsidRPr="00814222" w:rsidRDefault="0072250A" w:rsidP="0072250A">
      <w:pPr>
        <w:pStyle w:val="MGfulltext"/>
        <w:spacing w:after="0"/>
        <w:rPr>
          <w:rFonts w:asciiTheme="minorHAnsi" w:eastAsia="Batang" w:hAnsiTheme="minorHAnsi" w:cs="Times New Roman"/>
          <w:b/>
          <w:noProof/>
          <w:sz w:val="22"/>
          <w:szCs w:val="22"/>
          <w:lang w:val="es-ES"/>
        </w:rPr>
      </w:pPr>
    </w:p>
    <w:p w14:paraId="4EC4C377" w14:textId="52715485" w:rsidR="0072250A" w:rsidRPr="00814222" w:rsidRDefault="0072250A" w:rsidP="0072250A">
      <w:pPr>
        <w:pStyle w:val="MGfulltext"/>
        <w:spacing w:after="0"/>
        <w:rPr>
          <w:rFonts w:asciiTheme="minorHAnsi" w:eastAsia="Batang" w:hAnsiTheme="minorHAnsi" w:cs="Times New Roman"/>
          <w:b/>
          <w:noProof/>
          <w:sz w:val="22"/>
          <w:szCs w:val="22"/>
          <w:lang w:val="es-ES"/>
        </w:rPr>
      </w:pPr>
      <w:r w:rsidRPr="00814222">
        <w:rPr>
          <w:rFonts w:asciiTheme="minorHAnsi" w:eastAsia="Batang" w:hAnsiTheme="minorHAnsi" w:cs="Times New Roman"/>
          <w:b/>
          <w:noProof/>
          <w:sz w:val="22"/>
          <w:szCs w:val="22"/>
          <w:lang w:val="es-ES"/>
        </w:rPr>
        <w:t>Escenarios del presupuesto básico pa</w:t>
      </w:r>
      <w:r w:rsidR="00C627A0">
        <w:rPr>
          <w:rFonts w:asciiTheme="minorHAnsi" w:eastAsia="Batang" w:hAnsiTheme="minorHAnsi" w:cs="Times New Roman"/>
          <w:b/>
          <w:noProof/>
          <w:sz w:val="22"/>
          <w:szCs w:val="22"/>
          <w:lang w:val="es-ES"/>
        </w:rPr>
        <w:t xml:space="preserve">ra el trienio 2023-2025 (Anexo </w:t>
      </w:r>
      <w:r w:rsidR="00C131B7">
        <w:rPr>
          <w:rFonts w:asciiTheme="minorHAnsi" w:eastAsia="Batang" w:hAnsiTheme="minorHAnsi" w:cs="Times New Roman"/>
          <w:b/>
          <w:noProof/>
          <w:sz w:val="22"/>
          <w:szCs w:val="22"/>
          <w:lang w:val="es-ES"/>
        </w:rPr>
        <w:t>1</w:t>
      </w:r>
      <w:r w:rsidRPr="00814222">
        <w:rPr>
          <w:rFonts w:asciiTheme="minorHAnsi" w:eastAsia="Batang" w:hAnsiTheme="minorHAnsi" w:cs="Times New Roman"/>
          <w:b/>
          <w:noProof/>
          <w:sz w:val="22"/>
          <w:szCs w:val="22"/>
          <w:lang w:val="es-ES"/>
        </w:rPr>
        <w:t>)</w:t>
      </w:r>
    </w:p>
    <w:p w14:paraId="6D8B835F" w14:textId="77777777" w:rsidR="0072250A" w:rsidRPr="00814222" w:rsidRDefault="0072250A" w:rsidP="0072250A">
      <w:pPr>
        <w:pStyle w:val="MGfulltext"/>
        <w:tabs>
          <w:tab w:val="left" w:pos="5199"/>
        </w:tabs>
        <w:spacing w:after="0"/>
        <w:rPr>
          <w:rFonts w:asciiTheme="minorHAnsi" w:eastAsia="Batang" w:hAnsiTheme="minorHAnsi" w:cs="Times New Roman"/>
          <w:b/>
          <w:noProof/>
          <w:sz w:val="22"/>
          <w:szCs w:val="22"/>
          <w:lang w:val="es-ES"/>
        </w:rPr>
      </w:pPr>
    </w:p>
    <w:p w14:paraId="1C3BC541" w14:textId="7252EC80"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2.</w:t>
      </w:r>
      <w:r w:rsidRPr="00814222">
        <w:rPr>
          <w:rFonts w:asciiTheme="minorHAnsi" w:eastAsia="Batang" w:hAnsiTheme="minorHAnsi" w:cs="Times New Roman"/>
          <w:noProof/>
          <w:sz w:val="22"/>
          <w:szCs w:val="22"/>
          <w:lang w:val="es-ES"/>
        </w:rPr>
        <w:tab/>
        <w:t xml:space="preserve">Los tres escenarios del presupuesto básico propuestos para el trienio </w:t>
      </w:r>
      <w:r w:rsidRPr="00814222">
        <w:rPr>
          <w:rFonts w:asciiTheme="minorHAnsi" w:eastAsia="Batang" w:hAnsiTheme="minorHAnsi" w:cs="Times New Roman"/>
          <w:bCs/>
          <w:noProof/>
          <w:sz w:val="22"/>
          <w:szCs w:val="22"/>
          <w:lang w:val="es-ES"/>
        </w:rPr>
        <w:t>2023-2025</w:t>
      </w:r>
      <w:r w:rsidRPr="00814222">
        <w:rPr>
          <w:rFonts w:asciiTheme="minorHAnsi" w:eastAsia="Batang" w:hAnsiTheme="minorHAnsi" w:cs="Times New Roman"/>
          <w:b/>
          <w:noProof/>
          <w:sz w:val="22"/>
          <w:szCs w:val="22"/>
          <w:lang w:val="es-ES"/>
        </w:rPr>
        <w:t xml:space="preserve"> </w:t>
      </w:r>
      <w:r w:rsidR="00C627A0">
        <w:rPr>
          <w:rFonts w:asciiTheme="minorHAnsi" w:eastAsia="Batang" w:hAnsiTheme="minorHAnsi" w:cs="Times New Roman"/>
          <w:noProof/>
          <w:sz w:val="22"/>
          <w:szCs w:val="22"/>
          <w:lang w:val="es-ES"/>
        </w:rPr>
        <w:t xml:space="preserve">están detallados en el Anexo </w:t>
      </w:r>
      <w:r w:rsidR="00C131B7">
        <w:rPr>
          <w:rFonts w:asciiTheme="minorHAnsi" w:eastAsia="Batang" w:hAnsiTheme="minorHAnsi" w:cs="Times New Roman"/>
          <w:noProof/>
          <w:sz w:val="22"/>
          <w:szCs w:val="22"/>
          <w:lang w:val="es-ES"/>
        </w:rPr>
        <w:t>1</w:t>
      </w:r>
      <w:r w:rsidRPr="00814222">
        <w:rPr>
          <w:rFonts w:asciiTheme="minorHAnsi" w:eastAsia="Batang" w:hAnsiTheme="minorHAnsi" w:cs="Times New Roman"/>
          <w:noProof/>
          <w:sz w:val="22"/>
          <w:szCs w:val="22"/>
          <w:lang w:val="es-ES"/>
        </w:rPr>
        <w:t xml:space="preserve">; no están incluidos los fondos solicitados en los proyectos de resolución presentados. Los tres escenarios son los siguientes: </w:t>
      </w:r>
    </w:p>
    <w:p w14:paraId="3C0B1E43" w14:textId="77777777" w:rsidR="0072250A" w:rsidRPr="00814222" w:rsidRDefault="0072250A" w:rsidP="0072250A">
      <w:pPr>
        <w:pStyle w:val="MGfulltext"/>
        <w:spacing w:after="0"/>
        <w:ind w:left="426"/>
        <w:rPr>
          <w:rFonts w:asciiTheme="minorHAnsi" w:eastAsia="Batang" w:hAnsiTheme="minorHAnsi" w:cs="Times New Roman"/>
          <w:noProof/>
          <w:sz w:val="22"/>
          <w:szCs w:val="22"/>
          <w:lang w:val="es-ES"/>
        </w:rPr>
      </w:pPr>
    </w:p>
    <w:p w14:paraId="1194CD67"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a.</w:t>
      </w:r>
      <w:r w:rsidRPr="00814222">
        <w:rPr>
          <w:rFonts w:asciiTheme="minorHAnsi" w:eastAsia="Batang" w:hAnsiTheme="minorHAnsi" w:cs="Times New Roman"/>
          <w:noProof/>
          <w:sz w:val="22"/>
          <w:szCs w:val="22"/>
          <w:lang w:val="es-ES"/>
        </w:rPr>
        <w:tab/>
        <w:t xml:space="preserve">Incremento del 0 % respecto de los presupuestos de los trienios 2016-2018 y 2019-2021 (escenario A); </w:t>
      </w:r>
    </w:p>
    <w:p w14:paraId="1498B2D3"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41110A4A"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b.</w:t>
      </w:r>
      <w:r w:rsidRPr="00814222">
        <w:rPr>
          <w:rFonts w:asciiTheme="minorHAnsi" w:eastAsia="Batang" w:hAnsiTheme="minorHAnsi" w:cs="Times New Roman"/>
          <w:noProof/>
          <w:sz w:val="22"/>
          <w:szCs w:val="22"/>
          <w:lang w:val="es-ES"/>
        </w:rPr>
        <w:tab/>
        <w:t>Incremento del 2,8 % (438 000 francos suizos) respecto del presupuesto del trienio 2019-2021, lo que supone un incremento de las contribuciones de las Partes Contratantes de 2,7% (escenario B);</w:t>
      </w:r>
    </w:p>
    <w:p w14:paraId="45C49738"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21EA0D1F"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c.</w:t>
      </w:r>
      <w:r w:rsidRPr="00814222">
        <w:rPr>
          <w:rFonts w:asciiTheme="minorHAnsi" w:eastAsia="Batang" w:hAnsiTheme="minorHAnsi" w:cs="Times New Roman"/>
          <w:noProof/>
          <w:sz w:val="22"/>
          <w:szCs w:val="22"/>
          <w:lang w:val="es-ES"/>
        </w:rPr>
        <w:tab/>
        <w:t xml:space="preserve">Incremento del 4,2 % (674 000 francos suizos) respecto del presupuesto del trienio 2019-2021, lo que representa un incremento de las contribuciones de las Partes Contratantes de 4,3 % (escenario C). </w:t>
      </w:r>
    </w:p>
    <w:p w14:paraId="2B062692" w14:textId="77777777" w:rsidR="0072250A" w:rsidRPr="00814222" w:rsidRDefault="0072250A" w:rsidP="0072250A">
      <w:pPr>
        <w:pStyle w:val="MGfulltext"/>
        <w:spacing w:after="0"/>
        <w:ind w:left="426"/>
        <w:rPr>
          <w:rFonts w:asciiTheme="minorHAnsi" w:eastAsia="Batang" w:hAnsiTheme="minorHAnsi" w:cs="Times New Roman"/>
          <w:noProof/>
          <w:sz w:val="22"/>
          <w:szCs w:val="22"/>
          <w:lang w:val="es-ES"/>
        </w:rPr>
      </w:pPr>
    </w:p>
    <w:p w14:paraId="26026D62" w14:textId="77777777" w:rsidR="0072250A" w:rsidRPr="00814222" w:rsidRDefault="0072250A" w:rsidP="0072250A">
      <w:pPr>
        <w:pStyle w:val="MGfulltext"/>
        <w:spacing w:after="0"/>
        <w:ind w:left="426"/>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lastRenderedPageBreak/>
        <w:t xml:space="preserve">Se ha mantenido el desglose del presupuesto básico por departamento / categoría para que las Partes Contratantes puedan ver los detalles específicos de los costos que van a cubrir sus cuotas. </w:t>
      </w:r>
    </w:p>
    <w:p w14:paraId="462B00DF" w14:textId="77777777" w:rsidR="0072250A" w:rsidRPr="00814222" w:rsidRDefault="0072250A" w:rsidP="0072250A">
      <w:pPr>
        <w:pStyle w:val="MGfulltext"/>
        <w:spacing w:after="0"/>
        <w:ind w:left="2160"/>
        <w:rPr>
          <w:rFonts w:asciiTheme="minorHAnsi" w:eastAsia="Batang" w:hAnsiTheme="minorHAnsi" w:cs="Times New Roman"/>
          <w:noProof/>
          <w:sz w:val="22"/>
          <w:szCs w:val="22"/>
          <w:lang w:val="es-ES"/>
        </w:rPr>
      </w:pPr>
    </w:p>
    <w:p w14:paraId="7ACD54A8"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3.</w:t>
      </w:r>
      <w:r w:rsidRPr="00814222">
        <w:rPr>
          <w:rFonts w:asciiTheme="minorHAnsi" w:eastAsia="Batang" w:hAnsiTheme="minorHAnsi" w:cs="Times New Roman"/>
          <w:noProof/>
          <w:sz w:val="22"/>
          <w:szCs w:val="22"/>
          <w:lang w:val="es-ES"/>
        </w:rPr>
        <w:tab/>
        <w:t xml:space="preserve">El </w:t>
      </w:r>
      <w:r w:rsidRPr="00814222">
        <w:rPr>
          <w:rFonts w:asciiTheme="minorHAnsi" w:eastAsia="Batang" w:hAnsiTheme="minorHAnsi" w:cs="Times New Roman"/>
          <w:b/>
          <w:noProof/>
          <w:sz w:val="22"/>
          <w:szCs w:val="22"/>
          <w:lang w:val="es-ES"/>
        </w:rPr>
        <w:t>escenario del 0 % (A)</w:t>
      </w:r>
      <w:r w:rsidRPr="00814222">
        <w:rPr>
          <w:rFonts w:asciiTheme="minorHAnsi" w:eastAsia="Batang" w:hAnsiTheme="minorHAnsi" w:cs="Times New Roman"/>
          <w:noProof/>
          <w:sz w:val="22"/>
          <w:szCs w:val="22"/>
          <w:lang w:val="es-ES"/>
        </w:rPr>
        <w:t xml:space="preserve"> contempla los siguientes supuestos que también son aplicables a los escenarios B y C, salvo que se indique lo contrario: </w:t>
      </w:r>
    </w:p>
    <w:p w14:paraId="3235B595"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p>
    <w:p w14:paraId="5183D50B" w14:textId="77777777" w:rsidR="0072250A" w:rsidRPr="00814222" w:rsidRDefault="0072250A" w:rsidP="00865285">
      <w:pPr>
        <w:pStyle w:val="MGfulltext"/>
        <w:numPr>
          <w:ilvl w:val="1"/>
          <w:numId w:val="1"/>
        </w:numPr>
        <w:spacing w:after="0"/>
        <w:ind w:left="851"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Se reciben las contribuciones íntegras en francos suizos (CHF) de todas las Partes Contratantes, determinadas sobre la base del cuadro de cuotas de las Naciones Unidas, con inclusión de una contribución voluntaria del 22 % de los Estados Unidos de América.</w:t>
      </w:r>
    </w:p>
    <w:p w14:paraId="4990DE83"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55B5276C"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b.</w:t>
      </w:r>
      <w:r w:rsidRPr="00814222">
        <w:rPr>
          <w:rFonts w:asciiTheme="minorHAnsi" w:eastAsia="Batang" w:hAnsiTheme="minorHAnsi" w:cs="Times New Roman"/>
          <w:noProof/>
          <w:sz w:val="22"/>
          <w:szCs w:val="22"/>
          <w:lang w:val="es-ES"/>
        </w:rPr>
        <w:tab/>
        <w:t xml:space="preserve">Se mantiene el importe actual del presupuesto básico destinado a los costos del personal. </w:t>
      </w:r>
    </w:p>
    <w:p w14:paraId="21B6404A"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67CD197E"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c.</w:t>
      </w:r>
      <w:r w:rsidRPr="00814222">
        <w:rPr>
          <w:rFonts w:asciiTheme="minorHAnsi" w:eastAsia="Batang" w:hAnsiTheme="minorHAnsi" w:cs="Times New Roman"/>
          <w:noProof/>
          <w:sz w:val="22"/>
          <w:szCs w:val="22"/>
          <w:lang w:val="es-ES"/>
        </w:rPr>
        <w:tab/>
        <w:t xml:space="preserve">Los costos del personal se han presupuestado sobre la base de los costos reales actuales, en consonancia con la política de la UICN. La mayoría de las Convenciones administradas por las Naciones Unidas elaboran sus presupuestos sobre la base de los costos estándar y la Secretaría recomienda que se vaya avanzando en esa dirección a fin de tener flexibilidad en caso de cambios o ajustes relativos al personal o a las prestaciones. Se ha incluido una dotación presupuestaria a fin de tener una mayor flexibilidad en caso de cualquier cambio que pudiese afectar los costos del personal y las prestaciones pertinentes. </w:t>
      </w:r>
    </w:p>
    <w:p w14:paraId="4257E2F8"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40AB2906"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d.</w:t>
      </w:r>
      <w:r w:rsidRPr="00814222">
        <w:rPr>
          <w:rFonts w:asciiTheme="minorHAnsi" w:eastAsia="Batang" w:hAnsiTheme="minorHAnsi" w:cs="Times New Roman"/>
          <w:noProof/>
          <w:sz w:val="22"/>
          <w:szCs w:val="22"/>
          <w:lang w:val="es-ES"/>
        </w:rPr>
        <w:tab/>
        <w:t xml:space="preserve">Tal y como se indica en la Resolución XIII.2, párrafo 15, se creó un déficit de 228 000 francos suizos en el presupuesto básico para las actividades de la Secretaría (120 000 francos suizos para Comunicaciones, traducción, publicaciones e informes, 60 000 francos suizos para viajes del personal (15 000 francos suizos para viajes del personal directivo de la Secretaría, 15 000 francos suizos para viajes de Movilización de recursos y promoción y 30 000 francos suizos para viajes de Asesoramiento y apoyo regionales), 15 000 francos suizos para la aplicación del programa del GECT y 33 000 francos suizos para actividades de planificación y capacitación) para sufragar el costo de un nuevo puesto de auxiliar contable y financiero, y en la 13ª reunión de la Conferencia de las Partes Contratantes se aprobó la aplicación de los excedentes del trienio anterior para cubrir este déficit. Los costos del personal en el escenario A del presupuesto para 2023-2025 incluyen este puesto de auxiliar contable y financiero, creando, por tanto, el mismo déficit en el presupuesto básico. En el documento SC59/2022 Doc. 8.1 </w:t>
      </w:r>
      <w:r w:rsidRPr="00814222">
        <w:rPr>
          <w:rFonts w:asciiTheme="minorHAnsi" w:eastAsia="Batang" w:hAnsiTheme="minorHAnsi" w:cs="Times New Roman"/>
          <w:i/>
          <w:noProof/>
          <w:sz w:val="22"/>
          <w:szCs w:val="22"/>
          <w:lang w:val="es-ES"/>
        </w:rPr>
        <w:t>Informe sobre cuestiones financieras para 2019-2021 y 2022</w:t>
      </w:r>
      <w:r w:rsidRPr="00814222">
        <w:rPr>
          <w:rFonts w:asciiTheme="minorHAnsi" w:eastAsia="Batang" w:hAnsiTheme="minorHAnsi" w:cs="Times New Roman"/>
          <w:noProof/>
          <w:sz w:val="22"/>
          <w:szCs w:val="22"/>
          <w:lang w:val="es-ES"/>
        </w:rPr>
        <w:t xml:space="preserve">, la Secretaría ha recomendado que se utilice el mismo monto de 228 000 francos suizos de los excedentes del trienio 2019-2021 para cubrir este déficit. En el Escenario (A) se de por supuesta la aprobación del Comité Permanente de la aplicación de los excedentes para este fin, siguiendo el mismo criterio que en el trienio anterior, de modo que se restablezca el presupuesto para las actividades básicas de la Secretaría. </w:t>
      </w:r>
    </w:p>
    <w:p w14:paraId="0151985C"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324EB858"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e.</w:t>
      </w:r>
      <w:r w:rsidRPr="00814222">
        <w:rPr>
          <w:rFonts w:asciiTheme="minorHAnsi" w:eastAsia="Batang" w:hAnsiTheme="minorHAnsi" w:cs="Times New Roman"/>
          <w:noProof/>
          <w:sz w:val="22"/>
          <w:szCs w:val="22"/>
          <w:lang w:val="es-ES"/>
        </w:rPr>
        <w:tab/>
        <w:t xml:space="preserve">De conformidad con las nuevas directrices de recursos humanos de la UICN relativas a la remuneración, la remuneración del personal incluye un sistema de incrementos y bonificaciones salariales vinculados al desempeño que la Secretaría de la Convención sobre los Humedales implantó con efecto al 1 de enero de 2019 cuando la Secretaría aplicó también la política sobre promociones de la UICN. El presupuesto aprobado por la COP13 para 2019-2021 incluía la provisión para aplicar estas dos políticas. La Secretaría incluyó un incremento anual en el presupuesto aprobado por la 13ª reunión de la Conferencia de las Partes a fin de cubrir el reconocimiento del desempeño y las promociones. No obstante, no es posible incluir tal incremento de forma sostenible a largo plazo sin incrementar la dotación presupuestaria para el personal. Por consiguiente, la Secretaría propone que se mantenga el sistema de bonificación incluido en el escenario (A), y propone una provisión </w:t>
      </w:r>
      <w:r w:rsidRPr="00814222">
        <w:rPr>
          <w:rFonts w:asciiTheme="minorHAnsi" w:eastAsia="Batang" w:hAnsiTheme="minorHAnsi" w:cs="Times New Roman"/>
          <w:noProof/>
          <w:sz w:val="22"/>
          <w:szCs w:val="22"/>
          <w:lang w:val="es-ES"/>
        </w:rPr>
        <w:lastRenderedPageBreak/>
        <w:t>para este fin, y que las Partes examinen la posibilidad de incluir incrementos salariales vinculados al desempeño en los escenarios (B) y (C). La Secretaría considera que es importante tener estas medidas para responder a la aplicación de las políticas y directrices de la UICN, además de ofrecer los incentivos necesarios para la retención del personal y para recompensar los buenos resultados y el destacado rendimiento;</w:t>
      </w:r>
    </w:p>
    <w:p w14:paraId="1102E748"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376F75EF"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f.</w:t>
      </w:r>
      <w:r w:rsidRPr="00814222">
        <w:rPr>
          <w:rFonts w:asciiTheme="minorHAnsi" w:eastAsia="Batang" w:hAnsiTheme="minorHAnsi" w:cs="Times New Roman"/>
          <w:noProof/>
          <w:sz w:val="22"/>
          <w:szCs w:val="22"/>
          <w:lang w:val="es-ES"/>
        </w:rPr>
        <w:tab/>
        <w:t>La Secretaría desea señalar que el presupuesto para 2022 aprobado por la tercera reunión extraordinaria de la Conferencia de las Partes Contratantes (ExCOP3) solo incluía la provisión de bonos y, por lo tanto, no permitía ningún aumento basado en el rendimiento.</w:t>
      </w:r>
    </w:p>
    <w:p w14:paraId="4A0C1991"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4D3DB9A0"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g.</w:t>
      </w:r>
      <w:r w:rsidRPr="00814222">
        <w:rPr>
          <w:rFonts w:asciiTheme="minorHAnsi" w:eastAsia="Batang" w:hAnsiTheme="minorHAnsi" w:cs="Times New Roman"/>
          <w:noProof/>
          <w:sz w:val="22"/>
          <w:szCs w:val="22"/>
          <w:lang w:val="es-ES"/>
        </w:rPr>
        <w:tab/>
        <w:t>Asimismo, la Secretaría desea advertir que la UICN actualizará sus directrices sobre indemnizaciones en el segundo semestre de 2022.</w:t>
      </w:r>
    </w:p>
    <w:p w14:paraId="540702D2"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2C040802" w14:textId="57836244"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3E7D6C">
        <w:rPr>
          <w:rFonts w:asciiTheme="minorHAnsi" w:eastAsia="Batang" w:hAnsiTheme="minorHAnsi" w:cs="Times New Roman"/>
          <w:noProof/>
          <w:sz w:val="22"/>
          <w:szCs w:val="22"/>
          <w:lang w:val="es-ES"/>
        </w:rPr>
        <w:t>h.</w:t>
      </w:r>
      <w:r w:rsidRPr="003E7D6C">
        <w:rPr>
          <w:rFonts w:asciiTheme="minorHAnsi" w:eastAsia="Batang" w:hAnsiTheme="minorHAnsi" w:cs="Times New Roman"/>
          <w:noProof/>
          <w:sz w:val="22"/>
          <w:szCs w:val="22"/>
          <w:lang w:val="es-ES"/>
        </w:rPr>
        <w:tab/>
        <w:t xml:space="preserve">El total de los costos salariales y </w:t>
      </w:r>
      <w:r w:rsidR="00A7261F">
        <w:rPr>
          <w:rFonts w:asciiTheme="minorHAnsi" w:eastAsia="Batang" w:hAnsiTheme="minorHAnsi" w:cs="Times New Roman"/>
          <w:noProof/>
          <w:sz w:val="22"/>
          <w:szCs w:val="22"/>
          <w:lang w:val="es-ES"/>
        </w:rPr>
        <w:t xml:space="preserve">costos </w:t>
      </w:r>
      <w:r w:rsidR="003E7D6C">
        <w:rPr>
          <w:rFonts w:asciiTheme="minorHAnsi" w:eastAsia="Batang" w:hAnsiTheme="minorHAnsi" w:cs="Times New Roman"/>
          <w:noProof/>
          <w:sz w:val="22"/>
          <w:szCs w:val="22"/>
          <w:lang w:val="es-ES"/>
        </w:rPr>
        <w:t xml:space="preserve">conexos </w:t>
      </w:r>
      <w:r w:rsidRPr="003E7D6C">
        <w:rPr>
          <w:rFonts w:asciiTheme="minorHAnsi" w:eastAsia="Batang" w:hAnsiTheme="minorHAnsi" w:cs="Times New Roman"/>
          <w:noProof/>
          <w:sz w:val="22"/>
          <w:szCs w:val="22"/>
          <w:lang w:val="es-ES"/>
        </w:rPr>
        <w:t>representa alrededor del 71 % del total del presupuesto básico, es decir, se mantienen al mismo nivel que en 2019-2021</w:t>
      </w:r>
      <w:r w:rsidRPr="003E7D6C">
        <w:rPr>
          <w:rStyle w:val="FootnoteReference"/>
          <w:rFonts w:asciiTheme="minorHAnsi" w:eastAsia="Batang" w:hAnsiTheme="minorHAnsi" w:cs="Times New Roman"/>
          <w:noProof/>
          <w:sz w:val="22"/>
          <w:szCs w:val="22"/>
          <w:lang w:val="es-ES"/>
        </w:rPr>
        <w:footnoteReference w:id="1"/>
      </w:r>
      <w:r w:rsidRPr="003E7D6C">
        <w:rPr>
          <w:rFonts w:asciiTheme="minorHAnsi" w:eastAsia="Batang" w:hAnsiTheme="minorHAnsi" w:cs="Times New Roman"/>
          <w:noProof/>
          <w:sz w:val="22"/>
          <w:szCs w:val="22"/>
          <w:lang w:val="es-ES"/>
        </w:rPr>
        <w:t>. Por consiguiente, en este escenario no es posible aplicar incrementos salariales y promociones vinculados al desempeño. No obstante, el problema con mantener los salarios al mismo nivel es que no permite a la Secretaría seguir con los incrementos vinculados al desempeño que fueron implantados en 2019 y no deja recursos para las promociones y la retención de personal.</w:t>
      </w:r>
      <w:r w:rsidRPr="00814222">
        <w:rPr>
          <w:rFonts w:asciiTheme="minorHAnsi" w:eastAsia="Batang" w:hAnsiTheme="minorHAnsi" w:cs="Times New Roman"/>
          <w:noProof/>
          <w:sz w:val="22"/>
          <w:szCs w:val="22"/>
          <w:lang w:val="es-ES"/>
        </w:rPr>
        <w:t xml:space="preserve"> </w:t>
      </w:r>
    </w:p>
    <w:p w14:paraId="31B406C6"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6274AFCC"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i.</w:t>
      </w:r>
      <w:r w:rsidRPr="00814222">
        <w:rPr>
          <w:rFonts w:asciiTheme="minorHAnsi" w:eastAsia="Batang" w:hAnsiTheme="minorHAnsi" w:cs="Times New Roman"/>
          <w:noProof/>
          <w:sz w:val="22"/>
          <w:szCs w:val="22"/>
          <w:lang w:val="es-ES"/>
        </w:rPr>
        <w:tab/>
        <w:t xml:space="preserve">Con respecto al trienio 2019-2021, la dotación presupuestaria relativa a los costos de contratación y separación de personal ha sido incrementada en 77 000 francos suizos, sobre la base de los costos reales. </w:t>
      </w:r>
    </w:p>
    <w:p w14:paraId="31890518"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70953758" w14:textId="32AA8D6D"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j.</w:t>
      </w:r>
      <w:r w:rsidRPr="00814222">
        <w:rPr>
          <w:rFonts w:asciiTheme="minorHAnsi" w:eastAsia="Batang" w:hAnsiTheme="minorHAnsi" w:cs="Times New Roman"/>
          <w:noProof/>
          <w:sz w:val="22"/>
          <w:szCs w:val="22"/>
          <w:lang w:val="es-ES"/>
        </w:rPr>
        <w:tab/>
        <w:t>Se ha reducido la previsión para Gastos por servicios administrativos de la UICN en 57</w:t>
      </w:r>
      <w:r w:rsidR="003E7D6C">
        <w:rPr>
          <w:rFonts w:asciiTheme="minorHAnsi" w:eastAsia="Batang" w:hAnsiTheme="minorHAnsi" w:cs="Times New Roman"/>
          <w:noProof/>
          <w:sz w:val="22"/>
          <w:szCs w:val="22"/>
          <w:lang w:val="es-ES"/>
        </w:rPr>
        <w:t xml:space="preserve"> </w:t>
      </w:r>
      <w:r w:rsidRPr="00814222">
        <w:rPr>
          <w:rFonts w:asciiTheme="minorHAnsi" w:eastAsia="Batang" w:hAnsiTheme="minorHAnsi" w:cs="Times New Roman"/>
          <w:noProof/>
          <w:sz w:val="22"/>
          <w:szCs w:val="22"/>
          <w:lang w:val="es-ES"/>
        </w:rPr>
        <w:t xml:space="preserve">000 francos suizos </w:t>
      </w:r>
      <w:r w:rsidR="003E7D6C">
        <w:rPr>
          <w:rFonts w:asciiTheme="minorHAnsi" w:eastAsia="Batang" w:hAnsiTheme="minorHAnsi" w:cs="Times New Roman"/>
          <w:noProof/>
          <w:sz w:val="22"/>
          <w:szCs w:val="22"/>
          <w:lang w:val="es-ES"/>
        </w:rPr>
        <w:t xml:space="preserve">con respecto al </w:t>
      </w:r>
      <w:r w:rsidRPr="00814222">
        <w:rPr>
          <w:rFonts w:asciiTheme="minorHAnsi" w:eastAsia="Batang" w:hAnsiTheme="minorHAnsi" w:cs="Times New Roman"/>
          <w:noProof/>
          <w:sz w:val="22"/>
          <w:szCs w:val="22"/>
          <w:lang w:val="es-ES"/>
        </w:rPr>
        <w:t>trienio anterior debido a los cambios en el sistema de la UICN para la organización de viajes. La implantación de la oficina de viajes presupuestada en el trienio anterior fue eliminada por la UICN en primavera de 2020 habida cuenta de las restricciones para viajar debido a la COVID-19. La reserva de billetes se realiza a través del centro de atención telefónica de la agencia de viajes y en las plataformas de Internet, y las comisiones están incluidas en los gastos de viaje;</w:t>
      </w:r>
    </w:p>
    <w:p w14:paraId="27790BB4"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69C2BF0C" w14:textId="4C0004C5"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k.</w:t>
      </w:r>
      <w:r w:rsidRPr="00814222">
        <w:rPr>
          <w:rFonts w:asciiTheme="minorHAnsi" w:eastAsia="Batang" w:hAnsiTheme="minorHAnsi" w:cs="Times New Roman"/>
          <w:noProof/>
          <w:sz w:val="22"/>
          <w:szCs w:val="22"/>
          <w:lang w:val="es-ES"/>
        </w:rPr>
        <w:tab/>
        <w:t xml:space="preserve">Además, </w:t>
      </w:r>
      <w:r w:rsidR="003E7D6C">
        <w:rPr>
          <w:rFonts w:asciiTheme="minorHAnsi" w:eastAsia="Batang" w:hAnsiTheme="minorHAnsi" w:cs="Times New Roman"/>
          <w:noProof/>
          <w:sz w:val="22"/>
          <w:szCs w:val="22"/>
          <w:lang w:val="es-ES"/>
        </w:rPr>
        <w:t>con respecto al</w:t>
      </w:r>
      <w:r w:rsidRPr="00814222">
        <w:rPr>
          <w:rFonts w:asciiTheme="minorHAnsi" w:eastAsia="Batang" w:hAnsiTheme="minorHAnsi" w:cs="Times New Roman"/>
          <w:noProof/>
          <w:sz w:val="22"/>
          <w:szCs w:val="22"/>
          <w:lang w:val="es-ES"/>
        </w:rPr>
        <w:t xml:space="preserve"> trienio 2019-2021, el apoyo y desarrollo de la web y las </w:t>
      </w:r>
      <w:r w:rsidR="003E7D6C">
        <w:rPr>
          <w:rFonts w:asciiTheme="minorHAnsi" w:eastAsia="Batang" w:hAnsiTheme="minorHAnsi" w:cs="Times New Roman"/>
          <w:noProof/>
          <w:sz w:val="22"/>
          <w:szCs w:val="22"/>
          <w:lang w:val="es-ES"/>
        </w:rPr>
        <w:t>tecnologías de la información</w:t>
      </w:r>
      <w:r w:rsidRPr="00814222">
        <w:rPr>
          <w:rFonts w:asciiTheme="minorHAnsi" w:eastAsia="Batang" w:hAnsiTheme="minorHAnsi" w:cs="Times New Roman"/>
          <w:noProof/>
          <w:sz w:val="22"/>
          <w:szCs w:val="22"/>
          <w:lang w:val="es-ES"/>
        </w:rPr>
        <w:t xml:space="preserve"> se ha reducido en 11 000 francos suizos debido a que la Secretaría prevé que será menor la necesidad de cubrir gastos de apoyo para alojamiento y mantenimiento, y que el desarrollo de las </w:t>
      </w:r>
      <w:r w:rsidR="003E7D6C">
        <w:rPr>
          <w:rFonts w:asciiTheme="minorHAnsi" w:eastAsia="Batang" w:hAnsiTheme="minorHAnsi" w:cs="Times New Roman"/>
          <w:noProof/>
          <w:sz w:val="22"/>
          <w:szCs w:val="22"/>
          <w:lang w:val="es-ES"/>
        </w:rPr>
        <w:t>tecnologías de la información</w:t>
      </w:r>
      <w:r w:rsidRPr="00814222">
        <w:rPr>
          <w:rFonts w:asciiTheme="minorHAnsi" w:eastAsia="Batang" w:hAnsiTheme="minorHAnsi" w:cs="Times New Roman"/>
          <w:noProof/>
          <w:sz w:val="22"/>
          <w:szCs w:val="22"/>
          <w:lang w:val="es-ES"/>
        </w:rPr>
        <w:t xml:space="preserve"> será limitado tras la reestructuración del sitio web que se aplicará en 2022.</w:t>
      </w:r>
    </w:p>
    <w:p w14:paraId="6F281436"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6F9C4830" w14:textId="03339F6F"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l.</w:t>
      </w:r>
      <w:r w:rsidRPr="00814222">
        <w:rPr>
          <w:rFonts w:asciiTheme="minorHAnsi" w:eastAsia="Batang" w:hAnsiTheme="minorHAnsi" w:cs="Times New Roman"/>
          <w:noProof/>
          <w:sz w:val="22"/>
          <w:szCs w:val="22"/>
          <w:lang w:val="es-ES"/>
        </w:rPr>
        <w:tab/>
      </w:r>
      <w:r w:rsidR="003E7D6C">
        <w:rPr>
          <w:rFonts w:asciiTheme="minorHAnsi" w:eastAsia="Batang" w:hAnsiTheme="minorHAnsi" w:cs="Times New Roman"/>
          <w:noProof/>
          <w:sz w:val="22"/>
          <w:szCs w:val="22"/>
          <w:lang w:val="es-ES"/>
        </w:rPr>
        <w:t>Con respecto al</w:t>
      </w:r>
      <w:r w:rsidRPr="00814222">
        <w:rPr>
          <w:rFonts w:asciiTheme="minorHAnsi" w:eastAsia="Batang" w:hAnsiTheme="minorHAnsi" w:cs="Times New Roman"/>
          <w:noProof/>
          <w:sz w:val="22"/>
          <w:szCs w:val="22"/>
          <w:lang w:val="es-ES"/>
        </w:rPr>
        <w:t xml:space="preserve"> trienio anterior, el presupuesto para viajes se ha ajustado con una reasignación de 24 000 francos suizos de la partida presupuestaria C, Asesoramiento y apoyo regional, a la partida presupuestaria E, Ciencia y política, en consonancia con los requisitos del plan de trabajo de la Secretaría, mientras que el presupuesto general para viajes sigue siendo el mismo que el del trienio 2019-2021 y representa el 3 % del presupuesto básico total.</w:t>
      </w:r>
    </w:p>
    <w:p w14:paraId="598A3AEB" w14:textId="77777777" w:rsidR="0072250A" w:rsidRPr="00814222" w:rsidRDefault="0072250A" w:rsidP="0072250A">
      <w:pPr>
        <w:pStyle w:val="MGfulltext"/>
        <w:spacing w:after="0"/>
        <w:rPr>
          <w:rFonts w:asciiTheme="minorHAnsi" w:eastAsia="Batang" w:hAnsiTheme="minorHAnsi" w:cs="Times New Roman"/>
          <w:noProof/>
          <w:sz w:val="22"/>
          <w:szCs w:val="22"/>
          <w:lang w:val="es-ES"/>
        </w:rPr>
      </w:pPr>
    </w:p>
    <w:p w14:paraId="27032F5A"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m.</w:t>
      </w:r>
      <w:r w:rsidRPr="00814222">
        <w:rPr>
          <w:rFonts w:asciiTheme="minorHAnsi" w:eastAsia="Batang" w:hAnsiTheme="minorHAnsi" w:cs="Times New Roman"/>
          <w:noProof/>
          <w:sz w:val="22"/>
          <w:szCs w:val="22"/>
          <w:lang w:val="es-ES"/>
        </w:rPr>
        <w:tab/>
        <w:t xml:space="preserve">De la misma forma que en el trienio anterior, se incluye una dotación de 100 000 francos suizos por año para la puesta en marcha de iniciativas regionales de Ramsar; </w:t>
      </w:r>
    </w:p>
    <w:p w14:paraId="403C4B57"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6423128F"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lastRenderedPageBreak/>
        <w:t>n.</w:t>
      </w:r>
      <w:r w:rsidRPr="00814222">
        <w:rPr>
          <w:rFonts w:asciiTheme="minorHAnsi" w:eastAsia="Batang" w:hAnsiTheme="minorHAnsi" w:cs="Times New Roman"/>
          <w:noProof/>
          <w:sz w:val="22"/>
          <w:szCs w:val="22"/>
          <w:lang w:val="es-ES"/>
        </w:rPr>
        <w:tab/>
        <w:t xml:space="preserve">Igual que en el presupuesto de 2019-2021, no se asignan fondos del presupuesto básico para las Misiones Ramsar de Asesoramiento, ni tampoco para las reuniones de la Conferencia de las Partes Contratantes o las reuniones regionales previas a la COP (con la salvedad de la inclusión de los costos de la reunión de la Conferencia de las Partes en el escenario presupuestario C). </w:t>
      </w:r>
    </w:p>
    <w:p w14:paraId="308BDC81"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00971191" w14:textId="2A47D564"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o.</w:t>
      </w:r>
      <w:r w:rsidRPr="00814222">
        <w:rPr>
          <w:rFonts w:asciiTheme="minorHAnsi" w:eastAsia="Batang" w:hAnsiTheme="minorHAnsi" w:cs="Times New Roman"/>
          <w:noProof/>
          <w:sz w:val="22"/>
          <w:szCs w:val="22"/>
          <w:lang w:val="es-ES"/>
        </w:rPr>
        <w:tab/>
        <w:t>Se ha mantenido la misma previsión para provisiones que en el trienio anterior. No obstante, de acuerdo con la Decisión SC58-31 del Comité Permanente, las provisiones se incluyen en dos partidas presupuestarias separadas: a) provisiones para el personal y b) provisión para las contribuciones pendientes. Por lo tanto, sobre la base del promedio de ajustes en las provisiones para el personal durante el trienio 2019-2021, la Secretaría dividió la asignación de 50 000 francos suizos para el trienio 2019-2021 en 20 000 francos suizos para provisiones para el personal y 30 000 francos suizos para</w:t>
      </w:r>
      <w:r w:rsidR="007369F0">
        <w:rPr>
          <w:rFonts w:asciiTheme="minorHAnsi" w:eastAsia="Batang" w:hAnsiTheme="minorHAnsi" w:cs="Times New Roman"/>
          <w:noProof/>
          <w:sz w:val="22"/>
          <w:szCs w:val="22"/>
          <w:lang w:val="es-ES"/>
        </w:rPr>
        <w:t xml:space="preserve"> la</w:t>
      </w:r>
      <w:r w:rsidRPr="00814222">
        <w:rPr>
          <w:rFonts w:asciiTheme="minorHAnsi" w:eastAsia="Batang" w:hAnsiTheme="minorHAnsi" w:cs="Times New Roman"/>
          <w:noProof/>
          <w:sz w:val="22"/>
          <w:szCs w:val="22"/>
          <w:lang w:val="es-ES"/>
        </w:rPr>
        <w:t xml:space="preserve"> provisión para contribuciones pendientes.</w:t>
      </w:r>
    </w:p>
    <w:p w14:paraId="3E898CD7"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3DECF18B" w14:textId="3E094F98" w:rsidR="0072250A" w:rsidRPr="00814222" w:rsidRDefault="0072250A" w:rsidP="0072250A">
      <w:pPr>
        <w:ind w:left="851" w:hanging="426"/>
        <w:rPr>
          <w:rFonts w:asciiTheme="minorHAnsi" w:eastAsia="Batang" w:hAnsiTheme="minorHAnsi"/>
          <w:noProof/>
          <w:lang w:val="es-ES"/>
        </w:rPr>
      </w:pPr>
      <w:r w:rsidRPr="00814222">
        <w:rPr>
          <w:rFonts w:asciiTheme="minorHAnsi" w:eastAsia="Batang" w:hAnsiTheme="minorHAnsi"/>
          <w:noProof/>
          <w:lang w:val="es-ES"/>
        </w:rPr>
        <w:t>p.</w:t>
      </w:r>
      <w:r w:rsidRPr="00814222">
        <w:rPr>
          <w:rFonts w:asciiTheme="minorHAnsi" w:eastAsia="Batang" w:hAnsiTheme="minorHAnsi"/>
          <w:noProof/>
          <w:lang w:val="es-ES"/>
        </w:rPr>
        <w:tab/>
        <w:t>El monto asignado a las provisiones para el personal ha sido calculado sobre la base de las cifras reales del trienio anterior. El monto de la provisión para las contribuciones pendientes no será suficiente, por lo que, se tendrán que asignar los ahorros del presupuesto básico cada año sobre la base de los cálculos reales. Esto se debe a que la Convención ha estado aplicando el nuevo método para el cálculo de la provisión para contribuciones pendientes desde junio de 2019, tal y como pidió el auditor externo y conforme a la Decisión SC57-39 del Comité Permanente. La Secretaría calcula que la provisión para las contribuciones pendientes ascenderá a 450 000 francos suizos en total (hasta un máximo de 150 000 francos suizos por año). Dado que la suma de 90 000 francos suizos ya está incluida en el presupuesto (30 000 francos suizos por año), se necesitará una asignación adicional de hasta 360 000 francos suizos (120 000 francos suizos por año) para cubrir esto en el trienio 2023-2025. La Secretaría sugiere que este monto se cubra con el superávit del trienio anterior, sobre el que se informa en el documento SC59/2022 Doc. 8.1</w:t>
      </w:r>
      <w:r w:rsidRPr="00814222">
        <w:rPr>
          <w:rFonts w:asciiTheme="minorHAnsi" w:eastAsia="Batang" w:hAnsiTheme="minorHAnsi"/>
          <w:i/>
          <w:noProof/>
          <w:lang w:val="es-ES"/>
        </w:rPr>
        <w:t xml:space="preserve"> Informe sobre cuestiones financieras</w:t>
      </w:r>
      <w:r w:rsidR="00D92709">
        <w:rPr>
          <w:rFonts w:asciiTheme="minorHAnsi" w:eastAsia="Batang" w:hAnsiTheme="minorHAnsi"/>
          <w:i/>
          <w:noProof/>
          <w:lang w:val="es-ES"/>
        </w:rPr>
        <w:t xml:space="preserve"> para</w:t>
      </w:r>
      <w:r w:rsidRPr="00814222">
        <w:rPr>
          <w:rFonts w:asciiTheme="minorHAnsi" w:eastAsia="Batang" w:hAnsiTheme="minorHAnsi"/>
          <w:i/>
          <w:noProof/>
          <w:lang w:val="es-ES"/>
        </w:rPr>
        <w:t xml:space="preserve"> 2019-2021 y 2022</w:t>
      </w:r>
      <w:r w:rsidRPr="00814222">
        <w:rPr>
          <w:rFonts w:asciiTheme="minorHAnsi" w:eastAsia="Batang" w:hAnsiTheme="minorHAnsi"/>
          <w:noProof/>
          <w:lang w:val="es-ES"/>
        </w:rPr>
        <w:t xml:space="preserve">. Por tanto, en el </w:t>
      </w:r>
      <w:r w:rsidR="00D92709">
        <w:rPr>
          <w:rFonts w:asciiTheme="minorHAnsi" w:eastAsia="Batang" w:hAnsiTheme="minorHAnsi"/>
          <w:noProof/>
          <w:lang w:val="es-ES"/>
        </w:rPr>
        <w:t>e</w:t>
      </w:r>
      <w:r w:rsidRPr="00814222">
        <w:rPr>
          <w:rFonts w:asciiTheme="minorHAnsi" w:eastAsia="Batang" w:hAnsiTheme="minorHAnsi"/>
          <w:noProof/>
          <w:lang w:val="es-ES"/>
        </w:rPr>
        <w:t xml:space="preserve">scenario A se asume la aprobación del uso del superávit para este fin. </w:t>
      </w:r>
    </w:p>
    <w:p w14:paraId="45FB33D8" w14:textId="77777777" w:rsidR="0072250A" w:rsidRPr="00814222" w:rsidRDefault="0072250A" w:rsidP="0072250A">
      <w:pPr>
        <w:ind w:left="0" w:firstLine="0"/>
        <w:rPr>
          <w:rFonts w:asciiTheme="minorHAnsi" w:hAnsiTheme="minorHAnsi"/>
          <w:noProof/>
          <w:lang w:val="es-ES"/>
        </w:rPr>
      </w:pPr>
    </w:p>
    <w:p w14:paraId="5100B0D9" w14:textId="3FB5D716"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4.</w:t>
      </w:r>
      <w:r w:rsidRPr="00814222">
        <w:rPr>
          <w:rFonts w:asciiTheme="minorHAnsi" w:eastAsia="Batang" w:hAnsiTheme="minorHAnsi" w:cs="Times New Roman"/>
          <w:noProof/>
          <w:sz w:val="22"/>
          <w:szCs w:val="22"/>
          <w:lang w:val="es-ES"/>
        </w:rPr>
        <w:tab/>
        <w:t xml:space="preserve">En el </w:t>
      </w:r>
      <w:r w:rsidRPr="00814222">
        <w:rPr>
          <w:rFonts w:asciiTheme="minorHAnsi" w:eastAsia="Batang" w:hAnsiTheme="minorHAnsi" w:cs="Times New Roman"/>
          <w:b/>
          <w:noProof/>
          <w:sz w:val="22"/>
          <w:szCs w:val="22"/>
          <w:lang w:val="es-ES"/>
        </w:rPr>
        <w:t>escenario del 2,8 % (B)</w:t>
      </w:r>
      <w:r w:rsidRPr="00814222">
        <w:rPr>
          <w:rFonts w:asciiTheme="minorHAnsi" w:eastAsia="Batang" w:hAnsiTheme="minorHAnsi" w:cs="Times New Roman"/>
          <w:noProof/>
          <w:sz w:val="22"/>
          <w:szCs w:val="22"/>
          <w:lang w:val="es-ES"/>
        </w:rPr>
        <w:t>, el incremento total del presupuesto sería de 438 000 francos suizos a lo largo del trienio</w:t>
      </w:r>
      <w:r w:rsidR="00D92709">
        <w:rPr>
          <w:rFonts w:asciiTheme="minorHAnsi" w:eastAsia="Batang" w:hAnsiTheme="minorHAnsi" w:cs="Times New Roman"/>
          <w:noProof/>
          <w:sz w:val="22"/>
          <w:szCs w:val="22"/>
          <w:lang w:val="es-ES"/>
        </w:rPr>
        <w:t>.</w:t>
      </w:r>
      <w:r w:rsidRPr="00814222">
        <w:rPr>
          <w:rFonts w:asciiTheme="minorHAnsi" w:eastAsia="Batang" w:hAnsiTheme="minorHAnsi" w:cs="Times New Roman"/>
          <w:noProof/>
          <w:sz w:val="22"/>
          <w:szCs w:val="22"/>
          <w:lang w:val="es-ES"/>
        </w:rPr>
        <w:t xml:space="preserve"> </w:t>
      </w:r>
      <w:r w:rsidR="00D92709">
        <w:rPr>
          <w:rFonts w:asciiTheme="minorHAnsi" w:eastAsia="Batang" w:hAnsiTheme="minorHAnsi" w:cs="Times New Roman"/>
          <w:noProof/>
          <w:sz w:val="22"/>
          <w:szCs w:val="22"/>
          <w:lang w:val="es-ES"/>
        </w:rPr>
        <w:t>P</w:t>
      </w:r>
      <w:r w:rsidRPr="00814222">
        <w:rPr>
          <w:rFonts w:asciiTheme="minorHAnsi" w:eastAsia="Batang" w:hAnsiTheme="minorHAnsi" w:cs="Times New Roman"/>
          <w:noProof/>
          <w:sz w:val="22"/>
          <w:szCs w:val="22"/>
          <w:lang w:val="es-ES"/>
        </w:rPr>
        <w:t xml:space="preserve">or </w:t>
      </w:r>
      <w:r w:rsidR="00D92709">
        <w:rPr>
          <w:rFonts w:asciiTheme="minorHAnsi" w:eastAsia="Batang" w:hAnsiTheme="minorHAnsi" w:cs="Times New Roman"/>
          <w:noProof/>
          <w:sz w:val="22"/>
          <w:szCs w:val="22"/>
          <w:lang w:val="es-ES"/>
        </w:rPr>
        <w:t>tanto</w:t>
      </w:r>
      <w:r w:rsidRPr="00814222">
        <w:rPr>
          <w:rFonts w:asciiTheme="minorHAnsi" w:eastAsia="Batang" w:hAnsiTheme="minorHAnsi" w:cs="Times New Roman"/>
          <w:noProof/>
          <w:sz w:val="22"/>
          <w:szCs w:val="22"/>
          <w:lang w:val="es-ES"/>
        </w:rPr>
        <w:t>, el nuevo total del presupuesto sería de 15</w:t>
      </w:r>
      <w:r w:rsidR="00D92709">
        <w:rPr>
          <w:rFonts w:asciiTheme="minorHAnsi" w:eastAsia="Batang" w:hAnsiTheme="minorHAnsi" w:cs="Times New Roman"/>
          <w:noProof/>
          <w:sz w:val="22"/>
          <w:szCs w:val="22"/>
          <w:lang w:val="es-ES"/>
        </w:rPr>
        <w:t xml:space="preserve"> </w:t>
      </w:r>
      <w:r w:rsidRPr="00814222">
        <w:rPr>
          <w:rFonts w:asciiTheme="minorHAnsi" w:eastAsia="Batang" w:hAnsiTheme="minorHAnsi" w:cs="Times New Roman"/>
          <w:noProof/>
          <w:sz w:val="22"/>
          <w:szCs w:val="22"/>
          <w:lang w:val="es-ES"/>
        </w:rPr>
        <w:t>681</w:t>
      </w:r>
      <w:r w:rsidR="00D92709">
        <w:rPr>
          <w:rFonts w:asciiTheme="minorHAnsi" w:eastAsia="Batang" w:hAnsiTheme="minorHAnsi" w:cs="Times New Roman"/>
          <w:noProof/>
          <w:sz w:val="22"/>
          <w:szCs w:val="22"/>
          <w:lang w:val="es-ES"/>
        </w:rPr>
        <w:t xml:space="preserve"> </w:t>
      </w:r>
      <w:r w:rsidRPr="00814222">
        <w:rPr>
          <w:rFonts w:asciiTheme="minorHAnsi" w:eastAsia="Batang" w:hAnsiTheme="minorHAnsi" w:cs="Times New Roman"/>
          <w:noProof/>
          <w:sz w:val="22"/>
          <w:szCs w:val="22"/>
          <w:lang w:val="es-ES"/>
        </w:rPr>
        <w:t>000 francos suizos, incluyéndose los siguientes costos adicionales respecto al escenario A</w:t>
      </w:r>
      <w:r w:rsidR="00D92709">
        <w:rPr>
          <w:rFonts w:asciiTheme="minorHAnsi" w:eastAsia="Batang" w:hAnsiTheme="minorHAnsi" w:cs="Times New Roman"/>
          <w:noProof/>
          <w:sz w:val="22"/>
          <w:szCs w:val="22"/>
          <w:lang w:val="es-ES"/>
        </w:rPr>
        <w:t>:</w:t>
      </w:r>
    </w:p>
    <w:p w14:paraId="228D4455"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20834001"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a.</w:t>
      </w:r>
      <w:r w:rsidRPr="00814222">
        <w:rPr>
          <w:rFonts w:asciiTheme="minorHAnsi" w:eastAsia="Batang" w:hAnsiTheme="minorHAnsi" w:cs="Times New Roman"/>
          <w:noProof/>
          <w:sz w:val="22"/>
          <w:szCs w:val="22"/>
          <w:lang w:val="es-ES"/>
        </w:rPr>
        <w:tab/>
        <w:t>Un incremento de 210 000 francos suizos de los costos de personal para cubrir una provisión para incrementos salariales vinculados al desempeño y promociones, de acuerdo con el marco de competencias y las directrices sobre promoción de la UICN implantados por la Secretaría en 2019;</w:t>
      </w:r>
    </w:p>
    <w:p w14:paraId="663B3902"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0906E8FB" w14:textId="56DD92B9"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b.</w:t>
      </w:r>
      <w:r w:rsidRPr="00814222">
        <w:rPr>
          <w:rFonts w:asciiTheme="minorHAnsi" w:eastAsia="Batang" w:hAnsiTheme="minorHAnsi" w:cs="Times New Roman"/>
          <w:noProof/>
          <w:sz w:val="22"/>
          <w:szCs w:val="22"/>
          <w:lang w:val="es-ES"/>
        </w:rPr>
        <w:tab/>
        <w:t xml:space="preserve">Un incremento de 228 000 francos suizos para cubrir el déficit creado en el presupuesto por la contratación de un auxiliar contable y financiero. Este monto se asignaría a las partidas presupuestarias originarias de los recursos que, </w:t>
      </w:r>
      <w:r w:rsidR="001B2635">
        <w:rPr>
          <w:rFonts w:asciiTheme="minorHAnsi" w:eastAsia="Batang" w:hAnsiTheme="minorHAnsi" w:cs="Times New Roman"/>
          <w:noProof/>
          <w:sz w:val="22"/>
          <w:szCs w:val="22"/>
          <w:lang w:val="es-ES"/>
        </w:rPr>
        <w:t>con arreglo al</w:t>
      </w:r>
      <w:r w:rsidRPr="00814222">
        <w:rPr>
          <w:rFonts w:asciiTheme="minorHAnsi" w:eastAsia="Batang" w:hAnsiTheme="minorHAnsi" w:cs="Times New Roman"/>
          <w:noProof/>
          <w:sz w:val="22"/>
          <w:szCs w:val="22"/>
          <w:lang w:val="es-ES"/>
        </w:rPr>
        <w:t xml:space="preserve"> párrafo 15 de la Resolución XIII.2, son</w:t>
      </w:r>
      <w:r w:rsidR="001B2635">
        <w:rPr>
          <w:rFonts w:asciiTheme="minorHAnsi" w:eastAsia="Batang" w:hAnsiTheme="minorHAnsi" w:cs="Times New Roman"/>
          <w:noProof/>
          <w:sz w:val="22"/>
          <w:szCs w:val="22"/>
          <w:lang w:val="es-ES"/>
        </w:rPr>
        <w:t xml:space="preserve"> las siguientes</w:t>
      </w:r>
      <w:r w:rsidRPr="00814222">
        <w:rPr>
          <w:rFonts w:asciiTheme="minorHAnsi" w:eastAsia="Batang" w:hAnsiTheme="minorHAnsi" w:cs="Times New Roman"/>
          <w:noProof/>
          <w:sz w:val="22"/>
          <w:szCs w:val="22"/>
          <w:lang w:val="es-ES"/>
        </w:rPr>
        <w:t>: 120 000 francos suizos para comunicaciones, traducción, publicaciones e informes, 60 000 francos suizos para viajes del personal (15</w:t>
      </w:r>
      <w:r w:rsidR="001B2635">
        <w:rPr>
          <w:rFonts w:asciiTheme="minorHAnsi" w:eastAsia="Batang" w:hAnsiTheme="minorHAnsi" w:cs="Times New Roman"/>
          <w:noProof/>
          <w:sz w:val="22"/>
          <w:szCs w:val="22"/>
          <w:lang w:val="es-ES"/>
        </w:rPr>
        <w:t xml:space="preserve"> </w:t>
      </w:r>
      <w:r w:rsidRPr="00814222">
        <w:rPr>
          <w:rFonts w:asciiTheme="minorHAnsi" w:eastAsia="Batang" w:hAnsiTheme="minorHAnsi" w:cs="Times New Roman"/>
          <w:noProof/>
          <w:sz w:val="22"/>
          <w:szCs w:val="22"/>
          <w:lang w:val="es-ES"/>
        </w:rPr>
        <w:t xml:space="preserve">000 francos suizos para los viajes del personal directivo de la Secretaría, 15 000 francos suizos para los viajes de movilización de recursos y promoción y 30 000 francos suizos para los viajes de asesoramiento y apoyo regionales), 15 000 francos suizos para la aplicación del programa del GECT, y 33 000 francos suizos para planificación y capacitación. </w:t>
      </w:r>
    </w:p>
    <w:p w14:paraId="6924A432"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3DBC0927" w14:textId="665DA5D0" w:rsidR="0072250A"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lastRenderedPageBreak/>
        <w:t>c.</w:t>
      </w:r>
      <w:r w:rsidRPr="00814222">
        <w:rPr>
          <w:rFonts w:asciiTheme="minorHAnsi" w:eastAsia="Batang" w:hAnsiTheme="minorHAnsi" w:cs="Times New Roman"/>
          <w:noProof/>
          <w:sz w:val="22"/>
          <w:szCs w:val="22"/>
          <w:lang w:val="es-ES"/>
        </w:rPr>
        <w:tab/>
        <w:t>Como resultado de estos incrementos, el total de los costos salariales y costos conexos representarían alrededor del 70 % del presupuesto básico total.</w:t>
      </w:r>
    </w:p>
    <w:p w14:paraId="31AF17F8" w14:textId="77777777" w:rsidR="00A7261F" w:rsidRPr="00814222" w:rsidRDefault="00A7261F" w:rsidP="0072250A">
      <w:pPr>
        <w:pStyle w:val="MGfulltext"/>
        <w:spacing w:after="0"/>
        <w:ind w:left="850" w:hanging="425"/>
        <w:rPr>
          <w:rFonts w:asciiTheme="minorHAnsi" w:eastAsia="Batang" w:hAnsiTheme="minorHAnsi" w:cs="Times New Roman"/>
          <w:noProof/>
          <w:sz w:val="22"/>
          <w:szCs w:val="22"/>
          <w:lang w:val="es-ES"/>
        </w:rPr>
      </w:pPr>
    </w:p>
    <w:p w14:paraId="71B7E1BA"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d.</w:t>
      </w:r>
      <w:r w:rsidRPr="00814222">
        <w:rPr>
          <w:rFonts w:asciiTheme="minorHAnsi" w:eastAsia="Batang" w:hAnsiTheme="minorHAnsi" w:cs="Times New Roman"/>
          <w:noProof/>
          <w:sz w:val="22"/>
          <w:szCs w:val="22"/>
          <w:lang w:val="es-ES"/>
        </w:rPr>
        <w:tab/>
        <w:t>Al igual que en el escenario A, se necesitará una suma adicional de 360 000 francos suizos para las provisiones para las contribuciones pendientes. La Secretaría sugiere que esto se cubra con el superávit del presupuesto básico del trienio anterior, tal como se presenta en el párrafo 3.p), más arriba.</w:t>
      </w:r>
      <w:r w:rsidRPr="00814222">
        <w:rPr>
          <w:rFonts w:asciiTheme="minorHAnsi" w:eastAsia="Batang" w:hAnsiTheme="minorHAnsi" w:cs="Times New Roman"/>
          <w:noProof/>
          <w:sz w:val="22"/>
          <w:szCs w:val="22"/>
          <w:lang w:val="es-ES"/>
        </w:rPr>
        <w:tab/>
      </w:r>
    </w:p>
    <w:p w14:paraId="365B7E21" w14:textId="77777777" w:rsidR="0072250A" w:rsidRPr="00814222" w:rsidRDefault="0072250A" w:rsidP="0072250A">
      <w:pPr>
        <w:pStyle w:val="MGfulltext"/>
        <w:spacing w:after="0"/>
        <w:ind w:left="1440"/>
        <w:rPr>
          <w:rFonts w:asciiTheme="minorHAnsi" w:hAnsiTheme="minorHAnsi"/>
          <w:noProof/>
          <w:sz w:val="22"/>
          <w:szCs w:val="22"/>
          <w:lang w:val="es-ES"/>
        </w:rPr>
      </w:pPr>
    </w:p>
    <w:p w14:paraId="6F027EA5" w14:textId="7905D252"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5.</w:t>
      </w:r>
      <w:r w:rsidRPr="00814222">
        <w:rPr>
          <w:rFonts w:asciiTheme="minorHAnsi" w:eastAsia="Batang" w:hAnsiTheme="minorHAnsi" w:cs="Times New Roman"/>
          <w:noProof/>
          <w:sz w:val="22"/>
          <w:szCs w:val="22"/>
          <w:lang w:val="es-ES"/>
        </w:rPr>
        <w:tab/>
        <w:t xml:space="preserve">En el </w:t>
      </w:r>
      <w:r w:rsidRPr="00814222">
        <w:rPr>
          <w:rFonts w:asciiTheme="minorHAnsi" w:eastAsia="Batang" w:hAnsiTheme="minorHAnsi" w:cs="Times New Roman"/>
          <w:b/>
          <w:noProof/>
          <w:sz w:val="22"/>
          <w:szCs w:val="22"/>
          <w:lang w:val="es-ES"/>
        </w:rPr>
        <w:t>escenario del 4,2% (C)</w:t>
      </w:r>
      <w:r w:rsidRPr="00814222">
        <w:rPr>
          <w:rFonts w:asciiTheme="minorHAnsi" w:eastAsia="Batang" w:hAnsiTheme="minorHAnsi" w:cs="Times New Roman"/>
          <w:noProof/>
          <w:sz w:val="22"/>
          <w:szCs w:val="22"/>
          <w:lang w:val="es-ES"/>
        </w:rPr>
        <w:t xml:space="preserve">, el incremento total del presupuesto sería de 674 000 francos suizos a lo largo del trienio. Por </w:t>
      </w:r>
      <w:r w:rsidR="00A7261F">
        <w:rPr>
          <w:rFonts w:asciiTheme="minorHAnsi" w:eastAsia="Batang" w:hAnsiTheme="minorHAnsi" w:cs="Times New Roman"/>
          <w:noProof/>
          <w:sz w:val="22"/>
          <w:szCs w:val="22"/>
          <w:lang w:val="es-ES"/>
        </w:rPr>
        <w:t>tanto</w:t>
      </w:r>
      <w:r w:rsidRPr="00814222">
        <w:rPr>
          <w:rFonts w:asciiTheme="minorHAnsi" w:eastAsia="Batang" w:hAnsiTheme="minorHAnsi" w:cs="Times New Roman"/>
          <w:noProof/>
          <w:sz w:val="22"/>
          <w:szCs w:val="22"/>
          <w:lang w:val="es-ES"/>
        </w:rPr>
        <w:t xml:space="preserve">, el nuevo total del presupuesto </w:t>
      </w:r>
      <w:r w:rsidR="00A7261F">
        <w:rPr>
          <w:rFonts w:asciiTheme="minorHAnsi" w:eastAsia="Batang" w:hAnsiTheme="minorHAnsi" w:cs="Times New Roman"/>
          <w:noProof/>
          <w:sz w:val="22"/>
          <w:szCs w:val="22"/>
          <w:lang w:val="es-ES"/>
        </w:rPr>
        <w:t>ascendería a</w:t>
      </w:r>
      <w:r w:rsidRPr="00814222">
        <w:rPr>
          <w:rFonts w:asciiTheme="minorHAnsi" w:eastAsia="Batang" w:hAnsiTheme="minorHAnsi" w:cs="Times New Roman"/>
          <w:noProof/>
          <w:sz w:val="22"/>
          <w:szCs w:val="22"/>
          <w:lang w:val="es-ES"/>
        </w:rPr>
        <w:t xml:space="preserve"> 15</w:t>
      </w:r>
      <w:r w:rsidR="00A7261F">
        <w:rPr>
          <w:rFonts w:asciiTheme="minorHAnsi" w:eastAsia="Batang" w:hAnsiTheme="minorHAnsi" w:cs="Times New Roman"/>
          <w:noProof/>
          <w:sz w:val="22"/>
          <w:szCs w:val="22"/>
          <w:lang w:val="es-ES"/>
        </w:rPr>
        <w:t xml:space="preserve"> </w:t>
      </w:r>
      <w:r w:rsidRPr="00814222">
        <w:rPr>
          <w:rFonts w:asciiTheme="minorHAnsi" w:eastAsia="Batang" w:hAnsiTheme="minorHAnsi" w:cs="Times New Roman"/>
          <w:noProof/>
          <w:sz w:val="22"/>
          <w:szCs w:val="22"/>
          <w:lang w:val="es-ES"/>
        </w:rPr>
        <w:t>917</w:t>
      </w:r>
      <w:r w:rsidR="00A7261F">
        <w:rPr>
          <w:rFonts w:asciiTheme="minorHAnsi" w:eastAsia="Batang" w:hAnsiTheme="minorHAnsi" w:cs="Times New Roman"/>
          <w:noProof/>
          <w:sz w:val="22"/>
          <w:szCs w:val="22"/>
          <w:lang w:val="es-ES"/>
        </w:rPr>
        <w:t xml:space="preserve"> </w:t>
      </w:r>
      <w:r w:rsidRPr="00814222">
        <w:rPr>
          <w:rFonts w:asciiTheme="minorHAnsi" w:eastAsia="Batang" w:hAnsiTheme="minorHAnsi" w:cs="Times New Roman"/>
          <w:noProof/>
          <w:sz w:val="22"/>
          <w:szCs w:val="22"/>
          <w:lang w:val="es-ES"/>
        </w:rPr>
        <w:t xml:space="preserve">000 francos suizos. Además de incluir los costos adicionales indicados para el escenario B, el escenario C también incluye una asignación de 236 000 francos suizos en 2025 correspondiente a los costos asociados con los servicios para la 15ª reunión de la Conferencia de las Partes (interpretación, traducción, elaboración de informes, impresión de documentos e instalaciones de conferencias, además de los costos de funcionamiento de la conferencia). La inclusión de esta partida es una práctica normalizada de otras Convenciones equiparables, tales como la Convención sobre las Especies Migratorias y la Convención sobre el Comercio Internacional de Especies Amenazadas de Fauna y Flora Silvestres. Sin asignación presupuestaria, estos costos tendrían que correr por cuenta del país anfitrión. </w:t>
      </w:r>
    </w:p>
    <w:p w14:paraId="4DC164CB"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p>
    <w:p w14:paraId="0F44AC78"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6.</w:t>
      </w:r>
      <w:r w:rsidRPr="00814222">
        <w:rPr>
          <w:noProof/>
          <w:lang w:val="es-ES"/>
        </w:rPr>
        <w:t xml:space="preserve"> </w:t>
      </w:r>
      <w:r w:rsidRPr="00814222">
        <w:rPr>
          <w:noProof/>
          <w:lang w:val="es-ES"/>
        </w:rPr>
        <w:tab/>
      </w:r>
      <w:r w:rsidRPr="00814222">
        <w:rPr>
          <w:rFonts w:asciiTheme="minorHAnsi" w:eastAsia="Batang" w:hAnsiTheme="minorHAnsi" w:cs="Times New Roman"/>
          <w:noProof/>
          <w:sz w:val="22"/>
          <w:szCs w:val="22"/>
          <w:lang w:val="es-ES"/>
        </w:rPr>
        <w:t>Al igual que en los escenarios A y B, se necesitará una suma adicional de 360 000 francos suizos para las provisiones para las contribuciones pendientes. La Secretaría sugiere que esto se cubra con el superávit del presupuesto básico del trienio anterior, tal como se presenta en el párrafo 3.p), más arriba.</w:t>
      </w:r>
    </w:p>
    <w:p w14:paraId="58994093" w14:textId="77777777" w:rsidR="0072250A" w:rsidRPr="00814222" w:rsidRDefault="0072250A" w:rsidP="0072250A">
      <w:pPr>
        <w:pStyle w:val="MGfulltext"/>
        <w:spacing w:after="0"/>
        <w:rPr>
          <w:rFonts w:asciiTheme="minorHAnsi" w:eastAsia="Batang" w:hAnsiTheme="minorHAnsi" w:cs="Times New Roman"/>
          <w:noProof/>
          <w:sz w:val="22"/>
          <w:szCs w:val="22"/>
          <w:lang w:val="es-ES"/>
        </w:rPr>
      </w:pPr>
    </w:p>
    <w:p w14:paraId="0A4F1E19" w14:textId="77777777" w:rsidR="0072250A" w:rsidRPr="00814222" w:rsidRDefault="0072250A" w:rsidP="0072250A">
      <w:pPr>
        <w:pStyle w:val="MGfulltext"/>
        <w:spacing w:after="0"/>
        <w:rPr>
          <w:rFonts w:asciiTheme="minorHAnsi" w:eastAsia="Batang" w:hAnsiTheme="minorHAnsi" w:cs="Times New Roman"/>
          <w:b/>
          <w:noProof/>
          <w:sz w:val="22"/>
          <w:szCs w:val="22"/>
          <w:lang w:val="es-ES"/>
        </w:rPr>
      </w:pPr>
      <w:r w:rsidRPr="00814222">
        <w:rPr>
          <w:rFonts w:asciiTheme="minorHAnsi" w:eastAsia="Batang" w:hAnsiTheme="minorHAnsi" w:cs="Times New Roman"/>
          <w:b/>
          <w:noProof/>
          <w:sz w:val="22"/>
          <w:szCs w:val="22"/>
          <w:lang w:val="es-ES"/>
        </w:rPr>
        <w:t>Estructura de los escenarios del presupuesto básico</w:t>
      </w:r>
    </w:p>
    <w:p w14:paraId="18425EA1" w14:textId="77777777" w:rsidR="0072250A" w:rsidRPr="00814222" w:rsidRDefault="0072250A" w:rsidP="0072250A">
      <w:pPr>
        <w:pStyle w:val="MGfulltext"/>
        <w:spacing w:after="0"/>
        <w:rPr>
          <w:rFonts w:asciiTheme="minorHAnsi" w:eastAsia="Batang" w:hAnsiTheme="minorHAnsi" w:cs="Times New Roman"/>
          <w:b/>
          <w:noProof/>
          <w:sz w:val="22"/>
          <w:szCs w:val="22"/>
          <w:lang w:val="es-ES"/>
        </w:rPr>
      </w:pPr>
    </w:p>
    <w:p w14:paraId="45350D25"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7.</w:t>
      </w:r>
      <w:r w:rsidRPr="00814222">
        <w:rPr>
          <w:rFonts w:asciiTheme="minorHAnsi" w:eastAsia="Batang" w:hAnsiTheme="minorHAnsi" w:cs="Times New Roman"/>
          <w:noProof/>
          <w:sz w:val="22"/>
          <w:szCs w:val="22"/>
          <w:lang w:val="es-ES"/>
        </w:rPr>
        <w:tab/>
        <w:t xml:space="preserve">A fin de mantener el enfoque actual de mostrar los gastos por departamento / categoría, la Secretaría propone mantener la misma estructura presupuestaria general que en el trienio anterior. </w:t>
      </w:r>
    </w:p>
    <w:p w14:paraId="1F46294C"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p>
    <w:p w14:paraId="61AB0ED1"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8.</w:t>
      </w:r>
      <w:r w:rsidRPr="00814222">
        <w:rPr>
          <w:rFonts w:asciiTheme="minorHAnsi" w:eastAsia="Batang" w:hAnsiTheme="minorHAnsi" w:cs="Times New Roman"/>
          <w:noProof/>
          <w:sz w:val="22"/>
          <w:szCs w:val="22"/>
          <w:lang w:val="es-ES"/>
        </w:rPr>
        <w:tab/>
        <w:t xml:space="preserve">Los principales cambios de presentación derivados de las decisiones del Comité Permanente son los siguientes: </w:t>
      </w:r>
    </w:p>
    <w:p w14:paraId="7A644954" w14:textId="77777777" w:rsidR="0072250A" w:rsidRPr="00814222" w:rsidRDefault="0072250A" w:rsidP="0072250A">
      <w:pPr>
        <w:pStyle w:val="MGfulltext"/>
        <w:spacing w:after="0"/>
        <w:ind w:left="850" w:hanging="425"/>
        <w:rPr>
          <w:rFonts w:asciiTheme="minorHAnsi" w:eastAsia="Batang" w:hAnsiTheme="minorHAnsi" w:cs="Times New Roman"/>
          <w:noProof/>
          <w:sz w:val="22"/>
          <w:szCs w:val="22"/>
          <w:lang w:val="es-ES"/>
        </w:rPr>
      </w:pPr>
    </w:p>
    <w:p w14:paraId="745E20CF" w14:textId="77777777" w:rsidR="0072250A" w:rsidRPr="00814222" w:rsidRDefault="0072250A" w:rsidP="00865285">
      <w:pPr>
        <w:pStyle w:val="MGfulltext"/>
        <w:numPr>
          <w:ilvl w:val="0"/>
          <w:numId w:val="2"/>
        </w:numPr>
        <w:spacing w:after="0"/>
        <w:rPr>
          <w:rFonts w:asciiTheme="minorHAnsi" w:hAnsiTheme="minorHAnsi"/>
          <w:noProof/>
          <w:sz w:val="22"/>
          <w:szCs w:val="22"/>
          <w:lang w:val="es-ES"/>
        </w:rPr>
      </w:pPr>
      <w:r w:rsidRPr="00814222">
        <w:rPr>
          <w:rFonts w:asciiTheme="minorHAnsi" w:eastAsia="Batang" w:hAnsiTheme="minorHAnsi" w:cs="Times New Roman"/>
          <w:noProof/>
          <w:sz w:val="22"/>
          <w:szCs w:val="22"/>
          <w:lang w:val="es-ES"/>
        </w:rPr>
        <w:t xml:space="preserve">A fin de mejorar la gestión y la transparencia de la aplicación de las provisiones (de acuerdo con la Decisión </w:t>
      </w:r>
      <w:r w:rsidRPr="00814222">
        <w:rPr>
          <w:rFonts w:asciiTheme="minorHAnsi" w:hAnsiTheme="minorHAnsi"/>
          <w:noProof/>
          <w:sz w:val="22"/>
          <w:szCs w:val="22"/>
          <w:lang w:val="es-ES"/>
        </w:rPr>
        <w:t>SC58-31 del Comité Permanente), l</w:t>
      </w:r>
      <w:r w:rsidRPr="00814222">
        <w:rPr>
          <w:rFonts w:asciiTheme="minorHAnsi" w:eastAsia="Batang" w:hAnsiTheme="minorHAnsi" w:cs="Times New Roman"/>
          <w:noProof/>
          <w:sz w:val="22"/>
          <w:szCs w:val="22"/>
          <w:lang w:val="es-ES"/>
        </w:rPr>
        <w:t xml:space="preserve">as provisiones se han desglosado en dos partidas presupuestarias: 1) provisiones para el personal y 2) provisiones para contribuciones pendientes. </w:t>
      </w:r>
    </w:p>
    <w:p w14:paraId="5A1DAACC" w14:textId="77777777" w:rsidR="0072250A" w:rsidRPr="00814222" w:rsidRDefault="0072250A" w:rsidP="0072250A">
      <w:pPr>
        <w:pStyle w:val="MGfulltext"/>
        <w:spacing w:after="0"/>
        <w:ind w:left="785"/>
        <w:rPr>
          <w:rFonts w:asciiTheme="minorHAnsi" w:hAnsiTheme="minorHAnsi"/>
          <w:noProof/>
          <w:sz w:val="22"/>
          <w:szCs w:val="22"/>
          <w:lang w:val="es-ES"/>
        </w:rPr>
      </w:pPr>
    </w:p>
    <w:p w14:paraId="3F2E28DB" w14:textId="1D7A4C16" w:rsidR="0072250A" w:rsidRPr="00814222" w:rsidRDefault="0072250A" w:rsidP="00865285">
      <w:pPr>
        <w:pStyle w:val="MGfulltext"/>
        <w:numPr>
          <w:ilvl w:val="0"/>
          <w:numId w:val="2"/>
        </w:numPr>
        <w:spacing w:after="0"/>
        <w:rPr>
          <w:rFonts w:asciiTheme="minorHAnsi" w:hAnsiTheme="minorHAnsi"/>
          <w:noProof/>
          <w:sz w:val="22"/>
          <w:szCs w:val="22"/>
          <w:lang w:val="es-ES"/>
        </w:rPr>
      </w:pPr>
      <w:r w:rsidRPr="00814222">
        <w:rPr>
          <w:rFonts w:asciiTheme="minorHAnsi" w:hAnsiTheme="minorHAnsi"/>
          <w:noProof/>
          <w:sz w:val="22"/>
          <w:szCs w:val="22"/>
          <w:lang w:val="es-ES"/>
        </w:rPr>
        <w:t>La partida presupuestaria fusionada “</w:t>
      </w:r>
      <w:r w:rsidR="007B4D3F">
        <w:rPr>
          <w:rFonts w:asciiTheme="minorHAnsi" w:hAnsiTheme="minorHAnsi"/>
          <w:noProof/>
          <w:sz w:val="22"/>
          <w:szCs w:val="22"/>
          <w:lang w:val="es-ES"/>
        </w:rPr>
        <w:t>S</w:t>
      </w:r>
      <w:r w:rsidRPr="00814222">
        <w:rPr>
          <w:rFonts w:asciiTheme="minorHAnsi" w:hAnsiTheme="minorHAnsi"/>
          <w:noProof/>
          <w:sz w:val="22"/>
          <w:szCs w:val="22"/>
          <w:lang w:val="es-ES"/>
        </w:rPr>
        <w:t xml:space="preserve">alarios, </w:t>
      </w:r>
      <w:r w:rsidR="007B4D3F">
        <w:rPr>
          <w:rFonts w:asciiTheme="minorHAnsi" w:hAnsiTheme="minorHAnsi"/>
          <w:noProof/>
          <w:sz w:val="22"/>
          <w:szCs w:val="22"/>
          <w:lang w:val="es-ES"/>
        </w:rPr>
        <w:t>gastos</w:t>
      </w:r>
      <w:r w:rsidRPr="00814222">
        <w:rPr>
          <w:rFonts w:asciiTheme="minorHAnsi" w:hAnsiTheme="minorHAnsi"/>
          <w:noProof/>
          <w:sz w:val="22"/>
          <w:szCs w:val="22"/>
          <w:lang w:val="es-ES"/>
        </w:rPr>
        <w:t xml:space="preserve"> sociales y otras prestaciones” incluye “otras prestaciones” para cada área presupuestaria. Se reconoce que este cambio de ubicación de la financiación entre partidas presupuestarias no refleja un cambio en los niveles de financiación (según la Decisión SC59-27).</w:t>
      </w:r>
    </w:p>
    <w:p w14:paraId="68E21DBE" w14:textId="77777777" w:rsidR="0072250A" w:rsidRPr="00814222" w:rsidRDefault="0072250A" w:rsidP="0072250A">
      <w:pPr>
        <w:pStyle w:val="ListParagraph"/>
        <w:rPr>
          <w:rFonts w:asciiTheme="minorHAnsi" w:eastAsia="Batang" w:hAnsiTheme="minorHAnsi"/>
          <w:noProof/>
          <w:lang w:val="es-ES"/>
        </w:rPr>
      </w:pPr>
    </w:p>
    <w:p w14:paraId="459BE71A" w14:textId="77777777" w:rsidR="0072250A" w:rsidRPr="00814222" w:rsidRDefault="0072250A" w:rsidP="00865285">
      <w:pPr>
        <w:pStyle w:val="MGfulltext"/>
        <w:numPr>
          <w:ilvl w:val="0"/>
          <w:numId w:val="2"/>
        </w:numPr>
        <w:spacing w:after="0"/>
        <w:rPr>
          <w:rFonts w:asciiTheme="minorHAnsi" w:hAnsiTheme="minorHAnsi"/>
          <w:noProof/>
          <w:sz w:val="22"/>
          <w:szCs w:val="22"/>
          <w:lang w:val="es-ES"/>
        </w:rPr>
      </w:pPr>
      <w:r w:rsidRPr="00814222">
        <w:rPr>
          <w:rFonts w:asciiTheme="minorHAnsi" w:eastAsia="Batang" w:hAnsiTheme="minorHAnsi" w:cs="Times New Roman"/>
          <w:noProof/>
          <w:sz w:val="22"/>
          <w:szCs w:val="22"/>
          <w:lang w:val="es-ES"/>
        </w:rPr>
        <w:t xml:space="preserve">Se incluye al personal en el presupuesto del departamento donde trabaja actualmente, de acuerdo con lo indicado en el Cuadro 1 a continuación. El Cuadro 1 muestra la forma en que se asignan los costos de los puestos de trabajo no financiados del presupuesto básico en los escenarios propuestos, indicándose de forma explícita la asignación de los costos de salarios a las distintas partidas presupuestarias. </w:t>
      </w:r>
    </w:p>
    <w:p w14:paraId="08FDAB90" w14:textId="77777777" w:rsidR="0072250A" w:rsidRPr="00814222" w:rsidRDefault="0072250A" w:rsidP="0072250A">
      <w:pPr>
        <w:pStyle w:val="MGfulltext"/>
        <w:tabs>
          <w:tab w:val="left" w:pos="1190"/>
        </w:tabs>
        <w:spacing w:after="0"/>
        <w:rPr>
          <w:rFonts w:asciiTheme="minorHAnsi" w:hAnsiTheme="minorHAnsi"/>
          <w:bCs/>
          <w:i/>
          <w:noProof/>
          <w:lang w:val="es-ES" w:eastAsia="en-GB"/>
        </w:rPr>
      </w:pPr>
      <w:r w:rsidRPr="00814222">
        <w:rPr>
          <w:rFonts w:asciiTheme="minorHAnsi" w:eastAsia="Batang" w:hAnsiTheme="minorHAnsi" w:cs="Times New Roman"/>
          <w:noProof/>
          <w:sz w:val="22"/>
          <w:szCs w:val="22"/>
          <w:lang w:val="es-ES"/>
        </w:rPr>
        <w:tab/>
      </w:r>
    </w:p>
    <w:p w14:paraId="76739386" w14:textId="77777777" w:rsidR="007B4D3F" w:rsidRDefault="007B4D3F">
      <w:pPr>
        <w:rPr>
          <w:rFonts w:asciiTheme="minorHAnsi" w:eastAsia="Times New Roman" w:hAnsiTheme="minorHAnsi" w:cs="Arial"/>
          <w:bCs/>
          <w:i/>
          <w:noProof/>
          <w:lang w:val="es-ES" w:eastAsia="en-GB"/>
        </w:rPr>
      </w:pPr>
      <w:r>
        <w:rPr>
          <w:rFonts w:asciiTheme="minorHAnsi" w:hAnsiTheme="minorHAnsi"/>
          <w:bCs/>
          <w:i/>
          <w:noProof/>
          <w:lang w:val="es-ES" w:eastAsia="en-GB"/>
        </w:rPr>
        <w:br w:type="page"/>
      </w:r>
    </w:p>
    <w:p w14:paraId="06AB61FF" w14:textId="77C5B311" w:rsidR="0072250A" w:rsidRPr="00814222" w:rsidRDefault="0072250A" w:rsidP="0072250A">
      <w:pPr>
        <w:pStyle w:val="MGfulltext"/>
        <w:tabs>
          <w:tab w:val="left" w:pos="1190"/>
        </w:tabs>
        <w:spacing w:after="0"/>
        <w:rPr>
          <w:rFonts w:asciiTheme="minorHAnsi" w:eastAsia="Batang" w:hAnsiTheme="minorHAnsi" w:cs="Times New Roman"/>
          <w:i/>
          <w:noProof/>
          <w:sz w:val="22"/>
          <w:szCs w:val="22"/>
          <w:lang w:val="es-ES"/>
        </w:rPr>
      </w:pPr>
      <w:r w:rsidRPr="00814222">
        <w:rPr>
          <w:rFonts w:asciiTheme="minorHAnsi" w:hAnsiTheme="minorHAnsi"/>
          <w:bCs/>
          <w:i/>
          <w:noProof/>
          <w:sz w:val="22"/>
          <w:szCs w:val="22"/>
          <w:lang w:val="es-ES" w:eastAsia="en-GB"/>
        </w:rPr>
        <w:lastRenderedPageBreak/>
        <w:t>Cuadro 1: Plantilla actual (escenario (A))</w:t>
      </w:r>
    </w:p>
    <w:tbl>
      <w:tblPr>
        <w:tblW w:w="7395" w:type="dxa"/>
        <w:tblInd w:w="93" w:type="dxa"/>
        <w:tblLook w:val="04A0" w:firstRow="1" w:lastRow="0" w:firstColumn="1" w:lastColumn="0" w:noHBand="0" w:noVBand="1"/>
      </w:tblPr>
      <w:tblGrid>
        <w:gridCol w:w="3975"/>
        <w:gridCol w:w="3420"/>
      </w:tblGrid>
      <w:tr w:rsidR="0072250A" w:rsidRPr="00814222" w14:paraId="3D3E00A5" w14:textId="77777777" w:rsidTr="00C627A0">
        <w:trPr>
          <w:trHeight w:val="264"/>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B2D54"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Personal directivo de la Secretaría y Gobernanza</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14:paraId="2E66EA79"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1 S, 1 D, 1 P2, 2 A3</w:t>
            </w:r>
          </w:p>
        </w:tc>
      </w:tr>
      <w:tr w:rsidR="0072250A" w:rsidRPr="00814222" w14:paraId="3322784A" w14:textId="77777777" w:rsidTr="00C627A0">
        <w:trPr>
          <w:trHeight w:val="264"/>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14:paraId="0EAB87DF"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 xml:space="preserve">Movilización de recursos y Promoción </w:t>
            </w:r>
          </w:p>
        </w:tc>
        <w:tc>
          <w:tcPr>
            <w:tcW w:w="3420" w:type="dxa"/>
            <w:tcBorders>
              <w:top w:val="nil"/>
              <w:left w:val="nil"/>
              <w:bottom w:val="single" w:sz="4" w:space="0" w:color="auto"/>
              <w:right w:val="single" w:sz="4" w:space="0" w:color="auto"/>
            </w:tcBorders>
            <w:shd w:val="clear" w:color="auto" w:fill="auto"/>
            <w:noWrap/>
            <w:vAlign w:val="bottom"/>
            <w:hideMark/>
          </w:tcPr>
          <w:p w14:paraId="658825E4"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2 P2, 1 A3</w:t>
            </w:r>
          </w:p>
        </w:tc>
      </w:tr>
      <w:tr w:rsidR="0072250A" w:rsidRPr="00814222" w14:paraId="3527170A" w14:textId="77777777" w:rsidTr="00C627A0">
        <w:trPr>
          <w:trHeight w:val="264"/>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14:paraId="4C6D8E44"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 xml:space="preserve">Asesoramiento y apoyo regionales </w:t>
            </w:r>
          </w:p>
        </w:tc>
        <w:tc>
          <w:tcPr>
            <w:tcW w:w="3420" w:type="dxa"/>
            <w:tcBorders>
              <w:top w:val="nil"/>
              <w:left w:val="nil"/>
              <w:bottom w:val="single" w:sz="4" w:space="0" w:color="auto"/>
              <w:right w:val="single" w:sz="4" w:space="0" w:color="auto"/>
            </w:tcBorders>
            <w:shd w:val="clear" w:color="auto" w:fill="auto"/>
            <w:noWrap/>
            <w:vAlign w:val="bottom"/>
            <w:hideMark/>
          </w:tcPr>
          <w:p w14:paraId="21F7A950"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4 M1, 4 JP</w:t>
            </w:r>
          </w:p>
        </w:tc>
      </w:tr>
      <w:tr w:rsidR="0072250A" w:rsidRPr="00814222" w14:paraId="6378BB59" w14:textId="77777777" w:rsidTr="00C627A0">
        <w:trPr>
          <w:trHeight w:val="264"/>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14:paraId="37AB9E38"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Ciencia y Políticas</w:t>
            </w:r>
          </w:p>
        </w:tc>
        <w:tc>
          <w:tcPr>
            <w:tcW w:w="3420" w:type="dxa"/>
            <w:tcBorders>
              <w:top w:val="nil"/>
              <w:left w:val="nil"/>
              <w:bottom w:val="single" w:sz="4" w:space="0" w:color="auto"/>
              <w:right w:val="single" w:sz="4" w:space="0" w:color="auto"/>
            </w:tcBorders>
            <w:shd w:val="clear" w:color="auto" w:fill="auto"/>
            <w:noWrap/>
            <w:vAlign w:val="bottom"/>
            <w:hideMark/>
          </w:tcPr>
          <w:p w14:paraId="4DE19E0A"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1 M1, 2 P2, 1 P1</w:t>
            </w:r>
          </w:p>
        </w:tc>
      </w:tr>
      <w:tr w:rsidR="0072250A" w:rsidRPr="00814222" w14:paraId="647545CF" w14:textId="77777777" w:rsidTr="00C627A0">
        <w:trPr>
          <w:trHeight w:val="264"/>
        </w:trPr>
        <w:tc>
          <w:tcPr>
            <w:tcW w:w="3975" w:type="dxa"/>
            <w:tcBorders>
              <w:top w:val="nil"/>
              <w:left w:val="single" w:sz="4" w:space="0" w:color="auto"/>
              <w:bottom w:val="single" w:sz="4" w:space="0" w:color="auto"/>
              <w:right w:val="single" w:sz="4" w:space="0" w:color="auto"/>
            </w:tcBorders>
            <w:shd w:val="clear" w:color="auto" w:fill="auto"/>
            <w:noWrap/>
            <w:vAlign w:val="bottom"/>
            <w:hideMark/>
          </w:tcPr>
          <w:p w14:paraId="29B83DBE"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Administración</w:t>
            </w:r>
          </w:p>
        </w:tc>
        <w:tc>
          <w:tcPr>
            <w:tcW w:w="3420" w:type="dxa"/>
            <w:tcBorders>
              <w:top w:val="nil"/>
              <w:left w:val="nil"/>
              <w:bottom w:val="single" w:sz="4" w:space="0" w:color="auto"/>
              <w:right w:val="single" w:sz="4" w:space="0" w:color="auto"/>
            </w:tcBorders>
            <w:shd w:val="clear" w:color="auto" w:fill="auto"/>
            <w:noWrap/>
            <w:vAlign w:val="bottom"/>
            <w:hideMark/>
          </w:tcPr>
          <w:p w14:paraId="1C2577E5" w14:textId="77777777" w:rsidR="0072250A" w:rsidRPr="00814222" w:rsidRDefault="0072250A" w:rsidP="00C627A0">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1 P2, 1 P1 (50 %), 1 A3</w:t>
            </w:r>
          </w:p>
        </w:tc>
      </w:tr>
      <w:tr w:rsidR="0072250A" w:rsidRPr="00814222" w14:paraId="7297C291" w14:textId="77777777" w:rsidTr="00C627A0">
        <w:trPr>
          <w:trHeight w:val="264"/>
        </w:trPr>
        <w:tc>
          <w:tcPr>
            <w:tcW w:w="397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2040A31" w14:textId="77777777" w:rsidR="0072250A" w:rsidRPr="00814222" w:rsidRDefault="0072250A" w:rsidP="00C627A0">
            <w:pPr>
              <w:ind w:left="0" w:firstLine="0"/>
              <w:rPr>
                <w:rFonts w:asciiTheme="minorHAnsi" w:eastAsia="Times New Roman" w:hAnsiTheme="minorHAnsi" w:cs="Arial"/>
                <w:b/>
                <w:bCs/>
                <w:noProof/>
                <w:lang w:val="es-ES" w:eastAsia="en-GB"/>
              </w:rPr>
            </w:pPr>
            <w:r w:rsidRPr="00814222">
              <w:rPr>
                <w:rFonts w:asciiTheme="minorHAnsi" w:eastAsia="Times New Roman" w:hAnsiTheme="minorHAnsi" w:cs="Arial"/>
                <w:b/>
                <w:bCs/>
                <w:noProof/>
                <w:lang w:val="es-ES" w:eastAsia="en-GB"/>
              </w:rPr>
              <w:t>Total</w:t>
            </w:r>
          </w:p>
        </w:tc>
        <w:tc>
          <w:tcPr>
            <w:tcW w:w="3420" w:type="dxa"/>
            <w:tcBorders>
              <w:top w:val="single" w:sz="4" w:space="0" w:color="auto"/>
              <w:left w:val="nil"/>
              <w:bottom w:val="single" w:sz="4" w:space="0" w:color="auto"/>
              <w:right w:val="single" w:sz="4" w:space="0" w:color="auto"/>
            </w:tcBorders>
            <w:shd w:val="clear" w:color="000000" w:fill="BFBFBF"/>
            <w:noWrap/>
            <w:vAlign w:val="bottom"/>
            <w:hideMark/>
          </w:tcPr>
          <w:p w14:paraId="7007B42B" w14:textId="4D4907D9" w:rsidR="0072250A" w:rsidRPr="00814222" w:rsidRDefault="0072250A" w:rsidP="00C627A0">
            <w:pPr>
              <w:ind w:left="0" w:firstLine="0"/>
              <w:rPr>
                <w:rFonts w:asciiTheme="minorHAnsi" w:eastAsia="Times New Roman" w:hAnsiTheme="minorHAnsi" w:cs="Arial"/>
                <w:b/>
                <w:bCs/>
                <w:noProof/>
                <w:lang w:val="es-ES" w:eastAsia="en-GB"/>
              </w:rPr>
            </w:pPr>
            <w:r w:rsidRPr="00814222">
              <w:rPr>
                <w:rFonts w:asciiTheme="minorHAnsi" w:eastAsia="Times New Roman" w:hAnsiTheme="minorHAnsi" w:cs="Arial"/>
                <w:b/>
                <w:bCs/>
                <w:noProof/>
                <w:lang w:val="es-ES" w:eastAsia="en-GB"/>
              </w:rPr>
              <w:t xml:space="preserve">22,5 </w:t>
            </w:r>
            <w:r w:rsidR="007B4D3F">
              <w:rPr>
                <w:rFonts w:asciiTheme="minorHAnsi" w:eastAsia="Times New Roman" w:hAnsiTheme="minorHAnsi" w:cs="Arial"/>
                <w:b/>
                <w:bCs/>
                <w:noProof/>
                <w:lang w:val="es-ES" w:eastAsia="en-GB"/>
              </w:rPr>
              <w:t>miembros del personal</w:t>
            </w:r>
          </w:p>
        </w:tc>
      </w:tr>
    </w:tbl>
    <w:p w14:paraId="431029A4" w14:textId="77777777" w:rsidR="0072250A" w:rsidRPr="00814222" w:rsidRDefault="0072250A" w:rsidP="0072250A">
      <w:pPr>
        <w:pStyle w:val="MGfulltext"/>
        <w:spacing w:after="0"/>
        <w:rPr>
          <w:rFonts w:asciiTheme="minorHAnsi" w:eastAsia="Batang" w:hAnsiTheme="minorHAnsi" w:cs="Times New Roman"/>
          <w:b/>
          <w:noProof/>
          <w:sz w:val="22"/>
          <w:szCs w:val="22"/>
          <w:lang w:val="es-ES"/>
        </w:rPr>
      </w:pPr>
      <w:r w:rsidRPr="00814222">
        <w:rPr>
          <w:rFonts w:asciiTheme="minorHAnsi" w:hAnsiTheme="minorHAnsi"/>
          <w:noProof/>
          <w:sz w:val="22"/>
          <w:szCs w:val="22"/>
          <w:lang w:val="es-ES" w:eastAsia="en-GB"/>
        </w:rPr>
        <w:t xml:space="preserve">Nota: Categorías según la política de recursos humanos y las directrices para la clasificación de puestos de la UICN. </w:t>
      </w:r>
    </w:p>
    <w:p w14:paraId="5E1A40E2" w14:textId="77777777" w:rsidR="0072250A" w:rsidRPr="00814222" w:rsidRDefault="0072250A" w:rsidP="0072250A">
      <w:pPr>
        <w:ind w:left="0"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 xml:space="preserve">S = Secretario/a General; D y M1-M2 = puestos directivos; P1-P2 = puestos profesionales; A1-A3 = puestos de apoyo administrativo; JP = puestos de oficial subalterno </w:t>
      </w:r>
    </w:p>
    <w:p w14:paraId="303802CE" w14:textId="77777777" w:rsidR="0072250A" w:rsidRPr="00814222" w:rsidRDefault="0072250A" w:rsidP="0072250A">
      <w:pPr>
        <w:tabs>
          <w:tab w:val="left" w:pos="3586"/>
        </w:tabs>
        <w:ind w:left="93" w:firstLine="0"/>
        <w:rPr>
          <w:rFonts w:asciiTheme="minorHAnsi" w:eastAsia="Times New Roman" w:hAnsiTheme="minorHAnsi" w:cs="Arial"/>
          <w:noProof/>
          <w:lang w:val="es-ES" w:eastAsia="en-GB"/>
        </w:rPr>
      </w:pPr>
      <w:r w:rsidRPr="00814222">
        <w:rPr>
          <w:rFonts w:asciiTheme="minorHAnsi" w:eastAsia="Times New Roman" w:hAnsiTheme="minorHAnsi" w:cs="Arial"/>
          <w:noProof/>
          <w:lang w:val="es-ES" w:eastAsia="en-GB"/>
        </w:rPr>
        <w:tab/>
      </w:r>
    </w:p>
    <w:p w14:paraId="6FD07778" w14:textId="77777777" w:rsidR="0072250A" w:rsidRPr="00814222" w:rsidRDefault="0072250A" w:rsidP="0072250A">
      <w:pPr>
        <w:pStyle w:val="MGfulltext"/>
        <w:spacing w:after="0"/>
        <w:ind w:left="567" w:hanging="567"/>
        <w:rPr>
          <w:rFonts w:asciiTheme="minorHAnsi" w:eastAsia="Batang" w:hAnsiTheme="minorHAnsi" w:cs="Times New Roman"/>
          <w:b/>
          <w:noProof/>
          <w:sz w:val="22"/>
          <w:szCs w:val="22"/>
          <w:lang w:val="es-ES"/>
        </w:rPr>
      </w:pPr>
    </w:p>
    <w:p w14:paraId="2B84203F" w14:textId="77777777" w:rsidR="0072250A" w:rsidRPr="00814222" w:rsidRDefault="0072250A" w:rsidP="0072250A">
      <w:pPr>
        <w:pStyle w:val="MGfulltext"/>
        <w:spacing w:after="0"/>
        <w:ind w:left="567" w:hanging="567"/>
        <w:rPr>
          <w:rFonts w:asciiTheme="minorHAnsi" w:eastAsia="Batang" w:hAnsiTheme="minorHAnsi" w:cs="Times New Roman"/>
          <w:b/>
          <w:noProof/>
          <w:sz w:val="22"/>
          <w:szCs w:val="22"/>
          <w:lang w:val="es-ES"/>
        </w:rPr>
      </w:pPr>
      <w:r w:rsidRPr="00814222">
        <w:rPr>
          <w:rFonts w:asciiTheme="minorHAnsi" w:eastAsia="Batang" w:hAnsiTheme="minorHAnsi" w:cs="Times New Roman"/>
          <w:b/>
          <w:noProof/>
          <w:sz w:val="22"/>
          <w:szCs w:val="22"/>
          <w:lang w:val="es-ES"/>
        </w:rPr>
        <w:t xml:space="preserve">Fondos no básicos a recaudar </w:t>
      </w:r>
    </w:p>
    <w:p w14:paraId="06D5C8DD" w14:textId="77777777" w:rsidR="0072250A" w:rsidRPr="00814222" w:rsidRDefault="0072250A" w:rsidP="0072250A">
      <w:pPr>
        <w:pStyle w:val="MGfulltext"/>
        <w:spacing w:after="0"/>
        <w:ind w:left="360"/>
        <w:rPr>
          <w:rFonts w:asciiTheme="minorHAnsi" w:eastAsia="Batang" w:hAnsiTheme="minorHAnsi" w:cs="Times New Roman"/>
          <w:noProof/>
          <w:sz w:val="22"/>
          <w:szCs w:val="22"/>
          <w:lang w:val="es-ES"/>
        </w:rPr>
      </w:pPr>
    </w:p>
    <w:p w14:paraId="52876DB2" w14:textId="77777777" w:rsidR="0072250A" w:rsidRPr="00814222" w:rsidRDefault="0072250A" w:rsidP="0072250A">
      <w:pPr>
        <w:pStyle w:val="MGfulltext"/>
        <w:spacing w:after="0"/>
        <w:ind w:left="360" w:hanging="360"/>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9.</w:t>
      </w:r>
      <w:r w:rsidRPr="00814222">
        <w:rPr>
          <w:rFonts w:asciiTheme="minorHAnsi" w:eastAsia="Batang" w:hAnsiTheme="minorHAnsi" w:cs="Times New Roman"/>
          <w:noProof/>
          <w:sz w:val="22"/>
          <w:szCs w:val="22"/>
          <w:lang w:val="es-ES"/>
        </w:rPr>
        <w:tab/>
        <w:t xml:space="preserve">Además del presupuesto básico, la Conferencia de las Partes Contratantes determina las actividades prioritarias no financiadas del presupuesto básico. Estas incluyen las áreas básicas del trabajo de la Secretaría y las actividades prioritarias definidas en las resoluciones adoptadas por la Conferencia de las Partes. </w:t>
      </w:r>
    </w:p>
    <w:p w14:paraId="30883456" w14:textId="77777777"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p>
    <w:p w14:paraId="744C8594" w14:textId="77777777" w:rsidR="0072250A" w:rsidRPr="00814222" w:rsidRDefault="0072250A" w:rsidP="0072250A">
      <w:pPr>
        <w:ind w:left="540" w:hanging="540"/>
        <w:rPr>
          <w:rFonts w:asciiTheme="minorHAnsi" w:hAnsiTheme="minorHAnsi"/>
          <w:b/>
          <w:noProof/>
          <w:lang w:val="es-ES"/>
        </w:rPr>
      </w:pPr>
      <w:r w:rsidRPr="00814222">
        <w:rPr>
          <w:rFonts w:asciiTheme="minorHAnsi" w:hAnsiTheme="minorHAnsi"/>
          <w:b/>
          <w:noProof/>
          <w:lang w:val="es-ES"/>
        </w:rPr>
        <w:t>Proyecto de resolución sobre cuestiones financieras y presupuestarias</w:t>
      </w:r>
    </w:p>
    <w:p w14:paraId="36AD83C4" w14:textId="77777777" w:rsidR="0072250A" w:rsidRPr="00814222" w:rsidRDefault="0072250A" w:rsidP="0072250A">
      <w:pPr>
        <w:rPr>
          <w:rFonts w:asciiTheme="minorHAnsi" w:hAnsiTheme="minorHAnsi"/>
          <w:b/>
          <w:noProof/>
          <w:lang w:val="es-ES"/>
        </w:rPr>
      </w:pPr>
    </w:p>
    <w:p w14:paraId="39A4B990" w14:textId="463CA901" w:rsidR="0072250A" w:rsidRPr="00814222" w:rsidRDefault="0072250A" w:rsidP="0072250A">
      <w:pPr>
        <w:pStyle w:val="MGfulltext"/>
        <w:spacing w:after="0"/>
        <w:ind w:left="425" w:hanging="425"/>
        <w:rPr>
          <w:rFonts w:asciiTheme="minorHAnsi" w:eastAsia="Batang" w:hAnsiTheme="minorHAnsi" w:cs="Times New Roman"/>
          <w:noProof/>
          <w:sz w:val="22"/>
          <w:szCs w:val="22"/>
          <w:lang w:val="es-ES"/>
        </w:rPr>
      </w:pPr>
      <w:r w:rsidRPr="00814222">
        <w:rPr>
          <w:rFonts w:asciiTheme="minorHAnsi" w:eastAsia="Batang" w:hAnsiTheme="minorHAnsi" w:cs="Times New Roman"/>
          <w:noProof/>
          <w:sz w:val="22"/>
          <w:szCs w:val="22"/>
          <w:lang w:val="es-ES"/>
        </w:rPr>
        <w:t>10.</w:t>
      </w:r>
      <w:r w:rsidRPr="00814222">
        <w:rPr>
          <w:rFonts w:asciiTheme="minorHAnsi" w:eastAsia="Batang" w:hAnsiTheme="minorHAnsi" w:cs="Times New Roman"/>
          <w:noProof/>
          <w:sz w:val="22"/>
          <w:szCs w:val="22"/>
          <w:lang w:val="es-ES"/>
        </w:rPr>
        <w:tab/>
      </w:r>
      <w:r w:rsidR="00BC0742" w:rsidRPr="00BC0742">
        <w:rPr>
          <w:rFonts w:asciiTheme="minorHAnsi" w:eastAsia="Batang" w:hAnsiTheme="minorHAnsi" w:cs="Times New Roman"/>
          <w:noProof/>
          <w:sz w:val="22"/>
          <w:szCs w:val="22"/>
          <w:lang w:val="es-ES"/>
        </w:rPr>
        <w:t xml:space="preserve">A continuación se presenta </w:t>
      </w:r>
      <w:r w:rsidRPr="00814222">
        <w:rPr>
          <w:rFonts w:asciiTheme="minorHAnsi" w:eastAsia="Batang" w:hAnsiTheme="minorHAnsi" w:cs="Times New Roman"/>
          <w:noProof/>
          <w:sz w:val="22"/>
          <w:szCs w:val="22"/>
          <w:lang w:val="es-ES"/>
        </w:rPr>
        <w:t>el Proyecto de resolución sobre cuestiones financieras y presupuestarias que se presentará en la 14ª reunión de la Conferencia de las Par</w:t>
      </w:r>
      <w:r w:rsidR="00BC0742">
        <w:rPr>
          <w:rFonts w:asciiTheme="minorHAnsi" w:eastAsia="Batang" w:hAnsiTheme="minorHAnsi" w:cs="Times New Roman"/>
          <w:noProof/>
          <w:sz w:val="22"/>
          <w:szCs w:val="22"/>
          <w:lang w:val="es-ES"/>
        </w:rPr>
        <w:t>tes</w:t>
      </w:r>
      <w:r w:rsidRPr="00814222">
        <w:rPr>
          <w:rFonts w:asciiTheme="minorHAnsi" w:eastAsia="Batang" w:hAnsiTheme="minorHAnsi" w:cs="Times New Roman"/>
          <w:noProof/>
          <w:sz w:val="22"/>
          <w:szCs w:val="22"/>
          <w:lang w:val="es-ES"/>
        </w:rPr>
        <w:t>.</w:t>
      </w:r>
    </w:p>
    <w:p w14:paraId="7A84ED4F" w14:textId="77777777" w:rsidR="0072250A" w:rsidRPr="00814222" w:rsidRDefault="0072250A" w:rsidP="0072250A">
      <w:pPr>
        <w:ind w:left="540" w:hanging="540"/>
        <w:rPr>
          <w:rFonts w:cs="Arial"/>
          <w:b/>
          <w:noProof/>
          <w:sz w:val="24"/>
          <w:szCs w:val="24"/>
          <w:lang w:val="es-ES"/>
        </w:rPr>
      </w:pPr>
      <w:r w:rsidRPr="00814222">
        <w:rPr>
          <w:rFonts w:cs="Arial"/>
          <w:b/>
          <w:noProof/>
          <w:sz w:val="24"/>
          <w:szCs w:val="24"/>
          <w:lang w:val="es-ES"/>
        </w:rPr>
        <w:t>Proyecto de Resolución 14.xx</w:t>
      </w:r>
    </w:p>
    <w:p w14:paraId="5890E70F" w14:textId="77777777" w:rsidR="0072250A" w:rsidRPr="00814222" w:rsidRDefault="0072250A" w:rsidP="0072250A">
      <w:pPr>
        <w:ind w:right="17"/>
        <w:outlineLvl w:val="0"/>
        <w:rPr>
          <w:rFonts w:eastAsia="Times New Roman" w:cstheme="majorHAnsi"/>
          <w:b/>
          <w:bCs/>
          <w:noProof/>
          <w:sz w:val="24"/>
          <w:szCs w:val="24"/>
          <w:lang w:val="es-ES" w:eastAsia="en-GB"/>
        </w:rPr>
      </w:pPr>
      <w:r w:rsidRPr="00814222">
        <w:rPr>
          <w:b/>
          <w:noProof/>
          <w:sz w:val="24"/>
          <w:szCs w:val="24"/>
          <w:lang w:val="es-ES"/>
        </w:rPr>
        <w:t>Cuestiones financieras y presupuestarias</w:t>
      </w:r>
    </w:p>
    <w:p w14:paraId="49FD11ED" w14:textId="77777777" w:rsidR="0072250A" w:rsidRPr="00814222" w:rsidRDefault="0072250A" w:rsidP="0072250A">
      <w:pPr>
        <w:rPr>
          <w:rFonts w:asciiTheme="minorHAnsi" w:hAnsiTheme="minorHAnsi"/>
          <w:b/>
          <w:noProof/>
          <w:sz w:val="28"/>
          <w:szCs w:val="28"/>
          <w:lang w:val="es-ES"/>
        </w:rPr>
      </w:pPr>
    </w:p>
    <w:p w14:paraId="0CA58505"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1.</w:t>
      </w:r>
      <w:r w:rsidRPr="00814222">
        <w:rPr>
          <w:rFonts w:asciiTheme="minorHAnsi" w:hAnsiTheme="minorHAnsi"/>
          <w:noProof/>
          <w:lang w:val="es-ES"/>
        </w:rPr>
        <w:tab/>
        <w:t>RECORDANDO las disposiciones presupuestarias establecidas en los párrafos 5 y 6 del Artículo 6 de la Convención;</w:t>
      </w:r>
    </w:p>
    <w:p w14:paraId="44ECD513" w14:textId="77777777" w:rsidR="0072250A" w:rsidRPr="00814222" w:rsidRDefault="0072250A" w:rsidP="0072250A">
      <w:pPr>
        <w:rPr>
          <w:rFonts w:asciiTheme="minorHAnsi" w:hAnsiTheme="minorHAnsi"/>
          <w:noProof/>
          <w:lang w:val="es-ES"/>
        </w:rPr>
      </w:pPr>
    </w:p>
    <w:p w14:paraId="4CB725F3"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2.</w:t>
      </w:r>
      <w:r w:rsidRPr="00814222">
        <w:rPr>
          <w:rFonts w:asciiTheme="minorHAnsi" w:hAnsiTheme="minorHAnsi"/>
          <w:noProof/>
          <w:lang w:val="es-ES"/>
        </w:rPr>
        <w:tab/>
        <w:t xml:space="preserve">RECORDANDO la Resolución XII. 7 sobre el </w:t>
      </w:r>
      <w:r w:rsidRPr="00814222">
        <w:rPr>
          <w:rFonts w:asciiTheme="minorHAnsi" w:hAnsiTheme="minorHAnsi"/>
          <w:i/>
          <w:noProof/>
          <w:lang w:val="es-ES"/>
        </w:rPr>
        <w:t>Marco de la Convención de Ramsar para la movilización de recursos y las asociaciones de colaboración</w:t>
      </w:r>
      <w:r w:rsidRPr="00814222">
        <w:rPr>
          <w:rFonts w:asciiTheme="minorHAnsi" w:hAnsiTheme="minorHAnsi"/>
          <w:noProof/>
          <w:lang w:val="es-ES"/>
        </w:rPr>
        <w:t xml:space="preserve"> y las disposiciones pertinentes de la </w:t>
      </w:r>
      <w:r w:rsidRPr="00814222">
        <w:rPr>
          <w:noProof/>
          <w:lang w:val="es-ES"/>
        </w:rPr>
        <w:t xml:space="preserve">Resolución XIII.2 sobre </w:t>
      </w:r>
      <w:r w:rsidRPr="00814222">
        <w:rPr>
          <w:i/>
          <w:noProof/>
          <w:lang w:val="es-ES"/>
        </w:rPr>
        <w:t xml:space="preserve">Cuestiones </w:t>
      </w:r>
      <w:r w:rsidRPr="00814222">
        <w:rPr>
          <w:rFonts w:asciiTheme="minorHAnsi" w:eastAsia="Batang" w:hAnsiTheme="minorHAnsi"/>
          <w:i/>
          <w:noProof/>
          <w:lang w:val="es-ES"/>
        </w:rPr>
        <w:t>financieras y presupuestarias</w:t>
      </w:r>
      <w:r w:rsidRPr="00814222">
        <w:rPr>
          <w:rFonts w:asciiTheme="minorHAnsi" w:eastAsia="Batang" w:hAnsiTheme="minorHAnsi"/>
          <w:iCs/>
          <w:noProof/>
          <w:lang w:val="es-ES"/>
        </w:rPr>
        <w:t xml:space="preserve"> y la Resolución ExCOP3.2 sobre </w:t>
      </w:r>
      <w:r w:rsidRPr="00814222">
        <w:rPr>
          <w:i/>
          <w:noProof/>
          <w:lang w:val="es-ES"/>
        </w:rPr>
        <w:t xml:space="preserve">Cuestiones </w:t>
      </w:r>
      <w:r w:rsidRPr="00814222">
        <w:rPr>
          <w:rFonts w:asciiTheme="minorHAnsi" w:eastAsia="Batang" w:hAnsiTheme="minorHAnsi"/>
          <w:i/>
          <w:noProof/>
          <w:lang w:val="es-ES"/>
        </w:rPr>
        <w:t>financieras y presupuestarias: presupuesto básico de la Convención sobre los Humedales para 2022</w:t>
      </w:r>
      <w:r w:rsidRPr="00814222">
        <w:rPr>
          <w:rFonts w:asciiTheme="minorHAnsi" w:hAnsiTheme="minorHAnsi"/>
          <w:noProof/>
          <w:lang w:val="es-ES"/>
        </w:rPr>
        <w:t>;</w:t>
      </w:r>
    </w:p>
    <w:p w14:paraId="2937B245" w14:textId="77777777" w:rsidR="0072250A" w:rsidRPr="00814222" w:rsidRDefault="0072250A" w:rsidP="0072250A">
      <w:pPr>
        <w:rPr>
          <w:rFonts w:asciiTheme="minorHAnsi" w:hAnsiTheme="minorHAnsi"/>
          <w:noProof/>
          <w:lang w:val="es-ES"/>
        </w:rPr>
      </w:pPr>
    </w:p>
    <w:p w14:paraId="58BED67C"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3.</w:t>
      </w:r>
      <w:r w:rsidRPr="00814222">
        <w:rPr>
          <w:rFonts w:asciiTheme="minorHAnsi" w:hAnsiTheme="minorHAnsi"/>
          <w:noProof/>
          <w:lang w:val="es-ES"/>
        </w:rPr>
        <w:tab/>
        <w:t xml:space="preserve">RECONOCIENDO CON APRECIO el pronto pago realizado por la mayoría de las Partes Contratantes de las contribuciones al presupuesto básico de la Convención, pero OBSERVANDO CON PREOCUPACIÓN que varias Partes aún tienen importantes contribuciones pendientes de pago (véase el documento </w:t>
      </w:r>
      <w:r w:rsidRPr="00814222">
        <w:rPr>
          <w:noProof/>
          <w:lang w:val="es-ES"/>
        </w:rPr>
        <w:t xml:space="preserve">COP14 Doc.xx, </w:t>
      </w:r>
      <w:r w:rsidRPr="00814222">
        <w:rPr>
          <w:i/>
          <w:iCs/>
          <w:noProof/>
          <w:lang w:val="es-ES"/>
        </w:rPr>
        <w:t>Informe sobre cuestiones financieras y presupuestarias</w:t>
      </w:r>
      <w:r w:rsidRPr="00814222">
        <w:rPr>
          <w:noProof/>
          <w:lang w:val="es-ES"/>
        </w:rPr>
        <w:t>);</w:t>
      </w:r>
    </w:p>
    <w:p w14:paraId="2C372F96" w14:textId="77777777" w:rsidR="0072250A" w:rsidRPr="00814222" w:rsidRDefault="0072250A" w:rsidP="0072250A">
      <w:pPr>
        <w:tabs>
          <w:tab w:val="left" w:pos="2676"/>
        </w:tabs>
        <w:rPr>
          <w:rFonts w:asciiTheme="minorHAnsi" w:hAnsiTheme="minorHAnsi"/>
          <w:noProof/>
          <w:lang w:val="es-ES"/>
        </w:rPr>
      </w:pPr>
    </w:p>
    <w:p w14:paraId="5C294D7B"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4.</w:t>
      </w:r>
      <w:r w:rsidRPr="00814222">
        <w:rPr>
          <w:rFonts w:asciiTheme="minorHAnsi" w:hAnsiTheme="minorHAnsi"/>
          <w:noProof/>
          <w:lang w:val="es-ES"/>
        </w:rPr>
        <w:tab/>
        <w:t xml:space="preserve">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Resolución X.2 sobre </w:t>
      </w:r>
      <w:r w:rsidRPr="00814222">
        <w:rPr>
          <w:rFonts w:asciiTheme="minorHAnsi" w:hAnsiTheme="minorHAnsi"/>
          <w:i/>
          <w:noProof/>
          <w:lang w:val="es-ES"/>
        </w:rPr>
        <w:t>Asuntos financieros y presupuestarios</w:t>
      </w:r>
      <w:r w:rsidRPr="00814222">
        <w:rPr>
          <w:rFonts w:asciiTheme="minorHAnsi" w:hAnsiTheme="minorHAnsi"/>
          <w:noProof/>
          <w:lang w:val="es-ES"/>
        </w:rPr>
        <w:t xml:space="preserve">), así como las contribuciones realizadas por organizaciones no gubernamentales y empresas privadas para actividades llevadas a cabo por la Secretaría; </w:t>
      </w:r>
    </w:p>
    <w:p w14:paraId="378E462B" w14:textId="77777777" w:rsidR="0072250A" w:rsidRPr="00814222" w:rsidRDefault="0072250A" w:rsidP="0072250A">
      <w:pPr>
        <w:rPr>
          <w:rFonts w:asciiTheme="minorHAnsi" w:hAnsiTheme="minorHAnsi"/>
          <w:noProof/>
          <w:lang w:val="es-ES"/>
        </w:rPr>
      </w:pPr>
    </w:p>
    <w:p w14:paraId="6826BB55"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lastRenderedPageBreak/>
        <w:t>5.</w:t>
      </w:r>
      <w:r w:rsidRPr="00814222">
        <w:rPr>
          <w:rFonts w:asciiTheme="minorHAnsi" w:hAnsiTheme="minorHAnsi"/>
          <w:noProof/>
          <w:lang w:val="es-ES"/>
        </w:rPr>
        <w:tab/>
        <w:t>RECORDANDO la Delegación de Autoridad al Secretario General de la Convención sobre los Humedales, firmada por el Director General de la Unión Internacional para la Conservación de la Naturaleza (UICN) y la Presidencia del Comité Permanente de la Convención con fecha 29 de enero de 1993, y la Nota Complementaria a la Delegación de Autoridad, firmada en la misma fecha;</w:t>
      </w:r>
    </w:p>
    <w:p w14:paraId="30ED924F" w14:textId="77777777" w:rsidR="0072250A" w:rsidRPr="00814222" w:rsidRDefault="0072250A" w:rsidP="0072250A">
      <w:pPr>
        <w:rPr>
          <w:rFonts w:asciiTheme="minorHAnsi" w:hAnsiTheme="minorHAnsi"/>
          <w:noProof/>
          <w:lang w:val="es-ES"/>
        </w:rPr>
      </w:pPr>
    </w:p>
    <w:p w14:paraId="25129FCA"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6.</w:t>
      </w:r>
      <w:r w:rsidRPr="00814222">
        <w:rPr>
          <w:rFonts w:asciiTheme="minorHAnsi" w:hAnsiTheme="minorHAnsi"/>
          <w:noProof/>
          <w:lang w:val="es-ES"/>
        </w:rPr>
        <w:tab/>
        <w:t>RECONOCIENDO CON APRECIO los servicios financieros y administrativos prestados a la Secretaría por la UICN, respaldados por el Acuerdo de Servicios entre Ramsar y la UICN revisado en 2009;</w:t>
      </w:r>
    </w:p>
    <w:p w14:paraId="5688DFF9" w14:textId="77777777" w:rsidR="0072250A" w:rsidRPr="00814222" w:rsidRDefault="0072250A" w:rsidP="0072250A">
      <w:pPr>
        <w:pStyle w:val="ListParagraph"/>
        <w:ind w:left="425"/>
        <w:rPr>
          <w:rFonts w:asciiTheme="minorHAnsi" w:hAnsiTheme="minorHAnsi"/>
          <w:noProof/>
          <w:lang w:val="es-ES"/>
        </w:rPr>
      </w:pPr>
    </w:p>
    <w:p w14:paraId="5C053A42"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7.</w:t>
      </w:r>
      <w:r w:rsidRPr="00814222">
        <w:rPr>
          <w:rFonts w:asciiTheme="minorHAnsi" w:hAnsiTheme="minorHAnsi"/>
          <w:noProof/>
          <w:lang w:val="es-ES"/>
        </w:rPr>
        <w:tab/>
        <w:t>OBSERVANDO que se ha mantenido informadas a las Partes Contratantes sobre la situación financiera de la Secretaría mediante los estados financieros anuales auditados correspondientes a los ejercicios transcurridos desde 2018 hasta 2021 y los informes de las reuniones del Comité Permanente celebradas de 2019 hasta 2022; y</w:t>
      </w:r>
    </w:p>
    <w:p w14:paraId="4F98D7E8" w14:textId="77777777" w:rsidR="0072250A" w:rsidRPr="00814222" w:rsidRDefault="0072250A" w:rsidP="0072250A">
      <w:pPr>
        <w:rPr>
          <w:rFonts w:asciiTheme="minorHAnsi" w:hAnsiTheme="minorHAnsi"/>
          <w:noProof/>
          <w:lang w:val="es-ES"/>
        </w:rPr>
      </w:pPr>
    </w:p>
    <w:p w14:paraId="359FC8A2"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8.</w:t>
      </w:r>
      <w:r w:rsidRPr="00814222">
        <w:rPr>
          <w:rFonts w:asciiTheme="minorHAnsi" w:hAnsiTheme="minorHAnsi"/>
          <w:noProof/>
          <w:lang w:val="es-ES"/>
        </w:rPr>
        <w:tab/>
        <w:t xml:space="preserve">RECONOCIENDO la necesidad de continuar fortaleciendo las alianzas financieras con las organizaciones internacionales pertinentes y otras entidades, y de estudiar oportunidades de financiación adicionales mediante los mecanismos financieros existentes; </w:t>
      </w:r>
    </w:p>
    <w:p w14:paraId="4DE0B12A" w14:textId="77777777" w:rsidR="0072250A" w:rsidRPr="00814222" w:rsidRDefault="0072250A" w:rsidP="0072250A">
      <w:pPr>
        <w:ind w:left="426" w:hanging="426"/>
        <w:rPr>
          <w:rFonts w:asciiTheme="minorHAnsi" w:hAnsiTheme="minorHAnsi"/>
          <w:noProof/>
          <w:lang w:val="es-ES"/>
        </w:rPr>
      </w:pPr>
    </w:p>
    <w:p w14:paraId="3FF96895" w14:textId="77777777" w:rsidR="0072250A" w:rsidRPr="00814222" w:rsidRDefault="0072250A" w:rsidP="0072250A">
      <w:pPr>
        <w:keepNext/>
        <w:ind w:left="426" w:hanging="426"/>
        <w:jc w:val="center"/>
        <w:rPr>
          <w:rFonts w:asciiTheme="minorHAnsi" w:hAnsiTheme="minorHAnsi"/>
          <w:noProof/>
          <w:lang w:val="es-ES"/>
        </w:rPr>
      </w:pPr>
      <w:r w:rsidRPr="00814222">
        <w:rPr>
          <w:rFonts w:asciiTheme="minorHAnsi" w:hAnsiTheme="minorHAnsi"/>
          <w:noProof/>
          <w:lang w:val="es-ES"/>
        </w:rPr>
        <w:t>LA CONFERENCIA DE LAS PARTES CONTRATANTES</w:t>
      </w:r>
    </w:p>
    <w:p w14:paraId="5E2DEB2D" w14:textId="77777777" w:rsidR="0072250A" w:rsidRPr="00814222" w:rsidRDefault="0072250A" w:rsidP="0072250A">
      <w:pPr>
        <w:keepNext/>
        <w:ind w:left="567" w:hanging="567"/>
        <w:rPr>
          <w:rFonts w:asciiTheme="minorHAnsi" w:hAnsiTheme="minorHAnsi"/>
          <w:noProof/>
          <w:lang w:val="es-ES"/>
        </w:rPr>
      </w:pPr>
    </w:p>
    <w:p w14:paraId="22A40F64"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9.</w:t>
      </w:r>
      <w:r w:rsidRPr="00814222">
        <w:rPr>
          <w:rFonts w:asciiTheme="minorHAnsi" w:hAnsiTheme="minorHAnsi"/>
          <w:noProof/>
          <w:lang w:val="es-ES"/>
        </w:rPr>
        <w:tab/>
        <w:t>VALORA que, desde la 13ª reunión de la Conferencia de las Partes Contratantes (COP13), en 2018, la Secretaría haya seguido mejorando considerablemente su administración de los fondos de la Convención de manera prudente, eficiente y abierta;</w:t>
      </w:r>
    </w:p>
    <w:p w14:paraId="0AEF3457" w14:textId="77777777" w:rsidR="0072250A" w:rsidRPr="00814222" w:rsidRDefault="0072250A" w:rsidP="0072250A">
      <w:pPr>
        <w:rPr>
          <w:rFonts w:asciiTheme="minorHAnsi" w:hAnsiTheme="minorHAnsi"/>
          <w:noProof/>
          <w:lang w:val="es-ES"/>
        </w:rPr>
      </w:pPr>
    </w:p>
    <w:p w14:paraId="15B7AC40"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10.</w:t>
      </w:r>
      <w:r w:rsidRPr="00814222">
        <w:rPr>
          <w:rFonts w:asciiTheme="minorHAnsi" w:hAnsiTheme="minorHAnsi"/>
          <w:noProof/>
          <w:lang w:val="es-ES"/>
        </w:rPr>
        <w:tab/>
        <w:t>EXPRESA SU AGRADECIMIENTO a las Partes Contratantes que han formado parte del Subgrupo de Finanzas del Comité Permanente durante el trienio 2019-2021 y 2022 y, en particular, a México, que ha ocupado la Presidencia de ese Subgrupo;</w:t>
      </w:r>
    </w:p>
    <w:p w14:paraId="4257C108" w14:textId="77777777" w:rsidR="0072250A" w:rsidRPr="00814222" w:rsidRDefault="0072250A" w:rsidP="0072250A">
      <w:pPr>
        <w:rPr>
          <w:rFonts w:asciiTheme="minorHAnsi" w:hAnsiTheme="minorHAnsi"/>
          <w:noProof/>
          <w:lang w:val="es-ES"/>
        </w:rPr>
      </w:pPr>
    </w:p>
    <w:p w14:paraId="3B952912"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11.</w:t>
      </w:r>
      <w:r w:rsidRPr="00814222">
        <w:rPr>
          <w:rFonts w:asciiTheme="minorHAnsi" w:hAnsiTheme="minorHAnsi"/>
          <w:noProof/>
          <w:lang w:val="es-ES"/>
        </w:rPr>
        <w:tab/>
        <w:t xml:space="preserve">DECIDE que el mandato relativo a la administración financiera de la Convención que figura en el Anexo 3 de la Resolución 5.2 sobre </w:t>
      </w:r>
      <w:r w:rsidRPr="00814222">
        <w:rPr>
          <w:rFonts w:asciiTheme="minorHAnsi" w:hAnsiTheme="minorHAnsi"/>
          <w:i/>
          <w:noProof/>
          <w:lang w:val="es-ES"/>
        </w:rPr>
        <w:t>Asuntos financieros y presupuestarios</w:t>
      </w:r>
      <w:r w:rsidRPr="00814222">
        <w:rPr>
          <w:rFonts w:asciiTheme="minorHAnsi" w:hAnsiTheme="minorHAnsi"/>
          <w:noProof/>
          <w:lang w:val="es-ES"/>
        </w:rPr>
        <w:t xml:space="preserve"> (1993) se aplicará en su totalidad al trienio 2023-2025;</w:t>
      </w:r>
    </w:p>
    <w:p w14:paraId="64557738" w14:textId="77777777" w:rsidR="0072250A" w:rsidRPr="00814222" w:rsidRDefault="0072250A" w:rsidP="0072250A">
      <w:pPr>
        <w:rPr>
          <w:rFonts w:asciiTheme="minorHAnsi" w:hAnsiTheme="minorHAnsi"/>
          <w:noProof/>
          <w:lang w:val="es-ES"/>
        </w:rPr>
      </w:pPr>
    </w:p>
    <w:p w14:paraId="3DCB9DD3"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12.</w:t>
      </w:r>
      <w:r w:rsidRPr="00814222">
        <w:rPr>
          <w:rFonts w:asciiTheme="minorHAnsi" w:hAnsiTheme="minorHAnsi"/>
          <w:noProof/>
          <w:lang w:val="es-ES"/>
        </w:rPr>
        <w:tab/>
        <w:t xml:space="preserve">DECIDE ADEMÁS que el Subgrupo de Finanzas seguirá funcionando bajo la égida del Comité Permanente y con las funciones y responsabilidades especificadas en la Resolución VI.17, sobre </w:t>
      </w:r>
      <w:r w:rsidRPr="00814222">
        <w:rPr>
          <w:rFonts w:asciiTheme="minorHAnsi" w:hAnsiTheme="minorHAnsi"/>
          <w:i/>
          <w:noProof/>
          <w:lang w:val="es-ES"/>
        </w:rPr>
        <w:t>Asuntos financieros y presupuestarios</w:t>
      </w:r>
      <w:r w:rsidRPr="00814222">
        <w:rPr>
          <w:rFonts w:asciiTheme="minorHAnsi" w:hAnsiTheme="minorHAnsi"/>
          <w:noProof/>
          <w:lang w:val="es-ES"/>
        </w:rPr>
        <w:t xml:space="preserve"> (1996), e incluirá a un representante del Comité Permanente de cada una de las regiones de Ramsar más la Presidencia inmediatamente anterior del Subgrupo de Finanzas, así como a cualquier otra Parte Contratante interesada, teniendo en cuenta la conveniencia de una participación regional equitativa y la necesidad de que el grupo siga teniendo un tamaño manejable, y designará a uno de sus miembros como Presidencia; y OBSERVA que el apoyo a los viajes para asistir a las reuniones del Subgrupo en el caso de las Partes Contratantes que reúnan los requisitos para ello estará limitado a los representantes regionales del Comité Permanente;</w:t>
      </w:r>
    </w:p>
    <w:p w14:paraId="47727281" w14:textId="77777777" w:rsidR="0072250A" w:rsidRPr="00814222" w:rsidRDefault="0072250A" w:rsidP="0072250A">
      <w:pPr>
        <w:pStyle w:val="ListParagraph"/>
        <w:ind w:left="425"/>
        <w:rPr>
          <w:rFonts w:asciiTheme="minorHAnsi" w:hAnsiTheme="minorHAnsi"/>
          <w:noProof/>
          <w:lang w:val="es-ES"/>
        </w:rPr>
      </w:pPr>
    </w:p>
    <w:p w14:paraId="0C9FAA50" w14:textId="365718F7" w:rsidR="0072250A" w:rsidRPr="00814222" w:rsidRDefault="0072250A" w:rsidP="007B4D3F">
      <w:pPr>
        <w:rPr>
          <w:rFonts w:asciiTheme="minorHAnsi" w:hAnsiTheme="minorHAnsi"/>
          <w:noProof/>
          <w:lang w:val="es-ES"/>
        </w:rPr>
      </w:pPr>
      <w:r w:rsidRPr="00814222">
        <w:rPr>
          <w:rFonts w:asciiTheme="minorHAnsi" w:hAnsiTheme="minorHAnsi"/>
          <w:noProof/>
          <w:lang w:val="es-ES"/>
        </w:rPr>
        <w:t>13.</w:t>
      </w:r>
      <w:r w:rsidRPr="00814222">
        <w:rPr>
          <w:rFonts w:asciiTheme="minorHAnsi" w:hAnsiTheme="minorHAnsi"/>
          <w:noProof/>
          <w:lang w:val="es-ES"/>
        </w:rPr>
        <w:tab/>
        <w:t>OBSERVA que el presupuesto para 2023-2025 incluye un componente básico que se financia a través de las cuotas de las Partes Contratantes y que la Secretaría buscará recursos no básicos adicionales en consonancia con las prioridades determinadas por la Conferencia de las Partes</w:t>
      </w:r>
      <w:r w:rsidR="007B4D3F">
        <w:rPr>
          <w:rFonts w:asciiTheme="minorHAnsi" w:hAnsiTheme="minorHAnsi"/>
          <w:noProof/>
          <w:lang w:val="es-ES"/>
        </w:rPr>
        <w:t>;</w:t>
      </w:r>
      <w:r w:rsidRPr="00814222">
        <w:rPr>
          <w:rFonts w:asciiTheme="minorHAnsi" w:hAnsiTheme="minorHAnsi"/>
          <w:noProof/>
          <w:lang w:val="es-ES"/>
        </w:rPr>
        <w:t xml:space="preserve"> y PIDE a la Secretaría que continúe elaborando nuevos enfoques e instrumentos para obtener apoyo financiero voluntario destinado a los proyectos prioritarios actualmente no financiados;</w:t>
      </w:r>
    </w:p>
    <w:p w14:paraId="645584AB" w14:textId="77777777" w:rsidR="0072250A" w:rsidRPr="00814222" w:rsidRDefault="0072250A" w:rsidP="0072250A">
      <w:pPr>
        <w:rPr>
          <w:rFonts w:asciiTheme="minorHAnsi" w:hAnsiTheme="minorHAnsi"/>
          <w:noProof/>
          <w:lang w:val="es-ES"/>
        </w:rPr>
      </w:pPr>
    </w:p>
    <w:p w14:paraId="3FCF8A82"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lastRenderedPageBreak/>
        <w:t xml:space="preserve">14. </w:t>
      </w:r>
      <w:r w:rsidRPr="00814222">
        <w:rPr>
          <w:rFonts w:asciiTheme="minorHAnsi" w:hAnsiTheme="minorHAnsi"/>
          <w:noProof/>
          <w:lang w:val="es-ES"/>
        </w:rPr>
        <w:tab/>
        <w:t xml:space="preserve">APRUEBA el presupuesto básico para el trienio 2023-2025 que se presenta en el Anexo 1 de la presente resolución, con objeto de permitir la ejecución del Plan Estratégico de Ramsar para 2016-2024; </w:t>
      </w:r>
    </w:p>
    <w:p w14:paraId="180176C5" w14:textId="77777777" w:rsidR="0072250A" w:rsidRPr="00814222" w:rsidRDefault="0072250A" w:rsidP="0072250A">
      <w:pPr>
        <w:rPr>
          <w:rFonts w:asciiTheme="minorHAnsi" w:hAnsiTheme="minorHAnsi"/>
          <w:noProof/>
          <w:lang w:val="es-ES"/>
        </w:rPr>
      </w:pPr>
    </w:p>
    <w:p w14:paraId="0B36195E" w14:textId="76905111" w:rsidR="0072250A" w:rsidRPr="00814222" w:rsidRDefault="0072250A" w:rsidP="0072250A">
      <w:pPr>
        <w:rPr>
          <w:rFonts w:asciiTheme="minorHAnsi" w:hAnsiTheme="minorHAnsi"/>
          <w:noProof/>
          <w:lang w:val="es-ES"/>
        </w:rPr>
      </w:pPr>
      <w:r w:rsidRPr="00814222">
        <w:rPr>
          <w:rFonts w:asciiTheme="minorHAnsi" w:hAnsiTheme="minorHAnsi"/>
          <w:noProof/>
          <w:lang w:val="es-ES"/>
        </w:rPr>
        <w:t>15.</w:t>
      </w:r>
      <w:r w:rsidRPr="00814222">
        <w:rPr>
          <w:rFonts w:asciiTheme="minorHAnsi" w:hAnsiTheme="minorHAnsi"/>
          <w:noProof/>
          <w:lang w:val="es-ES"/>
        </w:rPr>
        <w:tab/>
        <w:t>APRUEBA el empleo del excedente del presupuesto básico del trienio 2019-2021 de 228 000 francos suizos para complementar el presupuesto</w:t>
      </w:r>
      <w:r w:rsidR="007B4D3F">
        <w:rPr>
          <w:rFonts w:asciiTheme="minorHAnsi" w:hAnsiTheme="minorHAnsi"/>
          <w:noProof/>
          <w:lang w:val="es-ES"/>
        </w:rPr>
        <w:t xml:space="preserve"> aprobado</w:t>
      </w:r>
      <w:r w:rsidRPr="00814222">
        <w:rPr>
          <w:rFonts w:asciiTheme="minorHAnsi" w:hAnsiTheme="minorHAnsi"/>
          <w:noProof/>
          <w:lang w:val="es-ES"/>
        </w:rPr>
        <w:t xml:space="preserve"> del trienio 2023-2025 en las siguientes áreas: 120 000 francos suizos para Comunicaciones, traducción, publicaciones y </w:t>
      </w:r>
      <w:r w:rsidRPr="00814222">
        <w:rPr>
          <w:rFonts w:cs="Calibri"/>
          <w:noProof/>
          <w:color w:val="000000"/>
          <w:lang w:val="es-ES"/>
        </w:rPr>
        <w:t>informes</w:t>
      </w:r>
      <w:r w:rsidRPr="00814222">
        <w:rPr>
          <w:rFonts w:asciiTheme="minorHAnsi" w:hAnsiTheme="minorHAnsi"/>
          <w:noProof/>
          <w:lang w:val="es-ES"/>
        </w:rPr>
        <w:t>; 60 000 francos suizos para viajes del personal (15 000 francos suizos para viajes del personal directivo de la Secretaría, 15 000 francos suizos para viajes de Movilización de recursos y promoción y 30 000 francos suizos para viajes de Asesoramiento y apoyo regionales)</w:t>
      </w:r>
      <w:r w:rsidR="00490943">
        <w:rPr>
          <w:rFonts w:asciiTheme="minorHAnsi" w:hAnsiTheme="minorHAnsi"/>
          <w:noProof/>
          <w:lang w:val="es-ES"/>
        </w:rPr>
        <w:t xml:space="preserve">; y, además, </w:t>
      </w:r>
      <w:r w:rsidRPr="00814222">
        <w:rPr>
          <w:rFonts w:asciiTheme="minorHAnsi" w:hAnsiTheme="minorHAnsi"/>
          <w:noProof/>
          <w:lang w:val="es-ES"/>
        </w:rPr>
        <w:t>15</w:t>
      </w:r>
      <w:r w:rsidR="00490943">
        <w:rPr>
          <w:rFonts w:asciiTheme="minorHAnsi" w:hAnsiTheme="minorHAnsi"/>
          <w:noProof/>
          <w:lang w:val="es-ES"/>
        </w:rPr>
        <w:t xml:space="preserve"> </w:t>
      </w:r>
      <w:r w:rsidRPr="00814222">
        <w:rPr>
          <w:rFonts w:asciiTheme="minorHAnsi" w:hAnsiTheme="minorHAnsi"/>
          <w:noProof/>
          <w:lang w:val="es-ES"/>
        </w:rPr>
        <w:t>000 francos suizos para la aplicación del programa del GECT y 33 000 francos suizos para actividades de planificación y fomento de la capacidad; y PIDE a la Secretaría que logre el equilibrio presupuestario al final del trienio 2023-2025</w:t>
      </w:r>
      <w:r w:rsidRPr="00814222">
        <w:rPr>
          <w:rStyle w:val="FootnoteReference"/>
          <w:rFonts w:asciiTheme="minorHAnsi" w:hAnsiTheme="minorHAnsi"/>
          <w:noProof/>
          <w:lang w:val="es-ES"/>
        </w:rPr>
        <w:footnoteReference w:id="2"/>
      </w:r>
      <w:r w:rsidRPr="00814222">
        <w:rPr>
          <w:rFonts w:asciiTheme="minorHAnsi" w:hAnsiTheme="minorHAnsi"/>
          <w:noProof/>
          <w:lang w:val="es-ES"/>
        </w:rPr>
        <w:t xml:space="preserve">; </w:t>
      </w:r>
    </w:p>
    <w:p w14:paraId="3577EEA9" w14:textId="77777777" w:rsidR="0072250A" w:rsidRPr="00814222" w:rsidRDefault="0072250A" w:rsidP="0072250A">
      <w:pPr>
        <w:rPr>
          <w:rFonts w:asciiTheme="minorHAnsi" w:hAnsiTheme="minorHAnsi"/>
          <w:noProof/>
          <w:lang w:val="es-ES"/>
        </w:rPr>
      </w:pPr>
    </w:p>
    <w:p w14:paraId="550B961F"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16.</w:t>
      </w:r>
      <w:r w:rsidRPr="00814222">
        <w:rPr>
          <w:rFonts w:asciiTheme="minorHAnsi" w:hAnsiTheme="minorHAnsi"/>
          <w:noProof/>
          <w:lang w:val="es-ES"/>
        </w:rPr>
        <w:tab/>
        <w:t xml:space="preserve">APRUEBA el empleo de hasta 360 000 francos suizos del excedente del presupuesto básico del trienio 2019-2021 para incrementar la provisión para contribuciones pendientes en el trienio 2023-2025; </w:t>
      </w:r>
    </w:p>
    <w:p w14:paraId="388AFD1A" w14:textId="77777777" w:rsidR="0072250A" w:rsidRPr="00814222" w:rsidRDefault="0072250A" w:rsidP="0072250A">
      <w:pPr>
        <w:rPr>
          <w:rFonts w:asciiTheme="minorHAnsi" w:hAnsiTheme="minorHAnsi"/>
          <w:noProof/>
          <w:lang w:val="es-ES"/>
        </w:rPr>
      </w:pPr>
    </w:p>
    <w:p w14:paraId="471CA01E"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17.</w:t>
      </w:r>
      <w:r w:rsidRPr="00814222">
        <w:rPr>
          <w:rFonts w:asciiTheme="minorHAnsi" w:hAnsiTheme="minorHAnsi"/>
          <w:noProof/>
          <w:lang w:val="es-ES"/>
        </w:rPr>
        <w:tab/>
        <w:t>INSTA a las Partes Contratantes que tienen cuotas pendientes de pago que multipliquen sus esfuerzos para abonarlas a la mayor brevedad posible a fin de mejorar la sostenibilidad financiera de la Convención mediante las contribuciones de todas las Partes Contratantes;</w:t>
      </w:r>
    </w:p>
    <w:p w14:paraId="3037784A" w14:textId="77777777" w:rsidR="0072250A" w:rsidRPr="00814222" w:rsidRDefault="0072250A" w:rsidP="0072250A">
      <w:pPr>
        <w:rPr>
          <w:rFonts w:asciiTheme="minorHAnsi" w:hAnsiTheme="minorHAnsi"/>
          <w:noProof/>
          <w:lang w:val="es-ES"/>
        </w:rPr>
      </w:pPr>
    </w:p>
    <w:p w14:paraId="5B0E7D1B"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18.</w:t>
      </w:r>
      <w:r w:rsidRPr="00814222">
        <w:rPr>
          <w:rFonts w:asciiTheme="minorHAnsi" w:hAnsiTheme="minorHAnsi"/>
          <w:noProof/>
          <w:lang w:val="es-ES"/>
        </w:rPr>
        <w:tab/>
        <w:t>PIDE que la Secretaría se ponga en contacto con las Partes Contratantes que tengan cuotas pendientes de pago desde hace más de tres años y les ayude a encontrar alguna solución apropiada para remediar la situación y pedirles un plan de pago de sus cuotas, y que presente un informe en todas las reuniones del Comité Permanente y de la Conferencia de las Partes Contratantes sobre las medidas adoptadas al respecto y los resultados alcanzados; y CONVIENE en que el Comité Permanente siga estudiando las medidas adecuadas con respecto a las Partes que ni han pagado sus cuotas pendientes, ni han presentado un plan de pago para hacerlo;</w:t>
      </w:r>
    </w:p>
    <w:p w14:paraId="55E266EC" w14:textId="77777777" w:rsidR="0072250A" w:rsidRPr="00814222" w:rsidRDefault="0072250A" w:rsidP="0072250A">
      <w:pPr>
        <w:rPr>
          <w:rFonts w:asciiTheme="minorHAnsi" w:hAnsiTheme="minorHAnsi"/>
          <w:noProof/>
          <w:lang w:val="es-ES"/>
        </w:rPr>
      </w:pPr>
    </w:p>
    <w:p w14:paraId="69935E13"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19.</w:t>
      </w:r>
      <w:r w:rsidRPr="00814222">
        <w:rPr>
          <w:rFonts w:asciiTheme="minorHAnsi" w:hAnsiTheme="minorHAnsi"/>
          <w:noProof/>
          <w:lang w:val="es-ES"/>
        </w:rPr>
        <w:tab/>
        <w:t>PIDE a los representantes de las regiones ante el Comité Permanente que traten con las Pates de sus respectivas regiones el tema de las cuotas pendientes para instarlas a hallar posibles soluciones para remediar la situación;</w:t>
      </w:r>
    </w:p>
    <w:p w14:paraId="558CDFC9" w14:textId="77777777" w:rsidR="0072250A" w:rsidRPr="00814222" w:rsidRDefault="0072250A" w:rsidP="0072250A">
      <w:pPr>
        <w:rPr>
          <w:rFonts w:asciiTheme="minorHAnsi" w:hAnsiTheme="minorHAnsi"/>
          <w:noProof/>
          <w:lang w:val="es-ES"/>
        </w:rPr>
      </w:pPr>
    </w:p>
    <w:p w14:paraId="1871F68B"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20.</w:t>
      </w:r>
      <w:r w:rsidRPr="00814222">
        <w:rPr>
          <w:rFonts w:asciiTheme="minorHAnsi" w:hAnsiTheme="minorHAnsi"/>
          <w:noProof/>
          <w:lang w:val="es-ES"/>
        </w:rPr>
        <w:tab/>
        <w:t>TOMA NOTA CON PREOCUPACIÓN de la situación de las contribuciones no básicas de las PARTES CONTRATANTES; y ALIENTA a las Partes Contratantes y otros asociados a incrementarlas;</w:t>
      </w:r>
    </w:p>
    <w:p w14:paraId="670BE1C6" w14:textId="77777777" w:rsidR="0072250A" w:rsidRPr="00814222" w:rsidRDefault="0072250A" w:rsidP="0072250A">
      <w:pPr>
        <w:rPr>
          <w:rFonts w:asciiTheme="minorHAnsi" w:hAnsiTheme="minorHAnsi"/>
          <w:noProof/>
          <w:lang w:val="es-ES"/>
        </w:rPr>
      </w:pPr>
    </w:p>
    <w:p w14:paraId="4DE15A5F"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21.</w:t>
      </w:r>
      <w:r w:rsidRPr="00814222">
        <w:rPr>
          <w:rFonts w:asciiTheme="minorHAnsi" w:hAnsiTheme="minorHAnsi"/>
          <w:noProof/>
          <w:lang w:val="es-ES"/>
        </w:rPr>
        <w:tab/>
        <w:t>ALIENTA a las Partes Contratantes e INVITA a otros gobiernos, instituciones financieras, Organizaciones Internacionales Asociadas y otros asociados en materia de ejecución a apoyar la aplicación de la Convención de Ramsar;</w:t>
      </w:r>
    </w:p>
    <w:p w14:paraId="5954C880" w14:textId="77777777" w:rsidR="0072250A" w:rsidRPr="00814222" w:rsidRDefault="0072250A" w:rsidP="0072250A">
      <w:pPr>
        <w:rPr>
          <w:rFonts w:asciiTheme="minorHAnsi" w:hAnsiTheme="minorHAnsi"/>
          <w:noProof/>
          <w:lang w:val="es-ES"/>
        </w:rPr>
      </w:pPr>
    </w:p>
    <w:p w14:paraId="249CB61C"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22.</w:t>
      </w:r>
      <w:r w:rsidRPr="00814222">
        <w:rPr>
          <w:rFonts w:asciiTheme="minorHAnsi" w:hAnsiTheme="minorHAnsi"/>
          <w:noProof/>
          <w:lang w:val="es-ES"/>
        </w:rPr>
        <w:tab/>
        <w:t>TOMA NOTA del plan de trabajo para la movilización de recursos para la Convención aprobado por el Comité Permanente y PIDE a la Secretaría que lo actualice a fin de que refleje las prioridades identificadas por las Partes Contratantes en la COP14 y que lo presente al Comité Permanente en su 62ª reunión para su examen;</w:t>
      </w:r>
    </w:p>
    <w:p w14:paraId="2B032152" w14:textId="77777777" w:rsidR="0072250A" w:rsidRPr="00814222" w:rsidRDefault="0072250A" w:rsidP="0072250A">
      <w:pPr>
        <w:pStyle w:val="ListParagraph"/>
        <w:ind w:left="425"/>
        <w:rPr>
          <w:rFonts w:asciiTheme="minorHAnsi" w:hAnsiTheme="minorHAnsi"/>
          <w:noProof/>
          <w:lang w:val="es-ES"/>
        </w:rPr>
      </w:pPr>
    </w:p>
    <w:p w14:paraId="322215C4"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lastRenderedPageBreak/>
        <w:t>23.</w:t>
      </w:r>
      <w:r w:rsidRPr="00814222">
        <w:rPr>
          <w:rFonts w:asciiTheme="minorHAnsi" w:hAnsiTheme="minorHAnsi"/>
          <w:noProof/>
          <w:lang w:val="es-ES"/>
        </w:rPr>
        <w:tab/>
        <w:t>TOMA NOTA CON RECONOCIMIENTO de la armonización de la gestión de los fondos no básicos por la Secretaría con las políticas y procedimientos de la Unión Internacional para la Conservación de la Naturaleza (UICN) al respecto;</w:t>
      </w:r>
    </w:p>
    <w:p w14:paraId="60A9C4E9" w14:textId="77777777" w:rsidR="0072250A" w:rsidRPr="00814222" w:rsidRDefault="0072250A" w:rsidP="0072250A">
      <w:pPr>
        <w:rPr>
          <w:rFonts w:asciiTheme="minorHAnsi" w:hAnsiTheme="minorHAnsi"/>
          <w:noProof/>
          <w:lang w:val="es-ES"/>
        </w:rPr>
      </w:pPr>
    </w:p>
    <w:p w14:paraId="6BF40E23" w14:textId="77777777" w:rsidR="0072250A" w:rsidRPr="00814222" w:rsidRDefault="0072250A" w:rsidP="0072250A">
      <w:pPr>
        <w:rPr>
          <w:rFonts w:asciiTheme="minorHAnsi" w:hAnsiTheme="minorHAnsi"/>
          <w:i/>
          <w:noProof/>
          <w:lang w:val="es-ES"/>
        </w:rPr>
      </w:pPr>
      <w:r w:rsidRPr="00814222">
        <w:rPr>
          <w:rFonts w:asciiTheme="minorHAnsi" w:hAnsiTheme="minorHAnsi"/>
          <w:noProof/>
          <w:lang w:val="es-ES"/>
        </w:rPr>
        <w:t>24.</w:t>
      </w:r>
      <w:r w:rsidRPr="00814222">
        <w:rPr>
          <w:rFonts w:asciiTheme="minorHAnsi" w:hAnsiTheme="minorHAnsi"/>
          <w:noProof/>
          <w:lang w:val="es-ES"/>
        </w:rPr>
        <w:tab/>
        <w:t xml:space="preserve">PIDE a la Secretaría que proporcione anualmente a las iniciativas regionales de Ramsar (IRR) de África el saldo disponible del Fondo Africano de Contribuciones Voluntarias; e INVITA a dichas IRR a que, en sus informes, presenten a la Secretaría solicitudes para tener acceso a los fondos disponibles de conformidad con las disposiciones de la Resolución 14.xx sobre </w:t>
      </w:r>
      <w:r w:rsidRPr="00814222">
        <w:rPr>
          <w:rFonts w:asciiTheme="minorHAnsi" w:hAnsiTheme="minorHAnsi"/>
          <w:i/>
          <w:noProof/>
          <w:lang w:val="es-ES"/>
        </w:rPr>
        <w:t>Iniciativas regionales de Ramsar para 2023-2025</w:t>
      </w:r>
      <w:r w:rsidRPr="00814222">
        <w:rPr>
          <w:rFonts w:asciiTheme="minorHAnsi" w:hAnsiTheme="minorHAnsi"/>
          <w:noProof/>
          <w:lang w:val="es-ES"/>
        </w:rPr>
        <w:t>;</w:t>
      </w:r>
    </w:p>
    <w:p w14:paraId="0CCF3959" w14:textId="77777777" w:rsidR="0072250A" w:rsidRPr="00814222" w:rsidRDefault="0072250A" w:rsidP="0072250A">
      <w:pPr>
        <w:ind w:left="0" w:firstLine="0"/>
        <w:rPr>
          <w:rFonts w:asciiTheme="minorHAnsi" w:hAnsiTheme="minorHAnsi"/>
          <w:noProof/>
          <w:lang w:val="es-ES"/>
        </w:rPr>
      </w:pPr>
    </w:p>
    <w:p w14:paraId="04D7BCB7" w14:textId="1982EDC4" w:rsidR="0072250A" w:rsidRPr="00814222" w:rsidRDefault="0072250A" w:rsidP="0072250A">
      <w:pPr>
        <w:rPr>
          <w:rFonts w:asciiTheme="minorHAnsi" w:hAnsiTheme="minorHAnsi"/>
          <w:noProof/>
          <w:lang w:val="es-ES"/>
        </w:rPr>
      </w:pPr>
      <w:r w:rsidRPr="00814222">
        <w:rPr>
          <w:rFonts w:asciiTheme="minorHAnsi" w:hAnsiTheme="minorHAnsi"/>
          <w:noProof/>
          <w:lang w:val="es-ES"/>
        </w:rPr>
        <w:t>25.</w:t>
      </w:r>
      <w:r w:rsidRPr="00814222">
        <w:rPr>
          <w:rFonts w:asciiTheme="minorHAnsi" w:hAnsiTheme="minorHAnsi"/>
          <w:noProof/>
          <w:lang w:val="es-ES"/>
        </w:rPr>
        <w:tab/>
        <w:t>PIDE a los representantes regionales de África en el Comité Permanente que decidan la utilización de esos fondos, mencionados en el párrafo 24 de la presente Resolución, basándose en las solicitudes presentadas por las IRR, y que informen debidamente a la Secretaría;</w:t>
      </w:r>
    </w:p>
    <w:p w14:paraId="636F607E" w14:textId="77777777" w:rsidR="0072250A" w:rsidRPr="00814222" w:rsidRDefault="0072250A" w:rsidP="0072250A">
      <w:pPr>
        <w:ind w:left="0" w:firstLine="0"/>
        <w:rPr>
          <w:rFonts w:asciiTheme="minorHAnsi" w:hAnsiTheme="minorHAnsi"/>
          <w:noProof/>
          <w:lang w:val="es-ES"/>
        </w:rPr>
      </w:pPr>
    </w:p>
    <w:p w14:paraId="42D59B76"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26.</w:t>
      </w:r>
      <w:r w:rsidRPr="00814222">
        <w:rPr>
          <w:rFonts w:asciiTheme="minorHAnsi" w:hAnsiTheme="minorHAnsi"/>
          <w:noProof/>
          <w:lang w:val="es-ES"/>
        </w:rPr>
        <w:tab/>
        <w:t>REAFIRMA la decisión aprobada por la 13ª reunión de la Conferencia de las Partes Contratantes, en la que se pidió a la Secretaría que, en el contexto del marco jurídico y el mandato vigentes, preste asistencia, según proceda, a las Partes Contratantes en la administración de los proyectos financiados con cargo a recursos complementarios, incluyendo la recaudación eficaz de fondos para iniciativas regionales, entre otros; y se pidió asimismo al personal de la Secretaría indicado en el Anexo 3, cuyo costo se financia con cargo al presupuesto básico, que no participe en la gestión corriente de los proyectos financiados con cargo a recursos complementarios, ya que esta función competería a personal de la Secretaría financiado con cargo a los recursos complementarios destinados específicamente a ese fin;</w:t>
      </w:r>
    </w:p>
    <w:p w14:paraId="17B9E7F8" w14:textId="77777777" w:rsidR="0072250A" w:rsidRPr="00814222" w:rsidRDefault="0072250A" w:rsidP="0072250A">
      <w:pPr>
        <w:rPr>
          <w:rFonts w:asciiTheme="minorHAnsi" w:hAnsiTheme="minorHAnsi"/>
          <w:noProof/>
          <w:lang w:val="es-ES"/>
        </w:rPr>
      </w:pPr>
    </w:p>
    <w:p w14:paraId="5204D05C"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27.</w:t>
      </w:r>
      <w:r w:rsidRPr="00814222">
        <w:rPr>
          <w:rFonts w:asciiTheme="minorHAnsi" w:hAnsiTheme="minorHAnsi"/>
          <w:noProof/>
          <w:lang w:val="es-ES"/>
        </w:rPr>
        <w:tab/>
        <w:t>AUTORIZA al Comité Permanente a que, con el asesoramiento de su Subgrupo de Finanzas, transfiera las asignaciones entre partidas del presupuesto básico según sea necesario, teniendo en cuenta las variaciones significativas, positivas o negativas, durante el trienio, de los costos, las tasas de inflación y los ingresos por intereses y por impuestos previstos en el presupuesto, sin incrementar las cuotas de las Partes y sin aumentar los montos pagados a la UICN por encima del nivel máximo del 13 % del presupuesto;</w:t>
      </w:r>
    </w:p>
    <w:p w14:paraId="1DBA4D43" w14:textId="77777777" w:rsidR="0072250A" w:rsidRPr="00814222" w:rsidRDefault="0072250A" w:rsidP="0072250A">
      <w:pPr>
        <w:rPr>
          <w:rFonts w:asciiTheme="minorHAnsi" w:hAnsiTheme="minorHAnsi"/>
          <w:noProof/>
          <w:lang w:val="es-ES"/>
        </w:rPr>
      </w:pPr>
    </w:p>
    <w:p w14:paraId="0F32D624"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28.</w:t>
      </w:r>
      <w:r w:rsidRPr="00814222">
        <w:rPr>
          <w:rFonts w:asciiTheme="minorHAnsi" w:hAnsiTheme="minorHAnsi"/>
          <w:noProof/>
          <w:lang w:val="es-ES"/>
        </w:rPr>
        <w:tab/>
        <w:t>RECONOCE las ventajas de que haya flexibilidad en las partidas presupuestarias para viajes a fin de cumplir el plan de trabajo de la Secretaría para el trienio y REAFIRMA la decisión aprobada por la 13ª reunión de la Conferencia de las Partes Contratantes, en la que se autoriza al Secretario o la Secretaria General a transferir recursos entre partidas presupuestarias para viajes, asegurándose de que se informe al Subgrupo de Finanzas y de que se presente un informe al respecto al Comité Permanente en su siguiente reunión;</w:t>
      </w:r>
    </w:p>
    <w:p w14:paraId="2C4DCB8A" w14:textId="77777777" w:rsidR="0072250A" w:rsidRPr="00814222" w:rsidRDefault="0072250A" w:rsidP="0072250A">
      <w:pPr>
        <w:pStyle w:val="ListParagraph"/>
        <w:ind w:left="425"/>
        <w:rPr>
          <w:rFonts w:asciiTheme="minorHAnsi" w:hAnsiTheme="minorHAnsi"/>
          <w:noProof/>
          <w:lang w:val="es-ES"/>
        </w:rPr>
      </w:pPr>
    </w:p>
    <w:p w14:paraId="3F864A45"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29.</w:t>
      </w:r>
      <w:r w:rsidRPr="00814222">
        <w:rPr>
          <w:rFonts w:asciiTheme="minorHAnsi" w:hAnsiTheme="minorHAnsi"/>
          <w:noProof/>
          <w:lang w:val="es-ES"/>
        </w:rPr>
        <w:tab/>
        <w:t>DECIDE que la contribución de cada Parte Contratante al presupuesto básico debería calcularse sobre la base de la última escala de cuotas aprobada por la Asamblea General de las Naciones Unidas para determinar la contribución de los Estados Miembros al presupuesto de las Naciones Unidas, salvo en el caso de aquellas Partes Contratantes cuya contribución anual al presupuesto básico de la Convención de Ramsar, según esa escala de cuotas, resultase inferior a 1 000 francos suizos, en cuyo caso la contribución anual será por esa cuantía. Las estimaciones de las contribuciones al presupuesto básico para el trienio 2023-2025 se presentan en el Anexo 2 de la presente Resolución;</w:t>
      </w:r>
    </w:p>
    <w:p w14:paraId="1DDC0A71" w14:textId="77777777" w:rsidR="0072250A" w:rsidRPr="00814222" w:rsidRDefault="0072250A" w:rsidP="0072250A">
      <w:pPr>
        <w:rPr>
          <w:rFonts w:asciiTheme="minorHAnsi" w:hAnsiTheme="minorHAnsi"/>
          <w:noProof/>
          <w:lang w:val="es-ES"/>
        </w:rPr>
      </w:pPr>
    </w:p>
    <w:p w14:paraId="1D894E92" w14:textId="77777777" w:rsidR="0072250A" w:rsidRPr="00814222" w:rsidRDefault="0072250A" w:rsidP="0072250A">
      <w:pPr>
        <w:rPr>
          <w:rFonts w:asciiTheme="minorHAnsi" w:hAnsiTheme="minorHAnsi"/>
          <w:noProof/>
          <w:lang w:val="es-ES"/>
        </w:rPr>
      </w:pPr>
      <w:bookmarkStart w:id="0" w:name="OLE_LINK6"/>
      <w:r w:rsidRPr="00814222">
        <w:rPr>
          <w:rFonts w:asciiTheme="minorHAnsi" w:hAnsiTheme="minorHAnsi"/>
          <w:noProof/>
          <w:lang w:val="es-ES"/>
        </w:rPr>
        <w:t>30.</w:t>
      </w:r>
      <w:r w:rsidRPr="00814222">
        <w:rPr>
          <w:rFonts w:asciiTheme="minorHAnsi" w:hAnsiTheme="minorHAnsi"/>
          <w:noProof/>
          <w:lang w:val="es-ES"/>
        </w:rPr>
        <w:tab/>
        <w:t>INSTA a todas las Partes Contratantes a que abonen sus cuotas con puntualidad antes del 1 de enero de cada año o, después de esa fecha, tan pronto como lo permita el ciclo presupuestario del país;</w:t>
      </w:r>
    </w:p>
    <w:p w14:paraId="3797EF63" w14:textId="77777777" w:rsidR="0072250A" w:rsidRPr="00814222" w:rsidRDefault="0072250A" w:rsidP="0072250A">
      <w:pPr>
        <w:rPr>
          <w:rFonts w:asciiTheme="minorHAnsi" w:hAnsiTheme="minorHAnsi"/>
          <w:noProof/>
          <w:lang w:val="es-ES"/>
        </w:rPr>
      </w:pPr>
    </w:p>
    <w:bookmarkEnd w:id="0"/>
    <w:p w14:paraId="5AC77338"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lastRenderedPageBreak/>
        <w:t>31.</w:t>
      </w:r>
      <w:r w:rsidRPr="00814222">
        <w:rPr>
          <w:rFonts w:asciiTheme="minorHAnsi" w:hAnsiTheme="minorHAnsi"/>
          <w:noProof/>
          <w:lang w:val="es-ES"/>
        </w:rPr>
        <w:tab/>
        <w:t>AGRADECE a los Gobiernos de Alemania, los Estados Unidos de América, la Federación de Rusia, Finlandia y Noruega, así como a Danone y la Nagao Natural Environment Foundation, sus contribuciones voluntarias a las actividades no financiadas con cargo al presupuesto básico;</w:t>
      </w:r>
    </w:p>
    <w:p w14:paraId="309C0569" w14:textId="77777777" w:rsidR="0072250A" w:rsidRPr="00814222" w:rsidRDefault="0072250A" w:rsidP="0072250A">
      <w:pPr>
        <w:rPr>
          <w:rFonts w:asciiTheme="minorHAnsi" w:hAnsiTheme="minorHAnsi"/>
          <w:noProof/>
          <w:lang w:val="es-ES"/>
        </w:rPr>
      </w:pPr>
    </w:p>
    <w:p w14:paraId="6C884D5B"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32.</w:t>
      </w:r>
      <w:r w:rsidRPr="00814222">
        <w:rPr>
          <w:rFonts w:asciiTheme="minorHAnsi" w:hAnsiTheme="minorHAnsi"/>
          <w:noProof/>
          <w:lang w:val="es-ES"/>
        </w:rPr>
        <w:tab/>
        <w:t xml:space="preserve">REAFIRMA la decisión adoptada en la 11ª reunión de la Conferencia de las Partes Contratantes (en la Resolución XI.2 sobre </w:t>
      </w:r>
      <w:r w:rsidRPr="00814222">
        <w:rPr>
          <w:rFonts w:asciiTheme="minorHAnsi" w:hAnsiTheme="minorHAnsi"/>
          <w:i/>
          <w:noProof/>
          <w:lang w:val="es-ES"/>
        </w:rPr>
        <w:t>Cuestiones financieras y presupuestarias</w:t>
      </w:r>
      <w:r w:rsidRPr="00814222">
        <w:rPr>
          <w:rFonts w:asciiTheme="minorHAnsi" w:hAnsiTheme="minorHAnsi"/>
          <w:noProof/>
          <w:lang w:val="es-ES"/>
        </w:rPr>
        <w:t xml:space="preserve">) de que el Fondo de Reserva: </w:t>
      </w:r>
    </w:p>
    <w:p w14:paraId="440C8F73" w14:textId="77777777" w:rsidR="0072250A" w:rsidRPr="00814222" w:rsidRDefault="0072250A" w:rsidP="0072250A">
      <w:pPr>
        <w:rPr>
          <w:rFonts w:asciiTheme="minorHAnsi" w:hAnsiTheme="minorHAnsi"/>
          <w:noProof/>
          <w:lang w:val="es-ES"/>
        </w:rPr>
      </w:pPr>
    </w:p>
    <w:p w14:paraId="30E7FE21" w14:textId="77777777" w:rsidR="0072250A" w:rsidRPr="00814222" w:rsidRDefault="0072250A" w:rsidP="00865285">
      <w:pPr>
        <w:pStyle w:val="MGfulltext"/>
        <w:numPr>
          <w:ilvl w:val="0"/>
          <w:numId w:val="3"/>
        </w:numPr>
        <w:spacing w:after="0"/>
        <w:ind w:left="851" w:hanging="425"/>
        <w:rPr>
          <w:rFonts w:asciiTheme="minorHAnsi" w:eastAsia="Batang" w:hAnsiTheme="minorHAnsi"/>
          <w:noProof/>
          <w:sz w:val="22"/>
          <w:lang w:val="es-ES"/>
        </w:rPr>
      </w:pPr>
      <w:r w:rsidRPr="00814222">
        <w:rPr>
          <w:rFonts w:asciiTheme="minorHAnsi" w:hAnsiTheme="minorHAnsi"/>
          <w:noProof/>
          <w:sz w:val="22"/>
          <w:lang w:val="es-ES"/>
        </w:rPr>
        <w:t>es una provisión que se utiliza para cubrir gastos imprevistos e inevitables</w:t>
      </w:r>
      <w:r w:rsidRPr="00814222">
        <w:rPr>
          <w:rFonts w:asciiTheme="minorHAnsi" w:eastAsia="Batang" w:hAnsiTheme="minorHAnsi"/>
          <w:noProof/>
          <w:sz w:val="22"/>
          <w:lang w:val="es-ES"/>
        </w:rPr>
        <w:t>;</w:t>
      </w:r>
    </w:p>
    <w:p w14:paraId="4F0CF92D" w14:textId="77777777" w:rsidR="0072250A" w:rsidRPr="00814222" w:rsidRDefault="0072250A" w:rsidP="00865285">
      <w:pPr>
        <w:pStyle w:val="MGfulltext"/>
        <w:numPr>
          <w:ilvl w:val="0"/>
          <w:numId w:val="3"/>
        </w:numPr>
        <w:spacing w:after="0"/>
        <w:ind w:left="851" w:hanging="425"/>
        <w:rPr>
          <w:rFonts w:asciiTheme="minorHAnsi" w:eastAsia="Batang" w:hAnsiTheme="minorHAnsi"/>
          <w:noProof/>
          <w:sz w:val="22"/>
          <w:lang w:val="es-ES"/>
        </w:rPr>
      </w:pPr>
      <w:r w:rsidRPr="00814222">
        <w:rPr>
          <w:rFonts w:asciiTheme="minorHAnsi" w:hAnsiTheme="minorHAnsi"/>
          <w:noProof/>
          <w:sz w:val="22"/>
          <w:lang w:val="es-ES"/>
        </w:rPr>
        <w:t>recibe los excedentes (o déficits) del presupuesto básico trienal</w:t>
      </w:r>
      <w:r w:rsidRPr="00814222">
        <w:rPr>
          <w:rFonts w:asciiTheme="minorHAnsi" w:eastAsia="Batang" w:hAnsiTheme="minorHAnsi"/>
          <w:noProof/>
          <w:sz w:val="22"/>
          <w:lang w:val="es-ES"/>
        </w:rPr>
        <w:t>;</w:t>
      </w:r>
    </w:p>
    <w:p w14:paraId="3FC00E3C" w14:textId="77777777" w:rsidR="0072250A" w:rsidRPr="00814222" w:rsidRDefault="0072250A" w:rsidP="00865285">
      <w:pPr>
        <w:pStyle w:val="MGfulltext"/>
        <w:numPr>
          <w:ilvl w:val="0"/>
          <w:numId w:val="3"/>
        </w:numPr>
        <w:spacing w:after="0"/>
        <w:ind w:left="851" w:hanging="425"/>
        <w:rPr>
          <w:rFonts w:asciiTheme="minorHAnsi" w:eastAsia="Batang" w:hAnsiTheme="minorHAnsi"/>
          <w:noProof/>
          <w:sz w:val="22"/>
          <w:lang w:val="es-ES"/>
        </w:rPr>
      </w:pPr>
      <w:r w:rsidRPr="00814222">
        <w:rPr>
          <w:rFonts w:asciiTheme="minorHAnsi" w:hAnsiTheme="minorHAnsi"/>
          <w:noProof/>
          <w:sz w:val="22"/>
          <w:lang w:val="es-ES"/>
        </w:rPr>
        <w:t>no debe ser inferior al 6 % ni superior al 15 % del presupuesto básico anual de la Convención</w:t>
      </w:r>
      <w:r w:rsidRPr="00814222">
        <w:rPr>
          <w:rFonts w:asciiTheme="minorHAnsi" w:eastAsia="Batang" w:hAnsiTheme="minorHAnsi"/>
          <w:noProof/>
          <w:sz w:val="22"/>
          <w:lang w:val="es-ES"/>
        </w:rPr>
        <w:t>;</w:t>
      </w:r>
      <w:r w:rsidRPr="00814222">
        <w:rPr>
          <w:rFonts w:asciiTheme="minorHAnsi" w:eastAsia="Batang" w:hAnsiTheme="minorHAnsi" w:cs="Times New Roman"/>
          <w:noProof/>
          <w:sz w:val="22"/>
          <w:szCs w:val="22"/>
          <w:lang w:val="es-ES"/>
        </w:rPr>
        <w:t xml:space="preserve"> y</w:t>
      </w:r>
    </w:p>
    <w:p w14:paraId="45EEFA4C" w14:textId="77777777" w:rsidR="0072250A" w:rsidRPr="00814222" w:rsidRDefault="0072250A" w:rsidP="00865285">
      <w:pPr>
        <w:pStyle w:val="MGfulltext"/>
        <w:numPr>
          <w:ilvl w:val="0"/>
          <w:numId w:val="3"/>
        </w:numPr>
        <w:spacing w:after="0"/>
        <w:ind w:left="851" w:hanging="425"/>
        <w:rPr>
          <w:rFonts w:asciiTheme="minorHAnsi" w:eastAsia="Batang" w:hAnsiTheme="minorHAnsi"/>
          <w:noProof/>
          <w:sz w:val="22"/>
          <w:lang w:val="es-ES"/>
        </w:rPr>
      </w:pPr>
      <w:r w:rsidRPr="00814222">
        <w:rPr>
          <w:rFonts w:asciiTheme="minorHAnsi" w:hAnsiTheme="minorHAnsi"/>
          <w:noProof/>
          <w:sz w:val="22"/>
          <w:lang w:val="es-ES"/>
        </w:rPr>
        <w:t>debería ser administrado por el Secretario o la Secretaria General con la aprobación del Subgrupo de Finanzas establecido por el Comité Permanente</w:t>
      </w:r>
      <w:r w:rsidRPr="00814222">
        <w:rPr>
          <w:rFonts w:asciiTheme="minorHAnsi" w:eastAsia="Batang" w:hAnsiTheme="minorHAnsi"/>
          <w:noProof/>
          <w:sz w:val="22"/>
          <w:lang w:val="es-ES"/>
        </w:rPr>
        <w:t>;</w:t>
      </w:r>
    </w:p>
    <w:p w14:paraId="7C052207" w14:textId="77777777" w:rsidR="0072250A" w:rsidRPr="00814222" w:rsidRDefault="0072250A" w:rsidP="0072250A">
      <w:pPr>
        <w:ind w:left="426" w:hanging="426"/>
        <w:rPr>
          <w:rFonts w:asciiTheme="minorHAnsi" w:hAnsiTheme="minorHAnsi"/>
          <w:noProof/>
          <w:lang w:val="es-ES"/>
        </w:rPr>
      </w:pPr>
    </w:p>
    <w:p w14:paraId="6BF76060"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33.</w:t>
      </w:r>
      <w:r w:rsidRPr="00814222">
        <w:rPr>
          <w:rFonts w:asciiTheme="minorHAnsi" w:hAnsiTheme="minorHAnsi"/>
          <w:noProof/>
          <w:lang w:val="es-ES"/>
        </w:rPr>
        <w:tab/>
        <w:t xml:space="preserve">PIDE a la Secretaría que trate de mantener el Fondo de Reserva durante el trienio 2023-2025 y presente un informe anual al Comité Permanente sobre la situación de este, y solicite la aprobación previa del Subgrupo de Finanzas para cualquier utilización del Fondo; </w:t>
      </w:r>
    </w:p>
    <w:p w14:paraId="0C392A34" w14:textId="77777777" w:rsidR="0072250A" w:rsidRPr="00814222" w:rsidRDefault="0072250A" w:rsidP="0072250A">
      <w:pPr>
        <w:rPr>
          <w:rFonts w:asciiTheme="minorHAnsi" w:hAnsiTheme="minorHAnsi"/>
          <w:noProof/>
          <w:lang w:val="es-ES"/>
        </w:rPr>
      </w:pPr>
    </w:p>
    <w:p w14:paraId="0814D2F4"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34.</w:t>
      </w:r>
      <w:r w:rsidRPr="00814222">
        <w:rPr>
          <w:rFonts w:asciiTheme="minorHAnsi" w:hAnsiTheme="minorHAnsi"/>
          <w:noProof/>
          <w:lang w:val="es-ES"/>
        </w:rPr>
        <w:tab/>
        <w:t xml:space="preserve">REAFIRMA la decisión aprobada por la 13ª reunión de la Conferencia de las Partes Contratantes, (en la Resolución XII.2 sobre </w:t>
      </w:r>
      <w:r w:rsidRPr="00814222">
        <w:rPr>
          <w:rFonts w:asciiTheme="minorHAnsi" w:hAnsiTheme="minorHAnsi"/>
          <w:i/>
          <w:noProof/>
          <w:lang w:val="es-ES"/>
        </w:rPr>
        <w:t>Cuestiones financieras y presupuestarias</w:t>
      </w:r>
      <w:r w:rsidRPr="00814222">
        <w:rPr>
          <w:rFonts w:asciiTheme="minorHAnsi" w:hAnsiTheme="minorHAnsi"/>
          <w:noProof/>
          <w:lang w:val="es-ES"/>
        </w:rPr>
        <w:t xml:space="preserve">) en la que se autoriza al Secretario o la Secretaria General a que, de conformidad con las normas de la UICN, ajuste los niveles y la cantidad de personal, así como la estructura de la Secretaría, según figura en el Anexo 3 de la presente Resolución, siempre que los ajustes no excedan los costos indicados y se realicen de conformidad con la </w:t>
      </w:r>
      <w:r w:rsidRPr="00814222">
        <w:rPr>
          <w:rFonts w:asciiTheme="minorHAnsi" w:hAnsiTheme="minorHAnsi"/>
          <w:i/>
          <w:noProof/>
          <w:lang w:val="es-ES"/>
        </w:rPr>
        <w:t>Delegación de Autoridad al Secretario General de la Convención sobre los Humedales y su Nota Complementaria</w:t>
      </w:r>
      <w:r w:rsidRPr="00814222">
        <w:rPr>
          <w:rFonts w:asciiTheme="minorHAnsi" w:hAnsiTheme="minorHAnsi"/>
          <w:noProof/>
          <w:lang w:val="es-ES"/>
        </w:rPr>
        <w:t>, ambas de 1993;</w:t>
      </w:r>
    </w:p>
    <w:p w14:paraId="21ED87C0" w14:textId="77777777" w:rsidR="0072250A" w:rsidRPr="00814222" w:rsidRDefault="0072250A" w:rsidP="0072250A">
      <w:pPr>
        <w:ind w:left="0" w:firstLine="0"/>
        <w:rPr>
          <w:rFonts w:asciiTheme="minorHAnsi" w:hAnsiTheme="minorHAnsi"/>
          <w:noProof/>
          <w:lang w:val="es-ES"/>
        </w:rPr>
      </w:pPr>
    </w:p>
    <w:p w14:paraId="307D9190"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35.</w:t>
      </w:r>
      <w:r w:rsidRPr="00814222">
        <w:rPr>
          <w:rFonts w:asciiTheme="minorHAnsi" w:hAnsiTheme="minorHAnsi"/>
          <w:noProof/>
          <w:lang w:val="es-ES"/>
        </w:rPr>
        <w:tab/>
        <w:t>OBSERVA con reconocimiento la transparencia y la rendición de cuentas con relación a las operaciones de la Secretaría que la Secretaria General ha fomentado durante el último trienio; y OBSERVA, como medio para intensificar aún más dichos esfuerzos, que la Secretaría ha establecido una sección específica del sitio web de la Convención para publicar información que garantice la transparencia y la rendición de cuentas, incluidos, entre otras cosas, los informes de auditoría finalizados y aceptados, las normas y los reglamentos financieros, los informes anuales del Secretario General al Comité Permanente, los procedimientos para establecer acuerdos con el sector privado, y los materiales relacionados con los códigos de conducta y la ética profesional del personal, la delegación de autoridad de 1993 y su nota complementaria, las políticas de lucha contra el fraude, las políticas de lucha contra el acoso, las reglas y medidas de protección con relación a los lanzadores de alertas, las políticas en materia de conflicto de intereses, las políticas de equidad e igualdad de género, así como cualquier otra información pertinente; y PIDE a la Secretaría que prosiga sus esfuerzos en este sentido en 2023-2025;</w:t>
      </w:r>
    </w:p>
    <w:p w14:paraId="5C461FB9" w14:textId="77777777" w:rsidR="0072250A" w:rsidRPr="00814222" w:rsidRDefault="0072250A" w:rsidP="0072250A">
      <w:pPr>
        <w:rPr>
          <w:rFonts w:asciiTheme="minorHAnsi" w:hAnsiTheme="minorHAnsi"/>
          <w:noProof/>
          <w:lang w:val="es-ES"/>
        </w:rPr>
      </w:pPr>
    </w:p>
    <w:p w14:paraId="093BD0F4" w14:textId="77777777" w:rsidR="0072250A" w:rsidRPr="00814222" w:rsidRDefault="0072250A" w:rsidP="0072250A">
      <w:pPr>
        <w:rPr>
          <w:rFonts w:asciiTheme="minorHAnsi" w:hAnsiTheme="minorHAnsi"/>
          <w:noProof/>
          <w:lang w:val="es-ES"/>
        </w:rPr>
      </w:pPr>
      <w:r w:rsidRPr="00814222">
        <w:rPr>
          <w:rFonts w:asciiTheme="minorHAnsi" w:hAnsiTheme="minorHAnsi"/>
          <w:noProof/>
          <w:lang w:val="es-ES"/>
        </w:rPr>
        <w:t>36.</w:t>
      </w:r>
      <w:r w:rsidRPr="00814222">
        <w:rPr>
          <w:rFonts w:asciiTheme="minorHAnsi" w:hAnsiTheme="minorHAnsi"/>
          <w:noProof/>
          <w:lang w:val="es-ES"/>
        </w:rPr>
        <w:tab/>
        <w:t>PIDE a la Secretaría que considere a las Partes Contratantes que figuren en la lista de Pequeños Estados insulares en desarrollo (SIDS, por sus siglas en inglés) de la Conferencia de las Naciones Unidas sobre Comercio y Desarrollo como candidatos para que el desplazamiento de sus delegados sea patrocinado, sin tener en cuenta si están clasificados formalmente como tales, por razones económicas, en la lista del Comité de Ayuda al Desarrollo (CAD) de la OCDE; y</w:t>
      </w:r>
    </w:p>
    <w:p w14:paraId="56CBE4D3" w14:textId="77777777" w:rsidR="0072250A" w:rsidRPr="00814222" w:rsidRDefault="0072250A" w:rsidP="0072250A">
      <w:pPr>
        <w:rPr>
          <w:rFonts w:asciiTheme="minorHAnsi" w:hAnsiTheme="minorHAnsi"/>
          <w:noProof/>
          <w:lang w:val="es-ES"/>
        </w:rPr>
      </w:pPr>
    </w:p>
    <w:p w14:paraId="3C1AA6A9" w14:textId="239B5467" w:rsidR="00814222" w:rsidRDefault="0072250A" w:rsidP="0072250A">
      <w:pPr>
        <w:rPr>
          <w:rFonts w:asciiTheme="minorHAnsi" w:hAnsiTheme="minorHAnsi"/>
          <w:i/>
          <w:noProof/>
          <w:lang w:val="es-ES"/>
        </w:rPr>
      </w:pPr>
      <w:r w:rsidRPr="00814222">
        <w:rPr>
          <w:rFonts w:asciiTheme="minorHAnsi" w:hAnsiTheme="minorHAnsi"/>
          <w:noProof/>
          <w:lang w:val="es-ES"/>
        </w:rPr>
        <w:t>37.</w:t>
      </w:r>
      <w:r w:rsidRPr="00814222">
        <w:rPr>
          <w:rFonts w:asciiTheme="minorHAnsi" w:hAnsiTheme="minorHAnsi"/>
          <w:noProof/>
          <w:lang w:val="es-ES"/>
        </w:rPr>
        <w:tab/>
        <w:t xml:space="preserve">CONFIRMA que la presente </w:t>
      </w:r>
      <w:r w:rsidR="00356F1A">
        <w:rPr>
          <w:rFonts w:asciiTheme="minorHAnsi" w:hAnsiTheme="minorHAnsi"/>
          <w:noProof/>
          <w:lang w:val="es-ES"/>
        </w:rPr>
        <w:t>R</w:t>
      </w:r>
      <w:r w:rsidRPr="00814222">
        <w:rPr>
          <w:rFonts w:asciiTheme="minorHAnsi" w:hAnsiTheme="minorHAnsi"/>
          <w:noProof/>
          <w:lang w:val="es-ES"/>
        </w:rPr>
        <w:t>esolución y sus anexos reemplazan a la Resolución XIII.2 sobre</w:t>
      </w:r>
      <w:r w:rsidRPr="00814222">
        <w:rPr>
          <w:rFonts w:asciiTheme="minorHAnsi" w:hAnsiTheme="minorHAnsi"/>
          <w:i/>
          <w:noProof/>
          <w:lang w:val="es-ES"/>
        </w:rPr>
        <w:t xml:space="preserve"> Cuestiones financieras y presupuestarias</w:t>
      </w:r>
      <w:r w:rsidRPr="00814222">
        <w:rPr>
          <w:rFonts w:asciiTheme="minorHAnsi" w:hAnsiTheme="minorHAnsi"/>
          <w:iCs/>
          <w:noProof/>
          <w:lang w:val="es-ES"/>
        </w:rPr>
        <w:t>,</w:t>
      </w:r>
      <w:r w:rsidRPr="00814222">
        <w:rPr>
          <w:rFonts w:asciiTheme="minorHAnsi" w:eastAsia="Batang" w:hAnsiTheme="minorHAnsi"/>
          <w:iCs/>
          <w:noProof/>
          <w:lang w:val="es-ES"/>
        </w:rPr>
        <w:t xml:space="preserve"> a la Resolución ExCOP3.2 sobre </w:t>
      </w:r>
      <w:r w:rsidRPr="00814222">
        <w:rPr>
          <w:i/>
          <w:noProof/>
          <w:lang w:val="es-ES"/>
        </w:rPr>
        <w:t xml:space="preserve">Cuestiones </w:t>
      </w:r>
      <w:r w:rsidRPr="00814222">
        <w:rPr>
          <w:rFonts w:asciiTheme="minorHAnsi" w:eastAsia="Batang" w:hAnsiTheme="minorHAnsi"/>
          <w:i/>
          <w:noProof/>
          <w:lang w:val="es-ES"/>
        </w:rPr>
        <w:t>financieras y presupuestarias: presupuesto básico de la Convención sobre los Humedales para 2022</w:t>
      </w:r>
      <w:r w:rsidRPr="00814222">
        <w:rPr>
          <w:rFonts w:asciiTheme="minorHAnsi" w:hAnsiTheme="minorHAnsi"/>
          <w:noProof/>
          <w:lang w:val="es-ES"/>
        </w:rPr>
        <w:t xml:space="preserve"> y al párrafo 11.a de la Resolución VI.17 sobre </w:t>
      </w:r>
      <w:r w:rsidRPr="00814222">
        <w:rPr>
          <w:rFonts w:asciiTheme="minorHAnsi" w:hAnsiTheme="minorHAnsi"/>
          <w:i/>
          <w:noProof/>
          <w:lang w:val="es-ES"/>
        </w:rPr>
        <w:t>Asuntos financieros y presupuestarios.</w:t>
      </w:r>
    </w:p>
    <w:p w14:paraId="6C0398EF" w14:textId="31E4C410" w:rsidR="00EA6B7A" w:rsidRPr="00814222" w:rsidRDefault="00814222" w:rsidP="00814222">
      <w:pPr>
        <w:rPr>
          <w:rFonts w:asciiTheme="minorHAnsi" w:hAnsiTheme="minorHAnsi"/>
          <w:i/>
          <w:noProof/>
          <w:lang w:val="es-ES"/>
        </w:rPr>
      </w:pPr>
      <w:r>
        <w:rPr>
          <w:rFonts w:asciiTheme="minorHAnsi" w:hAnsiTheme="minorHAnsi"/>
          <w:i/>
          <w:noProof/>
          <w:lang w:val="es-ES"/>
        </w:rPr>
        <w:br w:type="page"/>
      </w:r>
      <w:r w:rsidR="00BC0742">
        <w:rPr>
          <w:rFonts w:cs="Arial"/>
          <w:b/>
          <w:noProof/>
          <w:sz w:val="24"/>
          <w:szCs w:val="24"/>
          <w:lang w:val="es-ES"/>
        </w:rPr>
        <w:lastRenderedPageBreak/>
        <w:t>Anexo 1</w:t>
      </w:r>
      <w:r w:rsidR="00A66727">
        <w:rPr>
          <w:rStyle w:val="FootnoteReference"/>
          <w:rFonts w:cs="Arial"/>
          <w:b/>
          <w:noProof/>
          <w:sz w:val="24"/>
          <w:szCs w:val="24"/>
          <w:lang w:val="es-ES"/>
        </w:rPr>
        <w:footnoteReference w:id="3"/>
      </w:r>
    </w:p>
    <w:p w14:paraId="610EFC70" w14:textId="77777777" w:rsidR="00EA6B7A" w:rsidRPr="00814222" w:rsidRDefault="00EA6B7A" w:rsidP="00EA6B7A">
      <w:pPr>
        <w:pStyle w:val="ListParagraph"/>
        <w:ind w:left="0" w:firstLine="0"/>
        <w:contextualSpacing w:val="0"/>
        <w:rPr>
          <w:rFonts w:cs="Arial"/>
          <w:b/>
          <w:noProof/>
          <w:sz w:val="24"/>
          <w:szCs w:val="24"/>
          <w:lang w:val="es-ES"/>
        </w:rPr>
      </w:pPr>
      <w:r w:rsidRPr="00814222">
        <w:rPr>
          <w:rFonts w:cs="Arial"/>
          <w:b/>
          <w:noProof/>
          <w:sz w:val="24"/>
          <w:szCs w:val="24"/>
          <w:lang w:val="es-ES"/>
        </w:rPr>
        <w:t>Escenarios presupuestarios propuestos para 2023-2025</w:t>
      </w:r>
    </w:p>
    <w:p w14:paraId="16F73905" w14:textId="77777777" w:rsidR="00EA6B7A" w:rsidRPr="00814222" w:rsidRDefault="00EA6B7A" w:rsidP="00EA6B7A">
      <w:pPr>
        <w:pStyle w:val="ListParagraph"/>
        <w:ind w:left="0" w:firstLine="0"/>
        <w:contextualSpacing w:val="0"/>
        <w:rPr>
          <w:rFonts w:cs="Arial"/>
          <w:b/>
          <w:noProof/>
          <w:sz w:val="24"/>
          <w:szCs w:val="24"/>
          <w:lang w:val="es-ES"/>
        </w:rPr>
      </w:pPr>
    </w:p>
    <w:p w14:paraId="2553309C" w14:textId="77777777" w:rsidR="00EA6B7A" w:rsidRPr="00814222" w:rsidRDefault="00EA6B7A" w:rsidP="00EA6B7A">
      <w:pPr>
        <w:pStyle w:val="ListParagraph"/>
        <w:ind w:left="0" w:firstLine="0"/>
        <w:contextualSpacing w:val="0"/>
        <w:rPr>
          <w:rFonts w:cs="Arial"/>
          <w:b/>
          <w:noProof/>
          <w:lang w:val="es-ES"/>
        </w:rPr>
      </w:pPr>
      <w:r w:rsidRPr="00814222">
        <w:rPr>
          <w:rFonts w:cs="Arial"/>
          <w:b/>
          <w:noProof/>
          <w:lang w:val="es-ES"/>
        </w:rPr>
        <w:t xml:space="preserve">Escenario A, incremento del 0 % respecto del trienio 2019-2021 </w:t>
      </w:r>
    </w:p>
    <w:tbl>
      <w:tblPr>
        <w:tblW w:w="9782" w:type="dxa"/>
        <w:tblInd w:w="-431" w:type="dxa"/>
        <w:tblLayout w:type="fixed"/>
        <w:tblCellMar>
          <w:left w:w="57" w:type="dxa"/>
          <w:right w:w="57" w:type="dxa"/>
        </w:tblCellMar>
        <w:tblLook w:val="04A0" w:firstRow="1" w:lastRow="0" w:firstColumn="1" w:lastColumn="0" w:noHBand="0" w:noVBand="1"/>
      </w:tblPr>
      <w:tblGrid>
        <w:gridCol w:w="4962"/>
        <w:gridCol w:w="1205"/>
        <w:gridCol w:w="1205"/>
        <w:gridCol w:w="1205"/>
        <w:gridCol w:w="1205"/>
      </w:tblGrid>
      <w:tr w:rsidR="00EA6B7A" w:rsidRPr="00BC0742" w14:paraId="477D9B06" w14:textId="77777777" w:rsidTr="0072349E">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9368594" w14:textId="77777777" w:rsidR="003A48FF" w:rsidRPr="00BC0742" w:rsidRDefault="00EA6B7A" w:rsidP="00C627A0">
            <w:pPr>
              <w:ind w:left="0" w:firstLine="0"/>
              <w:rPr>
                <w:rFonts w:asciiTheme="minorHAnsi" w:eastAsia="Times New Roman" w:hAnsiTheme="minorHAnsi" w:cs="Arial"/>
                <w:b/>
                <w:bCs/>
                <w:noProof/>
                <w:color w:val="1F497D"/>
                <w:sz w:val="20"/>
                <w:szCs w:val="20"/>
                <w:lang w:val="es-ES" w:eastAsia="en-GB"/>
              </w:rPr>
            </w:pPr>
            <w:r w:rsidRPr="00BC0742">
              <w:rPr>
                <w:rFonts w:asciiTheme="minorHAnsi" w:eastAsia="Times New Roman" w:hAnsiTheme="minorHAnsi" w:cs="Arial"/>
                <w:b/>
                <w:bCs/>
                <w:noProof/>
                <w:color w:val="1F497D"/>
                <w:sz w:val="20"/>
                <w:szCs w:val="20"/>
                <w:lang w:val="es-ES" w:eastAsia="en-GB"/>
              </w:rPr>
              <w:t xml:space="preserve">Presupuesto de Ramsar propuesto para 2023-2025   </w:t>
            </w:r>
          </w:p>
          <w:p w14:paraId="037CA891" w14:textId="3D5A3881" w:rsidR="00EA6B7A" w:rsidRPr="00BC0742" w:rsidRDefault="00EA6B7A" w:rsidP="00C627A0">
            <w:pPr>
              <w:ind w:left="0" w:firstLine="0"/>
              <w:rPr>
                <w:rFonts w:asciiTheme="minorHAnsi" w:eastAsia="Times New Roman" w:hAnsiTheme="minorHAnsi" w:cs="Arial"/>
                <w:b/>
                <w:bCs/>
                <w:noProof/>
                <w:color w:val="1F497D"/>
                <w:sz w:val="20"/>
                <w:szCs w:val="20"/>
                <w:lang w:val="es-ES" w:eastAsia="en-GB"/>
              </w:rPr>
            </w:pPr>
            <w:r w:rsidRPr="00BC0742">
              <w:rPr>
                <w:rFonts w:asciiTheme="minorHAnsi" w:eastAsia="Times New Roman" w:hAnsiTheme="minorHAnsi" w:cs="Arial"/>
                <w:b/>
                <w:bCs/>
                <w:noProof/>
                <w:color w:val="1F497D"/>
                <w:sz w:val="20"/>
                <w:szCs w:val="20"/>
                <w:lang w:val="es-ES" w:eastAsia="en-GB"/>
              </w:rPr>
              <w:t>en miles de francos suizos</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605B789F" w14:textId="77777777" w:rsidR="00EA6B7A" w:rsidRPr="00BC0742"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BC0742">
              <w:rPr>
                <w:rFonts w:asciiTheme="minorHAnsi" w:eastAsia="Times New Roman" w:hAnsiTheme="minorHAnsi" w:cs="Arial"/>
                <w:b/>
                <w:bCs/>
                <w:noProof/>
                <w:color w:val="1F497D"/>
                <w:sz w:val="20"/>
                <w:szCs w:val="20"/>
                <w:lang w:val="es-ES" w:eastAsia="en-GB"/>
              </w:rPr>
              <w:t>Presupuesto 2023</w:t>
            </w:r>
            <w:r w:rsidRPr="00BC0742">
              <w:rPr>
                <w:rFonts w:asciiTheme="minorHAnsi" w:eastAsia="Times New Roman" w:hAnsiTheme="minorHAnsi" w:cs="Arial"/>
                <w:noProof/>
                <w:color w:val="1F497D"/>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302F6393" w14:textId="77777777" w:rsidR="00EA6B7A" w:rsidRPr="00BC0742"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BC0742">
              <w:rPr>
                <w:rFonts w:asciiTheme="minorHAnsi" w:eastAsia="Times New Roman" w:hAnsiTheme="minorHAnsi" w:cs="Arial"/>
                <w:b/>
                <w:bCs/>
                <w:noProof/>
                <w:color w:val="1F497D"/>
                <w:sz w:val="20"/>
                <w:szCs w:val="20"/>
                <w:lang w:val="es-ES" w:eastAsia="en-GB"/>
              </w:rPr>
              <w:t xml:space="preserve">Presupuesto </w:t>
            </w:r>
          </w:p>
          <w:p w14:paraId="250BC2E4" w14:textId="77777777" w:rsidR="00EA6B7A" w:rsidRPr="00BC0742"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BC0742">
              <w:rPr>
                <w:rFonts w:asciiTheme="minorHAnsi" w:eastAsia="Times New Roman" w:hAnsiTheme="minorHAnsi" w:cs="Arial"/>
                <w:b/>
                <w:bCs/>
                <w:noProof/>
                <w:color w:val="1F497D"/>
                <w:sz w:val="20"/>
                <w:szCs w:val="20"/>
                <w:lang w:val="es-ES" w:eastAsia="en-GB"/>
              </w:rPr>
              <w:t>2024</w:t>
            </w:r>
            <w:r w:rsidRPr="00BC0742">
              <w:rPr>
                <w:rFonts w:asciiTheme="minorHAnsi" w:eastAsia="Times New Roman" w:hAnsiTheme="minorHAnsi" w:cs="Arial"/>
                <w:noProof/>
                <w:color w:val="1F497D"/>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4F40590D" w14:textId="77777777" w:rsidR="00EA6B7A" w:rsidRPr="00BC0742"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BC0742">
              <w:rPr>
                <w:rFonts w:asciiTheme="minorHAnsi" w:eastAsia="Times New Roman" w:hAnsiTheme="minorHAnsi" w:cs="Arial"/>
                <w:b/>
                <w:bCs/>
                <w:noProof/>
                <w:color w:val="1F497D"/>
                <w:sz w:val="20"/>
                <w:szCs w:val="20"/>
                <w:lang w:val="es-ES" w:eastAsia="en-GB"/>
              </w:rPr>
              <w:t>Presupuesto 2025 </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72A538B6" w14:textId="77777777" w:rsidR="00EA6B7A" w:rsidRPr="00BC0742"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BC0742">
              <w:rPr>
                <w:rFonts w:asciiTheme="minorHAnsi" w:eastAsia="Times New Roman" w:hAnsiTheme="minorHAnsi" w:cs="Arial"/>
                <w:b/>
                <w:bCs/>
                <w:noProof/>
                <w:color w:val="1F497D"/>
                <w:sz w:val="20"/>
                <w:szCs w:val="20"/>
                <w:lang w:val="es-ES" w:eastAsia="en-GB"/>
              </w:rPr>
              <w:t>Total Presupuesto 2023-2025</w:t>
            </w:r>
          </w:p>
        </w:tc>
      </w:tr>
      <w:tr w:rsidR="00EA6B7A" w:rsidRPr="00814222" w14:paraId="5F6FC441" w14:textId="77777777" w:rsidTr="0072349E">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1073A" w14:textId="77777777" w:rsidR="00EA6B7A" w:rsidRPr="00814222" w:rsidRDefault="00EA6B7A" w:rsidP="00C627A0">
            <w:pPr>
              <w:ind w:left="0" w:firstLine="0"/>
              <w:rPr>
                <w:rFonts w:asciiTheme="minorHAnsi" w:eastAsia="Times New Roman" w:hAnsiTheme="minorHAnsi" w:cs="Arial"/>
                <w:b/>
                <w:bCs/>
                <w:noProof/>
                <w:color w:val="1F497D"/>
                <w:sz w:val="20"/>
                <w:szCs w:val="20"/>
                <w:lang w:val="es-ES" w:eastAsia="en-GB"/>
              </w:rPr>
            </w:pPr>
            <w:r w:rsidRPr="00814222">
              <w:rPr>
                <w:rFonts w:asciiTheme="minorHAnsi" w:eastAsia="Times New Roman" w:hAnsiTheme="minorHAnsi" w:cs="Arial"/>
                <w:b/>
                <w:bCs/>
                <w:noProof/>
                <w:color w:val="1F497D"/>
                <w:sz w:val="20"/>
                <w:szCs w:val="20"/>
                <w:lang w:val="es-ES" w:eastAsia="en-GB"/>
              </w:rPr>
              <w:t>INGRESOS</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A6F11EF"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210042C"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B7CD9B0"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FB7F646"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 </w:t>
            </w:r>
          </w:p>
        </w:tc>
      </w:tr>
      <w:tr w:rsidR="00EA6B7A" w:rsidRPr="00814222" w14:paraId="1212EB07"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DC8CFDF"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Contribuciones de las Partes</w:t>
            </w:r>
          </w:p>
        </w:tc>
        <w:tc>
          <w:tcPr>
            <w:tcW w:w="1205" w:type="dxa"/>
            <w:tcBorders>
              <w:top w:val="nil"/>
              <w:left w:val="nil"/>
              <w:bottom w:val="single" w:sz="4" w:space="0" w:color="auto"/>
              <w:right w:val="single" w:sz="4" w:space="0" w:color="auto"/>
            </w:tcBorders>
            <w:shd w:val="clear" w:color="auto" w:fill="auto"/>
            <w:noWrap/>
            <w:vAlign w:val="center"/>
            <w:hideMark/>
          </w:tcPr>
          <w:p w14:paraId="7BDB8B2E"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3 778</w:t>
            </w:r>
          </w:p>
        </w:tc>
        <w:tc>
          <w:tcPr>
            <w:tcW w:w="1205" w:type="dxa"/>
            <w:tcBorders>
              <w:top w:val="nil"/>
              <w:left w:val="nil"/>
              <w:bottom w:val="single" w:sz="4" w:space="0" w:color="auto"/>
              <w:right w:val="single" w:sz="4" w:space="0" w:color="auto"/>
            </w:tcBorders>
            <w:shd w:val="clear" w:color="auto" w:fill="auto"/>
            <w:noWrap/>
            <w:vAlign w:val="center"/>
            <w:hideMark/>
          </w:tcPr>
          <w:p w14:paraId="30775681"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3 778</w:t>
            </w:r>
          </w:p>
        </w:tc>
        <w:tc>
          <w:tcPr>
            <w:tcW w:w="1205" w:type="dxa"/>
            <w:tcBorders>
              <w:top w:val="nil"/>
              <w:left w:val="nil"/>
              <w:bottom w:val="single" w:sz="4" w:space="0" w:color="auto"/>
              <w:right w:val="single" w:sz="4" w:space="0" w:color="auto"/>
            </w:tcBorders>
            <w:shd w:val="clear" w:color="auto" w:fill="auto"/>
            <w:noWrap/>
            <w:vAlign w:val="center"/>
            <w:hideMark/>
          </w:tcPr>
          <w:p w14:paraId="6D3E50D4"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3 778</w:t>
            </w:r>
          </w:p>
        </w:tc>
        <w:tc>
          <w:tcPr>
            <w:tcW w:w="1205" w:type="dxa"/>
            <w:tcBorders>
              <w:top w:val="nil"/>
              <w:left w:val="nil"/>
              <w:bottom w:val="single" w:sz="4" w:space="0" w:color="auto"/>
              <w:right w:val="single" w:sz="4" w:space="0" w:color="auto"/>
            </w:tcBorders>
            <w:shd w:val="clear" w:color="auto" w:fill="auto"/>
            <w:noWrap/>
            <w:vAlign w:val="center"/>
            <w:hideMark/>
          </w:tcPr>
          <w:p w14:paraId="0AAFB72D"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11 334</w:t>
            </w:r>
          </w:p>
        </w:tc>
      </w:tr>
      <w:tr w:rsidR="00EA6B7A" w:rsidRPr="00814222" w14:paraId="65574F3C"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ACF2F6D"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Contribuciones voluntarias</w:t>
            </w:r>
          </w:p>
        </w:tc>
        <w:tc>
          <w:tcPr>
            <w:tcW w:w="1205" w:type="dxa"/>
            <w:tcBorders>
              <w:top w:val="nil"/>
              <w:left w:val="nil"/>
              <w:bottom w:val="single" w:sz="4" w:space="0" w:color="auto"/>
              <w:right w:val="single" w:sz="4" w:space="0" w:color="auto"/>
            </w:tcBorders>
            <w:shd w:val="clear" w:color="auto" w:fill="auto"/>
            <w:noWrap/>
            <w:vAlign w:val="center"/>
            <w:hideMark/>
          </w:tcPr>
          <w:p w14:paraId="795B582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1 066</w:t>
            </w:r>
          </w:p>
        </w:tc>
        <w:tc>
          <w:tcPr>
            <w:tcW w:w="1205" w:type="dxa"/>
            <w:tcBorders>
              <w:top w:val="nil"/>
              <w:left w:val="nil"/>
              <w:bottom w:val="single" w:sz="4" w:space="0" w:color="auto"/>
              <w:right w:val="single" w:sz="4" w:space="0" w:color="auto"/>
            </w:tcBorders>
            <w:shd w:val="clear" w:color="auto" w:fill="auto"/>
            <w:noWrap/>
            <w:vAlign w:val="center"/>
            <w:hideMark/>
          </w:tcPr>
          <w:p w14:paraId="40522EEE"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1 066</w:t>
            </w:r>
          </w:p>
        </w:tc>
        <w:tc>
          <w:tcPr>
            <w:tcW w:w="1205" w:type="dxa"/>
            <w:tcBorders>
              <w:top w:val="nil"/>
              <w:left w:val="nil"/>
              <w:bottom w:val="single" w:sz="4" w:space="0" w:color="auto"/>
              <w:right w:val="single" w:sz="4" w:space="0" w:color="auto"/>
            </w:tcBorders>
            <w:shd w:val="clear" w:color="auto" w:fill="auto"/>
            <w:noWrap/>
            <w:vAlign w:val="center"/>
            <w:hideMark/>
          </w:tcPr>
          <w:p w14:paraId="2BDF3B0D"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1 066</w:t>
            </w:r>
          </w:p>
        </w:tc>
        <w:tc>
          <w:tcPr>
            <w:tcW w:w="1205" w:type="dxa"/>
            <w:tcBorders>
              <w:top w:val="nil"/>
              <w:left w:val="nil"/>
              <w:bottom w:val="single" w:sz="4" w:space="0" w:color="auto"/>
              <w:right w:val="single" w:sz="4" w:space="0" w:color="auto"/>
            </w:tcBorders>
            <w:shd w:val="clear" w:color="auto" w:fill="auto"/>
            <w:noWrap/>
            <w:vAlign w:val="center"/>
            <w:hideMark/>
          </w:tcPr>
          <w:p w14:paraId="2DE92C5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3 198</w:t>
            </w:r>
          </w:p>
        </w:tc>
      </w:tr>
      <w:tr w:rsidR="00EA6B7A" w:rsidRPr="00814222" w14:paraId="6A0840B2"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187A921"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Impuesto sobre la renta</w:t>
            </w:r>
          </w:p>
        </w:tc>
        <w:tc>
          <w:tcPr>
            <w:tcW w:w="1205" w:type="dxa"/>
            <w:tcBorders>
              <w:top w:val="nil"/>
              <w:left w:val="nil"/>
              <w:bottom w:val="single" w:sz="4" w:space="0" w:color="auto"/>
              <w:right w:val="single" w:sz="4" w:space="0" w:color="auto"/>
            </w:tcBorders>
            <w:shd w:val="clear" w:color="auto" w:fill="auto"/>
            <w:noWrap/>
            <w:vAlign w:val="center"/>
            <w:hideMark/>
          </w:tcPr>
          <w:p w14:paraId="2C704C41"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225</w:t>
            </w:r>
          </w:p>
        </w:tc>
        <w:tc>
          <w:tcPr>
            <w:tcW w:w="1205" w:type="dxa"/>
            <w:tcBorders>
              <w:top w:val="nil"/>
              <w:left w:val="nil"/>
              <w:bottom w:val="single" w:sz="4" w:space="0" w:color="auto"/>
              <w:right w:val="single" w:sz="4" w:space="0" w:color="auto"/>
            </w:tcBorders>
            <w:shd w:val="clear" w:color="auto" w:fill="auto"/>
            <w:noWrap/>
            <w:vAlign w:val="center"/>
            <w:hideMark/>
          </w:tcPr>
          <w:p w14:paraId="6B2A175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225</w:t>
            </w:r>
          </w:p>
        </w:tc>
        <w:tc>
          <w:tcPr>
            <w:tcW w:w="1205" w:type="dxa"/>
            <w:tcBorders>
              <w:top w:val="nil"/>
              <w:left w:val="nil"/>
              <w:bottom w:val="single" w:sz="4" w:space="0" w:color="auto"/>
              <w:right w:val="single" w:sz="4" w:space="0" w:color="auto"/>
            </w:tcBorders>
            <w:shd w:val="clear" w:color="auto" w:fill="auto"/>
            <w:noWrap/>
            <w:vAlign w:val="center"/>
            <w:hideMark/>
          </w:tcPr>
          <w:p w14:paraId="48CECB4F"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225</w:t>
            </w:r>
          </w:p>
        </w:tc>
        <w:tc>
          <w:tcPr>
            <w:tcW w:w="1205" w:type="dxa"/>
            <w:tcBorders>
              <w:top w:val="nil"/>
              <w:left w:val="nil"/>
              <w:bottom w:val="single" w:sz="4" w:space="0" w:color="auto"/>
              <w:right w:val="single" w:sz="4" w:space="0" w:color="auto"/>
            </w:tcBorders>
            <w:shd w:val="clear" w:color="auto" w:fill="auto"/>
            <w:noWrap/>
            <w:vAlign w:val="center"/>
            <w:hideMark/>
          </w:tcPr>
          <w:p w14:paraId="405A7A07"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675</w:t>
            </w:r>
          </w:p>
        </w:tc>
      </w:tr>
      <w:tr w:rsidR="00EA6B7A" w:rsidRPr="00814222" w14:paraId="639FE4D9" w14:textId="77777777" w:rsidTr="0072349E">
        <w:tc>
          <w:tcPr>
            <w:tcW w:w="4962" w:type="dxa"/>
            <w:tcBorders>
              <w:top w:val="nil"/>
              <w:left w:val="single" w:sz="4" w:space="0" w:color="auto"/>
              <w:bottom w:val="nil"/>
              <w:right w:val="single" w:sz="4" w:space="0" w:color="auto"/>
            </w:tcBorders>
            <w:shd w:val="clear" w:color="auto" w:fill="auto"/>
            <w:noWrap/>
            <w:vAlign w:val="center"/>
            <w:hideMark/>
          </w:tcPr>
          <w:p w14:paraId="59A6EAEB"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Ingresos por intereses</w:t>
            </w:r>
          </w:p>
        </w:tc>
        <w:tc>
          <w:tcPr>
            <w:tcW w:w="1205" w:type="dxa"/>
            <w:tcBorders>
              <w:top w:val="nil"/>
              <w:left w:val="nil"/>
              <w:bottom w:val="single" w:sz="4" w:space="0" w:color="auto"/>
              <w:right w:val="single" w:sz="4" w:space="0" w:color="auto"/>
            </w:tcBorders>
            <w:shd w:val="clear" w:color="auto" w:fill="auto"/>
            <w:noWrap/>
            <w:vAlign w:val="center"/>
            <w:hideMark/>
          </w:tcPr>
          <w:p w14:paraId="738F15AE"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533FAC05"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4CB726BD"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29560238"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36</w:t>
            </w:r>
          </w:p>
        </w:tc>
      </w:tr>
      <w:tr w:rsidR="00EA6B7A" w:rsidRPr="00814222" w14:paraId="3999CCFC" w14:textId="77777777" w:rsidTr="0072349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81B561E" w14:textId="77777777" w:rsidR="00EA6B7A" w:rsidRPr="00814222" w:rsidRDefault="00EA6B7A" w:rsidP="00C627A0">
            <w:pPr>
              <w:ind w:left="0" w:firstLine="0"/>
              <w:rPr>
                <w:rFonts w:asciiTheme="minorHAnsi" w:eastAsia="Times New Roman" w:hAnsiTheme="minorHAnsi" w:cs="Arial"/>
                <w:b/>
                <w:bCs/>
                <w:noProof/>
                <w:color w:val="1F497D"/>
                <w:sz w:val="20"/>
                <w:szCs w:val="20"/>
                <w:lang w:val="es-ES" w:eastAsia="en-GB"/>
              </w:rPr>
            </w:pPr>
            <w:r w:rsidRPr="00814222">
              <w:rPr>
                <w:rFonts w:eastAsia="Times New Roman" w:cs="Arial"/>
                <w:b/>
                <w:bCs/>
                <w:noProof/>
                <w:color w:val="1F497D"/>
                <w:sz w:val="20"/>
                <w:szCs w:val="20"/>
                <w:lang w:val="es-ES" w:eastAsia="en-GB"/>
              </w:rPr>
              <w:t>TOTAL DE INGRESOS</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1BC364FD"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5 081</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3205F835"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5 081</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2A0FC8DF"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5 081</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3A99CEA8"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15 243</w:t>
            </w:r>
          </w:p>
        </w:tc>
      </w:tr>
      <w:tr w:rsidR="00EA6B7A" w:rsidRPr="00814222" w14:paraId="55FD8926" w14:textId="77777777" w:rsidTr="0072349E">
        <w:trPr>
          <w:trHeight w:val="397"/>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C59C419" w14:textId="77777777" w:rsidR="00EA6B7A" w:rsidRPr="00814222" w:rsidRDefault="00EA6B7A" w:rsidP="00C627A0">
            <w:pPr>
              <w:ind w:left="0" w:firstLine="0"/>
              <w:rPr>
                <w:rFonts w:asciiTheme="minorHAnsi" w:eastAsia="Times New Roman" w:hAnsiTheme="minorHAnsi" w:cs="Arial"/>
                <w:b/>
                <w:bCs/>
                <w:noProof/>
                <w:color w:val="1F497D"/>
                <w:sz w:val="20"/>
                <w:szCs w:val="20"/>
                <w:lang w:val="es-ES" w:eastAsia="en-GB"/>
              </w:rPr>
            </w:pPr>
            <w:r w:rsidRPr="00814222">
              <w:rPr>
                <w:rFonts w:asciiTheme="minorHAnsi" w:eastAsia="Times New Roman" w:hAnsiTheme="minorHAnsi" w:cs="Arial"/>
                <w:b/>
                <w:bCs/>
                <w:noProof/>
                <w:color w:val="1F497D"/>
                <w:sz w:val="20"/>
                <w:szCs w:val="20"/>
                <w:lang w:val="es-ES" w:eastAsia="en-GB"/>
              </w:rPr>
              <w:t>GASTOS</w:t>
            </w:r>
          </w:p>
        </w:tc>
        <w:tc>
          <w:tcPr>
            <w:tcW w:w="1205" w:type="dxa"/>
            <w:tcBorders>
              <w:top w:val="nil"/>
              <w:left w:val="nil"/>
              <w:bottom w:val="single" w:sz="4" w:space="0" w:color="auto"/>
              <w:right w:val="single" w:sz="4" w:space="0" w:color="auto"/>
            </w:tcBorders>
            <w:shd w:val="clear" w:color="auto" w:fill="auto"/>
            <w:noWrap/>
            <w:vAlign w:val="bottom"/>
            <w:hideMark/>
          </w:tcPr>
          <w:p w14:paraId="7AC4EA24" w14:textId="77777777" w:rsidR="00EA6B7A" w:rsidRPr="00814222" w:rsidRDefault="00EA6B7A" w:rsidP="00C627A0">
            <w:pPr>
              <w:ind w:left="0"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6F5758F7" w14:textId="77777777" w:rsidR="00EA6B7A" w:rsidRPr="00814222" w:rsidRDefault="00EA6B7A" w:rsidP="00C627A0">
            <w:pPr>
              <w:ind w:left="0"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04FCFF89" w14:textId="77777777" w:rsidR="00EA6B7A" w:rsidRPr="00814222" w:rsidRDefault="00EA6B7A" w:rsidP="00C627A0">
            <w:pPr>
              <w:ind w:left="0"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78E3CB5C"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asciiTheme="minorHAnsi" w:eastAsia="Times New Roman" w:hAnsiTheme="minorHAnsi" w:cs="Arial"/>
                <w:b/>
                <w:bCs/>
                <w:noProof/>
                <w:sz w:val="20"/>
                <w:szCs w:val="20"/>
                <w:lang w:val="es-ES" w:eastAsia="en-GB"/>
              </w:rPr>
              <w:t> </w:t>
            </w:r>
          </w:p>
        </w:tc>
      </w:tr>
      <w:tr w:rsidR="00EA6B7A" w:rsidRPr="00814222" w14:paraId="00ADC740"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A83530A" w14:textId="77777777" w:rsidR="00EA6B7A" w:rsidRPr="00814222" w:rsidRDefault="00EA6B7A" w:rsidP="00C627A0">
            <w:pPr>
              <w:ind w:left="0" w:firstLine="0"/>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sz w:val="20"/>
                <w:szCs w:val="20"/>
                <w:lang w:val="es-ES" w:eastAsia="en-GB"/>
              </w:rPr>
              <w:t>A. Personal directivo de la Secretaría y Gobernanza</w:t>
            </w:r>
          </w:p>
        </w:tc>
        <w:tc>
          <w:tcPr>
            <w:tcW w:w="1205" w:type="dxa"/>
            <w:tcBorders>
              <w:top w:val="nil"/>
              <w:left w:val="nil"/>
              <w:bottom w:val="single" w:sz="4" w:space="0" w:color="auto"/>
              <w:right w:val="single" w:sz="4" w:space="0" w:color="auto"/>
            </w:tcBorders>
            <w:shd w:val="clear" w:color="000000" w:fill="C4D79B"/>
            <w:noWrap/>
            <w:vAlign w:val="center"/>
            <w:hideMark/>
          </w:tcPr>
          <w:p w14:paraId="1B15977A"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1 050</w:t>
            </w:r>
          </w:p>
        </w:tc>
        <w:tc>
          <w:tcPr>
            <w:tcW w:w="1205" w:type="dxa"/>
            <w:tcBorders>
              <w:top w:val="nil"/>
              <w:left w:val="nil"/>
              <w:bottom w:val="single" w:sz="4" w:space="0" w:color="auto"/>
              <w:right w:val="single" w:sz="4" w:space="0" w:color="auto"/>
            </w:tcBorders>
            <w:shd w:val="clear" w:color="000000" w:fill="C4D79B"/>
            <w:noWrap/>
            <w:vAlign w:val="center"/>
            <w:hideMark/>
          </w:tcPr>
          <w:p w14:paraId="2660EC14"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1 062</w:t>
            </w:r>
          </w:p>
        </w:tc>
        <w:tc>
          <w:tcPr>
            <w:tcW w:w="1205" w:type="dxa"/>
            <w:tcBorders>
              <w:top w:val="nil"/>
              <w:left w:val="nil"/>
              <w:bottom w:val="single" w:sz="4" w:space="0" w:color="auto"/>
              <w:right w:val="single" w:sz="4" w:space="0" w:color="auto"/>
            </w:tcBorders>
            <w:shd w:val="clear" w:color="000000" w:fill="C4D79B"/>
            <w:noWrap/>
            <w:vAlign w:val="center"/>
            <w:hideMark/>
          </w:tcPr>
          <w:p w14:paraId="6F4D7D0D"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1 057</w:t>
            </w:r>
          </w:p>
        </w:tc>
        <w:tc>
          <w:tcPr>
            <w:tcW w:w="1205" w:type="dxa"/>
            <w:tcBorders>
              <w:top w:val="nil"/>
              <w:left w:val="nil"/>
              <w:bottom w:val="single" w:sz="4" w:space="0" w:color="auto"/>
              <w:right w:val="single" w:sz="4" w:space="0" w:color="auto"/>
            </w:tcBorders>
            <w:shd w:val="clear" w:color="000000" w:fill="C4D79B"/>
            <w:noWrap/>
            <w:vAlign w:val="center"/>
            <w:hideMark/>
          </w:tcPr>
          <w:p w14:paraId="0AC347FF"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3 169</w:t>
            </w:r>
          </w:p>
        </w:tc>
      </w:tr>
      <w:tr w:rsidR="00EA6B7A" w:rsidRPr="00814222" w14:paraId="27E37485"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5C18BE9"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0D21433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1, 010</w:t>
            </w:r>
          </w:p>
        </w:tc>
        <w:tc>
          <w:tcPr>
            <w:tcW w:w="1205" w:type="dxa"/>
            <w:tcBorders>
              <w:top w:val="nil"/>
              <w:left w:val="nil"/>
              <w:bottom w:val="single" w:sz="4" w:space="0" w:color="auto"/>
              <w:right w:val="single" w:sz="4" w:space="0" w:color="auto"/>
            </w:tcBorders>
            <w:shd w:val="clear" w:color="auto" w:fill="auto"/>
            <w:noWrap/>
            <w:vAlign w:val="center"/>
            <w:hideMark/>
          </w:tcPr>
          <w:p w14:paraId="501B49BD"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1 022</w:t>
            </w:r>
          </w:p>
        </w:tc>
        <w:tc>
          <w:tcPr>
            <w:tcW w:w="1205" w:type="dxa"/>
            <w:tcBorders>
              <w:top w:val="nil"/>
              <w:left w:val="nil"/>
              <w:bottom w:val="single" w:sz="4" w:space="0" w:color="auto"/>
              <w:right w:val="single" w:sz="4" w:space="0" w:color="auto"/>
            </w:tcBorders>
            <w:shd w:val="clear" w:color="auto" w:fill="auto"/>
            <w:noWrap/>
            <w:vAlign w:val="center"/>
            <w:hideMark/>
          </w:tcPr>
          <w:p w14:paraId="41E8A9D2"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1 017</w:t>
            </w:r>
          </w:p>
        </w:tc>
        <w:tc>
          <w:tcPr>
            <w:tcW w:w="1205" w:type="dxa"/>
            <w:tcBorders>
              <w:top w:val="nil"/>
              <w:left w:val="nil"/>
              <w:bottom w:val="single" w:sz="4" w:space="0" w:color="auto"/>
              <w:right w:val="single" w:sz="4" w:space="0" w:color="auto"/>
            </w:tcBorders>
            <w:shd w:val="clear" w:color="auto" w:fill="auto"/>
            <w:noWrap/>
            <w:vAlign w:val="center"/>
            <w:hideMark/>
          </w:tcPr>
          <w:p w14:paraId="15C7AA78"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3 049</w:t>
            </w:r>
          </w:p>
        </w:tc>
      </w:tr>
      <w:tr w:rsidR="00EA6B7A" w:rsidRPr="00814222" w14:paraId="10FF19FB"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BF9CB43"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hideMark/>
          </w:tcPr>
          <w:p w14:paraId="18F7A4FB"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6F80EA47"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3FA88F5E"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4090E071"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120</w:t>
            </w:r>
          </w:p>
        </w:tc>
      </w:tr>
      <w:tr w:rsidR="00EA6B7A" w:rsidRPr="00814222" w14:paraId="6749E7D9"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5947E3D"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eastAsia="Times New Roman" w:cs="Arial"/>
                <w:b/>
                <w:bCs/>
                <w:noProof/>
                <w:color w:val="000000"/>
                <w:sz w:val="20"/>
                <w:szCs w:val="20"/>
                <w:lang w:val="es-ES" w:eastAsia="en-GB"/>
              </w:rPr>
              <w:t xml:space="preserve">B. Movilización de recursos y Promoción </w:t>
            </w:r>
          </w:p>
        </w:tc>
        <w:tc>
          <w:tcPr>
            <w:tcW w:w="1205" w:type="dxa"/>
            <w:tcBorders>
              <w:top w:val="nil"/>
              <w:left w:val="nil"/>
              <w:bottom w:val="single" w:sz="4" w:space="0" w:color="auto"/>
              <w:right w:val="single" w:sz="4" w:space="0" w:color="auto"/>
            </w:tcBorders>
            <w:shd w:val="clear" w:color="000000" w:fill="C4D79B"/>
            <w:noWrap/>
            <w:vAlign w:val="center"/>
            <w:hideMark/>
          </w:tcPr>
          <w:p w14:paraId="4CBBABA6"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508</w:t>
            </w:r>
          </w:p>
        </w:tc>
        <w:tc>
          <w:tcPr>
            <w:tcW w:w="1205" w:type="dxa"/>
            <w:tcBorders>
              <w:top w:val="nil"/>
              <w:left w:val="nil"/>
              <w:bottom w:val="single" w:sz="4" w:space="0" w:color="auto"/>
              <w:right w:val="single" w:sz="4" w:space="0" w:color="auto"/>
            </w:tcBorders>
            <w:shd w:val="clear" w:color="000000" w:fill="C4D79B"/>
            <w:noWrap/>
            <w:vAlign w:val="center"/>
            <w:hideMark/>
          </w:tcPr>
          <w:p w14:paraId="56B4CFB4"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508</w:t>
            </w:r>
          </w:p>
        </w:tc>
        <w:tc>
          <w:tcPr>
            <w:tcW w:w="1205" w:type="dxa"/>
            <w:tcBorders>
              <w:top w:val="nil"/>
              <w:left w:val="nil"/>
              <w:bottom w:val="single" w:sz="4" w:space="0" w:color="auto"/>
              <w:right w:val="single" w:sz="4" w:space="0" w:color="auto"/>
            </w:tcBorders>
            <w:shd w:val="clear" w:color="000000" w:fill="C4D79B"/>
            <w:noWrap/>
            <w:vAlign w:val="center"/>
            <w:hideMark/>
          </w:tcPr>
          <w:p w14:paraId="71910268"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508</w:t>
            </w:r>
          </w:p>
        </w:tc>
        <w:tc>
          <w:tcPr>
            <w:tcW w:w="1205" w:type="dxa"/>
            <w:tcBorders>
              <w:top w:val="nil"/>
              <w:left w:val="nil"/>
              <w:bottom w:val="single" w:sz="4" w:space="0" w:color="auto"/>
              <w:right w:val="single" w:sz="4" w:space="0" w:color="auto"/>
            </w:tcBorders>
            <w:shd w:val="clear" w:color="000000" w:fill="C4D79B"/>
            <w:noWrap/>
            <w:vAlign w:val="center"/>
            <w:hideMark/>
          </w:tcPr>
          <w:p w14:paraId="63163DB3"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1 524</w:t>
            </w:r>
          </w:p>
        </w:tc>
      </w:tr>
      <w:tr w:rsidR="00EA6B7A" w:rsidRPr="00814222" w14:paraId="27976FFF"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9505849"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3A57A3F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352</w:t>
            </w:r>
          </w:p>
        </w:tc>
        <w:tc>
          <w:tcPr>
            <w:tcW w:w="1205" w:type="dxa"/>
            <w:tcBorders>
              <w:top w:val="nil"/>
              <w:left w:val="nil"/>
              <w:bottom w:val="single" w:sz="4" w:space="0" w:color="auto"/>
              <w:right w:val="single" w:sz="4" w:space="0" w:color="auto"/>
            </w:tcBorders>
            <w:shd w:val="clear" w:color="auto" w:fill="auto"/>
            <w:noWrap/>
            <w:vAlign w:val="center"/>
            <w:hideMark/>
          </w:tcPr>
          <w:p w14:paraId="4F390999"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352</w:t>
            </w:r>
          </w:p>
        </w:tc>
        <w:tc>
          <w:tcPr>
            <w:tcW w:w="1205" w:type="dxa"/>
            <w:tcBorders>
              <w:top w:val="nil"/>
              <w:left w:val="nil"/>
              <w:bottom w:val="single" w:sz="4" w:space="0" w:color="auto"/>
              <w:right w:val="single" w:sz="4" w:space="0" w:color="auto"/>
            </w:tcBorders>
            <w:shd w:val="clear" w:color="auto" w:fill="auto"/>
            <w:noWrap/>
            <w:vAlign w:val="center"/>
            <w:hideMark/>
          </w:tcPr>
          <w:p w14:paraId="5A32237F"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352</w:t>
            </w:r>
          </w:p>
        </w:tc>
        <w:tc>
          <w:tcPr>
            <w:tcW w:w="1205" w:type="dxa"/>
            <w:tcBorders>
              <w:top w:val="nil"/>
              <w:left w:val="nil"/>
              <w:bottom w:val="single" w:sz="4" w:space="0" w:color="auto"/>
              <w:right w:val="single" w:sz="4" w:space="0" w:color="auto"/>
            </w:tcBorders>
            <w:shd w:val="clear" w:color="auto" w:fill="auto"/>
            <w:noWrap/>
            <w:vAlign w:val="center"/>
            <w:hideMark/>
          </w:tcPr>
          <w:p w14:paraId="5088B513"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1 056</w:t>
            </w:r>
          </w:p>
        </w:tc>
      </w:tr>
      <w:tr w:rsidR="00EA6B7A" w:rsidRPr="00814222" w14:paraId="1A9C7E48"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7B05829"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Programa de CECoP</w:t>
            </w:r>
          </w:p>
        </w:tc>
        <w:tc>
          <w:tcPr>
            <w:tcW w:w="1205" w:type="dxa"/>
            <w:tcBorders>
              <w:top w:val="nil"/>
              <w:left w:val="nil"/>
              <w:bottom w:val="single" w:sz="4" w:space="0" w:color="auto"/>
              <w:right w:val="single" w:sz="4" w:space="0" w:color="auto"/>
            </w:tcBorders>
            <w:shd w:val="clear" w:color="auto" w:fill="auto"/>
            <w:noWrap/>
            <w:vAlign w:val="center"/>
            <w:hideMark/>
          </w:tcPr>
          <w:p w14:paraId="43330485"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741444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3DE40E3D"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7102FC78"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90</w:t>
            </w:r>
          </w:p>
        </w:tc>
      </w:tr>
      <w:tr w:rsidR="00EA6B7A" w:rsidRPr="00814222" w14:paraId="693AE0B1"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A55F36"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 xml:space="preserve">Comunicaciones, traducción, publicaciones e informes </w:t>
            </w:r>
          </w:p>
        </w:tc>
        <w:tc>
          <w:tcPr>
            <w:tcW w:w="1205" w:type="dxa"/>
            <w:tcBorders>
              <w:top w:val="nil"/>
              <w:left w:val="nil"/>
              <w:bottom w:val="single" w:sz="4" w:space="0" w:color="auto"/>
              <w:right w:val="single" w:sz="4" w:space="0" w:color="auto"/>
            </w:tcBorders>
            <w:shd w:val="clear" w:color="auto" w:fill="auto"/>
            <w:noWrap/>
            <w:vAlign w:val="center"/>
            <w:hideMark/>
          </w:tcPr>
          <w:p w14:paraId="63423FEE"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7F9B78D5"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0A7773DA"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23A41809"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180</w:t>
            </w:r>
          </w:p>
        </w:tc>
      </w:tr>
      <w:tr w:rsidR="00EA6B7A" w:rsidRPr="00814222" w14:paraId="72E26882"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CAD4D3"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Apoyo y desarrollo del sitio web/tecnologías de la información</w:t>
            </w:r>
          </w:p>
        </w:tc>
        <w:tc>
          <w:tcPr>
            <w:tcW w:w="1205" w:type="dxa"/>
            <w:tcBorders>
              <w:top w:val="nil"/>
              <w:left w:val="nil"/>
              <w:bottom w:val="single" w:sz="4" w:space="0" w:color="auto"/>
              <w:right w:val="single" w:sz="4" w:space="0" w:color="auto"/>
            </w:tcBorders>
            <w:shd w:val="clear" w:color="auto" w:fill="auto"/>
            <w:noWrap/>
            <w:vAlign w:val="center"/>
            <w:hideMark/>
          </w:tcPr>
          <w:p w14:paraId="0A53530F"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39A626F7"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36319445"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2711D9EF"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168</w:t>
            </w:r>
          </w:p>
        </w:tc>
      </w:tr>
      <w:tr w:rsidR="00EA6B7A" w:rsidRPr="00814222" w14:paraId="30DED7B1"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tcPr>
          <w:p w14:paraId="72D03663" w14:textId="77777777" w:rsidR="00EA6B7A" w:rsidRPr="00814222" w:rsidRDefault="00EA6B7A" w:rsidP="00C627A0">
            <w:pPr>
              <w:ind w:left="0" w:firstLine="0"/>
              <w:rPr>
                <w:rFonts w:eastAsia="Times New Roman" w:cs="Arial"/>
                <w:noProof/>
                <w:sz w:val="20"/>
                <w:szCs w:val="20"/>
                <w:lang w:val="es-ES" w:eastAsia="en-GB"/>
              </w:rPr>
            </w:pPr>
            <w:r w:rsidRPr="00814222">
              <w:rPr>
                <w:rFonts w:eastAsia="Times New Roman" w:cs="Arial"/>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tcPr>
          <w:p w14:paraId="38C37B36"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tcPr>
          <w:p w14:paraId="3E5A9B36"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tcPr>
          <w:p w14:paraId="3501433B"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tcPr>
          <w:p w14:paraId="0C7CF565"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30</w:t>
            </w:r>
          </w:p>
        </w:tc>
      </w:tr>
      <w:tr w:rsidR="00EA6B7A" w:rsidRPr="00814222" w14:paraId="6B513C86"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0057D63"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eastAsia="Times New Roman" w:cs="Arial"/>
                <w:b/>
                <w:bCs/>
                <w:noProof/>
                <w:sz w:val="20"/>
                <w:szCs w:val="20"/>
                <w:lang w:val="es-ES" w:eastAsia="en-GB"/>
              </w:rPr>
              <w:t xml:space="preserve">C. Asesoramiento y apoyo regionales </w:t>
            </w:r>
          </w:p>
        </w:tc>
        <w:tc>
          <w:tcPr>
            <w:tcW w:w="1205" w:type="dxa"/>
            <w:tcBorders>
              <w:top w:val="nil"/>
              <w:left w:val="nil"/>
              <w:bottom w:val="single" w:sz="4" w:space="0" w:color="auto"/>
              <w:right w:val="single" w:sz="4" w:space="0" w:color="auto"/>
            </w:tcBorders>
            <w:shd w:val="clear" w:color="000000" w:fill="C4D79B"/>
            <w:noWrap/>
            <w:vAlign w:val="center"/>
            <w:hideMark/>
          </w:tcPr>
          <w:p w14:paraId="1DA821DF"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1 309</w:t>
            </w:r>
          </w:p>
        </w:tc>
        <w:tc>
          <w:tcPr>
            <w:tcW w:w="1205" w:type="dxa"/>
            <w:tcBorders>
              <w:top w:val="nil"/>
              <w:left w:val="nil"/>
              <w:bottom w:val="single" w:sz="4" w:space="0" w:color="auto"/>
              <w:right w:val="single" w:sz="4" w:space="0" w:color="auto"/>
            </w:tcBorders>
            <w:shd w:val="clear" w:color="000000" w:fill="C4D79B"/>
            <w:noWrap/>
            <w:vAlign w:val="center"/>
            <w:hideMark/>
          </w:tcPr>
          <w:p w14:paraId="562838DC"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1 316</w:t>
            </w:r>
          </w:p>
        </w:tc>
        <w:tc>
          <w:tcPr>
            <w:tcW w:w="1205" w:type="dxa"/>
            <w:tcBorders>
              <w:top w:val="nil"/>
              <w:left w:val="nil"/>
              <w:bottom w:val="single" w:sz="4" w:space="0" w:color="auto"/>
              <w:right w:val="single" w:sz="4" w:space="0" w:color="auto"/>
            </w:tcBorders>
            <w:shd w:val="clear" w:color="000000" w:fill="C4D79B"/>
            <w:noWrap/>
            <w:vAlign w:val="center"/>
            <w:hideMark/>
          </w:tcPr>
          <w:p w14:paraId="601A2962"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1 318</w:t>
            </w:r>
          </w:p>
        </w:tc>
        <w:tc>
          <w:tcPr>
            <w:tcW w:w="1205" w:type="dxa"/>
            <w:tcBorders>
              <w:top w:val="nil"/>
              <w:left w:val="nil"/>
              <w:bottom w:val="single" w:sz="4" w:space="0" w:color="auto"/>
              <w:right w:val="single" w:sz="4" w:space="0" w:color="auto"/>
            </w:tcBorders>
            <w:shd w:val="clear" w:color="000000" w:fill="C4D79B"/>
            <w:noWrap/>
            <w:vAlign w:val="center"/>
            <w:hideMark/>
          </w:tcPr>
          <w:p w14:paraId="66B29028"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3 943</w:t>
            </w:r>
          </w:p>
        </w:tc>
      </w:tr>
      <w:tr w:rsidR="00EA6B7A" w:rsidRPr="00814222" w14:paraId="2056EA71"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68BD366"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5D39A72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1 242</w:t>
            </w:r>
          </w:p>
        </w:tc>
        <w:tc>
          <w:tcPr>
            <w:tcW w:w="1205" w:type="dxa"/>
            <w:tcBorders>
              <w:top w:val="nil"/>
              <w:left w:val="nil"/>
              <w:bottom w:val="single" w:sz="4" w:space="0" w:color="auto"/>
              <w:right w:val="single" w:sz="4" w:space="0" w:color="auto"/>
            </w:tcBorders>
            <w:shd w:val="clear" w:color="auto" w:fill="auto"/>
            <w:noWrap/>
            <w:vAlign w:val="center"/>
            <w:hideMark/>
          </w:tcPr>
          <w:p w14:paraId="07CD63E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1 249</w:t>
            </w:r>
          </w:p>
        </w:tc>
        <w:tc>
          <w:tcPr>
            <w:tcW w:w="1205" w:type="dxa"/>
            <w:tcBorders>
              <w:top w:val="nil"/>
              <w:left w:val="nil"/>
              <w:bottom w:val="single" w:sz="4" w:space="0" w:color="auto"/>
              <w:right w:val="single" w:sz="4" w:space="0" w:color="auto"/>
            </w:tcBorders>
            <w:shd w:val="clear" w:color="auto" w:fill="auto"/>
            <w:noWrap/>
            <w:vAlign w:val="center"/>
            <w:hideMark/>
          </w:tcPr>
          <w:p w14:paraId="6D7D3568"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1 251</w:t>
            </w:r>
          </w:p>
        </w:tc>
        <w:tc>
          <w:tcPr>
            <w:tcW w:w="1205" w:type="dxa"/>
            <w:tcBorders>
              <w:top w:val="nil"/>
              <w:left w:val="nil"/>
              <w:bottom w:val="single" w:sz="4" w:space="0" w:color="auto"/>
              <w:right w:val="single" w:sz="4" w:space="0" w:color="auto"/>
            </w:tcBorders>
            <w:shd w:val="clear" w:color="auto" w:fill="auto"/>
            <w:noWrap/>
            <w:vAlign w:val="center"/>
            <w:hideMark/>
          </w:tcPr>
          <w:p w14:paraId="7776B6FC"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3 742</w:t>
            </w:r>
          </w:p>
        </w:tc>
      </w:tr>
      <w:tr w:rsidR="00EA6B7A" w:rsidRPr="00814222" w14:paraId="424868D2"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16CC57F"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hideMark/>
          </w:tcPr>
          <w:p w14:paraId="04E167D1"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67</w:t>
            </w:r>
          </w:p>
        </w:tc>
        <w:tc>
          <w:tcPr>
            <w:tcW w:w="1205" w:type="dxa"/>
            <w:tcBorders>
              <w:top w:val="nil"/>
              <w:left w:val="nil"/>
              <w:bottom w:val="single" w:sz="4" w:space="0" w:color="auto"/>
              <w:right w:val="single" w:sz="4" w:space="0" w:color="auto"/>
            </w:tcBorders>
            <w:shd w:val="clear" w:color="auto" w:fill="auto"/>
            <w:noWrap/>
            <w:vAlign w:val="center"/>
            <w:hideMark/>
          </w:tcPr>
          <w:p w14:paraId="565865C3"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67</w:t>
            </w:r>
          </w:p>
        </w:tc>
        <w:tc>
          <w:tcPr>
            <w:tcW w:w="1205" w:type="dxa"/>
            <w:tcBorders>
              <w:top w:val="nil"/>
              <w:left w:val="nil"/>
              <w:bottom w:val="single" w:sz="4" w:space="0" w:color="auto"/>
              <w:right w:val="single" w:sz="4" w:space="0" w:color="auto"/>
            </w:tcBorders>
            <w:shd w:val="clear" w:color="auto" w:fill="auto"/>
            <w:noWrap/>
            <w:vAlign w:val="center"/>
            <w:hideMark/>
          </w:tcPr>
          <w:p w14:paraId="1844C375"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67</w:t>
            </w:r>
          </w:p>
        </w:tc>
        <w:tc>
          <w:tcPr>
            <w:tcW w:w="1205" w:type="dxa"/>
            <w:tcBorders>
              <w:top w:val="nil"/>
              <w:left w:val="nil"/>
              <w:bottom w:val="single" w:sz="4" w:space="0" w:color="auto"/>
              <w:right w:val="single" w:sz="4" w:space="0" w:color="auto"/>
            </w:tcBorders>
            <w:shd w:val="clear" w:color="auto" w:fill="auto"/>
            <w:noWrap/>
            <w:vAlign w:val="center"/>
            <w:hideMark/>
          </w:tcPr>
          <w:p w14:paraId="210B1C46"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201</w:t>
            </w:r>
          </w:p>
        </w:tc>
      </w:tr>
      <w:tr w:rsidR="00EA6B7A" w:rsidRPr="00814222" w14:paraId="06CBF377"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6EEA0D63"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eastAsia="Times New Roman" w:cs="Arial"/>
                <w:b/>
                <w:bCs/>
                <w:noProof/>
                <w:color w:val="000000"/>
                <w:sz w:val="20"/>
                <w:szCs w:val="20"/>
                <w:lang w:val="es-ES" w:eastAsia="en-GB"/>
              </w:rPr>
              <w:t>D. Apoyo a las iniciativas regionales</w:t>
            </w:r>
          </w:p>
        </w:tc>
        <w:tc>
          <w:tcPr>
            <w:tcW w:w="1205" w:type="dxa"/>
            <w:tcBorders>
              <w:top w:val="nil"/>
              <w:left w:val="nil"/>
              <w:bottom w:val="single" w:sz="4" w:space="0" w:color="auto"/>
              <w:right w:val="single" w:sz="4" w:space="0" w:color="auto"/>
            </w:tcBorders>
            <w:shd w:val="clear" w:color="000000" w:fill="C4D79B"/>
            <w:noWrap/>
            <w:vAlign w:val="center"/>
            <w:hideMark/>
          </w:tcPr>
          <w:p w14:paraId="24108BA6"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29CA1C5F"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49AF43C6"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63C7E5E8"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300</w:t>
            </w:r>
          </w:p>
        </w:tc>
      </w:tr>
      <w:tr w:rsidR="00EA6B7A" w:rsidRPr="00814222" w14:paraId="6B6E7D2F"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947CB36"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 xml:space="preserve">Redes y centros regionales </w:t>
            </w:r>
          </w:p>
        </w:tc>
        <w:tc>
          <w:tcPr>
            <w:tcW w:w="1205" w:type="dxa"/>
            <w:tcBorders>
              <w:top w:val="nil"/>
              <w:left w:val="nil"/>
              <w:bottom w:val="single" w:sz="4" w:space="0" w:color="auto"/>
              <w:right w:val="single" w:sz="4" w:space="0" w:color="auto"/>
            </w:tcBorders>
            <w:shd w:val="clear" w:color="auto" w:fill="auto"/>
            <w:noWrap/>
            <w:vAlign w:val="center"/>
            <w:hideMark/>
          </w:tcPr>
          <w:p w14:paraId="324BAC3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C19718D"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725E5F9"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23F43A54"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300</w:t>
            </w:r>
          </w:p>
        </w:tc>
      </w:tr>
      <w:tr w:rsidR="00EA6B7A" w:rsidRPr="00814222" w14:paraId="0AD7BFFF"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C557A8"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eastAsia="Times New Roman" w:cs="Arial"/>
                <w:b/>
                <w:bCs/>
                <w:noProof/>
                <w:color w:val="000000"/>
                <w:sz w:val="20"/>
                <w:szCs w:val="20"/>
                <w:lang w:val="es-ES" w:eastAsia="en-GB"/>
              </w:rPr>
              <w:t>E. Ciencia y Políticas</w:t>
            </w:r>
          </w:p>
        </w:tc>
        <w:tc>
          <w:tcPr>
            <w:tcW w:w="1205" w:type="dxa"/>
            <w:tcBorders>
              <w:top w:val="nil"/>
              <w:left w:val="nil"/>
              <w:bottom w:val="single" w:sz="4" w:space="0" w:color="auto"/>
              <w:right w:val="single" w:sz="4" w:space="0" w:color="auto"/>
            </w:tcBorders>
            <w:shd w:val="clear" w:color="000000" w:fill="C4D79B"/>
            <w:noWrap/>
            <w:vAlign w:val="center"/>
            <w:hideMark/>
          </w:tcPr>
          <w:p w14:paraId="15C08AF2"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840</w:t>
            </w:r>
          </w:p>
        </w:tc>
        <w:tc>
          <w:tcPr>
            <w:tcW w:w="1205" w:type="dxa"/>
            <w:tcBorders>
              <w:top w:val="nil"/>
              <w:left w:val="nil"/>
              <w:bottom w:val="single" w:sz="4" w:space="0" w:color="auto"/>
              <w:right w:val="single" w:sz="4" w:space="0" w:color="auto"/>
            </w:tcBorders>
            <w:shd w:val="clear" w:color="000000" w:fill="C4D79B"/>
            <w:noWrap/>
            <w:vAlign w:val="center"/>
            <w:hideMark/>
          </w:tcPr>
          <w:p w14:paraId="169F2143"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817</w:t>
            </w:r>
          </w:p>
        </w:tc>
        <w:tc>
          <w:tcPr>
            <w:tcW w:w="1205" w:type="dxa"/>
            <w:tcBorders>
              <w:top w:val="nil"/>
              <w:left w:val="nil"/>
              <w:bottom w:val="single" w:sz="4" w:space="0" w:color="auto"/>
              <w:right w:val="single" w:sz="4" w:space="0" w:color="auto"/>
            </w:tcBorders>
            <w:shd w:val="clear" w:color="000000" w:fill="C4D79B"/>
            <w:noWrap/>
            <w:vAlign w:val="center"/>
            <w:hideMark/>
          </w:tcPr>
          <w:p w14:paraId="71CBB56B"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820</w:t>
            </w:r>
          </w:p>
        </w:tc>
        <w:tc>
          <w:tcPr>
            <w:tcW w:w="1205" w:type="dxa"/>
            <w:tcBorders>
              <w:top w:val="nil"/>
              <w:left w:val="nil"/>
              <w:bottom w:val="single" w:sz="4" w:space="0" w:color="auto"/>
              <w:right w:val="single" w:sz="4" w:space="0" w:color="auto"/>
            </w:tcBorders>
            <w:shd w:val="clear" w:color="000000" w:fill="C4D79B"/>
            <w:noWrap/>
            <w:vAlign w:val="center"/>
            <w:hideMark/>
          </w:tcPr>
          <w:p w14:paraId="2EFBBEE9"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2 477</w:t>
            </w:r>
          </w:p>
        </w:tc>
      </w:tr>
      <w:tr w:rsidR="00EA6B7A" w:rsidRPr="00814222" w14:paraId="427D78BB"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1ED5AD4"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59C22B8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652</w:t>
            </w:r>
          </w:p>
        </w:tc>
        <w:tc>
          <w:tcPr>
            <w:tcW w:w="1205" w:type="dxa"/>
            <w:tcBorders>
              <w:top w:val="nil"/>
              <w:left w:val="nil"/>
              <w:bottom w:val="single" w:sz="4" w:space="0" w:color="auto"/>
              <w:right w:val="single" w:sz="4" w:space="0" w:color="auto"/>
            </w:tcBorders>
            <w:shd w:val="clear" w:color="auto" w:fill="auto"/>
            <w:noWrap/>
            <w:vAlign w:val="center"/>
            <w:hideMark/>
          </w:tcPr>
          <w:p w14:paraId="090D33A3"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649</w:t>
            </w:r>
          </w:p>
        </w:tc>
        <w:tc>
          <w:tcPr>
            <w:tcW w:w="1205" w:type="dxa"/>
            <w:tcBorders>
              <w:top w:val="nil"/>
              <w:left w:val="nil"/>
              <w:bottom w:val="single" w:sz="4" w:space="0" w:color="auto"/>
              <w:right w:val="single" w:sz="4" w:space="0" w:color="auto"/>
            </w:tcBorders>
            <w:shd w:val="clear" w:color="auto" w:fill="auto"/>
            <w:noWrap/>
            <w:vAlign w:val="center"/>
            <w:hideMark/>
          </w:tcPr>
          <w:p w14:paraId="5A82BA46"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652</w:t>
            </w:r>
          </w:p>
        </w:tc>
        <w:tc>
          <w:tcPr>
            <w:tcW w:w="1205" w:type="dxa"/>
            <w:tcBorders>
              <w:top w:val="nil"/>
              <w:left w:val="nil"/>
              <w:bottom w:val="single" w:sz="4" w:space="0" w:color="auto"/>
              <w:right w:val="single" w:sz="4" w:space="0" w:color="auto"/>
            </w:tcBorders>
            <w:shd w:val="clear" w:color="auto" w:fill="auto"/>
            <w:noWrap/>
            <w:vAlign w:val="center"/>
            <w:hideMark/>
          </w:tcPr>
          <w:p w14:paraId="6430E2E6"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1 953</w:t>
            </w:r>
          </w:p>
        </w:tc>
      </w:tr>
      <w:tr w:rsidR="00EA6B7A" w:rsidRPr="00814222" w14:paraId="6D3B309A"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28D7C57"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Ejecución del GECT</w:t>
            </w:r>
          </w:p>
        </w:tc>
        <w:tc>
          <w:tcPr>
            <w:tcW w:w="1205" w:type="dxa"/>
            <w:tcBorders>
              <w:top w:val="nil"/>
              <w:left w:val="nil"/>
              <w:bottom w:val="single" w:sz="4" w:space="0" w:color="auto"/>
              <w:right w:val="single" w:sz="4" w:space="0" w:color="auto"/>
            </w:tcBorders>
            <w:shd w:val="clear" w:color="auto" w:fill="auto"/>
            <w:noWrap/>
            <w:vAlign w:val="center"/>
            <w:hideMark/>
          </w:tcPr>
          <w:p w14:paraId="68E810B6"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29D600AB"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11E45ED7"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011712DC"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105</w:t>
            </w:r>
          </w:p>
        </w:tc>
      </w:tr>
      <w:tr w:rsidR="00EA6B7A" w:rsidRPr="00814222" w14:paraId="2F8DA426"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tcPr>
          <w:p w14:paraId="12C46402" w14:textId="77777777" w:rsidR="00EA6B7A" w:rsidRPr="00814222" w:rsidRDefault="00EA6B7A" w:rsidP="00C627A0">
            <w:pPr>
              <w:ind w:left="0" w:firstLine="0"/>
              <w:rPr>
                <w:rFonts w:eastAsia="Times New Roman" w:cs="Arial"/>
                <w:noProof/>
                <w:sz w:val="20"/>
                <w:szCs w:val="20"/>
                <w:lang w:val="es-ES" w:eastAsia="en-GB"/>
              </w:rPr>
            </w:pPr>
            <w:r w:rsidRPr="00814222">
              <w:rPr>
                <w:rFonts w:eastAsia="Times New Roman" w:cs="Arial"/>
                <w:noProof/>
                <w:sz w:val="20"/>
                <w:szCs w:val="20"/>
                <w:lang w:val="es-ES" w:eastAsia="en-GB"/>
              </w:rPr>
              <w:t>Viajes de la Presidencia del GECT</w:t>
            </w:r>
          </w:p>
        </w:tc>
        <w:tc>
          <w:tcPr>
            <w:tcW w:w="1205" w:type="dxa"/>
            <w:tcBorders>
              <w:top w:val="nil"/>
              <w:left w:val="nil"/>
              <w:bottom w:val="single" w:sz="4" w:space="0" w:color="auto"/>
              <w:right w:val="single" w:sz="4" w:space="0" w:color="auto"/>
            </w:tcBorders>
            <w:shd w:val="clear" w:color="auto" w:fill="auto"/>
            <w:noWrap/>
            <w:vAlign w:val="center"/>
          </w:tcPr>
          <w:p w14:paraId="133D5A8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33C595B3"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3E0CCC85"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0C0ED1A7"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15</w:t>
            </w:r>
          </w:p>
        </w:tc>
      </w:tr>
      <w:tr w:rsidR="00EA6B7A" w:rsidRPr="00814222" w14:paraId="7F7164AD"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7DF0D49"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Reuniones del GECT</w:t>
            </w:r>
          </w:p>
        </w:tc>
        <w:tc>
          <w:tcPr>
            <w:tcW w:w="1205" w:type="dxa"/>
            <w:tcBorders>
              <w:top w:val="nil"/>
              <w:left w:val="nil"/>
              <w:bottom w:val="single" w:sz="4" w:space="0" w:color="auto"/>
              <w:right w:val="single" w:sz="4" w:space="0" w:color="auto"/>
            </w:tcBorders>
            <w:shd w:val="clear" w:color="auto" w:fill="auto"/>
            <w:noWrap/>
            <w:vAlign w:val="center"/>
            <w:hideMark/>
          </w:tcPr>
          <w:p w14:paraId="730D8E4C"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6A18DF36"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57380025"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1A6A6A01"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150</w:t>
            </w:r>
          </w:p>
        </w:tc>
      </w:tr>
      <w:tr w:rsidR="00EA6B7A" w:rsidRPr="00814222" w14:paraId="7EC74277"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C304984"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Servicio de información sobre sitios Ramsar (Mantenimiento y desarrollo)</w:t>
            </w:r>
          </w:p>
        </w:tc>
        <w:tc>
          <w:tcPr>
            <w:tcW w:w="1205" w:type="dxa"/>
            <w:tcBorders>
              <w:top w:val="nil"/>
              <w:left w:val="nil"/>
              <w:bottom w:val="single" w:sz="4" w:space="0" w:color="auto"/>
              <w:right w:val="single" w:sz="4" w:space="0" w:color="auto"/>
            </w:tcBorders>
            <w:shd w:val="clear" w:color="auto" w:fill="auto"/>
            <w:noWrap/>
            <w:vAlign w:val="center"/>
            <w:hideMark/>
          </w:tcPr>
          <w:p w14:paraId="238132C8"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80</w:t>
            </w:r>
          </w:p>
        </w:tc>
        <w:tc>
          <w:tcPr>
            <w:tcW w:w="1205" w:type="dxa"/>
            <w:tcBorders>
              <w:top w:val="nil"/>
              <w:left w:val="nil"/>
              <w:bottom w:val="single" w:sz="4" w:space="0" w:color="auto"/>
              <w:right w:val="single" w:sz="4" w:space="0" w:color="auto"/>
            </w:tcBorders>
            <w:shd w:val="clear" w:color="auto" w:fill="auto"/>
            <w:noWrap/>
            <w:vAlign w:val="center"/>
            <w:hideMark/>
          </w:tcPr>
          <w:p w14:paraId="2E85F6B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64570FC4"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7B04B601"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200</w:t>
            </w:r>
          </w:p>
        </w:tc>
      </w:tr>
      <w:tr w:rsidR="00EA6B7A" w:rsidRPr="00814222" w14:paraId="55A27449"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tcPr>
          <w:p w14:paraId="3D4DC40B" w14:textId="77777777" w:rsidR="00EA6B7A" w:rsidRPr="00814222" w:rsidRDefault="00EA6B7A" w:rsidP="00C627A0">
            <w:pPr>
              <w:ind w:left="0" w:firstLine="0"/>
              <w:rPr>
                <w:rFonts w:eastAsia="Times New Roman" w:cs="Arial"/>
                <w:noProof/>
                <w:sz w:val="20"/>
                <w:szCs w:val="20"/>
                <w:lang w:val="es-ES" w:eastAsia="en-GB"/>
              </w:rPr>
            </w:pPr>
            <w:r w:rsidRPr="00814222">
              <w:rPr>
                <w:rFonts w:eastAsia="Times New Roman" w:cs="Arial"/>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tcPr>
          <w:p w14:paraId="6B66BAB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5F165E84"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7834CBFC"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1C82812E"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54</w:t>
            </w:r>
          </w:p>
        </w:tc>
      </w:tr>
      <w:tr w:rsidR="00EA6B7A" w:rsidRPr="00814222" w14:paraId="64DE7814"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45405A9"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eastAsia="Times New Roman" w:cs="Arial"/>
                <w:b/>
                <w:bCs/>
                <w:noProof/>
                <w:sz w:val="20"/>
                <w:szCs w:val="20"/>
                <w:lang w:val="es-ES" w:eastAsia="en-GB"/>
              </w:rPr>
              <w:t>G. Administración</w:t>
            </w:r>
          </w:p>
        </w:tc>
        <w:tc>
          <w:tcPr>
            <w:tcW w:w="1205" w:type="dxa"/>
            <w:tcBorders>
              <w:top w:val="nil"/>
              <w:left w:val="nil"/>
              <w:bottom w:val="single" w:sz="4" w:space="0" w:color="auto"/>
              <w:right w:val="single" w:sz="4" w:space="0" w:color="auto"/>
            </w:tcBorders>
            <w:shd w:val="clear" w:color="000000" w:fill="C4D79B"/>
            <w:noWrap/>
            <w:vAlign w:val="center"/>
            <w:hideMark/>
          </w:tcPr>
          <w:p w14:paraId="366A08E0"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474</w:t>
            </w:r>
          </w:p>
        </w:tc>
        <w:tc>
          <w:tcPr>
            <w:tcW w:w="1205" w:type="dxa"/>
            <w:tcBorders>
              <w:top w:val="nil"/>
              <w:left w:val="nil"/>
              <w:bottom w:val="single" w:sz="4" w:space="0" w:color="auto"/>
              <w:right w:val="single" w:sz="4" w:space="0" w:color="auto"/>
            </w:tcBorders>
            <w:shd w:val="clear" w:color="000000" w:fill="C4D79B"/>
            <w:noWrap/>
            <w:vAlign w:val="center"/>
            <w:hideMark/>
          </w:tcPr>
          <w:p w14:paraId="1CE3431B"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478</w:t>
            </w:r>
          </w:p>
        </w:tc>
        <w:tc>
          <w:tcPr>
            <w:tcW w:w="1205" w:type="dxa"/>
            <w:tcBorders>
              <w:top w:val="nil"/>
              <w:left w:val="nil"/>
              <w:bottom w:val="single" w:sz="4" w:space="0" w:color="auto"/>
              <w:right w:val="single" w:sz="4" w:space="0" w:color="auto"/>
            </w:tcBorders>
            <w:shd w:val="clear" w:color="000000" w:fill="C4D79B"/>
            <w:noWrap/>
            <w:vAlign w:val="center"/>
            <w:hideMark/>
          </w:tcPr>
          <w:p w14:paraId="55923275"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478</w:t>
            </w:r>
          </w:p>
        </w:tc>
        <w:tc>
          <w:tcPr>
            <w:tcW w:w="1205" w:type="dxa"/>
            <w:tcBorders>
              <w:top w:val="nil"/>
              <w:left w:val="nil"/>
              <w:bottom w:val="single" w:sz="4" w:space="0" w:color="auto"/>
              <w:right w:val="single" w:sz="4" w:space="0" w:color="auto"/>
            </w:tcBorders>
            <w:shd w:val="clear" w:color="000000" w:fill="C4D79B"/>
            <w:noWrap/>
            <w:vAlign w:val="center"/>
            <w:hideMark/>
          </w:tcPr>
          <w:p w14:paraId="64A68F90"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1 430</w:t>
            </w:r>
          </w:p>
        </w:tc>
      </w:tr>
      <w:tr w:rsidR="00EA6B7A" w:rsidRPr="00814222" w14:paraId="608AE451"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5B17F44"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456C320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331</w:t>
            </w:r>
          </w:p>
        </w:tc>
        <w:tc>
          <w:tcPr>
            <w:tcW w:w="1205" w:type="dxa"/>
            <w:tcBorders>
              <w:top w:val="nil"/>
              <w:left w:val="nil"/>
              <w:bottom w:val="single" w:sz="4" w:space="0" w:color="auto"/>
              <w:right w:val="single" w:sz="4" w:space="0" w:color="auto"/>
            </w:tcBorders>
            <w:shd w:val="clear" w:color="auto" w:fill="auto"/>
            <w:noWrap/>
            <w:vAlign w:val="center"/>
            <w:hideMark/>
          </w:tcPr>
          <w:p w14:paraId="62C87768"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331</w:t>
            </w:r>
          </w:p>
        </w:tc>
        <w:tc>
          <w:tcPr>
            <w:tcW w:w="1205" w:type="dxa"/>
            <w:tcBorders>
              <w:top w:val="nil"/>
              <w:left w:val="nil"/>
              <w:bottom w:val="single" w:sz="4" w:space="0" w:color="auto"/>
              <w:right w:val="single" w:sz="4" w:space="0" w:color="auto"/>
            </w:tcBorders>
            <w:shd w:val="clear" w:color="auto" w:fill="auto"/>
            <w:noWrap/>
            <w:vAlign w:val="center"/>
            <w:hideMark/>
          </w:tcPr>
          <w:p w14:paraId="3F99BF73"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sz w:val="20"/>
                <w:szCs w:val="20"/>
                <w:lang w:val="es-ES" w:eastAsia="en-GB"/>
              </w:rPr>
              <w:t>331</w:t>
            </w:r>
          </w:p>
        </w:tc>
        <w:tc>
          <w:tcPr>
            <w:tcW w:w="1205" w:type="dxa"/>
            <w:tcBorders>
              <w:top w:val="nil"/>
              <w:left w:val="nil"/>
              <w:bottom w:val="single" w:sz="4" w:space="0" w:color="auto"/>
              <w:right w:val="single" w:sz="4" w:space="0" w:color="auto"/>
            </w:tcBorders>
            <w:shd w:val="clear" w:color="auto" w:fill="auto"/>
            <w:noWrap/>
            <w:vAlign w:val="center"/>
            <w:hideMark/>
          </w:tcPr>
          <w:p w14:paraId="0852837C"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993</w:t>
            </w:r>
          </w:p>
        </w:tc>
      </w:tr>
      <w:tr w:rsidR="00EA6B7A" w:rsidRPr="00814222" w14:paraId="1CCDC638"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B65E113"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Costos de contratación y separación del personal</w:t>
            </w:r>
          </w:p>
        </w:tc>
        <w:tc>
          <w:tcPr>
            <w:tcW w:w="1205" w:type="dxa"/>
            <w:tcBorders>
              <w:top w:val="nil"/>
              <w:left w:val="nil"/>
              <w:bottom w:val="single" w:sz="4" w:space="0" w:color="auto"/>
              <w:right w:val="single" w:sz="4" w:space="0" w:color="auto"/>
            </w:tcBorders>
            <w:shd w:val="clear" w:color="auto" w:fill="auto"/>
            <w:noWrap/>
            <w:vAlign w:val="center"/>
            <w:hideMark/>
          </w:tcPr>
          <w:p w14:paraId="1E787417"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48</w:t>
            </w:r>
          </w:p>
        </w:tc>
        <w:tc>
          <w:tcPr>
            <w:tcW w:w="1205" w:type="dxa"/>
            <w:tcBorders>
              <w:top w:val="nil"/>
              <w:left w:val="nil"/>
              <w:bottom w:val="single" w:sz="4" w:space="0" w:color="auto"/>
              <w:right w:val="single" w:sz="4" w:space="0" w:color="auto"/>
            </w:tcBorders>
            <w:shd w:val="clear" w:color="auto" w:fill="auto"/>
            <w:noWrap/>
            <w:vAlign w:val="center"/>
            <w:hideMark/>
          </w:tcPr>
          <w:p w14:paraId="0E0A5633"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52</w:t>
            </w:r>
          </w:p>
        </w:tc>
        <w:tc>
          <w:tcPr>
            <w:tcW w:w="1205" w:type="dxa"/>
            <w:tcBorders>
              <w:top w:val="nil"/>
              <w:left w:val="nil"/>
              <w:bottom w:val="single" w:sz="4" w:space="0" w:color="auto"/>
              <w:right w:val="single" w:sz="4" w:space="0" w:color="auto"/>
            </w:tcBorders>
            <w:shd w:val="clear" w:color="auto" w:fill="auto"/>
            <w:noWrap/>
            <w:vAlign w:val="center"/>
            <w:hideMark/>
          </w:tcPr>
          <w:p w14:paraId="3D998CB6"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52</w:t>
            </w:r>
          </w:p>
        </w:tc>
        <w:tc>
          <w:tcPr>
            <w:tcW w:w="1205" w:type="dxa"/>
            <w:tcBorders>
              <w:top w:val="nil"/>
              <w:left w:val="nil"/>
              <w:bottom w:val="single" w:sz="4" w:space="0" w:color="auto"/>
              <w:right w:val="single" w:sz="4" w:space="0" w:color="auto"/>
            </w:tcBorders>
            <w:shd w:val="clear" w:color="auto" w:fill="auto"/>
            <w:noWrap/>
            <w:vAlign w:val="center"/>
            <w:hideMark/>
          </w:tcPr>
          <w:p w14:paraId="46B80612"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152</w:t>
            </w:r>
          </w:p>
        </w:tc>
      </w:tr>
      <w:tr w:rsidR="00EA6B7A" w:rsidRPr="00814222" w14:paraId="3A8CA420"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D3A187B"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Equipos/Suministros de oficina</w:t>
            </w:r>
          </w:p>
        </w:tc>
        <w:tc>
          <w:tcPr>
            <w:tcW w:w="1205" w:type="dxa"/>
            <w:tcBorders>
              <w:top w:val="nil"/>
              <w:left w:val="nil"/>
              <w:bottom w:val="single" w:sz="4" w:space="0" w:color="auto"/>
              <w:right w:val="single" w:sz="4" w:space="0" w:color="auto"/>
            </w:tcBorders>
            <w:shd w:val="clear" w:color="auto" w:fill="auto"/>
            <w:noWrap/>
            <w:vAlign w:val="center"/>
            <w:hideMark/>
          </w:tcPr>
          <w:p w14:paraId="58C9DAC2"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52DA2788"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162B6B32"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1ABC0807"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285</w:t>
            </w:r>
          </w:p>
        </w:tc>
      </w:tr>
      <w:tr w:rsidR="00EA6B7A" w:rsidRPr="00814222" w14:paraId="72785892"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812037"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 xml:space="preserve">Planificación y Capacitación </w:t>
            </w:r>
          </w:p>
        </w:tc>
        <w:tc>
          <w:tcPr>
            <w:tcW w:w="1205" w:type="dxa"/>
            <w:tcBorders>
              <w:top w:val="nil"/>
              <w:left w:val="nil"/>
              <w:bottom w:val="single" w:sz="4" w:space="0" w:color="auto"/>
              <w:right w:val="single" w:sz="4" w:space="0" w:color="auto"/>
            </w:tcBorders>
            <w:shd w:val="clear" w:color="auto" w:fill="auto"/>
            <w:noWrap/>
            <w:vAlign w:val="center"/>
          </w:tcPr>
          <w:p w14:paraId="34BDA77C"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0</w:t>
            </w:r>
          </w:p>
        </w:tc>
        <w:tc>
          <w:tcPr>
            <w:tcW w:w="1205" w:type="dxa"/>
            <w:tcBorders>
              <w:top w:val="nil"/>
              <w:left w:val="nil"/>
              <w:bottom w:val="single" w:sz="4" w:space="0" w:color="auto"/>
              <w:right w:val="single" w:sz="4" w:space="0" w:color="auto"/>
            </w:tcBorders>
            <w:shd w:val="clear" w:color="auto" w:fill="auto"/>
            <w:noWrap/>
            <w:vAlign w:val="center"/>
          </w:tcPr>
          <w:p w14:paraId="6ACF2127"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 0</w:t>
            </w:r>
          </w:p>
        </w:tc>
        <w:tc>
          <w:tcPr>
            <w:tcW w:w="1205" w:type="dxa"/>
            <w:tcBorders>
              <w:top w:val="nil"/>
              <w:left w:val="nil"/>
              <w:bottom w:val="single" w:sz="4" w:space="0" w:color="auto"/>
              <w:right w:val="single" w:sz="4" w:space="0" w:color="auto"/>
            </w:tcBorders>
            <w:shd w:val="clear" w:color="auto" w:fill="auto"/>
            <w:noWrap/>
            <w:vAlign w:val="center"/>
          </w:tcPr>
          <w:p w14:paraId="2737BE98"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0</w:t>
            </w:r>
          </w:p>
        </w:tc>
        <w:tc>
          <w:tcPr>
            <w:tcW w:w="1205" w:type="dxa"/>
            <w:tcBorders>
              <w:top w:val="nil"/>
              <w:left w:val="nil"/>
              <w:bottom w:val="single" w:sz="4" w:space="0" w:color="auto"/>
              <w:right w:val="single" w:sz="4" w:space="0" w:color="auto"/>
            </w:tcBorders>
            <w:shd w:val="clear" w:color="auto" w:fill="auto"/>
            <w:noWrap/>
            <w:vAlign w:val="center"/>
          </w:tcPr>
          <w:p w14:paraId="20979693"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0</w:t>
            </w:r>
          </w:p>
        </w:tc>
      </w:tr>
      <w:tr w:rsidR="00EA6B7A" w:rsidRPr="00814222" w14:paraId="4696BF13"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DEACAB5"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asciiTheme="minorHAnsi" w:eastAsia="Times New Roman" w:hAnsiTheme="minorHAnsi" w:cs="Arial"/>
                <w:b/>
                <w:bCs/>
                <w:noProof/>
                <w:sz w:val="20"/>
                <w:szCs w:val="20"/>
                <w:lang w:val="es-ES" w:eastAsia="en-GB"/>
              </w:rPr>
              <w:t xml:space="preserve">H. </w:t>
            </w:r>
            <w:r w:rsidRPr="00814222">
              <w:rPr>
                <w:rFonts w:eastAsia="Times New Roman" w:cs="Arial"/>
                <w:b/>
                <w:bCs/>
                <w:noProof/>
                <w:sz w:val="20"/>
                <w:szCs w:val="20"/>
                <w:lang w:val="es-ES" w:eastAsia="en-GB"/>
              </w:rPr>
              <w:t>Servicios del Comité Permanente</w:t>
            </w:r>
          </w:p>
        </w:tc>
        <w:tc>
          <w:tcPr>
            <w:tcW w:w="1205" w:type="dxa"/>
            <w:tcBorders>
              <w:top w:val="nil"/>
              <w:left w:val="nil"/>
              <w:bottom w:val="single" w:sz="4" w:space="0" w:color="auto"/>
              <w:right w:val="single" w:sz="4" w:space="0" w:color="auto"/>
            </w:tcBorders>
            <w:shd w:val="clear" w:color="000000" w:fill="C4D79B"/>
            <w:noWrap/>
            <w:vAlign w:val="center"/>
          </w:tcPr>
          <w:p w14:paraId="036F4A5D"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150</w:t>
            </w:r>
          </w:p>
        </w:tc>
        <w:tc>
          <w:tcPr>
            <w:tcW w:w="1205" w:type="dxa"/>
            <w:tcBorders>
              <w:top w:val="nil"/>
              <w:left w:val="nil"/>
              <w:bottom w:val="single" w:sz="4" w:space="0" w:color="auto"/>
              <w:right w:val="single" w:sz="4" w:space="0" w:color="auto"/>
            </w:tcBorders>
            <w:shd w:val="clear" w:color="000000" w:fill="C4D79B"/>
            <w:noWrap/>
            <w:vAlign w:val="center"/>
          </w:tcPr>
          <w:p w14:paraId="5F8485A2"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150</w:t>
            </w:r>
          </w:p>
        </w:tc>
        <w:tc>
          <w:tcPr>
            <w:tcW w:w="1205" w:type="dxa"/>
            <w:tcBorders>
              <w:top w:val="nil"/>
              <w:left w:val="nil"/>
              <w:bottom w:val="single" w:sz="4" w:space="0" w:color="auto"/>
              <w:right w:val="single" w:sz="4" w:space="0" w:color="auto"/>
            </w:tcBorders>
            <w:shd w:val="clear" w:color="000000" w:fill="C4D79B"/>
            <w:noWrap/>
            <w:vAlign w:val="center"/>
          </w:tcPr>
          <w:p w14:paraId="7A078C5D"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150</w:t>
            </w:r>
          </w:p>
        </w:tc>
        <w:tc>
          <w:tcPr>
            <w:tcW w:w="1205" w:type="dxa"/>
            <w:tcBorders>
              <w:top w:val="nil"/>
              <w:left w:val="nil"/>
              <w:bottom w:val="single" w:sz="4" w:space="0" w:color="auto"/>
              <w:right w:val="single" w:sz="4" w:space="0" w:color="auto"/>
            </w:tcBorders>
            <w:shd w:val="clear" w:color="000000" w:fill="C4D79B"/>
            <w:noWrap/>
            <w:vAlign w:val="center"/>
          </w:tcPr>
          <w:p w14:paraId="0EA0B6F0"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450</w:t>
            </w:r>
          </w:p>
        </w:tc>
      </w:tr>
      <w:tr w:rsidR="00EA6B7A" w:rsidRPr="00814222" w14:paraId="4188AD3A"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2D03FC"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Apoyo a los delegados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79FEAA58"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39D9DCF8"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75FED841"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4CBB1E5D"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135</w:t>
            </w:r>
          </w:p>
        </w:tc>
      </w:tr>
      <w:tr w:rsidR="00EA6B7A" w:rsidRPr="00814222" w14:paraId="7C6629ED"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6A62F0"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1362550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3E63A33D"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0F7A2485"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5BD7AF1F"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30</w:t>
            </w:r>
          </w:p>
        </w:tc>
      </w:tr>
      <w:tr w:rsidR="00EA6B7A" w:rsidRPr="00814222" w14:paraId="4714EE1B"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66357FD"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Traducción en las 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5C337E84"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3E8986A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3CFFF323"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421F5537"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180</w:t>
            </w:r>
          </w:p>
        </w:tc>
      </w:tr>
      <w:tr w:rsidR="00EA6B7A" w:rsidRPr="00814222" w14:paraId="038C9EAC"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8FF5475"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Interpretación simultánea en las 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4657CD64"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316F5AB5"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17F7A261"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121D27CD"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105</w:t>
            </w:r>
          </w:p>
        </w:tc>
      </w:tr>
      <w:tr w:rsidR="00A66727" w:rsidRPr="00814222" w14:paraId="370DEA0B" w14:textId="77777777" w:rsidTr="0072349E">
        <w:tc>
          <w:tcPr>
            <w:tcW w:w="4962" w:type="dxa"/>
            <w:tcBorders>
              <w:top w:val="single" w:sz="4" w:space="0" w:color="auto"/>
              <w:bottom w:val="single" w:sz="4" w:space="0" w:color="auto"/>
            </w:tcBorders>
            <w:shd w:val="clear" w:color="auto" w:fill="auto"/>
            <w:noWrap/>
            <w:vAlign w:val="center"/>
          </w:tcPr>
          <w:p w14:paraId="297A478B" w14:textId="77777777" w:rsidR="00A66727" w:rsidRDefault="00A66727" w:rsidP="00E02DE1">
            <w:pPr>
              <w:ind w:left="0" w:firstLine="0"/>
              <w:rPr>
                <w:rFonts w:eastAsia="Times New Roman" w:cs="Arial"/>
                <w:noProof/>
                <w:sz w:val="20"/>
                <w:szCs w:val="20"/>
                <w:lang w:val="es-ES" w:eastAsia="en-GB"/>
              </w:rPr>
            </w:pPr>
          </w:p>
          <w:p w14:paraId="53175D16" w14:textId="77777777" w:rsidR="00A66727" w:rsidRPr="00814222" w:rsidRDefault="00A66727" w:rsidP="00E02DE1">
            <w:pPr>
              <w:ind w:left="0" w:firstLine="0"/>
              <w:rPr>
                <w:rFonts w:eastAsia="Times New Roman" w:cs="Arial"/>
                <w:noProof/>
                <w:sz w:val="20"/>
                <w:szCs w:val="20"/>
                <w:lang w:val="es-ES" w:eastAsia="en-GB"/>
              </w:rPr>
            </w:pPr>
          </w:p>
        </w:tc>
        <w:tc>
          <w:tcPr>
            <w:tcW w:w="1205" w:type="dxa"/>
            <w:tcBorders>
              <w:top w:val="single" w:sz="4" w:space="0" w:color="auto"/>
              <w:bottom w:val="single" w:sz="4" w:space="0" w:color="auto"/>
            </w:tcBorders>
            <w:shd w:val="clear" w:color="auto" w:fill="auto"/>
            <w:noWrap/>
            <w:vAlign w:val="center"/>
          </w:tcPr>
          <w:p w14:paraId="425AFAAC" w14:textId="77777777" w:rsidR="00A66727" w:rsidRPr="00814222" w:rsidRDefault="00A66727" w:rsidP="00E02DE1">
            <w:pPr>
              <w:ind w:left="0" w:firstLine="0"/>
              <w:jc w:val="right"/>
              <w:rPr>
                <w:rFonts w:asciiTheme="minorHAnsi" w:eastAsia="Times New Roman" w:hAnsiTheme="minorHAnsi" w:cs="Arial"/>
                <w:noProof/>
                <w:sz w:val="20"/>
                <w:szCs w:val="20"/>
                <w:lang w:val="es-ES" w:eastAsia="en-GB"/>
              </w:rPr>
            </w:pPr>
          </w:p>
        </w:tc>
        <w:tc>
          <w:tcPr>
            <w:tcW w:w="1205" w:type="dxa"/>
            <w:tcBorders>
              <w:top w:val="single" w:sz="4" w:space="0" w:color="auto"/>
              <w:bottom w:val="single" w:sz="4" w:space="0" w:color="auto"/>
            </w:tcBorders>
            <w:shd w:val="clear" w:color="auto" w:fill="auto"/>
            <w:noWrap/>
            <w:vAlign w:val="center"/>
          </w:tcPr>
          <w:p w14:paraId="374F5E9E" w14:textId="77777777" w:rsidR="00A66727" w:rsidRPr="00814222" w:rsidRDefault="00A66727" w:rsidP="00E02DE1">
            <w:pPr>
              <w:ind w:left="0" w:firstLine="0"/>
              <w:jc w:val="right"/>
              <w:rPr>
                <w:rFonts w:asciiTheme="minorHAnsi" w:eastAsia="Times New Roman" w:hAnsiTheme="minorHAnsi" w:cs="Arial"/>
                <w:noProof/>
                <w:sz w:val="20"/>
                <w:szCs w:val="20"/>
                <w:lang w:val="es-ES" w:eastAsia="en-GB"/>
              </w:rPr>
            </w:pPr>
          </w:p>
        </w:tc>
        <w:tc>
          <w:tcPr>
            <w:tcW w:w="1205" w:type="dxa"/>
            <w:tcBorders>
              <w:top w:val="single" w:sz="4" w:space="0" w:color="auto"/>
              <w:bottom w:val="single" w:sz="4" w:space="0" w:color="auto"/>
            </w:tcBorders>
            <w:shd w:val="clear" w:color="auto" w:fill="auto"/>
            <w:noWrap/>
            <w:vAlign w:val="center"/>
          </w:tcPr>
          <w:p w14:paraId="7AEDADD5" w14:textId="77777777" w:rsidR="00A66727" w:rsidRPr="00814222" w:rsidRDefault="00A66727" w:rsidP="00E02DE1">
            <w:pPr>
              <w:ind w:left="0" w:firstLine="0"/>
              <w:jc w:val="right"/>
              <w:rPr>
                <w:rFonts w:asciiTheme="minorHAnsi" w:eastAsia="Times New Roman" w:hAnsiTheme="minorHAnsi" w:cs="Arial"/>
                <w:noProof/>
                <w:color w:val="000000"/>
                <w:sz w:val="20"/>
                <w:szCs w:val="20"/>
                <w:lang w:val="es-ES" w:eastAsia="en-GB"/>
              </w:rPr>
            </w:pPr>
          </w:p>
        </w:tc>
        <w:tc>
          <w:tcPr>
            <w:tcW w:w="1205" w:type="dxa"/>
            <w:tcBorders>
              <w:top w:val="single" w:sz="4" w:space="0" w:color="auto"/>
              <w:bottom w:val="single" w:sz="4" w:space="0" w:color="auto"/>
            </w:tcBorders>
            <w:shd w:val="clear" w:color="auto" w:fill="auto"/>
            <w:noWrap/>
            <w:vAlign w:val="center"/>
          </w:tcPr>
          <w:p w14:paraId="0B32CDCD" w14:textId="77777777" w:rsidR="00A66727" w:rsidRPr="00814222" w:rsidRDefault="00A66727" w:rsidP="00E02DE1">
            <w:pPr>
              <w:ind w:left="0" w:firstLine="0"/>
              <w:jc w:val="right"/>
              <w:rPr>
                <w:rFonts w:asciiTheme="minorHAnsi" w:eastAsia="Times New Roman" w:hAnsiTheme="minorHAnsi" w:cs="Arial"/>
                <w:noProof/>
                <w:sz w:val="20"/>
                <w:szCs w:val="20"/>
                <w:lang w:val="es-ES" w:eastAsia="en-GB"/>
              </w:rPr>
            </w:pPr>
          </w:p>
        </w:tc>
      </w:tr>
      <w:tr w:rsidR="00EA6B7A" w:rsidRPr="00814222" w14:paraId="54CB85E2" w14:textId="77777777" w:rsidTr="0072349E">
        <w:tc>
          <w:tcPr>
            <w:tcW w:w="4962"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4AFCCA1"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eastAsia="Times New Roman" w:cs="Arial"/>
                <w:b/>
                <w:bCs/>
                <w:noProof/>
                <w:sz w:val="20"/>
                <w:szCs w:val="20"/>
                <w:lang w:val="es-ES" w:eastAsia="en-GB"/>
              </w:rPr>
              <w:lastRenderedPageBreak/>
              <w:t>I. Gastos por servicios administrativos de la UICN (máximo)</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274A1368"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541</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5FD74B3B"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541</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616DF717"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541</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52AD1355"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1.623</w:t>
            </w:r>
          </w:p>
        </w:tc>
      </w:tr>
      <w:tr w:rsidR="00EA6B7A" w:rsidRPr="00814222" w14:paraId="108C09F2"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DC1F6C"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 xml:space="preserve">Administración, RR.HH., finanzas y servicios de tecnologías de la información </w:t>
            </w:r>
          </w:p>
        </w:tc>
        <w:tc>
          <w:tcPr>
            <w:tcW w:w="1205" w:type="dxa"/>
            <w:tcBorders>
              <w:top w:val="nil"/>
              <w:left w:val="nil"/>
              <w:bottom w:val="single" w:sz="4" w:space="0" w:color="auto"/>
              <w:right w:val="single" w:sz="4" w:space="0" w:color="auto"/>
            </w:tcBorders>
            <w:shd w:val="clear" w:color="auto" w:fill="auto"/>
            <w:noWrap/>
            <w:vAlign w:val="center"/>
            <w:hideMark/>
          </w:tcPr>
          <w:p w14:paraId="7DAE306C"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1E84964C"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5F86AD36"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4CAFD505"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1.623</w:t>
            </w:r>
          </w:p>
        </w:tc>
      </w:tr>
      <w:tr w:rsidR="00EA6B7A" w:rsidRPr="00814222" w14:paraId="32F8222A" w14:textId="77777777" w:rsidTr="0072349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7663652" w14:textId="77777777" w:rsidR="00EA6B7A" w:rsidRPr="00814222" w:rsidRDefault="00EA6B7A" w:rsidP="00C627A0">
            <w:pPr>
              <w:ind w:left="0" w:firstLine="0"/>
              <w:rPr>
                <w:rFonts w:asciiTheme="minorHAnsi" w:eastAsia="Times New Roman" w:hAnsiTheme="minorHAnsi" w:cs="Arial"/>
                <w:b/>
                <w:bCs/>
                <w:noProof/>
                <w:sz w:val="20"/>
                <w:szCs w:val="20"/>
                <w:lang w:val="es-ES" w:eastAsia="en-GB"/>
              </w:rPr>
            </w:pPr>
            <w:r w:rsidRPr="00814222">
              <w:rPr>
                <w:rFonts w:eastAsia="Times New Roman" w:cs="Arial"/>
                <w:b/>
                <w:bCs/>
                <w:noProof/>
                <w:sz w:val="20"/>
                <w:szCs w:val="20"/>
                <w:lang w:val="es-ES" w:eastAsia="en-GB"/>
              </w:rPr>
              <w:t>J. Varios – Fondo de reserva</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573EC479"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109</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1E044A40"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109</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25A12922"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109</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32B3B373"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327</w:t>
            </w:r>
          </w:p>
        </w:tc>
      </w:tr>
      <w:tr w:rsidR="00EA6B7A" w:rsidRPr="00814222" w14:paraId="1AB00F4F"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tcPr>
          <w:p w14:paraId="7443617F" w14:textId="77777777" w:rsidR="00EA6B7A" w:rsidRPr="00814222" w:rsidRDefault="00EA6B7A" w:rsidP="00C627A0">
            <w:pPr>
              <w:ind w:left="0" w:firstLine="0"/>
              <w:rPr>
                <w:rFonts w:eastAsia="Times New Roman" w:cs="Arial"/>
                <w:noProof/>
                <w:sz w:val="20"/>
                <w:szCs w:val="20"/>
                <w:lang w:val="es-ES" w:eastAsia="en-GB"/>
              </w:rPr>
            </w:pPr>
            <w:r w:rsidRPr="00814222">
              <w:rPr>
                <w:rFonts w:eastAsia="Times New Roman" w:cs="Arial"/>
                <w:noProof/>
                <w:sz w:val="20"/>
                <w:szCs w:val="20"/>
                <w:lang w:val="es-ES" w:eastAsia="en-GB"/>
              </w:rPr>
              <w:t>Provisiones para personal</w:t>
            </w:r>
          </w:p>
        </w:tc>
        <w:tc>
          <w:tcPr>
            <w:tcW w:w="1205" w:type="dxa"/>
            <w:tcBorders>
              <w:top w:val="nil"/>
              <w:left w:val="nil"/>
              <w:bottom w:val="single" w:sz="4" w:space="0" w:color="auto"/>
              <w:right w:val="single" w:sz="4" w:space="0" w:color="auto"/>
            </w:tcBorders>
            <w:shd w:val="clear" w:color="auto" w:fill="auto"/>
            <w:noWrap/>
            <w:vAlign w:val="center"/>
          </w:tcPr>
          <w:p w14:paraId="580046D6"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tcPr>
          <w:p w14:paraId="1DAA69C5"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tcPr>
          <w:p w14:paraId="2DA85EDE"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tcPr>
          <w:p w14:paraId="2F4C3C3F"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60</w:t>
            </w:r>
          </w:p>
        </w:tc>
      </w:tr>
      <w:tr w:rsidR="00EA6B7A" w:rsidRPr="00814222" w14:paraId="4DB0B186"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F481C0B"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Provisiones para contribuciones pendientes</w:t>
            </w:r>
          </w:p>
        </w:tc>
        <w:tc>
          <w:tcPr>
            <w:tcW w:w="1205" w:type="dxa"/>
            <w:tcBorders>
              <w:top w:val="nil"/>
              <w:left w:val="nil"/>
              <w:bottom w:val="single" w:sz="4" w:space="0" w:color="auto"/>
              <w:right w:val="single" w:sz="4" w:space="0" w:color="auto"/>
            </w:tcBorders>
            <w:shd w:val="clear" w:color="auto" w:fill="auto"/>
            <w:noWrap/>
            <w:vAlign w:val="center"/>
            <w:hideMark/>
          </w:tcPr>
          <w:p w14:paraId="3C68C3BD"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A29F950"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574E28C2"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6C7E8B3E"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90</w:t>
            </w:r>
          </w:p>
        </w:tc>
      </w:tr>
      <w:tr w:rsidR="00EA6B7A" w:rsidRPr="00814222" w14:paraId="20716986" w14:textId="77777777" w:rsidTr="0072349E">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0E974005" w14:textId="77777777" w:rsidR="00EA6B7A" w:rsidRPr="00814222" w:rsidRDefault="00EA6B7A" w:rsidP="00C627A0">
            <w:pPr>
              <w:ind w:left="0" w:firstLine="0"/>
              <w:rPr>
                <w:rFonts w:asciiTheme="minorHAnsi" w:eastAsia="Times New Roman" w:hAnsiTheme="minorHAnsi" w:cs="Arial"/>
                <w:noProof/>
                <w:sz w:val="20"/>
                <w:szCs w:val="20"/>
                <w:lang w:val="es-ES" w:eastAsia="en-GB"/>
              </w:rPr>
            </w:pPr>
            <w:r w:rsidRPr="00814222">
              <w:rPr>
                <w:rFonts w:eastAsia="Times New Roman" w:cs="Arial"/>
                <w:noProof/>
                <w:sz w:val="20"/>
                <w:szCs w:val="20"/>
                <w:lang w:val="es-ES" w:eastAsia="en-GB"/>
              </w:rPr>
              <w:t>Servicios jurídicos</w:t>
            </w:r>
          </w:p>
        </w:tc>
        <w:tc>
          <w:tcPr>
            <w:tcW w:w="1205" w:type="dxa"/>
            <w:tcBorders>
              <w:top w:val="nil"/>
              <w:left w:val="nil"/>
              <w:bottom w:val="single" w:sz="4" w:space="0" w:color="auto"/>
              <w:right w:val="single" w:sz="4" w:space="0" w:color="auto"/>
            </w:tcBorders>
            <w:shd w:val="clear" w:color="auto" w:fill="auto"/>
            <w:noWrap/>
            <w:vAlign w:val="center"/>
            <w:hideMark/>
          </w:tcPr>
          <w:p w14:paraId="5B7FA73A"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59</w:t>
            </w:r>
          </w:p>
        </w:tc>
        <w:tc>
          <w:tcPr>
            <w:tcW w:w="1205" w:type="dxa"/>
            <w:tcBorders>
              <w:top w:val="nil"/>
              <w:left w:val="nil"/>
              <w:bottom w:val="single" w:sz="4" w:space="0" w:color="auto"/>
              <w:right w:val="single" w:sz="4" w:space="0" w:color="auto"/>
            </w:tcBorders>
            <w:shd w:val="clear" w:color="auto" w:fill="auto"/>
            <w:noWrap/>
            <w:vAlign w:val="center"/>
            <w:hideMark/>
          </w:tcPr>
          <w:p w14:paraId="4B3F4ABD"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59</w:t>
            </w:r>
          </w:p>
        </w:tc>
        <w:tc>
          <w:tcPr>
            <w:tcW w:w="1205" w:type="dxa"/>
            <w:tcBorders>
              <w:top w:val="single" w:sz="4" w:space="0" w:color="auto"/>
              <w:left w:val="nil"/>
              <w:bottom w:val="nil"/>
              <w:right w:val="single" w:sz="4" w:space="0" w:color="auto"/>
            </w:tcBorders>
            <w:shd w:val="clear" w:color="auto" w:fill="auto"/>
            <w:noWrap/>
            <w:vAlign w:val="center"/>
            <w:hideMark/>
          </w:tcPr>
          <w:p w14:paraId="5623195D" w14:textId="77777777" w:rsidR="00EA6B7A" w:rsidRPr="00814222" w:rsidRDefault="00EA6B7A" w:rsidP="00C627A0">
            <w:pPr>
              <w:ind w:left="0" w:firstLine="0"/>
              <w:jc w:val="right"/>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59</w:t>
            </w:r>
          </w:p>
        </w:tc>
        <w:tc>
          <w:tcPr>
            <w:tcW w:w="1205" w:type="dxa"/>
            <w:tcBorders>
              <w:top w:val="nil"/>
              <w:left w:val="nil"/>
              <w:bottom w:val="single" w:sz="4" w:space="0" w:color="auto"/>
              <w:right w:val="single" w:sz="4" w:space="0" w:color="auto"/>
            </w:tcBorders>
            <w:shd w:val="clear" w:color="auto" w:fill="auto"/>
            <w:noWrap/>
            <w:vAlign w:val="center"/>
            <w:hideMark/>
          </w:tcPr>
          <w:p w14:paraId="1B90E36C" w14:textId="77777777" w:rsidR="00EA6B7A" w:rsidRPr="00814222" w:rsidRDefault="00EA6B7A" w:rsidP="00C627A0">
            <w:pPr>
              <w:ind w:left="0" w:firstLine="0"/>
              <w:jc w:val="right"/>
              <w:rPr>
                <w:rFonts w:asciiTheme="minorHAnsi" w:eastAsia="Times New Roman" w:hAnsiTheme="minorHAnsi" w:cs="Arial"/>
                <w:noProof/>
                <w:sz w:val="20"/>
                <w:szCs w:val="20"/>
                <w:lang w:val="es-ES" w:eastAsia="en-GB"/>
              </w:rPr>
            </w:pPr>
            <w:r w:rsidRPr="00814222">
              <w:rPr>
                <w:rFonts w:asciiTheme="minorHAnsi" w:eastAsia="Times New Roman" w:hAnsiTheme="minorHAnsi" w:cs="Arial"/>
                <w:noProof/>
                <w:sz w:val="20"/>
                <w:szCs w:val="20"/>
                <w:lang w:val="es-ES" w:eastAsia="en-GB"/>
              </w:rPr>
              <w:t>177</w:t>
            </w:r>
          </w:p>
        </w:tc>
      </w:tr>
      <w:tr w:rsidR="00EA6B7A" w:rsidRPr="00814222" w14:paraId="05710B9D" w14:textId="77777777" w:rsidTr="0072349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9E9F181" w14:textId="77777777" w:rsidR="00EA6B7A" w:rsidRPr="00814222" w:rsidRDefault="00EA6B7A" w:rsidP="00C627A0">
            <w:pPr>
              <w:ind w:left="0" w:firstLine="0"/>
              <w:rPr>
                <w:rFonts w:asciiTheme="minorHAnsi" w:eastAsia="Times New Roman" w:hAnsiTheme="minorHAnsi" w:cs="Arial"/>
                <w:b/>
                <w:bCs/>
                <w:noProof/>
                <w:color w:val="1F497D"/>
                <w:sz w:val="20"/>
                <w:szCs w:val="20"/>
                <w:lang w:val="es-ES" w:eastAsia="en-GB"/>
              </w:rPr>
            </w:pPr>
            <w:r w:rsidRPr="00814222">
              <w:rPr>
                <w:rFonts w:asciiTheme="minorHAnsi" w:eastAsia="Times New Roman" w:hAnsiTheme="minorHAnsi" w:cs="Arial"/>
                <w:b/>
                <w:bCs/>
                <w:noProof/>
                <w:color w:val="1F497D"/>
                <w:sz w:val="20"/>
                <w:szCs w:val="20"/>
                <w:lang w:val="es-ES" w:eastAsia="en-GB"/>
              </w:rPr>
              <w:t>TOTAL DE GASTOS</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5EE2A1B3"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5 081</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376246F0"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5 081</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50484924"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5 081</w:t>
            </w:r>
          </w:p>
        </w:tc>
        <w:tc>
          <w:tcPr>
            <w:tcW w:w="1205" w:type="dxa"/>
            <w:tcBorders>
              <w:top w:val="nil"/>
              <w:left w:val="nil"/>
              <w:bottom w:val="single" w:sz="4" w:space="0" w:color="auto"/>
              <w:right w:val="single" w:sz="4" w:space="0" w:color="auto"/>
            </w:tcBorders>
            <w:shd w:val="clear" w:color="000000" w:fill="C4D79B"/>
            <w:noWrap/>
            <w:vAlign w:val="center"/>
            <w:hideMark/>
          </w:tcPr>
          <w:p w14:paraId="002ACFC3" w14:textId="77777777" w:rsidR="00EA6B7A" w:rsidRPr="00814222"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814222">
              <w:rPr>
                <w:rFonts w:asciiTheme="minorHAnsi" w:eastAsia="Times New Roman" w:hAnsiTheme="minorHAnsi" w:cs="Arial"/>
                <w:b/>
                <w:bCs/>
                <w:noProof/>
                <w:color w:val="000000"/>
                <w:sz w:val="20"/>
                <w:szCs w:val="20"/>
                <w:lang w:val="es-ES" w:eastAsia="en-GB"/>
              </w:rPr>
              <w:t>15 243</w:t>
            </w:r>
          </w:p>
        </w:tc>
      </w:tr>
    </w:tbl>
    <w:p w14:paraId="7091B740" w14:textId="77777777" w:rsidR="00814222" w:rsidRDefault="00814222" w:rsidP="00814222">
      <w:pPr>
        <w:ind w:left="0" w:firstLine="0"/>
        <w:rPr>
          <w:rFonts w:cs="Arial"/>
          <w:b/>
          <w:noProof/>
          <w:lang w:val="es-ES"/>
        </w:rPr>
      </w:pPr>
    </w:p>
    <w:p w14:paraId="0CC0BD43" w14:textId="77777777" w:rsidR="0072349E" w:rsidRDefault="0072349E">
      <w:pPr>
        <w:rPr>
          <w:rFonts w:cs="Arial"/>
          <w:b/>
          <w:noProof/>
          <w:lang w:val="es-ES"/>
        </w:rPr>
      </w:pPr>
      <w:r>
        <w:rPr>
          <w:rFonts w:cs="Arial"/>
          <w:b/>
          <w:noProof/>
          <w:lang w:val="es-ES"/>
        </w:rPr>
        <w:br w:type="page"/>
      </w:r>
    </w:p>
    <w:p w14:paraId="47DD3599" w14:textId="22F42F21" w:rsidR="00EA6B7A" w:rsidRPr="00814222" w:rsidRDefault="00EA6B7A" w:rsidP="00814222">
      <w:pPr>
        <w:ind w:left="0" w:firstLine="0"/>
        <w:rPr>
          <w:rFonts w:cs="Arial"/>
          <w:b/>
          <w:noProof/>
          <w:lang w:val="es-ES"/>
        </w:rPr>
      </w:pPr>
      <w:r w:rsidRPr="00814222">
        <w:rPr>
          <w:rFonts w:cs="Arial"/>
          <w:b/>
          <w:noProof/>
          <w:lang w:val="es-ES"/>
        </w:rPr>
        <w:lastRenderedPageBreak/>
        <w:t>Escenario B, incremento del 2,8 % respecto del trienio 2019-2021</w:t>
      </w:r>
    </w:p>
    <w:tbl>
      <w:tblPr>
        <w:tblW w:w="9782" w:type="dxa"/>
        <w:tblInd w:w="-431" w:type="dxa"/>
        <w:tblLayout w:type="fixed"/>
        <w:tblCellMar>
          <w:left w:w="57" w:type="dxa"/>
          <w:right w:w="57" w:type="dxa"/>
        </w:tblCellMar>
        <w:tblLook w:val="04A0" w:firstRow="1" w:lastRow="0" w:firstColumn="1" w:lastColumn="0" w:noHBand="0" w:noVBand="1"/>
      </w:tblPr>
      <w:tblGrid>
        <w:gridCol w:w="4962"/>
        <w:gridCol w:w="1205"/>
        <w:gridCol w:w="1205"/>
        <w:gridCol w:w="1205"/>
        <w:gridCol w:w="1205"/>
      </w:tblGrid>
      <w:tr w:rsidR="00EA6B7A" w:rsidRPr="0072349E" w14:paraId="2C0C5F32" w14:textId="77777777" w:rsidTr="0072349E">
        <w:trPr>
          <w:trHeight w:val="913"/>
        </w:trPr>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341CEE0D" w14:textId="77777777" w:rsidR="003A48FF" w:rsidRPr="0072349E" w:rsidRDefault="003A48FF" w:rsidP="003A48FF">
            <w:pPr>
              <w:ind w:left="0" w:firstLine="0"/>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 xml:space="preserve">Presupuesto de Ramsar propuesto para 2023-2025   </w:t>
            </w:r>
          </w:p>
          <w:p w14:paraId="10CEADE1" w14:textId="54E52D82" w:rsidR="00EA6B7A" w:rsidRPr="0072349E" w:rsidRDefault="003A48FF" w:rsidP="003A48FF">
            <w:pPr>
              <w:ind w:left="0" w:firstLine="0"/>
              <w:rPr>
                <w:rFonts w:eastAsia="Times New Roman"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en miles de francos suizos</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63F158D1" w14:textId="77777777" w:rsidR="00EA6B7A" w:rsidRPr="0072349E"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Presupuesto 2023</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3CE94017" w14:textId="77777777" w:rsidR="00EA6B7A" w:rsidRPr="0072349E"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 xml:space="preserve">Presupuesto </w:t>
            </w:r>
          </w:p>
          <w:p w14:paraId="5B4C76FD" w14:textId="77777777" w:rsidR="00EA6B7A" w:rsidRPr="0072349E"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2024</w:t>
            </w:r>
            <w:r w:rsidRPr="0072349E">
              <w:rPr>
                <w:rFonts w:asciiTheme="minorHAnsi" w:eastAsia="Times New Roman" w:hAnsiTheme="minorHAnsi" w:cs="Arial"/>
                <w:noProof/>
                <w:color w:val="1F497D"/>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1F7DB070" w14:textId="77777777" w:rsidR="00EA6B7A" w:rsidRPr="0072349E"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Presupuesto 2025 </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33E67B13" w14:textId="77777777" w:rsidR="00EA6B7A" w:rsidRPr="0072349E" w:rsidRDefault="00EA6B7A" w:rsidP="00C627A0">
            <w:pPr>
              <w:ind w:left="0" w:firstLine="0"/>
              <w:jc w:val="center"/>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Total Presupuesto 2023–2025</w:t>
            </w:r>
          </w:p>
        </w:tc>
      </w:tr>
      <w:tr w:rsidR="00EA6B7A" w:rsidRPr="0072349E" w14:paraId="62B3BEC0" w14:textId="77777777" w:rsidTr="0072349E">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CC17" w14:textId="77777777" w:rsidR="00EA6B7A" w:rsidRPr="0072349E" w:rsidRDefault="00EA6B7A" w:rsidP="00C627A0">
            <w:pPr>
              <w:ind w:left="0" w:firstLine="0"/>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INGRESOS</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D1E80C6"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63EED7D"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729D225"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A6F80FA"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 </w:t>
            </w:r>
          </w:p>
        </w:tc>
      </w:tr>
      <w:tr w:rsidR="00EA6B7A" w:rsidRPr="0072349E" w14:paraId="145953D6"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4A9B3FA" w14:textId="77777777" w:rsidR="00EA6B7A" w:rsidRPr="0072349E" w:rsidRDefault="00EA6B7A" w:rsidP="00C627A0">
            <w:pPr>
              <w:ind w:left="0" w:firstLine="0"/>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sz w:val="20"/>
                <w:szCs w:val="20"/>
                <w:lang w:val="es-ES" w:eastAsia="en-GB"/>
              </w:rPr>
              <w:t>Contribuciones de las Partes</w:t>
            </w:r>
          </w:p>
        </w:tc>
        <w:tc>
          <w:tcPr>
            <w:tcW w:w="1205" w:type="dxa"/>
            <w:tcBorders>
              <w:top w:val="nil"/>
              <w:left w:val="nil"/>
              <w:bottom w:val="single" w:sz="4" w:space="0" w:color="auto"/>
              <w:right w:val="single" w:sz="4" w:space="0" w:color="auto"/>
            </w:tcBorders>
            <w:shd w:val="clear" w:color="auto" w:fill="auto"/>
            <w:noWrap/>
            <w:vAlign w:val="center"/>
            <w:hideMark/>
          </w:tcPr>
          <w:p w14:paraId="1D6A4AB3"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3 878</w:t>
            </w:r>
          </w:p>
        </w:tc>
        <w:tc>
          <w:tcPr>
            <w:tcW w:w="1205" w:type="dxa"/>
            <w:tcBorders>
              <w:top w:val="nil"/>
              <w:left w:val="nil"/>
              <w:bottom w:val="single" w:sz="4" w:space="0" w:color="auto"/>
              <w:right w:val="single" w:sz="4" w:space="0" w:color="auto"/>
            </w:tcBorders>
            <w:shd w:val="clear" w:color="auto" w:fill="auto"/>
            <w:noWrap/>
            <w:vAlign w:val="center"/>
            <w:hideMark/>
          </w:tcPr>
          <w:p w14:paraId="11C07671"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3 878</w:t>
            </w:r>
          </w:p>
        </w:tc>
        <w:tc>
          <w:tcPr>
            <w:tcW w:w="1205" w:type="dxa"/>
            <w:tcBorders>
              <w:top w:val="nil"/>
              <w:left w:val="nil"/>
              <w:bottom w:val="single" w:sz="4" w:space="0" w:color="auto"/>
              <w:right w:val="single" w:sz="4" w:space="0" w:color="auto"/>
            </w:tcBorders>
            <w:shd w:val="clear" w:color="auto" w:fill="auto"/>
            <w:noWrap/>
            <w:vAlign w:val="center"/>
            <w:hideMark/>
          </w:tcPr>
          <w:p w14:paraId="1F8C967C" w14:textId="77777777" w:rsidR="00EA6B7A" w:rsidRPr="0072349E" w:rsidRDefault="00EA6B7A" w:rsidP="00C627A0">
            <w:pPr>
              <w:ind w:left="0" w:firstLine="0"/>
              <w:jc w:val="right"/>
              <w:rPr>
                <w:rFonts w:eastAsia="Times New Roman" w:cs="Arial"/>
                <w:noProof/>
                <w:color w:val="000000"/>
                <w:sz w:val="20"/>
                <w:szCs w:val="20"/>
                <w:lang w:val="es-ES" w:eastAsia="en-GB"/>
              </w:rPr>
            </w:pPr>
            <w:r w:rsidRPr="0072349E">
              <w:rPr>
                <w:rFonts w:eastAsia="Times New Roman" w:cs="Arial"/>
                <w:noProof/>
                <w:color w:val="000000"/>
                <w:sz w:val="20"/>
                <w:szCs w:val="20"/>
                <w:lang w:val="es-ES" w:eastAsia="en-GB"/>
              </w:rPr>
              <w:t>3 878</w:t>
            </w:r>
          </w:p>
        </w:tc>
        <w:tc>
          <w:tcPr>
            <w:tcW w:w="1205" w:type="dxa"/>
            <w:tcBorders>
              <w:top w:val="nil"/>
              <w:left w:val="nil"/>
              <w:bottom w:val="single" w:sz="4" w:space="0" w:color="auto"/>
              <w:right w:val="single" w:sz="4" w:space="0" w:color="auto"/>
            </w:tcBorders>
            <w:shd w:val="clear" w:color="auto" w:fill="auto"/>
            <w:noWrap/>
            <w:vAlign w:val="center"/>
            <w:hideMark/>
          </w:tcPr>
          <w:p w14:paraId="6F75C6D2"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11 634</w:t>
            </w:r>
          </w:p>
        </w:tc>
      </w:tr>
      <w:tr w:rsidR="00EA6B7A" w:rsidRPr="0072349E" w14:paraId="3B2E73CB"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1F201CC" w14:textId="77777777" w:rsidR="00EA6B7A" w:rsidRPr="0072349E" w:rsidRDefault="00EA6B7A" w:rsidP="00C627A0">
            <w:pPr>
              <w:ind w:left="0" w:firstLine="0"/>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sz w:val="20"/>
                <w:szCs w:val="20"/>
                <w:lang w:val="es-ES" w:eastAsia="en-GB"/>
              </w:rPr>
              <w:t>Contribuciones voluntarias</w:t>
            </w:r>
          </w:p>
        </w:tc>
        <w:tc>
          <w:tcPr>
            <w:tcW w:w="1205" w:type="dxa"/>
            <w:tcBorders>
              <w:top w:val="nil"/>
              <w:left w:val="nil"/>
              <w:bottom w:val="single" w:sz="4" w:space="0" w:color="auto"/>
              <w:right w:val="single" w:sz="4" w:space="0" w:color="auto"/>
            </w:tcBorders>
            <w:shd w:val="clear" w:color="auto" w:fill="auto"/>
            <w:noWrap/>
            <w:vAlign w:val="center"/>
            <w:hideMark/>
          </w:tcPr>
          <w:p w14:paraId="7C3BCCC4"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1 094</w:t>
            </w:r>
          </w:p>
        </w:tc>
        <w:tc>
          <w:tcPr>
            <w:tcW w:w="1205" w:type="dxa"/>
            <w:tcBorders>
              <w:top w:val="nil"/>
              <w:left w:val="nil"/>
              <w:bottom w:val="single" w:sz="4" w:space="0" w:color="auto"/>
              <w:right w:val="single" w:sz="4" w:space="0" w:color="auto"/>
            </w:tcBorders>
            <w:shd w:val="clear" w:color="auto" w:fill="auto"/>
            <w:noWrap/>
            <w:vAlign w:val="center"/>
            <w:hideMark/>
          </w:tcPr>
          <w:p w14:paraId="1D2B7D5B"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1 094</w:t>
            </w:r>
          </w:p>
        </w:tc>
        <w:tc>
          <w:tcPr>
            <w:tcW w:w="1205" w:type="dxa"/>
            <w:tcBorders>
              <w:top w:val="nil"/>
              <w:left w:val="nil"/>
              <w:bottom w:val="single" w:sz="4" w:space="0" w:color="auto"/>
              <w:right w:val="single" w:sz="4" w:space="0" w:color="auto"/>
            </w:tcBorders>
            <w:shd w:val="clear" w:color="auto" w:fill="auto"/>
            <w:noWrap/>
            <w:vAlign w:val="center"/>
            <w:hideMark/>
          </w:tcPr>
          <w:p w14:paraId="2874D32B" w14:textId="77777777" w:rsidR="00EA6B7A" w:rsidRPr="0072349E" w:rsidRDefault="00EA6B7A" w:rsidP="00C627A0">
            <w:pPr>
              <w:ind w:left="0" w:firstLine="0"/>
              <w:jc w:val="right"/>
              <w:rPr>
                <w:rFonts w:eastAsia="Times New Roman" w:cs="Arial"/>
                <w:noProof/>
                <w:color w:val="000000"/>
                <w:sz w:val="20"/>
                <w:szCs w:val="20"/>
                <w:lang w:val="es-ES" w:eastAsia="en-GB"/>
              </w:rPr>
            </w:pPr>
            <w:r w:rsidRPr="0072349E">
              <w:rPr>
                <w:rFonts w:eastAsia="Times New Roman" w:cs="Arial"/>
                <w:noProof/>
                <w:color w:val="000000"/>
                <w:sz w:val="20"/>
                <w:szCs w:val="20"/>
                <w:lang w:val="es-ES" w:eastAsia="en-GB"/>
              </w:rPr>
              <w:t>1 094</w:t>
            </w:r>
          </w:p>
        </w:tc>
        <w:tc>
          <w:tcPr>
            <w:tcW w:w="1205" w:type="dxa"/>
            <w:tcBorders>
              <w:top w:val="nil"/>
              <w:left w:val="nil"/>
              <w:bottom w:val="single" w:sz="4" w:space="0" w:color="auto"/>
              <w:right w:val="single" w:sz="4" w:space="0" w:color="auto"/>
            </w:tcBorders>
            <w:shd w:val="clear" w:color="auto" w:fill="auto"/>
            <w:noWrap/>
            <w:vAlign w:val="center"/>
            <w:hideMark/>
          </w:tcPr>
          <w:p w14:paraId="24D5DA8F"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3 282</w:t>
            </w:r>
          </w:p>
        </w:tc>
      </w:tr>
      <w:tr w:rsidR="00EA6B7A" w:rsidRPr="0072349E" w14:paraId="32966BA0"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D1668" w14:textId="77777777" w:rsidR="00EA6B7A" w:rsidRPr="0072349E" w:rsidRDefault="00EA6B7A" w:rsidP="00C627A0">
            <w:pPr>
              <w:ind w:left="0" w:firstLine="0"/>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sz w:val="20"/>
                <w:szCs w:val="20"/>
                <w:lang w:val="es-ES" w:eastAsia="en-GB"/>
              </w:rPr>
              <w:t>Impuesto sobre la renta</w:t>
            </w:r>
          </w:p>
        </w:tc>
        <w:tc>
          <w:tcPr>
            <w:tcW w:w="1205" w:type="dxa"/>
            <w:tcBorders>
              <w:top w:val="nil"/>
              <w:left w:val="nil"/>
              <w:bottom w:val="single" w:sz="4" w:space="0" w:color="auto"/>
              <w:right w:val="single" w:sz="4" w:space="0" w:color="auto"/>
            </w:tcBorders>
            <w:shd w:val="clear" w:color="auto" w:fill="auto"/>
            <w:noWrap/>
            <w:vAlign w:val="center"/>
            <w:hideMark/>
          </w:tcPr>
          <w:p w14:paraId="76F13738"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243</w:t>
            </w:r>
          </w:p>
        </w:tc>
        <w:tc>
          <w:tcPr>
            <w:tcW w:w="1205" w:type="dxa"/>
            <w:tcBorders>
              <w:top w:val="nil"/>
              <w:left w:val="nil"/>
              <w:bottom w:val="single" w:sz="4" w:space="0" w:color="auto"/>
              <w:right w:val="single" w:sz="4" w:space="0" w:color="auto"/>
            </w:tcBorders>
            <w:shd w:val="clear" w:color="auto" w:fill="auto"/>
            <w:noWrap/>
            <w:vAlign w:val="center"/>
            <w:hideMark/>
          </w:tcPr>
          <w:p w14:paraId="1EE05C54"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243</w:t>
            </w:r>
          </w:p>
        </w:tc>
        <w:tc>
          <w:tcPr>
            <w:tcW w:w="1205" w:type="dxa"/>
            <w:tcBorders>
              <w:top w:val="nil"/>
              <w:left w:val="nil"/>
              <w:bottom w:val="single" w:sz="4" w:space="0" w:color="auto"/>
              <w:right w:val="single" w:sz="4" w:space="0" w:color="auto"/>
            </w:tcBorders>
            <w:shd w:val="clear" w:color="auto" w:fill="auto"/>
            <w:noWrap/>
            <w:vAlign w:val="center"/>
            <w:hideMark/>
          </w:tcPr>
          <w:p w14:paraId="2042C37B" w14:textId="77777777" w:rsidR="00EA6B7A" w:rsidRPr="0072349E" w:rsidRDefault="00EA6B7A" w:rsidP="00C627A0">
            <w:pPr>
              <w:ind w:left="0" w:firstLine="0"/>
              <w:jc w:val="right"/>
              <w:rPr>
                <w:rFonts w:eastAsia="Times New Roman" w:cs="Arial"/>
                <w:noProof/>
                <w:color w:val="000000"/>
                <w:sz w:val="20"/>
                <w:szCs w:val="20"/>
                <w:lang w:val="es-ES" w:eastAsia="en-GB"/>
              </w:rPr>
            </w:pPr>
            <w:r w:rsidRPr="0072349E">
              <w:rPr>
                <w:rFonts w:eastAsia="Times New Roman" w:cs="Arial"/>
                <w:noProof/>
                <w:color w:val="000000"/>
                <w:sz w:val="20"/>
                <w:szCs w:val="20"/>
                <w:lang w:val="es-ES" w:eastAsia="en-GB"/>
              </w:rPr>
              <w:t>243</w:t>
            </w:r>
          </w:p>
        </w:tc>
        <w:tc>
          <w:tcPr>
            <w:tcW w:w="1205" w:type="dxa"/>
            <w:tcBorders>
              <w:top w:val="nil"/>
              <w:left w:val="nil"/>
              <w:bottom w:val="single" w:sz="4" w:space="0" w:color="auto"/>
              <w:right w:val="single" w:sz="4" w:space="0" w:color="auto"/>
            </w:tcBorders>
            <w:shd w:val="clear" w:color="auto" w:fill="auto"/>
            <w:noWrap/>
            <w:vAlign w:val="center"/>
            <w:hideMark/>
          </w:tcPr>
          <w:p w14:paraId="3C520BAB"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729</w:t>
            </w:r>
          </w:p>
        </w:tc>
      </w:tr>
      <w:tr w:rsidR="00EA6B7A" w:rsidRPr="0072349E" w14:paraId="2A2D1CC7" w14:textId="77777777" w:rsidTr="0072349E">
        <w:tc>
          <w:tcPr>
            <w:tcW w:w="4962" w:type="dxa"/>
            <w:tcBorders>
              <w:top w:val="nil"/>
              <w:left w:val="single" w:sz="4" w:space="0" w:color="auto"/>
              <w:bottom w:val="nil"/>
              <w:right w:val="single" w:sz="4" w:space="0" w:color="auto"/>
            </w:tcBorders>
            <w:shd w:val="clear" w:color="auto" w:fill="auto"/>
            <w:noWrap/>
            <w:vAlign w:val="center"/>
            <w:hideMark/>
          </w:tcPr>
          <w:p w14:paraId="4FAB9E0F" w14:textId="77777777" w:rsidR="00EA6B7A" w:rsidRPr="0072349E" w:rsidRDefault="00EA6B7A" w:rsidP="00C627A0">
            <w:pPr>
              <w:ind w:left="0" w:firstLine="0"/>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sz w:val="20"/>
                <w:szCs w:val="20"/>
                <w:lang w:val="es-ES" w:eastAsia="en-GB"/>
              </w:rPr>
              <w:t>Ingresos por intereses</w:t>
            </w:r>
          </w:p>
        </w:tc>
        <w:tc>
          <w:tcPr>
            <w:tcW w:w="1205" w:type="dxa"/>
            <w:tcBorders>
              <w:top w:val="nil"/>
              <w:left w:val="nil"/>
              <w:bottom w:val="single" w:sz="4" w:space="0" w:color="auto"/>
              <w:right w:val="single" w:sz="4" w:space="0" w:color="auto"/>
            </w:tcBorders>
            <w:shd w:val="clear" w:color="auto" w:fill="auto"/>
            <w:noWrap/>
            <w:vAlign w:val="center"/>
            <w:hideMark/>
          </w:tcPr>
          <w:p w14:paraId="05DB837D"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51500450"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05C249DB" w14:textId="77777777" w:rsidR="00EA6B7A" w:rsidRPr="0072349E" w:rsidRDefault="00EA6B7A" w:rsidP="00C627A0">
            <w:pPr>
              <w:ind w:left="0" w:firstLine="0"/>
              <w:jc w:val="right"/>
              <w:rPr>
                <w:rFonts w:eastAsia="Times New Roman" w:cs="Arial"/>
                <w:noProof/>
                <w:color w:val="000000"/>
                <w:sz w:val="20"/>
                <w:szCs w:val="20"/>
                <w:lang w:val="es-ES" w:eastAsia="en-GB"/>
              </w:rPr>
            </w:pPr>
            <w:r w:rsidRPr="0072349E">
              <w:rPr>
                <w:rFonts w:eastAsia="Times New Roman" w:cs="Arial"/>
                <w:noProof/>
                <w:color w:val="000000"/>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09981367"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36</w:t>
            </w:r>
          </w:p>
        </w:tc>
      </w:tr>
      <w:tr w:rsidR="00EA6B7A" w:rsidRPr="0072349E" w14:paraId="2AAC1668" w14:textId="77777777" w:rsidTr="0072349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B5C747" w14:textId="77777777" w:rsidR="00EA6B7A" w:rsidRPr="0072349E" w:rsidRDefault="00EA6B7A" w:rsidP="00C627A0">
            <w:pPr>
              <w:ind w:left="0" w:firstLine="0"/>
              <w:rPr>
                <w:rFonts w:asciiTheme="minorHAnsi" w:eastAsia="Times New Roman" w:hAnsiTheme="minorHAnsi" w:cs="Arial"/>
                <w:b/>
                <w:bCs/>
                <w:noProof/>
                <w:color w:val="1F497D"/>
                <w:sz w:val="20"/>
                <w:szCs w:val="20"/>
                <w:lang w:val="es-ES" w:eastAsia="en-GB"/>
              </w:rPr>
            </w:pPr>
            <w:r w:rsidRPr="0072349E">
              <w:rPr>
                <w:rFonts w:eastAsia="Times New Roman" w:cs="Arial"/>
                <w:b/>
                <w:bCs/>
                <w:noProof/>
                <w:color w:val="1F497D"/>
                <w:sz w:val="20"/>
                <w:szCs w:val="20"/>
                <w:lang w:val="es-ES" w:eastAsia="en-GB"/>
              </w:rPr>
              <w:t>TOTAL DE INGRESOS</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1BAA9F20"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7BA7482B"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5B8886A4"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1FA22682"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15 681</w:t>
            </w:r>
          </w:p>
        </w:tc>
      </w:tr>
      <w:tr w:rsidR="00EA6B7A" w:rsidRPr="0072349E" w14:paraId="36426ACE" w14:textId="77777777" w:rsidTr="0072349E">
        <w:trPr>
          <w:trHeight w:val="389"/>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6E44AB5" w14:textId="77777777" w:rsidR="00EA6B7A" w:rsidRPr="0072349E" w:rsidRDefault="00EA6B7A" w:rsidP="00C627A0">
            <w:pPr>
              <w:ind w:left="0" w:firstLine="0"/>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GASTOS</w:t>
            </w:r>
          </w:p>
        </w:tc>
        <w:tc>
          <w:tcPr>
            <w:tcW w:w="1205" w:type="dxa"/>
            <w:tcBorders>
              <w:top w:val="nil"/>
              <w:left w:val="nil"/>
              <w:bottom w:val="single" w:sz="4" w:space="0" w:color="auto"/>
              <w:right w:val="single" w:sz="4" w:space="0" w:color="auto"/>
            </w:tcBorders>
            <w:shd w:val="clear" w:color="auto" w:fill="auto"/>
            <w:noWrap/>
            <w:vAlign w:val="bottom"/>
            <w:hideMark/>
          </w:tcPr>
          <w:p w14:paraId="1F12BAB4" w14:textId="77777777" w:rsidR="00EA6B7A" w:rsidRPr="0072349E" w:rsidRDefault="00EA6B7A" w:rsidP="00C627A0">
            <w:pPr>
              <w:ind w:left="0" w:firstLine="0"/>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2C9140AB" w14:textId="77777777" w:rsidR="00EA6B7A" w:rsidRPr="0072349E" w:rsidRDefault="00EA6B7A" w:rsidP="00C627A0">
            <w:pPr>
              <w:ind w:left="0" w:firstLine="0"/>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5B6A9937" w14:textId="77777777" w:rsidR="00EA6B7A" w:rsidRPr="0072349E" w:rsidRDefault="00EA6B7A" w:rsidP="00C627A0">
            <w:pPr>
              <w:ind w:left="0" w:firstLine="0"/>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2384BC8E"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asciiTheme="minorHAnsi" w:eastAsia="Times New Roman" w:hAnsiTheme="minorHAnsi" w:cs="Arial"/>
                <w:b/>
                <w:bCs/>
                <w:noProof/>
                <w:sz w:val="20"/>
                <w:szCs w:val="20"/>
                <w:lang w:val="es-ES" w:eastAsia="en-GB"/>
              </w:rPr>
              <w:t> </w:t>
            </w:r>
          </w:p>
        </w:tc>
      </w:tr>
      <w:tr w:rsidR="00EA6B7A" w:rsidRPr="0072349E" w14:paraId="5303027C"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D0824CC" w14:textId="77777777" w:rsidR="00EA6B7A" w:rsidRPr="0072349E" w:rsidRDefault="00EA6B7A" w:rsidP="00C627A0">
            <w:pPr>
              <w:ind w:left="0" w:firstLine="0"/>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sz w:val="20"/>
                <w:szCs w:val="20"/>
                <w:lang w:val="es-ES" w:eastAsia="en-GB"/>
              </w:rPr>
              <w:t>A. Personal directivo de la Secretaría y Gobernanza</w:t>
            </w:r>
          </w:p>
        </w:tc>
        <w:tc>
          <w:tcPr>
            <w:tcW w:w="1205" w:type="dxa"/>
            <w:tcBorders>
              <w:top w:val="nil"/>
              <w:left w:val="nil"/>
              <w:bottom w:val="single" w:sz="4" w:space="0" w:color="auto"/>
              <w:right w:val="single" w:sz="4" w:space="0" w:color="auto"/>
            </w:tcBorders>
            <w:shd w:val="clear" w:color="000000" w:fill="C4D79B"/>
            <w:noWrap/>
            <w:vAlign w:val="center"/>
            <w:hideMark/>
          </w:tcPr>
          <w:p w14:paraId="2C787649"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1 064</w:t>
            </w:r>
          </w:p>
        </w:tc>
        <w:tc>
          <w:tcPr>
            <w:tcW w:w="1205" w:type="dxa"/>
            <w:tcBorders>
              <w:top w:val="nil"/>
              <w:left w:val="nil"/>
              <w:bottom w:val="single" w:sz="4" w:space="0" w:color="auto"/>
              <w:right w:val="single" w:sz="4" w:space="0" w:color="auto"/>
            </w:tcBorders>
            <w:shd w:val="clear" w:color="000000" w:fill="C4D79B"/>
            <w:noWrap/>
            <w:vAlign w:val="center"/>
            <w:hideMark/>
          </w:tcPr>
          <w:p w14:paraId="245E8FA2"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1 087</w:t>
            </w:r>
          </w:p>
        </w:tc>
        <w:tc>
          <w:tcPr>
            <w:tcW w:w="1205" w:type="dxa"/>
            <w:tcBorders>
              <w:top w:val="nil"/>
              <w:left w:val="nil"/>
              <w:bottom w:val="single" w:sz="4" w:space="0" w:color="auto"/>
              <w:right w:val="single" w:sz="4" w:space="0" w:color="auto"/>
            </w:tcBorders>
            <w:shd w:val="clear" w:color="000000" w:fill="C4D79B"/>
            <w:noWrap/>
            <w:vAlign w:val="center"/>
            <w:hideMark/>
          </w:tcPr>
          <w:p w14:paraId="5AB90DC5"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1 091</w:t>
            </w:r>
          </w:p>
        </w:tc>
        <w:tc>
          <w:tcPr>
            <w:tcW w:w="1205" w:type="dxa"/>
            <w:tcBorders>
              <w:top w:val="nil"/>
              <w:left w:val="nil"/>
              <w:bottom w:val="single" w:sz="4" w:space="0" w:color="auto"/>
              <w:right w:val="single" w:sz="4" w:space="0" w:color="auto"/>
            </w:tcBorders>
            <w:shd w:val="clear" w:color="000000" w:fill="C4D79B"/>
            <w:noWrap/>
            <w:vAlign w:val="center"/>
            <w:hideMark/>
          </w:tcPr>
          <w:p w14:paraId="08522931"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3 242</w:t>
            </w:r>
          </w:p>
        </w:tc>
      </w:tr>
      <w:tr w:rsidR="00EA6B7A" w:rsidRPr="0072349E" w14:paraId="67EB94B6"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583260A"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0357230E"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1 019</w:t>
            </w:r>
          </w:p>
        </w:tc>
        <w:tc>
          <w:tcPr>
            <w:tcW w:w="1205" w:type="dxa"/>
            <w:tcBorders>
              <w:top w:val="nil"/>
              <w:left w:val="nil"/>
              <w:bottom w:val="single" w:sz="4" w:space="0" w:color="auto"/>
              <w:right w:val="single" w:sz="4" w:space="0" w:color="auto"/>
            </w:tcBorders>
            <w:shd w:val="clear" w:color="auto" w:fill="auto"/>
            <w:noWrap/>
            <w:vAlign w:val="center"/>
            <w:hideMark/>
          </w:tcPr>
          <w:p w14:paraId="40E88642"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1 042</w:t>
            </w:r>
          </w:p>
        </w:tc>
        <w:tc>
          <w:tcPr>
            <w:tcW w:w="1205" w:type="dxa"/>
            <w:tcBorders>
              <w:top w:val="nil"/>
              <w:left w:val="nil"/>
              <w:bottom w:val="single" w:sz="4" w:space="0" w:color="auto"/>
              <w:right w:val="single" w:sz="4" w:space="0" w:color="auto"/>
            </w:tcBorders>
            <w:shd w:val="clear" w:color="auto" w:fill="auto"/>
            <w:noWrap/>
            <w:vAlign w:val="center"/>
            <w:hideMark/>
          </w:tcPr>
          <w:p w14:paraId="33737854"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1 046</w:t>
            </w:r>
          </w:p>
        </w:tc>
        <w:tc>
          <w:tcPr>
            <w:tcW w:w="1205" w:type="dxa"/>
            <w:tcBorders>
              <w:top w:val="nil"/>
              <w:left w:val="nil"/>
              <w:bottom w:val="single" w:sz="4" w:space="0" w:color="auto"/>
              <w:right w:val="single" w:sz="4" w:space="0" w:color="auto"/>
            </w:tcBorders>
            <w:shd w:val="clear" w:color="auto" w:fill="auto"/>
            <w:noWrap/>
            <w:vAlign w:val="center"/>
            <w:hideMark/>
          </w:tcPr>
          <w:p w14:paraId="6FDC0CFF"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3 107</w:t>
            </w:r>
          </w:p>
        </w:tc>
      </w:tr>
      <w:tr w:rsidR="00EA6B7A" w:rsidRPr="0072349E" w14:paraId="5BDCD31A"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3B4F08B"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hideMark/>
          </w:tcPr>
          <w:p w14:paraId="5F7CE9F3"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5627E6DE"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53D0B973"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096752B6"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135</w:t>
            </w:r>
          </w:p>
        </w:tc>
      </w:tr>
      <w:tr w:rsidR="00EA6B7A" w:rsidRPr="0072349E" w14:paraId="470D0210"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19B751F"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eastAsia="Times New Roman" w:cs="Arial"/>
                <w:b/>
                <w:bCs/>
                <w:noProof/>
                <w:color w:val="000000"/>
                <w:sz w:val="20"/>
                <w:szCs w:val="20"/>
                <w:lang w:val="es-ES" w:eastAsia="en-GB"/>
              </w:rPr>
              <w:t xml:space="preserve">B. Movilización de recursos y Promoción </w:t>
            </w:r>
          </w:p>
        </w:tc>
        <w:tc>
          <w:tcPr>
            <w:tcW w:w="1205" w:type="dxa"/>
            <w:tcBorders>
              <w:top w:val="nil"/>
              <w:left w:val="nil"/>
              <w:bottom w:val="single" w:sz="4" w:space="0" w:color="auto"/>
              <w:right w:val="single" w:sz="4" w:space="0" w:color="auto"/>
            </w:tcBorders>
            <w:shd w:val="clear" w:color="000000" w:fill="C4D79B"/>
            <w:noWrap/>
            <w:vAlign w:val="center"/>
            <w:hideMark/>
          </w:tcPr>
          <w:p w14:paraId="03E8F697"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556</w:t>
            </w:r>
          </w:p>
        </w:tc>
        <w:tc>
          <w:tcPr>
            <w:tcW w:w="1205" w:type="dxa"/>
            <w:tcBorders>
              <w:top w:val="nil"/>
              <w:left w:val="nil"/>
              <w:bottom w:val="single" w:sz="4" w:space="0" w:color="auto"/>
              <w:right w:val="single" w:sz="4" w:space="0" w:color="auto"/>
            </w:tcBorders>
            <w:shd w:val="clear" w:color="000000" w:fill="C4D79B"/>
            <w:noWrap/>
            <w:vAlign w:val="center"/>
            <w:hideMark/>
          </w:tcPr>
          <w:p w14:paraId="1B48A78B"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560</w:t>
            </w:r>
          </w:p>
        </w:tc>
        <w:tc>
          <w:tcPr>
            <w:tcW w:w="1205" w:type="dxa"/>
            <w:tcBorders>
              <w:top w:val="nil"/>
              <w:left w:val="nil"/>
              <w:bottom w:val="single" w:sz="4" w:space="0" w:color="auto"/>
              <w:right w:val="single" w:sz="4" w:space="0" w:color="auto"/>
            </w:tcBorders>
            <w:shd w:val="clear" w:color="000000" w:fill="C4D79B"/>
            <w:noWrap/>
            <w:vAlign w:val="center"/>
            <w:hideMark/>
          </w:tcPr>
          <w:p w14:paraId="4D504B2C"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563</w:t>
            </w:r>
          </w:p>
        </w:tc>
        <w:tc>
          <w:tcPr>
            <w:tcW w:w="1205" w:type="dxa"/>
            <w:tcBorders>
              <w:top w:val="nil"/>
              <w:left w:val="nil"/>
              <w:bottom w:val="single" w:sz="4" w:space="0" w:color="auto"/>
              <w:right w:val="single" w:sz="4" w:space="0" w:color="auto"/>
            </w:tcBorders>
            <w:shd w:val="clear" w:color="000000" w:fill="C4D79B"/>
            <w:noWrap/>
            <w:vAlign w:val="center"/>
            <w:hideMark/>
          </w:tcPr>
          <w:p w14:paraId="1C60C25C" w14:textId="294EF8BF"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1 67</w:t>
            </w:r>
            <w:r w:rsidR="00205F91" w:rsidRPr="0072349E">
              <w:rPr>
                <w:rFonts w:asciiTheme="minorHAnsi" w:eastAsia="Times New Roman" w:hAnsiTheme="minorHAnsi" w:cs="Arial"/>
                <w:b/>
                <w:bCs/>
                <w:noProof/>
                <w:color w:val="000000"/>
                <w:sz w:val="20"/>
                <w:szCs w:val="20"/>
                <w:lang w:val="es-ES" w:eastAsia="en-GB"/>
              </w:rPr>
              <w:t>9</w:t>
            </w:r>
          </w:p>
        </w:tc>
      </w:tr>
      <w:tr w:rsidR="00EA6B7A" w:rsidRPr="0072349E" w14:paraId="5543DBB8"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914F3F5"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13DFD72C"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355</w:t>
            </w:r>
          </w:p>
        </w:tc>
        <w:tc>
          <w:tcPr>
            <w:tcW w:w="1205" w:type="dxa"/>
            <w:tcBorders>
              <w:top w:val="nil"/>
              <w:left w:val="nil"/>
              <w:bottom w:val="single" w:sz="4" w:space="0" w:color="auto"/>
              <w:right w:val="single" w:sz="4" w:space="0" w:color="auto"/>
            </w:tcBorders>
            <w:shd w:val="clear" w:color="auto" w:fill="auto"/>
            <w:noWrap/>
            <w:vAlign w:val="center"/>
            <w:hideMark/>
          </w:tcPr>
          <w:p w14:paraId="0D4E6C4F"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359</w:t>
            </w:r>
          </w:p>
        </w:tc>
        <w:tc>
          <w:tcPr>
            <w:tcW w:w="1205" w:type="dxa"/>
            <w:tcBorders>
              <w:top w:val="nil"/>
              <w:left w:val="nil"/>
              <w:bottom w:val="single" w:sz="4" w:space="0" w:color="auto"/>
              <w:right w:val="single" w:sz="4" w:space="0" w:color="auto"/>
            </w:tcBorders>
            <w:shd w:val="clear" w:color="auto" w:fill="auto"/>
            <w:noWrap/>
            <w:vAlign w:val="center"/>
            <w:hideMark/>
          </w:tcPr>
          <w:p w14:paraId="149DC474" w14:textId="7FAF6AB5" w:rsidR="00EA6B7A" w:rsidRPr="0072349E" w:rsidRDefault="0072349E" w:rsidP="00C627A0">
            <w:pPr>
              <w:ind w:left="0" w:firstLine="0"/>
              <w:jc w:val="right"/>
              <w:rPr>
                <w:rFonts w:asciiTheme="minorHAnsi" w:eastAsia="Times New Roman" w:hAnsiTheme="minorHAnsi" w:cs="Arial"/>
                <w:noProof/>
                <w:color w:val="000000"/>
                <w:sz w:val="20"/>
                <w:szCs w:val="20"/>
                <w:lang w:val="es-ES" w:eastAsia="en-GB"/>
              </w:rPr>
            </w:pPr>
            <w:r>
              <w:rPr>
                <w:rFonts w:asciiTheme="minorHAnsi" w:eastAsia="Times New Roman" w:hAnsiTheme="minorHAnsi" w:cs="Arial"/>
                <w:noProof/>
                <w:color w:val="000000"/>
                <w:sz w:val="20"/>
                <w:szCs w:val="20"/>
                <w:lang w:val="es-ES" w:eastAsia="en-GB"/>
              </w:rPr>
              <w:t>3</w:t>
            </w:r>
            <w:r w:rsidR="00EA6B7A" w:rsidRPr="0072349E">
              <w:rPr>
                <w:rFonts w:asciiTheme="minorHAnsi" w:eastAsia="Times New Roman" w:hAnsiTheme="minorHAnsi" w:cs="Arial"/>
                <w:noProof/>
                <w:color w:val="000000"/>
                <w:sz w:val="20"/>
                <w:szCs w:val="20"/>
                <w:lang w:val="es-ES" w:eastAsia="en-GB"/>
              </w:rPr>
              <w:t>62</w:t>
            </w:r>
          </w:p>
        </w:tc>
        <w:tc>
          <w:tcPr>
            <w:tcW w:w="1205" w:type="dxa"/>
            <w:tcBorders>
              <w:top w:val="nil"/>
              <w:left w:val="nil"/>
              <w:bottom w:val="single" w:sz="4" w:space="0" w:color="auto"/>
              <w:right w:val="single" w:sz="4" w:space="0" w:color="auto"/>
            </w:tcBorders>
            <w:shd w:val="clear" w:color="auto" w:fill="auto"/>
            <w:noWrap/>
            <w:vAlign w:val="center"/>
            <w:hideMark/>
          </w:tcPr>
          <w:p w14:paraId="038660FF"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1 076</w:t>
            </w:r>
          </w:p>
        </w:tc>
      </w:tr>
      <w:tr w:rsidR="00EA6B7A" w:rsidRPr="0072349E" w14:paraId="1B100324"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7510DD1"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Programa de CECoP</w:t>
            </w:r>
          </w:p>
        </w:tc>
        <w:tc>
          <w:tcPr>
            <w:tcW w:w="1205" w:type="dxa"/>
            <w:tcBorders>
              <w:top w:val="nil"/>
              <w:left w:val="nil"/>
              <w:bottom w:val="single" w:sz="4" w:space="0" w:color="auto"/>
              <w:right w:val="single" w:sz="4" w:space="0" w:color="auto"/>
            </w:tcBorders>
            <w:shd w:val="clear" w:color="auto" w:fill="auto"/>
            <w:noWrap/>
            <w:vAlign w:val="center"/>
            <w:hideMark/>
          </w:tcPr>
          <w:p w14:paraId="6B8BDAF2"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6F5B75D0"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22C3AF2A"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4823A8D0"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90</w:t>
            </w:r>
          </w:p>
        </w:tc>
      </w:tr>
      <w:tr w:rsidR="00EA6B7A" w:rsidRPr="0072349E" w14:paraId="75F69C08"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552BCF"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 xml:space="preserve">Comunicaciones, traducción, publicaciones e informes </w:t>
            </w:r>
          </w:p>
        </w:tc>
        <w:tc>
          <w:tcPr>
            <w:tcW w:w="1205" w:type="dxa"/>
            <w:tcBorders>
              <w:top w:val="nil"/>
              <w:left w:val="nil"/>
              <w:bottom w:val="single" w:sz="4" w:space="0" w:color="auto"/>
              <w:right w:val="single" w:sz="4" w:space="0" w:color="auto"/>
            </w:tcBorders>
            <w:shd w:val="clear" w:color="auto" w:fill="auto"/>
            <w:noWrap/>
            <w:vAlign w:val="center"/>
            <w:hideMark/>
          </w:tcPr>
          <w:p w14:paraId="6E7E72B9"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04040AD6"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2A206F50"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395B130D"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300</w:t>
            </w:r>
          </w:p>
        </w:tc>
      </w:tr>
      <w:tr w:rsidR="00EA6B7A" w:rsidRPr="0072349E" w14:paraId="352BE0CF"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0CCD599" w14:textId="77777777" w:rsidR="00EA6B7A" w:rsidRPr="0072349E" w:rsidRDefault="00EA6B7A" w:rsidP="00C627A0">
            <w:pPr>
              <w:ind w:left="0" w:firstLine="0"/>
              <w:rPr>
                <w:rFonts w:asciiTheme="minorHAnsi" w:eastAsia="Times New Roman" w:hAnsiTheme="minorHAnsi" w:cs="Arial"/>
                <w:noProof/>
                <w:spacing w:val="-4"/>
                <w:sz w:val="20"/>
                <w:szCs w:val="20"/>
                <w:lang w:val="es-ES" w:eastAsia="en-GB"/>
              </w:rPr>
            </w:pPr>
            <w:r w:rsidRPr="0072349E">
              <w:rPr>
                <w:rFonts w:eastAsia="Times New Roman" w:cs="Arial"/>
                <w:noProof/>
                <w:spacing w:val="-4"/>
                <w:sz w:val="20"/>
                <w:szCs w:val="20"/>
                <w:lang w:val="es-ES" w:eastAsia="en-GB"/>
              </w:rPr>
              <w:t>Apoyo y desarrollo del sitio web/tecnologías de la información</w:t>
            </w:r>
          </w:p>
        </w:tc>
        <w:tc>
          <w:tcPr>
            <w:tcW w:w="1205" w:type="dxa"/>
            <w:tcBorders>
              <w:top w:val="nil"/>
              <w:left w:val="nil"/>
              <w:bottom w:val="single" w:sz="4" w:space="0" w:color="auto"/>
              <w:right w:val="single" w:sz="4" w:space="0" w:color="auto"/>
            </w:tcBorders>
            <w:shd w:val="clear" w:color="auto" w:fill="auto"/>
            <w:noWrap/>
            <w:vAlign w:val="center"/>
            <w:hideMark/>
          </w:tcPr>
          <w:p w14:paraId="1D2AF745"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145CDDBF"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49B3AD65"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0D0FE0B3"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168</w:t>
            </w:r>
          </w:p>
        </w:tc>
      </w:tr>
      <w:tr w:rsidR="00EA6B7A" w:rsidRPr="0072349E" w14:paraId="0E8D9F50"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tcPr>
          <w:p w14:paraId="6F5C3E5C" w14:textId="77777777" w:rsidR="00EA6B7A" w:rsidRPr="0072349E" w:rsidRDefault="00EA6B7A" w:rsidP="00C627A0">
            <w:pPr>
              <w:ind w:left="0" w:firstLine="0"/>
              <w:rPr>
                <w:rFonts w:eastAsia="Times New Roman" w:cs="Arial"/>
                <w:noProof/>
                <w:sz w:val="20"/>
                <w:szCs w:val="20"/>
                <w:lang w:val="es-ES" w:eastAsia="en-GB"/>
              </w:rPr>
            </w:pPr>
            <w:r w:rsidRPr="0072349E">
              <w:rPr>
                <w:rFonts w:eastAsia="Times New Roman" w:cs="Arial"/>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tcPr>
          <w:p w14:paraId="40D15578"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15</w:t>
            </w:r>
          </w:p>
        </w:tc>
        <w:tc>
          <w:tcPr>
            <w:tcW w:w="1205" w:type="dxa"/>
            <w:tcBorders>
              <w:top w:val="nil"/>
              <w:left w:val="nil"/>
              <w:bottom w:val="single" w:sz="4" w:space="0" w:color="auto"/>
              <w:right w:val="single" w:sz="4" w:space="0" w:color="auto"/>
            </w:tcBorders>
            <w:shd w:val="clear" w:color="auto" w:fill="auto"/>
            <w:noWrap/>
            <w:vAlign w:val="center"/>
          </w:tcPr>
          <w:p w14:paraId="39C8B4C9"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15</w:t>
            </w:r>
          </w:p>
        </w:tc>
        <w:tc>
          <w:tcPr>
            <w:tcW w:w="1205" w:type="dxa"/>
            <w:tcBorders>
              <w:top w:val="nil"/>
              <w:left w:val="nil"/>
              <w:bottom w:val="single" w:sz="4" w:space="0" w:color="auto"/>
              <w:right w:val="single" w:sz="4" w:space="0" w:color="auto"/>
            </w:tcBorders>
            <w:shd w:val="clear" w:color="auto" w:fill="auto"/>
            <w:noWrap/>
            <w:vAlign w:val="center"/>
          </w:tcPr>
          <w:p w14:paraId="63CC54D7"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15</w:t>
            </w:r>
          </w:p>
        </w:tc>
        <w:tc>
          <w:tcPr>
            <w:tcW w:w="1205" w:type="dxa"/>
            <w:tcBorders>
              <w:top w:val="nil"/>
              <w:left w:val="nil"/>
              <w:bottom w:val="single" w:sz="4" w:space="0" w:color="auto"/>
              <w:right w:val="single" w:sz="4" w:space="0" w:color="auto"/>
            </w:tcBorders>
            <w:shd w:val="clear" w:color="auto" w:fill="auto"/>
            <w:noWrap/>
            <w:vAlign w:val="center"/>
          </w:tcPr>
          <w:p w14:paraId="30DFA36F"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45</w:t>
            </w:r>
          </w:p>
        </w:tc>
      </w:tr>
      <w:tr w:rsidR="00EA6B7A" w:rsidRPr="0072349E" w14:paraId="5D92BE6A"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6A256633"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eastAsia="Times New Roman" w:cs="Arial"/>
                <w:b/>
                <w:bCs/>
                <w:noProof/>
                <w:sz w:val="20"/>
                <w:szCs w:val="20"/>
                <w:lang w:val="es-ES" w:eastAsia="en-GB"/>
              </w:rPr>
              <w:t xml:space="preserve">C. Asesoramiento y apoyo regionales </w:t>
            </w:r>
          </w:p>
        </w:tc>
        <w:tc>
          <w:tcPr>
            <w:tcW w:w="1205" w:type="dxa"/>
            <w:tcBorders>
              <w:top w:val="nil"/>
              <w:left w:val="nil"/>
              <w:bottom w:val="single" w:sz="4" w:space="0" w:color="auto"/>
              <w:right w:val="single" w:sz="4" w:space="0" w:color="auto"/>
            </w:tcBorders>
            <w:shd w:val="clear" w:color="000000" w:fill="C4D79B"/>
            <w:noWrap/>
            <w:vAlign w:val="center"/>
            <w:hideMark/>
          </w:tcPr>
          <w:p w14:paraId="37CE9DD3"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1 331</w:t>
            </w:r>
          </w:p>
        </w:tc>
        <w:tc>
          <w:tcPr>
            <w:tcW w:w="1205" w:type="dxa"/>
            <w:tcBorders>
              <w:top w:val="nil"/>
              <w:left w:val="nil"/>
              <w:bottom w:val="single" w:sz="4" w:space="0" w:color="auto"/>
              <w:right w:val="single" w:sz="4" w:space="0" w:color="auto"/>
            </w:tcBorders>
            <w:shd w:val="clear" w:color="000000" w:fill="C4D79B"/>
            <w:noWrap/>
            <w:vAlign w:val="center"/>
            <w:hideMark/>
          </w:tcPr>
          <w:p w14:paraId="0C8985B1"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1 350</w:t>
            </w:r>
          </w:p>
        </w:tc>
        <w:tc>
          <w:tcPr>
            <w:tcW w:w="1205" w:type="dxa"/>
            <w:tcBorders>
              <w:top w:val="nil"/>
              <w:left w:val="nil"/>
              <w:bottom w:val="single" w:sz="4" w:space="0" w:color="auto"/>
              <w:right w:val="single" w:sz="4" w:space="0" w:color="auto"/>
            </w:tcBorders>
            <w:shd w:val="clear" w:color="000000" w:fill="C4D79B"/>
            <w:noWrap/>
            <w:vAlign w:val="center"/>
            <w:hideMark/>
          </w:tcPr>
          <w:p w14:paraId="12DA8935"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1 364</w:t>
            </w:r>
          </w:p>
        </w:tc>
        <w:tc>
          <w:tcPr>
            <w:tcW w:w="1205" w:type="dxa"/>
            <w:tcBorders>
              <w:top w:val="nil"/>
              <w:left w:val="nil"/>
              <w:bottom w:val="single" w:sz="4" w:space="0" w:color="auto"/>
              <w:right w:val="single" w:sz="4" w:space="0" w:color="auto"/>
            </w:tcBorders>
            <w:shd w:val="clear" w:color="000000" w:fill="C4D79B"/>
            <w:noWrap/>
            <w:vAlign w:val="center"/>
            <w:hideMark/>
          </w:tcPr>
          <w:p w14:paraId="64CE68AE"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4 045</w:t>
            </w:r>
          </w:p>
        </w:tc>
      </w:tr>
      <w:tr w:rsidR="00EA6B7A" w:rsidRPr="0072349E" w14:paraId="072419D3"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19FD53A"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4BC4016A"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1 254</w:t>
            </w:r>
          </w:p>
        </w:tc>
        <w:tc>
          <w:tcPr>
            <w:tcW w:w="1205" w:type="dxa"/>
            <w:tcBorders>
              <w:top w:val="nil"/>
              <w:left w:val="nil"/>
              <w:bottom w:val="single" w:sz="4" w:space="0" w:color="auto"/>
              <w:right w:val="single" w:sz="4" w:space="0" w:color="auto"/>
            </w:tcBorders>
            <w:shd w:val="clear" w:color="auto" w:fill="auto"/>
            <w:noWrap/>
            <w:vAlign w:val="center"/>
            <w:hideMark/>
          </w:tcPr>
          <w:p w14:paraId="39771633"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1 273</w:t>
            </w:r>
          </w:p>
        </w:tc>
        <w:tc>
          <w:tcPr>
            <w:tcW w:w="1205" w:type="dxa"/>
            <w:tcBorders>
              <w:top w:val="nil"/>
              <w:left w:val="nil"/>
              <w:bottom w:val="single" w:sz="4" w:space="0" w:color="auto"/>
              <w:right w:val="single" w:sz="4" w:space="0" w:color="auto"/>
            </w:tcBorders>
            <w:shd w:val="clear" w:color="auto" w:fill="auto"/>
            <w:noWrap/>
            <w:vAlign w:val="center"/>
            <w:hideMark/>
          </w:tcPr>
          <w:p w14:paraId="289B8270"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1 287</w:t>
            </w:r>
          </w:p>
        </w:tc>
        <w:tc>
          <w:tcPr>
            <w:tcW w:w="1205" w:type="dxa"/>
            <w:tcBorders>
              <w:top w:val="nil"/>
              <w:left w:val="nil"/>
              <w:bottom w:val="single" w:sz="4" w:space="0" w:color="auto"/>
              <w:right w:val="single" w:sz="4" w:space="0" w:color="auto"/>
            </w:tcBorders>
            <w:shd w:val="clear" w:color="auto" w:fill="auto"/>
            <w:noWrap/>
            <w:vAlign w:val="center"/>
            <w:hideMark/>
          </w:tcPr>
          <w:p w14:paraId="70E7C958"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3 814</w:t>
            </w:r>
          </w:p>
        </w:tc>
      </w:tr>
      <w:tr w:rsidR="00EA6B7A" w:rsidRPr="0072349E" w14:paraId="7BE8F0DE"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EFF7A03"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hideMark/>
          </w:tcPr>
          <w:p w14:paraId="79F88E11"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77</w:t>
            </w:r>
          </w:p>
        </w:tc>
        <w:tc>
          <w:tcPr>
            <w:tcW w:w="1205" w:type="dxa"/>
            <w:tcBorders>
              <w:top w:val="nil"/>
              <w:left w:val="nil"/>
              <w:bottom w:val="single" w:sz="4" w:space="0" w:color="auto"/>
              <w:right w:val="single" w:sz="4" w:space="0" w:color="auto"/>
            </w:tcBorders>
            <w:shd w:val="clear" w:color="auto" w:fill="auto"/>
            <w:noWrap/>
            <w:vAlign w:val="center"/>
            <w:hideMark/>
          </w:tcPr>
          <w:p w14:paraId="4F6F1F3B"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77</w:t>
            </w:r>
          </w:p>
        </w:tc>
        <w:tc>
          <w:tcPr>
            <w:tcW w:w="1205" w:type="dxa"/>
            <w:tcBorders>
              <w:top w:val="nil"/>
              <w:left w:val="nil"/>
              <w:bottom w:val="single" w:sz="4" w:space="0" w:color="auto"/>
              <w:right w:val="single" w:sz="4" w:space="0" w:color="auto"/>
            </w:tcBorders>
            <w:shd w:val="clear" w:color="auto" w:fill="auto"/>
            <w:noWrap/>
            <w:vAlign w:val="center"/>
            <w:hideMark/>
          </w:tcPr>
          <w:p w14:paraId="750DFA6A"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77</w:t>
            </w:r>
          </w:p>
        </w:tc>
        <w:tc>
          <w:tcPr>
            <w:tcW w:w="1205" w:type="dxa"/>
            <w:tcBorders>
              <w:top w:val="nil"/>
              <w:left w:val="nil"/>
              <w:bottom w:val="single" w:sz="4" w:space="0" w:color="auto"/>
              <w:right w:val="single" w:sz="4" w:space="0" w:color="auto"/>
            </w:tcBorders>
            <w:shd w:val="clear" w:color="auto" w:fill="auto"/>
            <w:noWrap/>
            <w:vAlign w:val="center"/>
            <w:hideMark/>
          </w:tcPr>
          <w:p w14:paraId="344CA87F"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231</w:t>
            </w:r>
          </w:p>
        </w:tc>
      </w:tr>
      <w:tr w:rsidR="00EA6B7A" w:rsidRPr="0072349E" w14:paraId="13489E7B"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326D6198"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eastAsia="Times New Roman" w:cs="Arial"/>
                <w:b/>
                <w:bCs/>
                <w:noProof/>
                <w:color w:val="000000"/>
                <w:sz w:val="20"/>
                <w:szCs w:val="20"/>
                <w:lang w:val="es-ES" w:eastAsia="en-GB"/>
              </w:rPr>
              <w:t>D. Apoyo a las iniciativas regionales</w:t>
            </w:r>
          </w:p>
        </w:tc>
        <w:tc>
          <w:tcPr>
            <w:tcW w:w="1205" w:type="dxa"/>
            <w:tcBorders>
              <w:top w:val="nil"/>
              <w:left w:val="nil"/>
              <w:bottom w:val="single" w:sz="4" w:space="0" w:color="auto"/>
              <w:right w:val="single" w:sz="4" w:space="0" w:color="auto"/>
            </w:tcBorders>
            <w:shd w:val="clear" w:color="000000" w:fill="C4D79B"/>
            <w:noWrap/>
            <w:vAlign w:val="center"/>
            <w:hideMark/>
          </w:tcPr>
          <w:p w14:paraId="2945E241"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7905AFE0"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6A392387"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2D14D553"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300</w:t>
            </w:r>
          </w:p>
        </w:tc>
      </w:tr>
      <w:tr w:rsidR="00EA6B7A" w:rsidRPr="0072349E" w14:paraId="0C46C156"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3F4998A"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 xml:space="preserve">Redes y centros regionales </w:t>
            </w:r>
          </w:p>
        </w:tc>
        <w:tc>
          <w:tcPr>
            <w:tcW w:w="1205" w:type="dxa"/>
            <w:tcBorders>
              <w:top w:val="nil"/>
              <w:left w:val="nil"/>
              <w:bottom w:val="single" w:sz="4" w:space="0" w:color="auto"/>
              <w:right w:val="single" w:sz="4" w:space="0" w:color="auto"/>
            </w:tcBorders>
            <w:shd w:val="clear" w:color="auto" w:fill="auto"/>
            <w:noWrap/>
            <w:vAlign w:val="center"/>
            <w:hideMark/>
          </w:tcPr>
          <w:p w14:paraId="39B34090"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2CC0B0B3"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7479B71"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12324C8"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300</w:t>
            </w:r>
          </w:p>
        </w:tc>
      </w:tr>
      <w:tr w:rsidR="00EA6B7A" w:rsidRPr="0072349E" w14:paraId="75CD850A"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173A7F5"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eastAsia="Times New Roman" w:cs="Arial"/>
                <w:b/>
                <w:bCs/>
                <w:noProof/>
                <w:color w:val="000000"/>
                <w:sz w:val="20"/>
                <w:szCs w:val="20"/>
                <w:lang w:val="es-ES" w:eastAsia="en-GB"/>
              </w:rPr>
              <w:t>E. Ciencia y Políticas</w:t>
            </w:r>
          </w:p>
        </w:tc>
        <w:tc>
          <w:tcPr>
            <w:tcW w:w="1205" w:type="dxa"/>
            <w:tcBorders>
              <w:top w:val="nil"/>
              <w:left w:val="nil"/>
              <w:bottom w:val="single" w:sz="4" w:space="0" w:color="auto"/>
              <w:right w:val="single" w:sz="4" w:space="0" w:color="auto"/>
            </w:tcBorders>
            <w:shd w:val="clear" w:color="000000" w:fill="C4D79B"/>
            <w:noWrap/>
            <w:vAlign w:val="center"/>
            <w:hideMark/>
          </w:tcPr>
          <w:p w14:paraId="1CFF1FD2"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850</w:t>
            </w:r>
          </w:p>
        </w:tc>
        <w:tc>
          <w:tcPr>
            <w:tcW w:w="1205" w:type="dxa"/>
            <w:tcBorders>
              <w:top w:val="nil"/>
              <w:left w:val="nil"/>
              <w:bottom w:val="single" w:sz="4" w:space="0" w:color="auto"/>
              <w:right w:val="single" w:sz="4" w:space="0" w:color="auto"/>
            </w:tcBorders>
            <w:shd w:val="clear" w:color="000000" w:fill="C4D79B"/>
            <w:noWrap/>
            <w:vAlign w:val="center"/>
            <w:hideMark/>
          </w:tcPr>
          <w:p w14:paraId="02748F83"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834</w:t>
            </w:r>
          </w:p>
        </w:tc>
        <w:tc>
          <w:tcPr>
            <w:tcW w:w="1205" w:type="dxa"/>
            <w:tcBorders>
              <w:top w:val="nil"/>
              <w:left w:val="nil"/>
              <w:bottom w:val="single" w:sz="4" w:space="0" w:color="auto"/>
              <w:right w:val="single" w:sz="4" w:space="0" w:color="auto"/>
            </w:tcBorders>
            <w:shd w:val="clear" w:color="000000" w:fill="C4D79B"/>
            <w:noWrap/>
            <w:vAlign w:val="center"/>
            <w:hideMark/>
          </w:tcPr>
          <w:p w14:paraId="4CB24E5C"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834</w:t>
            </w:r>
          </w:p>
        </w:tc>
        <w:tc>
          <w:tcPr>
            <w:tcW w:w="1205" w:type="dxa"/>
            <w:tcBorders>
              <w:top w:val="nil"/>
              <w:left w:val="nil"/>
              <w:bottom w:val="single" w:sz="4" w:space="0" w:color="auto"/>
              <w:right w:val="single" w:sz="4" w:space="0" w:color="auto"/>
            </w:tcBorders>
            <w:shd w:val="clear" w:color="000000" w:fill="C4D79B"/>
            <w:noWrap/>
            <w:vAlign w:val="center"/>
            <w:hideMark/>
          </w:tcPr>
          <w:p w14:paraId="6F74FAFC"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2 527</w:t>
            </w:r>
          </w:p>
        </w:tc>
      </w:tr>
      <w:tr w:rsidR="00EA6B7A" w:rsidRPr="0072349E" w14:paraId="52E01CEB"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875B542"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06B7A316"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657</w:t>
            </w:r>
          </w:p>
        </w:tc>
        <w:tc>
          <w:tcPr>
            <w:tcW w:w="1205" w:type="dxa"/>
            <w:tcBorders>
              <w:top w:val="nil"/>
              <w:left w:val="nil"/>
              <w:bottom w:val="single" w:sz="4" w:space="0" w:color="auto"/>
              <w:right w:val="single" w:sz="4" w:space="0" w:color="auto"/>
            </w:tcBorders>
            <w:shd w:val="clear" w:color="auto" w:fill="auto"/>
            <w:noWrap/>
            <w:vAlign w:val="center"/>
            <w:hideMark/>
          </w:tcPr>
          <w:p w14:paraId="4DF82B01"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661</w:t>
            </w:r>
          </w:p>
        </w:tc>
        <w:tc>
          <w:tcPr>
            <w:tcW w:w="1205" w:type="dxa"/>
            <w:tcBorders>
              <w:top w:val="nil"/>
              <w:left w:val="nil"/>
              <w:bottom w:val="single" w:sz="4" w:space="0" w:color="auto"/>
              <w:right w:val="single" w:sz="4" w:space="0" w:color="auto"/>
            </w:tcBorders>
            <w:shd w:val="clear" w:color="auto" w:fill="auto"/>
            <w:noWrap/>
            <w:vAlign w:val="center"/>
            <w:hideMark/>
          </w:tcPr>
          <w:p w14:paraId="44969F0D"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670</w:t>
            </w:r>
          </w:p>
        </w:tc>
        <w:tc>
          <w:tcPr>
            <w:tcW w:w="1205" w:type="dxa"/>
            <w:tcBorders>
              <w:top w:val="nil"/>
              <w:left w:val="nil"/>
              <w:bottom w:val="single" w:sz="4" w:space="0" w:color="auto"/>
              <w:right w:val="single" w:sz="4" w:space="0" w:color="auto"/>
            </w:tcBorders>
            <w:shd w:val="clear" w:color="auto" w:fill="auto"/>
            <w:noWrap/>
            <w:vAlign w:val="center"/>
            <w:hideMark/>
          </w:tcPr>
          <w:p w14:paraId="61609FD2"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1 988</w:t>
            </w:r>
          </w:p>
        </w:tc>
      </w:tr>
      <w:tr w:rsidR="00EA6B7A" w:rsidRPr="0072349E" w14:paraId="1EBF48D0"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AC25735"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Ejecución del GECT</w:t>
            </w:r>
          </w:p>
        </w:tc>
        <w:tc>
          <w:tcPr>
            <w:tcW w:w="1205" w:type="dxa"/>
            <w:tcBorders>
              <w:top w:val="nil"/>
              <w:left w:val="nil"/>
              <w:bottom w:val="single" w:sz="4" w:space="0" w:color="auto"/>
              <w:right w:val="single" w:sz="4" w:space="0" w:color="auto"/>
            </w:tcBorders>
            <w:shd w:val="clear" w:color="auto" w:fill="auto"/>
            <w:noWrap/>
            <w:vAlign w:val="center"/>
            <w:hideMark/>
          </w:tcPr>
          <w:p w14:paraId="0C98856B"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52430268"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6FC033E2"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3B9358B7"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120</w:t>
            </w:r>
          </w:p>
        </w:tc>
      </w:tr>
      <w:tr w:rsidR="00EA6B7A" w:rsidRPr="0072349E" w14:paraId="1715D408"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tcPr>
          <w:p w14:paraId="2B590F5B" w14:textId="77777777" w:rsidR="00EA6B7A" w:rsidRPr="0072349E" w:rsidRDefault="00EA6B7A" w:rsidP="00C627A0">
            <w:pPr>
              <w:ind w:left="0" w:firstLine="0"/>
              <w:rPr>
                <w:rFonts w:eastAsia="Times New Roman" w:cs="Arial"/>
                <w:noProof/>
                <w:sz w:val="20"/>
                <w:szCs w:val="20"/>
                <w:lang w:val="es-ES" w:eastAsia="en-GB"/>
              </w:rPr>
            </w:pPr>
            <w:r w:rsidRPr="0072349E">
              <w:rPr>
                <w:rFonts w:asciiTheme="minorHAnsi" w:eastAsia="Times New Roman" w:hAnsiTheme="minorHAnsi" w:cs="Arial"/>
                <w:noProof/>
                <w:sz w:val="20"/>
                <w:szCs w:val="20"/>
                <w:lang w:val="es-ES" w:eastAsia="en-GB"/>
              </w:rPr>
              <w:t>Viajes de la Presidencia del GECT</w:t>
            </w:r>
          </w:p>
        </w:tc>
        <w:tc>
          <w:tcPr>
            <w:tcW w:w="1205" w:type="dxa"/>
            <w:tcBorders>
              <w:top w:val="nil"/>
              <w:left w:val="nil"/>
              <w:bottom w:val="single" w:sz="4" w:space="0" w:color="auto"/>
              <w:right w:val="single" w:sz="4" w:space="0" w:color="auto"/>
            </w:tcBorders>
            <w:shd w:val="clear" w:color="auto" w:fill="auto"/>
            <w:noWrap/>
            <w:vAlign w:val="center"/>
          </w:tcPr>
          <w:p w14:paraId="12AEEDF4"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5BEB5F96"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6FBEF54D"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0BD575D3"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15</w:t>
            </w:r>
          </w:p>
        </w:tc>
      </w:tr>
      <w:tr w:rsidR="00EA6B7A" w:rsidRPr="0072349E" w14:paraId="699D7852"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B73E91C"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Reuniones del GECT</w:t>
            </w:r>
          </w:p>
        </w:tc>
        <w:tc>
          <w:tcPr>
            <w:tcW w:w="1205" w:type="dxa"/>
            <w:tcBorders>
              <w:top w:val="nil"/>
              <w:left w:val="nil"/>
              <w:bottom w:val="single" w:sz="4" w:space="0" w:color="auto"/>
              <w:right w:val="single" w:sz="4" w:space="0" w:color="auto"/>
            </w:tcBorders>
            <w:shd w:val="clear" w:color="auto" w:fill="auto"/>
            <w:noWrap/>
            <w:vAlign w:val="center"/>
            <w:hideMark/>
          </w:tcPr>
          <w:p w14:paraId="68C2A578"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0E52E5AE"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1D420C12"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09D5C970"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150</w:t>
            </w:r>
          </w:p>
        </w:tc>
      </w:tr>
      <w:tr w:rsidR="00EA6B7A" w:rsidRPr="0072349E" w14:paraId="4C68331F"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91DC930"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Servicio de información sobre sitios Ramsar (mantenimiento y desarrollo)</w:t>
            </w:r>
          </w:p>
        </w:tc>
        <w:tc>
          <w:tcPr>
            <w:tcW w:w="1205" w:type="dxa"/>
            <w:tcBorders>
              <w:top w:val="nil"/>
              <w:left w:val="nil"/>
              <w:bottom w:val="single" w:sz="4" w:space="0" w:color="auto"/>
              <w:right w:val="single" w:sz="4" w:space="0" w:color="auto"/>
            </w:tcBorders>
            <w:shd w:val="clear" w:color="auto" w:fill="auto"/>
            <w:noWrap/>
            <w:vAlign w:val="center"/>
            <w:hideMark/>
          </w:tcPr>
          <w:p w14:paraId="66BC29C0"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80</w:t>
            </w:r>
          </w:p>
        </w:tc>
        <w:tc>
          <w:tcPr>
            <w:tcW w:w="1205" w:type="dxa"/>
            <w:tcBorders>
              <w:top w:val="nil"/>
              <w:left w:val="nil"/>
              <w:bottom w:val="single" w:sz="4" w:space="0" w:color="auto"/>
              <w:right w:val="single" w:sz="4" w:space="0" w:color="auto"/>
            </w:tcBorders>
            <w:shd w:val="clear" w:color="auto" w:fill="auto"/>
            <w:noWrap/>
            <w:vAlign w:val="center"/>
            <w:hideMark/>
          </w:tcPr>
          <w:p w14:paraId="5B9A997E"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54FF6272"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647089ED"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200</w:t>
            </w:r>
          </w:p>
        </w:tc>
      </w:tr>
      <w:tr w:rsidR="00EA6B7A" w:rsidRPr="0072349E" w14:paraId="0205AF56"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tcPr>
          <w:p w14:paraId="547E06ED" w14:textId="77777777" w:rsidR="00EA6B7A" w:rsidRPr="0072349E" w:rsidRDefault="00EA6B7A" w:rsidP="00C627A0">
            <w:pPr>
              <w:ind w:left="0" w:firstLine="0"/>
              <w:rPr>
                <w:rFonts w:eastAsia="Times New Roman" w:cs="Arial"/>
                <w:noProof/>
                <w:sz w:val="20"/>
                <w:szCs w:val="20"/>
                <w:lang w:val="es-ES" w:eastAsia="en-GB"/>
              </w:rPr>
            </w:pPr>
            <w:r w:rsidRPr="0072349E">
              <w:rPr>
                <w:rFonts w:eastAsia="Times New Roman" w:cs="Arial"/>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tcPr>
          <w:p w14:paraId="01DC83B3"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03B51617"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551D1C57"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58D517FA"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54</w:t>
            </w:r>
          </w:p>
        </w:tc>
      </w:tr>
      <w:tr w:rsidR="00EA6B7A" w:rsidRPr="0072349E" w14:paraId="582411B7"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F241DBB"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eastAsia="Times New Roman" w:cs="Arial"/>
                <w:b/>
                <w:bCs/>
                <w:noProof/>
                <w:sz w:val="20"/>
                <w:szCs w:val="20"/>
                <w:lang w:val="es-ES" w:eastAsia="en-GB"/>
              </w:rPr>
              <w:t>G. Administración</w:t>
            </w:r>
          </w:p>
        </w:tc>
        <w:tc>
          <w:tcPr>
            <w:tcW w:w="1205" w:type="dxa"/>
            <w:tcBorders>
              <w:top w:val="nil"/>
              <w:left w:val="nil"/>
              <w:bottom w:val="single" w:sz="4" w:space="0" w:color="auto"/>
              <w:right w:val="single" w:sz="4" w:space="0" w:color="auto"/>
            </w:tcBorders>
            <w:shd w:val="clear" w:color="000000" w:fill="C4D79B"/>
            <w:noWrap/>
            <w:vAlign w:val="center"/>
            <w:hideMark/>
          </w:tcPr>
          <w:p w14:paraId="17955E36"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526</w:t>
            </w:r>
          </w:p>
        </w:tc>
        <w:tc>
          <w:tcPr>
            <w:tcW w:w="1205" w:type="dxa"/>
            <w:tcBorders>
              <w:top w:val="nil"/>
              <w:left w:val="nil"/>
              <w:bottom w:val="single" w:sz="4" w:space="0" w:color="auto"/>
              <w:right w:val="single" w:sz="4" w:space="0" w:color="auto"/>
            </w:tcBorders>
            <w:shd w:val="clear" w:color="000000" w:fill="C4D79B"/>
            <w:noWrap/>
            <w:vAlign w:val="center"/>
            <w:hideMark/>
          </w:tcPr>
          <w:p w14:paraId="584C0ED7"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496</w:t>
            </w:r>
          </w:p>
        </w:tc>
        <w:tc>
          <w:tcPr>
            <w:tcW w:w="1205" w:type="dxa"/>
            <w:tcBorders>
              <w:top w:val="nil"/>
              <w:left w:val="nil"/>
              <w:bottom w:val="single" w:sz="4" w:space="0" w:color="auto"/>
              <w:right w:val="single" w:sz="4" w:space="0" w:color="auto"/>
            </w:tcBorders>
            <w:shd w:val="clear" w:color="000000" w:fill="C4D79B"/>
            <w:noWrap/>
            <w:vAlign w:val="center"/>
            <w:hideMark/>
          </w:tcPr>
          <w:p w14:paraId="78E2240C"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466</w:t>
            </w:r>
          </w:p>
        </w:tc>
        <w:tc>
          <w:tcPr>
            <w:tcW w:w="1205" w:type="dxa"/>
            <w:tcBorders>
              <w:top w:val="nil"/>
              <w:left w:val="nil"/>
              <w:bottom w:val="single" w:sz="4" w:space="0" w:color="auto"/>
              <w:right w:val="single" w:sz="4" w:space="0" w:color="auto"/>
            </w:tcBorders>
            <w:shd w:val="clear" w:color="000000" w:fill="C4D79B"/>
            <w:noWrap/>
            <w:vAlign w:val="center"/>
            <w:hideMark/>
          </w:tcPr>
          <w:p w14:paraId="168DC750"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1 488</w:t>
            </w:r>
          </w:p>
        </w:tc>
      </w:tr>
      <w:tr w:rsidR="00EA6B7A" w:rsidRPr="0072349E" w14:paraId="6BF9A088"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AC88885"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7A2A5DDC"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335</w:t>
            </w:r>
          </w:p>
        </w:tc>
        <w:tc>
          <w:tcPr>
            <w:tcW w:w="1205" w:type="dxa"/>
            <w:tcBorders>
              <w:top w:val="nil"/>
              <w:left w:val="nil"/>
              <w:bottom w:val="single" w:sz="4" w:space="0" w:color="auto"/>
              <w:right w:val="single" w:sz="4" w:space="0" w:color="auto"/>
            </w:tcBorders>
            <w:shd w:val="clear" w:color="auto" w:fill="auto"/>
            <w:noWrap/>
            <w:vAlign w:val="center"/>
            <w:hideMark/>
          </w:tcPr>
          <w:p w14:paraId="465FB164"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338</w:t>
            </w:r>
          </w:p>
        </w:tc>
        <w:tc>
          <w:tcPr>
            <w:tcW w:w="1205" w:type="dxa"/>
            <w:tcBorders>
              <w:top w:val="nil"/>
              <w:left w:val="nil"/>
              <w:bottom w:val="single" w:sz="4" w:space="0" w:color="auto"/>
              <w:right w:val="single" w:sz="4" w:space="0" w:color="auto"/>
            </w:tcBorders>
            <w:shd w:val="clear" w:color="auto" w:fill="auto"/>
            <w:noWrap/>
            <w:vAlign w:val="center"/>
            <w:hideMark/>
          </w:tcPr>
          <w:p w14:paraId="60251587"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341</w:t>
            </w:r>
          </w:p>
        </w:tc>
        <w:tc>
          <w:tcPr>
            <w:tcW w:w="1205" w:type="dxa"/>
            <w:tcBorders>
              <w:top w:val="nil"/>
              <w:left w:val="nil"/>
              <w:bottom w:val="single" w:sz="4" w:space="0" w:color="auto"/>
              <w:right w:val="single" w:sz="4" w:space="0" w:color="auto"/>
            </w:tcBorders>
            <w:shd w:val="clear" w:color="auto" w:fill="auto"/>
            <w:noWrap/>
            <w:vAlign w:val="center"/>
            <w:hideMark/>
          </w:tcPr>
          <w:p w14:paraId="09B7D1D5"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1 014</w:t>
            </w:r>
          </w:p>
        </w:tc>
      </w:tr>
      <w:tr w:rsidR="00EA6B7A" w:rsidRPr="0072349E" w14:paraId="653E59DF"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2907E89"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Costos de contratación y separación del personal</w:t>
            </w:r>
          </w:p>
        </w:tc>
        <w:tc>
          <w:tcPr>
            <w:tcW w:w="1205" w:type="dxa"/>
            <w:tcBorders>
              <w:top w:val="nil"/>
              <w:left w:val="nil"/>
              <w:bottom w:val="single" w:sz="4" w:space="0" w:color="auto"/>
              <w:right w:val="single" w:sz="4" w:space="0" w:color="auto"/>
            </w:tcBorders>
            <w:shd w:val="clear" w:color="auto" w:fill="auto"/>
            <w:noWrap/>
            <w:vAlign w:val="center"/>
            <w:hideMark/>
          </w:tcPr>
          <w:p w14:paraId="5C5334CB"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85</w:t>
            </w:r>
          </w:p>
        </w:tc>
        <w:tc>
          <w:tcPr>
            <w:tcW w:w="1205" w:type="dxa"/>
            <w:tcBorders>
              <w:top w:val="nil"/>
              <w:left w:val="nil"/>
              <w:bottom w:val="single" w:sz="4" w:space="0" w:color="auto"/>
              <w:right w:val="single" w:sz="4" w:space="0" w:color="auto"/>
            </w:tcBorders>
            <w:shd w:val="clear" w:color="auto" w:fill="auto"/>
            <w:noWrap/>
            <w:vAlign w:val="center"/>
            <w:hideMark/>
          </w:tcPr>
          <w:p w14:paraId="7F1D4694"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52</w:t>
            </w:r>
          </w:p>
        </w:tc>
        <w:tc>
          <w:tcPr>
            <w:tcW w:w="1205" w:type="dxa"/>
            <w:tcBorders>
              <w:top w:val="nil"/>
              <w:left w:val="nil"/>
              <w:bottom w:val="single" w:sz="4" w:space="0" w:color="auto"/>
              <w:right w:val="single" w:sz="4" w:space="0" w:color="auto"/>
            </w:tcBorders>
            <w:shd w:val="clear" w:color="auto" w:fill="auto"/>
            <w:noWrap/>
            <w:vAlign w:val="center"/>
            <w:hideMark/>
          </w:tcPr>
          <w:p w14:paraId="21299F1E"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19</w:t>
            </w:r>
          </w:p>
        </w:tc>
        <w:tc>
          <w:tcPr>
            <w:tcW w:w="1205" w:type="dxa"/>
            <w:tcBorders>
              <w:top w:val="nil"/>
              <w:left w:val="nil"/>
              <w:bottom w:val="single" w:sz="4" w:space="0" w:color="auto"/>
              <w:right w:val="single" w:sz="4" w:space="0" w:color="auto"/>
            </w:tcBorders>
            <w:shd w:val="clear" w:color="auto" w:fill="auto"/>
            <w:noWrap/>
            <w:vAlign w:val="center"/>
            <w:hideMark/>
          </w:tcPr>
          <w:p w14:paraId="54CA0568"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156</w:t>
            </w:r>
          </w:p>
        </w:tc>
      </w:tr>
      <w:tr w:rsidR="00EA6B7A" w:rsidRPr="0072349E" w14:paraId="70548749"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40A99DA"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Equipos y suministros de oficina</w:t>
            </w:r>
          </w:p>
        </w:tc>
        <w:tc>
          <w:tcPr>
            <w:tcW w:w="1205" w:type="dxa"/>
            <w:tcBorders>
              <w:top w:val="nil"/>
              <w:left w:val="nil"/>
              <w:bottom w:val="single" w:sz="4" w:space="0" w:color="auto"/>
              <w:right w:val="single" w:sz="4" w:space="0" w:color="auto"/>
            </w:tcBorders>
            <w:shd w:val="clear" w:color="auto" w:fill="auto"/>
            <w:noWrap/>
            <w:vAlign w:val="center"/>
            <w:hideMark/>
          </w:tcPr>
          <w:p w14:paraId="45BD11DE"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1634B0B"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59428CDB"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69229FAC"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285</w:t>
            </w:r>
          </w:p>
        </w:tc>
      </w:tr>
      <w:tr w:rsidR="00EA6B7A" w:rsidRPr="0072349E" w14:paraId="4A597481"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5D6FABF"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Planificación y Capacitación</w:t>
            </w:r>
          </w:p>
        </w:tc>
        <w:tc>
          <w:tcPr>
            <w:tcW w:w="1205" w:type="dxa"/>
            <w:tcBorders>
              <w:top w:val="nil"/>
              <w:left w:val="nil"/>
              <w:bottom w:val="single" w:sz="4" w:space="0" w:color="auto"/>
              <w:right w:val="single" w:sz="4" w:space="0" w:color="auto"/>
            </w:tcBorders>
            <w:shd w:val="clear" w:color="auto" w:fill="auto"/>
            <w:noWrap/>
            <w:vAlign w:val="center"/>
            <w:hideMark/>
          </w:tcPr>
          <w:p w14:paraId="535E5BB6"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11</w:t>
            </w:r>
          </w:p>
        </w:tc>
        <w:tc>
          <w:tcPr>
            <w:tcW w:w="1205" w:type="dxa"/>
            <w:tcBorders>
              <w:top w:val="nil"/>
              <w:left w:val="nil"/>
              <w:bottom w:val="single" w:sz="4" w:space="0" w:color="auto"/>
              <w:right w:val="single" w:sz="4" w:space="0" w:color="auto"/>
            </w:tcBorders>
            <w:shd w:val="clear" w:color="auto" w:fill="auto"/>
            <w:noWrap/>
            <w:vAlign w:val="center"/>
            <w:hideMark/>
          </w:tcPr>
          <w:p w14:paraId="65F1255D"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11</w:t>
            </w:r>
          </w:p>
        </w:tc>
        <w:tc>
          <w:tcPr>
            <w:tcW w:w="1205" w:type="dxa"/>
            <w:tcBorders>
              <w:top w:val="nil"/>
              <w:left w:val="nil"/>
              <w:bottom w:val="single" w:sz="4" w:space="0" w:color="auto"/>
              <w:right w:val="single" w:sz="4" w:space="0" w:color="auto"/>
            </w:tcBorders>
            <w:shd w:val="clear" w:color="auto" w:fill="auto"/>
            <w:noWrap/>
            <w:vAlign w:val="center"/>
            <w:hideMark/>
          </w:tcPr>
          <w:p w14:paraId="6F334F3A"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11</w:t>
            </w:r>
          </w:p>
        </w:tc>
        <w:tc>
          <w:tcPr>
            <w:tcW w:w="1205" w:type="dxa"/>
            <w:tcBorders>
              <w:top w:val="nil"/>
              <w:left w:val="nil"/>
              <w:bottom w:val="single" w:sz="4" w:space="0" w:color="auto"/>
              <w:right w:val="single" w:sz="4" w:space="0" w:color="auto"/>
            </w:tcBorders>
            <w:shd w:val="clear" w:color="auto" w:fill="auto"/>
            <w:noWrap/>
            <w:vAlign w:val="center"/>
            <w:hideMark/>
          </w:tcPr>
          <w:p w14:paraId="1E735A3C" w14:textId="77777777" w:rsidR="00EA6B7A" w:rsidRPr="0072349E" w:rsidRDefault="00EA6B7A" w:rsidP="00C627A0">
            <w:pPr>
              <w:ind w:left="0" w:firstLine="0"/>
              <w:jc w:val="right"/>
              <w:rPr>
                <w:rFonts w:eastAsia="Times New Roman" w:cs="Arial"/>
                <w:noProof/>
                <w:sz w:val="20"/>
                <w:szCs w:val="20"/>
                <w:lang w:val="es-ES" w:eastAsia="en-GB"/>
              </w:rPr>
            </w:pPr>
            <w:r w:rsidRPr="0072349E">
              <w:rPr>
                <w:rFonts w:eastAsia="Times New Roman" w:cs="Arial"/>
                <w:noProof/>
                <w:sz w:val="20"/>
                <w:szCs w:val="20"/>
                <w:lang w:val="es-ES" w:eastAsia="en-GB"/>
              </w:rPr>
              <w:t>33</w:t>
            </w:r>
          </w:p>
        </w:tc>
      </w:tr>
      <w:tr w:rsidR="00EA6B7A" w:rsidRPr="0072349E" w14:paraId="7F393D9A"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64D7685B"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asciiTheme="minorHAnsi" w:eastAsia="Times New Roman" w:hAnsiTheme="minorHAnsi" w:cs="Arial"/>
                <w:b/>
                <w:bCs/>
                <w:noProof/>
                <w:sz w:val="20"/>
                <w:szCs w:val="20"/>
                <w:lang w:val="es-ES" w:eastAsia="en-GB"/>
              </w:rPr>
              <w:t xml:space="preserve">H. </w:t>
            </w:r>
            <w:r w:rsidRPr="0072349E">
              <w:rPr>
                <w:rFonts w:eastAsia="Times New Roman" w:cs="Arial"/>
                <w:b/>
                <w:bCs/>
                <w:noProof/>
                <w:sz w:val="20"/>
                <w:szCs w:val="20"/>
                <w:lang w:val="es-ES" w:eastAsia="en-GB"/>
              </w:rPr>
              <w:t>Servicios del Comité Permanente</w:t>
            </w:r>
          </w:p>
        </w:tc>
        <w:tc>
          <w:tcPr>
            <w:tcW w:w="1205" w:type="dxa"/>
            <w:tcBorders>
              <w:top w:val="nil"/>
              <w:left w:val="nil"/>
              <w:bottom w:val="single" w:sz="4" w:space="0" w:color="auto"/>
              <w:right w:val="single" w:sz="4" w:space="0" w:color="auto"/>
            </w:tcBorders>
            <w:shd w:val="clear" w:color="000000" w:fill="C4D79B"/>
            <w:noWrap/>
            <w:vAlign w:val="center"/>
            <w:hideMark/>
          </w:tcPr>
          <w:p w14:paraId="36CB4FB0"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150</w:t>
            </w:r>
          </w:p>
        </w:tc>
        <w:tc>
          <w:tcPr>
            <w:tcW w:w="1205" w:type="dxa"/>
            <w:tcBorders>
              <w:top w:val="nil"/>
              <w:left w:val="nil"/>
              <w:bottom w:val="single" w:sz="4" w:space="0" w:color="auto"/>
              <w:right w:val="single" w:sz="4" w:space="0" w:color="auto"/>
            </w:tcBorders>
            <w:shd w:val="clear" w:color="000000" w:fill="C4D79B"/>
            <w:noWrap/>
            <w:vAlign w:val="center"/>
            <w:hideMark/>
          </w:tcPr>
          <w:p w14:paraId="30BCEA9B"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150</w:t>
            </w:r>
          </w:p>
        </w:tc>
        <w:tc>
          <w:tcPr>
            <w:tcW w:w="1205" w:type="dxa"/>
            <w:tcBorders>
              <w:top w:val="nil"/>
              <w:left w:val="nil"/>
              <w:bottom w:val="single" w:sz="4" w:space="0" w:color="auto"/>
              <w:right w:val="single" w:sz="4" w:space="0" w:color="auto"/>
            </w:tcBorders>
            <w:shd w:val="clear" w:color="000000" w:fill="C4D79B"/>
            <w:noWrap/>
            <w:vAlign w:val="center"/>
            <w:hideMark/>
          </w:tcPr>
          <w:p w14:paraId="5A8103B7"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150</w:t>
            </w:r>
          </w:p>
        </w:tc>
        <w:tc>
          <w:tcPr>
            <w:tcW w:w="1205" w:type="dxa"/>
            <w:tcBorders>
              <w:top w:val="nil"/>
              <w:left w:val="nil"/>
              <w:bottom w:val="single" w:sz="4" w:space="0" w:color="auto"/>
              <w:right w:val="single" w:sz="4" w:space="0" w:color="auto"/>
            </w:tcBorders>
            <w:shd w:val="clear" w:color="000000" w:fill="C4D79B"/>
            <w:noWrap/>
            <w:vAlign w:val="center"/>
            <w:hideMark/>
          </w:tcPr>
          <w:p w14:paraId="2278614B"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450</w:t>
            </w:r>
          </w:p>
        </w:tc>
      </w:tr>
      <w:tr w:rsidR="00EA6B7A" w:rsidRPr="0072349E" w14:paraId="11A97294"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1FD4876"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Apoyo a los delegados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7CD1B918"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14B6D2F2"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44C73FE4"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2AEAED97"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135</w:t>
            </w:r>
          </w:p>
        </w:tc>
      </w:tr>
      <w:tr w:rsidR="00EA6B7A" w:rsidRPr="0072349E" w14:paraId="3F09505C"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C9D5E80"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2C3F19F6"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0BD3B475"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53BEA7EC"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543CE425"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30</w:t>
            </w:r>
          </w:p>
        </w:tc>
      </w:tr>
      <w:tr w:rsidR="00EA6B7A" w:rsidRPr="0072349E" w14:paraId="09A34FDA"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35CA8FE"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Traducción en las 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74CC14BA"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54441875"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536B2821"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50EF5BD8"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180</w:t>
            </w:r>
          </w:p>
        </w:tc>
      </w:tr>
      <w:tr w:rsidR="00EA6B7A" w:rsidRPr="0072349E" w14:paraId="15FDC092"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93B24A0"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Interpretación simultánea en las 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4CF90470"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082C0F43"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1D523743"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761EC879"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105</w:t>
            </w:r>
          </w:p>
        </w:tc>
      </w:tr>
      <w:tr w:rsidR="00EA6B7A" w:rsidRPr="0072349E" w14:paraId="6576AF46" w14:textId="77777777" w:rsidTr="0072349E">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42D16932"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eastAsia="Times New Roman" w:cs="Arial"/>
                <w:b/>
                <w:bCs/>
                <w:noProof/>
                <w:sz w:val="20"/>
                <w:szCs w:val="20"/>
                <w:lang w:val="es-ES" w:eastAsia="en-GB"/>
              </w:rPr>
              <w:t>I. Gastos por servicios administrativos de la UICN (máximo)</w:t>
            </w:r>
          </w:p>
        </w:tc>
        <w:tc>
          <w:tcPr>
            <w:tcW w:w="1205" w:type="dxa"/>
            <w:tcBorders>
              <w:top w:val="nil"/>
              <w:left w:val="nil"/>
              <w:bottom w:val="single" w:sz="4" w:space="0" w:color="auto"/>
              <w:right w:val="single" w:sz="4" w:space="0" w:color="auto"/>
            </w:tcBorders>
            <w:shd w:val="clear" w:color="000000" w:fill="C4D79B"/>
            <w:noWrap/>
            <w:vAlign w:val="center"/>
            <w:hideMark/>
          </w:tcPr>
          <w:p w14:paraId="76BD79EE"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000000" w:fill="C4D79B"/>
            <w:noWrap/>
            <w:vAlign w:val="center"/>
            <w:hideMark/>
          </w:tcPr>
          <w:p w14:paraId="5DFB8656"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000000" w:fill="C4D79B"/>
            <w:noWrap/>
            <w:vAlign w:val="center"/>
            <w:hideMark/>
          </w:tcPr>
          <w:p w14:paraId="155D7A38"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000000" w:fill="C4D79B"/>
            <w:noWrap/>
            <w:vAlign w:val="center"/>
            <w:hideMark/>
          </w:tcPr>
          <w:p w14:paraId="3E267C2D"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1 623</w:t>
            </w:r>
          </w:p>
        </w:tc>
      </w:tr>
      <w:tr w:rsidR="00EA6B7A" w:rsidRPr="0072349E" w14:paraId="2EC207AA"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2F03F9"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 xml:space="preserve">Administración, RR.HH., finanzas y servicios de tecnologías de la información </w:t>
            </w:r>
          </w:p>
        </w:tc>
        <w:tc>
          <w:tcPr>
            <w:tcW w:w="1205" w:type="dxa"/>
            <w:tcBorders>
              <w:top w:val="nil"/>
              <w:left w:val="nil"/>
              <w:bottom w:val="single" w:sz="4" w:space="0" w:color="auto"/>
              <w:right w:val="single" w:sz="4" w:space="0" w:color="auto"/>
            </w:tcBorders>
            <w:shd w:val="clear" w:color="auto" w:fill="auto"/>
            <w:noWrap/>
            <w:vAlign w:val="center"/>
            <w:hideMark/>
          </w:tcPr>
          <w:p w14:paraId="47B81E61"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7D724E8B"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253C2C80"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1083E3AC"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1 623</w:t>
            </w:r>
          </w:p>
        </w:tc>
      </w:tr>
      <w:tr w:rsidR="00EA6B7A" w:rsidRPr="0072349E" w14:paraId="35E8DF12" w14:textId="77777777" w:rsidTr="0072349E">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64ACD7DA" w14:textId="77777777" w:rsidR="00EA6B7A" w:rsidRPr="0072349E" w:rsidRDefault="00EA6B7A" w:rsidP="00C627A0">
            <w:pPr>
              <w:ind w:left="0" w:firstLine="0"/>
              <w:rPr>
                <w:rFonts w:asciiTheme="minorHAnsi" w:eastAsia="Times New Roman" w:hAnsiTheme="minorHAnsi" w:cs="Arial"/>
                <w:b/>
                <w:bCs/>
                <w:noProof/>
                <w:sz w:val="20"/>
                <w:szCs w:val="20"/>
                <w:lang w:val="es-ES" w:eastAsia="en-GB"/>
              </w:rPr>
            </w:pPr>
            <w:r w:rsidRPr="0072349E">
              <w:rPr>
                <w:rFonts w:eastAsia="Times New Roman" w:cs="Arial"/>
                <w:b/>
                <w:bCs/>
                <w:noProof/>
                <w:sz w:val="20"/>
                <w:szCs w:val="20"/>
                <w:lang w:val="es-ES" w:eastAsia="en-GB"/>
              </w:rPr>
              <w:t>J. Varios – Fondo de reserva</w:t>
            </w:r>
          </w:p>
        </w:tc>
        <w:tc>
          <w:tcPr>
            <w:tcW w:w="1205" w:type="dxa"/>
            <w:tcBorders>
              <w:top w:val="nil"/>
              <w:left w:val="nil"/>
              <w:bottom w:val="single" w:sz="4" w:space="0" w:color="auto"/>
              <w:right w:val="single" w:sz="4" w:space="0" w:color="auto"/>
            </w:tcBorders>
            <w:shd w:val="clear" w:color="000000" w:fill="C4D79B"/>
            <w:noWrap/>
            <w:vAlign w:val="center"/>
            <w:hideMark/>
          </w:tcPr>
          <w:p w14:paraId="55E1B0E4"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109</w:t>
            </w:r>
          </w:p>
        </w:tc>
        <w:tc>
          <w:tcPr>
            <w:tcW w:w="1205" w:type="dxa"/>
            <w:tcBorders>
              <w:top w:val="nil"/>
              <w:left w:val="nil"/>
              <w:bottom w:val="single" w:sz="4" w:space="0" w:color="auto"/>
              <w:right w:val="single" w:sz="4" w:space="0" w:color="auto"/>
            </w:tcBorders>
            <w:shd w:val="clear" w:color="000000" w:fill="C4D79B"/>
            <w:noWrap/>
            <w:vAlign w:val="center"/>
            <w:hideMark/>
          </w:tcPr>
          <w:p w14:paraId="4E4C0DD8"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109</w:t>
            </w:r>
          </w:p>
        </w:tc>
        <w:tc>
          <w:tcPr>
            <w:tcW w:w="1205" w:type="dxa"/>
            <w:tcBorders>
              <w:top w:val="nil"/>
              <w:left w:val="nil"/>
              <w:bottom w:val="single" w:sz="4" w:space="0" w:color="auto"/>
              <w:right w:val="single" w:sz="4" w:space="0" w:color="auto"/>
            </w:tcBorders>
            <w:shd w:val="clear" w:color="000000" w:fill="C4D79B"/>
            <w:noWrap/>
            <w:vAlign w:val="center"/>
            <w:hideMark/>
          </w:tcPr>
          <w:p w14:paraId="56BBEA57"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109</w:t>
            </w:r>
          </w:p>
        </w:tc>
        <w:tc>
          <w:tcPr>
            <w:tcW w:w="1205" w:type="dxa"/>
            <w:tcBorders>
              <w:top w:val="nil"/>
              <w:left w:val="nil"/>
              <w:bottom w:val="single" w:sz="4" w:space="0" w:color="auto"/>
              <w:right w:val="single" w:sz="4" w:space="0" w:color="auto"/>
            </w:tcBorders>
            <w:shd w:val="clear" w:color="000000" w:fill="C4D79B"/>
            <w:noWrap/>
            <w:vAlign w:val="center"/>
            <w:hideMark/>
          </w:tcPr>
          <w:p w14:paraId="0219E167" w14:textId="77777777" w:rsidR="00EA6B7A" w:rsidRPr="0072349E" w:rsidRDefault="00EA6B7A" w:rsidP="00C627A0">
            <w:pPr>
              <w:ind w:left="0" w:firstLine="0"/>
              <w:jc w:val="right"/>
              <w:rPr>
                <w:rFonts w:asciiTheme="minorHAnsi" w:eastAsia="Times New Roman" w:hAnsiTheme="minorHAnsi" w:cs="Arial"/>
                <w:b/>
                <w:bCs/>
                <w:noProof/>
                <w:color w:val="000000"/>
                <w:sz w:val="20"/>
                <w:szCs w:val="20"/>
                <w:lang w:val="es-ES" w:eastAsia="en-GB"/>
              </w:rPr>
            </w:pPr>
            <w:r w:rsidRPr="0072349E">
              <w:rPr>
                <w:rFonts w:asciiTheme="minorHAnsi" w:eastAsia="Times New Roman" w:hAnsiTheme="minorHAnsi" w:cs="Arial"/>
                <w:b/>
                <w:bCs/>
                <w:noProof/>
                <w:color w:val="000000"/>
                <w:sz w:val="20"/>
                <w:szCs w:val="20"/>
                <w:lang w:val="es-ES" w:eastAsia="en-GB"/>
              </w:rPr>
              <w:t>327</w:t>
            </w:r>
          </w:p>
        </w:tc>
      </w:tr>
      <w:tr w:rsidR="00EA6B7A" w:rsidRPr="0072349E" w14:paraId="1C74DA11" w14:textId="77777777" w:rsidTr="0072349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1C2874A"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Provisiones para personal</w:t>
            </w:r>
          </w:p>
        </w:tc>
        <w:tc>
          <w:tcPr>
            <w:tcW w:w="1205" w:type="dxa"/>
            <w:tcBorders>
              <w:top w:val="nil"/>
              <w:left w:val="nil"/>
              <w:bottom w:val="single" w:sz="4" w:space="0" w:color="auto"/>
              <w:right w:val="single" w:sz="4" w:space="0" w:color="auto"/>
            </w:tcBorders>
            <w:shd w:val="clear" w:color="auto" w:fill="auto"/>
            <w:noWrap/>
            <w:vAlign w:val="center"/>
            <w:hideMark/>
          </w:tcPr>
          <w:p w14:paraId="5ECCF2E1"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hideMark/>
          </w:tcPr>
          <w:p w14:paraId="778E8923"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hideMark/>
          </w:tcPr>
          <w:p w14:paraId="322FF708"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hideMark/>
          </w:tcPr>
          <w:p w14:paraId="7524B65C"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60</w:t>
            </w:r>
          </w:p>
        </w:tc>
      </w:tr>
      <w:tr w:rsidR="00EA6B7A" w:rsidRPr="0072349E" w14:paraId="3EF6BA9E" w14:textId="77777777" w:rsidTr="0072349E">
        <w:tc>
          <w:tcPr>
            <w:tcW w:w="4962" w:type="dxa"/>
            <w:tcBorders>
              <w:top w:val="single" w:sz="4" w:space="0" w:color="auto"/>
              <w:left w:val="single" w:sz="4" w:space="0" w:color="auto"/>
              <w:bottom w:val="nil"/>
              <w:right w:val="single" w:sz="4" w:space="0" w:color="auto"/>
            </w:tcBorders>
            <w:shd w:val="clear" w:color="auto" w:fill="auto"/>
            <w:noWrap/>
            <w:vAlign w:val="center"/>
          </w:tcPr>
          <w:p w14:paraId="49DE6E5B" w14:textId="77777777" w:rsidR="00EA6B7A" w:rsidRPr="0072349E" w:rsidRDefault="00EA6B7A" w:rsidP="00C627A0">
            <w:pPr>
              <w:ind w:left="0" w:firstLine="0"/>
              <w:rPr>
                <w:rFonts w:eastAsia="Times New Roman" w:cs="Arial"/>
                <w:noProof/>
                <w:sz w:val="20"/>
                <w:szCs w:val="20"/>
                <w:lang w:val="es-ES" w:eastAsia="en-GB"/>
              </w:rPr>
            </w:pPr>
            <w:r w:rsidRPr="0072349E">
              <w:rPr>
                <w:rFonts w:eastAsia="Times New Roman" w:cs="Arial"/>
                <w:noProof/>
                <w:sz w:val="20"/>
                <w:szCs w:val="20"/>
                <w:lang w:val="es-ES" w:eastAsia="en-GB"/>
              </w:rPr>
              <w:t>Provisiones para contribuciones pendientes</w:t>
            </w:r>
          </w:p>
        </w:tc>
        <w:tc>
          <w:tcPr>
            <w:tcW w:w="1205" w:type="dxa"/>
            <w:tcBorders>
              <w:top w:val="nil"/>
              <w:left w:val="nil"/>
              <w:bottom w:val="single" w:sz="4" w:space="0" w:color="auto"/>
              <w:right w:val="single" w:sz="4" w:space="0" w:color="auto"/>
            </w:tcBorders>
            <w:shd w:val="clear" w:color="auto" w:fill="auto"/>
            <w:noWrap/>
            <w:vAlign w:val="center"/>
          </w:tcPr>
          <w:p w14:paraId="753C6B07"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tcPr>
          <w:p w14:paraId="29E2E0CF"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30</w:t>
            </w:r>
          </w:p>
        </w:tc>
        <w:tc>
          <w:tcPr>
            <w:tcW w:w="1205" w:type="dxa"/>
            <w:tcBorders>
              <w:top w:val="single" w:sz="4" w:space="0" w:color="auto"/>
              <w:left w:val="nil"/>
              <w:bottom w:val="nil"/>
              <w:right w:val="single" w:sz="4" w:space="0" w:color="auto"/>
            </w:tcBorders>
            <w:shd w:val="clear" w:color="auto" w:fill="auto"/>
            <w:noWrap/>
            <w:vAlign w:val="center"/>
          </w:tcPr>
          <w:p w14:paraId="7FD72303"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tcPr>
          <w:p w14:paraId="7B6724AB"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90</w:t>
            </w:r>
          </w:p>
        </w:tc>
      </w:tr>
      <w:tr w:rsidR="00EA6B7A" w:rsidRPr="0072349E" w14:paraId="42C2644F" w14:textId="77777777" w:rsidTr="0072349E">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1A621B0A" w14:textId="77777777" w:rsidR="00EA6B7A" w:rsidRPr="0072349E" w:rsidRDefault="00EA6B7A" w:rsidP="00C627A0">
            <w:pPr>
              <w:ind w:left="0" w:firstLine="0"/>
              <w:rPr>
                <w:rFonts w:asciiTheme="minorHAnsi" w:eastAsia="Times New Roman" w:hAnsiTheme="minorHAnsi" w:cs="Arial"/>
                <w:noProof/>
                <w:sz w:val="20"/>
                <w:szCs w:val="20"/>
                <w:lang w:val="es-ES" w:eastAsia="en-GB"/>
              </w:rPr>
            </w:pPr>
            <w:r w:rsidRPr="0072349E">
              <w:rPr>
                <w:rFonts w:eastAsia="Times New Roman" w:cs="Arial"/>
                <w:noProof/>
                <w:sz w:val="20"/>
                <w:szCs w:val="20"/>
                <w:lang w:val="es-ES" w:eastAsia="en-GB"/>
              </w:rPr>
              <w:t>Servicios jurídicos</w:t>
            </w:r>
          </w:p>
        </w:tc>
        <w:tc>
          <w:tcPr>
            <w:tcW w:w="1205" w:type="dxa"/>
            <w:tcBorders>
              <w:top w:val="nil"/>
              <w:left w:val="nil"/>
              <w:bottom w:val="single" w:sz="4" w:space="0" w:color="auto"/>
              <w:right w:val="single" w:sz="4" w:space="0" w:color="auto"/>
            </w:tcBorders>
            <w:shd w:val="clear" w:color="auto" w:fill="auto"/>
            <w:noWrap/>
            <w:vAlign w:val="center"/>
            <w:hideMark/>
          </w:tcPr>
          <w:p w14:paraId="40B407BA"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59</w:t>
            </w:r>
          </w:p>
        </w:tc>
        <w:tc>
          <w:tcPr>
            <w:tcW w:w="1205" w:type="dxa"/>
            <w:tcBorders>
              <w:top w:val="nil"/>
              <w:left w:val="nil"/>
              <w:bottom w:val="single" w:sz="4" w:space="0" w:color="auto"/>
              <w:right w:val="single" w:sz="4" w:space="0" w:color="auto"/>
            </w:tcBorders>
            <w:shd w:val="clear" w:color="auto" w:fill="auto"/>
            <w:noWrap/>
            <w:vAlign w:val="center"/>
            <w:hideMark/>
          </w:tcPr>
          <w:p w14:paraId="55995425"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59</w:t>
            </w:r>
          </w:p>
        </w:tc>
        <w:tc>
          <w:tcPr>
            <w:tcW w:w="1205" w:type="dxa"/>
            <w:tcBorders>
              <w:top w:val="single" w:sz="4" w:space="0" w:color="auto"/>
              <w:left w:val="nil"/>
              <w:bottom w:val="nil"/>
              <w:right w:val="single" w:sz="4" w:space="0" w:color="auto"/>
            </w:tcBorders>
            <w:shd w:val="clear" w:color="auto" w:fill="auto"/>
            <w:noWrap/>
            <w:vAlign w:val="center"/>
            <w:hideMark/>
          </w:tcPr>
          <w:p w14:paraId="763DE6A8" w14:textId="77777777" w:rsidR="00EA6B7A" w:rsidRPr="0072349E" w:rsidRDefault="00EA6B7A" w:rsidP="00C627A0">
            <w:pPr>
              <w:ind w:left="0" w:firstLine="0"/>
              <w:jc w:val="right"/>
              <w:rPr>
                <w:rFonts w:asciiTheme="minorHAnsi" w:eastAsia="Times New Roman" w:hAnsiTheme="minorHAnsi" w:cs="Arial"/>
                <w:noProof/>
                <w:color w:val="000000"/>
                <w:sz w:val="20"/>
                <w:szCs w:val="20"/>
                <w:lang w:val="es-ES" w:eastAsia="en-GB"/>
              </w:rPr>
            </w:pPr>
            <w:r w:rsidRPr="0072349E">
              <w:rPr>
                <w:rFonts w:asciiTheme="minorHAnsi" w:eastAsia="Times New Roman" w:hAnsiTheme="minorHAnsi" w:cs="Arial"/>
                <w:noProof/>
                <w:color w:val="000000"/>
                <w:sz w:val="20"/>
                <w:szCs w:val="20"/>
                <w:lang w:val="es-ES" w:eastAsia="en-GB"/>
              </w:rPr>
              <w:t>59</w:t>
            </w:r>
          </w:p>
        </w:tc>
        <w:tc>
          <w:tcPr>
            <w:tcW w:w="1205" w:type="dxa"/>
            <w:tcBorders>
              <w:top w:val="nil"/>
              <w:left w:val="nil"/>
              <w:bottom w:val="single" w:sz="4" w:space="0" w:color="auto"/>
              <w:right w:val="single" w:sz="4" w:space="0" w:color="auto"/>
            </w:tcBorders>
            <w:shd w:val="clear" w:color="auto" w:fill="auto"/>
            <w:noWrap/>
            <w:vAlign w:val="center"/>
            <w:hideMark/>
          </w:tcPr>
          <w:p w14:paraId="3FC6A55B" w14:textId="77777777" w:rsidR="00EA6B7A" w:rsidRPr="0072349E" w:rsidRDefault="00EA6B7A" w:rsidP="00C627A0">
            <w:pPr>
              <w:ind w:left="0" w:firstLine="0"/>
              <w:jc w:val="right"/>
              <w:rPr>
                <w:rFonts w:asciiTheme="minorHAnsi" w:eastAsia="Times New Roman" w:hAnsiTheme="minorHAnsi" w:cs="Arial"/>
                <w:noProof/>
                <w:sz w:val="20"/>
                <w:szCs w:val="20"/>
                <w:lang w:val="es-ES" w:eastAsia="en-GB"/>
              </w:rPr>
            </w:pPr>
            <w:r w:rsidRPr="0072349E">
              <w:rPr>
                <w:rFonts w:asciiTheme="minorHAnsi" w:eastAsia="Times New Roman" w:hAnsiTheme="minorHAnsi" w:cs="Arial"/>
                <w:noProof/>
                <w:sz w:val="20"/>
                <w:szCs w:val="20"/>
                <w:lang w:val="es-ES" w:eastAsia="en-GB"/>
              </w:rPr>
              <w:t>177</w:t>
            </w:r>
          </w:p>
        </w:tc>
      </w:tr>
      <w:tr w:rsidR="00EA6B7A" w:rsidRPr="0072349E" w14:paraId="00388FF1" w14:textId="77777777" w:rsidTr="0072349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68EF2C8" w14:textId="77777777" w:rsidR="00EA6B7A" w:rsidRPr="0072349E" w:rsidRDefault="00EA6B7A" w:rsidP="00C627A0">
            <w:pPr>
              <w:ind w:left="0" w:firstLine="0"/>
              <w:rPr>
                <w:rFonts w:asciiTheme="minorHAnsi" w:eastAsia="Times New Roman" w:hAnsiTheme="minorHAnsi" w:cs="Arial"/>
                <w:b/>
                <w:bCs/>
                <w:noProof/>
                <w:color w:val="1F497D"/>
                <w:sz w:val="20"/>
                <w:szCs w:val="20"/>
                <w:lang w:val="es-ES" w:eastAsia="en-GB"/>
              </w:rPr>
            </w:pPr>
            <w:r w:rsidRPr="0072349E">
              <w:rPr>
                <w:rFonts w:asciiTheme="minorHAnsi" w:eastAsia="Times New Roman" w:hAnsiTheme="minorHAnsi" w:cs="Arial"/>
                <w:b/>
                <w:bCs/>
                <w:noProof/>
                <w:color w:val="1F497D"/>
                <w:sz w:val="20"/>
                <w:szCs w:val="20"/>
                <w:lang w:val="es-ES" w:eastAsia="en-GB"/>
              </w:rPr>
              <w:t>TOTAL DE GASTOS</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2504B275"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403EF723"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4A9BE23D"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5 227</w:t>
            </w:r>
          </w:p>
        </w:tc>
        <w:tc>
          <w:tcPr>
            <w:tcW w:w="1205" w:type="dxa"/>
            <w:tcBorders>
              <w:top w:val="nil"/>
              <w:left w:val="nil"/>
              <w:bottom w:val="single" w:sz="4" w:space="0" w:color="auto"/>
              <w:right w:val="single" w:sz="4" w:space="0" w:color="auto"/>
            </w:tcBorders>
            <w:shd w:val="clear" w:color="000000" w:fill="C4D79B"/>
            <w:noWrap/>
            <w:vAlign w:val="center"/>
            <w:hideMark/>
          </w:tcPr>
          <w:p w14:paraId="594326E9" w14:textId="77777777" w:rsidR="00EA6B7A" w:rsidRPr="0072349E" w:rsidRDefault="00EA6B7A" w:rsidP="00C627A0">
            <w:pPr>
              <w:ind w:left="0" w:firstLine="0"/>
              <w:jc w:val="right"/>
              <w:rPr>
                <w:rFonts w:eastAsia="Times New Roman" w:cs="Arial"/>
                <w:b/>
                <w:bCs/>
                <w:noProof/>
                <w:color w:val="000000"/>
                <w:sz w:val="20"/>
                <w:szCs w:val="20"/>
                <w:lang w:val="es-ES" w:eastAsia="en-GB"/>
              </w:rPr>
            </w:pPr>
            <w:r w:rsidRPr="0072349E">
              <w:rPr>
                <w:rFonts w:eastAsia="Times New Roman" w:cs="Arial"/>
                <w:b/>
                <w:bCs/>
                <w:noProof/>
                <w:color w:val="000000"/>
                <w:sz w:val="20"/>
                <w:szCs w:val="20"/>
                <w:lang w:val="es-ES" w:eastAsia="en-GB"/>
              </w:rPr>
              <w:t>15 681</w:t>
            </w:r>
          </w:p>
        </w:tc>
      </w:tr>
    </w:tbl>
    <w:p w14:paraId="578F0BF3" w14:textId="0BA7E90F" w:rsidR="00EA6B7A" w:rsidRPr="00814222" w:rsidRDefault="00EA6B7A" w:rsidP="00814222">
      <w:pPr>
        <w:ind w:left="0" w:firstLine="0"/>
        <w:rPr>
          <w:rFonts w:cs="Arial"/>
          <w:b/>
          <w:noProof/>
          <w:lang w:val="es-ES"/>
        </w:rPr>
      </w:pPr>
      <w:r w:rsidRPr="00814222">
        <w:rPr>
          <w:rFonts w:cs="Arial"/>
          <w:b/>
          <w:noProof/>
          <w:lang w:val="es-ES"/>
        </w:rPr>
        <w:lastRenderedPageBreak/>
        <w:t xml:space="preserve">Escenario C, incremento del 4,2 % respecto del trienio 2019-2021 </w:t>
      </w:r>
    </w:p>
    <w:tbl>
      <w:tblPr>
        <w:tblW w:w="9810" w:type="dxa"/>
        <w:tblInd w:w="-459" w:type="dxa"/>
        <w:tblLayout w:type="fixed"/>
        <w:tblCellMar>
          <w:left w:w="57" w:type="dxa"/>
          <w:right w:w="57" w:type="dxa"/>
        </w:tblCellMar>
        <w:tblLook w:val="04A0" w:firstRow="1" w:lastRow="0" w:firstColumn="1" w:lastColumn="0" w:noHBand="0" w:noVBand="1"/>
      </w:tblPr>
      <w:tblGrid>
        <w:gridCol w:w="4990"/>
        <w:gridCol w:w="1205"/>
        <w:gridCol w:w="1205"/>
        <w:gridCol w:w="1205"/>
        <w:gridCol w:w="1205"/>
      </w:tblGrid>
      <w:tr w:rsidR="00EA6B7A" w:rsidRPr="0072349E" w14:paraId="07743789" w14:textId="77777777" w:rsidTr="0072349E">
        <w:trPr>
          <w:trHeight w:val="913"/>
        </w:trPr>
        <w:tc>
          <w:tcPr>
            <w:tcW w:w="499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25CA5F7F" w14:textId="146B90CF" w:rsidR="00EA6B7A" w:rsidRPr="0072349E" w:rsidRDefault="00EA6B7A" w:rsidP="00C627A0">
            <w:pPr>
              <w:ind w:left="0" w:firstLine="0"/>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Presupuesto</w:t>
            </w:r>
            <w:r w:rsidR="003A48FF" w:rsidRPr="0072349E">
              <w:rPr>
                <w:rFonts w:asciiTheme="minorHAnsi" w:eastAsia="Times New Roman" w:hAnsiTheme="minorHAnsi" w:cstheme="minorHAnsi"/>
                <w:b/>
                <w:bCs/>
                <w:noProof/>
                <w:color w:val="1F497D"/>
                <w:sz w:val="20"/>
                <w:szCs w:val="20"/>
                <w:lang w:val="es-ES" w:eastAsia="en-GB"/>
              </w:rPr>
              <w:t xml:space="preserve"> de Ramsar</w:t>
            </w:r>
            <w:r w:rsidRPr="0072349E">
              <w:rPr>
                <w:rFonts w:asciiTheme="minorHAnsi" w:eastAsia="Times New Roman" w:hAnsiTheme="minorHAnsi" w:cstheme="minorHAnsi"/>
                <w:b/>
                <w:bCs/>
                <w:noProof/>
                <w:color w:val="1F497D"/>
                <w:sz w:val="20"/>
                <w:szCs w:val="20"/>
                <w:lang w:val="es-ES" w:eastAsia="en-GB"/>
              </w:rPr>
              <w:t xml:space="preserve"> propuesto para 2023-2025</w:t>
            </w:r>
          </w:p>
          <w:p w14:paraId="5FBE5E9B" w14:textId="77777777" w:rsidR="00EA6B7A" w:rsidRPr="0072349E" w:rsidRDefault="00EA6B7A" w:rsidP="00C627A0">
            <w:pPr>
              <w:ind w:left="0" w:firstLine="0"/>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en miles de francos suizos</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2540477D" w14:textId="77777777" w:rsidR="00EA6B7A" w:rsidRPr="0072349E" w:rsidRDefault="00EA6B7A" w:rsidP="00C627A0">
            <w:pPr>
              <w:ind w:left="0" w:firstLine="0"/>
              <w:jc w:val="center"/>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Presupuesto 2023</w:t>
            </w:r>
            <w:r w:rsidRPr="0072349E">
              <w:rPr>
                <w:rFonts w:asciiTheme="minorHAnsi" w:eastAsia="Times New Roman" w:hAnsiTheme="minorHAnsi" w:cstheme="minorHAnsi"/>
                <w:noProof/>
                <w:color w:val="1F497D"/>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2E033E75" w14:textId="77777777" w:rsidR="00EA6B7A" w:rsidRPr="0072349E" w:rsidRDefault="00EA6B7A" w:rsidP="00C627A0">
            <w:pPr>
              <w:ind w:left="0" w:firstLine="0"/>
              <w:jc w:val="center"/>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 xml:space="preserve">Presupuesto </w:t>
            </w:r>
          </w:p>
          <w:p w14:paraId="4D7FE33F" w14:textId="77777777" w:rsidR="00EA6B7A" w:rsidRPr="0072349E" w:rsidRDefault="00EA6B7A" w:rsidP="00C627A0">
            <w:pPr>
              <w:ind w:left="0" w:firstLine="0"/>
              <w:jc w:val="center"/>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2024</w:t>
            </w:r>
            <w:r w:rsidRPr="0072349E">
              <w:rPr>
                <w:rFonts w:asciiTheme="minorHAnsi" w:eastAsia="Times New Roman" w:hAnsiTheme="minorHAnsi" w:cstheme="minorHAnsi"/>
                <w:noProof/>
                <w:color w:val="1F497D"/>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3E3DD26F" w14:textId="77777777" w:rsidR="00EA6B7A" w:rsidRPr="0072349E" w:rsidRDefault="00EA6B7A" w:rsidP="00C627A0">
            <w:pPr>
              <w:ind w:left="0" w:firstLine="0"/>
              <w:jc w:val="center"/>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Presupuesto 2025 </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64BED167" w14:textId="77777777" w:rsidR="00EA6B7A" w:rsidRPr="0072349E" w:rsidRDefault="00EA6B7A" w:rsidP="00C627A0">
            <w:pPr>
              <w:ind w:left="0" w:firstLine="0"/>
              <w:jc w:val="center"/>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Total Presupuesto 2023-2025</w:t>
            </w:r>
            <w:r w:rsidRPr="0072349E">
              <w:rPr>
                <w:rFonts w:asciiTheme="minorHAnsi" w:eastAsia="Times New Roman" w:hAnsiTheme="minorHAnsi" w:cstheme="minorHAnsi"/>
                <w:b/>
                <w:bCs/>
                <w:noProof/>
                <w:sz w:val="20"/>
                <w:szCs w:val="20"/>
                <w:lang w:val="es-ES" w:eastAsia="en-GB"/>
              </w:rPr>
              <w:t> </w:t>
            </w:r>
          </w:p>
        </w:tc>
      </w:tr>
      <w:tr w:rsidR="00EA6B7A" w:rsidRPr="0072349E" w14:paraId="46ECB752" w14:textId="77777777" w:rsidTr="0072349E">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33174" w14:textId="77777777" w:rsidR="00EA6B7A" w:rsidRPr="0072349E" w:rsidRDefault="00EA6B7A" w:rsidP="00C627A0">
            <w:pPr>
              <w:ind w:left="0" w:firstLine="0"/>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INGRESOS</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40CE8D7"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E4D2E56"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1F775DC"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D711985"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 </w:t>
            </w:r>
          </w:p>
        </w:tc>
      </w:tr>
      <w:tr w:rsidR="00EA6B7A" w:rsidRPr="0072349E" w14:paraId="17914BDD"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02419185" w14:textId="77777777" w:rsidR="00EA6B7A" w:rsidRPr="0072349E" w:rsidRDefault="00EA6B7A" w:rsidP="00C627A0">
            <w:pPr>
              <w:ind w:left="0" w:firstLine="0"/>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sz w:val="20"/>
                <w:szCs w:val="20"/>
                <w:lang w:val="es-ES" w:eastAsia="en-GB"/>
              </w:rPr>
              <w:t>Contribuciones de las Partes</w:t>
            </w:r>
          </w:p>
        </w:tc>
        <w:tc>
          <w:tcPr>
            <w:tcW w:w="1205" w:type="dxa"/>
            <w:tcBorders>
              <w:top w:val="nil"/>
              <w:left w:val="nil"/>
              <w:bottom w:val="single" w:sz="4" w:space="0" w:color="auto"/>
              <w:right w:val="single" w:sz="4" w:space="0" w:color="auto"/>
            </w:tcBorders>
            <w:shd w:val="clear" w:color="auto" w:fill="auto"/>
            <w:noWrap/>
            <w:vAlign w:val="center"/>
            <w:hideMark/>
          </w:tcPr>
          <w:p w14:paraId="28784EC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3 878</w:t>
            </w:r>
          </w:p>
        </w:tc>
        <w:tc>
          <w:tcPr>
            <w:tcW w:w="1205" w:type="dxa"/>
            <w:tcBorders>
              <w:top w:val="nil"/>
              <w:left w:val="nil"/>
              <w:bottom w:val="single" w:sz="4" w:space="0" w:color="auto"/>
              <w:right w:val="single" w:sz="4" w:space="0" w:color="auto"/>
            </w:tcBorders>
            <w:shd w:val="clear" w:color="auto" w:fill="auto"/>
            <w:noWrap/>
            <w:vAlign w:val="center"/>
            <w:hideMark/>
          </w:tcPr>
          <w:p w14:paraId="2A73936C"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3 878</w:t>
            </w:r>
          </w:p>
        </w:tc>
        <w:tc>
          <w:tcPr>
            <w:tcW w:w="1205" w:type="dxa"/>
            <w:tcBorders>
              <w:top w:val="nil"/>
              <w:left w:val="nil"/>
              <w:bottom w:val="single" w:sz="4" w:space="0" w:color="auto"/>
              <w:right w:val="single" w:sz="4" w:space="0" w:color="auto"/>
            </w:tcBorders>
            <w:shd w:val="clear" w:color="auto" w:fill="auto"/>
            <w:noWrap/>
            <w:vAlign w:val="center"/>
            <w:hideMark/>
          </w:tcPr>
          <w:p w14:paraId="2EEB6044"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4 090</w:t>
            </w:r>
          </w:p>
        </w:tc>
        <w:tc>
          <w:tcPr>
            <w:tcW w:w="1205" w:type="dxa"/>
            <w:tcBorders>
              <w:top w:val="nil"/>
              <w:left w:val="nil"/>
              <w:bottom w:val="single" w:sz="4" w:space="0" w:color="auto"/>
              <w:right w:val="single" w:sz="4" w:space="0" w:color="auto"/>
            </w:tcBorders>
            <w:shd w:val="clear" w:color="auto" w:fill="auto"/>
            <w:noWrap/>
            <w:vAlign w:val="center"/>
            <w:hideMark/>
          </w:tcPr>
          <w:p w14:paraId="16D8D5D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11 846</w:t>
            </w:r>
          </w:p>
        </w:tc>
      </w:tr>
      <w:tr w:rsidR="00EA6B7A" w:rsidRPr="0072349E" w14:paraId="45B5E11B"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3C182930" w14:textId="77777777" w:rsidR="00EA6B7A" w:rsidRPr="0072349E" w:rsidRDefault="00EA6B7A" w:rsidP="00C627A0">
            <w:pPr>
              <w:ind w:left="0" w:firstLine="0"/>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sz w:val="20"/>
                <w:szCs w:val="20"/>
                <w:lang w:val="es-ES" w:eastAsia="en-GB"/>
              </w:rPr>
              <w:t>Contribuciones voluntarias</w:t>
            </w:r>
          </w:p>
        </w:tc>
        <w:tc>
          <w:tcPr>
            <w:tcW w:w="1205" w:type="dxa"/>
            <w:tcBorders>
              <w:top w:val="nil"/>
              <w:left w:val="nil"/>
              <w:bottom w:val="single" w:sz="4" w:space="0" w:color="auto"/>
              <w:right w:val="single" w:sz="4" w:space="0" w:color="auto"/>
            </w:tcBorders>
            <w:shd w:val="clear" w:color="auto" w:fill="auto"/>
            <w:noWrap/>
            <w:vAlign w:val="center"/>
            <w:hideMark/>
          </w:tcPr>
          <w:p w14:paraId="05F0F05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1 094</w:t>
            </w:r>
          </w:p>
        </w:tc>
        <w:tc>
          <w:tcPr>
            <w:tcW w:w="1205" w:type="dxa"/>
            <w:tcBorders>
              <w:top w:val="nil"/>
              <w:left w:val="nil"/>
              <w:bottom w:val="single" w:sz="4" w:space="0" w:color="auto"/>
              <w:right w:val="single" w:sz="4" w:space="0" w:color="auto"/>
            </w:tcBorders>
            <w:shd w:val="clear" w:color="auto" w:fill="auto"/>
            <w:noWrap/>
            <w:vAlign w:val="center"/>
            <w:hideMark/>
          </w:tcPr>
          <w:p w14:paraId="07418557"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1 094</w:t>
            </w:r>
          </w:p>
        </w:tc>
        <w:tc>
          <w:tcPr>
            <w:tcW w:w="1205" w:type="dxa"/>
            <w:tcBorders>
              <w:top w:val="nil"/>
              <w:left w:val="nil"/>
              <w:bottom w:val="single" w:sz="4" w:space="0" w:color="auto"/>
              <w:right w:val="single" w:sz="4" w:space="0" w:color="auto"/>
            </w:tcBorders>
            <w:shd w:val="clear" w:color="auto" w:fill="auto"/>
            <w:noWrap/>
            <w:vAlign w:val="center"/>
            <w:hideMark/>
          </w:tcPr>
          <w:p w14:paraId="77A50982"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1 118</w:t>
            </w:r>
          </w:p>
        </w:tc>
        <w:tc>
          <w:tcPr>
            <w:tcW w:w="1205" w:type="dxa"/>
            <w:tcBorders>
              <w:top w:val="nil"/>
              <w:left w:val="nil"/>
              <w:bottom w:val="single" w:sz="4" w:space="0" w:color="auto"/>
              <w:right w:val="single" w:sz="4" w:space="0" w:color="auto"/>
            </w:tcBorders>
            <w:shd w:val="clear" w:color="auto" w:fill="auto"/>
            <w:noWrap/>
            <w:vAlign w:val="center"/>
            <w:hideMark/>
          </w:tcPr>
          <w:p w14:paraId="116AB53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3 306</w:t>
            </w:r>
          </w:p>
        </w:tc>
      </w:tr>
      <w:tr w:rsidR="00EA6B7A" w:rsidRPr="0072349E" w14:paraId="1145BD54"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6D89AD82" w14:textId="77777777" w:rsidR="00EA6B7A" w:rsidRPr="0072349E" w:rsidRDefault="00EA6B7A" w:rsidP="00C627A0">
            <w:pPr>
              <w:ind w:left="0" w:firstLine="0"/>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sz w:val="20"/>
                <w:szCs w:val="20"/>
                <w:lang w:val="es-ES" w:eastAsia="en-GB"/>
              </w:rPr>
              <w:t>Impuesto sobre la renta</w:t>
            </w:r>
          </w:p>
        </w:tc>
        <w:tc>
          <w:tcPr>
            <w:tcW w:w="1205" w:type="dxa"/>
            <w:tcBorders>
              <w:top w:val="nil"/>
              <w:left w:val="nil"/>
              <w:bottom w:val="single" w:sz="4" w:space="0" w:color="auto"/>
              <w:right w:val="single" w:sz="4" w:space="0" w:color="auto"/>
            </w:tcBorders>
            <w:shd w:val="clear" w:color="auto" w:fill="auto"/>
            <w:noWrap/>
            <w:vAlign w:val="center"/>
            <w:hideMark/>
          </w:tcPr>
          <w:p w14:paraId="55D25939"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243</w:t>
            </w:r>
          </w:p>
        </w:tc>
        <w:tc>
          <w:tcPr>
            <w:tcW w:w="1205" w:type="dxa"/>
            <w:tcBorders>
              <w:top w:val="nil"/>
              <w:left w:val="nil"/>
              <w:bottom w:val="single" w:sz="4" w:space="0" w:color="auto"/>
              <w:right w:val="single" w:sz="4" w:space="0" w:color="auto"/>
            </w:tcBorders>
            <w:shd w:val="clear" w:color="auto" w:fill="auto"/>
            <w:noWrap/>
            <w:vAlign w:val="center"/>
            <w:hideMark/>
          </w:tcPr>
          <w:p w14:paraId="01B5C96F"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243</w:t>
            </w:r>
          </w:p>
        </w:tc>
        <w:tc>
          <w:tcPr>
            <w:tcW w:w="1205" w:type="dxa"/>
            <w:tcBorders>
              <w:top w:val="nil"/>
              <w:left w:val="nil"/>
              <w:bottom w:val="single" w:sz="4" w:space="0" w:color="auto"/>
              <w:right w:val="single" w:sz="4" w:space="0" w:color="auto"/>
            </w:tcBorders>
            <w:shd w:val="clear" w:color="auto" w:fill="auto"/>
            <w:noWrap/>
            <w:vAlign w:val="center"/>
            <w:hideMark/>
          </w:tcPr>
          <w:p w14:paraId="35FD661D"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243</w:t>
            </w:r>
          </w:p>
        </w:tc>
        <w:tc>
          <w:tcPr>
            <w:tcW w:w="1205" w:type="dxa"/>
            <w:tcBorders>
              <w:top w:val="nil"/>
              <w:left w:val="nil"/>
              <w:bottom w:val="single" w:sz="4" w:space="0" w:color="auto"/>
              <w:right w:val="single" w:sz="4" w:space="0" w:color="auto"/>
            </w:tcBorders>
            <w:shd w:val="clear" w:color="auto" w:fill="auto"/>
            <w:noWrap/>
            <w:vAlign w:val="center"/>
            <w:hideMark/>
          </w:tcPr>
          <w:p w14:paraId="5543489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729</w:t>
            </w:r>
          </w:p>
        </w:tc>
      </w:tr>
      <w:tr w:rsidR="00EA6B7A" w:rsidRPr="0072349E" w14:paraId="03F0D23F" w14:textId="77777777" w:rsidTr="0072349E">
        <w:tc>
          <w:tcPr>
            <w:tcW w:w="4990" w:type="dxa"/>
            <w:tcBorders>
              <w:top w:val="nil"/>
              <w:left w:val="single" w:sz="4" w:space="0" w:color="auto"/>
              <w:bottom w:val="nil"/>
              <w:right w:val="single" w:sz="4" w:space="0" w:color="auto"/>
            </w:tcBorders>
            <w:shd w:val="clear" w:color="auto" w:fill="auto"/>
            <w:noWrap/>
            <w:vAlign w:val="center"/>
            <w:hideMark/>
          </w:tcPr>
          <w:p w14:paraId="3B7CF085" w14:textId="77777777" w:rsidR="00EA6B7A" w:rsidRPr="0072349E" w:rsidRDefault="00EA6B7A" w:rsidP="00C627A0">
            <w:pPr>
              <w:ind w:left="0" w:firstLine="0"/>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sz w:val="20"/>
                <w:szCs w:val="20"/>
                <w:lang w:val="es-ES" w:eastAsia="en-GB"/>
              </w:rPr>
              <w:t>Ingresos por intereses</w:t>
            </w:r>
          </w:p>
        </w:tc>
        <w:tc>
          <w:tcPr>
            <w:tcW w:w="1205" w:type="dxa"/>
            <w:tcBorders>
              <w:top w:val="nil"/>
              <w:left w:val="nil"/>
              <w:bottom w:val="single" w:sz="4" w:space="0" w:color="auto"/>
              <w:right w:val="single" w:sz="4" w:space="0" w:color="auto"/>
            </w:tcBorders>
            <w:shd w:val="clear" w:color="auto" w:fill="auto"/>
            <w:noWrap/>
            <w:vAlign w:val="center"/>
            <w:hideMark/>
          </w:tcPr>
          <w:p w14:paraId="4323F037"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54C335E9"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5FF813DE"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12</w:t>
            </w:r>
          </w:p>
        </w:tc>
        <w:tc>
          <w:tcPr>
            <w:tcW w:w="1205" w:type="dxa"/>
            <w:tcBorders>
              <w:top w:val="nil"/>
              <w:left w:val="nil"/>
              <w:bottom w:val="single" w:sz="4" w:space="0" w:color="auto"/>
              <w:right w:val="single" w:sz="4" w:space="0" w:color="auto"/>
            </w:tcBorders>
            <w:shd w:val="clear" w:color="auto" w:fill="auto"/>
            <w:noWrap/>
            <w:vAlign w:val="center"/>
            <w:hideMark/>
          </w:tcPr>
          <w:p w14:paraId="4B1F1EE3"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36</w:t>
            </w:r>
          </w:p>
        </w:tc>
      </w:tr>
      <w:tr w:rsidR="00EA6B7A" w:rsidRPr="0072349E" w14:paraId="3F6F3098" w14:textId="77777777" w:rsidTr="0072349E">
        <w:tc>
          <w:tcPr>
            <w:tcW w:w="499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8BE5DF4" w14:textId="77777777" w:rsidR="00EA6B7A" w:rsidRPr="0072349E" w:rsidRDefault="00EA6B7A" w:rsidP="00C627A0">
            <w:pPr>
              <w:ind w:left="0" w:firstLine="0"/>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TOTAL DE INGRESOS</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4A2733C7"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5CFA46D6"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087C6F04"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5 463</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28BB95D1"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15 917</w:t>
            </w:r>
          </w:p>
        </w:tc>
      </w:tr>
      <w:tr w:rsidR="00EA6B7A" w:rsidRPr="0072349E" w14:paraId="176A8D50" w14:textId="77777777" w:rsidTr="0072349E">
        <w:trPr>
          <w:trHeight w:val="340"/>
        </w:trPr>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27A7FD81" w14:textId="77777777" w:rsidR="00EA6B7A" w:rsidRPr="0072349E" w:rsidRDefault="00EA6B7A" w:rsidP="00C627A0">
            <w:pPr>
              <w:ind w:left="0" w:firstLine="0"/>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GASTOS</w:t>
            </w:r>
          </w:p>
        </w:tc>
        <w:tc>
          <w:tcPr>
            <w:tcW w:w="1205" w:type="dxa"/>
            <w:tcBorders>
              <w:top w:val="nil"/>
              <w:left w:val="nil"/>
              <w:bottom w:val="single" w:sz="4" w:space="0" w:color="auto"/>
              <w:right w:val="single" w:sz="4" w:space="0" w:color="auto"/>
            </w:tcBorders>
            <w:shd w:val="clear" w:color="auto" w:fill="auto"/>
            <w:noWrap/>
            <w:vAlign w:val="bottom"/>
            <w:hideMark/>
          </w:tcPr>
          <w:p w14:paraId="72B4FFDF" w14:textId="77777777" w:rsidR="00EA6B7A" w:rsidRPr="0072349E" w:rsidRDefault="00EA6B7A" w:rsidP="00C627A0">
            <w:pPr>
              <w:ind w:left="0" w:firstLine="0"/>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24C90F31" w14:textId="77777777" w:rsidR="00EA6B7A" w:rsidRPr="0072349E" w:rsidRDefault="00EA6B7A" w:rsidP="00C627A0">
            <w:pPr>
              <w:ind w:left="0" w:firstLine="0"/>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505883F8" w14:textId="77777777" w:rsidR="00EA6B7A" w:rsidRPr="0072349E" w:rsidRDefault="00EA6B7A" w:rsidP="00C627A0">
            <w:pPr>
              <w:ind w:left="0" w:firstLine="0"/>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6ECBB1A2"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sz w:val="20"/>
                <w:szCs w:val="20"/>
                <w:lang w:val="es-ES" w:eastAsia="en-GB"/>
              </w:rPr>
              <w:t> </w:t>
            </w:r>
          </w:p>
        </w:tc>
      </w:tr>
      <w:tr w:rsidR="00EA6B7A" w:rsidRPr="0072349E" w14:paraId="23E7929F" w14:textId="77777777" w:rsidTr="0072349E">
        <w:tc>
          <w:tcPr>
            <w:tcW w:w="4990" w:type="dxa"/>
            <w:tcBorders>
              <w:top w:val="nil"/>
              <w:left w:val="single" w:sz="4" w:space="0" w:color="auto"/>
              <w:bottom w:val="single" w:sz="4" w:space="0" w:color="auto"/>
              <w:right w:val="single" w:sz="4" w:space="0" w:color="auto"/>
            </w:tcBorders>
            <w:shd w:val="clear" w:color="000000" w:fill="C4D79B"/>
            <w:noWrap/>
            <w:vAlign w:val="center"/>
            <w:hideMark/>
          </w:tcPr>
          <w:p w14:paraId="6DBBFA78" w14:textId="77777777" w:rsidR="00EA6B7A" w:rsidRPr="0072349E" w:rsidRDefault="00EA6B7A" w:rsidP="00C627A0">
            <w:pPr>
              <w:ind w:left="0" w:firstLine="0"/>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sz w:val="20"/>
                <w:szCs w:val="20"/>
                <w:lang w:val="es-ES" w:eastAsia="en-GB"/>
              </w:rPr>
              <w:t>A. Personal directivo de la Secretaría y Gobernanza</w:t>
            </w:r>
          </w:p>
        </w:tc>
        <w:tc>
          <w:tcPr>
            <w:tcW w:w="1205" w:type="dxa"/>
            <w:tcBorders>
              <w:top w:val="nil"/>
              <w:left w:val="nil"/>
              <w:bottom w:val="single" w:sz="4" w:space="0" w:color="auto"/>
              <w:right w:val="single" w:sz="4" w:space="0" w:color="auto"/>
            </w:tcBorders>
            <w:shd w:val="clear" w:color="000000" w:fill="C4D79B"/>
            <w:noWrap/>
            <w:vAlign w:val="center"/>
            <w:hideMark/>
          </w:tcPr>
          <w:p w14:paraId="5F84C793"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1 064</w:t>
            </w:r>
          </w:p>
        </w:tc>
        <w:tc>
          <w:tcPr>
            <w:tcW w:w="1205" w:type="dxa"/>
            <w:tcBorders>
              <w:top w:val="nil"/>
              <w:left w:val="nil"/>
              <w:bottom w:val="single" w:sz="4" w:space="0" w:color="auto"/>
              <w:right w:val="single" w:sz="4" w:space="0" w:color="auto"/>
            </w:tcBorders>
            <w:shd w:val="clear" w:color="000000" w:fill="C4D79B"/>
            <w:noWrap/>
            <w:vAlign w:val="center"/>
            <w:hideMark/>
          </w:tcPr>
          <w:p w14:paraId="03E94785"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1 087</w:t>
            </w:r>
          </w:p>
        </w:tc>
        <w:tc>
          <w:tcPr>
            <w:tcW w:w="1205" w:type="dxa"/>
            <w:tcBorders>
              <w:top w:val="nil"/>
              <w:left w:val="nil"/>
              <w:bottom w:val="single" w:sz="4" w:space="0" w:color="auto"/>
              <w:right w:val="single" w:sz="4" w:space="0" w:color="auto"/>
            </w:tcBorders>
            <w:shd w:val="clear" w:color="000000" w:fill="C4D79B"/>
            <w:noWrap/>
            <w:vAlign w:val="center"/>
            <w:hideMark/>
          </w:tcPr>
          <w:p w14:paraId="2769691F"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1 091</w:t>
            </w:r>
          </w:p>
        </w:tc>
        <w:tc>
          <w:tcPr>
            <w:tcW w:w="1205" w:type="dxa"/>
            <w:tcBorders>
              <w:top w:val="nil"/>
              <w:left w:val="nil"/>
              <w:bottom w:val="single" w:sz="4" w:space="0" w:color="auto"/>
              <w:right w:val="single" w:sz="4" w:space="0" w:color="auto"/>
            </w:tcBorders>
            <w:shd w:val="clear" w:color="000000" w:fill="C4D79B"/>
            <w:noWrap/>
            <w:vAlign w:val="center"/>
            <w:hideMark/>
          </w:tcPr>
          <w:p w14:paraId="11F29FC2"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3 242</w:t>
            </w:r>
          </w:p>
        </w:tc>
      </w:tr>
      <w:tr w:rsidR="00EA6B7A" w:rsidRPr="0072349E" w14:paraId="5734E5E3"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05F099A2" w14:textId="134C98D2"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Salarios</w:t>
            </w:r>
            <w:r w:rsidR="00205F91" w:rsidRPr="0072349E">
              <w:rPr>
                <w:rFonts w:asciiTheme="minorHAnsi" w:eastAsia="Times New Roman" w:hAnsiTheme="minorHAnsi" w:cstheme="minorHAnsi"/>
                <w:noProof/>
                <w:sz w:val="20"/>
                <w:szCs w:val="20"/>
                <w:lang w:val="es-ES" w:eastAsia="en-GB"/>
              </w:rPr>
              <w:t>,</w:t>
            </w:r>
            <w:r w:rsidRPr="0072349E">
              <w:rPr>
                <w:rFonts w:asciiTheme="minorHAnsi" w:eastAsia="Times New Roman" w:hAnsiTheme="minorHAnsi" w:cstheme="minorHAnsi"/>
                <w:noProof/>
                <w:sz w:val="20"/>
                <w:szCs w:val="20"/>
                <w:lang w:val="es-ES" w:eastAsia="en-GB"/>
              </w:rPr>
              <w:t xml:space="preserve"> gastos sociales</w:t>
            </w:r>
            <w:r w:rsidR="00205F91" w:rsidRPr="0072349E">
              <w:rPr>
                <w:rFonts w:asciiTheme="minorHAnsi" w:eastAsia="Times New Roman" w:hAnsiTheme="minorHAnsi" w:cstheme="minorHAnsi"/>
                <w:noProof/>
                <w:sz w:val="20"/>
                <w:szCs w:val="20"/>
                <w:lang w:val="es-ES" w:eastAsia="en-GB"/>
              </w:rPr>
              <w:t xml:space="preserve">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7A429458"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1 019</w:t>
            </w:r>
          </w:p>
        </w:tc>
        <w:tc>
          <w:tcPr>
            <w:tcW w:w="1205" w:type="dxa"/>
            <w:tcBorders>
              <w:top w:val="nil"/>
              <w:left w:val="nil"/>
              <w:bottom w:val="single" w:sz="4" w:space="0" w:color="auto"/>
              <w:right w:val="single" w:sz="4" w:space="0" w:color="auto"/>
            </w:tcBorders>
            <w:shd w:val="clear" w:color="auto" w:fill="auto"/>
            <w:noWrap/>
            <w:vAlign w:val="center"/>
            <w:hideMark/>
          </w:tcPr>
          <w:p w14:paraId="6741F285"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1 042</w:t>
            </w:r>
          </w:p>
        </w:tc>
        <w:tc>
          <w:tcPr>
            <w:tcW w:w="1205" w:type="dxa"/>
            <w:tcBorders>
              <w:top w:val="nil"/>
              <w:left w:val="nil"/>
              <w:bottom w:val="single" w:sz="4" w:space="0" w:color="auto"/>
              <w:right w:val="single" w:sz="4" w:space="0" w:color="auto"/>
            </w:tcBorders>
            <w:shd w:val="clear" w:color="auto" w:fill="auto"/>
            <w:noWrap/>
            <w:vAlign w:val="center"/>
            <w:hideMark/>
          </w:tcPr>
          <w:p w14:paraId="6801D093"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1 046</w:t>
            </w:r>
          </w:p>
        </w:tc>
        <w:tc>
          <w:tcPr>
            <w:tcW w:w="1205" w:type="dxa"/>
            <w:tcBorders>
              <w:top w:val="nil"/>
              <w:left w:val="nil"/>
              <w:bottom w:val="single" w:sz="4" w:space="0" w:color="auto"/>
              <w:right w:val="single" w:sz="4" w:space="0" w:color="auto"/>
            </w:tcBorders>
            <w:shd w:val="clear" w:color="auto" w:fill="auto"/>
            <w:noWrap/>
            <w:vAlign w:val="center"/>
            <w:hideMark/>
          </w:tcPr>
          <w:p w14:paraId="28AB85B3"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3 107</w:t>
            </w:r>
          </w:p>
        </w:tc>
      </w:tr>
      <w:tr w:rsidR="00EA6B7A" w:rsidRPr="0072349E" w14:paraId="30ACE15F"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236428B5"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hideMark/>
          </w:tcPr>
          <w:p w14:paraId="547A692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7721600C"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566EACDC"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6EEA618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135</w:t>
            </w:r>
          </w:p>
        </w:tc>
      </w:tr>
      <w:tr w:rsidR="00EA6B7A" w:rsidRPr="0072349E" w14:paraId="5D373551" w14:textId="77777777" w:rsidTr="0072349E">
        <w:tc>
          <w:tcPr>
            <w:tcW w:w="4990" w:type="dxa"/>
            <w:tcBorders>
              <w:top w:val="nil"/>
              <w:left w:val="single" w:sz="4" w:space="0" w:color="auto"/>
              <w:bottom w:val="single" w:sz="4" w:space="0" w:color="auto"/>
              <w:right w:val="single" w:sz="4" w:space="0" w:color="auto"/>
            </w:tcBorders>
            <w:shd w:val="clear" w:color="000000" w:fill="C4D79B"/>
            <w:noWrap/>
            <w:vAlign w:val="center"/>
            <w:hideMark/>
          </w:tcPr>
          <w:p w14:paraId="734EC543"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 xml:space="preserve">B. Movilización de recursos y Promoción </w:t>
            </w:r>
          </w:p>
        </w:tc>
        <w:tc>
          <w:tcPr>
            <w:tcW w:w="1205" w:type="dxa"/>
            <w:tcBorders>
              <w:top w:val="nil"/>
              <w:left w:val="nil"/>
              <w:bottom w:val="single" w:sz="4" w:space="0" w:color="auto"/>
              <w:right w:val="single" w:sz="4" w:space="0" w:color="auto"/>
            </w:tcBorders>
            <w:shd w:val="clear" w:color="000000" w:fill="C4D79B"/>
            <w:noWrap/>
            <w:vAlign w:val="center"/>
            <w:hideMark/>
          </w:tcPr>
          <w:p w14:paraId="2FF28DAF"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556</w:t>
            </w:r>
          </w:p>
        </w:tc>
        <w:tc>
          <w:tcPr>
            <w:tcW w:w="1205" w:type="dxa"/>
            <w:tcBorders>
              <w:top w:val="nil"/>
              <w:left w:val="nil"/>
              <w:bottom w:val="single" w:sz="4" w:space="0" w:color="auto"/>
              <w:right w:val="single" w:sz="4" w:space="0" w:color="auto"/>
            </w:tcBorders>
            <w:shd w:val="clear" w:color="000000" w:fill="C4D79B"/>
            <w:noWrap/>
            <w:vAlign w:val="center"/>
            <w:hideMark/>
          </w:tcPr>
          <w:p w14:paraId="07322D3F"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560</w:t>
            </w:r>
          </w:p>
        </w:tc>
        <w:tc>
          <w:tcPr>
            <w:tcW w:w="1205" w:type="dxa"/>
            <w:tcBorders>
              <w:top w:val="nil"/>
              <w:left w:val="nil"/>
              <w:bottom w:val="single" w:sz="4" w:space="0" w:color="auto"/>
              <w:right w:val="single" w:sz="4" w:space="0" w:color="auto"/>
            </w:tcBorders>
            <w:shd w:val="clear" w:color="000000" w:fill="C4D79B"/>
            <w:noWrap/>
            <w:vAlign w:val="center"/>
            <w:hideMark/>
          </w:tcPr>
          <w:p w14:paraId="2AFE85FB"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563</w:t>
            </w:r>
          </w:p>
        </w:tc>
        <w:tc>
          <w:tcPr>
            <w:tcW w:w="1205" w:type="dxa"/>
            <w:tcBorders>
              <w:top w:val="nil"/>
              <w:left w:val="nil"/>
              <w:bottom w:val="single" w:sz="4" w:space="0" w:color="auto"/>
              <w:right w:val="single" w:sz="4" w:space="0" w:color="auto"/>
            </w:tcBorders>
            <w:shd w:val="clear" w:color="000000" w:fill="C4D79B"/>
            <w:noWrap/>
            <w:vAlign w:val="center"/>
            <w:hideMark/>
          </w:tcPr>
          <w:p w14:paraId="0166BB97"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1 679</w:t>
            </w:r>
          </w:p>
        </w:tc>
      </w:tr>
      <w:tr w:rsidR="00EA6B7A" w:rsidRPr="0072349E" w14:paraId="720F061E"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2A055DBD"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2AE9DD86"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355</w:t>
            </w:r>
          </w:p>
        </w:tc>
        <w:tc>
          <w:tcPr>
            <w:tcW w:w="1205" w:type="dxa"/>
            <w:tcBorders>
              <w:top w:val="nil"/>
              <w:left w:val="nil"/>
              <w:bottom w:val="single" w:sz="4" w:space="0" w:color="auto"/>
              <w:right w:val="single" w:sz="4" w:space="0" w:color="auto"/>
            </w:tcBorders>
            <w:shd w:val="clear" w:color="auto" w:fill="auto"/>
            <w:noWrap/>
            <w:vAlign w:val="center"/>
            <w:hideMark/>
          </w:tcPr>
          <w:p w14:paraId="68E42A8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359</w:t>
            </w:r>
          </w:p>
        </w:tc>
        <w:tc>
          <w:tcPr>
            <w:tcW w:w="1205" w:type="dxa"/>
            <w:tcBorders>
              <w:top w:val="nil"/>
              <w:left w:val="nil"/>
              <w:bottom w:val="single" w:sz="4" w:space="0" w:color="auto"/>
              <w:right w:val="single" w:sz="4" w:space="0" w:color="auto"/>
            </w:tcBorders>
            <w:shd w:val="clear" w:color="auto" w:fill="auto"/>
            <w:noWrap/>
            <w:vAlign w:val="center"/>
            <w:hideMark/>
          </w:tcPr>
          <w:p w14:paraId="1441715D"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362</w:t>
            </w:r>
          </w:p>
        </w:tc>
        <w:tc>
          <w:tcPr>
            <w:tcW w:w="1205" w:type="dxa"/>
            <w:tcBorders>
              <w:top w:val="nil"/>
              <w:left w:val="nil"/>
              <w:bottom w:val="single" w:sz="4" w:space="0" w:color="auto"/>
              <w:right w:val="single" w:sz="4" w:space="0" w:color="auto"/>
            </w:tcBorders>
            <w:shd w:val="clear" w:color="auto" w:fill="auto"/>
            <w:noWrap/>
            <w:vAlign w:val="center"/>
            <w:hideMark/>
          </w:tcPr>
          <w:p w14:paraId="2DA6C637"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1 076</w:t>
            </w:r>
          </w:p>
        </w:tc>
      </w:tr>
      <w:tr w:rsidR="00EA6B7A" w:rsidRPr="0072349E" w14:paraId="5BB6C8FA"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456A9A72"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Programa de CECoP</w:t>
            </w:r>
          </w:p>
        </w:tc>
        <w:tc>
          <w:tcPr>
            <w:tcW w:w="1205" w:type="dxa"/>
            <w:tcBorders>
              <w:top w:val="nil"/>
              <w:left w:val="nil"/>
              <w:bottom w:val="single" w:sz="4" w:space="0" w:color="auto"/>
              <w:right w:val="single" w:sz="4" w:space="0" w:color="auto"/>
            </w:tcBorders>
            <w:shd w:val="clear" w:color="auto" w:fill="auto"/>
            <w:noWrap/>
            <w:vAlign w:val="center"/>
            <w:hideMark/>
          </w:tcPr>
          <w:p w14:paraId="25B3D079"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7E51694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43FBE67"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6C783C86"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90</w:t>
            </w:r>
          </w:p>
        </w:tc>
      </w:tr>
      <w:tr w:rsidR="00EA6B7A" w:rsidRPr="0072349E" w14:paraId="45F52D0B"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0E491908"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 xml:space="preserve">Comunicaciones, traducción, publicaciones e informes </w:t>
            </w:r>
          </w:p>
        </w:tc>
        <w:tc>
          <w:tcPr>
            <w:tcW w:w="1205" w:type="dxa"/>
            <w:tcBorders>
              <w:top w:val="nil"/>
              <w:left w:val="nil"/>
              <w:bottom w:val="single" w:sz="4" w:space="0" w:color="auto"/>
              <w:right w:val="single" w:sz="4" w:space="0" w:color="auto"/>
            </w:tcBorders>
            <w:shd w:val="clear" w:color="auto" w:fill="auto"/>
            <w:noWrap/>
            <w:vAlign w:val="center"/>
            <w:hideMark/>
          </w:tcPr>
          <w:p w14:paraId="25520533"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569E3F55"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0FF07680"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6FEBF14"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300</w:t>
            </w:r>
          </w:p>
        </w:tc>
      </w:tr>
      <w:tr w:rsidR="00EA6B7A" w:rsidRPr="0072349E" w14:paraId="5C580ED7"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69CDE379" w14:textId="77777777" w:rsidR="00EA6B7A" w:rsidRPr="00E02DE1" w:rsidRDefault="00EA6B7A" w:rsidP="00C627A0">
            <w:pPr>
              <w:ind w:left="0" w:firstLine="0"/>
              <w:rPr>
                <w:rFonts w:asciiTheme="minorHAnsi" w:eastAsia="Times New Roman" w:hAnsiTheme="minorHAnsi" w:cstheme="minorHAnsi"/>
                <w:noProof/>
                <w:spacing w:val="-4"/>
                <w:sz w:val="20"/>
                <w:szCs w:val="20"/>
                <w:lang w:val="es-ES" w:eastAsia="en-GB"/>
              </w:rPr>
            </w:pPr>
            <w:r w:rsidRPr="00E02DE1">
              <w:rPr>
                <w:rFonts w:asciiTheme="minorHAnsi" w:eastAsia="Times New Roman" w:hAnsiTheme="minorHAnsi" w:cstheme="minorHAnsi"/>
                <w:noProof/>
                <w:spacing w:val="-4"/>
                <w:sz w:val="20"/>
                <w:szCs w:val="20"/>
                <w:lang w:val="es-ES" w:eastAsia="en-GB"/>
              </w:rPr>
              <w:t>Apoyo y desarrollo del sitio web/tecnologías de la información</w:t>
            </w:r>
          </w:p>
        </w:tc>
        <w:tc>
          <w:tcPr>
            <w:tcW w:w="1205" w:type="dxa"/>
            <w:tcBorders>
              <w:top w:val="nil"/>
              <w:left w:val="nil"/>
              <w:bottom w:val="single" w:sz="4" w:space="0" w:color="auto"/>
              <w:right w:val="single" w:sz="4" w:space="0" w:color="auto"/>
            </w:tcBorders>
            <w:shd w:val="clear" w:color="auto" w:fill="auto"/>
            <w:noWrap/>
            <w:vAlign w:val="center"/>
            <w:hideMark/>
          </w:tcPr>
          <w:p w14:paraId="1A9C890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0242876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4D502492"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56</w:t>
            </w:r>
          </w:p>
        </w:tc>
        <w:tc>
          <w:tcPr>
            <w:tcW w:w="1205" w:type="dxa"/>
            <w:tcBorders>
              <w:top w:val="nil"/>
              <w:left w:val="nil"/>
              <w:bottom w:val="single" w:sz="4" w:space="0" w:color="auto"/>
              <w:right w:val="single" w:sz="4" w:space="0" w:color="auto"/>
            </w:tcBorders>
            <w:shd w:val="clear" w:color="auto" w:fill="auto"/>
            <w:noWrap/>
            <w:vAlign w:val="center"/>
            <w:hideMark/>
          </w:tcPr>
          <w:p w14:paraId="1697E5D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168</w:t>
            </w:r>
          </w:p>
        </w:tc>
      </w:tr>
      <w:tr w:rsidR="00EA6B7A" w:rsidRPr="0072349E" w14:paraId="595D96B2"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tcPr>
          <w:p w14:paraId="393E2360"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tcPr>
          <w:p w14:paraId="1FDFE87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15</w:t>
            </w:r>
          </w:p>
        </w:tc>
        <w:tc>
          <w:tcPr>
            <w:tcW w:w="1205" w:type="dxa"/>
            <w:tcBorders>
              <w:top w:val="nil"/>
              <w:left w:val="nil"/>
              <w:bottom w:val="single" w:sz="4" w:space="0" w:color="auto"/>
              <w:right w:val="single" w:sz="4" w:space="0" w:color="auto"/>
            </w:tcBorders>
            <w:shd w:val="clear" w:color="auto" w:fill="auto"/>
            <w:noWrap/>
            <w:vAlign w:val="center"/>
          </w:tcPr>
          <w:p w14:paraId="6BE6588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15</w:t>
            </w:r>
          </w:p>
        </w:tc>
        <w:tc>
          <w:tcPr>
            <w:tcW w:w="1205" w:type="dxa"/>
            <w:tcBorders>
              <w:top w:val="nil"/>
              <w:left w:val="nil"/>
              <w:bottom w:val="single" w:sz="4" w:space="0" w:color="auto"/>
              <w:right w:val="single" w:sz="4" w:space="0" w:color="auto"/>
            </w:tcBorders>
            <w:shd w:val="clear" w:color="auto" w:fill="auto"/>
            <w:noWrap/>
            <w:vAlign w:val="center"/>
          </w:tcPr>
          <w:p w14:paraId="7EDFF6F4"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15</w:t>
            </w:r>
          </w:p>
        </w:tc>
        <w:tc>
          <w:tcPr>
            <w:tcW w:w="1205" w:type="dxa"/>
            <w:tcBorders>
              <w:top w:val="nil"/>
              <w:left w:val="nil"/>
              <w:bottom w:val="single" w:sz="4" w:space="0" w:color="auto"/>
              <w:right w:val="single" w:sz="4" w:space="0" w:color="auto"/>
            </w:tcBorders>
            <w:shd w:val="clear" w:color="auto" w:fill="auto"/>
            <w:noWrap/>
            <w:vAlign w:val="center"/>
          </w:tcPr>
          <w:p w14:paraId="7111F7D5"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45</w:t>
            </w:r>
          </w:p>
        </w:tc>
      </w:tr>
      <w:tr w:rsidR="00EA6B7A" w:rsidRPr="0072349E" w14:paraId="268A1F5E" w14:textId="77777777" w:rsidTr="0072349E">
        <w:tc>
          <w:tcPr>
            <w:tcW w:w="4990" w:type="dxa"/>
            <w:tcBorders>
              <w:top w:val="nil"/>
              <w:left w:val="single" w:sz="4" w:space="0" w:color="auto"/>
              <w:bottom w:val="single" w:sz="4" w:space="0" w:color="auto"/>
              <w:right w:val="single" w:sz="4" w:space="0" w:color="auto"/>
            </w:tcBorders>
            <w:shd w:val="clear" w:color="000000" w:fill="C4D79B"/>
            <w:noWrap/>
            <w:vAlign w:val="center"/>
            <w:hideMark/>
          </w:tcPr>
          <w:p w14:paraId="766B0F4A"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sz w:val="20"/>
                <w:szCs w:val="20"/>
                <w:lang w:val="es-ES" w:eastAsia="en-GB"/>
              </w:rPr>
              <w:t xml:space="preserve">C. Asesoramiento y apoyo regionales </w:t>
            </w:r>
          </w:p>
        </w:tc>
        <w:tc>
          <w:tcPr>
            <w:tcW w:w="1205" w:type="dxa"/>
            <w:tcBorders>
              <w:top w:val="nil"/>
              <w:left w:val="nil"/>
              <w:bottom w:val="single" w:sz="4" w:space="0" w:color="auto"/>
              <w:right w:val="single" w:sz="4" w:space="0" w:color="auto"/>
            </w:tcBorders>
            <w:shd w:val="clear" w:color="000000" w:fill="C4D79B"/>
            <w:noWrap/>
            <w:vAlign w:val="center"/>
            <w:hideMark/>
          </w:tcPr>
          <w:p w14:paraId="043687EB"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1 331</w:t>
            </w:r>
          </w:p>
        </w:tc>
        <w:tc>
          <w:tcPr>
            <w:tcW w:w="1205" w:type="dxa"/>
            <w:tcBorders>
              <w:top w:val="nil"/>
              <w:left w:val="nil"/>
              <w:bottom w:val="single" w:sz="4" w:space="0" w:color="auto"/>
              <w:right w:val="single" w:sz="4" w:space="0" w:color="auto"/>
            </w:tcBorders>
            <w:shd w:val="clear" w:color="000000" w:fill="C4D79B"/>
            <w:noWrap/>
            <w:vAlign w:val="center"/>
            <w:hideMark/>
          </w:tcPr>
          <w:p w14:paraId="3B08E391"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1 350</w:t>
            </w:r>
          </w:p>
        </w:tc>
        <w:tc>
          <w:tcPr>
            <w:tcW w:w="1205" w:type="dxa"/>
            <w:tcBorders>
              <w:top w:val="nil"/>
              <w:left w:val="nil"/>
              <w:bottom w:val="single" w:sz="4" w:space="0" w:color="auto"/>
              <w:right w:val="single" w:sz="4" w:space="0" w:color="auto"/>
            </w:tcBorders>
            <w:shd w:val="clear" w:color="000000" w:fill="C4D79B"/>
            <w:noWrap/>
            <w:vAlign w:val="center"/>
            <w:hideMark/>
          </w:tcPr>
          <w:p w14:paraId="5F0EF70F"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1 364</w:t>
            </w:r>
          </w:p>
        </w:tc>
        <w:tc>
          <w:tcPr>
            <w:tcW w:w="1205" w:type="dxa"/>
            <w:tcBorders>
              <w:top w:val="nil"/>
              <w:left w:val="nil"/>
              <w:bottom w:val="single" w:sz="4" w:space="0" w:color="auto"/>
              <w:right w:val="single" w:sz="4" w:space="0" w:color="auto"/>
            </w:tcBorders>
            <w:shd w:val="clear" w:color="000000" w:fill="C4D79B"/>
            <w:noWrap/>
            <w:vAlign w:val="center"/>
            <w:hideMark/>
          </w:tcPr>
          <w:p w14:paraId="5C28DBEE"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4 045</w:t>
            </w:r>
          </w:p>
        </w:tc>
      </w:tr>
      <w:tr w:rsidR="00EA6B7A" w:rsidRPr="0072349E" w14:paraId="6A0B53A1"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1BE20DD3"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4A3925B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1 254</w:t>
            </w:r>
          </w:p>
        </w:tc>
        <w:tc>
          <w:tcPr>
            <w:tcW w:w="1205" w:type="dxa"/>
            <w:tcBorders>
              <w:top w:val="nil"/>
              <w:left w:val="nil"/>
              <w:bottom w:val="single" w:sz="4" w:space="0" w:color="auto"/>
              <w:right w:val="single" w:sz="4" w:space="0" w:color="auto"/>
            </w:tcBorders>
            <w:shd w:val="clear" w:color="auto" w:fill="auto"/>
            <w:noWrap/>
            <w:vAlign w:val="center"/>
            <w:hideMark/>
          </w:tcPr>
          <w:p w14:paraId="0D6934C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1 273</w:t>
            </w:r>
          </w:p>
        </w:tc>
        <w:tc>
          <w:tcPr>
            <w:tcW w:w="1205" w:type="dxa"/>
            <w:tcBorders>
              <w:top w:val="nil"/>
              <w:left w:val="nil"/>
              <w:bottom w:val="single" w:sz="4" w:space="0" w:color="auto"/>
              <w:right w:val="single" w:sz="4" w:space="0" w:color="auto"/>
            </w:tcBorders>
            <w:shd w:val="clear" w:color="auto" w:fill="auto"/>
            <w:noWrap/>
            <w:vAlign w:val="center"/>
            <w:hideMark/>
          </w:tcPr>
          <w:p w14:paraId="18197DF9"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1 287</w:t>
            </w:r>
          </w:p>
        </w:tc>
        <w:tc>
          <w:tcPr>
            <w:tcW w:w="1205" w:type="dxa"/>
            <w:tcBorders>
              <w:top w:val="nil"/>
              <w:left w:val="nil"/>
              <w:bottom w:val="single" w:sz="4" w:space="0" w:color="auto"/>
              <w:right w:val="single" w:sz="4" w:space="0" w:color="auto"/>
            </w:tcBorders>
            <w:shd w:val="clear" w:color="auto" w:fill="auto"/>
            <w:noWrap/>
            <w:vAlign w:val="center"/>
            <w:hideMark/>
          </w:tcPr>
          <w:p w14:paraId="2502733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3 814</w:t>
            </w:r>
          </w:p>
        </w:tc>
      </w:tr>
      <w:tr w:rsidR="00EA6B7A" w:rsidRPr="0072349E" w14:paraId="026B5B4C"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4F944657"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hideMark/>
          </w:tcPr>
          <w:p w14:paraId="065B654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77</w:t>
            </w:r>
          </w:p>
        </w:tc>
        <w:tc>
          <w:tcPr>
            <w:tcW w:w="1205" w:type="dxa"/>
            <w:tcBorders>
              <w:top w:val="nil"/>
              <w:left w:val="nil"/>
              <w:bottom w:val="single" w:sz="4" w:space="0" w:color="auto"/>
              <w:right w:val="single" w:sz="4" w:space="0" w:color="auto"/>
            </w:tcBorders>
            <w:shd w:val="clear" w:color="auto" w:fill="auto"/>
            <w:noWrap/>
            <w:vAlign w:val="center"/>
            <w:hideMark/>
          </w:tcPr>
          <w:p w14:paraId="7B4A11D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77</w:t>
            </w:r>
          </w:p>
        </w:tc>
        <w:tc>
          <w:tcPr>
            <w:tcW w:w="1205" w:type="dxa"/>
            <w:tcBorders>
              <w:top w:val="nil"/>
              <w:left w:val="nil"/>
              <w:bottom w:val="single" w:sz="4" w:space="0" w:color="auto"/>
              <w:right w:val="single" w:sz="4" w:space="0" w:color="auto"/>
            </w:tcBorders>
            <w:shd w:val="clear" w:color="auto" w:fill="auto"/>
            <w:noWrap/>
            <w:vAlign w:val="center"/>
            <w:hideMark/>
          </w:tcPr>
          <w:p w14:paraId="639A4668"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77</w:t>
            </w:r>
          </w:p>
        </w:tc>
        <w:tc>
          <w:tcPr>
            <w:tcW w:w="1205" w:type="dxa"/>
            <w:tcBorders>
              <w:top w:val="nil"/>
              <w:left w:val="nil"/>
              <w:bottom w:val="single" w:sz="4" w:space="0" w:color="auto"/>
              <w:right w:val="single" w:sz="4" w:space="0" w:color="auto"/>
            </w:tcBorders>
            <w:shd w:val="clear" w:color="auto" w:fill="auto"/>
            <w:noWrap/>
            <w:vAlign w:val="center"/>
            <w:hideMark/>
          </w:tcPr>
          <w:p w14:paraId="308BE8B6"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231</w:t>
            </w:r>
          </w:p>
        </w:tc>
      </w:tr>
      <w:tr w:rsidR="00EA6B7A" w:rsidRPr="0072349E" w14:paraId="222DE386" w14:textId="77777777" w:rsidTr="0072349E">
        <w:tc>
          <w:tcPr>
            <w:tcW w:w="4990" w:type="dxa"/>
            <w:tcBorders>
              <w:top w:val="nil"/>
              <w:left w:val="single" w:sz="4" w:space="0" w:color="auto"/>
              <w:bottom w:val="single" w:sz="4" w:space="0" w:color="auto"/>
              <w:right w:val="single" w:sz="4" w:space="0" w:color="auto"/>
            </w:tcBorders>
            <w:shd w:val="clear" w:color="000000" w:fill="C4D79B"/>
            <w:noWrap/>
            <w:vAlign w:val="center"/>
            <w:hideMark/>
          </w:tcPr>
          <w:p w14:paraId="6B9A2988"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D. Apoyo a las iniciativas regionales</w:t>
            </w:r>
          </w:p>
        </w:tc>
        <w:tc>
          <w:tcPr>
            <w:tcW w:w="1205" w:type="dxa"/>
            <w:tcBorders>
              <w:top w:val="nil"/>
              <w:left w:val="nil"/>
              <w:bottom w:val="single" w:sz="4" w:space="0" w:color="auto"/>
              <w:right w:val="single" w:sz="4" w:space="0" w:color="auto"/>
            </w:tcBorders>
            <w:shd w:val="clear" w:color="000000" w:fill="C4D79B"/>
            <w:noWrap/>
            <w:vAlign w:val="center"/>
            <w:hideMark/>
          </w:tcPr>
          <w:p w14:paraId="143825B8"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490BD032"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653EEB86"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39DE59F5"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300</w:t>
            </w:r>
          </w:p>
        </w:tc>
      </w:tr>
      <w:tr w:rsidR="00EA6B7A" w:rsidRPr="0072349E" w14:paraId="6EC2B58C"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557E4526"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 xml:space="preserve">Redes y centros regionales </w:t>
            </w:r>
          </w:p>
        </w:tc>
        <w:tc>
          <w:tcPr>
            <w:tcW w:w="1205" w:type="dxa"/>
            <w:tcBorders>
              <w:top w:val="nil"/>
              <w:left w:val="nil"/>
              <w:bottom w:val="single" w:sz="4" w:space="0" w:color="auto"/>
              <w:right w:val="single" w:sz="4" w:space="0" w:color="auto"/>
            </w:tcBorders>
            <w:shd w:val="clear" w:color="auto" w:fill="auto"/>
            <w:noWrap/>
            <w:vAlign w:val="center"/>
            <w:hideMark/>
          </w:tcPr>
          <w:p w14:paraId="682FA8D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076DC289"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8CCC79B"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031243E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300</w:t>
            </w:r>
          </w:p>
        </w:tc>
      </w:tr>
      <w:tr w:rsidR="00EA6B7A" w:rsidRPr="0072349E" w14:paraId="27671BCC" w14:textId="77777777" w:rsidTr="0072349E">
        <w:tc>
          <w:tcPr>
            <w:tcW w:w="4990" w:type="dxa"/>
            <w:tcBorders>
              <w:top w:val="nil"/>
              <w:left w:val="single" w:sz="4" w:space="0" w:color="auto"/>
              <w:bottom w:val="single" w:sz="4" w:space="0" w:color="auto"/>
              <w:right w:val="single" w:sz="4" w:space="0" w:color="auto"/>
            </w:tcBorders>
            <w:shd w:val="clear" w:color="000000" w:fill="C4D79B"/>
            <w:noWrap/>
            <w:vAlign w:val="center"/>
            <w:hideMark/>
          </w:tcPr>
          <w:p w14:paraId="3EBBBF83"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E. Ciencia y Políticas</w:t>
            </w:r>
          </w:p>
        </w:tc>
        <w:tc>
          <w:tcPr>
            <w:tcW w:w="1205" w:type="dxa"/>
            <w:tcBorders>
              <w:top w:val="nil"/>
              <w:left w:val="nil"/>
              <w:bottom w:val="single" w:sz="4" w:space="0" w:color="auto"/>
              <w:right w:val="single" w:sz="4" w:space="0" w:color="auto"/>
            </w:tcBorders>
            <w:shd w:val="clear" w:color="000000" w:fill="C4D79B"/>
            <w:noWrap/>
            <w:vAlign w:val="center"/>
            <w:hideMark/>
          </w:tcPr>
          <w:p w14:paraId="43AED48A"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850</w:t>
            </w:r>
          </w:p>
        </w:tc>
        <w:tc>
          <w:tcPr>
            <w:tcW w:w="1205" w:type="dxa"/>
            <w:tcBorders>
              <w:top w:val="nil"/>
              <w:left w:val="nil"/>
              <w:bottom w:val="single" w:sz="4" w:space="0" w:color="auto"/>
              <w:right w:val="single" w:sz="4" w:space="0" w:color="auto"/>
            </w:tcBorders>
            <w:shd w:val="clear" w:color="000000" w:fill="C4D79B"/>
            <w:noWrap/>
            <w:vAlign w:val="center"/>
            <w:hideMark/>
          </w:tcPr>
          <w:p w14:paraId="251C84B5"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834</w:t>
            </w:r>
          </w:p>
        </w:tc>
        <w:tc>
          <w:tcPr>
            <w:tcW w:w="1205" w:type="dxa"/>
            <w:tcBorders>
              <w:top w:val="nil"/>
              <w:left w:val="nil"/>
              <w:bottom w:val="single" w:sz="4" w:space="0" w:color="auto"/>
              <w:right w:val="single" w:sz="4" w:space="0" w:color="auto"/>
            </w:tcBorders>
            <w:shd w:val="clear" w:color="000000" w:fill="C4D79B"/>
            <w:noWrap/>
            <w:vAlign w:val="center"/>
            <w:hideMark/>
          </w:tcPr>
          <w:p w14:paraId="521BCDAC"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843</w:t>
            </w:r>
          </w:p>
        </w:tc>
        <w:tc>
          <w:tcPr>
            <w:tcW w:w="1205" w:type="dxa"/>
            <w:tcBorders>
              <w:top w:val="nil"/>
              <w:left w:val="nil"/>
              <w:bottom w:val="single" w:sz="4" w:space="0" w:color="auto"/>
              <w:right w:val="single" w:sz="4" w:space="0" w:color="auto"/>
            </w:tcBorders>
            <w:shd w:val="clear" w:color="000000" w:fill="C4D79B"/>
            <w:noWrap/>
            <w:vAlign w:val="center"/>
            <w:hideMark/>
          </w:tcPr>
          <w:p w14:paraId="0FAE28FD"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2 527</w:t>
            </w:r>
          </w:p>
        </w:tc>
      </w:tr>
      <w:tr w:rsidR="00EA6B7A" w:rsidRPr="0072349E" w14:paraId="1957EB04"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39A22931"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1D130C9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657</w:t>
            </w:r>
          </w:p>
        </w:tc>
        <w:tc>
          <w:tcPr>
            <w:tcW w:w="1205" w:type="dxa"/>
            <w:tcBorders>
              <w:top w:val="nil"/>
              <w:left w:val="nil"/>
              <w:bottom w:val="single" w:sz="4" w:space="0" w:color="auto"/>
              <w:right w:val="single" w:sz="4" w:space="0" w:color="auto"/>
            </w:tcBorders>
            <w:shd w:val="clear" w:color="auto" w:fill="auto"/>
            <w:noWrap/>
            <w:vAlign w:val="center"/>
            <w:hideMark/>
          </w:tcPr>
          <w:p w14:paraId="7ED73493"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661</w:t>
            </w:r>
          </w:p>
        </w:tc>
        <w:tc>
          <w:tcPr>
            <w:tcW w:w="1205" w:type="dxa"/>
            <w:tcBorders>
              <w:top w:val="nil"/>
              <w:left w:val="nil"/>
              <w:bottom w:val="single" w:sz="4" w:space="0" w:color="auto"/>
              <w:right w:val="single" w:sz="4" w:space="0" w:color="auto"/>
            </w:tcBorders>
            <w:shd w:val="clear" w:color="auto" w:fill="auto"/>
            <w:noWrap/>
            <w:vAlign w:val="center"/>
            <w:hideMark/>
          </w:tcPr>
          <w:p w14:paraId="2108FA4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670</w:t>
            </w:r>
          </w:p>
        </w:tc>
        <w:tc>
          <w:tcPr>
            <w:tcW w:w="1205" w:type="dxa"/>
            <w:tcBorders>
              <w:top w:val="nil"/>
              <w:left w:val="nil"/>
              <w:bottom w:val="single" w:sz="4" w:space="0" w:color="auto"/>
              <w:right w:val="single" w:sz="4" w:space="0" w:color="auto"/>
            </w:tcBorders>
            <w:shd w:val="clear" w:color="auto" w:fill="auto"/>
            <w:noWrap/>
            <w:vAlign w:val="center"/>
            <w:hideMark/>
          </w:tcPr>
          <w:p w14:paraId="7076D1B4"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1 988</w:t>
            </w:r>
          </w:p>
        </w:tc>
      </w:tr>
      <w:tr w:rsidR="00EA6B7A" w:rsidRPr="0072349E" w14:paraId="6C50DC03"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5CDFBF69"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Ejecución del GECT</w:t>
            </w:r>
          </w:p>
        </w:tc>
        <w:tc>
          <w:tcPr>
            <w:tcW w:w="1205" w:type="dxa"/>
            <w:tcBorders>
              <w:top w:val="nil"/>
              <w:left w:val="nil"/>
              <w:bottom w:val="single" w:sz="4" w:space="0" w:color="auto"/>
              <w:right w:val="single" w:sz="4" w:space="0" w:color="auto"/>
            </w:tcBorders>
            <w:shd w:val="clear" w:color="auto" w:fill="auto"/>
            <w:noWrap/>
            <w:vAlign w:val="center"/>
            <w:hideMark/>
          </w:tcPr>
          <w:p w14:paraId="0EBEF983"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4F76CC5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1B88FBF8"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40</w:t>
            </w:r>
          </w:p>
        </w:tc>
        <w:tc>
          <w:tcPr>
            <w:tcW w:w="1205" w:type="dxa"/>
            <w:tcBorders>
              <w:top w:val="nil"/>
              <w:left w:val="nil"/>
              <w:bottom w:val="single" w:sz="4" w:space="0" w:color="auto"/>
              <w:right w:val="single" w:sz="4" w:space="0" w:color="auto"/>
            </w:tcBorders>
            <w:shd w:val="clear" w:color="auto" w:fill="auto"/>
            <w:noWrap/>
            <w:vAlign w:val="center"/>
            <w:hideMark/>
          </w:tcPr>
          <w:p w14:paraId="713729F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120</w:t>
            </w:r>
          </w:p>
        </w:tc>
      </w:tr>
      <w:tr w:rsidR="00EA6B7A" w:rsidRPr="0072349E" w14:paraId="560FBA9F"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tcPr>
          <w:p w14:paraId="75155ACB"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Viajes de la Presidencia del GECT</w:t>
            </w:r>
          </w:p>
        </w:tc>
        <w:tc>
          <w:tcPr>
            <w:tcW w:w="1205" w:type="dxa"/>
            <w:tcBorders>
              <w:top w:val="nil"/>
              <w:left w:val="nil"/>
              <w:bottom w:val="single" w:sz="4" w:space="0" w:color="auto"/>
              <w:right w:val="single" w:sz="4" w:space="0" w:color="auto"/>
            </w:tcBorders>
            <w:shd w:val="clear" w:color="auto" w:fill="auto"/>
            <w:noWrap/>
            <w:vAlign w:val="center"/>
          </w:tcPr>
          <w:p w14:paraId="4F4919C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426DCC44"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09422DA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4ADE87E2"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15</w:t>
            </w:r>
          </w:p>
        </w:tc>
      </w:tr>
      <w:tr w:rsidR="00EA6B7A" w:rsidRPr="0072349E" w14:paraId="56F690A3"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34775794"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Reuniones del GECT</w:t>
            </w:r>
          </w:p>
        </w:tc>
        <w:tc>
          <w:tcPr>
            <w:tcW w:w="1205" w:type="dxa"/>
            <w:tcBorders>
              <w:top w:val="nil"/>
              <w:left w:val="nil"/>
              <w:bottom w:val="single" w:sz="4" w:space="0" w:color="auto"/>
              <w:right w:val="single" w:sz="4" w:space="0" w:color="auto"/>
            </w:tcBorders>
            <w:shd w:val="clear" w:color="auto" w:fill="auto"/>
            <w:noWrap/>
            <w:vAlign w:val="center"/>
            <w:hideMark/>
          </w:tcPr>
          <w:p w14:paraId="61679F3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5F548BCC"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49840A7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6993678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150</w:t>
            </w:r>
          </w:p>
        </w:tc>
      </w:tr>
      <w:tr w:rsidR="00EA6B7A" w:rsidRPr="0072349E" w14:paraId="247F7823"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4C178FB6"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Servicio de información sobre sitios Ramsar (mantenimiento y desarrollo)</w:t>
            </w:r>
          </w:p>
        </w:tc>
        <w:tc>
          <w:tcPr>
            <w:tcW w:w="1205" w:type="dxa"/>
            <w:tcBorders>
              <w:top w:val="nil"/>
              <w:left w:val="nil"/>
              <w:bottom w:val="single" w:sz="4" w:space="0" w:color="auto"/>
              <w:right w:val="single" w:sz="4" w:space="0" w:color="auto"/>
            </w:tcBorders>
            <w:shd w:val="clear" w:color="auto" w:fill="auto"/>
            <w:noWrap/>
            <w:vAlign w:val="center"/>
            <w:hideMark/>
          </w:tcPr>
          <w:p w14:paraId="3EF1126F"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80</w:t>
            </w:r>
          </w:p>
        </w:tc>
        <w:tc>
          <w:tcPr>
            <w:tcW w:w="1205" w:type="dxa"/>
            <w:tcBorders>
              <w:top w:val="nil"/>
              <w:left w:val="nil"/>
              <w:bottom w:val="single" w:sz="4" w:space="0" w:color="auto"/>
              <w:right w:val="single" w:sz="4" w:space="0" w:color="auto"/>
            </w:tcBorders>
            <w:shd w:val="clear" w:color="auto" w:fill="auto"/>
            <w:noWrap/>
            <w:vAlign w:val="center"/>
            <w:hideMark/>
          </w:tcPr>
          <w:p w14:paraId="415CF395"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25F96B0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6C8AD0F7"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200</w:t>
            </w:r>
          </w:p>
        </w:tc>
      </w:tr>
      <w:tr w:rsidR="00EA6B7A" w:rsidRPr="0072349E" w14:paraId="54933149"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tcPr>
          <w:p w14:paraId="4930997A"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Viajes</w:t>
            </w:r>
          </w:p>
        </w:tc>
        <w:tc>
          <w:tcPr>
            <w:tcW w:w="1205" w:type="dxa"/>
            <w:tcBorders>
              <w:top w:val="nil"/>
              <w:left w:val="nil"/>
              <w:bottom w:val="single" w:sz="4" w:space="0" w:color="auto"/>
              <w:right w:val="single" w:sz="4" w:space="0" w:color="auto"/>
            </w:tcBorders>
            <w:shd w:val="clear" w:color="auto" w:fill="auto"/>
            <w:noWrap/>
            <w:vAlign w:val="center"/>
          </w:tcPr>
          <w:p w14:paraId="687CB117"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12A29C0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03491FE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275A76F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54</w:t>
            </w:r>
          </w:p>
        </w:tc>
      </w:tr>
      <w:tr w:rsidR="00EA6B7A" w:rsidRPr="0072349E" w14:paraId="14616870" w14:textId="77777777" w:rsidTr="0072349E">
        <w:tc>
          <w:tcPr>
            <w:tcW w:w="4990" w:type="dxa"/>
            <w:tcBorders>
              <w:top w:val="nil"/>
              <w:left w:val="single" w:sz="4" w:space="0" w:color="auto"/>
              <w:bottom w:val="single" w:sz="4" w:space="0" w:color="auto"/>
              <w:right w:val="single" w:sz="4" w:space="0" w:color="auto"/>
            </w:tcBorders>
            <w:shd w:val="clear" w:color="000000" w:fill="C4D79B"/>
            <w:noWrap/>
            <w:vAlign w:val="center"/>
            <w:hideMark/>
          </w:tcPr>
          <w:p w14:paraId="2DD68D8B"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sz w:val="20"/>
                <w:szCs w:val="20"/>
                <w:lang w:val="es-ES" w:eastAsia="en-GB"/>
              </w:rPr>
              <w:t>G. Administración</w:t>
            </w:r>
          </w:p>
        </w:tc>
        <w:tc>
          <w:tcPr>
            <w:tcW w:w="1205" w:type="dxa"/>
            <w:tcBorders>
              <w:top w:val="nil"/>
              <w:left w:val="nil"/>
              <w:bottom w:val="single" w:sz="4" w:space="0" w:color="auto"/>
              <w:right w:val="single" w:sz="4" w:space="0" w:color="auto"/>
            </w:tcBorders>
            <w:shd w:val="clear" w:color="000000" w:fill="C4D79B"/>
            <w:noWrap/>
            <w:vAlign w:val="center"/>
            <w:hideMark/>
          </w:tcPr>
          <w:p w14:paraId="1B00E70A"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526</w:t>
            </w:r>
          </w:p>
        </w:tc>
        <w:tc>
          <w:tcPr>
            <w:tcW w:w="1205" w:type="dxa"/>
            <w:tcBorders>
              <w:top w:val="nil"/>
              <w:left w:val="nil"/>
              <w:bottom w:val="single" w:sz="4" w:space="0" w:color="auto"/>
              <w:right w:val="single" w:sz="4" w:space="0" w:color="auto"/>
            </w:tcBorders>
            <w:shd w:val="clear" w:color="000000" w:fill="C4D79B"/>
            <w:noWrap/>
            <w:vAlign w:val="center"/>
            <w:hideMark/>
          </w:tcPr>
          <w:p w14:paraId="0CAC206F"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496</w:t>
            </w:r>
          </w:p>
        </w:tc>
        <w:tc>
          <w:tcPr>
            <w:tcW w:w="1205" w:type="dxa"/>
            <w:tcBorders>
              <w:top w:val="nil"/>
              <w:left w:val="nil"/>
              <w:bottom w:val="single" w:sz="4" w:space="0" w:color="auto"/>
              <w:right w:val="single" w:sz="4" w:space="0" w:color="auto"/>
            </w:tcBorders>
            <w:shd w:val="clear" w:color="000000" w:fill="C4D79B"/>
            <w:noWrap/>
            <w:vAlign w:val="center"/>
            <w:hideMark/>
          </w:tcPr>
          <w:p w14:paraId="426505D6"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466</w:t>
            </w:r>
          </w:p>
        </w:tc>
        <w:tc>
          <w:tcPr>
            <w:tcW w:w="1205" w:type="dxa"/>
            <w:tcBorders>
              <w:top w:val="nil"/>
              <w:left w:val="nil"/>
              <w:bottom w:val="single" w:sz="4" w:space="0" w:color="auto"/>
              <w:right w:val="single" w:sz="4" w:space="0" w:color="auto"/>
            </w:tcBorders>
            <w:shd w:val="clear" w:color="000000" w:fill="C4D79B"/>
            <w:noWrap/>
            <w:vAlign w:val="center"/>
            <w:hideMark/>
          </w:tcPr>
          <w:p w14:paraId="389DAF78"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1 488</w:t>
            </w:r>
          </w:p>
        </w:tc>
      </w:tr>
      <w:tr w:rsidR="00EA6B7A" w:rsidRPr="0072349E" w14:paraId="0727BB4B"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77F03BFE"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Salarios, gastos sociales y otras prestaciones laborales</w:t>
            </w:r>
          </w:p>
        </w:tc>
        <w:tc>
          <w:tcPr>
            <w:tcW w:w="1205" w:type="dxa"/>
            <w:tcBorders>
              <w:top w:val="nil"/>
              <w:left w:val="nil"/>
              <w:bottom w:val="single" w:sz="4" w:space="0" w:color="auto"/>
              <w:right w:val="single" w:sz="4" w:space="0" w:color="auto"/>
            </w:tcBorders>
            <w:shd w:val="clear" w:color="auto" w:fill="auto"/>
            <w:noWrap/>
            <w:vAlign w:val="center"/>
            <w:hideMark/>
          </w:tcPr>
          <w:p w14:paraId="563A7F06"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335</w:t>
            </w:r>
          </w:p>
        </w:tc>
        <w:tc>
          <w:tcPr>
            <w:tcW w:w="1205" w:type="dxa"/>
            <w:tcBorders>
              <w:top w:val="nil"/>
              <w:left w:val="nil"/>
              <w:bottom w:val="single" w:sz="4" w:space="0" w:color="auto"/>
              <w:right w:val="single" w:sz="4" w:space="0" w:color="auto"/>
            </w:tcBorders>
            <w:shd w:val="clear" w:color="auto" w:fill="auto"/>
            <w:noWrap/>
            <w:vAlign w:val="center"/>
            <w:hideMark/>
          </w:tcPr>
          <w:p w14:paraId="1D27FDD8"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338</w:t>
            </w:r>
          </w:p>
        </w:tc>
        <w:tc>
          <w:tcPr>
            <w:tcW w:w="1205" w:type="dxa"/>
            <w:tcBorders>
              <w:top w:val="nil"/>
              <w:left w:val="nil"/>
              <w:bottom w:val="single" w:sz="4" w:space="0" w:color="auto"/>
              <w:right w:val="single" w:sz="4" w:space="0" w:color="auto"/>
            </w:tcBorders>
            <w:shd w:val="clear" w:color="auto" w:fill="auto"/>
            <w:noWrap/>
            <w:vAlign w:val="center"/>
            <w:hideMark/>
          </w:tcPr>
          <w:p w14:paraId="22421A3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341</w:t>
            </w:r>
          </w:p>
        </w:tc>
        <w:tc>
          <w:tcPr>
            <w:tcW w:w="1205" w:type="dxa"/>
            <w:tcBorders>
              <w:top w:val="nil"/>
              <w:left w:val="nil"/>
              <w:bottom w:val="single" w:sz="4" w:space="0" w:color="auto"/>
              <w:right w:val="single" w:sz="4" w:space="0" w:color="auto"/>
            </w:tcBorders>
            <w:shd w:val="clear" w:color="auto" w:fill="auto"/>
            <w:noWrap/>
            <w:vAlign w:val="center"/>
            <w:hideMark/>
          </w:tcPr>
          <w:p w14:paraId="5CF391A8"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1 014</w:t>
            </w:r>
          </w:p>
        </w:tc>
      </w:tr>
      <w:tr w:rsidR="00EA6B7A" w:rsidRPr="0072349E" w14:paraId="4F036213"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1A48D6E2"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Costos de contratación y separación del personal</w:t>
            </w:r>
          </w:p>
        </w:tc>
        <w:tc>
          <w:tcPr>
            <w:tcW w:w="1205" w:type="dxa"/>
            <w:tcBorders>
              <w:top w:val="nil"/>
              <w:left w:val="nil"/>
              <w:bottom w:val="single" w:sz="4" w:space="0" w:color="auto"/>
              <w:right w:val="single" w:sz="4" w:space="0" w:color="auto"/>
            </w:tcBorders>
            <w:shd w:val="clear" w:color="auto" w:fill="auto"/>
            <w:noWrap/>
            <w:vAlign w:val="center"/>
            <w:hideMark/>
          </w:tcPr>
          <w:p w14:paraId="77685D23"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85</w:t>
            </w:r>
          </w:p>
        </w:tc>
        <w:tc>
          <w:tcPr>
            <w:tcW w:w="1205" w:type="dxa"/>
            <w:tcBorders>
              <w:top w:val="nil"/>
              <w:left w:val="nil"/>
              <w:bottom w:val="single" w:sz="4" w:space="0" w:color="auto"/>
              <w:right w:val="single" w:sz="4" w:space="0" w:color="auto"/>
            </w:tcBorders>
            <w:shd w:val="clear" w:color="auto" w:fill="auto"/>
            <w:noWrap/>
            <w:vAlign w:val="center"/>
            <w:hideMark/>
          </w:tcPr>
          <w:p w14:paraId="79C9FB07"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52</w:t>
            </w:r>
          </w:p>
        </w:tc>
        <w:tc>
          <w:tcPr>
            <w:tcW w:w="1205" w:type="dxa"/>
            <w:tcBorders>
              <w:top w:val="nil"/>
              <w:left w:val="nil"/>
              <w:bottom w:val="single" w:sz="4" w:space="0" w:color="auto"/>
              <w:right w:val="single" w:sz="4" w:space="0" w:color="auto"/>
            </w:tcBorders>
            <w:shd w:val="clear" w:color="auto" w:fill="auto"/>
            <w:noWrap/>
            <w:vAlign w:val="center"/>
            <w:hideMark/>
          </w:tcPr>
          <w:p w14:paraId="54B02A5C"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19</w:t>
            </w:r>
          </w:p>
        </w:tc>
        <w:tc>
          <w:tcPr>
            <w:tcW w:w="1205" w:type="dxa"/>
            <w:tcBorders>
              <w:top w:val="nil"/>
              <w:left w:val="nil"/>
              <w:bottom w:val="single" w:sz="4" w:space="0" w:color="auto"/>
              <w:right w:val="single" w:sz="4" w:space="0" w:color="auto"/>
            </w:tcBorders>
            <w:shd w:val="clear" w:color="auto" w:fill="auto"/>
            <w:noWrap/>
            <w:vAlign w:val="center"/>
            <w:hideMark/>
          </w:tcPr>
          <w:p w14:paraId="0555FE24"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156</w:t>
            </w:r>
          </w:p>
        </w:tc>
      </w:tr>
      <w:tr w:rsidR="00EA6B7A" w:rsidRPr="0072349E" w14:paraId="6ED65543"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4FD6592E"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Equipos/suministros de oficina</w:t>
            </w:r>
          </w:p>
        </w:tc>
        <w:tc>
          <w:tcPr>
            <w:tcW w:w="1205" w:type="dxa"/>
            <w:tcBorders>
              <w:top w:val="nil"/>
              <w:left w:val="nil"/>
              <w:bottom w:val="single" w:sz="4" w:space="0" w:color="auto"/>
              <w:right w:val="single" w:sz="4" w:space="0" w:color="auto"/>
            </w:tcBorders>
            <w:shd w:val="clear" w:color="auto" w:fill="auto"/>
            <w:noWrap/>
            <w:vAlign w:val="center"/>
            <w:hideMark/>
          </w:tcPr>
          <w:p w14:paraId="6D28113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3529BDE8"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1D672D0C"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95</w:t>
            </w:r>
          </w:p>
        </w:tc>
        <w:tc>
          <w:tcPr>
            <w:tcW w:w="1205" w:type="dxa"/>
            <w:tcBorders>
              <w:top w:val="nil"/>
              <w:left w:val="nil"/>
              <w:bottom w:val="single" w:sz="4" w:space="0" w:color="auto"/>
              <w:right w:val="single" w:sz="4" w:space="0" w:color="auto"/>
            </w:tcBorders>
            <w:shd w:val="clear" w:color="auto" w:fill="auto"/>
            <w:noWrap/>
            <w:vAlign w:val="center"/>
            <w:hideMark/>
          </w:tcPr>
          <w:p w14:paraId="1A37EEF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285</w:t>
            </w:r>
          </w:p>
        </w:tc>
      </w:tr>
      <w:tr w:rsidR="00EA6B7A" w:rsidRPr="0072349E" w14:paraId="6C7F4546"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2F91D0A5"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Planificación y Capacitación</w:t>
            </w:r>
          </w:p>
        </w:tc>
        <w:tc>
          <w:tcPr>
            <w:tcW w:w="1205" w:type="dxa"/>
            <w:tcBorders>
              <w:top w:val="nil"/>
              <w:left w:val="nil"/>
              <w:bottom w:val="single" w:sz="4" w:space="0" w:color="auto"/>
              <w:right w:val="single" w:sz="4" w:space="0" w:color="auto"/>
            </w:tcBorders>
            <w:shd w:val="clear" w:color="auto" w:fill="auto"/>
            <w:noWrap/>
            <w:vAlign w:val="center"/>
            <w:hideMark/>
          </w:tcPr>
          <w:p w14:paraId="07FE139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11</w:t>
            </w:r>
          </w:p>
        </w:tc>
        <w:tc>
          <w:tcPr>
            <w:tcW w:w="1205" w:type="dxa"/>
            <w:tcBorders>
              <w:top w:val="nil"/>
              <w:left w:val="nil"/>
              <w:bottom w:val="single" w:sz="4" w:space="0" w:color="auto"/>
              <w:right w:val="single" w:sz="4" w:space="0" w:color="auto"/>
            </w:tcBorders>
            <w:shd w:val="clear" w:color="auto" w:fill="auto"/>
            <w:noWrap/>
            <w:vAlign w:val="center"/>
            <w:hideMark/>
          </w:tcPr>
          <w:p w14:paraId="39429D43"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11</w:t>
            </w:r>
          </w:p>
        </w:tc>
        <w:tc>
          <w:tcPr>
            <w:tcW w:w="1205" w:type="dxa"/>
            <w:tcBorders>
              <w:top w:val="nil"/>
              <w:left w:val="nil"/>
              <w:bottom w:val="single" w:sz="4" w:space="0" w:color="auto"/>
              <w:right w:val="single" w:sz="4" w:space="0" w:color="auto"/>
            </w:tcBorders>
            <w:shd w:val="clear" w:color="auto" w:fill="auto"/>
            <w:noWrap/>
            <w:vAlign w:val="center"/>
            <w:hideMark/>
          </w:tcPr>
          <w:p w14:paraId="4B97F485"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11</w:t>
            </w:r>
          </w:p>
        </w:tc>
        <w:tc>
          <w:tcPr>
            <w:tcW w:w="1205" w:type="dxa"/>
            <w:tcBorders>
              <w:top w:val="nil"/>
              <w:left w:val="nil"/>
              <w:bottom w:val="single" w:sz="4" w:space="0" w:color="auto"/>
              <w:right w:val="single" w:sz="4" w:space="0" w:color="auto"/>
            </w:tcBorders>
            <w:shd w:val="clear" w:color="auto" w:fill="auto"/>
            <w:noWrap/>
            <w:vAlign w:val="center"/>
            <w:hideMark/>
          </w:tcPr>
          <w:p w14:paraId="1F8C82B6"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33</w:t>
            </w:r>
          </w:p>
        </w:tc>
      </w:tr>
      <w:tr w:rsidR="00EA6B7A" w:rsidRPr="0072349E" w14:paraId="10856548" w14:textId="77777777" w:rsidTr="0072349E">
        <w:tc>
          <w:tcPr>
            <w:tcW w:w="4990" w:type="dxa"/>
            <w:tcBorders>
              <w:top w:val="nil"/>
              <w:left w:val="single" w:sz="4" w:space="0" w:color="auto"/>
              <w:bottom w:val="single" w:sz="4" w:space="0" w:color="auto"/>
              <w:right w:val="single" w:sz="4" w:space="0" w:color="auto"/>
            </w:tcBorders>
            <w:shd w:val="clear" w:color="000000" w:fill="C4D79B"/>
            <w:noWrap/>
            <w:vAlign w:val="center"/>
            <w:hideMark/>
          </w:tcPr>
          <w:p w14:paraId="6991815E"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sz w:val="20"/>
                <w:szCs w:val="20"/>
                <w:lang w:val="es-ES" w:eastAsia="en-GB"/>
              </w:rPr>
              <w:t>H. Servicios del Comité Permanente</w:t>
            </w:r>
          </w:p>
        </w:tc>
        <w:tc>
          <w:tcPr>
            <w:tcW w:w="1205" w:type="dxa"/>
            <w:tcBorders>
              <w:top w:val="nil"/>
              <w:left w:val="nil"/>
              <w:bottom w:val="single" w:sz="4" w:space="0" w:color="auto"/>
              <w:right w:val="single" w:sz="4" w:space="0" w:color="auto"/>
            </w:tcBorders>
            <w:shd w:val="clear" w:color="000000" w:fill="C4D79B"/>
            <w:noWrap/>
            <w:vAlign w:val="center"/>
            <w:hideMark/>
          </w:tcPr>
          <w:p w14:paraId="0E1CE591"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150</w:t>
            </w:r>
          </w:p>
        </w:tc>
        <w:tc>
          <w:tcPr>
            <w:tcW w:w="1205" w:type="dxa"/>
            <w:tcBorders>
              <w:top w:val="nil"/>
              <w:left w:val="nil"/>
              <w:bottom w:val="single" w:sz="4" w:space="0" w:color="auto"/>
              <w:right w:val="single" w:sz="4" w:space="0" w:color="auto"/>
            </w:tcBorders>
            <w:shd w:val="clear" w:color="000000" w:fill="C4D79B"/>
            <w:noWrap/>
            <w:vAlign w:val="center"/>
            <w:hideMark/>
          </w:tcPr>
          <w:p w14:paraId="059FAD2B"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150</w:t>
            </w:r>
          </w:p>
        </w:tc>
        <w:tc>
          <w:tcPr>
            <w:tcW w:w="1205" w:type="dxa"/>
            <w:tcBorders>
              <w:top w:val="nil"/>
              <w:left w:val="nil"/>
              <w:bottom w:val="single" w:sz="4" w:space="0" w:color="auto"/>
              <w:right w:val="single" w:sz="4" w:space="0" w:color="auto"/>
            </w:tcBorders>
            <w:shd w:val="clear" w:color="000000" w:fill="C4D79B"/>
            <w:noWrap/>
            <w:vAlign w:val="center"/>
            <w:hideMark/>
          </w:tcPr>
          <w:p w14:paraId="59C2F4A8"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386</w:t>
            </w:r>
          </w:p>
        </w:tc>
        <w:tc>
          <w:tcPr>
            <w:tcW w:w="1205" w:type="dxa"/>
            <w:tcBorders>
              <w:top w:val="nil"/>
              <w:left w:val="nil"/>
              <w:bottom w:val="single" w:sz="4" w:space="0" w:color="auto"/>
              <w:right w:val="single" w:sz="4" w:space="0" w:color="auto"/>
            </w:tcBorders>
            <w:shd w:val="clear" w:color="000000" w:fill="C4D79B"/>
            <w:noWrap/>
            <w:vAlign w:val="center"/>
            <w:hideMark/>
          </w:tcPr>
          <w:p w14:paraId="2730A70D"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686</w:t>
            </w:r>
          </w:p>
        </w:tc>
      </w:tr>
      <w:tr w:rsidR="00EA6B7A" w:rsidRPr="0072349E" w14:paraId="48098F9F"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688B408A"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Apoyo a los delegados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4137CF9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15249FF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3918953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7F21A024"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135</w:t>
            </w:r>
          </w:p>
        </w:tc>
      </w:tr>
      <w:tr w:rsidR="00EA6B7A" w:rsidRPr="0072349E" w14:paraId="31096480"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31D79B0F"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37644F30"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1E3EBBE2"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67BA7F9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10</w:t>
            </w:r>
          </w:p>
        </w:tc>
        <w:tc>
          <w:tcPr>
            <w:tcW w:w="1205" w:type="dxa"/>
            <w:tcBorders>
              <w:top w:val="nil"/>
              <w:left w:val="nil"/>
              <w:bottom w:val="single" w:sz="4" w:space="0" w:color="auto"/>
              <w:right w:val="single" w:sz="4" w:space="0" w:color="auto"/>
            </w:tcBorders>
            <w:shd w:val="clear" w:color="auto" w:fill="auto"/>
            <w:noWrap/>
            <w:vAlign w:val="center"/>
            <w:hideMark/>
          </w:tcPr>
          <w:p w14:paraId="78BE211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30</w:t>
            </w:r>
          </w:p>
        </w:tc>
      </w:tr>
      <w:tr w:rsidR="00EA6B7A" w:rsidRPr="0072349E" w14:paraId="698ED621"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50614BDB"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Traducción en las 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3FA7E3BB"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26D8483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525814B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181E9D8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180</w:t>
            </w:r>
          </w:p>
        </w:tc>
      </w:tr>
      <w:tr w:rsidR="00EA6B7A" w:rsidRPr="0072349E" w14:paraId="51B74F20"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27B99AC3" w14:textId="77777777" w:rsidR="00EA6B7A" w:rsidRPr="0072349E" w:rsidRDefault="00EA6B7A" w:rsidP="00C627A0">
            <w:pPr>
              <w:ind w:left="0" w:firstLine="0"/>
              <w:rPr>
                <w:rFonts w:asciiTheme="minorHAnsi" w:eastAsia="Times New Roman" w:hAnsiTheme="minorHAnsi" w:cstheme="minorHAnsi"/>
                <w:noProof/>
                <w:spacing w:val="-4"/>
                <w:sz w:val="20"/>
                <w:szCs w:val="20"/>
                <w:lang w:val="es-ES" w:eastAsia="en-GB"/>
              </w:rPr>
            </w:pPr>
            <w:r w:rsidRPr="0072349E">
              <w:rPr>
                <w:rFonts w:asciiTheme="minorHAnsi" w:eastAsia="Times New Roman" w:hAnsiTheme="minorHAnsi" w:cstheme="minorHAnsi"/>
                <w:noProof/>
                <w:spacing w:val="-4"/>
                <w:sz w:val="20"/>
                <w:szCs w:val="20"/>
                <w:lang w:val="es-ES" w:eastAsia="en-GB"/>
              </w:rPr>
              <w:t>Interpretación simultánea en las reuniones del Comité Permanente</w:t>
            </w:r>
          </w:p>
        </w:tc>
        <w:tc>
          <w:tcPr>
            <w:tcW w:w="1205" w:type="dxa"/>
            <w:tcBorders>
              <w:top w:val="nil"/>
              <w:left w:val="nil"/>
              <w:bottom w:val="single" w:sz="4" w:space="0" w:color="auto"/>
              <w:right w:val="single" w:sz="4" w:space="0" w:color="auto"/>
            </w:tcBorders>
            <w:shd w:val="clear" w:color="auto" w:fill="auto"/>
            <w:noWrap/>
            <w:vAlign w:val="center"/>
            <w:hideMark/>
          </w:tcPr>
          <w:p w14:paraId="1672FE76"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5498C39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03955A92"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13C0422C"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105</w:t>
            </w:r>
          </w:p>
        </w:tc>
      </w:tr>
      <w:tr w:rsidR="00EA6B7A" w:rsidRPr="0072349E" w14:paraId="56015997"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tcPr>
          <w:p w14:paraId="006360DC"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bCs/>
                <w:noProof/>
                <w:sz w:val="20"/>
                <w:szCs w:val="20"/>
                <w:lang w:val="es-ES" w:eastAsia="en-GB"/>
              </w:rPr>
              <w:t>Reunión de la Conferencia de las Partes</w:t>
            </w:r>
          </w:p>
        </w:tc>
        <w:tc>
          <w:tcPr>
            <w:tcW w:w="1205" w:type="dxa"/>
            <w:tcBorders>
              <w:top w:val="nil"/>
              <w:left w:val="nil"/>
              <w:bottom w:val="single" w:sz="4" w:space="0" w:color="auto"/>
              <w:right w:val="single" w:sz="4" w:space="0" w:color="auto"/>
            </w:tcBorders>
            <w:shd w:val="clear" w:color="auto" w:fill="auto"/>
            <w:noWrap/>
            <w:vAlign w:val="center"/>
          </w:tcPr>
          <w:p w14:paraId="7F87906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0</w:t>
            </w:r>
          </w:p>
        </w:tc>
        <w:tc>
          <w:tcPr>
            <w:tcW w:w="1205" w:type="dxa"/>
            <w:tcBorders>
              <w:top w:val="nil"/>
              <w:left w:val="nil"/>
              <w:bottom w:val="single" w:sz="4" w:space="0" w:color="auto"/>
              <w:right w:val="single" w:sz="4" w:space="0" w:color="auto"/>
            </w:tcBorders>
            <w:shd w:val="clear" w:color="auto" w:fill="auto"/>
            <w:noWrap/>
            <w:vAlign w:val="center"/>
          </w:tcPr>
          <w:p w14:paraId="0EBC311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0</w:t>
            </w:r>
          </w:p>
        </w:tc>
        <w:tc>
          <w:tcPr>
            <w:tcW w:w="1205" w:type="dxa"/>
            <w:tcBorders>
              <w:top w:val="nil"/>
              <w:left w:val="nil"/>
              <w:bottom w:val="single" w:sz="4" w:space="0" w:color="auto"/>
              <w:right w:val="single" w:sz="4" w:space="0" w:color="auto"/>
            </w:tcBorders>
            <w:shd w:val="clear" w:color="auto" w:fill="auto"/>
            <w:noWrap/>
            <w:vAlign w:val="center"/>
          </w:tcPr>
          <w:p w14:paraId="64B31318"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236</w:t>
            </w:r>
          </w:p>
        </w:tc>
        <w:tc>
          <w:tcPr>
            <w:tcW w:w="1205" w:type="dxa"/>
            <w:tcBorders>
              <w:top w:val="nil"/>
              <w:left w:val="nil"/>
              <w:bottom w:val="single" w:sz="4" w:space="0" w:color="auto"/>
              <w:right w:val="single" w:sz="4" w:space="0" w:color="auto"/>
            </w:tcBorders>
            <w:shd w:val="clear" w:color="auto" w:fill="auto"/>
            <w:noWrap/>
            <w:vAlign w:val="center"/>
          </w:tcPr>
          <w:p w14:paraId="44F06938"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236</w:t>
            </w:r>
          </w:p>
        </w:tc>
      </w:tr>
      <w:tr w:rsidR="00EA6B7A" w:rsidRPr="0072349E" w14:paraId="2396D438" w14:textId="77777777" w:rsidTr="0072349E">
        <w:tc>
          <w:tcPr>
            <w:tcW w:w="4990" w:type="dxa"/>
            <w:tcBorders>
              <w:top w:val="nil"/>
              <w:left w:val="single" w:sz="4" w:space="0" w:color="auto"/>
              <w:bottom w:val="single" w:sz="4" w:space="0" w:color="auto"/>
              <w:right w:val="single" w:sz="4" w:space="0" w:color="auto"/>
            </w:tcBorders>
            <w:shd w:val="clear" w:color="000000" w:fill="C4D79B"/>
            <w:vAlign w:val="center"/>
            <w:hideMark/>
          </w:tcPr>
          <w:p w14:paraId="0CD6E44E"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sz w:val="20"/>
                <w:szCs w:val="20"/>
                <w:lang w:val="es-ES" w:eastAsia="en-GB"/>
              </w:rPr>
              <w:t>I. Gastos por servicios administrativos de la UICN máximo)</w:t>
            </w:r>
          </w:p>
        </w:tc>
        <w:tc>
          <w:tcPr>
            <w:tcW w:w="1205" w:type="dxa"/>
            <w:tcBorders>
              <w:top w:val="nil"/>
              <w:left w:val="nil"/>
              <w:bottom w:val="single" w:sz="4" w:space="0" w:color="auto"/>
              <w:right w:val="single" w:sz="4" w:space="0" w:color="auto"/>
            </w:tcBorders>
            <w:shd w:val="clear" w:color="000000" w:fill="C4D79B"/>
            <w:noWrap/>
            <w:vAlign w:val="center"/>
            <w:hideMark/>
          </w:tcPr>
          <w:p w14:paraId="2B012DC6"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000000" w:fill="C4D79B"/>
            <w:noWrap/>
            <w:vAlign w:val="center"/>
            <w:hideMark/>
          </w:tcPr>
          <w:p w14:paraId="6745C990"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000000" w:fill="C4D79B"/>
            <w:noWrap/>
            <w:vAlign w:val="center"/>
            <w:hideMark/>
          </w:tcPr>
          <w:p w14:paraId="7B5281D6"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000000" w:fill="C4D79B"/>
            <w:noWrap/>
            <w:vAlign w:val="center"/>
            <w:hideMark/>
          </w:tcPr>
          <w:p w14:paraId="274BD77E"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1 623</w:t>
            </w:r>
          </w:p>
        </w:tc>
      </w:tr>
      <w:tr w:rsidR="00EA6B7A" w:rsidRPr="0072349E" w14:paraId="7032D8D6"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6C581AD8"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 xml:space="preserve">Administración, RR.HH., finanzas y servicios de tecnologías de la información </w:t>
            </w:r>
          </w:p>
        </w:tc>
        <w:tc>
          <w:tcPr>
            <w:tcW w:w="1205" w:type="dxa"/>
            <w:tcBorders>
              <w:top w:val="nil"/>
              <w:left w:val="nil"/>
              <w:bottom w:val="single" w:sz="4" w:space="0" w:color="auto"/>
              <w:right w:val="single" w:sz="4" w:space="0" w:color="auto"/>
            </w:tcBorders>
            <w:shd w:val="clear" w:color="auto" w:fill="auto"/>
            <w:noWrap/>
            <w:vAlign w:val="center"/>
            <w:hideMark/>
          </w:tcPr>
          <w:p w14:paraId="0B0ABAA5"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35A70E41"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64DAA3EF"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541</w:t>
            </w:r>
          </w:p>
        </w:tc>
        <w:tc>
          <w:tcPr>
            <w:tcW w:w="1205" w:type="dxa"/>
            <w:tcBorders>
              <w:top w:val="nil"/>
              <w:left w:val="nil"/>
              <w:bottom w:val="single" w:sz="4" w:space="0" w:color="auto"/>
              <w:right w:val="single" w:sz="4" w:space="0" w:color="auto"/>
            </w:tcBorders>
            <w:shd w:val="clear" w:color="auto" w:fill="auto"/>
            <w:noWrap/>
            <w:vAlign w:val="center"/>
            <w:hideMark/>
          </w:tcPr>
          <w:p w14:paraId="32CFFD3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1.623</w:t>
            </w:r>
          </w:p>
        </w:tc>
      </w:tr>
      <w:tr w:rsidR="00EA6B7A" w:rsidRPr="0072349E" w14:paraId="27CA916D" w14:textId="77777777" w:rsidTr="0072349E">
        <w:tc>
          <w:tcPr>
            <w:tcW w:w="4990" w:type="dxa"/>
            <w:tcBorders>
              <w:top w:val="nil"/>
              <w:left w:val="single" w:sz="4" w:space="0" w:color="auto"/>
              <w:bottom w:val="single" w:sz="4" w:space="0" w:color="auto"/>
              <w:right w:val="single" w:sz="4" w:space="0" w:color="auto"/>
            </w:tcBorders>
            <w:shd w:val="clear" w:color="000000" w:fill="C4D79B"/>
            <w:noWrap/>
            <w:vAlign w:val="center"/>
            <w:hideMark/>
          </w:tcPr>
          <w:p w14:paraId="69B5751D" w14:textId="77777777" w:rsidR="00EA6B7A" w:rsidRPr="0072349E" w:rsidRDefault="00EA6B7A" w:rsidP="00C627A0">
            <w:pPr>
              <w:ind w:left="0" w:firstLine="0"/>
              <w:rPr>
                <w:rFonts w:asciiTheme="minorHAnsi" w:eastAsia="Times New Roman" w:hAnsiTheme="minorHAnsi" w:cstheme="minorHAnsi"/>
                <w:b/>
                <w:bCs/>
                <w:noProof/>
                <w:sz w:val="20"/>
                <w:szCs w:val="20"/>
                <w:lang w:val="es-ES" w:eastAsia="en-GB"/>
              </w:rPr>
            </w:pPr>
            <w:r w:rsidRPr="0072349E">
              <w:rPr>
                <w:rFonts w:asciiTheme="minorHAnsi" w:eastAsia="Times New Roman" w:hAnsiTheme="minorHAnsi" w:cstheme="minorHAnsi"/>
                <w:b/>
                <w:bCs/>
                <w:noProof/>
                <w:sz w:val="20"/>
                <w:szCs w:val="20"/>
                <w:lang w:val="es-ES" w:eastAsia="en-GB"/>
              </w:rPr>
              <w:t>J. Varios – Fondo de reserva</w:t>
            </w:r>
          </w:p>
        </w:tc>
        <w:tc>
          <w:tcPr>
            <w:tcW w:w="1205" w:type="dxa"/>
            <w:tcBorders>
              <w:top w:val="nil"/>
              <w:left w:val="nil"/>
              <w:bottom w:val="single" w:sz="4" w:space="0" w:color="auto"/>
              <w:right w:val="single" w:sz="4" w:space="0" w:color="auto"/>
            </w:tcBorders>
            <w:shd w:val="clear" w:color="000000" w:fill="C4D79B"/>
            <w:noWrap/>
            <w:vAlign w:val="center"/>
            <w:hideMark/>
          </w:tcPr>
          <w:p w14:paraId="715ABE9C"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109</w:t>
            </w:r>
          </w:p>
        </w:tc>
        <w:tc>
          <w:tcPr>
            <w:tcW w:w="1205" w:type="dxa"/>
            <w:tcBorders>
              <w:top w:val="nil"/>
              <w:left w:val="nil"/>
              <w:bottom w:val="single" w:sz="4" w:space="0" w:color="auto"/>
              <w:right w:val="single" w:sz="4" w:space="0" w:color="auto"/>
            </w:tcBorders>
            <w:shd w:val="clear" w:color="000000" w:fill="C4D79B"/>
            <w:noWrap/>
            <w:vAlign w:val="center"/>
            <w:hideMark/>
          </w:tcPr>
          <w:p w14:paraId="414F6826"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109</w:t>
            </w:r>
          </w:p>
        </w:tc>
        <w:tc>
          <w:tcPr>
            <w:tcW w:w="1205" w:type="dxa"/>
            <w:tcBorders>
              <w:top w:val="nil"/>
              <w:left w:val="nil"/>
              <w:bottom w:val="single" w:sz="4" w:space="0" w:color="auto"/>
              <w:right w:val="single" w:sz="4" w:space="0" w:color="auto"/>
            </w:tcBorders>
            <w:shd w:val="clear" w:color="000000" w:fill="C4D79B"/>
            <w:noWrap/>
            <w:vAlign w:val="center"/>
            <w:hideMark/>
          </w:tcPr>
          <w:p w14:paraId="1E5B4EDA"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109</w:t>
            </w:r>
          </w:p>
        </w:tc>
        <w:tc>
          <w:tcPr>
            <w:tcW w:w="1205" w:type="dxa"/>
            <w:tcBorders>
              <w:top w:val="nil"/>
              <w:left w:val="nil"/>
              <w:bottom w:val="single" w:sz="4" w:space="0" w:color="auto"/>
              <w:right w:val="single" w:sz="4" w:space="0" w:color="auto"/>
            </w:tcBorders>
            <w:shd w:val="clear" w:color="000000" w:fill="C4D79B"/>
            <w:noWrap/>
            <w:vAlign w:val="center"/>
            <w:hideMark/>
          </w:tcPr>
          <w:p w14:paraId="2FECBAE4" w14:textId="48F68F87" w:rsidR="00EA6B7A" w:rsidRPr="0072349E" w:rsidRDefault="00EA6B7A" w:rsidP="0072349E">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32</w:t>
            </w:r>
            <w:r w:rsidR="0072349E" w:rsidRPr="0072349E">
              <w:rPr>
                <w:rFonts w:asciiTheme="minorHAnsi" w:eastAsia="Times New Roman" w:hAnsiTheme="minorHAnsi" w:cstheme="minorHAnsi"/>
                <w:b/>
                <w:bCs/>
                <w:noProof/>
                <w:color w:val="000000"/>
                <w:sz w:val="20"/>
                <w:szCs w:val="20"/>
                <w:lang w:val="es-ES" w:eastAsia="en-GB"/>
              </w:rPr>
              <w:t>7</w:t>
            </w:r>
          </w:p>
        </w:tc>
      </w:tr>
      <w:tr w:rsidR="00EA6B7A" w:rsidRPr="0072349E" w14:paraId="0C312423"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hideMark/>
          </w:tcPr>
          <w:p w14:paraId="2139B8D9"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Provisiones para personal</w:t>
            </w:r>
          </w:p>
        </w:tc>
        <w:tc>
          <w:tcPr>
            <w:tcW w:w="1205" w:type="dxa"/>
            <w:tcBorders>
              <w:top w:val="nil"/>
              <w:left w:val="nil"/>
              <w:bottom w:val="single" w:sz="4" w:space="0" w:color="auto"/>
              <w:right w:val="single" w:sz="4" w:space="0" w:color="auto"/>
            </w:tcBorders>
            <w:shd w:val="clear" w:color="auto" w:fill="auto"/>
            <w:noWrap/>
            <w:vAlign w:val="center"/>
            <w:hideMark/>
          </w:tcPr>
          <w:p w14:paraId="3E7523CA"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hideMark/>
          </w:tcPr>
          <w:p w14:paraId="2EEAD6BF"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hideMark/>
          </w:tcPr>
          <w:p w14:paraId="023D397A"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20</w:t>
            </w:r>
          </w:p>
        </w:tc>
        <w:tc>
          <w:tcPr>
            <w:tcW w:w="1205" w:type="dxa"/>
            <w:tcBorders>
              <w:top w:val="nil"/>
              <w:left w:val="nil"/>
              <w:bottom w:val="single" w:sz="4" w:space="0" w:color="auto"/>
              <w:right w:val="single" w:sz="4" w:space="0" w:color="auto"/>
            </w:tcBorders>
            <w:shd w:val="clear" w:color="auto" w:fill="auto"/>
            <w:noWrap/>
            <w:vAlign w:val="center"/>
            <w:hideMark/>
          </w:tcPr>
          <w:p w14:paraId="01D2B9D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60</w:t>
            </w:r>
          </w:p>
        </w:tc>
      </w:tr>
      <w:tr w:rsidR="00EA6B7A" w:rsidRPr="0072349E" w14:paraId="1EE32F58" w14:textId="77777777" w:rsidTr="0072349E">
        <w:tc>
          <w:tcPr>
            <w:tcW w:w="4990" w:type="dxa"/>
            <w:tcBorders>
              <w:top w:val="nil"/>
              <w:left w:val="single" w:sz="4" w:space="0" w:color="auto"/>
              <w:bottom w:val="single" w:sz="4" w:space="0" w:color="auto"/>
              <w:right w:val="single" w:sz="4" w:space="0" w:color="auto"/>
            </w:tcBorders>
            <w:shd w:val="clear" w:color="auto" w:fill="auto"/>
            <w:noWrap/>
            <w:vAlign w:val="center"/>
          </w:tcPr>
          <w:p w14:paraId="54441CD0"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Provisiones para contribuciones pendientes</w:t>
            </w:r>
          </w:p>
        </w:tc>
        <w:tc>
          <w:tcPr>
            <w:tcW w:w="1205" w:type="dxa"/>
            <w:tcBorders>
              <w:top w:val="nil"/>
              <w:left w:val="nil"/>
              <w:bottom w:val="single" w:sz="4" w:space="0" w:color="auto"/>
              <w:right w:val="single" w:sz="4" w:space="0" w:color="auto"/>
            </w:tcBorders>
            <w:shd w:val="clear" w:color="auto" w:fill="auto"/>
            <w:noWrap/>
            <w:vAlign w:val="center"/>
          </w:tcPr>
          <w:p w14:paraId="5412426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tcPr>
          <w:p w14:paraId="5B8B48AE"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tcPr>
          <w:p w14:paraId="0970296F"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30</w:t>
            </w:r>
          </w:p>
        </w:tc>
        <w:tc>
          <w:tcPr>
            <w:tcW w:w="1205" w:type="dxa"/>
            <w:tcBorders>
              <w:top w:val="nil"/>
              <w:left w:val="nil"/>
              <w:bottom w:val="single" w:sz="4" w:space="0" w:color="auto"/>
              <w:right w:val="single" w:sz="4" w:space="0" w:color="auto"/>
            </w:tcBorders>
            <w:shd w:val="clear" w:color="auto" w:fill="auto"/>
            <w:noWrap/>
            <w:vAlign w:val="center"/>
          </w:tcPr>
          <w:p w14:paraId="2EF24238"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90</w:t>
            </w:r>
          </w:p>
        </w:tc>
      </w:tr>
      <w:tr w:rsidR="00EA6B7A" w:rsidRPr="0072349E" w14:paraId="3687027B" w14:textId="77777777" w:rsidTr="0072349E">
        <w:tc>
          <w:tcPr>
            <w:tcW w:w="4990" w:type="dxa"/>
            <w:tcBorders>
              <w:top w:val="single" w:sz="4" w:space="0" w:color="auto"/>
              <w:left w:val="single" w:sz="4" w:space="0" w:color="auto"/>
              <w:bottom w:val="nil"/>
              <w:right w:val="single" w:sz="4" w:space="0" w:color="auto"/>
            </w:tcBorders>
            <w:shd w:val="clear" w:color="auto" w:fill="auto"/>
            <w:noWrap/>
            <w:vAlign w:val="center"/>
            <w:hideMark/>
          </w:tcPr>
          <w:p w14:paraId="0C9C0403" w14:textId="77777777" w:rsidR="00EA6B7A" w:rsidRPr="0072349E" w:rsidRDefault="00EA6B7A" w:rsidP="00C627A0">
            <w:pPr>
              <w:ind w:left="0" w:firstLine="0"/>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Servicios jurídicos</w:t>
            </w:r>
          </w:p>
        </w:tc>
        <w:tc>
          <w:tcPr>
            <w:tcW w:w="1205" w:type="dxa"/>
            <w:tcBorders>
              <w:top w:val="nil"/>
              <w:left w:val="nil"/>
              <w:bottom w:val="single" w:sz="4" w:space="0" w:color="auto"/>
              <w:right w:val="single" w:sz="4" w:space="0" w:color="auto"/>
            </w:tcBorders>
            <w:shd w:val="clear" w:color="auto" w:fill="auto"/>
            <w:noWrap/>
            <w:vAlign w:val="center"/>
            <w:hideMark/>
          </w:tcPr>
          <w:p w14:paraId="58528DAD"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59</w:t>
            </w:r>
          </w:p>
        </w:tc>
        <w:tc>
          <w:tcPr>
            <w:tcW w:w="1205" w:type="dxa"/>
            <w:tcBorders>
              <w:top w:val="nil"/>
              <w:left w:val="nil"/>
              <w:bottom w:val="single" w:sz="4" w:space="0" w:color="auto"/>
              <w:right w:val="single" w:sz="4" w:space="0" w:color="auto"/>
            </w:tcBorders>
            <w:shd w:val="clear" w:color="auto" w:fill="auto"/>
            <w:noWrap/>
            <w:vAlign w:val="center"/>
            <w:hideMark/>
          </w:tcPr>
          <w:p w14:paraId="72121497"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59</w:t>
            </w:r>
          </w:p>
        </w:tc>
        <w:tc>
          <w:tcPr>
            <w:tcW w:w="1205" w:type="dxa"/>
            <w:tcBorders>
              <w:top w:val="single" w:sz="4" w:space="0" w:color="auto"/>
              <w:left w:val="nil"/>
              <w:bottom w:val="nil"/>
              <w:right w:val="single" w:sz="4" w:space="0" w:color="auto"/>
            </w:tcBorders>
            <w:shd w:val="clear" w:color="auto" w:fill="auto"/>
            <w:noWrap/>
            <w:vAlign w:val="center"/>
            <w:hideMark/>
          </w:tcPr>
          <w:p w14:paraId="3AACD087" w14:textId="77777777" w:rsidR="00EA6B7A" w:rsidRPr="0072349E" w:rsidRDefault="00EA6B7A" w:rsidP="00C627A0">
            <w:pPr>
              <w:ind w:left="0" w:firstLine="0"/>
              <w:jc w:val="right"/>
              <w:rPr>
                <w:rFonts w:asciiTheme="minorHAnsi" w:eastAsia="Times New Roman" w:hAnsiTheme="minorHAnsi" w:cstheme="minorHAnsi"/>
                <w:noProof/>
                <w:color w:val="000000"/>
                <w:sz w:val="20"/>
                <w:szCs w:val="20"/>
                <w:lang w:val="es-ES" w:eastAsia="en-GB"/>
              </w:rPr>
            </w:pPr>
            <w:r w:rsidRPr="0072349E">
              <w:rPr>
                <w:rFonts w:asciiTheme="minorHAnsi" w:eastAsia="Times New Roman" w:hAnsiTheme="minorHAnsi" w:cstheme="minorHAnsi"/>
                <w:noProof/>
                <w:color w:val="000000"/>
                <w:sz w:val="20"/>
                <w:szCs w:val="20"/>
                <w:lang w:val="es-ES" w:eastAsia="en-GB"/>
              </w:rPr>
              <w:t>59</w:t>
            </w:r>
          </w:p>
        </w:tc>
        <w:tc>
          <w:tcPr>
            <w:tcW w:w="1205" w:type="dxa"/>
            <w:tcBorders>
              <w:top w:val="nil"/>
              <w:left w:val="nil"/>
              <w:bottom w:val="single" w:sz="4" w:space="0" w:color="auto"/>
              <w:right w:val="single" w:sz="4" w:space="0" w:color="auto"/>
            </w:tcBorders>
            <w:shd w:val="clear" w:color="auto" w:fill="auto"/>
            <w:noWrap/>
            <w:vAlign w:val="center"/>
            <w:hideMark/>
          </w:tcPr>
          <w:p w14:paraId="12C8A5A2" w14:textId="77777777" w:rsidR="00EA6B7A" w:rsidRPr="0072349E" w:rsidRDefault="00EA6B7A" w:rsidP="00C627A0">
            <w:pPr>
              <w:ind w:left="0" w:firstLine="0"/>
              <w:jc w:val="right"/>
              <w:rPr>
                <w:rFonts w:asciiTheme="minorHAnsi" w:eastAsia="Times New Roman" w:hAnsiTheme="minorHAnsi" w:cstheme="minorHAnsi"/>
                <w:noProof/>
                <w:sz w:val="20"/>
                <w:szCs w:val="20"/>
                <w:lang w:val="es-ES" w:eastAsia="en-GB"/>
              </w:rPr>
            </w:pPr>
            <w:r w:rsidRPr="0072349E">
              <w:rPr>
                <w:rFonts w:asciiTheme="minorHAnsi" w:eastAsia="Times New Roman" w:hAnsiTheme="minorHAnsi" w:cstheme="minorHAnsi"/>
                <w:noProof/>
                <w:sz w:val="20"/>
                <w:szCs w:val="20"/>
                <w:lang w:val="es-ES" w:eastAsia="en-GB"/>
              </w:rPr>
              <w:t>177</w:t>
            </w:r>
          </w:p>
        </w:tc>
      </w:tr>
      <w:tr w:rsidR="00EA6B7A" w:rsidRPr="0072349E" w14:paraId="677CD394" w14:textId="77777777" w:rsidTr="0072349E">
        <w:tc>
          <w:tcPr>
            <w:tcW w:w="499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476FF39" w14:textId="77777777" w:rsidR="00EA6B7A" w:rsidRPr="0072349E" w:rsidRDefault="00EA6B7A" w:rsidP="00C627A0">
            <w:pPr>
              <w:ind w:left="0" w:firstLine="0"/>
              <w:rPr>
                <w:rFonts w:asciiTheme="minorHAnsi" w:eastAsia="Times New Roman" w:hAnsiTheme="minorHAnsi" w:cstheme="minorHAnsi"/>
                <w:b/>
                <w:bCs/>
                <w:noProof/>
                <w:color w:val="1F497D"/>
                <w:sz w:val="20"/>
                <w:szCs w:val="20"/>
                <w:lang w:val="es-ES" w:eastAsia="en-GB"/>
              </w:rPr>
            </w:pPr>
            <w:r w:rsidRPr="0072349E">
              <w:rPr>
                <w:rFonts w:asciiTheme="minorHAnsi" w:eastAsia="Times New Roman" w:hAnsiTheme="minorHAnsi" w:cstheme="minorHAnsi"/>
                <w:b/>
                <w:bCs/>
                <w:noProof/>
                <w:color w:val="1F497D"/>
                <w:sz w:val="20"/>
                <w:szCs w:val="20"/>
                <w:lang w:val="es-ES" w:eastAsia="en-GB"/>
              </w:rPr>
              <w:t>TOTAL DE GASTOS</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142A260B"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3002430C"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5 227</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61D2EF09"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5 463</w:t>
            </w:r>
          </w:p>
        </w:tc>
        <w:tc>
          <w:tcPr>
            <w:tcW w:w="1205" w:type="dxa"/>
            <w:tcBorders>
              <w:top w:val="nil"/>
              <w:left w:val="nil"/>
              <w:bottom w:val="single" w:sz="4" w:space="0" w:color="auto"/>
              <w:right w:val="single" w:sz="4" w:space="0" w:color="auto"/>
            </w:tcBorders>
            <w:shd w:val="clear" w:color="000000" w:fill="C4D79B"/>
            <w:noWrap/>
            <w:vAlign w:val="center"/>
            <w:hideMark/>
          </w:tcPr>
          <w:p w14:paraId="742917A4" w14:textId="77777777" w:rsidR="00EA6B7A" w:rsidRPr="0072349E" w:rsidRDefault="00EA6B7A" w:rsidP="00C627A0">
            <w:pPr>
              <w:ind w:left="0" w:firstLine="0"/>
              <w:jc w:val="right"/>
              <w:rPr>
                <w:rFonts w:asciiTheme="minorHAnsi" w:eastAsia="Times New Roman" w:hAnsiTheme="minorHAnsi" w:cstheme="minorHAnsi"/>
                <w:b/>
                <w:bCs/>
                <w:noProof/>
                <w:color w:val="000000"/>
                <w:sz w:val="20"/>
                <w:szCs w:val="20"/>
                <w:lang w:val="es-ES" w:eastAsia="en-GB"/>
              </w:rPr>
            </w:pPr>
            <w:r w:rsidRPr="0072349E">
              <w:rPr>
                <w:rFonts w:asciiTheme="minorHAnsi" w:eastAsia="Times New Roman" w:hAnsiTheme="minorHAnsi" w:cstheme="minorHAnsi"/>
                <w:b/>
                <w:bCs/>
                <w:noProof/>
                <w:color w:val="000000"/>
                <w:sz w:val="20"/>
                <w:szCs w:val="20"/>
                <w:lang w:val="es-ES" w:eastAsia="en-GB"/>
              </w:rPr>
              <w:t>15 917</w:t>
            </w:r>
          </w:p>
        </w:tc>
      </w:tr>
    </w:tbl>
    <w:p w14:paraId="3ACDCF46" w14:textId="77777777" w:rsidR="00EA6B7A" w:rsidRPr="00814222" w:rsidRDefault="00EA6B7A" w:rsidP="00EA6B7A">
      <w:pPr>
        <w:ind w:left="0" w:firstLine="0"/>
        <w:rPr>
          <w:rFonts w:cs="Arial"/>
          <w:b/>
          <w:noProof/>
          <w:sz w:val="4"/>
          <w:szCs w:val="4"/>
          <w:lang w:val="es-ES"/>
        </w:rPr>
      </w:pPr>
    </w:p>
    <w:p w14:paraId="64A00939" w14:textId="2F55D208" w:rsidR="0053038D" w:rsidRPr="00814222" w:rsidRDefault="0053038D" w:rsidP="0053038D">
      <w:pPr>
        <w:pStyle w:val="ListParagraph"/>
        <w:ind w:left="0" w:firstLine="0"/>
        <w:contextualSpacing w:val="0"/>
        <w:rPr>
          <w:rFonts w:cs="Arial"/>
          <w:b/>
          <w:noProof/>
          <w:sz w:val="24"/>
          <w:szCs w:val="24"/>
          <w:lang w:val="es-ES"/>
        </w:rPr>
      </w:pPr>
      <w:r w:rsidRPr="00814222">
        <w:rPr>
          <w:rFonts w:cs="Arial"/>
          <w:b/>
          <w:noProof/>
          <w:sz w:val="24"/>
          <w:szCs w:val="24"/>
          <w:lang w:val="es-ES"/>
        </w:rPr>
        <w:lastRenderedPageBreak/>
        <w:t xml:space="preserve">Anexo 2 </w:t>
      </w:r>
    </w:p>
    <w:p w14:paraId="6A8EBC93" w14:textId="0AD2E03A" w:rsidR="0053038D" w:rsidRPr="00814222" w:rsidRDefault="0053038D" w:rsidP="0053038D">
      <w:pPr>
        <w:ind w:left="0" w:firstLine="0"/>
        <w:rPr>
          <w:rFonts w:asciiTheme="minorHAnsi" w:hAnsiTheme="minorHAnsi"/>
          <w:b/>
          <w:bCs/>
          <w:noProof/>
          <w:sz w:val="24"/>
          <w:szCs w:val="24"/>
          <w:lang w:val="es-ES" w:eastAsia="en-GB"/>
        </w:rPr>
      </w:pPr>
      <w:r w:rsidRPr="00814222">
        <w:rPr>
          <w:rFonts w:asciiTheme="minorHAnsi" w:hAnsiTheme="minorHAnsi"/>
          <w:b/>
          <w:bCs/>
          <w:noProof/>
          <w:sz w:val="24"/>
          <w:szCs w:val="24"/>
          <w:lang w:val="es-ES" w:eastAsia="en-GB"/>
        </w:rPr>
        <w:t xml:space="preserve">Contribuciones estimadas de las Partes Contratantes al presupuesto básico para </w:t>
      </w:r>
      <w:r w:rsidRPr="00814222">
        <w:rPr>
          <w:rFonts w:cstheme="minorHAnsi"/>
          <w:b/>
          <w:bCs/>
          <w:noProof/>
          <w:sz w:val="24"/>
          <w:szCs w:val="24"/>
          <w:lang w:val="es-ES"/>
        </w:rPr>
        <w:t>2023-2025</w:t>
      </w:r>
      <w:r w:rsidR="00E02DE1">
        <w:rPr>
          <w:rStyle w:val="FootnoteReference"/>
          <w:rFonts w:cstheme="minorHAnsi"/>
          <w:b/>
          <w:bCs/>
          <w:noProof/>
          <w:sz w:val="24"/>
          <w:szCs w:val="24"/>
          <w:lang w:val="es-ES"/>
        </w:rPr>
        <w:footnoteReference w:id="4"/>
      </w:r>
    </w:p>
    <w:p w14:paraId="00E550B0" w14:textId="77777777" w:rsidR="0053038D" w:rsidRPr="00814222" w:rsidRDefault="0053038D" w:rsidP="0053038D">
      <w:pPr>
        <w:ind w:left="0" w:firstLine="0"/>
        <w:rPr>
          <w:noProof/>
          <w:lang w:val="es-ES"/>
        </w:rPr>
      </w:pPr>
    </w:p>
    <w:tbl>
      <w:tblPr>
        <w:tblW w:w="9924" w:type="dxa"/>
        <w:tblInd w:w="-431" w:type="dxa"/>
        <w:tblLayout w:type="fixed"/>
        <w:tblCellMar>
          <w:left w:w="57" w:type="dxa"/>
          <w:right w:w="57" w:type="dxa"/>
        </w:tblCellMar>
        <w:tblLook w:val="04A0" w:firstRow="1" w:lastRow="0" w:firstColumn="1" w:lastColumn="0" w:noHBand="0" w:noVBand="1"/>
      </w:tblPr>
      <w:tblGrid>
        <w:gridCol w:w="2523"/>
        <w:gridCol w:w="1164"/>
        <w:gridCol w:w="992"/>
        <w:gridCol w:w="1134"/>
        <w:gridCol w:w="1370"/>
        <w:gridCol w:w="1370"/>
        <w:gridCol w:w="1371"/>
      </w:tblGrid>
      <w:tr w:rsidR="00E02DE1" w:rsidRPr="00664FF1" w14:paraId="0191803F" w14:textId="77777777" w:rsidTr="00FF31FF">
        <w:trPr>
          <w:cantSplit/>
          <w:tblHeader/>
        </w:trPr>
        <w:tc>
          <w:tcPr>
            <w:tcW w:w="25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551805" w14:textId="77777777" w:rsidR="00E02DE1" w:rsidRPr="00664FF1" w:rsidRDefault="00E02DE1" w:rsidP="00E02DE1">
            <w:pPr>
              <w:ind w:left="0" w:firstLine="0"/>
              <w:jc w:val="center"/>
              <w:rPr>
                <w:rFonts w:asciiTheme="minorHAnsi" w:eastAsia="Times New Roman" w:hAnsiTheme="minorHAnsi" w:cs="Arial"/>
                <w:b/>
                <w:bCs/>
                <w:noProof/>
                <w:color w:val="000000" w:themeColor="text1"/>
                <w:sz w:val="20"/>
                <w:szCs w:val="20"/>
                <w:lang w:val="es-ES" w:eastAsia="en-GB"/>
              </w:rPr>
            </w:pPr>
            <w:r w:rsidRPr="00664FF1">
              <w:rPr>
                <w:rFonts w:asciiTheme="minorHAnsi" w:eastAsia="Times New Roman" w:hAnsiTheme="minorHAnsi" w:cs="Arial"/>
                <w:b/>
                <w:bCs/>
                <w:noProof/>
                <w:color w:val="000000" w:themeColor="text1"/>
                <w:sz w:val="20"/>
                <w:szCs w:val="20"/>
                <w:lang w:val="es-ES" w:eastAsia="en-GB"/>
              </w:rPr>
              <w:t xml:space="preserve">Parte Contratante </w:t>
            </w:r>
            <w:r w:rsidRPr="00664FF1">
              <w:rPr>
                <w:rFonts w:asciiTheme="minorHAnsi" w:eastAsia="Times New Roman" w:hAnsiTheme="minorHAnsi" w:cs="Arial"/>
                <w:b/>
                <w:bCs/>
                <w:noProof/>
                <w:color w:val="000000" w:themeColor="text1"/>
                <w:sz w:val="20"/>
                <w:szCs w:val="20"/>
                <w:lang w:val="es-ES" w:eastAsia="en-GB"/>
              </w:rPr>
              <w:br/>
              <w:t>(Afiliación a 1 de enero de 2022)</w:t>
            </w:r>
          </w:p>
        </w:tc>
        <w:tc>
          <w:tcPr>
            <w:tcW w:w="116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3877ED6" w14:textId="77777777" w:rsidR="00E02DE1" w:rsidRPr="00664FF1" w:rsidRDefault="00E02DE1" w:rsidP="00E02DE1">
            <w:pPr>
              <w:ind w:left="0" w:firstLine="0"/>
              <w:jc w:val="center"/>
              <w:rPr>
                <w:rFonts w:asciiTheme="minorHAnsi" w:eastAsia="Times New Roman" w:hAnsiTheme="minorHAnsi" w:cs="Arial"/>
                <w:b/>
                <w:bCs/>
                <w:noProof/>
                <w:color w:val="000000" w:themeColor="text1"/>
                <w:sz w:val="20"/>
                <w:szCs w:val="20"/>
                <w:lang w:val="es-ES" w:eastAsia="en-GB"/>
              </w:rPr>
            </w:pPr>
            <w:r w:rsidRPr="00664FF1">
              <w:rPr>
                <w:rFonts w:asciiTheme="minorHAnsi" w:eastAsia="Times New Roman" w:hAnsiTheme="minorHAnsi" w:cs="Arial"/>
                <w:b/>
                <w:bCs/>
                <w:noProof/>
                <w:color w:val="000000" w:themeColor="text1"/>
                <w:sz w:val="20"/>
                <w:szCs w:val="20"/>
                <w:lang w:val="es-ES" w:eastAsia="en-GB"/>
              </w:rPr>
              <w:t xml:space="preserve">2022-2024 </w:t>
            </w:r>
            <w:r w:rsidRPr="00664FF1">
              <w:rPr>
                <w:rFonts w:asciiTheme="minorHAnsi" w:eastAsia="Times New Roman" w:hAnsiTheme="minorHAnsi" w:cs="Arial"/>
                <w:b/>
                <w:bCs/>
                <w:noProof/>
                <w:color w:val="000000" w:themeColor="text1"/>
                <w:sz w:val="20"/>
                <w:szCs w:val="20"/>
                <w:lang w:val="es-ES" w:eastAsia="en-GB"/>
              </w:rPr>
              <w:br/>
              <w:t>Escala de las Naciones Unidas*</w:t>
            </w: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019C943" w14:textId="77777777" w:rsidR="00E02DE1" w:rsidRPr="00664FF1" w:rsidRDefault="00E02DE1" w:rsidP="00E02DE1">
            <w:pPr>
              <w:ind w:left="0" w:firstLine="0"/>
              <w:jc w:val="center"/>
              <w:rPr>
                <w:rFonts w:asciiTheme="minorHAnsi" w:eastAsia="Times New Roman" w:hAnsiTheme="minorHAnsi" w:cs="Arial"/>
                <w:b/>
                <w:bCs/>
                <w:noProof/>
                <w:color w:val="000000" w:themeColor="text1"/>
                <w:sz w:val="20"/>
                <w:szCs w:val="20"/>
                <w:lang w:val="es-ES" w:eastAsia="en-GB"/>
              </w:rPr>
            </w:pPr>
            <w:r w:rsidRPr="00664FF1">
              <w:rPr>
                <w:rFonts w:asciiTheme="minorHAnsi" w:eastAsia="Times New Roman" w:hAnsiTheme="minorHAnsi" w:cs="Arial"/>
                <w:b/>
                <w:bCs/>
                <w:noProof/>
                <w:color w:val="000000" w:themeColor="text1"/>
                <w:sz w:val="20"/>
                <w:szCs w:val="20"/>
                <w:lang w:val="es-ES" w:eastAsia="en-GB"/>
              </w:rPr>
              <w:t>% del total de Ramsar</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66ADC856" w14:textId="6C50009F" w:rsidR="00E02DE1" w:rsidRPr="00664FF1" w:rsidRDefault="00E02DE1" w:rsidP="00E02DE1">
            <w:pPr>
              <w:ind w:left="0" w:firstLine="0"/>
              <w:jc w:val="center"/>
              <w:rPr>
                <w:rFonts w:asciiTheme="minorHAnsi" w:eastAsia="Times New Roman" w:hAnsiTheme="minorHAnsi" w:cs="Arial"/>
                <w:b/>
                <w:bCs/>
                <w:noProof/>
                <w:color w:val="000000" w:themeColor="text1"/>
                <w:sz w:val="20"/>
                <w:szCs w:val="20"/>
                <w:lang w:val="es-ES" w:eastAsia="en-GB"/>
              </w:rPr>
            </w:pPr>
            <w:r w:rsidRPr="00664FF1">
              <w:rPr>
                <w:rFonts w:asciiTheme="minorHAnsi" w:eastAsia="Times New Roman" w:hAnsiTheme="minorHAnsi" w:cs="Arial"/>
                <w:b/>
                <w:bCs/>
                <w:noProof/>
                <w:color w:val="000000" w:themeColor="text1"/>
                <w:sz w:val="20"/>
                <w:szCs w:val="20"/>
                <w:lang w:val="es-ES" w:eastAsia="en-GB"/>
              </w:rPr>
              <w:t>Cuotas anuales 2019-2021</w:t>
            </w:r>
          </w:p>
        </w:tc>
        <w:tc>
          <w:tcPr>
            <w:tcW w:w="137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84ACA02" w14:textId="4BBCF833" w:rsidR="00E02DE1" w:rsidRPr="00664FF1" w:rsidRDefault="00E02DE1" w:rsidP="00E02DE1">
            <w:pPr>
              <w:ind w:left="0" w:firstLine="0"/>
              <w:jc w:val="center"/>
              <w:rPr>
                <w:rFonts w:asciiTheme="minorHAnsi" w:eastAsia="Times New Roman" w:hAnsiTheme="minorHAnsi" w:cs="Arial"/>
                <w:b/>
                <w:bCs/>
                <w:noProof/>
                <w:color w:val="000000" w:themeColor="text1"/>
                <w:sz w:val="20"/>
                <w:szCs w:val="20"/>
                <w:lang w:val="es-ES" w:eastAsia="en-GB"/>
              </w:rPr>
            </w:pPr>
            <w:r w:rsidRPr="00664FF1">
              <w:rPr>
                <w:rFonts w:asciiTheme="minorHAnsi" w:eastAsia="Times New Roman" w:hAnsiTheme="minorHAnsi" w:cs="Arial"/>
                <w:b/>
                <w:bCs/>
                <w:noProof/>
                <w:color w:val="000000" w:themeColor="text1"/>
                <w:sz w:val="20"/>
                <w:szCs w:val="20"/>
                <w:lang w:val="es-ES" w:eastAsia="en-GB"/>
              </w:rPr>
              <w:t>Cuota anual estimada para 2023-2025</w:t>
            </w:r>
            <w:r w:rsidRPr="00664FF1">
              <w:rPr>
                <w:rFonts w:asciiTheme="minorHAnsi" w:eastAsia="Times New Roman" w:hAnsiTheme="minorHAnsi" w:cs="Arial"/>
                <w:b/>
                <w:bCs/>
                <w:noProof/>
                <w:color w:val="000000" w:themeColor="text1"/>
                <w:sz w:val="20"/>
                <w:szCs w:val="20"/>
                <w:lang w:val="es-ES" w:eastAsia="en-GB"/>
              </w:rPr>
              <w:br/>
              <w:t>Scenario A</w:t>
            </w:r>
          </w:p>
        </w:tc>
        <w:tc>
          <w:tcPr>
            <w:tcW w:w="1370" w:type="dxa"/>
            <w:tcBorders>
              <w:top w:val="single" w:sz="4" w:space="0" w:color="auto"/>
              <w:left w:val="nil"/>
              <w:bottom w:val="single" w:sz="4" w:space="0" w:color="auto"/>
              <w:right w:val="single" w:sz="4" w:space="0" w:color="auto"/>
            </w:tcBorders>
            <w:shd w:val="clear" w:color="000000" w:fill="EBF1DE"/>
            <w:vAlign w:val="center"/>
            <w:hideMark/>
          </w:tcPr>
          <w:p w14:paraId="1834912F" w14:textId="77777777" w:rsidR="00E02DE1" w:rsidRPr="00664FF1" w:rsidRDefault="00E02DE1" w:rsidP="00E02DE1">
            <w:pPr>
              <w:ind w:left="0" w:firstLine="0"/>
              <w:jc w:val="center"/>
              <w:rPr>
                <w:rFonts w:asciiTheme="minorHAnsi" w:eastAsia="Times New Roman" w:hAnsiTheme="minorHAnsi" w:cs="Arial"/>
                <w:b/>
                <w:bCs/>
                <w:noProof/>
                <w:color w:val="000000" w:themeColor="text1"/>
                <w:sz w:val="20"/>
                <w:szCs w:val="20"/>
                <w:lang w:val="es-ES" w:eastAsia="en-GB"/>
              </w:rPr>
            </w:pPr>
            <w:r w:rsidRPr="00664FF1">
              <w:rPr>
                <w:rFonts w:asciiTheme="minorHAnsi" w:eastAsia="Times New Roman" w:hAnsiTheme="minorHAnsi" w:cs="Arial"/>
                <w:b/>
                <w:bCs/>
                <w:noProof/>
                <w:color w:val="000000" w:themeColor="text1"/>
                <w:sz w:val="20"/>
                <w:szCs w:val="20"/>
                <w:lang w:val="es-ES" w:eastAsia="en-GB"/>
              </w:rPr>
              <w:t>Contribución anual estimada para 2023-2025</w:t>
            </w:r>
            <w:r w:rsidRPr="00664FF1">
              <w:rPr>
                <w:rFonts w:asciiTheme="minorHAnsi" w:eastAsia="Times New Roman" w:hAnsiTheme="minorHAnsi" w:cs="Arial"/>
                <w:b/>
                <w:bCs/>
                <w:noProof/>
                <w:color w:val="000000" w:themeColor="text1"/>
                <w:sz w:val="20"/>
                <w:szCs w:val="20"/>
                <w:lang w:val="es-ES" w:eastAsia="en-GB"/>
              </w:rPr>
              <w:br/>
              <w:t>Escenario B</w:t>
            </w:r>
          </w:p>
        </w:tc>
        <w:tc>
          <w:tcPr>
            <w:tcW w:w="1371" w:type="dxa"/>
            <w:tcBorders>
              <w:top w:val="single" w:sz="4" w:space="0" w:color="auto"/>
              <w:left w:val="nil"/>
              <w:bottom w:val="single" w:sz="4" w:space="0" w:color="auto"/>
              <w:right w:val="single" w:sz="4" w:space="0" w:color="auto"/>
            </w:tcBorders>
            <w:shd w:val="clear" w:color="000000" w:fill="EBF1DE"/>
            <w:vAlign w:val="center"/>
            <w:hideMark/>
          </w:tcPr>
          <w:p w14:paraId="33B2857A" w14:textId="77777777" w:rsidR="00E02DE1" w:rsidRPr="00664FF1" w:rsidRDefault="00E02DE1" w:rsidP="00E02DE1">
            <w:pPr>
              <w:ind w:left="0" w:firstLine="0"/>
              <w:jc w:val="center"/>
              <w:rPr>
                <w:rFonts w:asciiTheme="minorHAnsi" w:eastAsia="Times New Roman" w:hAnsiTheme="minorHAnsi" w:cs="Arial"/>
                <w:b/>
                <w:bCs/>
                <w:noProof/>
                <w:color w:val="000000" w:themeColor="text1"/>
                <w:sz w:val="20"/>
                <w:szCs w:val="20"/>
                <w:lang w:val="es-ES" w:eastAsia="en-GB"/>
              </w:rPr>
            </w:pPr>
            <w:r w:rsidRPr="00664FF1">
              <w:rPr>
                <w:rFonts w:asciiTheme="minorHAnsi" w:eastAsia="Times New Roman" w:hAnsiTheme="minorHAnsi" w:cs="Arial"/>
                <w:b/>
                <w:bCs/>
                <w:noProof/>
                <w:color w:val="000000" w:themeColor="text1"/>
                <w:sz w:val="20"/>
                <w:szCs w:val="20"/>
                <w:lang w:val="es-ES" w:eastAsia="en-GB"/>
              </w:rPr>
              <w:t>Contribución anual estimada para 2025</w:t>
            </w:r>
            <w:r w:rsidRPr="00664FF1">
              <w:rPr>
                <w:rFonts w:asciiTheme="minorHAnsi" w:eastAsia="Times New Roman" w:hAnsiTheme="minorHAnsi" w:cs="Arial"/>
                <w:b/>
                <w:bCs/>
                <w:noProof/>
                <w:color w:val="000000" w:themeColor="text1"/>
                <w:sz w:val="20"/>
                <w:szCs w:val="20"/>
                <w:lang w:val="es-ES" w:eastAsia="en-GB"/>
              </w:rPr>
              <w:br/>
              <w:t>Scenario C***</w:t>
            </w:r>
          </w:p>
        </w:tc>
      </w:tr>
      <w:tr w:rsidR="00E02DE1" w:rsidRPr="00664FF1" w14:paraId="6E7AEF8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5F1AE5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Albania</w:t>
            </w:r>
          </w:p>
        </w:tc>
        <w:tc>
          <w:tcPr>
            <w:tcW w:w="1164" w:type="dxa"/>
            <w:tcBorders>
              <w:top w:val="nil"/>
              <w:left w:val="nil"/>
              <w:bottom w:val="single" w:sz="4" w:space="0" w:color="auto"/>
              <w:right w:val="single" w:sz="4" w:space="0" w:color="auto"/>
            </w:tcBorders>
            <w:shd w:val="clear" w:color="auto" w:fill="auto"/>
            <w:noWrap/>
          </w:tcPr>
          <w:p w14:paraId="63B9A44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w:t>
            </w:r>
          </w:p>
        </w:tc>
        <w:tc>
          <w:tcPr>
            <w:tcW w:w="992" w:type="dxa"/>
            <w:tcBorders>
              <w:top w:val="nil"/>
              <w:left w:val="nil"/>
              <w:bottom w:val="single" w:sz="4" w:space="0" w:color="auto"/>
              <w:right w:val="single" w:sz="4" w:space="0" w:color="auto"/>
            </w:tcBorders>
            <w:shd w:val="clear" w:color="auto" w:fill="auto"/>
            <w:noWrap/>
          </w:tcPr>
          <w:p w14:paraId="63DF51D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0,008 %</w:t>
            </w:r>
          </w:p>
        </w:tc>
        <w:tc>
          <w:tcPr>
            <w:tcW w:w="1134" w:type="dxa"/>
            <w:tcBorders>
              <w:top w:val="single" w:sz="4" w:space="0" w:color="auto"/>
              <w:left w:val="nil"/>
              <w:bottom w:val="single" w:sz="4" w:space="0" w:color="auto"/>
              <w:right w:val="single" w:sz="4" w:space="0" w:color="auto"/>
            </w:tcBorders>
          </w:tcPr>
          <w:p w14:paraId="6A691317" w14:textId="5434CC7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952909A" w14:textId="7E3EAB40"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3F8216F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CB81CA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E44E8E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D43FE2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Alemania</w:t>
            </w:r>
          </w:p>
        </w:tc>
        <w:tc>
          <w:tcPr>
            <w:tcW w:w="1164" w:type="dxa"/>
            <w:tcBorders>
              <w:top w:val="nil"/>
              <w:left w:val="nil"/>
              <w:bottom w:val="single" w:sz="4" w:space="0" w:color="auto"/>
              <w:right w:val="single" w:sz="4" w:space="0" w:color="auto"/>
            </w:tcBorders>
            <w:shd w:val="clear" w:color="auto" w:fill="auto"/>
            <w:noWrap/>
          </w:tcPr>
          <w:p w14:paraId="3479545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6,111</w:t>
            </w:r>
          </w:p>
        </w:tc>
        <w:tc>
          <w:tcPr>
            <w:tcW w:w="992" w:type="dxa"/>
            <w:tcBorders>
              <w:top w:val="nil"/>
              <w:left w:val="nil"/>
              <w:bottom w:val="single" w:sz="4" w:space="0" w:color="auto"/>
              <w:right w:val="single" w:sz="4" w:space="0" w:color="auto"/>
            </w:tcBorders>
            <w:shd w:val="clear" w:color="auto" w:fill="auto"/>
            <w:noWrap/>
          </w:tcPr>
          <w:p w14:paraId="2DA650E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6,274 %</w:t>
            </w:r>
          </w:p>
        </w:tc>
        <w:tc>
          <w:tcPr>
            <w:tcW w:w="1134" w:type="dxa"/>
            <w:tcBorders>
              <w:top w:val="single" w:sz="4" w:space="0" w:color="auto"/>
              <w:left w:val="nil"/>
              <w:bottom w:val="single" w:sz="4" w:space="0" w:color="auto"/>
              <w:right w:val="single" w:sz="4" w:space="0" w:color="auto"/>
            </w:tcBorders>
          </w:tcPr>
          <w:p w14:paraId="29F0FE44" w14:textId="0895096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298 081</w:t>
            </w:r>
          </w:p>
        </w:tc>
        <w:tc>
          <w:tcPr>
            <w:tcW w:w="1370" w:type="dxa"/>
            <w:tcBorders>
              <w:top w:val="nil"/>
              <w:left w:val="single" w:sz="4" w:space="0" w:color="auto"/>
              <w:bottom w:val="single" w:sz="4" w:space="0" w:color="auto"/>
              <w:right w:val="single" w:sz="4" w:space="0" w:color="auto"/>
            </w:tcBorders>
            <w:shd w:val="clear" w:color="auto" w:fill="auto"/>
            <w:noWrap/>
          </w:tcPr>
          <w:p w14:paraId="607B3F1B" w14:textId="425072FF"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299 212</w:t>
            </w:r>
          </w:p>
        </w:tc>
        <w:tc>
          <w:tcPr>
            <w:tcW w:w="1370" w:type="dxa"/>
            <w:tcBorders>
              <w:top w:val="nil"/>
              <w:left w:val="nil"/>
              <w:bottom w:val="single" w:sz="4" w:space="0" w:color="auto"/>
              <w:right w:val="single" w:sz="4" w:space="0" w:color="auto"/>
            </w:tcBorders>
            <w:shd w:val="clear" w:color="auto" w:fill="auto"/>
            <w:noWrap/>
          </w:tcPr>
          <w:p w14:paraId="7330D2A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307 231</w:t>
            </w:r>
          </w:p>
        </w:tc>
        <w:tc>
          <w:tcPr>
            <w:tcW w:w="1371" w:type="dxa"/>
            <w:tcBorders>
              <w:top w:val="nil"/>
              <w:left w:val="nil"/>
              <w:bottom w:val="single" w:sz="4" w:space="0" w:color="auto"/>
              <w:right w:val="single" w:sz="4" w:space="0" w:color="auto"/>
            </w:tcBorders>
            <w:shd w:val="clear" w:color="auto" w:fill="auto"/>
            <w:noWrap/>
          </w:tcPr>
          <w:p w14:paraId="330F88A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322 134</w:t>
            </w:r>
          </w:p>
        </w:tc>
      </w:tr>
      <w:tr w:rsidR="00E02DE1" w:rsidRPr="00664FF1" w14:paraId="5CEC4AB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4A9012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Andorra</w:t>
            </w:r>
          </w:p>
        </w:tc>
        <w:tc>
          <w:tcPr>
            <w:tcW w:w="1164" w:type="dxa"/>
            <w:tcBorders>
              <w:top w:val="nil"/>
              <w:left w:val="nil"/>
              <w:bottom w:val="single" w:sz="4" w:space="0" w:color="auto"/>
              <w:right w:val="single" w:sz="4" w:space="0" w:color="auto"/>
            </w:tcBorders>
            <w:shd w:val="clear" w:color="auto" w:fill="auto"/>
            <w:noWrap/>
          </w:tcPr>
          <w:p w14:paraId="329CFC7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w:t>
            </w:r>
          </w:p>
        </w:tc>
        <w:tc>
          <w:tcPr>
            <w:tcW w:w="992" w:type="dxa"/>
            <w:tcBorders>
              <w:top w:val="nil"/>
              <w:left w:val="nil"/>
              <w:bottom w:val="single" w:sz="4" w:space="0" w:color="auto"/>
              <w:right w:val="single" w:sz="4" w:space="0" w:color="auto"/>
            </w:tcBorders>
            <w:shd w:val="clear" w:color="auto" w:fill="auto"/>
            <w:noWrap/>
          </w:tcPr>
          <w:p w14:paraId="4B8E6B3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0,005 %</w:t>
            </w:r>
          </w:p>
        </w:tc>
        <w:tc>
          <w:tcPr>
            <w:tcW w:w="1134" w:type="dxa"/>
            <w:tcBorders>
              <w:top w:val="single" w:sz="4" w:space="0" w:color="auto"/>
              <w:left w:val="nil"/>
              <w:bottom w:val="single" w:sz="4" w:space="0" w:color="auto"/>
              <w:right w:val="single" w:sz="4" w:space="0" w:color="auto"/>
            </w:tcBorders>
          </w:tcPr>
          <w:p w14:paraId="374CD21A" w14:textId="5896D79C"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1B5400E" w14:textId="1279A1D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11672FB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3E9DE55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18D278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FFC722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Angola</w:t>
            </w:r>
          </w:p>
        </w:tc>
        <w:tc>
          <w:tcPr>
            <w:tcW w:w="1164" w:type="dxa"/>
            <w:tcBorders>
              <w:top w:val="nil"/>
              <w:left w:val="nil"/>
              <w:bottom w:val="single" w:sz="4" w:space="0" w:color="auto"/>
              <w:right w:val="single" w:sz="4" w:space="0" w:color="auto"/>
            </w:tcBorders>
            <w:shd w:val="clear" w:color="auto" w:fill="auto"/>
            <w:noWrap/>
          </w:tcPr>
          <w:p w14:paraId="42B42A2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14C291F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3DFBBA85" w14:textId="2DDA6D0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0</w:t>
            </w:r>
          </w:p>
        </w:tc>
        <w:tc>
          <w:tcPr>
            <w:tcW w:w="1370" w:type="dxa"/>
            <w:tcBorders>
              <w:top w:val="nil"/>
              <w:left w:val="single" w:sz="4" w:space="0" w:color="auto"/>
              <w:bottom w:val="single" w:sz="4" w:space="0" w:color="auto"/>
              <w:right w:val="single" w:sz="4" w:space="0" w:color="auto"/>
            </w:tcBorders>
            <w:shd w:val="clear" w:color="auto" w:fill="auto"/>
            <w:noWrap/>
          </w:tcPr>
          <w:p w14:paraId="076631C9" w14:textId="23C3FDB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6908DF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2A2FB1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516BBE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F3163D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Antigua y Barbuda</w:t>
            </w:r>
          </w:p>
        </w:tc>
        <w:tc>
          <w:tcPr>
            <w:tcW w:w="1164" w:type="dxa"/>
            <w:tcBorders>
              <w:top w:val="nil"/>
              <w:left w:val="nil"/>
              <w:bottom w:val="single" w:sz="4" w:space="0" w:color="auto"/>
              <w:right w:val="single" w:sz="4" w:space="0" w:color="auto"/>
            </w:tcBorders>
            <w:shd w:val="clear" w:color="auto" w:fill="auto"/>
            <w:noWrap/>
          </w:tcPr>
          <w:p w14:paraId="14CF2E9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6B3BB67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198925E6" w14:textId="2F95EBA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6CD2E77D" w14:textId="7DA0C4C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207898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63458F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5334035"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434384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Argelia</w:t>
            </w:r>
          </w:p>
        </w:tc>
        <w:tc>
          <w:tcPr>
            <w:tcW w:w="1164" w:type="dxa"/>
            <w:tcBorders>
              <w:top w:val="nil"/>
              <w:left w:val="nil"/>
              <w:bottom w:val="single" w:sz="4" w:space="0" w:color="auto"/>
              <w:right w:val="single" w:sz="4" w:space="0" w:color="auto"/>
            </w:tcBorders>
            <w:shd w:val="clear" w:color="auto" w:fill="auto"/>
            <w:noWrap/>
          </w:tcPr>
          <w:p w14:paraId="625F08A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0,109</w:t>
            </w:r>
          </w:p>
        </w:tc>
        <w:tc>
          <w:tcPr>
            <w:tcW w:w="992" w:type="dxa"/>
            <w:tcBorders>
              <w:top w:val="nil"/>
              <w:left w:val="nil"/>
              <w:bottom w:val="single" w:sz="4" w:space="0" w:color="auto"/>
              <w:right w:val="single" w:sz="4" w:space="0" w:color="auto"/>
            </w:tcBorders>
            <w:shd w:val="clear" w:color="auto" w:fill="auto"/>
            <w:noWrap/>
          </w:tcPr>
          <w:p w14:paraId="72DADB5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0,112 %</w:t>
            </w:r>
          </w:p>
        </w:tc>
        <w:tc>
          <w:tcPr>
            <w:tcW w:w="1134" w:type="dxa"/>
            <w:tcBorders>
              <w:top w:val="single" w:sz="4" w:space="0" w:color="auto"/>
              <w:left w:val="nil"/>
              <w:bottom w:val="single" w:sz="4" w:space="0" w:color="auto"/>
              <w:right w:val="single" w:sz="4" w:space="0" w:color="auto"/>
            </w:tcBorders>
          </w:tcPr>
          <w:p w14:paraId="67408628" w14:textId="257E496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6 755</w:t>
            </w:r>
          </w:p>
        </w:tc>
        <w:tc>
          <w:tcPr>
            <w:tcW w:w="1370" w:type="dxa"/>
            <w:tcBorders>
              <w:top w:val="nil"/>
              <w:left w:val="single" w:sz="4" w:space="0" w:color="auto"/>
              <w:bottom w:val="single" w:sz="4" w:space="0" w:color="auto"/>
              <w:right w:val="single" w:sz="4" w:space="0" w:color="auto"/>
            </w:tcBorders>
            <w:shd w:val="clear" w:color="auto" w:fill="auto"/>
            <w:noWrap/>
          </w:tcPr>
          <w:p w14:paraId="511E2E37" w14:textId="47A4B76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5 337</w:t>
            </w:r>
          </w:p>
        </w:tc>
        <w:tc>
          <w:tcPr>
            <w:tcW w:w="1370" w:type="dxa"/>
            <w:tcBorders>
              <w:top w:val="nil"/>
              <w:left w:val="nil"/>
              <w:bottom w:val="single" w:sz="4" w:space="0" w:color="auto"/>
              <w:right w:val="single" w:sz="4" w:space="0" w:color="auto"/>
            </w:tcBorders>
            <w:shd w:val="clear" w:color="auto" w:fill="auto"/>
            <w:noWrap/>
          </w:tcPr>
          <w:p w14:paraId="0DDFCD1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5,480</w:t>
            </w:r>
          </w:p>
        </w:tc>
        <w:tc>
          <w:tcPr>
            <w:tcW w:w="1371" w:type="dxa"/>
            <w:tcBorders>
              <w:top w:val="nil"/>
              <w:left w:val="nil"/>
              <w:bottom w:val="single" w:sz="4" w:space="0" w:color="auto"/>
              <w:right w:val="single" w:sz="4" w:space="0" w:color="auto"/>
            </w:tcBorders>
            <w:shd w:val="clear" w:color="auto" w:fill="auto"/>
            <w:noWrap/>
          </w:tcPr>
          <w:p w14:paraId="5DCB044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5 746</w:t>
            </w:r>
          </w:p>
        </w:tc>
      </w:tr>
      <w:tr w:rsidR="00E02DE1" w:rsidRPr="00664FF1" w14:paraId="63E628F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A331C7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Argentina</w:t>
            </w:r>
          </w:p>
        </w:tc>
        <w:tc>
          <w:tcPr>
            <w:tcW w:w="1164" w:type="dxa"/>
            <w:tcBorders>
              <w:top w:val="nil"/>
              <w:left w:val="nil"/>
              <w:bottom w:val="single" w:sz="4" w:space="0" w:color="auto"/>
              <w:right w:val="single" w:sz="4" w:space="0" w:color="auto"/>
            </w:tcBorders>
            <w:shd w:val="clear" w:color="auto" w:fill="auto"/>
            <w:noWrap/>
          </w:tcPr>
          <w:p w14:paraId="05D84B6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0,719</w:t>
            </w:r>
          </w:p>
        </w:tc>
        <w:tc>
          <w:tcPr>
            <w:tcW w:w="992" w:type="dxa"/>
            <w:tcBorders>
              <w:top w:val="nil"/>
              <w:left w:val="nil"/>
              <w:bottom w:val="single" w:sz="4" w:space="0" w:color="auto"/>
              <w:right w:val="single" w:sz="4" w:space="0" w:color="auto"/>
            </w:tcBorders>
            <w:shd w:val="clear" w:color="auto" w:fill="auto"/>
            <w:noWrap/>
          </w:tcPr>
          <w:p w14:paraId="55D0F15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0,738 %</w:t>
            </w:r>
          </w:p>
        </w:tc>
        <w:tc>
          <w:tcPr>
            <w:tcW w:w="1134" w:type="dxa"/>
            <w:tcBorders>
              <w:top w:val="single" w:sz="4" w:space="0" w:color="auto"/>
              <w:left w:val="nil"/>
              <w:bottom w:val="single" w:sz="4" w:space="0" w:color="auto"/>
              <w:right w:val="single" w:sz="4" w:space="0" w:color="auto"/>
            </w:tcBorders>
          </w:tcPr>
          <w:p w14:paraId="6FF04A43" w14:textId="78D29ED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44 786</w:t>
            </w:r>
          </w:p>
        </w:tc>
        <w:tc>
          <w:tcPr>
            <w:tcW w:w="1370" w:type="dxa"/>
            <w:tcBorders>
              <w:top w:val="nil"/>
              <w:left w:val="single" w:sz="4" w:space="0" w:color="auto"/>
              <w:bottom w:val="single" w:sz="4" w:space="0" w:color="auto"/>
              <w:right w:val="single" w:sz="4" w:space="0" w:color="auto"/>
            </w:tcBorders>
            <w:shd w:val="clear" w:color="auto" w:fill="auto"/>
            <w:noWrap/>
          </w:tcPr>
          <w:p w14:paraId="4BC7E21C" w14:textId="15AE95E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35 204</w:t>
            </w:r>
          </w:p>
        </w:tc>
        <w:tc>
          <w:tcPr>
            <w:tcW w:w="1370" w:type="dxa"/>
            <w:tcBorders>
              <w:top w:val="nil"/>
              <w:left w:val="nil"/>
              <w:bottom w:val="single" w:sz="4" w:space="0" w:color="auto"/>
              <w:right w:val="single" w:sz="4" w:space="0" w:color="auto"/>
            </w:tcBorders>
            <w:shd w:val="clear" w:color="auto" w:fill="auto"/>
            <w:noWrap/>
          </w:tcPr>
          <w:p w14:paraId="4E3A32E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36 148</w:t>
            </w:r>
          </w:p>
        </w:tc>
        <w:tc>
          <w:tcPr>
            <w:tcW w:w="1371" w:type="dxa"/>
            <w:tcBorders>
              <w:top w:val="nil"/>
              <w:left w:val="nil"/>
              <w:bottom w:val="single" w:sz="4" w:space="0" w:color="auto"/>
              <w:right w:val="single" w:sz="4" w:space="0" w:color="auto"/>
            </w:tcBorders>
            <w:shd w:val="clear" w:color="auto" w:fill="auto"/>
            <w:noWrap/>
          </w:tcPr>
          <w:p w14:paraId="29BF7C8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37 901</w:t>
            </w:r>
          </w:p>
        </w:tc>
      </w:tr>
      <w:tr w:rsidR="00E02DE1" w:rsidRPr="00664FF1" w14:paraId="3A499AD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FBED15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Armenia</w:t>
            </w:r>
          </w:p>
        </w:tc>
        <w:tc>
          <w:tcPr>
            <w:tcW w:w="1164" w:type="dxa"/>
            <w:tcBorders>
              <w:top w:val="nil"/>
              <w:left w:val="nil"/>
              <w:bottom w:val="single" w:sz="4" w:space="0" w:color="auto"/>
              <w:right w:val="single" w:sz="4" w:space="0" w:color="auto"/>
            </w:tcBorders>
            <w:shd w:val="clear" w:color="auto" w:fill="auto"/>
            <w:noWrap/>
          </w:tcPr>
          <w:p w14:paraId="2670E9B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w:t>
            </w:r>
          </w:p>
        </w:tc>
        <w:tc>
          <w:tcPr>
            <w:tcW w:w="992" w:type="dxa"/>
            <w:tcBorders>
              <w:top w:val="nil"/>
              <w:left w:val="nil"/>
              <w:bottom w:val="single" w:sz="4" w:space="0" w:color="auto"/>
              <w:right w:val="single" w:sz="4" w:space="0" w:color="auto"/>
            </w:tcBorders>
            <w:shd w:val="clear" w:color="auto" w:fill="auto"/>
            <w:noWrap/>
          </w:tcPr>
          <w:p w14:paraId="54C3E54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0,007 %</w:t>
            </w:r>
          </w:p>
        </w:tc>
        <w:tc>
          <w:tcPr>
            <w:tcW w:w="1134" w:type="dxa"/>
            <w:tcBorders>
              <w:top w:val="single" w:sz="4" w:space="0" w:color="auto"/>
              <w:left w:val="nil"/>
              <w:bottom w:val="single" w:sz="4" w:space="0" w:color="auto"/>
              <w:right w:val="single" w:sz="4" w:space="0" w:color="auto"/>
            </w:tcBorders>
          </w:tcPr>
          <w:p w14:paraId="5B8B01CC" w14:textId="4323FD8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A3FCB07" w14:textId="1B43065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C5CBD8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CDF08B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4472E5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4C580D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Australia</w:t>
            </w:r>
          </w:p>
        </w:tc>
        <w:tc>
          <w:tcPr>
            <w:tcW w:w="1164" w:type="dxa"/>
            <w:tcBorders>
              <w:top w:val="nil"/>
              <w:left w:val="nil"/>
              <w:bottom w:val="single" w:sz="4" w:space="0" w:color="auto"/>
              <w:right w:val="single" w:sz="4" w:space="0" w:color="auto"/>
            </w:tcBorders>
            <w:shd w:val="clear" w:color="auto" w:fill="auto"/>
            <w:noWrap/>
          </w:tcPr>
          <w:p w14:paraId="17EBCEE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2,111</w:t>
            </w:r>
          </w:p>
        </w:tc>
        <w:tc>
          <w:tcPr>
            <w:tcW w:w="992" w:type="dxa"/>
            <w:tcBorders>
              <w:top w:val="nil"/>
              <w:left w:val="nil"/>
              <w:bottom w:val="single" w:sz="4" w:space="0" w:color="auto"/>
              <w:right w:val="single" w:sz="4" w:space="0" w:color="auto"/>
            </w:tcBorders>
            <w:shd w:val="clear" w:color="auto" w:fill="auto"/>
            <w:noWrap/>
          </w:tcPr>
          <w:p w14:paraId="4C6D733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2,167 %</w:t>
            </w:r>
          </w:p>
        </w:tc>
        <w:tc>
          <w:tcPr>
            <w:tcW w:w="1134" w:type="dxa"/>
            <w:tcBorders>
              <w:top w:val="single" w:sz="4" w:space="0" w:color="auto"/>
              <w:left w:val="nil"/>
              <w:bottom w:val="single" w:sz="4" w:space="0" w:color="auto"/>
              <w:right w:val="single" w:sz="4" w:space="0" w:color="auto"/>
            </w:tcBorders>
          </w:tcPr>
          <w:p w14:paraId="2CED4A9A" w14:textId="56C163F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108 171</w:t>
            </w:r>
          </w:p>
        </w:tc>
        <w:tc>
          <w:tcPr>
            <w:tcW w:w="1370" w:type="dxa"/>
            <w:tcBorders>
              <w:top w:val="nil"/>
              <w:left w:val="single" w:sz="4" w:space="0" w:color="auto"/>
              <w:bottom w:val="single" w:sz="4" w:space="0" w:color="auto"/>
              <w:right w:val="single" w:sz="4" w:space="0" w:color="auto"/>
            </w:tcBorders>
            <w:shd w:val="clear" w:color="auto" w:fill="auto"/>
            <w:noWrap/>
          </w:tcPr>
          <w:p w14:paraId="1DEA1C7D" w14:textId="4D7E075F"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103 361</w:t>
            </w:r>
          </w:p>
        </w:tc>
        <w:tc>
          <w:tcPr>
            <w:tcW w:w="1370" w:type="dxa"/>
            <w:tcBorders>
              <w:top w:val="nil"/>
              <w:left w:val="nil"/>
              <w:bottom w:val="single" w:sz="4" w:space="0" w:color="auto"/>
              <w:right w:val="single" w:sz="4" w:space="0" w:color="auto"/>
            </w:tcBorders>
            <w:shd w:val="clear" w:color="auto" w:fill="auto"/>
            <w:noWrap/>
          </w:tcPr>
          <w:p w14:paraId="3953A58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106 131</w:t>
            </w:r>
          </w:p>
        </w:tc>
        <w:tc>
          <w:tcPr>
            <w:tcW w:w="1371" w:type="dxa"/>
            <w:tcBorders>
              <w:top w:val="nil"/>
              <w:left w:val="nil"/>
              <w:bottom w:val="single" w:sz="4" w:space="0" w:color="auto"/>
              <w:right w:val="single" w:sz="4" w:space="0" w:color="auto"/>
            </w:tcBorders>
            <w:shd w:val="clear" w:color="auto" w:fill="auto"/>
            <w:noWrap/>
          </w:tcPr>
          <w:p w14:paraId="5901F5C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111 279</w:t>
            </w:r>
          </w:p>
        </w:tc>
      </w:tr>
      <w:tr w:rsidR="00E02DE1" w:rsidRPr="00664FF1" w14:paraId="3CC37CE5"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9C9DA1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Austria</w:t>
            </w:r>
          </w:p>
        </w:tc>
        <w:tc>
          <w:tcPr>
            <w:tcW w:w="1164" w:type="dxa"/>
            <w:tcBorders>
              <w:top w:val="nil"/>
              <w:left w:val="nil"/>
              <w:bottom w:val="single" w:sz="4" w:space="0" w:color="auto"/>
              <w:right w:val="single" w:sz="4" w:space="0" w:color="auto"/>
            </w:tcBorders>
            <w:shd w:val="clear" w:color="auto" w:fill="auto"/>
            <w:noWrap/>
          </w:tcPr>
          <w:p w14:paraId="5FC12C7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0,679</w:t>
            </w:r>
          </w:p>
        </w:tc>
        <w:tc>
          <w:tcPr>
            <w:tcW w:w="992" w:type="dxa"/>
            <w:tcBorders>
              <w:top w:val="nil"/>
              <w:left w:val="nil"/>
              <w:bottom w:val="single" w:sz="4" w:space="0" w:color="auto"/>
              <w:right w:val="single" w:sz="4" w:space="0" w:color="auto"/>
            </w:tcBorders>
            <w:shd w:val="clear" w:color="auto" w:fill="auto"/>
            <w:noWrap/>
          </w:tcPr>
          <w:p w14:paraId="10D4290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0,697 %</w:t>
            </w:r>
          </w:p>
        </w:tc>
        <w:tc>
          <w:tcPr>
            <w:tcW w:w="1134" w:type="dxa"/>
            <w:tcBorders>
              <w:top w:val="single" w:sz="4" w:space="0" w:color="auto"/>
              <w:left w:val="nil"/>
              <w:bottom w:val="single" w:sz="4" w:space="0" w:color="auto"/>
              <w:right w:val="single" w:sz="4" w:space="0" w:color="auto"/>
            </w:tcBorders>
          </w:tcPr>
          <w:p w14:paraId="77FB27D4" w14:textId="5425626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33 136</w:t>
            </w:r>
          </w:p>
        </w:tc>
        <w:tc>
          <w:tcPr>
            <w:tcW w:w="1370" w:type="dxa"/>
            <w:tcBorders>
              <w:top w:val="nil"/>
              <w:left w:val="single" w:sz="4" w:space="0" w:color="auto"/>
              <w:bottom w:val="single" w:sz="4" w:space="0" w:color="auto"/>
              <w:right w:val="single" w:sz="4" w:space="0" w:color="auto"/>
            </w:tcBorders>
            <w:shd w:val="clear" w:color="auto" w:fill="auto"/>
            <w:noWrap/>
          </w:tcPr>
          <w:p w14:paraId="3636A9D1" w14:textId="14AD12DF"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33 246</w:t>
            </w:r>
          </w:p>
        </w:tc>
        <w:tc>
          <w:tcPr>
            <w:tcW w:w="1370" w:type="dxa"/>
            <w:tcBorders>
              <w:top w:val="nil"/>
              <w:left w:val="nil"/>
              <w:bottom w:val="single" w:sz="4" w:space="0" w:color="auto"/>
              <w:right w:val="single" w:sz="4" w:space="0" w:color="auto"/>
            </w:tcBorders>
            <w:shd w:val="clear" w:color="auto" w:fill="auto"/>
            <w:noWrap/>
          </w:tcPr>
          <w:p w14:paraId="6A1D7A3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34 137</w:t>
            </w:r>
          </w:p>
        </w:tc>
        <w:tc>
          <w:tcPr>
            <w:tcW w:w="1371" w:type="dxa"/>
            <w:tcBorders>
              <w:top w:val="nil"/>
              <w:left w:val="nil"/>
              <w:bottom w:val="single" w:sz="4" w:space="0" w:color="auto"/>
              <w:right w:val="single" w:sz="4" w:space="0" w:color="auto"/>
            </w:tcBorders>
            <w:shd w:val="clear" w:color="auto" w:fill="auto"/>
            <w:noWrap/>
          </w:tcPr>
          <w:p w14:paraId="07E647C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35 793</w:t>
            </w:r>
          </w:p>
        </w:tc>
      </w:tr>
      <w:tr w:rsidR="00E02DE1" w:rsidRPr="00664FF1" w14:paraId="5A4A8012"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29B37A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Azerbaiyán</w:t>
            </w:r>
          </w:p>
        </w:tc>
        <w:tc>
          <w:tcPr>
            <w:tcW w:w="1164" w:type="dxa"/>
            <w:tcBorders>
              <w:top w:val="nil"/>
              <w:left w:val="nil"/>
              <w:bottom w:val="single" w:sz="4" w:space="0" w:color="auto"/>
              <w:right w:val="single" w:sz="4" w:space="0" w:color="auto"/>
            </w:tcBorders>
            <w:shd w:val="clear" w:color="auto" w:fill="auto"/>
            <w:noWrap/>
          </w:tcPr>
          <w:p w14:paraId="07B1FE8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0,030</w:t>
            </w:r>
          </w:p>
        </w:tc>
        <w:tc>
          <w:tcPr>
            <w:tcW w:w="992" w:type="dxa"/>
            <w:tcBorders>
              <w:top w:val="nil"/>
              <w:left w:val="nil"/>
              <w:bottom w:val="single" w:sz="4" w:space="0" w:color="auto"/>
              <w:right w:val="single" w:sz="4" w:space="0" w:color="auto"/>
            </w:tcBorders>
            <w:shd w:val="clear" w:color="auto" w:fill="auto"/>
            <w:noWrap/>
          </w:tcPr>
          <w:p w14:paraId="527EF94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0,031 %</w:t>
            </w:r>
          </w:p>
        </w:tc>
        <w:tc>
          <w:tcPr>
            <w:tcW w:w="1134" w:type="dxa"/>
            <w:tcBorders>
              <w:top w:val="single" w:sz="4" w:space="0" w:color="auto"/>
              <w:left w:val="nil"/>
              <w:bottom w:val="single" w:sz="4" w:space="0" w:color="auto"/>
              <w:right w:val="single" w:sz="4" w:space="0" w:color="auto"/>
            </w:tcBorders>
          </w:tcPr>
          <w:p w14:paraId="55464C1D" w14:textId="393D21E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2 398</w:t>
            </w:r>
          </w:p>
        </w:tc>
        <w:tc>
          <w:tcPr>
            <w:tcW w:w="1370" w:type="dxa"/>
            <w:tcBorders>
              <w:top w:val="nil"/>
              <w:left w:val="single" w:sz="4" w:space="0" w:color="auto"/>
              <w:bottom w:val="single" w:sz="4" w:space="0" w:color="auto"/>
              <w:right w:val="single" w:sz="4" w:space="0" w:color="auto"/>
            </w:tcBorders>
            <w:shd w:val="clear" w:color="auto" w:fill="auto"/>
            <w:noWrap/>
          </w:tcPr>
          <w:p w14:paraId="6C2E1060" w14:textId="44C3869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1 469</w:t>
            </w:r>
          </w:p>
        </w:tc>
        <w:tc>
          <w:tcPr>
            <w:tcW w:w="1370" w:type="dxa"/>
            <w:tcBorders>
              <w:top w:val="nil"/>
              <w:left w:val="nil"/>
              <w:bottom w:val="single" w:sz="4" w:space="0" w:color="auto"/>
              <w:right w:val="single" w:sz="4" w:space="0" w:color="auto"/>
            </w:tcBorders>
            <w:shd w:val="clear" w:color="auto" w:fill="auto"/>
            <w:noWrap/>
          </w:tcPr>
          <w:p w14:paraId="3E372F2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1 508</w:t>
            </w:r>
          </w:p>
        </w:tc>
        <w:tc>
          <w:tcPr>
            <w:tcW w:w="1371" w:type="dxa"/>
            <w:tcBorders>
              <w:top w:val="nil"/>
              <w:left w:val="nil"/>
              <w:bottom w:val="single" w:sz="4" w:space="0" w:color="auto"/>
              <w:right w:val="single" w:sz="4" w:space="0" w:color="auto"/>
            </w:tcBorders>
            <w:shd w:val="clear" w:color="auto" w:fill="auto"/>
            <w:noWrap/>
          </w:tcPr>
          <w:p w14:paraId="6619DEB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1 581</w:t>
            </w:r>
          </w:p>
        </w:tc>
      </w:tr>
      <w:tr w:rsidR="00E02DE1" w:rsidRPr="00664FF1" w14:paraId="238485B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7202A3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Bahamas</w:t>
            </w:r>
          </w:p>
        </w:tc>
        <w:tc>
          <w:tcPr>
            <w:tcW w:w="1164" w:type="dxa"/>
            <w:tcBorders>
              <w:top w:val="nil"/>
              <w:left w:val="nil"/>
              <w:bottom w:val="single" w:sz="4" w:space="0" w:color="auto"/>
              <w:right w:val="single" w:sz="4" w:space="0" w:color="auto"/>
            </w:tcBorders>
            <w:shd w:val="clear" w:color="auto" w:fill="auto"/>
            <w:noWrap/>
          </w:tcPr>
          <w:p w14:paraId="27FFC37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0,019</w:t>
            </w:r>
          </w:p>
        </w:tc>
        <w:tc>
          <w:tcPr>
            <w:tcW w:w="992" w:type="dxa"/>
            <w:tcBorders>
              <w:top w:val="nil"/>
              <w:left w:val="nil"/>
              <w:bottom w:val="single" w:sz="4" w:space="0" w:color="auto"/>
              <w:right w:val="single" w:sz="4" w:space="0" w:color="auto"/>
            </w:tcBorders>
            <w:shd w:val="clear" w:color="auto" w:fill="auto"/>
            <w:noWrap/>
          </w:tcPr>
          <w:p w14:paraId="19F9828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0,020 %</w:t>
            </w:r>
          </w:p>
        </w:tc>
        <w:tc>
          <w:tcPr>
            <w:tcW w:w="1134" w:type="dxa"/>
            <w:tcBorders>
              <w:top w:val="single" w:sz="4" w:space="0" w:color="auto"/>
              <w:left w:val="nil"/>
              <w:bottom w:val="single" w:sz="4" w:space="0" w:color="auto"/>
              <w:right w:val="single" w:sz="4" w:space="0" w:color="auto"/>
            </w:tcBorders>
          </w:tcPr>
          <w:p w14:paraId="0AA9DAD8" w14:textId="794A408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410F233" w14:textId="17D944C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92845B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908AB9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1 002</w:t>
            </w:r>
          </w:p>
        </w:tc>
      </w:tr>
      <w:tr w:rsidR="00E02DE1" w:rsidRPr="00664FF1" w14:paraId="1FE7BD2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E0AB6F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Bahrein</w:t>
            </w:r>
          </w:p>
        </w:tc>
        <w:tc>
          <w:tcPr>
            <w:tcW w:w="1164" w:type="dxa"/>
            <w:tcBorders>
              <w:top w:val="nil"/>
              <w:left w:val="nil"/>
              <w:bottom w:val="single" w:sz="4" w:space="0" w:color="auto"/>
              <w:right w:val="single" w:sz="4" w:space="0" w:color="auto"/>
            </w:tcBorders>
            <w:shd w:val="clear" w:color="auto" w:fill="auto"/>
            <w:noWrap/>
          </w:tcPr>
          <w:p w14:paraId="6C18FFE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0,054</w:t>
            </w:r>
          </w:p>
        </w:tc>
        <w:tc>
          <w:tcPr>
            <w:tcW w:w="992" w:type="dxa"/>
            <w:tcBorders>
              <w:top w:val="nil"/>
              <w:left w:val="nil"/>
              <w:bottom w:val="single" w:sz="4" w:space="0" w:color="auto"/>
              <w:right w:val="single" w:sz="4" w:space="0" w:color="auto"/>
            </w:tcBorders>
            <w:shd w:val="clear" w:color="auto" w:fill="auto"/>
            <w:noWrap/>
          </w:tcPr>
          <w:p w14:paraId="161D741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0,055 %</w:t>
            </w:r>
          </w:p>
        </w:tc>
        <w:tc>
          <w:tcPr>
            <w:tcW w:w="1134" w:type="dxa"/>
            <w:tcBorders>
              <w:top w:val="single" w:sz="4" w:space="0" w:color="auto"/>
              <w:left w:val="nil"/>
              <w:bottom w:val="single" w:sz="4" w:space="0" w:color="auto"/>
              <w:right w:val="single" w:sz="4" w:space="0" w:color="auto"/>
            </w:tcBorders>
          </w:tcPr>
          <w:p w14:paraId="1966C9EE" w14:textId="309A824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2 447</w:t>
            </w:r>
          </w:p>
        </w:tc>
        <w:tc>
          <w:tcPr>
            <w:tcW w:w="1370" w:type="dxa"/>
            <w:tcBorders>
              <w:top w:val="nil"/>
              <w:left w:val="single" w:sz="4" w:space="0" w:color="auto"/>
              <w:bottom w:val="single" w:sz="4" w:space="0" w:color="auto"/>
              <w:right w:val="single" w:sz="4" w:space="0" w:color="auto"/>
            </w:tcBorders>
            <w:shd w:val="clear" w:color="auto" w:fill="auto"/>
            <w:noWrap/>
          </w:tcPr>
          <w:p w14:paraId="02FC75D9" w14:textId="05AC024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2 644</w:t>
            </w:r>
          </w:p>
        </w:tc>
        <w:tc>
          <w:tcPr>
            <w:tcW w:w="1370" w:type="dxa"/>
            <w:tcBorders>
              <w:top w:val="nil"/>
              <w:left w:val="nil"/>
              <w:bottom w:val="single" w:sz="4" w:space="0" w:color="auto"/>
              <w:right w:val="single" w:sz="4" w:space="0" w:color="auto"/>
            </w:tcBorders>
            <w:shd w:val="clear" w:color="auto" w:fill="auto"/>
            <w:noWrap/>
          </w:tcPr>
          <w:p w14:paraId="2A41BC3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2 715</w:t>
            </w:r>
          </w:p>
        </w:tc>
        <w:tc>
          <w:tcPr>
            <w:tcW w:w="1371" w:type="dxa"/>
            <w:tcBorders>
              <w:top w:val="nil"/>
              <w:left w:val="nil"/>
              <w:bottom w:val="single" w:sz="4" w:space="0" w:color="auto"/>
              <w:right w:val="single" w:sz="4" w:space="0" w:color="auto"/>
            </w:tcBorders>
            <w:shd w:val="clear" w:color="auto" w:fill="auto"/>
            <w:noWrap/>
          </w:tcPr>
          <w:p w14:paraId="36DEF85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2 847</w:t>
            </w:r>
          </w:p>
        </w:tc>
      </w:tr>
      <w:tr w:rsidR="00E02DE1" w:rsidRPr="00664FF1" w14:paraId="686083F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84FC00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Bangladesh</w:t>
            </w:r>
          </w:p>
        </w:tc>
        <w:tc>
          <w:tcPr>
            <w:tcW w:w="1164" w:type="dxa"/>
            <w:tcBorders>
              <w:top w:val="nil"/>
              <w:left w:val="nil"/>
              <w:bottom w:val="single" w:sz="4" w:space="0" w:color="auto"/>
              <w:right w:val="single" w:sz="4" w:space="0" w:color="auto"/>
            </w:tcBorders>
            <w:shd w:val="clear" w:color="auto" w:fill="auto"/>
            <w:noWrap/>
          </w:tcPr>
          <w:p w14:paraId="4687B8D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5FCB158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75CE95AA" w14:textId="3285257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D06AF52" w14:textId="34853A0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480A23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5DD335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1FBEAA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9B31C8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Barbados</w:t>
            </w:r>
          </w:p>
        </w:tc>
        <w:tc>
          <w:tcPr>
            <w:tcW w:w="1164" w:type="dxa"/>
            <w:tcBorders>
              <w:top w:val="nil"/>
              <w:left w:val="nil"/>
              <w:bottom w:val="single" w:sz="4" w:space="0" w:color="auto"/>
              <w:right w:val="single" w:sz="4" w:space="0" w:color="auto"/>
            </w:tcBorders>
            <w:shd w:val="clear" w:color="auto" w:fill="auto"/>
            <w:noWrap/>
          </w:tcPr>
          <w:p w14:paraId="475A4EA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w:t>
            </w:r>
          </w:p>
        </w:tc>
        <w:tc>
          <w:tcPr>
            <w:tcW w:w="992" w:type="dxa"/>
            <w:tcBorders>
              <w:top w:val="nil"/>
              <w:left w:val="nil"/>
              <w:bottom w:val="single" w:sz="4" w:space="0" w:color="auto"/>
              <w:right w:val="single" w:sz="4" w:space="0" w:color="auto"/>
            </w:tcBorders>
            <w:shd w:val="clear" w:color="auto" w:fill="auto"/>
            <w:noWrap/>
          </w:tcPr>
          <w:p w14:paraId="6E88D7F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0,008 %</w:t>
            </w:r>
          </w:p>
        </w:tc>
        <w:tc>
          <w:tcPr>
            <w:tcW w:w="1134" w:type="dxa"/>
            <w:tcBorders>
              <w:top w:val="single" w:sz="4" w:space="0" w:color="auto"/>
              <w:left w:val="nil"/>
              <w:bottom w:val="single" w:sz="4" w:space="0" w:color="auto"/>
              <w:right w:val="single" w:sz="4" w:space="0" w:color="auto"/>
            </w:tcBorders>
          </w:tcPr>
          <w:p w14:paraId="5C839F0B" w14:textId="38FB95E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2D27434" w14:textId="7B1846F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EC0B56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31FBE0F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049B4235"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8661395"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Belarús</w:t>
            </w:r>
          </w:p>
        </w:tc>
        <w:tc>
          <w:tcPr>
            <w:tcW w:w="1164" w:type="dxa"/>
            <w:tcBorders>
              <w:top w:val="nil"/>
              <w:left w:val="nil"/>
              <w:bottom w:val="single" w:sz="4" w:space="0" w:color="auto"/>
              <w:right w:val="single" w:sz="4" w:space="0" w:color="auto"/>
            </w:tcBorders>
            <w:shd w:val="clear" w:color="auto" w:fill="auto"/>
            <w:noWrap/>
          </w:tcPr>
          <w:p w14:paraId="5F0A323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0,041</w:t>
            </w:r>
          </w:p>
        </w:tc>
        <w:tc>
          <w:tcPr>
            <w:tcW w:w="992" w:type="dxa"/>
            <w:tcBorders>
              <w:top w:val="nil"/>
              <w:left w:val="nil"/>
              <w:bottom w:val="single" w:sz="4" w:space="0" w:color="auto"/>
              <w:right w:val="single" w:sz="4" w:space="0" w:color="auto"/>
            </w:tcBorders>
            <w:shd w:val="clear" w:color="auto" w:fill="auto"/>
            <w:noWrap/>
          </w:tcPr>
          <w:p w14:paraId="25344D5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0,042 %</w:t>
            </w:r>
          </w:p>
        </w:tc>
        <w:tc>
          <w:tcPr>
            <w:tcW w:w="1134" w:type="dxa"/>
            <w:tcBorders>
              <w:top w:val="single" w:sz="4" w:space="0" w:color="auto"/>
              <w:left w:val="nil"/>
              <w:bottom w:val="single" w:sz="4" w:space="0" w:color="auto"/>
              <w:right w:val="single" w:sz="4" w:space="0" w:color="auto"/>
            </w:tcBorders>
          </w:tcPr>
          <w:p w14:paraId="099DDF8B" w14:textId="26B3B8C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2 398</w:t>
            </w:r>
          </w:p>
        </w:tc>
        <w:tc>
          <w:tcPr>
            <w:tcW w:w="1370" w:type="dxa"/>
            <w:tcBorders>
              <w:top w:val="nil"/>
              <w:left w:val="single" w:sz="4" w:space="0" w:color="auto"/>
              <w:bottom w:val="single" w:sz="4" w:space="0" w:color="auto"/>
              <w:right w:val="single" w:sz="4" w:space="0" w:color="auto"/>
            </w:tcBorders>
            <w:shd w:val="clear" w:color="auto" w:fill="auto"/>
            <w:noWrap/>
          </w:tcPr>
          <w:p w14:paraId="62876CF3" w14:textId="2328F7C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2 007</w:t>
            </w:r>
          </w:p>
        </w:tc>
        <w:tc>
          <w:tcPr>
            <w:tcW w:w="1370" w:type="dxa"/>
            <w:tcBorders>
              <w:top w:val="nil"/>
              <w:left w:val="nil"/>
              <w:bottom w:val="single" w:sz="4" w:space="0" w:color="auto"/>
              <w:right w:val="single" w:sz="4" w:space="0" w:color="auto"/>
            </w:tcBorders>
            <w:shd w:val="clear" w:color="auto" w:fill="auto"/>
            <w:noWrap/>
          </w:tcPr>
          <w:p w14:paraId="006B938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2 061</w:t>
            </w:r>
          </w:p>
        </w:tc>
        <w:tc>
          <w:tcPr>
            <w:tcW w:w="1371" w:type="dxa"/>
            <w:tcBorders>
              <w:top w:val="nil"/>
              <w:left w:val="nil"/>
              <w:bottom w:val="single" w:sz="4" w:space="0" w:color="auto"/>
              <w:right w:val="single" w:sz="4" w:space="0" w:color="auto"/>
            </w:tcBorders>
            <w:shd w:val="clear" w:color="auto" w:fill="auto"/>
            <w:noWrap/>
          </w:tcPr>
          <w:p w14:paraId="3A074F1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2 161</w:t>
            </w:r>
          </w:p>
        </w:tc>
      </w:tr>
      <w:tr w:rsidR="00E02DE1" w:rsidRPr="00664FF1" w14:paraId="439E793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3479C6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Bélgica</w:t>
            </w:r>
          </w:p>
        </w:tc>
        <w:tc>
          <w:tcPr>
            <w:tcW w:w="1164" w:type="dxa"/>
            <w:tcBorders>
              <w:top w:val="nil"/>
              <w:left w:val="nil"/>
              <w:bottom w:val="single" w:sz="4" w:space="0" w:color="auto"/>
              <w:right w:val="single" w:sz="4" w:space="0" w:color="auto"/>
            </w:tcBorders>
            <w:shd w:val="clear" w:color="auto" w:fill="auto"/>
            <w:noWrap/>
          </w:tcPr>
          <w:p w14:paraId="7D48219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0,828</w:t>
            </w:r>
          </w:p>
        </w:tc>
        <w:tc>
          <w:tcPr>
            <w:tcW w:w="992" w:type="dxa"/>
            <w:tcBorders>
              <w:top w:val="nil"/>
              <w:left w:val="nil"/>
              <w:bottom w:val="single" w:sz="4" w:space="0" w:color="auto"/>
              <w:right w:val="single" w:sz="4" w:space="0" w:color="auto"/>
            </w:tcBorders>
            <w:shd w:val="clear" w:color="auto" w:fill="auto"/>
            <w:noWrap/>
          </w:tcPr>
          <w:p w14:paraId="533E6A1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0,850 %</w:t>
            </w:r>
          </w:p>
        </w:tc>
        <w:tc>
          <w:tcPr>
            <w:tcW w:w="1134" w:type="dxa"/>
            <w:tcBorders>
              <w:top w:val="single" w:sz="4" w:space="0" w:color="auto"/>
              <w:left w:val="nil"/>
              <w:bottom w:val="single" w:sz="4" w:space="0" w:color="auto"/>
              <w:right w:val="single" w:sz="4" w:space="0" w:color="auto"/>
            </w:tcBorders>
          </w:tcPr>
          <w:p w14:paraId="6D01189E" w14:textId="57C4AB0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40 185</w:t>
            </w:r>
          </w:p>
        </w:tc>
        <w:tc>
          <w:tcPr>
            <w:tcW w:w="1370" w:type="dxa"/>
            <w:tcBorders>
              <w:top w:val="nil"/>
              <w:left w:val="single" w:sz="4" w:space="0" w:color="auto"/>
              <w:bottom w:val="single" w:sz="4" w:space="0" w:color="auto"/>
              <w:right w:val="single" w:sz="4" w:space="0" w:color="auto"/>
            </w:tcBorders>
            <w:shd w:val="clear" w:color="auto" w:fill="auto"/>
            <w:noWrap/>
          </w:tcPr>
          <w:p w14:paraId="1C78B71E" w14:textId="63067D2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40 541</w:t>
            </w:r>
          </w:p>
        </w:tc>
        <w:tc>
          <w:tcPr>
            <w:tcW w:w="1370" w:type="dxa"/>
            <w:tcBorders>
              <w:top w:val="nil"/>
              <w:left w:val="nil"/>
              <w:bottom w:val="single" w:sz="4" w:space="0" w:color="auto"/>
              <w:right w:val="single" w:sz="4" w:space="0" w:color="auto"/>
            </w:tcBorders>
            <w:shd w:val="clear" w:color="auto" w:fill="auto"/>
            <w:noWrap/>
          </w:tcPr>
          <w:p w14:paraId="5E15CDA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41 628</w:t>
            </w:r>
          </w:p>
        </w:tc>
        <w:tc>
          <w:tcPr>
            <w:tcW w:w="1371" w:type="dxa"/>
            <w:tcBorders>
              <w:top w:val="nil"/>
              <w:left w:val="nil"/>
              <w:bottom w:val="single" w:sz="4" w:space="0" w:color="auto"/>
              <w:right w:val="single" w:sz="4" w:space="0" w:color="auto"/>
            </w:tcBorders>
            <w:shd w:val="clear" w:color="auto" w:fill="auto"/>
            <w:noWrap/>
          </w:tcPr>
          <w:p w14:paraId="057FF5D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43 647</w:t>
            </w:r>
          </w:p>
        </w:tc>
      </w:tr>
      <w:tr w:rsidR="00E02DE1" w:rsidRPr="00664FF1" w14:paraId="390172F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19C282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Belice</w:t>
            </w:r>
          </w:p>
        </w:tc>
        <w:tc>
          <w:tcPr>
            <w:tcW w:w="1164" w:type="dxa"/>
            <w:tcBorders>
              <w:top w:val="nil"/>
              <w:left w:val="nil"/>
              <w:bottom w:val="single" w:sz="4" w:space="0" w:color="auto"/>
              <w:right w:val="single" w:sz="4" w:space="0" w:color="auto"/>
            </w:tcBorders>
            <w:shd w:val="clear" w:color="auto" w:fill="auto"/>
            <w:noWrap/>
          </w:tcPr>
          <w:p w14:paraId="4EBCB0A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37D23D7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326E5CA9" w14:textId="2EE1BAE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78C60DD" w14:textId="7CD4476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F6CA9F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6C164F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F6243C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7A4353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Benin</w:t>
            </w:r>
          </w:p>
        </w:tc>
        <w:tc>
          <w:tcPr>
            <w:tcW w:w="1164" w:type="dxa"/>
            <w:tcBorders>
              <w:top w:val="nil"/>
              <w:left w:val="nil"/>
              <w:bottom w:val="single" w:sz="4" w:space="0" w:color="auto"/>
              <w:right w:val="single" w:sz="4" w:space="0" w:color="auto"/>
            </w:tcBorders>
            <w:shd w:val="clear" w:color="auto" w:fill="auto"/>
            <w:noWrap/>
          </w:tcPr>
          <w:p w14:paraId="419A3D6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w:t>
            </w:r>
          </w:p>
        </w:tc>
        <w:tc>
          <w:tcPr>
            <w:tcW w:w="992" w:type="dxa"/>
            <w:tcBorders>
              <w:top w:val="nil"/>
              <w:left w:val="nil"/>
              <w:bottom w:val="single" w:sz="4" w:space="0" w:color="auto"/>
              <w:right w:val="single" w:sz="4" w:space="0" w:color="auto"/>
            </w:tcBorders>
            <w:shd w:val="clear" w:color="auto" w:fill="auto"/>
            <w:noWrap/>
          </w:tcPr>
          <w:p w14:paraId="5532314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0,005 %</w:t>
            </w:r>
          </w:p>
        </w:tc>
        <w:tc>
          <w:tcPr>
            <w:tcW w:w="1134" w:type="dxa"/>
            <w:tcBorders>
              <w:top w:val="single" w:sz="4" w:space="0" w:color="auto"/>
              <w:left w:val="nil"/>
              <w:bottom w:val="single" w:sz="4" w:space="0" w:color="auto"/>
              <w:right w:val="single" w:sz="4" w:space="0" w:color="auto"/>
            </w:tcBorders>
          </w:tcPr>
          <w:p w14:paraId="58348FFA" w14:textId="24CC12D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199EFC7" w14:textId="655F459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9905D7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25F671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D76C81B"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7CE237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Bhután</w:t>
            </w:r>
          </w:p>
        </w:tc>
        <w:tc>
          <w:tcPr>
            <w:tcW w:w="1164" w:type="dxa"/>
            <w:tcBorders>
              <w:top w:val="nil"/>
              <w:left w:val="nil"/>
              <w:bottom w:val="single" w:sz="4" w:space="0" w:color="auto"/>
              <w:right w:val="single" w:sz="4" w:space="0" w:color="auto"/>
            </w:tcBorders>
            <w:shd w:val="clear" w:color="auto" w:fill="auto"/>
            <w:noWrap/>
          </w:tcPr>
          <w:p w14:paraId="3A33A33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6A0928C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374C37BA" w14:textId="43FAF98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C6D61A8" w14:textId="2235D0B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B48594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196AEC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F46FBB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0E77FD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Bolivia (Estado Plurinacional de)</w:t>
            </w:r>
          </w:p>
        </w:tc>
        <w:tc>
          <w:tcPr>
            <w:tcW w:w="1164" w:type="dxa"/>
            <w:tcBorders>
              <w:top w:val="nil"/>
              <w:left w:val="nil"/>
              <w:bottom w:val="single" w:sz="4" w:space="0" w:color="auto"/>
              <w:right w:val="single" w:sz="4" w:space="0" w:color="auto"/>
            </w:tcBorders>
            <w:shd w:val="clear" w:color="auto" w:fill="auto"/>
            <w:noWrap/>
          </w:tcPr>
          <w:p w14:paraId="1C2102C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0,019</w:t>
            </w:r>
          </w:p>
        </w:tc>
        <w:tc>
          <w:tcPr>
            <w:tcW w:w="992" w:type="dxa"/>
            <w:tcBorders>
              <w:top w:val="nil"/>
              <w:left w:val="nil"/>
              <w:bottom w:val="single" w:sz="4" w:space="0" w:color="auto"/>
              <w:right w:val="single" w:sz="4" w:space="0" w:color="auto"/>
            </w:tcBorders>
            <w:shd w:val="clear" w:color="auto" w:fill="auto"/>
            <w:noWrap/>
          </w:tcPr>
          <w:p w14:paraId="3974365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0,020 %</w:t>
            </w:r>
          </w:p>
        </w:tc>
        <w:tc>
          <w:tcPr>
            <w:tcW w:w="1134" w:type="dxa"/>
            <w:tcBorders>
              <w:top w:val="single" w:sz="4" w:space="0" w:color="auto"/>
              <w:left w:val="nil"/>
              <w:bottom w:val="single" w:sz="4" w:space="0" w:color="auto"/>
              <w:right w:val="single" w:sz="4" w:space="0" w:color="auto"/>
            </w:tcBorders>
          </w:tcPr>
          <w:p w14:paraId="3BB07EC0" w14:textId="0E427CF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A550A89" w14:textId="574307A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B81F15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313E8E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1 002</w:t>
            </w:r>
          </w:p>
        </w:tc>
      </w:tr>
      <w:tr w:rsidR="00E02DE1" w:rsidRPr="00664FF1" w14:paraId="1B308E15"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134292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Bosnia y Herzegovina</w:t>
            </w:r>
          </w:p>
        </w:tc>
        <w:tc>
          <w:tcPr>
            <w:tcW w:w="1164" w:type="dxa"/>
            <w:tcBorders>
              <w:top w:val="nil"/>
              <w:left w:val="nil"/>
              <w:bottom w:val="single" w:sz="4" w:space="0" w:color="auto"/>
              <w:right w:val="single" w:sz="4" w:space="0" w:color="auto"/>
            </w:tcBorders>
            <w:shd w:val="clear" w:color="auto" w:fill="auto"/>
            <w:noWrap/>
          </w:tcPr>
          <w:p w14:paraId="691B661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0,012</w:t>
            </w:r>
          </w:p>
        </w:tc>
        <w:tc>
          <w:tcPr>
            <w:tcW w:w="992" w:type="dxa"/>
            <w:tcBorders>
              <w:top w:val="nil"/>
              <w:left w:val="nil"/>
              <w:bottom w:val="single" w:sz="4" w:space="0" w:color="auto"/>
              <w:right w:val="single" w:sz="4" w:space="0" w:color="auto"/>
            </w:tcBorders>
            <w:shd w:val="clear" w:color="auto" w:fill="auto"/>
            <w:noWrap/>
          </w:tcPr>
          <w:p w14:paraId="5B27EDD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0,012 %</w:t>
            </w:r>
          </w:p>
        </w:tc>
        <w:tc>
          <w:tcPr>
            <w:tcW w:w="1134" w:type="dxa"/>
            <w:tcBorders>
              <w:top w:val="single" w:sz="4" w:space="0" w:color="auto"/>
              <w:left w:val="nil"/>
              <w:bottom w:val="single" w:sz="4" w:space="0" w:color="auto"/>
              <w:right w:val="single" w:sz="4" w:space="0" w:color="auto"/>
            </w:tcBorders>
          </w:tcPr>
          <w:p w14:paraId="51E88C60" w14:textId="27C0E4E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1,000</w:t>
            </w:r>
          </w:p>
        </w:tc>
        <w:tc>
          <w:tcPr>
            <w:tcW w:w="1370" w:type="dxa"/>
            <w:tcBorders>
              <w:top w:val="nil"/>
              <w:left w:val="single" w:sz="4" w:space="0" w:color="auto"/>
              <w:bottom w:val="single" w:sz="4" w:space="0" w:color="auto"/>
              <w:right w:val="single" w:sz="4" w:space="0" w:color="auto"/>
            </w:tcBorders>
            <w:shd w:val="clear" w:color="auto" w:fill="auto"/>
            <w:noWrap/>
          </w:tcPr>
          <w:p w14:paraId="25DC7CD8" w14:textId="5DBDCCD3"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16AE2A3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3297096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69EFC2E"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0C7818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highlight w:val="yellow"/>
                <w:lang w:val="es-ES" w:eastAsia="en-GB"/>
              </w:rPr>
            </w:pPr>
            <w:r w:rsidRPr="00664FF1">
              <w:rPr>
                <w:rFonts w:asciiTheme="minorHAnsi" w:hAnsiTheme="minorHAnsi" w:cstheme="minorHAnsi"/>
                <w:noProof/>
                <w:color w:val="000000" w:themeColor="text1"/>
                <w:sz w:val="20"/>
                <w:szCs w:val="20"/>
                <w:lang w:val="es-ES"/>
              </w:rPr>
              <w:t>Botswana</w:t>
            </w:r>
          </w:p>
        </w:tc>
        <w:tc>
          <w:tcPr>
            <w:tcW w:w="1164" w:type="dxa"/>
            <w:tcBorders>
              <w:top w:val="nil"/>
              <w:left w:val="nil"/>
              <w:bottom w:val="single" w:sz="4" w:space="0" w:color="auto"/>
              <w:right w:val="single" w:sz="4" w:space="0" w:color="auto"/>
            </w:tcBorders>
            <w:shd w:val="clear" w:color="auto" w:fill="auto"/>
            <w:noWrap/>
          </w:tcPr>
          <w:p w14:paraId="70C150A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0,015</w:t>
            </w:r>
          </w:p>
        </w:tc>
        <w:tc>
          <w:tcPr>
            <w:tcW w:w="992" w:type="dxa"/>
            <w:tcBorders>
              <w:top w:val="nil"/>
              <w:left w:val="nil"/>
              <w:bottom w:val="single" w:sz="4" w:space="0" w:color="auto"/>
              <w:right w:val="single" w:sz="4" w:space="0" w:color="auto"/>
            </w:tcBorders>
            <w:shd w:val="clear" w:color="auto" w:fill="auto"/>
            <w:noWrap/>
          </w:tcPr>
          <w:p w14:paraId="4340792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0,015 %</w:t>
            </w:r>
          </w:p>
        </w:tc>
        <w:tc>
          <w:tcPr>
            <w:tcW w:w="1134" w:type="dxa"/>
            <w:tcBorders>
              <w:top w:val="single" w:sz="4" w:space="0" w:color="auto"/>
              <w:left w:val="nil"/>
              <w:bottom w:val="single" w:sz="4" w:space="0" w:color="auto"/>
              <w:right w:val="single" w:sz="4" w:space="0" w:color="auto"/>
            </w:tcBorders>
          </w:tcPr>
          <w:p w14:paraId="7539CFDE" w14:textId="2E1B1FB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B759116" w14:textId="06A93E8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84BB56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B7A59E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7F535C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C3D572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Brasil</w:t>
            </w:r>
          </w:p>
        </w:tc>
        <w:tc>
          <w:tcPr>
            <w:tcW w:w="1164" w:type="dxa"/>
            <w:tcBorders>
              <w:top w:val="nil"/>
              <w:left w:val="nil"/>
              <w:bottom w:val="single" w:sz="4" w:space="0" w:color="auto"/>
              <w:right w:val="single" w:sz="4" w:space="0" w:color="auto"/>
            </w:tcBorders>
            <w:shd w:val="clear" w:color="auto" w:fill="auto"/>
            <w:noWrap/>
          </w:tcPr>
          <w:p w14:paraId="4844BF2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2,013</w:t>
            </w:r>
          </w:p>
        </w:tc>
        <w:tc>
          <w:tcPr>
            <w:tcW w:w="992" w:type="dxa"/>
            <w:tcBorders>
              <w:top w:val="nil"/>
              <w:left w:val="nil"/>
              <w:bottom w:val="single" w:sz="4" w:space="0" w:color="auto"/>
              <w:right w:val="single" w:sz="4" w:space="0" w:color="auto"/>
            </w:tcBorders>
            <w:shd w:val="clear" w:color="auto" w:fill="auto"/>
            <w:noWrap/>
          </w:tcPr>
          <w:p w14:paraId="1066AC3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2,067 %</w:t>
            </w:r>
          </w:p>
        </w:tc>
        <w:tc>
          <w:tcPr>
            <w:tcW w:w="1134" w:type="dxa"/>
            <w:tcBorders>
              <w:top w:val="single" w:sz="4" w:space="0" w:color="auto"/>
              <w:left w:val="nil"/>
              <w:bottom w:val="single" w:sz="4" w:space="0" w:color="auto"/>
              <w:right w:val="single" w:sz="4" w:space="0" w:color="auto"/>
            </w:tcBorders>
          </w:tcPr>
          <w:p w14:paraId="03646B46" w14:textId="619D154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144 293</w:t>
            </w:r>
          </w:p>
        </w:tc>
        <w:tc>
          <w:tcPr>
            <w:tcW w:w="1370" w:type="dxa"/>
            <w:tcBorders>
              <w:top w:val="nil"/>
              <w:left w:val="single" w:sz="4" w:space="0" w:color="auto"/>
              <w:bottom w:val="single" w:sz="4" w:space="0" w:color="auto"/>
              <w:right w:val="single" w:sz="4" w:space="0" w:color="auto"/>
            </w:tcBorders>
            <w:shd w:val="clear" w:color="auto" w:fill="auto"/>
            <w:noWrap/>
          </w:tcPr>
          <w:p w14:paraId="4DE97A6B" w14:textId="64396B4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98 562</w:t>
            </w:r>
          </w:p>
        </w:tc>
        <w:tc>
          <w:tcPr>
            <w:tcW w:w="1370" w:type="dxa"/>
            <w:tcBorders>
              <w:top w:val="nil"/>
              <w:left w:val="nil"/>
              <w:bottom w:val="single" w:sz="4" w:space="0" w:color="auto"/>
              <w:right w:val="single" w:sz="4" w:space="0" w:color="auto"/>
            </w:tcBorders>
            <w:shd w:val="clear" w:color="auto" w:fill="auto"/>
            <w:noWrap/>
          </w:tcPr>
          <w:p w14:paraId="110A3CC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101 204</w:t>
            </w:r>
          </w:p>
        </w:tc>
        <w:tc>
          <w:tcPr>
            <w:tcW w:w="1371" w:type="dxa"/>
            <w:tcBorders>
              <w:top w:val="nil"/>
              <w:left w:val="nil"/>
              <w:bottom w:val="single" w:sz="4" w:space="0" w:color="auto"/>
              <w:right w:val="single" w:sz="4" w:space="0" w:color="auto"/>
            </w:tcBorders>
            <w:shd w:val="clear" w:color="auto" w:fill="auto"/>
            <w:noWrap/>
          </w:tcPr>
          <w:p w14:paraId="50CB6DD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106 113</w:t>
            </w:r>
          </w:p>
        </w:tc>
      </w:tr>
      <w:tr w:rsidR="00E02DE1" w:rsidRPr="00664FF1" w14:paraId="5F8DA85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51CF63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Bulgaria</w:t>
            </w:r>
          </w:p>
        </w:tc>
        <w:tc>
          <w:tcPr>
            <w:tcW w:w="1164" w:type="dxa"/>
            <w:tcBorders>
              <w:top w:val="nil"/>
              <w:left w:val="nil"/>
              <w:bottom w:val="single" w:sz="4" w:space="0" w:color="auto"/>
              <w:right w:val="single" w:sz="4" w:space="0" w:color="auto"/>
            </w:tcBorders>
            <w:shd w:val="clear" w:color="auto" w:fill="auto"/>
            <w:noWrap/>
          </w:tcPr>
          <w:p w14:paraId="131DD36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0,056</w:t>
            </w:r>
          </w:p>
        </w:tc>
        <w:tc>
          <w:tcPr>
            <w:tcW w:w="992" w:type="dxa"/>
            <w:tcBorders>
              <w:top w:val="nil"/>
              <w:left w:val="nil"/>
              <w:bottom w:val="single" w:sz="4" w:space="0" w:color="auto"/>
              <w:right w:val="single" w:sz="4" w:space="0" w:color="auto"/>
            </w:tcBorders>
            <w:shd w:val="clear" w:color="auto" w:fill="auto"/>
            <w:noWrap/>
          </w:tcPr>
          <w:p w14:paraId="7A42E35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0,057 %</w:t>
            </w:r>
          </w:p>
        </w:tc>
        <w:tc>
          <w:tcPr>
            <w:tcW w:w="1134" w:type="dxa"/>
            <w:tcBorders>
              <w:top w:val="single" w:sz="4" w:space="0" w:color="auto"/>
              <w:left w:val="nil"/>
              <w:bottom w:val="single" w:sz="4" w:space="0" w:color="auto"/>
              <w:right w:val="single" w:sz="4" w:space="0" w:color="auto"/>
            </w:tcBorders>
          </w:tcPr>
          <w:p w14:paraId="038500A0" w14:textId="62466EE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2 252</w:t>
            </w:r>
          </w:p>
        </w:tc>
        <w:tc>
          <w:tcPr>
            <w:tcW w:w="1370" w:type="dxa"/>
            <w:tcBorders>
              <w:top w:val="nil"/>
              <w:left w:val="single" w:sz="4" w:space="0" w:color="auto"/>
              <w:bottom w:val="single" w:sz="4" w:space="0" w:color="auto"/>
              <w:right w:val="single" w:sz="4" w:space="0" w:color="auto"/>
            </w:tcBorders>
            <w:shd w:val="clear" w:color="auto" w:fill="auto"/>
            <w:noWrap/>
          </w:tcPr>
          <w:p w14:paraId="731855CC" w14:textId="5AB3F47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2 742</w:t>
            </w:r>
          </w:p>
        </w:tc>
        <w:tc>
          <w:tcPr>
            <w:tcW w:w="1370" w:type="dxa"/>
            <w:tcBorders>
              <w:top w:val="nil"/>
              <w:left w:val="nil"/>
              <w:bottom w:val="single" w:sz="4" w:space="0" w:color="auto"/>
              <w:right w:val="single" w:sz="4" w:space="0" w:color="auto"/>
            </w:tcBorders>
            <w:shd w:val="clear" w:color="auto" w:fill="auto"/>
            <w:noWrap/>
          </w:tcPr>
          <w:p w14:paraId="07A0612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2 815</w:t>
            </w:r>
          </w:p>
        </w:tc>
        <w:tc>
          <w:tcPr>
            <w:tcW w:w="1371" w:type="dxa"/>
            <w:tcBorders>
              <w:top w:val="nil"/>
              <w:left w:val="nil"/>
              <w:bottom w:val="single" w:sz="4" w:space="0" w:color="auto"/>
              <w:right w:val="single" w:sz="4" w:space="0" w:color="auto"/>
            </w:tcBorders>
            <w:shd w:val="clear" w:color="auto" w:fill="auto"/>
            <w:noWrap/>
          </w:tcPr>
          <w:p w14:paraId="2EBCF51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2 952</w:t>
            </w:r>
          </w:p>
        </w:tc>
      </w:tr>
      <w:tr w:rsidR="00E02DE1" w:rsidRPr="00664FF1" w14:paraId="1CD352A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87F6F8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Burkina Faso</w:t>
            </w:r>
          </w:p>
        </w:tc>
        <w:tc>
          <w:tcPr>
            <w:tcW w:w="1164" w:type="dxa"/>
            <w:tcBorders>
              <w:top w:val="nil"/>
              <w:left w:val="nil"/>
              <w:bottom w:val="single" w:sz="4" w:space="0" w:color="auto"/>
              <w:right w:val="single" w:sz="4" w:space="0" w:color="auto"/>
            </w:tcBorders>
            <w:shd w:val="clear" w:color="auto" w:fill="auto"/>
            <w:noWrap/>
          </w:tcPr>
          <w:p w14:paraId="2BE5DBF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w:t>
            </w:r>
          </w:p>
        </w:tc>
        <w:tc>
          <w:tcPr>
            <w:tcW w:w="992" w:type="dxa"/>
            <w:tcBorders>
              <w:top w:val="nil"/>
              <w:left w:val="nil"/>
              <w:bottom w:val="single" w:sz="4" w:space="0" w:color="auto"/>
              <w:right w:val="single" w:sz="4" w:space="0" w:color="auto"/>
            </w:tcBorders>
            <w:shd w:val="clear" w:color="auto" w:fill="auto"/>
            <w:noWrap/>
          </w:tcPr>
          <w:p w14:paraId="2C356C3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0,004 %</w:t>
            </w:r>
          </w:p>
        </w:tc>
        <w:tc>
          <w:tcPr>
            <w:tcW w:w="1134" w:type="dxa"/>
            <w:tcBorders>
              <w:top w:val="single" w:sz="4" w:space="0" w:color="auto"/>
              <w:left w:val="nil"/>
              <w:bottom w:val="single" w:sz="4" w:space="0" w:color="auto"/>
              <w:right w:val="single" w:sz="4" w:space="0" w:color="auto"/>
            </w:tcBorders>
          </w:tcPr>
          <w:p w14:paraId="5B897606" w14:textId="43189404"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885B574" w14:textId="423373E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C8EE87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1785E4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378F0D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216256E"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Burundi</w:t>
            </w:r>
          </w:p>
        </w:tc>
        <w:tc>
          <w:tcPr>
            <w:tcW w:w="1164" w:type="dxa"/>
            <w:tcBorders>
              <w:top w:val="nil"/>
              <w:left w:val="nil"/>
              <w:bottom w:val="single" w:sz="4" w:space="0" w:color="auto"/>
              <w:right w:val="single" w:sz="4" w:space="0" w:color="auto"/>
            </w:tcBorders>
            <w:shd w:val="clear" w:color="auto" w:fill="auto"/>
            <w:noWrap/>
          </w:tcPr>
          <w:p w14:paraId="56A6F49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5E01C94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61133AE8" w14:textId="20F334F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59377C5" w14:textId="518E176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566854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913BDE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7BF678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1BC73A0"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Cabo Verde</w:t>
            </w:r>
          </w:p>
        </w:tc>
        <w:tc>
          <w:tcPr>
            <w:tcW w:w="1164" w:type="dxa"/>
            <w:tcBorders>
              <w:top w:val="nil"/>
              <w:left w:val="nil"/>
              <w:bottom w:val="single" w:sz="4" w:space="0" w:color="auto"/>
              <w:right w:val="single" w:sz="4" w:space="0" w:color="auto"/>
            </w:tcBorders>
            <w:shd w:val="clear" w:color="auto" w:fill="auto"/>
            <w:noWrap/>
          </w:tcPr>
          <w:p w14:paraId="55AC7CD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553E3B6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3E297682" w14:textId="2D43EDE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F794BC3" w14:textId="1E9E872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B5C48E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E66010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5493FE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4F3CDA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Camboya</w:t>
            </w:r>
          </w:p>
        </w:tc>
        <w:tc>
          <w:tcPr>
            <w:tcW w:w="1164" w:type="dxa"/>
            <w:tcBorders>
              <w:top w:val="nil"/>
              <w:left w:val="nil"/>
              <w:bottom w:val="single" w:sz="4" w:space="0" w:color="auto"/>
              <w:right w:val="single" w:sz="4" w:space="0" w:color="auto"/>
            </w:tcBorders>
            <w:shd w:val="clear" w:color="auto" w:fill="auto"/>
            <w:noWrap/>
          </w:tcPr>
          <w:p w14:paraId="38258C8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w:t>
            </w:r>
          </w:p>
        </w:tc>
        <w:tc>
          <w:tcPr>
            <w:tcW w:w="992" w:type="dxa"/>
            <w:tcBorders>
              <w:top w:val="nil"/>
              <w:left w:val="nil"/>
              <w:bottom w:val="single" w:sz="4" w:space="0" w:color="auto"/>
              <w:right w:val="single" w:sz="4" w:space="0" w:color="auto"/>
            </w:tcBorders>
            <w:shd w:val="clear" w:color="auto" w:fill="auto"/>
            <w:noWrap/>
          </w:tcPr>
          <w:p w14:paraId="138D29D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0,007 %</w:t>
            </w:r>
          </w:p>
        </w:tc>
        <w:tc>
          <w:tcPr>
            <w:tcW w:w="1134" w:type="dxa"/>
            <w:tcBorders>
              <w:top w:val="single" w:sz="4" w:space="0" w:color="auto"/>
              <w:left w:val="nil"/>
              <w:bottom w:val="single" w:sz="4" w:space="0" w:color="auto"/>
              <w:right w:val="single" w:sz="4" w:space="0" w:color="auto"/>
            </w:tcBorders>
          </w:tcPr>
          <w:p w14:paraId="3914ADF5" w14:textId="220B832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98A7D7D" w14:textId="0F39CAB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0FCE53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0F29A1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27A0C5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625A4C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Camerún</w:t>
            </w:r>
          </w:p>
        </w:tc>
        <w:tc>
          <w:tcPr>
            <w:tcW w:w="1164" w:type="dxa"/>
            <w:tcBorders>
              <w:top w:val="nil"/>
              <w:left w:val="nil"/>
              <w:bottom w:val="single" w:sz="4" w:space="0" w:color="auto"/>
              <w:right w:val="single" w:sz="4" w:space="0" w:color="auto"/>
            </w:tcBorders>
            <w:shd w:val="clear" w:color="auto" w:fill="auto"/>
            <w:noWrap/>
          </w:tcPr>
          <w:p w14:paraId="5D2F965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0,013</w:t>
            </w:r>
          </w:p>
        </w:tc>
        <w:tc>
          <w:tcPr>
            <w:tcW w:w="992" w:type="dxa"/>
            <w:tcBorders>
              <w:top w:val="nil"/>
              <w:left w:val="nil"/>
              <w:bottom w:val="single" w:sz="4" w:space="0" w:color="auto"/>
              <w:right w:val="single" w:sz="4" w:space="0" w:color="auto"/>
            </w:tcBorders>
            <w:shd w:val="clear" w:color="auto" w:fill="auto"/>
            <w:noWrap/>
          </w:tcPr>
          <w:p w14:paraId="05A8B52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0,013 %</w:t>
            </w:r>
          </w:p>
        </w:tc>
        <w:tc>
          <w:tcPr>
            <w:tcW w:w="1134" w:type="dxa"/>
            <w:tcBorders>
              <w:top w:val="single" w:sz="4" w:space="0" w:color="auto"/>
              <w:left w:val="nil"/>
              <w:bottom w:val="single" w:sz="4" w:space="0" w:color="auto"/>
              <w:right w:val="single" w:sz="4" w:space="0" w:color="auto"/>
            </w:tcBorders>
          </w:tcPr>
          <w:p w14:paraId="7F5DF6D1" w14:textId="2EB331C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43B19B9" w14:textId="5B5D801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A56A5A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91DAA2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73207F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F3876B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Canadá</w:t>
            </w:r>
          </w:p>
        </w:tc>
        <w:tc>
          <w:tcPr>
            <w:tcW w:w="1164" w:type="dxa"/>
            <w:tcBorders>
              <w:top w:val="nil"/>
              <w:left w:val="nil"/>
              <w:bottom w:val="single" w:sz="4" w:space="0" w:color="auto"/>
              <w:right w:val="single" w:sz="4" w:space="0" w:color="auto"/>
            </w:tcBorders>
            <w:shd w:val="clear" w:color="auto" w:fill="auto"/>
            <w:noWrap/>
          </w:tcPr>
          <w:p w14:paraId="34302AA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2,628</w:t>
            </w:r>
          </w:p>
        </w:tc>
        <w:tc>
          <w:tcPr>
            <w:tcW w:w="992" w:type="dxa"/>
            <w:tcBorders>
              <w:top w:val="nil"/>
              <w:left w:val="nil"/>
              <w:bottom w:val="single" w:sz="4" w:space="0" w:color="auto"/>
              <w:right w:val="single" w:sz="4" w:space="0" w:color="auto"/>
            </w:tcBorders>
            <w:shd w:val="clear" w:color="auto" w:fill="auto"/>
            <w:noWrap/>
          </w:tcPr>
          <w:p w14:paraId="36E0CAB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2,698 %</w:t>
            </w:r>
          </w:p>
        </w:tc>
        <w:tc>
          <w:tcPr>
            <w:tcW w:w="1134" w:type="dxa"/>
            <w:tcBorders>
              <w:top w:val="single" w:sz="4" w:space="0" w:color="auto"/>
              <w:left w:val="nil"/>
              <w:bottom w:val="single" w:sz="4" w:space="0" w:color="auto"/>
              <w:right w:val="single" w:sz="4" w:space="0" w:color="auto"/>
            </w:tcBorders>
          </w:tcPr>
          <w:p w14:paraId="79F1FA2E" w14:textId="2B898B7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133 818</w:t>
            </w:r>
          </w:p>
        </w:tc>
        <w:tc>
          <w:tcPr>
            <w:tcW w:w="1370" w:type="dxa"/>
            <w:tcBorders>
              <w:top w:val="nil"/>
              <w:left w:val="single" w:sz="4" w:space="0" w:color="auto"/>
              <w:bottom w:val="single" w:sz="4" w:space="0" w:color="auto"/>
              <w:right w:val="single" w:sz="4" w:space="0" w:color="auto"/>
            </w:tcBorders>
            <w:shd w:val="clear" w:color="auto" w:fill="auto"/>
            <w:noWrap/>
          </w:tcPr>
          <w:p w14:paraId="68CCBE77" w14:textId="36FF59A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128 674</w:t>
            </w:r>
          </w:p>
        </w:tc>
        <w:tc>
          <w:tcPr>
            <w:tcW w:w="1370" w:type="dxa"/>
            <w:tcBorders>
              <w:top w:val="nil"/>
              <w:left w:val="nil"/>
              <w:bottom w:val="single" w:sz="4" w:space="0" w:color="auto"/>
              <w:right w:val="single" w:sz="4" w:space="0" w:color="auto"/>
            </w:tcBorders>
            <w:shd w:val="clear" w:color="auto" w:fill="auto"/>
            <w:noWrap/>
          </w:tcPr>
          <w:p w14:paraId="11B3D71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132 123</w:t>
            </w:r>
          </w:p>
        </w:tc>
        <w:tc>
          <w:tcPr>
            <w:tcW w:w="1371" w:type="dxa"/>
            <w:tcBorders>
              <w:top w:val="nil"/>
              <w:left w:val="nil"/>
              <w:bottom w:val="single" w:sz="4" w:space="0" w:color="auto"/>
              <w:right w:val="single" w:sz="4" w:space="0" w:color="auto"/>
            </w:tcBorders>
            <w:shd w:val="clear" w:color="auto" w:fill="auto"/>
            <w:noWrap/>
          </w:tcPr>
          <w:p w14:paraId="3B4F4A7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138 532</w:t>
            </w:r>
          </w:p>
        </w:tc>
      </w:tr>
      <w:tr w:rsidR="00E02DE1" w:rsidRPr="00664FF1" w14:paraId="45427AC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569398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Chad</w:t>
            </w:r>
          </w:p>
        </w:tc>
        <w:tc>
          <w:tcPr>
            <w:tcW w:w="1164" w:type="dxa"/>
            <w:tcBorders>
              <w:top w:val="nil"/>
              <w:left w:val="nil"/>
              <w:bottom w:val="single" w:sz="4" w:space="0" w:color="auto"/>
              <w:right w:val="single" w:sz="4" w:space="0" w:color="auto"/>
            </w:tcBorders>
            <w:shd w:val="clear" w:color="auto" w:fill="auto"/>
            <w:noWrap/>
          </w:tcPr>
          <w:p w14:paraId="40D1720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w:t>
            </w:r>
          </w:p>
        </w:tc>
        <w:tc>
          <w:tcPr>
            <w:tcW w:w="992" w:type="dxa"/>
            <w:tcBorders>
              <w:top w:val="nil"/>
              <w:left w:val="nil"/>
              <w:bottom w:val="single" w:sz="4" w:space="0" w:color="auto"/>
              <w:right w:val="single" w:sz="4" w:space="0" w:color="auto"/>
            </w:tcBorders>
            <w:shd w:val="clear" w:color="auto" w:fill="auto"/>
            <w:noWrap/>
          </w:tcPr>
          <w:p w14:paraId="3E10129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0,003 %</w:t>
            </w:r>
          </w:p>
        </w:tc>
        <w:tc>
          <w:tcPr>
            <w:tcW w:w="1134" w:type="dxa"/>
            <w:tcBorders>
              <w:top w:val="single" w:sz="4" w:space="0" w:color="auto"/>
              <w:left w:val="nil"/>
              <w:bottom w:val="single" w:sz="4" w:space="0" w:color="auto"/>
              <w:right w:val="single" w:sz="4" w:space="0" w:color="auto"/>
            </w:tcBorders>
          </w:tcPr>
          <w:p w14:paraId="4ED12C57" w14:textId="56B91F5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9A51BF9" w14:textId="4409767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1E2EC40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322E63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B396BC2"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26D3AD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Chile</w:t>
            </w:r>
          </w:p>
        </w:tc>
        <w:tc>
          <w:tcPr>
            <w:tcW w:w="1164" w:type="dxa"/>
            <w:tcBorders>
              <w:top w:val="nil"/>
              <w:left w:val="nil"/>
              <w:bottom w:val="single" w:sz="4" w:space="0" w:color="auto"/>
              <w:right w:val="single" w:sz="4" w:space="0" w:color="auto"/>
            </w:tcBorders>
            <w:shd w:val="clear" w:color="auto" w:fill="auto"/>
            <w:noWrap/>
          </w:tcPr>
          <w:p w14:paraId="5376874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0,420</w:t>
            </w:r>
          </w:p>
        </w:tc>
        <w:tc>
          <w:tcPr>
            <w:tcW w:w="992" w:type="dxa"/>
            <w:tcBorders>
              <w:top w:val="nil"/>
              <w:left w:val="nil"/>
              <w:bottom w:val="single" w:sz="4" w:space="0" w:color="auto"/>
              <w:right w:val="single" w:sz="4" w:space="0" w:color="auto"/>
            </w:tcBorders>
            <w:shd w:val="clear" w:color="auto" w:fill="auto"/>
            <w:noWrap/>
          </w:tcPr>
          <w:p w14:paraId="05303B0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0,431 %</w:t>
            </w:r>
          </w:p>
        </w:tc>
        <w:tc>
          <w:tcPr>
            <w:tcW w:w="1134" w:type="dxa"/>
            <w:tcBorders>
              <w:top w:val="single" w:sz="4" w:space="0" w:color="auto"/>
              <w:left w:val="nil"/>
              <w:bottom w:val="single" w:sz="4" w:space="0" w:color="auto"/>
              <w:right w:val="single" w:sz="4" w:space="0" w:color="auto"/>
            </w:tcBorders>
          </w:tcPr>
          <w:p w14:paraId="6E6D8FE7" w14:textId="16F419C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19 921</w:t>
            </w:r>
          </w:p>
        </w:tc>
        <w:tc>
          <w:tcPr>
            <w:tcW w:w="1370" w:type="dxa"/>
            <w:tcBorders>
              <w:top w:val="nil"/>
              <w:left w:val="single" w:sz="4" w:space="0" w:color="auto"/>
              <w:bottom w:val="single" w:sz="4" w:space="0" w:color="auto"/>
              <w:right w:val="single" w:sz="4" w:space="0" w:color="auto"/>
            </w:tcBorders>
            <w:shd w:val="clear" w:color="auto" w:fill="auto"/>
            <w:noWrap/>
          </w:tcPr>
          <w:p w14:paraId="26548682" w14:textId="525EC8F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20 564</w:t>
            </w:r>
          </w:p>
        </w:tc>
        <w:tc>
          <w:tcPr>
            <w:tcW w:w="1370" w:type="dxa"/>
            <w:tcBorders>
              <w:top w:val="nil"/>
              <w:left w:val="nil"/>
              <w:bottom w:val="single" w:sz="4" w:space="0" w:color="auto"/>
              <w:right w:val="single" w:sz="4" w:space="0" w:color="auto"/>
            </w:tcBorders>
            <w:shd w:val="clear" w:color="auto" w:fill="auto"/>
            <w:noWrap/>
          </w:tcPr>
          <w:p w14:paraId="13B8E75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21 116</w:t>
            </w:r>
          </w:p>
        </w:tc>
        <w:tc>
          <w:tcPr>
            <w:tcW w:w="1371" w:type="dxa"/>
            <w:tcBorders>
              <w:top w:val="nil"/>
              <w:left w:val="nil"/>
              <w:bottom w:val="single" w:sz="4" w:space="0" w:color="auto"/>
              <w:right w:val="single" w:sz="4" w:space="0" w:color="auto"/>
            </w:tcBorders>
            <w:shd w:val="clear" w:color="auto" w:fill="auto"/>
            <w:noWrap/>
          </w:tcPr>
          <w:p w14:paraId="378FE4B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22 140</w:t>
            </w:r>
          </w:p>
        </w:tc>
      </w:tr>
      <w:tr w:rsidR="00E02DE1" w:rsidRPr="00664FF1" w14:paraId="2D809812" w14:textId="77777777" w:rsidTr="00904F2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4E7BF40"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China</w:t>
            </w:r>
          </w:p>
        </w:tc>
        <w:tc>
          <w:tcPr>
            <w:tcW w:w="1164" w:type="dxa"/>
            <w:tcBorders>
              <w:top w:val="nil"/>
              <w:left w:val="nil"/>
              <w:bottom w:val="single" w:sz="4" w:space="0" w:color="auto"/>
              <w:right w:val="single" w:sz="4" w:space="0" w:color="auto"/>
            </w:tcBorders>
            <w:shd w:val="clear" w:color="auto" w:fill="auto"/>
            <w:noWrap/>
          </w:tcPr>
          <w:p w14:paraId="59A0E8E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15,254</w:t>
            </w:r>
          </w:p>
        </w:tc>
        <w:tc>
          <w:tcPr>
            <w:tcW w:w="992" w:type="dxa"/>
            <w:tcBorders>
              <w:top w:val="nil"/>
              <w:left w:val="nil"/>
              <w:bottom w:val="single" w:sz="4" w:space="0" w:color="auto"/>
              <w:right w:val="single" w:sz="4" w:space="0" w:color="auto"/>
            </w:tcBorders>
            <w:shd w:val="clear" w:color="auto" w:fill="auto"/>
            <w:noWrap/>
          </w:tcPr>
          <w:p w14:paraId="0D14641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15,660 %</w:t>
            </w:r>
          </w:p>
        </w:tc>
        <w:tc>
          <w:tcPr>
            <w:tcW w:w="1134" w:type="dxa"/>
            <w:tcBorders>
              <w:top w:val="single" w:sz="4" w:space="0" w:color="auto"/>
              <w:left w:val="nil"/>
              <w:bottom w:val="single" w:sz="4" w:space="0" w:color="auto"/>
              <w:right w:val="single" w:sz="4" w:space="0" w:color="auto"/>
            </w:tcBorders>
          </w:tcPr>
          <w:p w14:paraId="53648FB4" w14:textId="2D8DEAF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587 595</w:t>
            </w:r>
          </w:p>
        </w:tc>
        <w:tc>
          <w:tcPr>
            <w:tcW w:w="1370" w:type="dxa"/>
            <w:tcBorders>
              <w:top w:val="nil"/>
              <w:left w:val="single" w:sz="4" w:space="0" w:color="auto"/>
              <w:bottom w:val="single" w:sz="4" w:space="0" w:color="auto"/>
              <w:right w:val="single" w:sz="4" w:space="0" w:color="auto"/>
            </w:tcBorders>
            <w:shd w:val="clear" w:color="auto" w:fill="auto"/>
            <w:noWrap/>
          </w:tcPr>
          <w:p w14:paraId="62500B89" w14:textId="2867607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746 880</w:t>
            </w:r>
          </w:p>
        </w:tc>
        <w:tc>
          <w:tcPr>
            <w:tcW w:w="1370" w:type="dxa"/>
            <w:tcBorders>
              <w:top w:val="nil"/>
              <w:left w:val="nil"/>
              <w:bottom w:val="single" w:sz="4" w:space="0" w:color="auto"/>
              <w:right w:val="single" w:sz="4" w:space="0" w:color="auto"/>
            </w:tcBorders>
            <w:shd w:val="clear" w:color="auto" w:fill="auto"/>
            <w:noWrap/>
          </w:tcPr>
          <w:p w14:paraId="33D7706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766 894</w:t>
            </w:r>
          </w:p>
        </w:tc>
        <w:tc>
          <w:tcPr>
            <w:tcW w:w="1371" w:type="dxa"/>
            <w:tcBorders>
              <w:top w:val="nil"/>
              <w:left w:val="nil"/>
              <w:bottom w:val="single" w:sz="4" w:space="0" w:color="auto"/>
              <w:right w:val="single" w:sz="4" w:space="0" w:color="auto"/>
            </w:tcBorders>
            <w:shd w:val="clear" w:color="auto" w:fill="auto"/>
            <w:noWrap/>
          </w:tcPr>
          <w:p w14:paraId="6B00970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804 094</w:t>
            </w:r>
          </w:p>
        </w:tc>
      </w:tr>
      <w:tr w:rsidR="00904F2F" w:rsidRPr="00904F2F" w14:paraId="3A904164" w14:textId="77777777" w:rsidTr="00904F2F">
        <w:trPr>
          <w:trHeight w:val="276"/>
        </w:trPr>
        <w:tc>
          <w:tcPr>
            <w:tcW w:w="9924" w:type="dxa"/>
            <w:gridSpan w:val="7"/>
            <w:tcBorders>
              <w:top w:val="single" w:sz="4" w:space="0" w:color="auto"/>
            </w:tcBorders>
            <w:shd w:val="clear" w:color="auto" w:fill="auto"/>
            <w:noWrap/>
          </w:tcPr>
          <w:p w14:paraId="4FD38C04" w14:textId="77777777" w:rsidR="00904F2F" w:rsidRPr="00814222" w:rsidRDefault="00904F2F" w:rsidP="00904F2F">
            <w:pPr>
              <w:ind w:left="0"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Con arreglo a la Resolución A/RES/76/238 de las Naciones Unidas; se aplicará la escala revisada de las Naciones Unidas para el trienio cuando esta se haya publicado.</w:t>
            </w:r>
          </w:p>
          <w:p w14:paraId="7A94D3DA" w14:textId="4030C302" w:rsidR="00904F2F" w:rsidRPr="00664FF1" w:rsidRDefault="00904F2F" w:rsidP="00904F2F">
            <w:pPr>
              <w:ind w:left="0" w:firstLine="0"/>
              <w:rPr>
                <w:rFonts w:asciiTheme="minorHAnsi" w:hAnsiTheme="minorHAnsi" w:cstheme="minorHAnsi"/>
                <w:noProof/>
                <w:color w:val="000000" w:themeColor="text1"/>
                <w:sz w:val="20"/>
                <w:szCs w:val="20"/>
                <w:lang w:val="es-ES"/>
              </w:rPr>
            </w:pPr>
            <w:r w:rsidRPr="00814222">
              <w:rPr>
                <w:rFonts w:asciiTheme="minorHAnsi" w:eastAsia="Times New Roman" w:hAnsiTheme="minorHAnsi" w:cs="Arial"/>
                <w:noProof/>
                <w:color w:val="000000" w:themeColor="text1"/>
                <w:sz w:val="20"/>
                <w:szCs w:val="20"/>
                <w:lang w:val="es-ES" w:eastAsia="en-GB"/>
              </w:rPr>
              <w:t>***Solamente para 2025, mientras que 2023 y 2024 son las mismas que las del escenario B</w:t>
            </w:r>
            <w:r>
              <w:rPr>
                <w:noProof/>
                <w:lang w:val="es-ES"/>
              </w:rPr>
              <w:t>.</w:t>
            </w:r>
          </w:p>
        </w:tc>
      </w:tr>
      <w:tr w:rsidR="00904F2F" w:rsidRPr="00664FF1" w14:paraId="6192B91E" w14:textId="77777777" w:rsidTr="00904F2F">
        <w:trPr>
          <w:trHeight w:val="276"/>
        </w:trPr>
        <w:tc>
          <w:tcPr>
            <w:tcW w:w="2523" w:type="dxa"/>
            <w:tcBorders>
              <w:left w:val="single" w:sz="4" w:space="0" w:color="auto"/>
              <w:bottom w:val="single" w:sz="4" w:space="0" w:color="auto"/>
              <w:right w:val="single" w:sz="4" w:space="0" w:color="auto"/>
            </w:tcBorders>
            <w:shd w:val="clear" w:color="auto" w:fill="auto"/>
            <w:noWrap/>
          </w:tcPr>
          <w:p w14:paraId="24D3FCE5" w14:textId="77777777" w:rsidR="00904F2F" w:rsidRPr="00664FF1" w:rsidRDefault="00904F2F" w:rsidP="00433C12">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lastRenderedPageBreak/>
              <w:t>Chipre</w:t>
            </w:r>
          </w:p>
        </w:tc>
        <w:tc>
          <w:tcPr>
            <w:tcW w:w="1164" w:type="dxa"/>
            <w:tcBorders>
              <w:left w:val="nil"/>
              <w:bottom w:val="single" w:sz="4" w:space="0" w:color="auto"/>
              <w:right w:val="single" w:sz="4" w:space="0" w:color="auto"/>
            </w:tcBorders>
            <w:shd w:val="clear" w:color="auto" w:fill="auto"/>
            <w:noWrap/>
          </w:tcPr>
          <w:p w14:paraId="73999F0D" w14:textId="77777777" w:rsidR="00904F2F" w:rsidRPr="00664FF1" w:rsidRDefault="00904F2F" w:rsidP="00433C12">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0,036</w:t>
            </w:r>
          </w:p>
        </w:tc>
        <w:tc>
          <w:tcPr>
            <w:tcW w:w="992" w:type="dxa"/>
            <w:tcBorders>
              <w:left w:val="nil"/>
              <w:bottom w:val="single" w:sz="4" w:space="0" w:color="auto"/>
              <w:right w:val="single" w:sz="4" w:space="0" w:color="auto"/>
            </w:tcBorders>
            <w:shd w:val="clear" w:color="auto" w:fill="auto"/>
            <w:noWrap/>
          </w:tcPr>
          <w:p w14:paraId="6777A8F6" w14:textId="77777777" w:rsidR="00904F2F" w:rsidRPr="00664FF1" w:rsidRDefault="00904F2F" w:rsidP="00433C12">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0,037 %</w:t>
            </w:r>
          </w:p>
        </w:tc>
        <w:tc>
          <w:tcPr>
            <w:tcW w:w="1134" w:type="dxa"/>
            <w:tcBorders>
              <w:left w:val="nil"/>
              <w:bottom w:val="single" w:sz="4" w:space="0" w:color="auto"/>
              <w:right w:val="single" w:sz="4" w:space="0" w:color="auto"/>
            </w:tcBorders>
          </w:tcPr>
          <w:p w14:paraId="7499CD4A" w14:textId="77777777" w:rsidR="00904F2F" w:rsidRPr="00664FF1" w:rsidRDefault="00904F2F" w:rsidP="00433C12">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1 762</w:t>
            </w:r>
          </w:p>
        </w:tc>
        <w:tc>
          <w:tcPr>
            <w:tcW w:w="1370" w:type="dxa"/>
            <w:tcBorders>
              <w:left w:val="single" w:sz="4" w:space="0" w:color="auto"/>
              <w:bottom w:val="single" w:sz="4" w:space="0" w:color="auto"/>
              <w:right w:val="single" w:sz="4" w:space="0" w:color="auto"/>
            </w:tcBorders>
            <w:shd w:val="clear" w:color="auto" w:fill="auto"/>
            <w:noWrap/>
          </w:tcPr>
          <w:p w14:paraId="4B658D9D" w14:textId="77777777" w:rsidR="00904F2F" w:rsidRPr="00664FF1" w:rsidRDefault="00904F2F" w:rsidP="00433C12">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1 763</w:t>
            </w:r>
          </w:p>
        </w:tc>
        <w:tc>
          <w:tcPr>
            <w:tcW w:w="1370" w:type="dxa"/>
            <w:tcBorders>
              <w:left w:val="nil"/>
              <w:bottom w:val="single" w:sz="4" w:space="0" w:color="auto"/>
              <w:right w:val="single" w:sz="4" w:space="0" w:color="auto"/>
            </w:tcBorders>
            <w:shd w:val="clear" w:color="auto" w:fill="auto"/>
            <w:noWrap/>
          </w:tcPr>
          <w:p w14:paraId="11F69216" w14:textId="77777777" w:rsidR="00904F2F" w:rsidRPr="00664FF1" w:rsidRDefault="00904F2F" w:rsidP="00433C12">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1 810</w:t>
            </w:r>
          </w:p>
        </w:tc>
        <w:tc>
          <w:tcPr>
            <w:tcW w:w="1371" w:type="dxa"/>
            <w:tcBorders>
              <w:left w:val="nil"/>
              <w:bottom w:val="single" w:sz="4" w:space="0" w:color="auto"/>
              <w:right w:val="single" w:sz="4" w:space="0" w:color="auto"/>
            </w:tcBorders>
            <w:shd w:val="clear" w:color="auto" w:fill="auto"/>
            <w:noWrap/>
          </w:tcPr>
          <w:p w14:paraId="3B4F057F" w14:textId="77777777" w:rsidR="00904F2F" w:rsidRPr="00664FF1" w:rsidRDefault="00904F2F" w:rsidP="00433C12">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1 898</w:t>
            </w:r>
          </w:p>
        </w:tc>
      </w:tr>
      <w:tr w:rsidR="00E02DE1" w:rsidRPr="00664FF1" w14:paraId="329C39A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5B6A2A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Colombia</w:t>
            </w:r>
          </w:p>
        </w:tc>
        <w:tc>
          <w:tcPr>
            <w:tcW w:w="1164" w:type="dxa"/>
            <w:tcBorders>
              <w:top w:val="nil"/>
              <w:left w:val="nil"/>
              <w:bottom w:val="single" w:sz="4" w:space="0" w:color="auto"/>
              <w:right w:val="single" w:sz="4" w:space="0" w:color="auto"/>
            </w:tcBorders>
            <w:shd w:val="clear" w:color="auto" w:fill="auto"/>
            <w:noWrap/>
          </w:tcPr>
          <w:p w14:paraId="2A8AA09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0,246</w:t>
            </w:r>
          </w:p>
        </w:tc>
        <w:tc>
          <w:tcPr>
            <w:tcW w:w="992" w:type="dxa"/>
            <w:tcBorders>
              <w:top w:val="nil"/>
              <w:left w:val="nil"/>
              <w:bottom w:val="single" w:sz="4" w:space="0" w:color="auto"/>
              <w:right w:val="single" w:sz="4" w:space="0" w:color="auto"/>
            </w:tcBorders>
            <w:shd w:val="clear" w:color="auto" w:fill="auto"/>
            <w:noWrap/>
          </w:tcPr>
          <w:p w14:paraId="233F4BA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0,253 %</w:t>
            </w:r>
          </w:p>
        </w:tc>
        <w:tc>
          <w:tcPr>
            <w:tcW w:w="1134" w:type="dxa"/>
            <w:tcBorders>
              <w:top w:val="single" w:sz="4" w:space="0" w:color="auto"/>
              <w:left w:val="nil"/>
              <w:bottom w:val="single" w:sz="4" w:space="0" w:color="auto"/>
              <w:right w:val="single" w:sz="4" w:space="0" w:color="auto"/>
            </w:tcBorders>
          </w:tcPr>
          <w:p w14:paraId="37779A6C" w14:textId="6190198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14 096</w:t>
            </w:r>
          </w:p>
        </w:tc>
        <w:tc>
          <w:tcPr>
            <w:tcW w:w="1370" w:type="dxa"/>
            <w:tcBorders>
              <w:top w:val="nil"/>
              <w:left w:val="single" w:sz="4" w:space="0" w:color="auto"/>
              <w:bottom w:val="single" w:sz="4" w:space="0" w:color="auto"/>
              <w:right w:val="single" w:sz="4" w:space="0" w:color="auto"/>
            </w:tcBorders>
            <w:shd w:val="clear" w:color="auto" w:fill="auto"/>
            <w:noWrap/>
          </w:tcPr>
          <w:p w14:paraId="4E45D8C6" w14:textId="0A9F553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12 045</w:t>
            </w:r>
          </w:p>
        </w:tc>
        <w:tc>
          <w:tcPr>
            <w:tcW w:w="1370" w:type="dxa"/>
            <w:tcBorders>
              <w:top w:val="nil"/>
              <w:left w:val="nil"/>
              <w:bottom w:val="single" w:sz="4" w:space="0" w:color="auto"/>
              <w:right w:val="single" w:sz="4" w:space="0" w:color="auto"/>
            </w:tcBorders>
            <w:shd w:val="clear" w:color="auto" w:fill="auto"/>
            <w:noWrap/>
          </w:tcPr>
          <w:p w14:paraId="689A09F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12 368</w:t>
            </w:r>
          </w:p>
        </w:tc>
        <w:tc>
          <w:tcPr>
            <w:tcW w:w="1371" w:type="dxa"/>
            <w:tcBorders>
              <w:top w:val="nil"/>
              <w:left w:val="nil"/>
              <w:bottom w:val="single" w:sz="4" w:space="0" w:color="auto"/>
              <w:right w:val="single" w:sz="4" w:space="0" w:color="auto"/>
            </w:tcBorders>
            <w:shd w:val="clear" w:color="auto" w:fill="auto"/>
            <w:noWrap/>
          </w:tcPr>
          <w:p w14:paraId="787DCB2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12 968</w:t>
            </w:r>
          </w:p>
        </w:tc>
      </w:tr>
      <w:tr w:rsidR="00E02DE1" w:rsidRPr="00664FF1" w14:paraId="7D2D105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E5CE40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Comoras</w:t>
            </w:r>
          </w:p>
        </w:tc>
        <w:tc>
          <w:tcPr>
            <w:tcW w:w="1164" w:type="dxa"/>
            <w:tcBorders>
              <w:top w:val="nil"/>
              <w:left w:val="nil"/>
              <w:bottom w:val="single" w:sz="4" w:space="0" w:color="auto"/>
              <w:right w:val="single" w:sz="4" w:space="0" w:color="auto"/>
            </w:tcBorders>
            <w:shd w:val="clear" w:color="auto" w:fill="auto"/>
            <w:noWrap/>
          </w:tcPr>
          <w:p w14:paraId="3CA4E65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1D26675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018670DB" w14:textId="7031626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65580BA3" w14:textId="4CEDC7B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DC3568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9DBBC4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568F3A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4D85F7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Congo</w:t>
            </w:r>
          </w:p>
        </w:tc>
        <w:tc>
          <w:tcPr>
            <w:tcW w:w="1164" w:type="dxa"/>
            <w:tcBorders>
              <w:top w:val="nil"/>
              <w:left w:val="nil"/>
              <w:bottom w:val="single" w:sz="4" w:space="0" w:color="auto"/>
              <w:right w:val="single" w:sz="4" w:space="0" w:color="auto"/>
            </w:tcBorders>
            <w:shd w:val="clear" w:color="auto" w:fill="auto"/>
            <w:noWrap/>
          </w:tcPr>
          <w:p w14:paraId="3BD29F3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w:t>
            </w:r>
          </w:p>
        </w:tc>
        <w:tc>
          <w:tcPr>
            <w:tcW w:w="992" w:type="dxa"/>
            <w:tcBorders>
              <w:top w:val="nil"/>
              <w:left w:val="nil"/>
              <w:bottom w:val="single" w:sz="4" w:space="0" w:color="auto"/>
              <w:right w:val="single" w:sz="4" w:space="0" w:color="auto"/>
            </w:tcBorders>
            <w:shd w:val="clear" w:color="auto" w:fill="auto"/>
            <w:noWrap/>
          </w:tcPr>
          <w:p w14:paraId="1A32ABB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0,005 %</w:t>
            </w:r>
          </w:p>
        </w:tc>
        <w:tc>
          <w:tcPr>
            <w:tcW w:w="1134" w:type="dxa"/>
            <w:tcBorders>
              <w:top w:val="single" w:sz="4" w:space="0" w:color="auto"/>
              <w:left w:val="nil"/>
              <w:bottom w:val="single" w:sz="4" w:space="0" w:color="auto"/>
              <w:right w:val="single" w:sz="4" w:space="0" w:color="auto"/>
            </w:tcBorders>
          </w:tcPr>
          <w:p w14:paraId="4170AD78" w14:textId="3199195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4F16D4F" w14:textId="55E76E1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CFB388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CB4822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361DC2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658762E"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Costa Rica</w:t>
            </w:r>
          </w:p>
        </w:tc>
        <w:tc>
          <w:tcPr>
            <w:tcW w:w="1164" w:type="dxa"/>
            <w:tcBorders>
              <w:top w:val="nil"/>
              <w:left w:val="nil"/>
              <w:bottom w:val="single" w:sz="4" w:space="0" w:color="auto"/>
              <w:right w:val="single" w:sz="4" w:space="0" w:color="auto"/>
            </w:tcBorders>
            <w:shd w:val="clear" w:color="auto" w:fill="auto"/>
            <w:noWrap/>
          </w:tcPr>
          <w:p w14:paraId="1ABAB02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0,069</w:t>
            </w:r>
          </w:p>
        </w:tc>
        <w:tc>
          <w:tcPr>
            <w:tcW w:w="992" w:type="dxa"/>
            <w:tcBorders>
              <w:top w:val="nil"/>
              <w:left w:val="nil"/>
              <w:bottom w:val="single" w:sz="4" w:space="0" w:color="auto"/>
              <w:right w:val="single" w:sz="4" w:space="0" w:color="auto"/>
            </w:tcBorders>
            <w:shd w:val="clear" w:color="auto" w:fill="auto"/>
            <w:noWrap/>
          </w:tcPr>
          <w:p w14:paraId="0705BD0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0,071 %</w:t>
            </w:r>
          </w:p>
        </w:tc>
        <w:tc>
          <w:tcPr>
            <w:tcW w:w="1134" w:type="dxa"/>
            <w:tcBorders>
              <w:top w:val="single" w:sz="4" w:space="0" w:color="auto"/>
              <w:left w:val="nil"/>
              <w:bottom w:val="single" w:sz="4" w:space="0" w:color="auto"/>
              <w:right w:val="single" w:sz="4" w:space="0" w:color="auto"/>
            </w:tcBorders>
          </w:tcPr>
          <w:p w14:paraId="2F8B1E2A" w14:textId="596E8F5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3 035</w:t>
            </w:r>
          </w:p>
        </w:tc>
        <w:tc>
          <w:tcPr>
            <w:tcW w:w="1370" w:type="dxa"/>
            <w:tcBorders>
              <w:top w:val="nil"/>
              <w:left w:val="single" w:sz="4" w:space="0" w:color="auto"/>
              <w:bottom w:val="single" w:sz="4" w:space="0" w:color="auto"/>
              <w:right w:val="single" w:sz="4" w:space="0" w:color="auto"/>
            </w:tcBorders>
            <w:shd w:val="clear" w:color="auto" w:fill="auto"/>
            <w:noWrap/>
          </w:tcPr>
          <w:p w14:paraId="0230EFF0" w14:textId="5B5EE2D3"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3 378</w:t>
            </w:r>
          </w:p>
        </w:tc>
        <w:tc>
          <w:tcPr>
            <w:tcW w:w="1370" w:type="dxa"/>
            <w:tcBorders>
              <w:top w:val="nil"/>
              <w:left w:val="nil"/>
              <w:bottom w:val="single" w:sz="4" w:space="0" w:color="auto"/>
              <w:right w:val="single" w:sz="4" w:space="0" w:color="auto"/>
            </w:tcBorders>
            <w:shd w:val="clear" w:color="auto" w:fill="auto"/>
            <w:noWrap/>
          </w:tcPr>
          <w:p w14:paraId="2A71877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3 469</w:t>
            </w:r>
          </w:p>
        </w:tc>
        <w:tc>
          <w:tcPr>
            <w:tcW w:w="1371" w:type="dxa"/>
            <w:tcBorders>
              <w:top w:val="nil"/>
              <w:left w:val="nil"/>
              <w:bottom w:val="single" w:sz="4" w:space="0" w:color="auto"/>
              <w:right w:val="single" w:sz="4" w:space="0" w:color="auto"/>
            </w:tcBorders>
            <w:shd w:val="clear" w:color="auto" w:fill="auto"/>
            <w:noWrap/>
          </w:tcPr>
          <w:p w14:paraId="6067437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3 637</w:t>
            </w:r>
          </w:p>
        </w:tc>
      </w:tr>
      <w:tr w:rsidR="00E02DE1" w:rsidRPr="00664FF1" w14:paraId="138D49E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C474BF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Côte d'Ivoire</w:t>
            </w:r>
          </w:p>
        </w:tc>
        <w:tc>
          <w:tcPr>
            <w:tcW w:w="1164" w:type="dxa"/>
            <w:tcBorders>
              <w:top w:val="nil"/>
              <w:left w:val="nil"/>
              <w:bottom w:val="single" w:sz="4" w:space="0" w:color="auto"/>
              <w:right w:val="single" w:sz="4" w:space="0" w:color="auto"/>
            </w:tcBorders>
            <w:shd w:val="clear" w:color="auto" w:fill="auto"/>
            <w:noWrap/>
          </w:tcPr>
          <w:p w14:paraId="4639F20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0,022</w:t>
            </w:r>
          </w:p>
        </w:tc>
        <w:tc>
          <w:tcPr>
            <w:tcW w:w="992" w:type="dxa"/>
            <w:tcBorders>
              <w:top w:val="nil"/>
              <w:left w:val="nil"/>
              <w:bottom w:val="single" w:sz="4" w:space="0" w:color="auto"/>
              <w:right w:val="single" w:sz="4" w:space="0" w:color="auto"/>
            </w:tcBorders>
            <w:shd w:val="clear" w:color="auto" w:fill="auto"/>
            <w:noWrap/>
          </w:tcPr>
          <w:p w14:paraId="3806282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0,023 %</w:t>
            </w:r>
          </w:p>
        </w:tc>
        <w:tc>
          <w:tcPr>
            <w:tcW w:w="1134" w:type="dxa"/>
            <w:tcBorders>
              <w:top w:val="single" w:sz="4" w:space="0" w:color="auto"/>
              <w:left w:val="nil"/>
              <w:bottom w:val="single" w:sz="4" w:space="0" w:color="auto"/>
              <w:right w:val="single" w:sz="4" w:space="0" w:color="auto"/>
            </w:tcBorders>
          </w:tcPr>
          <w:p w14:paraId="337C1469" w14:textId="017E3AA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F3FD39C" w14:textId="00F4497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1 077</w:t>
            </w:r>
          </w:p>
        </w:tc>
        <w:tc>
          <w:tcPr>
            <w:tcW w:w="1370" w:type="dxa"/>
            <w:tcBorders>
              <w:top w:val="nil"/>
              <w:left w:val="nil"/>
              <w:bottom w:val="single" w:sz="4" w:space="0" w:color="auto"/>
              <w:right w:val="single" w:sz="4" w:space="0" w:color="auto"/>
            </w:tcBorders>
            <w:shd w:val="clear" w:color="auto" w:fill="auto"/>
            <w:noWrap/>
          </w:tcPr>
          <w:p w14:paraId="2EA5E74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1 106</w:t>
            </w:r>
          </w:p>
        </w:tc>
        <w:tc>
          <w:tcPr>
            <w:tcW w:w="1371" w:type="dxa"/>
            <w:tcBorders>
              <w:top w:val="nil"/>
              <w:left w:val="nil"/>
              <w:bottom w:val="single" w:sz="4" w:space="0" w:color="auto"/>
              <w:right w:val="single" w:sz="4" w:space="0" w:color="auto"/>
            </w:tcBorders>
            <w:shd w:val="clear" w:color="auto" w:fill="auto"/>
            <w:noWrap/>
          </w:tcPr>
          <w:p w14:paraId="2DA6864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1 160</w:t>
            </w:r>
          </w:p>
        </w:tc>
      </w:tr>
      <w:tr w:rsidR="00E02DE1" w:rsidRPr="00664FF1" w14:paraId="140A684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E5A1D3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Croacia</w:t>
            </w:r>
          </w:p>
        </w:tc>
        <w:tc>
          <w:tcPr>
            <w:tcW w:w="1164" w:type="dxa"/>
            <w:tcBorders>
              <w:top w:val="nil"/>
              <w:left w:val="nil"/>
              <w:bottom w:val="single" w:sz="4" w:space="0" w:color="auto"/>
              <w:right w:val="single" w:sz="4" w:space="0" w:color="auto"/>
            </w:tcBorders>
            <w:shd w:val="clear" w:color="auto" w:fill="auto"/>
            <w:noWrap/>
          </w:tcPr>
          <w:p w14:paraId="52203E3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0,091</w:t>
            </w:r>
          </w:p>
        </w:tc>
        <w:tc>
          <w:tcPr>
            <w:tcW w:w="992" w:type="dxa"/>
            <w:tcBorders>
              <w:top w:val="nil"/>
              <w:left w:val="nil"/>
              <w:bottom w:val="single" w:sz="4" w:space="0" w:color="auto"/>
              <w:right w:val="single" w:sz="4" w:space="0" w:color="auto"/>
            </w:tcBorders>
            <w:shd w:val="clear" w:color="auto" w:fill="auto"/>
            <w:noWrap/>
          </w:tcPr>
          <w:p w14:paraId="3A00BA3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0,093 %</w:t>
            </w:r>
          </w:p>
        </w:tc>
        <w:tc>
          <w:tcPr>
            <w:tcW w:w="1134" w:type="dxa"/>
            <w:tcBorders>
              <w:top w:val="single" w:sz="4" w:space="0" w:color="auto"/>
              <w:left w:val="nil"/>
              <w:bottom w:val="single" w:sz="4" w:space="0" w:color="auto"/>
              <w:right w:val="single" w:sz="4" w:space="0" w:color="auto"/>
            </w:tcBorders>
          </w:tcPr>
          <w:p w14:paraId="250DB3CA" w14:textId="629BD82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3 769</w:t>
            </w:r>
          </w:p>
        </w:tc>
        <w:tc>
          <w:tcPr>
            <w:tcW w:w="1370" w:type="dxa"/>
            <w:tcBorders>
              <w:top w:val="nil"/>
              <w:left w:val="single" w:sz="4" w:space="0" w:color="auto"/>
              <w:bottom w:val="single" w:sz="4" w:space="0" w:color="auto"/>
              <w:right w:val="single" w:sz="4" w:space="0" w:color="auto"/>
            </w:tcBorders>
            <w:shd w:val="clear" w:color="auto" w:fill="auto"/>
            <w:noWrap/>
          </w:tcPr>
          <w:p w14:paraId="48F5E80A" w14:textId="0742799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4 456</w:t>
            </w:r>
          </w:p>
        </w:tc>
        <w:tc>
          <w:tcPr>
            <w:tcW w:w="1370" w:type="dxa"/>
            <w:tcBorders>
              <w:top w:val="nil"/>
              <w:left w:val="nil"/>
              <w:bottom w:val="single" w:sz="4" w:space="0" w:color="auto"/>
              <w:right w:val="single" w:sz="4" w:space="0" w:color="auto"/>
            </w:tcBorders>
            <w:shd w:val="clear" w:color="auto" w:fill="auto"/>
            <w:noWrap/>
          </w:tcPr>
          <w:p w14:paraId="1CD3A9B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4 575</w:t>
            </w:r>
          </w:p>
        </w:tc>
        <w:tc>
          <w:tcPr>
            <w:tcW w:w="1371" w:type="dxa"/>
            <w:tcBorders>
              <w:top w:val="nil"/>
              <w:left w:val="nil"/>
              <w:bottom w:val="single" w:sz="4" w:space="0" w:color="auto"/>
              <w:right w:val="single" w:sz="4" w:space="0" w:color="auto"/>
            </w:tcBorders>
            <w:shd w:val="clear" w:color="auto" w:fill="auto"/>
            <w:noWrap/>
          </w:tcPr>
          <w:p w14:paraId="7F22A26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4 797</w:t>
            </w:r>
          </w:p>
        </w:tc>
      </w:tr>
      <w:tr w:rsidR="00E02DE1" w:rsidRPr="00664FF1" w14:paraId="3F564A85"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E4FF84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Cuba</w:t>
            </w:r>
          </w:p>
        </w:tc>
        <w:tc>
          <w:tcPr>
            <w:tcW w:w="1164" w:type="dxa"/>
            <w:tcBorders>
              <w:top w:val="nil"/>
              <w:left w:val="nil"/>
              <w:bottom w:val="single" w:sz="4" w:space="0" w:color="auto"/>
              <w:right w:val="single" w:sz="4" w:space="0" w:color="auto"/>
            </w:tcBorders>
            <w:shd w:val="clear" w:color="auto" w:fill="auto"/>
            <w:noWrap/>
          </w:tcPr>
          <w:p w14:paraId="0CF3F53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0,095</w:t>
            </w:r>
          </w:p>
        </w:tc>
        <w:tc>
          <w:tcPr>
            <w:tcW w:w="992" w:type="dxa"/>
            <w:tcBorders>
              <w:top w:val="nil"/>
              <w:left w:val="nil"/>
              <w:bottom w:val="single" w:sz="4" w:space="0" w:color="auto"/>
              <w:right w:val="single" w:sz="4" w:space="0" w:color="auto"/>
            </w:tcBorders>
            <w:shd w:val="clear" w:color="auto" w:fill="auto"/>
            <w:noWrap/>
          </w:tcPr>
          <w:p w14:paraId="0612EE9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0,098 %</w:t>
            </w:r>
          </w:p>
        </w:tc>
        <w:tc>
          <w:tcPr>
            <w:tcW w:w="1134" w:type="dxa"/>
            <w:tcBorders>
              <w:top w:val="single" w:sz="4" w:space="0" w:color="auto"/>
              <w:left w:val="nil"/>
              <w:bottom w:val="single" w:sz="4" w:space="0" w:color="auto"/>
              <w:right w:val="single" w:sz="4" w:space="0" w:color="auto"/>
            </w:tcBorders>
          </w:tcPr>
          <w:p w14:paraId="21E62E85" w14:textId="0FC11E34"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3 916</w:t>
            </w:r>
          </w:p>
        </w:tc>
        <w:tc>
          <w:tcPr>
            <w:tcW w:w="1370" w:type="dxa"/>
            <w:tcBorders>
              <w:top w:val="nil"/>
              <w:left w:val="single" w:sz="4" w:space="0" w:color="auto"/>
              <w:bottom w:val="single" w:sz="4" w:space="0" w:color="auto"/>
              <w:right w:val="single" w:sz="4" w:space="0" w:color="auto"/>
            </w:tcBorders>
            <w:shd w:val="clear" w:color="auto" w:fill="auto"/>
            <w:noWrap/>
          </w:tcPr>
          <w:p w14:paraId="1F56CAE7" w14:textId="31D8F84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4 651</w:t>
            </w:r>
          </w:p>
        </w:tc>
        <w:tc>
          <w:tcPr>
            <w:tcW w:w="1370" w:type="dxa"/>
            <w:tcBorders>
              <w:top w:val="nil"/>
              <w:left w:val="nil"/>
              <w:bottom w:val="single" w:sz="4" w:space="0" w:color="auto"/>
              <w:right w:val="single" w:sz="4" w:space="0" w:color="auto"/>
            </w:tcBorders>
            <w:shd w:val="clear" w:color="auto" w:fill="auto"/>
            <w:noWrap/>
          </w:tcPr>
          <w:p w14:paraId="5FB2C96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4 776</w:t>
            </w:r>
          </w:p>
        </w:tc>
        <w:tc>
          <w:tcPr>
            <w:tcW w:w="1371" w:type="dxa"/>
            <w:tcBorders>
              <w:top w:val="nil"/>
              <w:left w:val="nil"/>
              <w:bottom w:val="single" w:sz="4" w:space="0" w:color="auto"/>
              <w:right w:val="single" w:sz="4" w:space="0" w:color="auto"/>
            </w:tcBorders>
            <w:shd w:val="clear" w:color="auto" w:fill="auto"/>
            <w:noWrap/>
          </w:tcPr>
          <w:p w14:paraId="68E6155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5 008</w:t>
            </w:r>
          </w:p>
        </w:tc>
      </w:tr>
      <w:tr w:rsidR="00E02DE1" w:rsidRPr="00664FF1" w14:paraId="0F793925"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C75A715"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Dinamarca</w:t>
            </w:r>
          </w:p>
        </w:tc>
        <w:tc>
          <w:tcPr>
            <w:tcW w:w="1164" w:type="dxa"/>
            <w:tcBorders>
              <w:top w:val="nil"/>
              <w:left w:val="nil"/>
              <w:bottom w:val="single" w:sz="4" w:space="0" w:color="auto"/>
              <w:right w:val="single" w:sz="4" w:space="0" w:color="auto"/>
            </w:tcBorders>
            <w:shd w:val="clear" w:color="auto" w:fill="auto"/>
            <w:noWrap/>
          </w:tcPr>
          <w:p w14:paraId="7897B78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0,553</w:t>
            </w:r>
          </w:p>
        </w:tc>
        <w:tc>
          <w:tcPr>
            <w:tcW w:w="992" w:type="dxa"/>
            <w:tcBorders>
              <w:top w:val="nil"/>
              <w:left w:val="nil"/>
              <w:bottom w:val="single" w:sz="4" w:space="0" w:color="auto"/>
              <w:right w:val="single" w:sz="4" w:space="0" w:color="auto"/>
            </w:tcBorders>
            <w:shd w:val="clear" w:color="auto" w:fill="auto"/>
            <w:noWrap/>
          </w:tcPr>
          <w:p w14:paraId="6F67B8D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0,568 %</w:t>
            </w:r>
          </w:p>
        </w:tc>
        <w:tc>
          <w:tcPr>
            <w:tcW w:w="1134" w:type="dxa"/>
            <w:tcBorders>
              <w:top w:val="single" w:sz="4" w:space="0" w:color="auto"/>
              <w:left w:val="nil"/>
              <w:bottom w:val="single" w:sz="4" w:space="0" w:color="auto"/>
              <w:right w:val="single" w:sz="4" w:space="0" w:color="auto"/>
            </w:tcBorders>
          </w:tcPr>
          <w:p w14:paraId="300E7C3A" w14:textId="7EB0666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27 116</w:t>
            </w:r>
          </w:p>
        </w:tc>
        <w:tc>
          <w:tcPr>
            <w:tcW w:w="1370" w:type="dxa"/>
            <w:tcBorders>
              <w:top w:val="nil"/>
              <w:left w:val="single" w:sz="4" w:space="0" w:color="auto"/>
              <w:bottom w:val="single" w:sz="4" w:space="0" w:color="auto"/>
              <w:right w:val="single" w:sz="4" w:space="0" w:color="auto"/>
            </w:tcBorders>
            <w:shd w:val="clear" w:color="auto" w:fill="auto"/>
            <w:noWrap/>
          </w:tcPr>
          <w:p w14:paraId="792AD603" w14:textId="295A8DD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27 076</w:t>
            </w:r>
          </w:p>
        </w:tc>
        <w:tc>
          <w:tcPr>
            <w:tcW w:w="1370" w:type="dxa"/>
            <w:tcBorders>
              <w:top w:val="nil"/>
              <w:left w:val="nil"/>
              <w:bottom w:val="single" w:sz="4" w:space="0" w:color="auto"/>
              <w:right w:val="single" w:sz="4" w:space="0" w:color="auto"/>
            </w:tcBorders>
            <w:shd w:val="clear" w:color="auto" w:fill="auto"/>
            <w:noWrap/>
          </w:tcPr>
          <w:p w14:paraId="7B611D0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27 802</w:t>
            </w:r>
          </w:p>
        </w:tc>
        <w:tc>
          <w:tcPr>
            <w:tcW w:w="1371" w:type="dxa"/>
            <w:tcBorders>
              <w:top w:val="nil"/>
              <w:left w:val="nil"/>
              <w:bottom w:val="single" w:sz="4" w:space="0" w:color="auto"/>
              <w:right w:val="single" w:sz="4" w:space="0" w:color="auto"/>
            </w:tcBorders>
            <w:shd w:val="clear" w:color="auto" w:fill="auto"/>
            <w:noWrap/>
          </w:tcPr>
          <w:p w14:paraId="57A4BEE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29 151</w:t>
            </w:r>
          </w:p>
        </w:tc>
      </w:tr>
      <w:tr w:rsidR="00E02DE1" w:rsidRPr="00664FF1" w14:paraId="235F538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891FF6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Djibouti</w:t>
            </w:r>
          </w:p>
        </w:tc>
        <w:tc>
          <w:tcPr>
            <w:tcW w:w="1164" w:type="dxa"/>
            <w:tcBorders>
              <w:top w:val="nil"/>
              <w:left w:val="nil"/>
              <w:bottom w:val="single" w:sz="4" w:space="0" w:color="auto"/>
              <w:right w:val="single" w:sz="4" w:space="0" w:color="auto"/>
            </w:tcBorders>
            <w:shd w:val="clear" w:color="auto" w:fill="auto"/>
            <w:noWrap/>
          </w:tcPr>
          <w:p w14:paraId="53FF1C4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7CEBD8A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12F1D6C5" w14:textId="5054D854"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EE38636" w14:textId="43029FDF"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9A0B61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576363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A16A4DE"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B14A8AE"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Ecuador</w:t>
            </w:r>
          </w:p>
        </w:tc>
        <w:tc>
          <w:tcPr>
            <w:tcW w:w="1164" w:type="dxa"/>
            <w:tcBorders>
              <w:top w:val="nil"/>
              <w:left w:val="nil"/>
              <w:bottom w:val="single" w:sz="4" w:space="0" w:color="auto"/>
              <w:right w:val="single" w:sz="4" w:space="0" w:color="auto"/>
            </w:tcBorders>
            <w:shd w:val="clear" w:color="auto" w:fill="auto"/>
            <w:noWrap/>
          </w:tcPr>
          <w:p w14:paraId="0297E2F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0,077</w:t>
            </w:r>
          </w:p>
        </w:tc>
        <w:tc>
          <w:tcPr>
            <w:tcW w:w="992" w:type="dxa"/>
            <w:tcBorders>
              <w:top w:val="nil"/>
              <w:left w:val="nil"/>
              <w:bottom w:val="single" w:sz="4" w:space="0" w:color="auto"/>
              <w:right w:val="single" w:sz="4" w:space="0" w:color="auto"/>
            </w:tcBorders>
            <w:shd w:val="clear" w:color="auto" w:fill="auto"/>
            <w:noWrap/>
          </w:tcPr>
          <w:p w14:paraId="17EC049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0,079 %</w:t>
            </w:r>
          </w:p>
        </w:tc>
        <w:tc>
          <w:tcPr>
            <w:tcW w:w="1134" w:type="dxa"/>
            <w:tcBorders>
              <w:top w:val="single" w:sz="4" w:space="0" w:color="auto"/>
              <w:left w:val="nil"/>
              <w:bottom w:val="single" w:sz="4" w:space="0" w:color="auto"/>
              <w:right w:val="single" w:sz="4" w:space="0" w:color="auto"/>
            </w:tcBorders>
          </w:tcPr>
          <w:p w14:paraId="564C498B" w14:textId="61FBEBC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3 916</w:t>
            </w:r>
          </w:p>
        </w:tc>
        <w:tc>
          <w:tcPr>
            <w:tcW w:w="1370" w:type="dxa"/>
            <w:tcBorders>
              <w:top w:val="nil"/>
              <w:left w:val="single" w:sz="4" w:space="0" w:color="auto"/>
              <w:bottom w:val="single" w:sz="4" w:space="0" w:color="auto"/>
              <w:right w:val="single" w:sz="4" w:space="0" w:color="auto"/>
            </w:tcBorders>
            <w:shd w:val="clear" w:color="auto" w:fill="auto"/>
            <w:noWrap/>
          </w:tcPr>
          <w:p w14:paraId="5477DD6F" w14:textId="056C548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3 770</w:t>
            </w:r>
          </w:p>
        </w:tc>
        <w:tc>
          <w:tcPr>
            <w:tcW w:w="1370" w:type="dxa"/>
            <w:tcBorders>
              <w:top w:val="nil"/>
              <w:left w:val="nil"/>
              <w:bottom w:val="single" w:sz="4" w:space="0" w:color="auto"/>
              <w:right w:val="single" w:sz="4" w:space="0" w:color="auto"/>
            </w:tcBorders>
            <w:shd w:val="clear" w:color="auto" w:fill="auto"/>
            <w:noWrap/>
          </w:tcPr>
          <w:p w14:paraId="1576C2F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3 871</w:t>
            </w:r>
          </w:p>
        </w:tc>
        <w:tc>
          <w:tcPr>
            <w:tcW w:w="1371" w:type="dxa"/>
            <w:tcBorders>
              <w:top w:val="nil"/>
              <w:left w:val="nil"/>
              <w:bottom w:val="single" w:sz="4" w:space="0" w:color="auto"/>
              <w:right w:val="single" w:sz="4" w:space="0" w:color="auto"/>
            </w:tcBorders>
            <w:shd w:val="clear" w:color="auto" w:fill="auto"/>
            <w:noWrap/>
          </w:tcPr>
          <w:p w14:paraId="082351A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4 059</w:t>
            </w:r>
          </w:p>
        </w:tc>
      </w:tr>
      <w:tr w:rsidR="00E02DE1" w:rsidRPr="00664FF1" w14:paraId="0376EEC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1BFB91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Egipto</w:t>
            </w:r>
          </w:p>
        </w:tc>
        <w:tc>
          <w:tcPr>
            <w:tcW w:w="1164" w:type="dxa"/>
            <w:tcBorders>
              <w:top w:val="nil"/>
              <w:left w:val="nil"/>
              <w:bottom w:val="single" w:sz="4" w:space="0" w:color="auto"/>
              <w:right w:val="single" w:sz="4" w:space="0" w:color="auto"/>
            </w:tcBorders>
            <w:shd w:val="clear" w:color="auto" w:fill="auto"/>
            <w:noWrap/>
          </w:tcPr>
          <w:p w14:paraId="032C2BB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0,139</w:t>
            </w:r>
          </w:p>
        </w:tc>
        <w:tc>
          <w:tcPr>
            <w:tcW w:w="992" w:type="dxa"/>
            <w:tcBorders>
              <w:top w:val="nil"/>
              <w:left w:val="nil"/>
              <w:bottom w:val="single" w:sz="4" w:space="0" w:color="auto"/>
              <w:right w:val="single" w:sz="4" w:space="0" w:color="auto"/>
            </w:tcBorders>
            <w:shd w:val="clear" w:color="auto" w:fill="auto"/>
            <w:noWrap/>
          </w:tcPr>
          <w:p w14:paraId="5095606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0,143 %</w:t>
            </w:r>
          </w:p>
        </w:tc>
        <w:tc>
          <w:tcPr>
            <w:tcW w:w="1134" w:type="dxa"/>
            <w:tcBorders>
              <w:top w:val="single" w:sz="4" w:space="0" w:color="auto"/>
              <w:left w:val="nil"/>
              <w:bottom w:val="single" w:sz="4" w:space="0" w:color="auto"/>
              <w:right w:val="single" w:sz="4" w:space="0" w:color="auto"/>
            </w:tcBorders>
          </w:tcPr>
          <w:p w14:paraId="7FF7474B" w14:textId="1891F6C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9 104</w:t>
            </w:r>
          </w:p>
        </w:tc>
        <w:tc>
          <w:tcPr>
            <w:tcW w:w="1370" w:type="dxa"/>
            <w:tcBorders>
              <w:top w:val="nil"/>
              <w:left w:val="single" w:sz="4" w:space="0" w:color="auto"/>
              <w:bottom w:val="single" w:sz="4" w:space="0" w:color="auto"/>
              <w:right w:val="single" w:sz="4" w:space="0" w:color="auto"/>
            </w:tcBorders>
            <w:shd w:val="clear" w:color="auto" w:fill="auto"/>
            <w:noWrap/>
          </w:tcPr>
          <w:p w14:paraId="0D9FF1E4" w14:textId="5B72FEF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6 806</w:t>
            </w:r>
          </w:p>
        </w:tc>
        <w:tc>
          <w:tcPr>
            <w:tcW w:w="1370" w:type="dxa"/>
            <w:tcBorders>
              <w:top w:val="nil"/>
              <w:left w:val="nil"/>
              <w:bottom w:val="single" w:sz="4" w:space="0" w:color="auto"/>
              <w:right w:val="single" w:sz="4" w:space="0" w:color="auto"/>
            </w:tcBorders>
            <w:shd w:val="clear" w:color="auto" w:fill="auto"/>
            <w:noWrap/>
          </w:tcPr>
          <w:p w14:paraId="4C0F713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6 988</w:t>
            </w:r>
          </w:p>
        </w:tc>
        <w:tc>
          <w:tcPr>
            <w:tcW w:w="1371" w:type="dxa"/>
            <w:tcBorders>
              <w:top w:val="nil"/>
              <w:left w:val="nil"/>
              <w:bottom w:val="single" w:sz="4" w:space="0" w:color="auto"/>
              <w:right w:val="single" w:sz="4" w:space="0" w:color="auto"/>
            </w:tcBorders>
            <w:shd w:val="clear" w:color="auto" w:fill="auto"/>
            <w:noWrap/>
          </w:tcPr>
          <w:p w14:paraId="077776C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7 327</w:t>
            </w:r>
          </w:p>
        </w:tc>
      </w:tr>
      <w:tr w:rsidR="00E02DE1" w:rsidRPr="00664FF1" w14:paraId="064A5DF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4B43D8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El Salvador</w:t>
            </w:r>
          </w:p>
        </w:tc>
        <w:tc>
          <w:tcPr>
            <w:tcW w:w="1164" w:type="dxa"/>
            <w:tcBorders>
              <w:top w:val="nil"/>
              <w:left w:val="nil"/>
              <w:bottom w:val="single" w:sz="4" w:space="0" w:color="auto"/>
              <w:right w:val="single" w:sz="4" w:space="0" w:color="auto"/>
            </w:tcBorders>
            <w:shd w:val="clear" w:color="auto" w:fill="auto"/>
            <w:noWrap/>
          </w:tcPr>
          <w:p w14:paraId="11A89AE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0,013</w:t>
            </w:r>
          </w:p>
        </w:tc>
        <w:tc>
          <w:tcPr>
            <w:tcW w:w="992" w:type="dxa"/>
            <w:tcBorders>
              <w:top w:val="nil"/>
              <w:left w:val="nil"/>
              <w:bottom w:val="single" w:sz="4" w:space="0" w:color="auto"/>
              <w:right w:val="single" w:sz="4" w:space="0" w:color="auto"/>
            </w:tcBorders>
            <w:shd w:val="clear" w:color="auto" w:fill="auto"/>
            <w:noWrap/>
          </w:tcPr>
          <w:p w14:paraId="0C4BD21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0,013 %</w:t>
            </w:r>
          </w:p>
        </w:tc>
        <w:tc>
          <w:tcPr>
            <w:tcW w:w="1134" w:type="dxa"/>
            <w:tcBorders>
              <w:top w:val="single" w:sz="4" w:space="0" w:color="auto"/>
              <w:left w:val="nil"/>
              <w:bottom w:val="single" w:sz="4" w:space="0" w:color="auto"/>
              <w:right w:val="single" w:sz="4" w:space="0" w:color="auto"/>
            </w:tcBorders>
          </w:tcPr>
          <w:p w14:paraId="0A55DA84" w14:textId="32B5324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3C65520" w14:textId="3839B4FF"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ABC97F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301FF6A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43BEDC1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6E0347E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Emiratos Árabes Unidos</w:t>
            </w:r>
          </w:p>
        </w:tc>
        <w:tc>
          <w:tcPr>
            <w:tcW w:w="1164" w:type="dxa"/>
            <w:tcBorders>
              <w:top w:val="nil"/>
              <w:left w:val="nil"/>
              <w:bottom w:val="single" w:sz="4" w:space="0" w:color="auto"/>
              <w:right w:val="single" w:sz="4" w:space="0" w:color="auto"/>
            </w:tcBorders>
            <w:shd w:val="clear" w:color="auto" w:fill="auto"/>
            <w:noWrap/>
          </w:tcPr>
          <w:p w14:paraId="0EEB840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0,635</w:t>
            </w:r>
          </w:p>
        </w:tc>
        <w:tc>
          <w:tcPr>
            <w:tcW w:w="992" w:type="dxa"/>
            <w:tcBorders>
              <w:top w:val="nil"/>
              <w:left w:val="nil"/>
              <w:bottom w:val="single" w:sz="4" w:space="0" w:color="auto"/>
              <w:right w:val="single" w:sz="4" w:space="0" w:color="auto"/>
            </w:tcBorders>
            <w:shd w:val="clear" w:color="auto" w:fill="auto"/>
            <w:noWrap/>
          </w:tcPr>
          <w:p w14:paraId="7C35B3A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0,652 %</w:t>
            </w:r>
          </w:p>
        </w:tc>
        <w:tc>
          <w:tcPr>
            <w:tcW w:w="1134" w:type="dxa"/>
            <w:tcBorders>
              <w:top w:val="single" w:sz="4" w:space="0" w:color="auto"/>
              <w:left w:val="nil"/>
              <w:bottom w:val="single" w:sz="4" w:space="0" w:color="auto"/>
              <w:right w:val="single" w:sz="4" w:space="0" w:color="auto"/>
            </w:tcBorders>
          </w:tcPr>
          <w:p w14:paraId="6CE80DBE" w14:textId="6C5746B4"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30 151</w:t>
            </w:r>
          </w:p>
        </w:tc>
        <w:tc>
          <w:tcPr>
            <w:tcW w:w="1370" w:type="dxa"/>
            <w:tcBorders>
              <w:top w:val="nil"/>
              <w:left w:val="single" w:sz="4" w:space="0" w:color="auto"/>
              <w:bottom w:val="single" w:sz="4" w:space="0" w:color="auto"/>
              <w:right w:val="single" w:sz="4" w:space="0" w:color="auto"/>
            </w:tcBorders>
            <w:shd w:val="clear" w:color="auto" w:fill="auto"/>
            <w:noWrap/>
          </w:tcPr>
          <w:p w14:paraId="333ABC3B" w14:textId="18C8E5D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31 091</w:t>
            </w:r>
          </w:p>
        </w:tc>
        <w:tc>
          <w:tcPr>
            <w:tcW w:w="1370" w:type="dxa"/>
            <w:tcBorders>
              <w:top w:val="nil"/>
              <w:left w:val="nil"/>
              <w:bottom w:val="single" w:sz="4" w:space="0" w:color="auto"/>
              <w:right w:val="single" w:sz="4" w:space="0" w:color="auto"/>
            </w:tcBorders>
            <w:shd w:val="clear" w:color="auto" w:fill="auto"/>
            <w:noWrap/>
          </w:tcPr>
          <w:p w14:paraId="6F53E8E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31 925</w:t>
            </w:r>
          </w:p>
        </w:tc>
        <w:tc>
          <w:tcPr>
            <w:tcW w:w="1371" w:type="dxa"/>
            <w:tcBorders>
              <w:top w:val="nil"/>
              <w:left w:val="nil"/>
              <w:bottom w:val="single" w:sz="4" w:space="0" w:color="auto"/>
              <w:right w:val="single" w:sz="4" w:space="0" w:color="auto"/>
            </w:tcBorders>
            <w:shd w:val="clear" w:color="auto" w:fill="auto"/>
            <w:noWrap/>
          </w:tcPr>
          <w:p w14:paraId="011A5B4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33 473</w:t>
            </w:r>
          </w:p>
        </w:tc>
      </w:tr>
      <w:tr w:rsidR="00E02DE1" w:rsidRPr="00664FF1" w14:paraId="44894BB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C0F57D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Eslovaquia</w:t>
            </w:r>
          </w:p>
        </w:tc>
        <w:tc>
          <w:tcPr>
            <w:tcW w:w="1164" w:type="dxa"/>
            <w:tcBorders>
              <w:top w:val="nil"/>
              <w:left w:val="nil"/>
              <w:bottom w:val="single" w:sz="4" w:space="0" w:color="auto"/>
              <w:right w:val="single" w:sz="4" w:space="0" w:color="auto"/>
            </w:tcBorders>
            <w:shd w:val="clear" w:color="auto" w:fill="auto"/>
            <w:noWrap/>
          </w:tcPr>
          <w:p w14:paraId="43A9D75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0,155</w:t>
            </w:r>
          </w:p>
        </w:tc>
        <w:tc>
          <w:tcPr>
            <w:tcW w:w="992" w:type="dxa"/>
            <w:tcBorders>
              <w:top w:val="nil"/>
              <w:left w:val="nil"/>
              <w:bottom w:val="single" w:sz="4" w:space="0" w:color="auto"/>
              <w:right w:val="single" w:sz="4" w:space="0" w:color="auto"/>
            </w:tcBorders>
            <w:shd w:val="clear" w:color="auto" w:fill="auto"/>
            <w:noWrap/>
          </w:tcPr>
          <w:p w14:paraId="65B7886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0,159 %</w:t>
            </w:r>
          </w:p>
        </w:tc>
        <w:tc>
          <w:tcPr>
            <w:tcW w:w="1134" w:type="dxa"/>
            <w:tcBorders>
              <w:top w:val="single" w:sz="4" w:space="0" w:color="auto"/>
              <w:left w:val="nil"/>
              <w:bottom w:val="single" w:sz="4" w:space="0" w:color="auto"/>
              <w:right w:val="single" w:sz="4" w:space="0" w:color="auto"/>
            </w:tcBorders>
          </w:tcPr>
          <w:p w14:paraId="274F53C0" w14:textId="6B4050F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7 489</w:t>
            </w:r>
          </w:p>
        </w:tc>
        <w:tc>
          <w:tcPr>
            <w:tcW w:w="1370" w:type="dxa"/>
            <w:tcBorders>
              <w:top w:val="nil"/>
              <w:left w:val="single" w:sz="4" w:space="0" w:color="auto"/>
              <w:bottom w:val="single" w:sz="4" w:space="0" w:color="auto"/>
              <w:right w:val="single" w:sz="4" w:space="0" w:color="auto"/>
            </w:tcBorders>
            <w:shd w:val="clear" w:color="auto" w:fill="auto"/>
            <w:noWrap/>
          </w:tcPr>
          <w:p w14:paraId="4CF81EFF" w14:textId="3651538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7 589</w:t>
            </w:r>
          </w:p>
        </w:tc>
        <w:tc>
          <w:tcPr>
            <w:tcW w:w="1370" w:type="dxa"/>
            <w:tcBorders>
              <w:top w:val="nil"/>
              <w:left w:val="nil"/>
              <w:bottom w:val="single" w:sz="4" w:space="0" w:color="auto"/>
              <w:right w:val="single" w:sz="4" w:space="0" w:color="auto"/>
            </w:tcBorders>
            <w:shd w:val="clear" w:color="auto" w:fill="auto"/>
            <w:noWrap/>
          </w:tcPr>
          <w:p w14:paraId="65C9FF1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7 793</w:t>
            </w:r>
          </w:p>
        </w:tc>
        <w:tc>
          <w:tcPr>
            <w:tcW w:w="1371" w:type="dxa"/>
            <w:tcBorders>
              <w:top w:val="nil"/>
              <w:left w:val="nil"/>
              <w:bottom w:val="single" w:sz="4" w:space="0" w:color="auto"/>
              <w:right w:val="single" w:sz="4" w:space="0" w:color="auto"/>
            </w:tcBorders>
            <w:shd w:val="clear" w:color="auto" w:fill="auto"/>
            <w:noWrap/>
          </w:tcPr>
          <w:p w14:paraId="114C091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8 171</w:t>
            </w:r>
          </w:p>
        </w:tc>
      </w:tr>
      <w:tr w:rsidR="00E02DE1" w:rsidRPr="00664FF1" w14:paraId="49DFF49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22B6D4C"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Eslovenia</w:t>
            </w:r>
          </w:p>
        </w:tc>
        <w:tc>
          <w:tcPr>
            <w:tcW w:w="1164" w:type="dxa"/>
            <w:tcBorders>
              <w:top w:val="nil"/>
              <w:left w:val="nil"/>
              <w:bottom w:val="single" w:sz="4" w:space="0" w:color="auto"/>
              <w:right w:val="single" w:sz="4" w:space="0" w:color="auto"/>
            </w:tcBorders>
            <w:shd w:val="clear" w:color="auto" w:fill="auto"/>
            <w:noWrap/>
          </w:tcPr>
          <w:p w14:paraId="370CDC1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0,079</w:t>
            </w:r>
          </w:p>
        </w:tc>
        <w:tc>
          <w:tcPr>
            <w:tcW w:w="992" w:type="dxa"/>
            <w:tcBorders>
              <w:top w:val="nil"/>
              <w:left w:val="nil"/>
              <w:bottom w:val="single" w:sz="4" w:space="0" w:color="auto"/>
              <w:right w:val="single" w:sz="4" w:space="0" w:color="auto"/>
            </w:tcBorders>
            <w:shd w:val="clear" w:color="auto" w:fill="auto"/>
            <w:noWrap/>
          </w:tcPr>
          <w:p w14:paraId="036361C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0,081 %</w:t>
            </w:r>
          </w:p>
        </w:tc>
        <w:tc>
          <w:tcPr>
            <w:tcW w:w="1134" w:type="dxa"/>
            <w:tcBorders>
              <w:top w:val="single" w:sz="4" w:space="0" w:color="auto"/>
              <w:left w:val="nil"/>
              <w:bottom w:val="single" w:sz="4" w:space="0" w:color="auto"/>
              <w:right w:val="single" w:sz="4" w:space="0" w:color="auto"/>
            </w:tcBorders>
          </w:tcPr>
          <w:p w14:paraId="7BEDBFC4" w14:textId="1D6EEB0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3 720</w:t>
            </w:r>
          </w:p>
        </w:tc>
        <w:tc>
          <w:tcPr>
            <w:tcW w:w="1370" w:type="dxa"/>
            <w:tcBorders>
              <w:top w:val="nil"/>
              <w:left w:val="single" w:sz="4" w:space="0" w:color="auto"/>
              <w:bottom w:val="single" w:sz="4" w:space="0" w:color="auto"/>
              <w:right w:val="single" w:sz="4" w:space="0" w:color="auto"/>
            </w:tcBorders>
            <w:shd w:val="clear" w:color="auto" w:fill="auto"/>
            <w:noWrap/>
          </w:tcPr>
          <w:p w14:paraId="16A9D9F8" w14:textId="0181E2C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3 868</w:t>
            </w:r>
          </w:p>
        </w:tc>
        <w:tc>
          <w:tcPr>
            <w:tcW w:w="1370" w:type="dxa"/>
            <w:tcBorders>
              <w:top w:val="nil"/>
              <w:left w:val="nil"/>
              <w:bottom w:val="single" w:sz="4" w:space="0" w:color="auto"/>
              <w:right w:val="single" w:sz="4" w:space="0" w:color="auto"/>
            </w:tcBorders>
            <w:shd w:val="clear" w:color="auto" w:fill="auto"/>
            <w:noWrap/>
          </w:tcPr>
          <w:p w14:paraId="0D1BC30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3 972</w:t>
            </w:r>
          </w:p>
        </w:tc>
        <w:tc>
          <w:tcPr>
            <w:tcW w:w="1371" w:type="dxa"/>
            <w:tcBorders>
              <w:top w:val="nil"/>
              <w:left w:val="nil"/>
              <w:bottom w:val="single" w:sz="4" w:space="0" w:color="auto"/>
              <w:right w:val="single" w:sz="4" w:space="0" w:color="auto"/>
            </w:tcBorders>
            <w:shd w:val="clear" w:color="auto" w:fill="auto"/>
            <w:noWrap/>
          </w:tcPr>
          <w:p w14:paraId="7D16C04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4 164</w:t>
            </w:r>
          </w:p>
        </w:tc>
      </w:tr>
      <w:tr w:rsidR="00E02DE1" w:rsidRPr="00664FF1" w14:paraId="346FE9BE"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FB6A41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España</w:t>
            </w:r>
          </w:p>
        </w:tc>
        <w:tc>
          <w:tcPr>
            <w:tcW w:w="1164" w:type="dxa"/>
            <w:tcBorders>
              <w:top w:val="nil"/>
              <w:left w:val="nil"/>
              <w:bottom w:val="single" w:sz="4" w:space="0" w:color="auto"/>
              <w:right w:val="single" w:sz="4" w:space="0" w:color="auto"/>
            </w:tcBorders>
            <w:shd w:val="clear" w:color="auto" w:fill="auto"/>
            <w:noWrap/>
          </w:tcPr>
          <w:p w14:paraId="0CC2B7E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2,134</w:t>
            </w:r>
          </w:p>
        </w:tc>
        <w:tc>
          <w:tcPr>
            <w:tcW w:w="992" w:type="dxa"/>
            <w:tcBorders>
              <w:top w:val="nil"/>
              <w:left w:val="nil"/>
              <w:bottom w:val="single" w:sz="4" w:space="0" w:color="auto"/>
              <w:right w:val="single" w:sz="4" w:space="0" w:color="auto"/>
            </w:tcBorders>
            <w:shd w:val="clear" w:color="auto" w:fill="auto"/>
            <w:noWrap/>
          </w:tcPr>
          <w:p w14:paraId="25165B8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2,191 %</w:t>
            </w:r>
          </w:p>
        </w:tc>
        <w:tc>
          <w:tcPr>
            <w:tcW w:w="1134" w:type="dxa"/>
            <w:tcBorders>
              <w:top w:val="single" w:sz="4" w:space="0" w:color="auto"/>
              <w:left w:val="nil"/>
              <w:bottom w:val="single" w:sz="4" w:space="0" w:color="auto"/>
              <w:right w:val="single" w:sz="4" w:space="0" w:color="auto"/>
            </w:tcBorders>
          </w:tcPr>
          <w:p w14:paraId="1582E166" w14:textId="433B102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105 038</w:t>
            </w:r>
          </w:p>
        </w:tc>
        <w:tc>
          <w:tcPr>
            <w:tcW w:w="1370" w:type="dxa"/>
            <w:tcBorders>
              <w:top w:val="nil"/>
              <w:left w:val="single" w:sz="4" w:space="0" w:color="auto"/>
              <w:bottom w:val="single" w:sz="4" w:space="0" w:color="auto"/>
              <w:right w:val="single" w:sz="4" w:space="0" w:color="auto"/>
            </w:tcBorders>
            <w:shd w:val="clear" w:color="auto" w:fill="auto"/>
            <w:noWrap/>
          </w:tcPr>
          <w:p w14:paraId="65C15959" w14:textId="6F84551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104 487</w:t>
            </w:r>
          </w:p>
        </w:tc>
        <w:tc>
          <w:tcPr>
            <w:tcW w:w="1370" w:type="dxa"/>
            <w:tcBorders>
              <w:top w:val="nil"/>
              <w:left w:val="nil"/>
              <w:bottom w:val="single" w:sz="4" w:space="0" w:color="auto"/>
              <w:right w:val="single" w:sz="4" w:space="0" w:color="auto"/>
            </w:tcBorders>
            <w:shd w:val="clear" w:color="auto" w:fill="auto"/>
            <w:noWrap/>
          </w:tcPr>
          <w:p w14:paraId="458DA45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107 287</w:t>
            </w:r>
          </w:p>
        </w:tc>
        <w:tc>
          <w:tcPr>
            <w:tcW w:w="1371" w:type="dxa"/>
            <w:tcBorders>
              <w:top w:val="nil"/>
              <w:left w:val="nil"/>
              <w:bottom w:val="single" w:sz="4" w:space="0" w:color="auto"/>
              <w:right w:val="single" w:sz="4" w:space="0" w:color="auto"/>
            </w:tcBorders>
            <w:shd w:val="clear" w:color="auto" w:fill="auto"/>
            <w:noWrap/>
          </w:tcPr>
          <w:p w14:paraId="65E684D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112 491</w:t>
            </w:r>
          </w:p>
        </w:tc>
      </w:tr>
      <w:tr w:rsidR="00E02DE1" w:rsidRPr="00664FF1" w14:paraId="188FAE8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466F7C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Estado de Libia</w:t>
            </w:r>
          </w:p>
        </w:tc>
        <w:tc>
          <w:tcPr>
            <w:tcW w:w="1164" w:type="dxa"/>
            <w:tcBorders>
              <w:top w:val="nil"/>
              <w:left w:val="nil"/>
              <w:bottom w:val="single" w:sz="4" w:space="0" w:color="auto"/>
              <w:right w:val="single" w:sz="4" w:space="0" w:color="auto"/>
            </w:tcBorders>
            <w:shd w:val="clear" w:color="auto" w:fill="auto"/>
            <w:noWrap/>
          </w:tcPr>
          <w:p w14:paraId="3D3CCB1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0,018</w:t>
            </w:r>
          </w:p>
        </w:tc>
        <w:tc>
          <w:tcPr>
            <w:tcW w:w="992" w:type="dxa"/>
            <w:tcBorders>
              <w:top w:val="nil"/>
              <w:left w:val="nil"/>
              <w:bottom w:val="single" w:sz="4" w:space="0" w:color="auto"/>
              <w:right w:val="single" w:sz="4" w:space="0" w:color="auto"/>
            </w:tcBorders>
            <w:shd w:val="clear" w:color="auto" w:fill="auto"/>
            <w:noWrap/>
          </w:tcPr>
          <w:p w14:paraId="6047E88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0,018 %</w:t>
            </w:r>
          </w:p>
        </w:tc>
        <w:tc>
          <w:tcPr>
            <w:tcW w:w="1134" w:type="dxa"/>
            <w:tcBorders>
              <w:top w:val="single" w:sz="4" w:space="0" w:color="auto"/>
              <w:left w:val="nil"/>
              <w:bottom w:val="single" w:sz="4" w:space="0" w:color="auto"/>
              <w:right w:val="single" w:sz="4" w:space="0" w:color="auto"/>
            </w:tcBorders>
          </w:tcPr>
          <w:p w14:paraId="0195C56C" w14:textId="4BE8AE1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1 468</w:t>
            </w:r>
          </w:p>
        </w:tc>
        <w:tc>
          <w:tcPr>
            <w:tcW w:w="1370" w:type="dxa"/>
            <w:tcBorders>
              <w:top w:val="nil"/>
              <w:left w:val="single" w:sz="4" w:space="0" w:color="auto"/>
              <w:bottom w:val="single" w:sz="4" w:space="0" w:color="auto"/>
              <w:right w:val="single" w:sz="4" w:space="0" w:color="auto"/>
            </w:tcBorders>
            <w:shd w:val="clear" w:color="auto" w:fill="auto"/>
            <w:noWrap/>
          </w:tcPr>
          <w:p w14:paraId="41AF6AB7" w14:textId="15634DF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19DBDC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B8575B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415C118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B27F73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Estonia</w:t>
            </w:r>
          </w:p>
        </w:tc>
        <w:tc>
          <w:tcPr>
            <w:tcW w:w="1164" w:type="dxa"/>
            <w:tcBorders>
              <w:top w:val="nil"/>
              <w:left w:val="nil"/>
              <w:bottom w:val="single" w:sz="4" w:space="0" w:color="auto"/>
              <w:right w:val="single" w:sz="4" w:space="0" w:color="auto"/>
            </w:tcBorders>
            <w:shd w:val="clear" w:color="auto" w:fill="auto"/>
            <w:noWrap/>
          </w:tcPr>
          <w:p w14:paraId="2743E85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0,044</w:t>
            </w:r>
          </w:p>
        </w:tc>
        <w:tc>
          <w:tcPr>
            <w:tcW w:w="992" w:type="dxa"/>
            <w:tcBorders>
              <w:top w:val="nil"/>
              <w:left w:val="nil"/>
              <w:bottom w:val="single" w:sz="4" w:space="0" w:color="auto"/>
              <w:right w:val="single" w:sz="4" w:space="0" w:color="auto"/>
            </w:tcBorders>
            <w:shd w:val="clear" w:color="auto" w:fill="auto"/>
            <w:noWrap/>
          </w:tcPr>
          <w:p w14:paraId="73348ED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0,045 %</w:t>
            </w:r>
          </w:p>
        </w:tc>
        <w:tc>
          <w:tcPr>
            <w:tcW w:w="1134" w:type="dxa"/>
            <w:tcBorders>
              <w:top w:val="single" w:sz="4" w:space="0" w:color="auto"/>
              <w:left w:val="nil"/>
              <w:bottom w:val="single" w:sz="4" w:space="0" w:color="auto"/>
              <w:right w:val="single" w:sz="4" w:space="0" w:color="auto"/>
            </w:tcBorders>
          </w:tcPr>
          <w:p w14:paraId="0B60119A" w14:textId="386BB27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1 909</w:t>
            </w:r>
          </w:p>
        </w:tc>
        <w:tc>
          <w:tcPr>
            <w:tcW w:w="1370" w:type="dxa"/>
            <w:tcBorders>
              <w:top w:val="nil"/>
              <w:left w:val="single" w:sz="4" w:space="0" w:color="auto"/>
              <w:bottom w:val="single" w:sz="4" w:space="0" w:color="auto"/>
              <w:right w:val="single" w:sz="4" w:space="0" w:color="auto"/>
            </w:tcBorders>
            <w:shd w:val="clear" w:color="auto" w:fill="auto"/>
            <w:noWrap/>
          </w:tcPr>
          <w:p w14:paraId="4258D461" w14:textId="04DDEA63"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2 154</w:t>
            </w:r>
          </w:p>
        </w:tc>
        <w:tc>
          <w:tcPr>
            <w:tcW w:w="1370" w:type="dxa"/>
            <w:tcBorders>
              <w:top w:val="nil"/>
              <w:left w:val="nil"/>
              <w:bottom w:val="single" w:sz="4" w:space="0" w:color="auto"/>
              <w:right w:val="single" w:sz="4" w:space="0" w:color="auto"/>
            </w:tcBorders>
            <w:shd w:val="clear" w:color="auto" w:fill="auto"/>
            <w:noWrap/>
          </w:tcPr>
          <w:p w14:paraId="64D853E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2 212</w:t>
            </w:r>
          </w:p>
        </w:tc>
        <w:tc>
          <w:tcPr>
            <w:tcW w:w="1371" w:type="dxa"/>
            <w:tcBorders>
              <w:top w:val="nil"/>
              <w:left w:val="nil"/>
              <w:bottom w:val="single" w:sz="4" w:space="0" w:color="auto"/>
              <w:right w:val="single" w:sz="4" w:space="0" w:color="auto"/>
            </w:tcBorders>
            <w:shd w:val="clear" w:color="auto" w:fill="auto"/>
            <w:noWrap/>
          </w:tcPr>
          <w:p w14:paraId="5A175D0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2 319</w:t>
            </w:r>
          </w:p>
        </w:tc>
      </w:tr>
      <w:tr w:rsidR="00E02DE1" w:rsidRPr="00664FF1" w14:paraId="7558DD42"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4194BA0"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Eswatini</w:t>
            </w:r>
          </w:p>
        </w:tc>
        <w:tc>
          <w:tcPr>
            <w:tcW w:w="1164" w:type="dxa"/>
            <w:tcBorders>
              <w:top w:val="nil"/>
              <w:left w:val="nil"/>
              <w:bottom w:val="single" w:sz="4" w:space="0" w:color="auto"/>
              <w:right w:val="single" w:sz="4" w:space="0" w:color="auto"/>
            </w:tcBorders>
            <w:shd w:val="clear" w:color="auto" w:fill="auto"/>
            <w:noWrap/>
          </w:tcPr>
          <w:p w14:paraId="5976FBF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44ACE71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52866F0D" w14:textId="16A9B68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82ACF60" w14:textId="468D759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D62642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2A9E51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20F93F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6D2D2A7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Federación de Rusia</w:t>
            </w:r>
          </w:p>
        </w:tc>
        <w:tc>
          <w:tcPr>
            <w:tcW w:w="1164" w:type="dxa"/>
            <w:tcBorders>
              <w:top w:val="nil"/>
              <w:left w:val="nil"/>
              <w:bottom w:val="single" w:sz="4" w:space="0" w:color="auto"/>
              <w:right w:val="single" w:sz="4" w:space="0" w:color="auto"/>
            </w:tcBorders>
            <w:shd w:val="clear" w:color="auto" w:fill="auto"/>
            <w:noWrap/>
          </w:tcPr>
          <w:p w14:paraId="78C3941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1,866</w:t>
            </w:r>
          </w:p>
        </w:tc>
        <w:tc>
          <w:tcPr>
            <w:tcW w:w="992" w:type="dxa"/>
            <w:tcBorders>
              <w:top w:val="nil"/>
              <w:left w:val="nil"/>
              <w:bottom w:val="single" w:sz="4" w:space="0" w:color="auto"/>
              <w:right w:val="single" w:sz="4" w:space="0" w:color="auto"/>
            </w:tcBorders>
            <w:shd w:val="clear" w:color="auto" w:fill="auto"/>
            <w:noWrap/>
          </w:tcPr>
          <w:p w14:paraId="0215F7E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1,916 %</w:t>
            </w:r>
          </w:p>
        </w:tc>
        <w:tc>
          <w:tcPr>
            <w:tcW w:w="1134" w:type="dxa"/>
            <w:tcBorders>
              <w:top w:val="single" w:sz="4" w:space="0" w:color="auto"/>
              <w:left w:val="nil"/>
              <w:bottom w:val="single" w:sz="4" w:space="0" w:color="auto"/>
              <w:right w:val="single" w:sz="4" w:space="0" w:color="auto"/>
            </w:tcBorders>
          </w:tcPr>
          <w:p w14:paraId="7D5933D8" w14:textId="07CD11B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117 715</w:t>
            </w:r>
          </w:p>
        </w:tc>
        <w:tc>
          <w:tcPr>
            <w:tcW w:w="1370" w:type="dxa"/>
            <w:tcBorders>
              <w:top w:val="nil"/>
              <w:left w:val="single" w:sz="4" w:space="0" w:color="auto"/>
              <w:bottom w:val="single" w:sz="4" w:space="0" w:color="auto"/>
              <w:right w:val="single" w:sz="4" w:space="0" w:color="auto"/>
            </w:tcBorders>
            <w:shd w:val="clear" w:color="auto" w:fill="auto"/>
            <w:noWrap/>
          </w:tcPr>
          <w:p w14:paraId="1FD3100A" w14:textId="4A2B4A8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91 365</w:t>
            </w:r>
          </w:p>
        </w:tc>
        <w:tc>
          <w:tcPr>
            <w:tcW w:w="1370" w:type="dxa"/>
            <w:tcBorders>
              <w:top w:val="nil"/>
              <w:left w:val="nil"/>
              <w:bottom w:val="single" w:sz="4" w:space="0" w:color="auto"/>
              <w:right w:val="single" w:sz="4" w:space="0" w:color="auto"/>
            </w:tcBorders>
            <w:shd w:val="clear" w:color="auto" w:fill="auto"/>
            <w:noWrap/>
          </w:tcPr>
          <w:p w14:paraId="7F1B03E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93 813</w:t>
            </w:r>
          </w:p>
        </w:tc>
        <w:tc>
          <w:tcPr>
            <w:tcW w:w="1371" w:type="dxa"/>
            <w:tcBorders>
              <w:top w:val="nil"/>
              <w:left w:val="nil"/>
              <w:bottom w:val="single" w:sz="4" w:space="0" w:color="auto"/>
              <w:right w:val="single" w:sz="4" w:space="0" w:color="auto"/>
            </w:tcBorders>
            <w:shd w:val="clear" w:color="auto" w:fill="auto"/>
            <w:noWrap/>
          </w:tcPr>
          <w:p w14:paraId="4A72D06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98 364</w:t>
            </w:r>
          </w:p>
        </w:tc>
      </w:tr>
      <w:tr w:rsidR="00E02DE1" w:rsidRPr="00664FF1" w14:paraId="2B56C18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AABF04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Fiji</w:t>
            </w:r>
          </w:p>
        </w:tc>
        <w:tc>
          <w:tcPr>
            <w:tcW w:w="1164" w:type="dxa"/>
            <w:tcBorders>
              <w:top w:val="nil"/>
              <w:left w:val="nil"/>
              <w:bottom w:val="single" w:sz="4" w:space="0" w:color="auto"/>
              <w:right w:val="single" w:sz="4" w:space="0" w:color="auto"/>
            </w:tcBorders>
            <w:shd w:val="clear" w:color="auto" w:fill="auto"/>
            <w:noWrap/>
          </w:tcPr>
          <w:p w14:paraId="312D983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w:t>
            </w:r>
          </w:p>
        </w:tc>
        <w:tc>
          <w:tcPr>
            <w:tcW w:w="992" w:type="dxa"/>
            <w:tcBorders>
              <w:top w:val="nil"/>
              <w:left w:val="nil"/>
              <w:bottom w:val="single" w:sz="4" w:space="0" w:color="auto"/>
              <w:right w:val="single" w:sz="4" w:space="0" w:color="auto"/>
            </w:tcBorders>
            <w:shd w:val="clear" w:color="auto" w:fill="auto"/>
            <w:noWrap/>
          </w:tcPr>
          <w:p w14:paraId="3D34D69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0,004 %</w:t>
            </w:r>
          </w:p>
        </w:tc>
        <w:tc>
          <w:tcPr>
            <w:tcW w:w="1134" w:type="dxa"/>
            <w:tcBorders>
              <w:top w:val="single" w:sz="4" w:space="0" w:color="auto"/>
              <w:left w:val="nil"/>
              <w:bottom w:val="single" w:sz="4" w:space="0" w:color="auto"/>
              <w:right w:val="single" w:sz="4" w:space="0" w:color="auto"/>
            </w:tcBorders>
          </w:tcPr>
          <w:p w14:paraId="09570875" w14:textId="612D992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F190E36" w14:textId="58E0DD6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F42FFA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856F29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039ED39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A4C022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Filipinas</w:t>
            </w:r>
          </w:p>
        </w:tc>
        <w:tc>
          <w:tcPr>
            <w:tcW w:w="1164" w:type="dxa"/>
            <w:tcBorders>
              <w:top w:val="nil"/>
              <w:left w:val="nil"/>
              <w:bottom w:val="single" w:sz="4" w:space="0" w:color="auto"/>
              <w:right w:val="single" w:sz="4" w:space="0" w:color="auto"/>
            </w:tcBorders>
            <w:shd w:val="clear" w:color="auto" w:fill="auto"/>
            <w:noWrap/>
          </w:tcPr>
          <w:p w14:paraId="10FC954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0,212</w:t>
            </w:r>
          </w:p>
        </w:tc>
        <w:tc>
          <w:tcPr>
            <w:tcW w:w="992" w:type="dxa"/>
            <w:tcBorders>
              <w:top w:val="nil"/>
              <w:left w:val="nil"/>
              <w:bottom w:val="single" w:sz="4" w:space="0" w:color="auto"/>
              <w:right w:val="single" w:sz="4" w:space="0" w:color="auto"/>
            </w:tcBorders>
            <w:shd w:val="clear" w:color="auto" w:fill="auto"/>
            <w:noWrap/>
          </w:tcPr>
          <w:p w14:paraId="44F6795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0,218 %</w:t>
            </w:r>
          </w:p>
        </w:tc>
        <w:tc>
          <w:tcPr>
            <w:tcW w:w="1134" w:type="dxa"/>
            <w:tcBorders>
              <w:top w:val="single" w:sz="4" w:space="0" w:color="auto"/>
              <w:left w:val="nil"/>
              <w:bottom w:val="single" w:sz="4" w:space="0" w:color="auto"/>
              <w:right w:val="single" w:sz="4" w:space="0" w:color="auto"/>
            </w:tcBorders>
          </w:tcPr>
          <w:p w14:paraId="03326312" w14:textId="2D59812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10 034</w:t>
            </w:r>
          </w:p>
        </w:tc>
        <w:tc>
          <w:tcPr>
            <w:tcW w:w="1370" w:type="dxa"/>
            <w:tcBorders>
              <w:top w:val="nil"/>
              <w:left w:val="single" w:sz="4" w:space="0" w:color="auto"/>
              <w:bottom w:val="single" w:sz="4" w:space="0" w:color="auto"/>
              <w:right w:val="single" w:sz="4" w:space="0" w:color="auto"/>
            </w:tcBorders>
            <w:shd w:val="clear" w:color="auto" w:fill="auto"/>
            <w:noWrap/>
          </w:tcPr>
          <w:p w14:paraId="3E9AB8B5" w14:textId="7DC6348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10 380</w:t>
            </w:r>
          </w:p>
        </w:tc>
        <w:tc>
          <w:tcPr>
            <w:tcW w:w="1370" w:type="dxa"/>
            <w:tcBorders>
              <w:top w:val="nil"/>
              <w:left w:val="nil"/>
              <w:bottom w:val="single" w:sz="4" w:space="0" w:color="auto"/>
              <w:right w:val="single" w:sz="4" w:space="0" w:color="auto"/>
            </w:tcBorders>
            <w:shd w:val="clear" w:color="auto" w:fill="auto"/>
            <w:noWrap/>
          </w:tcPr>
          <w:p w14:paraId="50ACBC0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10 658</w:t>
            </w:r>
          </w:p>
        </w:tc>
        <w:tc>
          <w:tcPr>
            <w:tcW w:w="1371" w:type="dxa"/>
            <w:tcBorders>
              <w:top w:val="nil"/>
              <w:left w:val="nil"/>
              <w:bottom w:val="single" w:sz="4" w:space="0" w:color="auto"/>
              <w:right w:val="single" w:sz="4" w:space="0" w:color="auto"/>
            </w:tcBorders>
            <w:shd w:val="clear" w:color="auto" w:fill="auto"/>
            <w:noWrap/>
          </w:tcPr>
          <w:p w14:paraId="0DB5AB2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11 175</w:t>
            </w:r>
          </w:p>
        </w:tc>
      </w:tr>
      <w:tr w:rsidR="00E02DE1" w:rsidRPr="00664FF1" w14:paraId="354120D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F28BD0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Finlandia</w:t>
            </w:r>
          </w:p>
        </w:tc>
        <w:tc>
          <w:tcPr>
            <w:tcW w:w="1164" w:type="dxa"/>
            <w:tcBorders>
              <w:top w:val="nil"/>
              <w:left w:val="nil"/>
              <w:bottom w:val="single" w:sz="4" w:space="0" w:color="auto"/>
              <w:right w:val="single" w:sz="4" w:space="0" w:color="auto"/>
            </w:tcBorders>
            <w:shd w:val="clear" w:color="auto" w:fill="auto"/>
            <w:noWrap/>
          </w:tcPr>
          <w:p w14:paraId="58E84F3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0,417</w:t>
            </w:r>
          </w:p>
        </w:tc>
        <w:tc>
          <w:tcPr>
            <w:tcW w:w="992" w:type="dxa"/>
            <w:tcBorders>
              <w:top w:val="nil"/>
              <w:left w:val="nil"/>
              <w:bottom w:val="single" w:sz="4" w:space="0" w:color="auto"/>
              <w:right w:val="single" w:sz="4" w:space="0" w:color="auto"/>
            </w:tcBorders>
            <w:shd w:val="clear" w:color="auto" w:fill="auto"/>
            <w:noWrap/>
          </w:tcPr>
          <w:p w14:paraId="6334E30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0,428 %</w:t>
            </w:r>
          </w:p>
        </w:tc>
        <w:tc>
          <w:tcPr>
            <w:tcW w:w="1134" w:type="dxa"/>
            <w:tcBorders>
              <w:top w:val="single" w:sz="4" w:space="0" w:color="auto"/>
              <w:left w:val="nil"/>
              <w:bottom w:val="single" w:sz="4" w:space="0" w:color="auto"/>
              <w:right w:val="single" w:sz="4" w:space="0" w:color="auto"/>
            </w:tcBorders>
          </w:tcPr>
          <w:p w14:paraId="4BFA2DEB" w14:textId="5DBC850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20 606</w:t>
            </w:r>
          </w:p>
        </w:tc>
        <w:tc>
          <w:tcPr>
            <w:tcW w:w="1370" w:type="dxa"/>
            <w:tcBorders>
              <w:top w:val="nil"/>
              <w:left w:val="single" w:sz="4" w:space="0" w:color="auto"/>
              <w:bottom w:val="single" w:sz="4" w:space="0" w:color="auto"/>
              <w:right w:val="single" w:sz="4" w:space="0" w:color="auto"/>
            </w:tcBorders>
            <w:shd w:val="clear" w:color="auto" w:fill="auto"/>
            <w:noWrap/>
          </w:tcPr>
          <w:p w14:paraId="7EF74847" w14:textId="551BD6C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20 417</w:t>
            </w:r>
          </w:p>
        </w:tc>
        <w:tc>
          <w:tcPr>
            <w:tcW w:w="1370" w:type="dxa"/>
            <w:tcBorders>
              <w:top w:val="nil"/>
              <w:left w:val="nil"/>
              <w:bottom w:val="single" w:sz="4" w:space="0" w:color="auto"/>
              <w:right w:val="single" w:sz="4" w:space="0" w:color="auto"/>
            </w:tcBorders>
            <w:shd w:val="clear" w:color="auto" w:fill="auto"/>
            <w:noWrap/>
          </w:tcPr>
          <w:p w14:paraId="6F9CD4D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20 965</w:t>
            </w:r>
          </w:p>
        </w:tc>
        <w:tc>
          <w:tcPr>
            <w:tcW w:w="1371" w:type="dxa"/>
            <w:tcBorders>
              <w:top w:val="nil"/>
              <w:left w:val="nil"/>
              <w:bottom w:val="single" w:sz="4" w:space="0" w:color="auto"/>
              <w:right w:val="single" w:sz="4" w:space="0" w:color="auto"/>
            </w:tcBorders>
            <w:shd w:val="clear" w:color="auto" w:fill="auto"/>
            <w:noWrap/>
          </w:tcPr>
          <w:p w14:paraId="6E9DF81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21 982</w:t>
            </w:r>
          </w:p>
        </w:tc>
      </w:tr>
      <w:tr w:rsidR="00E02DE1" w:rsidRPr="00664FF1" w14:paraId="78A2A4BB"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E9629A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Francia</w:t>
            </w:r>
          </w:p>
        </w:tc>
        <w:tc>
          <w:tcPr>
            <w:tcW w:w="1164" w:type="dxa"/>
            <w:tcBorders>
              <w:top w:val="nil"/>
              <w:left w:val="nil"/>
              <w:bottom w:val="single" w:sz="4" w:space="0" w:color="auto"/>
              <w:right w:val="single" w:sz="4" w:space="0" w:color="auto"/>
            </w:tcBorders>
            <w:shd w:val="clear" w:color="auto" w:fill="auto"/>
            <w:noWrap/>
          </w:tcPr>
          <w:p w14:paraId="01C9D3E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4,318</w:t>
            </w:r>
          </w:p>
        </w:tc>
        <w:tc>
          <w:tcPr>
            <w:tcW w:w="992" w:type="dxa"/>
            <w:tcBorders>
              <w:top w:val="nil"/>
              <w:left w:val="nil"/>
              <w:bottom w:val="single" w:sz="4" w:space="0" w:color="auto"/>
              <w:right w:val="single" w:sz="4" w:space="0" w:color="auto"/>
            </w:tcBorders>
            <w:shd w:val="clear" w:color="auto" w:fill="auto"/>
            <w:noWrap/>
          </w:tcPr>
          <w:p w14:paraId="36D3EB2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4,433 %</w:t>
            </w:r>
          </w:p>
        </w:tc>
        <w:tc>
          <w:tcPr>
            <w:tcW w:w="1134" w:type="dxa"/>
            <w:tcBorders>
              <w:top w:val="single" w:sz="4" w:space="0" w:color="auto"/>
              <w:left w:val="nil"/>
              <w:bottom w:val="single" w:sz="4" w:space="0" w:color="auto"/>
              <w:right w:val="single" w:sz="4" w:space="0" w:color="auto"/>
            </w:tcBorders>
          </w:tcPr>
          <w:p w14:paraId="0E32AEB6" w14:textId="2448C29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216 684</w:t>
            </w:r>
          </w:p>
        </w:tc>
        <w:tc>
          <w:tcPr>
            <w:tcW w:w="1370" w:type="dxa"/>
            <w:tcBorders>
              <w:top w:val="nil"/>
              <w:left w:val="single" w:sz="4" w:space="0" w:color="auto"/>
              <w:bottom w:val="single" w:sz="4" w:space="0" w:color="auto"/>
              <w:right w:val="single" w:sz="4" w:space="0" w:color="auto"/>
            </w:tcBorders>
            <w:shd w:val="clear" w:color="auto" w:fill="auto"/>
            <w:noWrap/>
          </w:tcPr>
          <w:p w14:paraId="7AF16959" w14:textId="64140BD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211 421</w:t>
            </w:r>
          </w:p>
        </w:tc>
        <w:tc>
          <w:tcPr>
            <w:tcW w:w="1370" w:type="dxa"/>
            <w:tcBorders>
              <w:top w:val="nil"/>
              <w:left w:val="nil"/>
              <w:bottom w:val="single" w:sz="4" w:space="0" w:color="auto"/>
              <w:right w:val="single" w:sz="4" w:space="0" w:color="auto"/>
            </w:tcBorders>
            <w:shd w:val="clear" w:color="auto" w:fill="auto"/>
            <w:noWrap/>
          </w:tcPr>
          <w:p w14:paraId="1A6369E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217 088</w:t>
            </w:r>
          </w:p>
        </w:tc>
        <w:tc>
          <w:tcPr>
            <w:tcW w:w="1371" w:type="dxa"/>
            <w:tcBorders>
              <w:top w:val="nil"/>
              <w:left w:val="nil"/>
              <w:bottom w:val="single" w:sz="4" w:space="0" w:color="auto"/>
              <w:right w:val="single" w:sz="4" w:space="0" w:color="auto"/>
            </w:tcBorders>
            <w:shd w:val="clear" w:color="auto" w:fill="auto"/>
            <w:noWrap/>
          </w:tcPr>
          <w:p w14:paraId="72E386D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227 618</w:t>
            </w:r>
          </w:p>
        </w:tc>
      </w:tr>
      <w:tr w:rsidR="00E02DE1" w:rsidRPr="00664FF1" w14:paraId="0D3E7C7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2968875"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Gabón</w:t>
            </w:r>
          </w:p>
        </w:tc>
        <w:tc>
          <w:tcPr>
            <w:tcW w:w="1164" w:type="dxa"/>
            <w:tcBorders>
              <w:top w:val="nil"/>
              <w:left w:val="nil"/>
              <w:bottom w:val="single" w:sz="4" w:space="0" w:color="auto"/>
              <w:right w:val="single" w:sz="4" w:space="0" w:color="auto"/>
            </w:tcBorders>
            <w:shd w:val="clear" w:color="auto" w:fill="auto"/>
            <w:noWrap/>
          </w:tcPr>
          <w:p w14:paraId="33FDAC8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0,013</w:t>
            </w:r>
          </w:p>
        </w:tc>
        <w:tc>
          <w:tcPr>
            <w:tcW w:w="992" w:type="dxa"/>
            <w:tcBorders>
              <w:top w:val="nil"/>
              <w:left w:val="nil"/>
              <w:bottom w:val="single" w:sz="4" w:space="0" w:color="auto"/>
              <w:right w:val="single" w:sz="4" w:space="0" w:color="auto"/>
            </w:tcBorders>
            <w:shd w:val="clear" w:color="auto" w:fill="auto"/>
            <w:noWrap/>
          </w:tcPr>
          <w:p w14:paraId="25D0571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0,013 %</w:t>
            </w:r>
          </w:p>
        </w:tc>
        <w:tc>
          <w:tcPr>
            <w:tcW w:w="1134" w:type="dxa"/>
            <w:tcBorders>
              <w:top w:val="single" w:sz="4" w:space="0" w:color="auto"/>
              <w:left w:val="nil"/>
              <w:bottom w:val="single" w:sz="4" w:space="0" w:color="auto"/>
              <w:right w:val="single" w:sz="4" w:space="0" w:color="auto"/>
            </w:tcBorders>
          </w:tcPr>
          <w:p w14:paraId="4B4CBB77" w14:textId="165E4BF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4AAC37C" w14:textId="5FC1573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61A3E9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7E113A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F51562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1387BF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Gambia</w:t>
            </w:r>
          </w:p>
        </w:tc>
        <w:tc>
          <w:tcPr>
            <w:tcW w:w="1164" w:type="dxa"/>
            <w:tcBorders>
              <w:top w:val="nil"/>
              <w:left w:val="nil"/>
              <w:bottom w:val="single" w:sz="4" w:space="0" w:color="auto"/>
              <w:right w:val="single" w:sz="4" w:space="0" w:color="auto"/>
            </w:tcBorders>
            <w:shd w:val="clear" w:color="auto" w:fill="auto"/>
            <w:noWrap/>
          </w:tcPr>
          <w:p w14:paraId="5EF7FA0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6A3F0BA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4F79B352" w14:textId="3A95EBAC"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FAFA35F" w14:textId="5ADA0EA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01B3DD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020422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3DBF83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E625895"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Georgia</w:t>
            </w:r>
          </w:p>
        </w:tc>
        <w:tc>
          <w:tcPr>
            <w:tcW w:w="1164" w:type="dxa"/>
            <w:tcBorders>
              <w:top w:val="nil"/>
              <w:left w:val="nil"/>
              <w:bottom w:val="single" w:sz="4" w:space="0" w:color="auto"/>
              <w:right w:val="single" w:sz="4" w:space="0" w:color="auto"/>
            </w:tcBorders>
            <w:shd w:val="clear" w:color="auto" w:fill="auto"/>
            <w:noWrap/>
          </w:tcPr>
          <w:p w14:paraId="6DECF3C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w:t>
            </w:r>
          </w:p>
        </w:tc>
        <w:tc>
          <w:tcPr>
            <w:tcW w:w="992" w:type="dxa"/>
            <w:tcBorders>
              <w:top w:val="nil"/>
              <w:left w:val="nil"/>
              <w:bottom w:val="single" w:sz="4" w:space="0" w:color="auto"/>
              <w:right w:val="single" w:sz="4" w:space="0" w:color="auto"/>
            </w:tcBorders>
            <w:shd w:val="clear" w:color="auto" w:fill="auto"/>
            <w:noWrap/>
          </w:tcPr>
          <w:p w14:paraId="3650836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0,008 %</w:t>
            </w:r>
          </w:p>
        </w:tc>
        <w:tc>
          <w:tcPr>
            <w:tcW w:w="1134" w:type="dxa"/>
            <w:tcBorders>
              <w:top w:val="single" w:sz="4" w:space="0" w:color="auto"/>
              <w:left w:val="nil"/>
              <w:bottom w:val="single" w:sz="4" w:space="0" w:color="auto"/>
              <w:right w:val="single" w:sz="4" w:space="0" w:color="auto"/>
            </w:tcBorders>
          </w:tcPr>
          <w:p w14:paraId="7B07D5D7" w14:textId="247EF94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9CE51D9" w14:textId="409B173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B26D19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B436CF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BEE69D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8CF537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Ghana</w:t>
            </w:r>
          </w:p>
        </w:tc>
        <w:tc>
          <w:tcPr>
            <w:tcW w:w="1164" w:type="dxa"/>
            <w:tcBorders>
              <w:top w:val="nil"/>
              <w:left w:val="nil"/>
              <w:bottom w:val="single" w:sz="4" w:space="0" w:color="auto"/>
              <w:right w:val="single" w:sz="4" w:space="0" w:color="auto"/>
            </w:tcBorders>
            <w:shd w:val="clear" w:color="auto" w:fill="auto"/>
            <w:noWrap/>
          </w:tcPr>
          <w:p w14:paraId="54C0E5A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0,024</w:t>
            </w:r>
          </w:p>
        </w:tc>
        <w:tc>
          <w:tcPr>
            <w:tcW w:w="992" w:type="dxa"/>
            <w:tcBorders>
              <w:top w:val="nil"/>
              <w:left w:val="nil"/>
              <w:bottom w:val="single" w:sz="4" w:space="0" w:color="auto"/>
              <w:right w:val="single" w:sz="4" w:space="0" w:color="auto"/>
            </w:tcBorders>
            <w:shd w:val="clear" w:color="auto" w:fill="auto"/>
            <w:noWrap/>
          </w:tcPr>
          <w:p w14:paraId="0736013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0,025 %</w:t>
            </w:r>
          </w:p>
        </w:tc>
        <w:tc>
          <w:tcPr>
            <w:tcW w:w="1134" w:type="dxa"/>
            <w:tcBorders>
              <w:top w:val="single" w:sz="4" w:space="0" w:color="auto"/>
              <w:left w:val="nil"/>
              <w:bottom w:val="single" w:sz="4" w:space="0" w:color="auto"/>
              <w:right w:val="single" w:sz="4" w:space="0" w:color="auto"/>
            </w:tcBorders>
          </w:tcPr>
          <w:p w14:paraId="79B3C61B" w14:textId="362D0F4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DD98FDE" w14:textId="55EE255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1 175</w:t>
            </w:r>
          </w:p>
        </w:tc>
        <w:tc>
          <w:tcPr>
            <w:tcW w:w="1370" w:type="dxa"/>
            <w:tcBorders>
              <w:top w:val="nil"/>
              <w:left w:val="nil"/>
              <w:bottom w:val="single" w:sz="4" w:space="0" w:color="auto"/>
              <w:right w:val="single" w:sz="4" w:space="0" w:color="auto"/>
            </w:tcBorders>
            <w:shd w:val="clear" w:color="auto" w:fill="auto"/>
            <w:noWrap/>
          </w:tcPr>
          <w:p w14:paraId="5E711F4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1 207</w:t>
            </w:r>
          </w:p>
        </w:tc>
        <w:tc>
          <w:tcPr>
            <w:tcW w:w="1371" w:type="dxa"/>
            <w:tcBorders>
              <w:top w:val="nil"/>
              <w:left w:val="nil"/>
              <w:bottom w:val="single" w:sz="4" w:space="0" w:color="auto"/>
              <w:right w:val="single" w:sz="4" w:space="0" w:color="auto"/>
            </w:tcBorders>
            <w:shd w:val="clear" w:color="auto" w:fill="auto"/>
            <w:noWrap/>
          </w:tcPr>
          <w:p w14:paraId="34C9A24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1 265</w:t>
            </w:r>
          </w:p>
        </w:tc>
      </w:tr>
      <w:tr w:rsidR="00E02DE1" w:rsidRPr="00664FF1" w14:paraId="5813730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460799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Granada</w:t>
            </w:r>
          </w:p>
        </w:tc>
        <w:tc>
          <w:tcPr>
            <w:tcW w:w="1164" w:type="dxa"/>
            <w:tcBorders>
              <w:top w:val="nil"/>
              <w:left w:val="nil"/>
              <w:bottom w:val="single" w:sz="4" w:space="0" w:color="auto"/>
              <w:right w:val="single" w:sz="4" w:space="0" w:color="auto"/>
            </w:tcBorders>
            <w:shd w:val="clear" w:color="auto" w:fill="auto"/>
            <w:noWrap/>
          </w:tcPr>
          <w:p w14:paraId="742546C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551957F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785E2237" w14:textId="79B0CAE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84FD154" w14:textId="0BC8C69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391E6B5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F09C58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A3AA02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D303B7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Grecia</w:t>
            </w:r>
          </w:p>
        </w:tc>
        <w:tc>
          <w:tcPr>
            <w:tcW w:w="1164" w:type="dxa"/>
            <w:tcBorders>
              <w:top w:val="nil"/>
              <w:left w:val="nil"/>
              <w:bottom w:val="single" w:sz="4" w:space="0" w:color="auto"/>
              <w:right w:val="single" w:sz="4" w:space="0" w:color="auto"/>
            </w:tcBorders>
            <w:shd w:val="clear" w:color="auto" w:fill="auto"/>
            <w:noWrap/>
          </w:tcPr>
          <w:p w14:paraId="3E671ED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0,325</w:t>
            </w:r>
          </w:p>
        </w:tc>
        <w:tc>
          <w:tcPr>
            <w:tcW w:w="992" w:type="dxa"/>
            <w:tcBorders>
              <w:top w:val="nil"/>
              <w:left w:val="nil"/>
              <w:bottom w:val="single" w:sz="4" w:space="0" w:color="auto"/>
              <w:right w:val="single" w:sz="4" w:space="0" w:color="auto"/>
            </w:tcBorders>
            <w:shd w:val="clear" w:color="auto" w:fill="auto"/>
            <w:noWrap/>
          </w:tcPr>
          <w:p w14:paraId="15174F2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0,334 %</w:t>
            </w:r>
          </w:p>
        </w:tc>
        <w:tc>
          <w:tcPr>
            <w:tcW w:w="1134" w:type="dxa"/>
            <w:tcBorders>
              <w:top w:val="single" w:sz="4" w:space="0" w:color="auto"/>
              <w:left w:val="nil"/>
              <w:bottom w:val="single" w:sz="4" w:space="0" w:color="auto"/>
              <w:right w:val="single" w:sz="4" w:space="0" w:color="auto"/>
            </w:tcBorders>
          </w:tcPr>
          <w:p w14:paraId="75D7593E" w14:textId="0E64AFC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17 914</w:t>
            </w:r>
          </w:p>
        </w:tc>
        <w:tc>
          <w:tcPr>
            <w:tcW w:w="1370" w:type="dxa"/>
            <w:tcBorders>
              <w:top w:val="nil"/>
              <w:left w:val="single" w:sz="4" w:space="0" w:color="auto"/>
              <w:bottom w:val="single" w:sz="4" w:space="0" w:color="auto"/>
              <w:right w:val="single" w:sz="4" w:space="0" w:color="auto"/>
            </w:tcBorders>
            <w:shd w:val="clear" w:color="auto" w:fill="auto"/>
            <w:noWrap/>
          </w:tcPr>
          <w:p w14:paraId="3A44BA0D" w14:textId="00180CA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15 913</w:t>
            </w:r>
          </w:p>
        </w:tc>
        <w:tc>
          <w:tcPr>
            <w:tcW w:w="1370" w:type="dxa"/>
            <w:tcBorders>
              <w:top w:val="nil"/>
              <w:left w:val="nil"/>
              <w:bottom w:val="single" w:sz="4" w:space="0" w:color="auto"/>
              <w:right w:val="single" w:sz="4" w:space="0" w:color="auto"/>
            </w:tcBorders>
            <w:shd w:val="clear" w:color="auto" w:fill="auto"/>
            <w:noWrap/>
          </w:tcPr>
          <w:p w14:paraId="79A25C9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16 339</w:t>
            </w:r>
          </w:p>
        </w:tc>
        <w:tc>
          <w:tcPr>
            <w:tcW w:w="1371" w:type="dxa"/>
            <w:tcBorders>
              <w:top w:val="nil"/>
              <w:left w:val="nil"/>
              <w:bottom w:val="single" w:sz="4" w:space="0" w:color="auto"/>
              <w:right w:val="single" w:sz="4" w:space="0" w:color="auto"/>
            </w:tcBorders>
            <w:shd w:val="clear" w:color="auto" w:fill="auto"/>
            <w:noWrap/>
          </w:tcPr>
          <w:p w14:paraId="64C7CF5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17 132</w:t>
            </w:r>
          </w:p>
        </w:tc>
      </w:tr>
      <w:tr w:rsidR="00E02DE1" w:rsidRPr="00664FF1" w14:paraId="03D09BF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61F391C"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Guatemala</w:t>
            </w:r>
          </w:p>
        </w:tc>
        <w:tc>
          <w:tcPr>
            <w:tcW w:w="1164" w:type="dxa"/>
            <w:tcBorders>
              <w:top w:val="nil"/>
              <w:left w:val="nil"/>
              <w:bottom w:val="single" w:sz="4" w:space="0" w:color="auto"/>
              <w:right w:val="single" w:sz="4" w:space="0" w:color="auto"/>
            </w:tcBorders>
            <w:shd w:val="clear" w:color="auto" w:fill="auto"/>
            <w:noWrap/>
          </w:tcPr>
          <w:p w14:paraId="46DEB67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0,041</w:t>
            </w:r>
          </w:p>
        </w:tc>
        <w:tc>
          <w:tcPr>
            <w:tcW w:w="992" w:type="dxa"/>
            <w:tcBorders>
              <w:top w:val="nil"/>
              <w:left w:val="nil"/>
              <w:bottom w:val="single" w:sz="4" w:space="0" w:color="auto"/>
              <w:right w:val="single" w:sz="4" w:space="0" w:color="auto"/>
            </w:tcBorders>
            <w:shd w:val="clear" w:color="auto" w:fill="auto"/>
            <w:noWrap/>
          </w:tcPr>
          <w:p w14:paraId="690A13F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0,042 %</w:t>
            </w:r>
          </w:p>
        </w:tc>
        <w:tc>
          <w:tcPr>
            <w:tcW w:w="1134" w:type="dxa"/>
            <w:tcBorders>
              <w:top w:val="single" w:sz="4" w:space="0" w:color="auto"/>
              <w:left w:val="nil"/>
              <w:bottom w:val="single" w:sz="4" w:space="0" w:color="auto"/>
              <w:right w:val="single" w:sz="4" w:space="0" w:color="auto"/>
            </w:tcBorders>
          </w:tcPr>
          <w:p w14:paraId="294428B3" w14:textId="47B901A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1 762</w:t>
            </w:r>
          </w:p>
        </w:tc>
        <w:tc>
          <w:tcPr>
            <w:tcW w:w="1370" w:type="dxa"/>
            <w:tcBorders>
              <w:top w:val="nil"/>
              <w:left w:val="single" w:sz="4" w:space="0" w:color="auto"/>
              <w:bottom w:val="single" w:sz="4" w:space="0" w:color="auto"/>
              <w:right w:val="single" w:sz="4" w:space="0" w:color="auto"/>
            </w:tcBorders>
            <w:shd w:val="clear" w:color="auto" w:fill="auto"/>
            <w:noWrap/>
          </w:tcPr>
          <w:p w14:paraId="42ADFCA5" w14:textId="35153A40"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2 007</w:t>
            </w:r>
          </w:p>
        </w:tc>
        <w:tc>
          <w:tcPr>
            <w:tcW w:w="1370" w:type="dxa"/>
            <w:tcBorders>
              <w:top w:val="nil"/>
              <w:left w:val="nil"/>
              <w:bottom w:val="single" w:sz="4" w:space="0" w:color="auto"/>
              <w:right w:val="single" w:sz="4" w:space="0" w:color="auto"/>
            </w:tcBorders>
            <w:shd w:val="clear" w:color="auto" w:fill="auto"/>
            <w:noWrap/>
          </w:tcPr>
          <w:p w14:paraId="27C22C1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2 061</w:t>
            </w:r>
          </w:p>
        </w:tc>
        <w:tc>
          <w:tcPr>
            <w:tcW w:w="1371" w:type="dxa"/>
            <w:tcBorders>
              <w:top w:val="nil"/>
              <w:left w:val="nil"/>
              <w:bottom w:val="single" w:sz="4" w:space="0" w:color="auto"/>
              <w:right w:val="single" w:sz="4" w:space="0" w:color="auto"/>
            </w:tcBorders>
            <w:shd w:val="clear" w:color="auto" w:fill="auto"/>
            <w:noWrap/>
          </w:tcPr>
          <w:p w14:paraId="5F21781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2 161</w:t>
            </w:r>
          </w:p>
        </w:tc>
      </w:tr>
      <w:tr w:rsidR="00E02DE1" w:rsidRPr="00664FF1" w14:paraId="5FC7B79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4FCB23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Guinea</w:t>
            </w:r>
          </w:p>
        </w:tc>
        <w:tc>
          <w:tcPr>
            <w:tcW w:w="1164" w:type="dxa"/>
            <w:tcBorders>
              <w:top w:val="nil"/>
              <w:left w:val="nil"/>
              <w:bottom w:val="single" w:sz="4" w:space="0" w:color="auto"/>
              <w:right w:val="single" w:sz="4" w:space="0" w:color="auto"/>
            </w:tcBorders>
            <w:shd w:val="clear" w:color="auto" w:fill="auto"/>
            <w:noWrap/>
          </w:tcPr>
          <w:p w14:paraId="1D4EC7F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w:t>
            </w:r>
          </w:p>
        </w:tc>
        <w:tc>
          <w:tcPr>
            <w:tcW w:w="992" w:type="dxa"/>
            <w:tcBorders>
              <w:top w:val="nil"/>
              <w:left w:val="nil"/>
              <w:bottom w:val="single" w:sz="4" w:space="0" w:color="auto"/>
              <w:right w:val="single" w:sz="4" w:space="0" w:color="auto"/>
            </w:tcBorders>
            <w:shd w:val="clear" w:color="auto" w:fill="auto"/>
            <w:noWrap/>
          </w:tcPr>
          <w:p w14:paraId="725B429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0,003 %</w:t>
            </w:r>
          </w:p>
        </w:tc>
        <w:tc>
          <w:tcPr>
            <w:tcW w:w="1134" w:type="dxa"/>
            <w:tcBorders>
              <w:top w:val="single" w:sz="4" w:space="0" w:color="auto"/>
              <w:left w:val="nil"/>
              <w:bottom w:val="single" w:sz="4" w:space="0" w:color="auto"/>
              <w:right w:val="single" w:sz="4" w:space="0" w:color="auto"/>
            </w:tcBorders>
          </w:tcPr>
          <w:p w14:paraId="67AA4E2E" w14:textId="1F80FD4C"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216D3EE" w14:textId="67710FE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30CD1E1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809116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37BD3B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BDA9B5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Guinea Ecuatorial</w:t>
            </w:r>
          </w:p>
        </w:tc>
        <w:tc>
          <w:tcPr>
            <w:tcW w:w="1164" w:type="dxa"/>
            <w:tcBorders>
              <w:top w:val="nil"/>
              <w:left w:val="nil"/>
              <w:bottom w:val="single" w:sz="4" w:space="0" w:color="auto"/>
              <w:right w:val="single" w:sz="4" w:space="0" w:color="auto"/>
            </w:tcBorders>
            <w:shd w:val="clear" w:color="auto" w:fill="auto"/>
            <w:noWrap/>
          </w:tcPr>
          <w:p w14:paraId="5C85DB4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0,012</w:t>
            </w:r>
          </w:p>
        </w:tc>
        <w:tc>
          <w:tcPr>
            <w:tcW w:w="992" w:type="dxa"/>
            <w:tcBorders>
              <w:top w:val="nil"/>
              <w:left w:val="nil"/>
              <w:bottom w:val="single" w:sz="4" w:space="0" w:color="auto"/>
              <w:right w:val="single" w:sz="4" w:space="0" w:color="auto"/>
            </w:tcBorders>
            <w:shd w:val="clear" w:color="auto" w:fill="auto"/>
            <w:noWrap/>
          </w:tcPr>
          <w:p w14:paraId="163B077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0,012 %</w:t>
            </w:r>
          </w:p>
        </w:tc>
        <w:tc>
          <w:tcPr>
            <w:tcW w:w="1134" w:type="dxa"/>
            <w:tcBorders>
              <w:top w:val="single" w:sz="4" w:space="0" w:color="auto"/>
              <w:left w:val="nil"/>
              <w:bottom w:val="single" w:sz="4" w:space="0" w:color="auto"/>
              <w:right w:val="single" w:sz="4" w:space="0" w:color="auto"/>
            </w:tcBorders>
          </w:tcPr>
          <w:p w14:paraId="322E12A1" w14:textId="328204B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19B438A" w14:textId="6C39B47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C7AEC0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2BCF1B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49E32E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075DA8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Guinea-Bissau</w:t>
            </w:r>
          </w:p>
        </w:tc>
        <w:tc>
          <w:tcPr>
            <w:tcW w:w="1164" w:type="dxa"/>
            <w:tcBorders>
              <w:top w:val="nil"/>
              <w:left w:val="nil"/>
              <w:bottom w:val="single" w:sz="4" w:space="0" w:color="auto"/>
              <w:right w:val="single" w:sz="4" w:space="0" w:color="auto"/>
            </w:tcBorders>
            <w:shd w:val="clear" w:color="auto" w:fill="auto"/>
            <w:noWrap/>
          </w:tcPr>
          <w:p w14:paraId="544CB4E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1DC599B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48E7210C" w14:textId="40FC55A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0A64B4F" w14:textId="03646F1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6A3E30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849486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0B24F3E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4149B9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Honduras</w:t>
            </w:r>
          </w:p>
        </w:tc>
        <w:tc>
          <w:tcPr>
            <w:tcW w:w="1164" w:type="dxa"/>
            <w:tcBorders>
              <w:top w:val="nil"/>
              <w:left w:val="nil"/>
              <w:bottom w:val="single" w:sz="4" w:space="0" w:color="auto"/>
              <w:right w:val="single" w:sz="4" w:space="0" w:color="auto"/>
            </w:tcBorders>
            <w:shd w:val="clear" w:color="auto" w:fill="auto"/>
            <w:noWrap/>
          </w:tcPr>
          <w:p w14:paraId="45A0F1F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0,009</w:t>
            </w:r>
          </w:p>
        </w:tc>
        <w:tc>
          <w:tcPr>
            <w:tcW w:w="992" w:type="dxa"/>
            <w:tcBorders>
              <w:top w:val="nil"/>
              <w:left w:val="nil"/>
              <w:bottom w:val="single" w:sz="4" w:space="0" w:color="auto"/>
              <w:right w:val="single" w:sz="4" w:space="0" w:color="auto"/>
            </w:tcBorders>
            <w:shd w:val="clear" w:color="auto" w:fill="auto"/>
            <w:noWrap/>
          </w:tcPr>
          <w:p w14:paraId="4A6FD7A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0,009 %</w:t>
            </w:r>
          </w:p>
        </w:tc>
        <w:tc>
          <w:tcPr>
            <w:tcW w:w="1134" w:type="dxa"/>
            <w:tcBorders>
              <w:top w:val="single" w:sz="4" w:space="0" w:color="auto"/>
              <w:left w:val="nil"/>
              <w:bottom w:val="single" w:sz="4" w:space="0" w:color="auto"/>
              <w:right w:val="single" w:sz="4" w:space="0" w:color="auto"/>
            </w:tcBorders>
          </w:tcPr>
          <w:p w14:paraId="19992774" w14:textId="2B6E815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FB1786A" w14:textId="5B9D08D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1665445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5FA87A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4C399B2"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3AD023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Hungría</w:t>
            </w:r>
          </w:p>
        </w:tc>
        <w:tc>
          <w:tcPr>
            <w:tcW w:w="1164" w:type="dxa"/>
            <w:tcBorders>
              <w:top w:val="nil"/>
              <w:left w:val="nil"/>
              <w:bottom w:val="single" w:sz="4" w:space="0" w:color="auto"/>
              <w:right w:val="single" w:sz="4" w:space="0" w:color="auto"/>
            </w:tcBorders>
            <w:shd w:val="clear" w:color="auto" w:fill="auto"/>
            <w:noWrap/>
          </w:tcPr>
          <w:p w14:paraId="3F3BAF8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0,228</w:t>
            </w:r>
          </w:p>
        </w:tc>
        <w:tc>
          <w:tcPr>
            <w:tcW w:w="992" w:type="dxa"/>
            <w:tcBorders>
              <w:top w:val="nil"/>
              <w:left w:val="nil"/>
              <w:bottom w:val="single" w:sz="4" w:space="0" w:color="auto"/>
              <w:right w:val="single" w:sz="4" w:space="0" w:color="auto"/>
            </w:tcBorders>
            <w:shd w:val="clear" w:color="auto" w:fill="auto"/>
            <w:noWrap/>
          </w:tcPr>
          <w:p w14:paraId="6FC9D84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0,234 %</w:t>
            </w:r>
          </w:p>
        </w:tc>
        <w:tc>
          <w:tcPr>
            <w:tcW w:w="1134" w:type="dxa"/>
            <w:tcBorders>
              <w:top w:val="single" w:sz="4" w:space="0" w:color="auto"/>
              <w:left w:val="nil"/>
              <w:bottom w:val="single" w:sz="4" w:space="0" w:color="auto"/>
              <w:right w:val="single" w:sz="4" w:space="0" w:color="auto"/>
            </w:tcBorders>
          </w:tcPr>
          <w:p w14:paraId="34CCAA70" w14:textId="4965D89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10 083</w:t>
            </w:r>
          </w:p>
        </w:tc>
        <w:tc>
          <w:tcPr>
            <w:tcW w:w="1370" w:type="dxa"/>
            <w:tcBorders>
              <w:top w:val="nil"/>
              <w:left w:val="single" w:sz="4" w:space="0" w:color="auto"/>
              <w:bottom w:val="single" w:sz="4" w:space="0" w:color="auto"/>
              <w:right w:val="single" w:sz="4" w:space="0" w:color="auto"/>
            </w:tcBorders>
            <w:shd w:val="clear" w:color="auto" w:fill="auto"/>
            <w:noWrap/>
          </w:tcPr>
          <w:p w14:paraId="2D7B473B" w14:textId="09C95D2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11 164</w:t>
            </w:r>
          </w:p>
        </w:tc>
        <w:tc>
          <w:tcPr>
            <w:tcW w:w="1370" w:type="dxa"/>
            <w:tcBorders>
              <w:top w:val="nil"/>
              <w:left w:val="nil"/>
              <w:bottom w:val="single" w:sz="4" w:space="0" w:color="auto"/>
              <w:right w:val="single" w:sz="4" w:space="0" w:color="auto"/>
            </w:tcBorders>
            <w:shd w:val="clear" w:color="auto" w:fill="auto"/>
            <w:noWrap/>
          </w:tcPr>
          <w:p w14:paraId="6D686CA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11 463</w:t>
            </w:r>
          </w:p>
        </w:tc>
        <w:tc>
          <w:tcPr>
            <w:tcW w:w="1371" w:type="dxa"/>
            <w:tcBorders>
              <w:top w:val="nil"/>
              <w:left w:val="nil"/>
              <w:bottom w:val="single" w:sz="4" w:space="0" w:color="auto"/>
              <w:right w:val="single" w:sz="4" w:space="0" w:color="auto"/>
            </w:tcBorders>
            <w:shd w:val="clear" w:color="auto" w:fill="auto"/>
            <w:noWrap/>
          </w:tcPr>
          <w:p w14:paraId="5A1E760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12 019</w:t>
            </w:r>
          </w:p>
        </w:tc>
      </w:tr>
      <w:tr w:rsidR="00E02DE1" w:rsidRPr="00664FF1" w14:paraId="596BC46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EEBFEF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India</w:t>
            </w:r>
          </w:p>
        </w:tc>
        <w:tc>
          <w:tcPr>
            <w:tcW w:w="1164" w:type="dxa"/>
            <w:tcBorders>
              <w:top w:val="nil"/>
              <w:left w:val="nil"/>
              <w:bottom w:val="single" w:sz="4" w:space="0" w:color="auto"/>
              <w:right w:val="single" w:sz="4" w:space="0" w:color="auto"/>
            </w:tcBorders>
            <w:shd w:val="clear" w:color="auto" w:fill="auto"/>
            <w:noWrap/>
          </w:tcPr>
          <w:p w14:paraId="3EA0C6C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1,044</w:t>
            </w:r>
          </w:p>
        </w:tc>
        <w:tc>
          <w:tcPr>
            <w:tcW w:w="992" w:type="dxa"/>
            <w:tcBorders>
              <w:top w:val="nil"/>
              <w:left w:val="nil"/>
              <w:bottom w:val="single" w:sz="4" w:space="0" w:color="auto"/>
              <w:right w:val="single" w:sz="4" w:space="0" w:color="auto"/>
            </w:tcBorders>
            <w:shd w:val="clear" w:color="auto" w:fill="auto"/>
            <w:noWrap/>
          </w:tcPr>
          <w:p w14:paraId="38F7C9E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1,072 %</w:t>
            </w:r>
          </w:p>
        </w:tc>
        <w:tc>
          <w:tcPr>
            <w:tcW w:w="1134" w:type="dxa"/>
            <w:tcBorders>
              <w:top w:val="single" w:sz="4" w:space="0" w:color="auto"/>
              <w:left w:val="nil"/>
              <w:bottom w:val="single" w:sz="4" w:space="0" w:color="auto"/>
              <w:right w:val="single" w:sz="4" w:space="0" w:color="auto"/>
            </w:tcBorders>
          </w:tcPr>
          <w:p w14:paraId="3AEE7136" w14:textId="6333638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40 821</w:t>
            </w:r>
          </w:p>
        </w:tc>
        <w:tc>
          <w:tcPr>
            <w:tcW w:w="1370" w:type="dxa"/>
            <w:tcBorders>
              <w:top w:val="nil"/>
              <w:left w:val="single" w:sz="4" w:space="0" w:color="auto"/>
              <w:bottom w:val="single" w:sz="4" w:space="0" w:color="auto"/>
              <w:right w:val="single" w:sz="4" w:space="0" w:color="auto"/>
            </w:tcBorders>
            <w:shd w:val="clear" w:color="auto" w:fill="auto"/>
            <w:noWrap/>
          </w:tcPr>
          <w:p w14:paraId="15090FBD" w14:textId="162638DF"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51 117</w:t>
            </w:r>
          </w:p>
        </w:tc>
        <w:tc>
          <w:tcPr>
            <w:tcW w:w="1370" w:type="dxa"/>
            <w:tcBorders>
              <w:top w:val="nil"/>
              <w:left w:val="nil"/>
              <w:bottom w:val="single" w:sz="4" w:space="0" w:color="auto"/>
              <w:right w:val="single" w:sz="4" w:space="0" w:color="auto"/>
            </w:tcBorders>
            <w:shd w:val="clear" w:color="auto" w:fill="auto"/>
            <w:noWrap/>
          </w:tcPr>
          <w:p w14:paraId="17AD8C5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52 487</w:t>
            </w:r>
          </w:p>
        </w:tc>
        <w:tc>
          <w:tcPr>
            <w:tcW w:w="1371" w:type="dxa"/>
            <w:tcBorders>
              <w:top w:val="nil"/>
              <w:left w:val="nil"/>
              <w:bottom w:val="single" w:sz="4" w:space="0" w:color="auto"/>
              <w:right w:val="single" w:sz="4" w:space="0" w:color="auto"/>
            </w:tcBorders>
            <w:shd w:val="clear" w:color="auto" w:fill="auto"/>
            <w:noWrap/>
          </w:tcPr>
          <w:p w14:paraId="77ECE44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55 033</w:t>
            </w:r>
          </w:p>
        </w:tc>
      </w:tr>
      <w:tr w:rsidR="00E02DE1" w:rsidRPr="00664FF1" w14:paraId="7862AF1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65AADF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Indonesia</w:t>
            </w:r>
          </w:p>
        </w:tc>
        <w:tc>
          <w:tcPr>
            <w:tcW w:w="1164" w:type="dxa"/>
            <w:tcBorders>
              <w:top w:val="nil"/>
              <w:left w:val="nil"/>
              <w:bottom w:val="single" w:sz="4" w:space="0" w:color="auto"/>
              <w:right w:val="single" w:sz="4" w:space="0" w:color="auto"/>
            </w:tcBorders>
            <w:shd w:val="clear" w:color="auto" w:fill="auto"/>
            <w:noWrap/>
          </w:tcPr>
          <w:p w14:paraId="2FD08A9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0,549</w:t>
            </w:r>
          </w:p>
        </w:tc>
        <w:tc>
          <w:tcPr>
            <w:tcW w:w="992" w:type="dxa"/>
            <w:tcBorders>
              <w:top w:val="nil"/>
              <w:left w:val="nil"/>
              <w:bottom w:val="single" w:sz="4" w:space="0" w:color="auto"/>
              <w:right w:val="single" w:sz="4" w:space="0" w:color="auto"/>
            </w:tcBorders>
            <w:shd w:val="clear" w:color="auto" w:fill="auto"/>
            <w:noWrap/>
          </w:tcPr>
          <w:p w14:paraId="6E617C9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0,564 %</w:t>
            </w:r>
          </w:p>
        </w:tc>
        <w:tc>
          <w:tcPr>
            <w:tcW w:w="1134" w:type="dxa"/>
            <w:tcBorders>
              <w:top w:val="single" w:sz="4" w:space="0" w:color="auto"/>
              <w:left w:val="nil"/>
              <w:bottom w:val="single" w:sz="4" w:space="0" w:color="auto"/>
              <w:right w:val="single" w:sz="4" w:space="0" w:color="auto"/>
            </w:tcBorders>
          </w:tcPr>
          <w:p w14:paraId="2CB32E33" w14:textId="457E659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26 578</w:t>
            </w:r>
          </w:p>
        </w:tc>
        <w:tc>
          <w:tcPr>
            <w:tcW w:w="1370" w:type="dxa"/>
            <w:tcBorders>
              <w:top w:val="nil"/>
              <w:left w:val="single" w:sz="4" w:space="0" w:color="auto"/>
              <w:bottom w:val="single" w:sz="4" w:space="0" w:color="auto"/>
              <w:right w:val="single" w:sz="4" w:space="0" w:color="auto"/>
            </w:tcBorders>
            <w:shd w:val="clear" w:color="auto" w:fill="auto"/>
            <w:noWrap/>
          </w:tcPr>
          <w:p w14:paraId="2CF6E1B0" w14:textId="36862CE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26 881</w:t>
            </w:r>
          </w:p>
        </w:tc>
        <w:tc>
          <w:tcPr>
            <w:tcW w:w="1370" w:type="dxa"/>
            <w:tcBorders>
              <w:top w:val="nil"/>
              <w:left w:val="nil"/>
              <w:bottom w:val="single" w:sz="4" w:space="0" w:color="auto"/>
              <w:right w:val="single" w:sz="4" w:space="0" w:color="auto"/>
            </w:tcBorders>
            <w:shd w:val="clear" w:color="auto" w:fill="auto"/>
            <w:noWrap/>
          </w:tcPr>
          <w:p w14:paraId="163CF59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27 601</w:t>
            </w:r>
          </w:p>
        </w:tc>
        <w:tc>
          <w:tcPr>
            <w:tcW w:w="1371" w:type="dxa"/>
            <w:tcBorders>
              <w:top w:val="nil"/>
              <w:left w:val="nil"/>
              <w:bottom w:val="single" w:sz="4" w:space="0" w:color="auto"/>
              <w:right w:val="single" w:sz="4" w:space="0" w:color="auto"/>
            </w:tcBorders>
            <w:shd w:val="clear" w:color="auto" w:fill="auto"/>
            <w:noWrap/>
          </w:tcPr>
          <w:p w14:paraId="3BA6040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28 940</w:t>
            </w:r>
          </w:p>
        </w:tc>
      </w:tr>
      <w:tr w:rsidR="00E02DE1" w:rsidRPr="00664FF1" w14:paraId="743E23C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CE36FF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Irán (</w:t>
            </w:r>
            <w:r w:rsidRPr="00664FF1">
              <w:rPr>
                <w:rFonts w:asciiTheme="minorHAnsi" w:eastAsia="Times New Roman" w:hAnsiTheme="minorHAnsi" w:cs="Arial"/>
                <w:noProof/>
                <w:color w:val="000000" w:themeColor="text1"/>
                <w:sz w:val="20"/>
                <w:szCs w:val="20"/>
                <w:lang w:val="es-ES" w:eastAsia="en-GB"/>
              </w:rPr>
              <w:t>República Islámica del</w:t>
            </w:r>
            <w:r w:rsidRPr="00664FF1">
              <w:rPr>
                <w:rFonts w:asciiTheme="minorHAnsi" w:hAnsiTheme="minorHAnsi" w:cstheme="minorHAnsi"/>
                <w:noProof/>
                <w:color w:val="000000" w:themeColor="text1"/>
                <w:sz w:val="20"/>
                <w:szCs w:val="20"/>
                <w:lang w:val="es-ES"/>
              </w:rPr>
              <w:t>)</w:t>
            </w:r>
          </w:p>
        </w:tc>
        <w:tc>
          <w:tcPr>
            <w:tcW w:w="1164" w:type="dxa"/>
            <w:tcBorders>
              <w:top w:val="nil"/>
              <w:left w:val="nil"/>
              <w:bottom w:val="single" w:sz="4" w:space="0" w:color="auto"/>
              <w:right w:val="single" w:sz="4" w:space="0" w:color="auto"/>
            </w:tcBorders>
            <w:shd w:val="clear" w:color="auto" w:fill="auto"/>
            <w:noWrap/>
          </w:tcPr>
          <w:p w14:paraId="3C4C92D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0,371</w:t>
            </w:r>
          </w:p>
        </w:tc>
        <w:tc>
          <w:tcPr>
            <w:tcW w:w="992" w:type="dxa"/>
            <w:tcBorders>
              <w:top w:val="nil"/>
              <w:left w:val="nil"/>
              <w:bottom w:val="single" w:sz="4" w:space="0" w:color="auto"/>
              <w:right w:val="single" w:sz="4" w:space="0" w:color="auto"/>
            </w:tcBorders>
            <w:shd w:val="clear" w:color="auto" w:fill="auto"/>
            <w:noWrap/>
          </w:tcPr>
          <w:p w14:paraId="60A9BF5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0,381 %</w:t>
            </w:r>
          </w:p>
        </w:tc>
        <w:tc>
          <w:tcPr>
            <w:tcW w:w="1134" w:type="dxa"/>
            <w:tcBorders>
              <w:top w:val="single" w:sz="4" w:space="0" w:color="auto"/>
              <w:left w:val="nil"/>
              <w:bottom w:val="single" w:sz="4" w:space="0" w:color="auto"/>
              <w:right w:val="single" w:sz="4" w:space="0" w:color="auto"/>
            </w:tcBorders>
          </w:tcPr>
          <w:p w14:paraId="30392812" w14:textId="1D0B73F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19 480</w:t>
            </w:r>
          </w:p>
        </w:tc>
        <w:tc>
          <w:tcPr>
            <w:tcW w:w="1370" w:type="dxa"/>
            <w:tcBorders>
              <w:top w:val="nil"/>
              <w:left w:val="single" w:sz="4" w:space="0" w:color="auto"/>
              <w:bottom w:val="single" w:sz="4" w:space="0" w:color="auto"/>
              <w:right w:val="single" w:sz="4" w:space="0" w:color="auto"/>
            </w:tcBorders>
            <w:shd w:val="clear" w:color="auto" w:fill="auto"/>
            <w:noWrap/>
          </w:tcPr>
          <w:p w14:paraId="6B1E046E" w14:textId="2A7BD13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18 165</w:t>
            </w:r>
          </w:p>
        </w:tc>
        <w:tc>
          <w:tcPr>
            <w:tcW w:w="1370" w:type="dxa"/>
            <w:tcBorders>
              <w:top w:val="nil"/>
              <w:left w:val="nil"/>
              <w:bottom w:val="single" w:sz="4" w:space="0" w:color="auto"/>
              <w:right w:val="single" w:sz="4" w:space="0" w:color="auto"/>
            </w:tcBorders>
            <w:shd w:val="clear" w:color="auto" w:fill="auto"/>
            <w:noWrap/>
          </w:tcPr>
          <w:p w14:paraId="799CE70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18 652</w:t>
            </w:r>
          </w:p>
        </w:tc>
        <w:tc>
          <w:tcPr>
            <w:tcW w:w="1371" w:type="dxa"/>
            <w:tcBorders>
              <w:top w:val="nil"/>
              <w:left w:val="nil"/>
              <w:bottom w:val="single" w:sz="4" w:space="0" w:color="auto"/>
              <w:right w:val="single" w:sz="4" w:space="0" w:color="auto"/>
            </w:tcBorders>
            <w:shd w:val="clear" w:color="auto" w:fill="auto"/>
            <w:noWrap/>
          </w:tcPr>
          <w:p w14:paraId="13579CC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19 557</w:t>
            </w:r>
          </w:p>
        </w:tc>
      </w:tr>
      <w:tr w:rsidR="00E02DE1" w:rsidRPr="00664FF1" w14:paraId="599D905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EEF714C"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Iraq</w:t>
            </w:r>
          </w:p>
        </w:tc>
        <w:tc>
          <w:tcPr>
            <w:tcW w:w="1164" w:type="dxa"/>
            <w:tcBorders>
              <w:top w:val="nil"/>
              <w:left w:val="nil"/>
              <w:bottom w:val="single" w:sz="4" w:space="0" w:color="auto"/>
              <w:right w:val="single" w:sz="4" w:space="0" w:color="auto"/>
            </w:tcBorders>
            <w:shd w:val="clear" w:color="auto" w:fill="auto"/>
            <w:noWrap/>
          </w:tcPr>
          <w:p w14:paraId="12DA289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0,128</w:t>
            </w:r>
          </w:p>
        </w:tc>
        <w:tc>
          <w:tcPr>
            <w:tcW w:w="992" w:type="dxa"/>
            <w:tcBorders>
              <w:top w:val="nil"/>
              <w:left w:val="nil"/>
              <w:bottom w:val="single" w:sz="4" w:space="0" w:color="auto"/>
              <w:right w:val="single" w:sz="4" w:space="0" w:color="auto"/>
            </w:tcBorders>
            <w:shd w:val="clear" w:color="auto" w:fill="auto"/>
            <w:noWrap/>
          </w:tcPr>
          <w:p w14:paraId="5653A9E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0,131 %</w:t>
            </w:r>
          </w:p>
        </w:tc>
        <w:tc>
          <w:tcPr>
            <w:tcW w:w="1134" w:type="dxa"/>
            <w:tcBorders>
              <w:top w:val="single" w:sz="4" w:space="0" w:color="auto"/>
              <w:left w:val="nil"/>
              <w:bottom w:val="single" w:sz="4" w:space="0" w:color="auto"/>
              <w:right w:val="single" w:sz="4" w:space="0" w:color="auto"/>
            </w:tcBorders>
          </w:tcPr>
          <w:p w14:paraId="2539A730" w14:textId="5B6CDA7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6 314</w:t>
            </w:r>
          </w:p>
        </w:tc>
        <w:tc>
          <w:tcPr>
            <w:tcW w:w="1370" w:type="dxa"/>
            <w:tcBorders>
              <w:top w:val="nil"/>
              <w:left w:val="single" w:sz="4" w:space="0" w:color="auto"/>
              <w:bottom w:val="single" w:sz="4" w:space="0" w:color="auto"/>
              <w:right w:val="single" w:sz="4" w:space="0" w:color="auto"/>
            </w:tcBorders>
            <w:shd w:val="clear" w:color="auto" w:fill="auto"/>
            <w:noWrap/>
          </w:tcPr>
          <w:p w14:paraId="62A9F196" w14:textId="350BCA0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6 267</w:t>
            </w:r>
          </w:p>
        </w:tc>
        <w:tc>
          <w:tcPr>
            <w:tcW w:w="1370" w:type="dxa"/>
            <w:tcBorders>
              <w:top w:val="nil"/>
              <w:left w:val="nil"/>
              <w:bottom w:val="single" w:sz="4" w:space="0" w:color="auto"/>
              <w:right w:val="single" w:sz="4" w:space="0" w:color="auto"/>
            </w:tcBorders>
            <w:shd w:val="clear" w:color="auto" w:fill="auto"/>
            <w:noWrap/>
          </w:tcPr>
          <w:p w14:paraId="2CA5EC3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6 435</w:t>
            </w:r>
          </w:p>
        </w:tc>
        <w:tc>
          <w:tcPr>
            <w:tcW w:w="1371" w:type="dxa"/>
            <w:tcBorders>
              <w:top w:val="nil"/>
              <w:left w:val="nil"/>
              <w:bottom w:val="single" w:sz="4" w:space="0" w:color="auto"/>
              <w:right w:val="single" w:sz="4" w:space="0" w:color="auto"/>
            </w:tcBorders>
            <w:shd w:val="clear" w:color="auto" w:fill="auto"/>
            <w:noWrap/>
          </w:tcPr>
          <w:p w14:paraId="746318C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6 747</w:t>
            </w:r>
          </w:p>
        </w:tc>
      </w:tr>
      <w:tr w:rsidR="00806D52" w:rsidRPr="00904F2F" w14:paraId="2C410E21" w14:textId="77777777" w:rsidTr="00433C12">
        <w:trPr>
          <w:trHeight w:val="276"/>
        </w:trPr>
        <w:tc>
          <w:tcPr>
            <w:tcW w:w="9924" w:type="dxa"/>
            <w:gridSpan w:val="7"/>
            <w:tcBorders>
              <w:top w:val="single" w:sz="4" w:space="0" w:color="auto"/>
            </w:tcBorders>
            <w:shd w:val="clear" w:color="auto" w:fill="auto"/>
            <w:noWrap/>
          </w:tcPr>
          <w:p w14:paraId="62E09215" w14:textId="77777777" w:rsidR="00806D52" w:rsidRPr="00814222" w:rsidRDefault="00806D52" w:rsidP="00433C12">
            <w:pPr>
              <w:ind w:left="0"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Con arreglo a la Resolución A/RES/76/238 de las Naciones Unidas; se aplicará la escala revisada de las Naciones Unidas para el trienio cuando esta se haya publicado.</w:t>
            </w:r>
          </w:p>
          <w:p w14:paraId="5C510BDD" w14:textId="77777777" w:rsidR="00806D52" w:rsidRPr="00664FF1" w:rsidRDefault="00806D52" w:rsidP="00433C12">
            <w:pPr>
              <w:ind w:left="0" w:firstLine="0"/>
              <w:rPr>
                <w:rFonts w:asciiTheme="minorHAnsi" w:hAnsiTheme="minorHAnsi" w:cstheme="minorHAnsi"/>
                <w:noProof/>
                <w:color w:val="000000" w:themeColor="text1"/>
                <w:sz w:val="20"/>
                <w:szCs w:val="20"/>
                <w:lang w:val="es-ES"/>
              </w:rPr>
            </w:pPr>
            <w:r w:rsidRPr="00814222">
              <w:rPr>
                <w:rFonts w:asciiTheme="minorHAnsi" w:eastAsia="Times New Roman" w:hAnsiTheme="minorHAnsi" w:cs="Arial"/>
                <w:noProof/>
                <w:color w:val="000000" w:themeColor="text1"/>
                <w:sz w:val="20"/>
                <w:szCs w:val="20"/>
                <w:lang w:val="es-ES" w:eastAsia="en-GB"/>
              </w:rPr>
              <w:t>***Solamente para 2025, mientras que 2023 y 2024 son las mismas que las del escenario B</w:t>
            </w:r>
            <w:r>
              <w:rPr>
                <w:noProof/>
                <w:lang w:val="es-ES"/>
              </w:rPr>
              <w:t>.</w:t>
            </w:r>
          </w:p>
        </w:tc>
      </w:tr>
      <w:tr w:rsidR="00E02DE1" w:rsidRPr="00664FF1" w14:paraId="56DFD7F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CB784F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lastRenderedPageBreak/>
              <w:t>Irlanda</w:t>
            </w:r>
          </w:p>
        </w:tc>
        <w:tc>
          <w:tcPr>
            <w:tcW w:w="1164" w:type="dxa"/>
            <w:tcBorders>
              <w:top w:val="nil"/>
              <w:left w:val="nil"/>
              <w:bottom w:val="single" w:sz="4" w:space="0" w:color="auto"/>
              <w:right w:val="single" w:sz="4" w:space="0" w:color="auto"/>
            </w:tcBorders>
            <w:shd w:val="clear" w:color="auto" w:fill="auto"/>
            <w:noWrap/>
          </w:tcPr>
          <w:p w14:paraId="7774E16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0,439</w:t>
            </w:r>
          </w:p>
        </w:tc>
        <w:tc>
          <w:tcPr>
            <w:tcW w:w="992" w:type="dxa"/>
            <w:tcBorders>
              <w:top w:val="nil"/>
              <w:left w:val="nil"/>
              <w:bottom w:val="single" w:sz="4" w:space="0" w:color="auto"/>
              <w:right w:val="single" w:sz="4" w:space="0" w:color="auto"/>
            </w:tcBorders>
            <w:shd w:val="clear" w:color="auto" w:fill="auto"/>
            <w:noWrap/>
          </w:tcPr>
          <w:p w14:paraId="59F7246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0,451 %</w:t>
            </w:r>
          </w:p>
        </w:tc>
        <w:tc>
          <w:tcPr>
            <w:tcW w:w="1134" w:type="dxa"/>
            <w:tcBorders>
              <w:top w:val="single" w:sz="4" w:space="0" w:color="auto"/>
              <w:left w:val="nil"/>
              <w:bottom w:val="single" w:sz="4" w:space="0" w:color="auto"/>
              <w:right w:val="single" w:sz="4" w:space="0" w:color="auto"/>
            </w:tcBorders>
          </w:tcPr>
          <w:p w14:paraId="4DC75C84" w14:textId="7A0509B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18 159</w:t>
            </w:r>
          </w:p>
        </w:tc>
        <w:tc>
          <w:tcPr>
            <w:tcW w:w="1370" w:type="dxa"/>
            <w:tcBorders>
              <w:top w:val="nil"/>
              <w:left w:val="single" w:sz="4" w:space="0" w:color="auto"/>
              <w:bottom w:val="single" w:sz="4" w:space="0" w:color="auto"/>
              <w:right w:val="single" w:sz="4" w:space="0" w:color="auto"/>
            </w:tcBorders>
            <w:shd w:val="clear" w:color="auto" w:fill="auto"/>
            <w:noWrap/>
          </w:tcPr>
          <w:p w14:paraId="793D2982" w14:textId="1E0F03B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21 495</w:t>
            </w:r>
          </w:p>
        </w:tc>
        <w:tc>
          <w:tcPr>
            <w:tcW w:w="1370" w:type="dxa"/>
            <w:tcBorders>
              <w:top w:val="nil"/>
              <w:left w:val="nil"/>
              <w:bottom w:val="single" w:sz="4" w:space="0" w:color="auto"/>
              <w:right w:val="single" w:sz="4" w:space="0" w:color="auto"/>
            </w:tcBorders>
            <w:shd w:val="clear" w:color="auto" w:fill="auto"/>
            <w:noWrap/>
          </w:tcPr>
          <w:p w14:paraId="3A6E5E1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22 071</w:t>
            </w:r>
          </w:p>
        </w:tc>
        <w:tc>
          <w:tcPr>
            <w:tcW w:w="1371" w:type="dxa"/>
            <w:tcBorders>
              <w:top w:val="nil"/>
              <w:left w:val="nil"/>
              <w:bottom w:val="single" w:sz="4" w:space="0" w:color="auto"/>
              <w:right w:val="single" w:sz="4" w:space="0" w:color="auto"/>
            </w:tcBorders>
            <w:shd w:val="clear" w:color="auto" w:fill="auto"/>
            <w:noWrap/>
          </w:tcPr>
          <w:p w14:paraId="371D11A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23 141</w:t>
            </w:r>
          </w:p>
        </w:tc>
      </w:tr>
      <w:tr w:rsidR="00E02DE1" w:rsidRPr="00664FF1" w14:paraId="2CDC08F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46CD1E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Islandia</w:t>
            </w:r>
          </w:p>
        </w:tc>
        <w:tc>
          <w:tcPr>
            <w:tcW w:w="1164" w:type="dxa"/>
            <w:tcBorders>
              <w:top w:val="nil"/>
              <w:left w:val="nil"/>
              <w:bottom w:val="single" w:sz="4" w:space="0" w:color="auto"/>
              <w:right w:val="single" w:sz="4" w:space="0" w:color="auto"/>
            </w:tcBorders>
            <w:shd w:val="clear" w:color="auto" w:fill="auto"/>
            <w:noWrap/>
          </w:tcPr>
          <w:p w14:paraId="3DBD8D7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0,036</w:t>
            </w:r>
          </w:p>
        </w:tc>
        <w:tc>
          <w:tcPr>
            <w:tcW w:w="992" w:type="dxa"/>
            <w:tcBorders>
              <w:top w:val="nil"/>
              <w:left w:val="nil"/>
              <w:bottom w:val="single" w:sz="4" w:space="0" w:color="auto"/>
              <w:right w:val="single" w:sz="4" w:space="0" w:color="auto"/>
            </w:tcBorders>
            <w:shd w:val="clear" w:color="auto" w:fill="auto"/>
            <w:noWrap/>
          </w:tcPr>
          <w:p w14:paraId="2BE811E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0,037 %</w:t>
            </w:r>
          </w:p>
        </w:tc>
        <w:tc>
          <w:tcPr>
            <w:tcW w:w="1134" w:type="dxa"/>
            <w:tcBorders>
              <w:top w:val="single" w:sz="4" w:space="0" w:color="auto"/>
              <w:left w:val="nil"/>
              <w:bottom w:val="single" w:sz="4" w:space="0" w:color="auto"/>
              <w:right w:val="single" w:sz="4" w:space="0" w:color="auto"/>
            </w:tcBorders>
          </w:tcPr>
          <w:p w14:paraId="354A54CB" w14:textId="2E52F4E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1 370</w:t>
            </w:r>
          </w:p>
        </w:tc>
        <w:tc>
          <w:tcPr>
            <w:tcW w:w="1370" w:type="dxa"/>
            <w:tcBorders>
              <w:top w:val="nil"/>
              <w:left w:val="single" w:sz="4" w:space="0" w:color="auto"/>
              <w:bottom w:val="single" w:sz="4" w:space="0" w:color="auto"/>
              <w:right w:val="single" w:sz="4" w:space="0" w:color="auto"/>
            </w:tcBorders>
            <w:shd w:val="clear" w:color="auto" w:fill="auto"/>
            <w:noWrap/>
          </w:tcPr>
          <w:p w14:paraId="01047DD4" w14:textId="7EAC390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1 763</w:t>
            </w:r>
          </w:p>
        </w:tc>
        <w:tc>
          <w:tcPr>
            <w:tcW w:w="1370" w:type="dxa"/>
            <w:tcBorders>
              <w:top w:val="nil"/>
              <w:left w:val="nil"/>
              <w:bottom w:val="single" w:sz="4" w:space="0" w:color="auto"/>
              <w:right w:val="single" w:sz="4" w:space="0" w:color="auto"/>
            </w:tcBorders>
            <w:shd w:val="clear" w:color="auto" w:fill="auto"/>
            <w:noWrap/>
          </w:tcPr>
          <w:p w14:paraId="245BE17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1 810</w:t>
            </w:r>
          </w:p>
        </w:tc>
        <w:tc>
          <w:tcPr>
            <w:tcW w:w="1371" w:type="dxa"/>
            <w:tcBorders>
              <w:top w:val="nil"/>
              <w:left w:val="nil"/>
              <w:bottom w:val="single" w:sz="4" w:space="0" w:color="auto"/>
              <w:right w:val="single" w:sz="4" w:space="0" w:color="auto"/>
            </w:tcBorders>
            <w:shd w:val="clear" w:color="auto" w:fill="auto"/>
            <w:noWrap/>
          </w:tcPr>
          <w:p w14:paraId="73E6707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1 898</w:t>
            </w:r>
          </w:p>
        </w:tc>
      </w:tr>
      <w:tr w:rsidR="00E02DE1" w:rsidRPr="00664FF1" w14:paraId="26B0602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051EFF0"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Islas Marshall</w:t>
            </w:r>
          </w:p>
        </w:tc>
        <w:tc>
          <w:tcPr>
            <w:tcW w:w="1164" w:type="dxa"/>
            <w:tcBorders>
              <w:top w:val="nil"/>
              <w:left w:val="nil"/>
              <w:bottom w:val="single" w:sz="4" w:space="0" w:color="auto"/>
              <w:right w:val="single" w:sz="4" w:space="0" w:color="auto"/>
            </w:tcBorders>
            <w:shd w:val="clear" w:color="auto" w:fill="auto"/>
            <w:noWrap/>
          </w:tcPr>
          <w:p w14:paraId="326E80B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544D8F2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49D54D06" w14:textId="3F89C43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E78AEDE" w14:textId="4A9B780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36D9583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B1ACA9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4239813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76674D0"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Israel</w:t>
            </w:r>
          </w:p>
        </w:tc>
        <w:tc>
          <w:tcPr>
            <w:tcW w:w="1164" w:type="dxa"/>
            <w:tcBorders>
              <w:top w:val="nil"/>
              <w:left w:val="nil"/>
              <w:bottom w:val="single" w:sz="4" w:space="0" w:color="auto"/>
              <w:right w:val="single" w:sz="4" w:space="0" w:color="auto"/>
            </w:tcBorders>
            <w:shd w:val="clear" w:color="auto" w:fill="auto"/>
            <w:noWrap/>
          </w:tcPr>
          <w:p w14:paraId="109C40E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0,561</w:t>
            </w:r>
          </w:p>
        </w:tc>
        <w:tc>
          <w:tcPr>
            <w:tcW w:w="992" w:type="dxa"/>
            <w:tcBorders>
              <w:top w:val="nil"/>
              <w:left w:val="nil"/>
              <w:bottom w:val="single" w:sz="4" w:space="0" w:color="auto"/>
              <w:right w:val="single" w:sz="4" w:space="0" w:color="auto"/>
            </w:tcBorders>
            <w:shd w:val="clear" w:color="auto" w:fill="auto"/>
            <w:noWrap/>
          </w:tcPr>
          <w:p w14:paraId="5573BD7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0,576 %</w:t>
            </w:r>
          </w:p>
        </w:tc>
        <w:tc>
          <w:tcPr>
            <w:tcW w:w="1134" w:type="dxa"/>
            <w:tcBorders>
              <w:top w:val="single" w:sz="4" w:space="0" w:color="auto"/>
              <w:left w:val="nil"/>
              <w:bottom w:val="single" w:sz="4" w:space="0" w:color="auto"/>
              <w:right w:val="single" w:sz="4" w:space="0" w:color="auto"/>
            </w:tcBorders>
          </w:tcPr>
          <w:p w14:paraId="620F21C2" w14:textId="233A4A34"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23 984</w:t>
            </w:r>
          </w:p>
        </w:tc>
        <w:tc>
          <w:tcPr>
            <w:tcW w:w="1370" w:type="dxa"/>
            <w:tcBorders>
              <w:top w:val="nil"/>
              <w:left w:val="single" w:sz="4" w:space="0" w:color="auto"/>
              <w:bottom w:val="single" w:sz="4" w:space="0" w:color="auto"/>
              <w:right w:val="single" w:sz="4" w:space="0" w:color="auto"/>
            </w:tcBorders>
            <w:shd w:val="clear" w:color="auto" w:fill="auto"/>
            <w:noWrap/>
          </w:tcPr>
          <w:p w14:paraId="5438FB6A" w14:textId="04AD62E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27 468</w:t>
            </w:r>
          </w:p>
        </w:tc>
        <w:tc>
          <w:tcPr>
            <w:tcW w:w="1370" w:type="dxa"/>
            <w:tcBorders>
              <w:top w:val="nil"/>
              <w:left w:val="nil"/>
              <w:bottom w:val="single" w:sz="4" w:space="0" w:color="auto"/>
              <w:right w:val="single" w:sz="4" w:space="0" w:color="auto"/>
            </w:tcBorders>
            <w:shd w:val="clear" w:color="auto" w:fill="auto"/>
            <w:noWrap/>
          </w:tcPr>
          <w:p w14:paraId="2911E24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28 204</w:t>
            </w:r>
          </w:p>
        </w:tc>
        <w:tc>
          <w:tcPr>
            <w:tcW w:w="1371" w:type="dxa"/>
            <w:tcBorders>
              <w:top w:val="nil"/>
              <w:left w:val="nil"/>
              <w:bottom w:val="single" w:sz="4" w:space="0" w:color="auto"/>
              <w:right w:val="single" w:sz="4" w:space="0" w:color="auto"/>
            </w:tcBorders>
            <w:shd w:val="clear" w:color="auto" w:fill="auto"/>
            <w:noWrap/>
          </w:tcPr>
          <w:p w14:paraId="2E22B6A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29 572</w:t>
            </w:r>
          </w:p>
        </w:tc>
      </w:tr>
      <w:tr w:rsidR="00E02DE1" w:rsidRPr="00664FF1" w14:paraId="6EF3BE4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320370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Italia</w:t>
            </w:r>
          </w:p>
        </w:tc>
        <w:tc>
          <w:tcPr>
            <w:tcW w:w="1164" w:type="dxa"/>
            <w:tcBorders>
              <w:top w:val="nil"/>
              <w:left w:val="nil"/>
              <w:bottom w:val="single" w:sz="4" w:space="0" w:color="auto"/>
              <w:right w:val="single" w:sz="4" w:space="0" w:color="auto"/>
            </w:tcBorders>
            <w:shd w:val="clear" w:color="auto" w:fill="auto"/>
            <w:noWrap/>
          </w:tcPr>
          <w:p w14:paraId="75EB41D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3,189</w:t>
            </w:r>
          </w:p>
        </w:tc>
        <w:tc>
          <w:tcPr>
            <w:tcW w:w="992" w:type="dxa"/>
            <w:tcBorders>
              <w:top w:val="nil"/>
              <w:left w:val="nil"/>
              <w:bottom w:val="single" w:sz="4" w:space="0" w:color="auto"/>
              <w:right w:val="single" w:sz="4" w:space="0" w:color="auto"/>
            </w:tcBorders>
            <w:shd w:val="clear" w:color="auto" w:fill="auto"/>
            <w:noWrap/>
          </w:tcPr>
          <w:p w14:paraId="5D4A719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3,274 %</w:t>
            </w:r>
          </w:p>
        </w:tc>
        <w:tc>
          <w:tcPr>
            <w:tcW w:w="1134" w:type="dxa"/>
            <w:tcBorders>
              <w:top w:val="single" w:sz="4" w:space="0" w:color="auto"/>
              <w:left w:val="nil"/>
              <w:bottom w:val="single" w:sz="4" w:space="0" w:color="auto"/>
              <w:right w:val="single" w:sz="4" w:space="0" w:color="auto"/>
            </w:tcBorders>
          </w:tcPr>
          <w:p w14:paraId="7D5CBA48" w14:textId="0E3D71E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161 864</w:t>
            </w:r>
          </w:p>
        </w:tc>
        <w:tc>
          <w:tcPr>
            <w:tcW w:w="1370" w:type="dxa"/>
            <w:tcBorders>
              <w:top w:val="nil"/>
              <w:left w:val="single" w:sz="4" w:space="0" w:color="auto"/>
              <w:bottom w:val="single" w:sz="4" w:space="0" w:color="auto"/>
              <w:right w:val="single" w:sz="4" w:space="0" w:color="auto"/>
            </w:tcBorders>
            <w:shd w:val="clear" w:color="auto" w:fill="auto"/>
            <w:noWrap/>
          </w:tcPr>
          <w:p w14:paraId="0BF53BAD" w14:textId="5A9B146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156 142</w:t>
            </w:r>
          </w:p>
        </w:tc>
        <w:tc>
          <w:tcPr>
            <w:tcW w:w="1370" w:type="dxa"/>
            <w:tcBorders>
              <w:top w:val="nil"/>
              <w:left w:val="nil"/>
              <w:bottom w:val="single" w:sz="4" w:space="0" w:color="auto"/>
              <w:right w:val="single" w:sz="4" w:space="0" w:color="auto"/>
            </w:tcBorders>
            <w:shd w:val="clear" w:color="auto" w:fill="auto"/>
            <w:noWrap/>
          </w:tcPr>
          <w:p w14:paraId="59FF12B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160 327</w:t>
            </w:r>
          </w:p>
        </w:tc>
        <w:tc>
          <w:tcPr>
            <w:tcW w:w="1371" w:type="dxa"/>
            <w:tcBorders>
              <w:top w:val="nil"/>
              <w:left w:val="nil"/>
              <w:bottom w:val="single" w:sz="4" w:space="0" w:color="auto"/>
              <w:right w:val="single" w:sz="4" w:space="0" w:color="auto"/>
            </w:tcBorders>
            <w:shd w:val="clear" w:color="auto" w:fill="auto"/>
            <w:noWrap/>
          </w:tcPr>
          <w:p w14:paraId="297D0F0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168 104</w:t>
            </w:r>
          </w:p>
        </w:tc>
      </w:tr>
      <w:tr w:rsidR="00E02DE1" w:rsidRPr="00664FF1" w14:paraId="4027F65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7D871C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Jamaica</w:t>
            </w:r>
          </w:p>
        </w:tc>
        <w:tc>
          <w:tcPr>
            <w:tcW w:w="1164" w:type="dxa"/>
            <w:tcBorders>
              <w:top w:val="nil"/>
              <w:left w:val="nil"/>
              <w:bottom w:val="single" w:sz="4" w:space="0" w:color="auto"/>
              <w:right w:val="single" w:sz="4" w:space="0" w:color="auto"/>
            </w:tcBorders>
            <w:shd w:val="clear" w:color="auto" w:fill="auto"/>
            <w:noWrap/>
          </w:tcPr>
          <w:p w14:paraId="6590D49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w:t>
            </w:r>
          </w:p>
        </w:tc>
        <w:tc>
          <w:tcPr>
            <w:tcW w:w="992" w:type="dxa"/>
            <w:tcBorders>
              <w:top w:val="nil"/>
              <w:left w:val="nil"/>
              <w:bottom w:val="single" w:sz="4" w:space="0" w:color="auto"/>
              <w:right w:val="single" w:sz="4" w:space="0" w:color="auto"/>
            </w:tcBorders>
            <w:shd w:val="clear" w:color="auto" w:fill="auto"/>
            <w:noWrap/>
          </w:tcPr>
          <w:p w14:paraId="0038E97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0,008 %</w:t>
            </w:r>
          </w:p>
        </w:tc>
        <w:tc>
          <w:tcPr>
            <w:tcW w:w="1134" w:type="dxa"/>
            <w:tcBorders>
              <w:top w:val="single" w:sz="4" w:space="0" w:color="auto"/>
              <w:left w:val="nil"/>
              <w:bottom w:val="single" w:sz="4" w:space="0" w:color="auto"/>
              <w:right w:val="single" w:sz="4" w:space="0" w:color="auto"/>
            </w:tcBorders>
          </w:tcPr>
          <w:p w14:paraId="21572424" w14:textId="6647698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2616C0C" w14:textId="5147C5C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E7ADED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AC3446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E65CA3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82130B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Japón</w:t>
            </w:r>
          </w:p>
        </w:tc>
        <w:tc>
          <w:tcPr>
            <w:tcW w:w="1164" w:type="dxa"/>
            <w:tcBorders>
              <w:top w:val="nil"/>
              <w:left w:val="nil"/>
              <w:bottom w:val="single" w:sz="4" w:space="0" w:color="auto"/>
              <w:right w:val="single" w:sz="4" w:space="0" w:color="auto"/>
            </w:tcBorders>
            <w:shd w:val="clear" w:color="auto" w:fill="auto"/>
            <w:noWrap/>
          </w:tcPr>
          <w:p w14:paraId="0C565AD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8,033</w:t>
            </w:r>
          </w:p>
        </w:tc>
        <w:tc>
          <w:tcPr>
            <w:tcW w:w="992" w:type="dxa"/>
            <w:tcBorders>
              <w:top w:val="nil"/>
              <w:left w:val="nil"/>
              <w:bottom w:val="single" w:sz="4" w:space="0" w:color="auto"/>
              <w:right w:val="single" w:sz="4" w:space="0" w:color="auto"/>
            </w:tcBorders>
            <w:shd w:val="clear" w:color="auto" w:fill="auto"/>
            <w:noWrap/>
          </w:tcPr>
          <w:p w14:paraId="67E7775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8,247 %</w:t>
            </w:r>
          </w:p>
        </w:tc>
        <w:tc>
          <w:tcPr>
            <w:tcW w:w="1134" w:type="dxa"/>
            <w:tcBorders>
              <w:top w:val="single" w:sz="4" w:space="0" w:color="auto"/>
              <w:left w:val="nil"/>
              <w:bottom w:val="single" w:sz="4" w:space="0" w:color="auto"/>
              <w:right w:val="single" w:sz="4" w:space="0" w:color="auto"/>
            </w:tcBorders>
          </w:tcPr>
          <w:p w14:paraId="009A25DF" w14:textId="5CA9671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419 173</w:t>
            </w:r>
          </w:p>
        </w:tc>
        <w:tc>
          <w:tcPr>
            <w:tcW w:w="1370" w:type="dxa"/>
            <w:tcBorders>
              <w:top w:val="nil"/>
              <w:left w:val="single" w:sz="4" w:space="0" w:color="auto"/>
              <w:bottom w:val="single" w:sz="4" w:space="0" w:color="auto"/>
              <w:right w:val="single" w:sz="4" w:space="0" w:color="auto"/>
            </w:tcBorders>
            <w:shd w:val="clear" w:color="auto" w:fill="auto"/>
            <w:noWrap/>
          </w:tcPr>
          <w:p w14:paraId="35DB30C2" w14:textId="1114418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393 318</w:t>
            </w:r>
          </w:p>
        </w:tc>
        <w:tc>
          <w:tcPr>
            <w:tcW w:w="1370" w:type="dxa"/>
            <w:tcBorders>
              <w:top w:val="nil"/>
              <w:left w:val="nil"/>
              <w:bottom w:val="single" w:sz="4" w:space="0" w:color="auto"/>
              <w:right w:val="single" w:sz="4" w:space="0" w:color="auto"/>
            </w:tcBorders>
            <w:shd w:val="clear" w:color="auto" w:fill="auto"/>
            <w:noWrap/>
          </w:tcPr>
          <w:p w14:paraId="34EA53A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403 859</w:t>
            </w:r>
          </w:p>
        </w:tc>
        <w:tc>
          <w:tcPr>
            <w:tcW w:w="1371" w:type="dxa"/>
            <w:tcBorders>
              <w:top w:val="nil"/>
              <w:left w:val="nil"/>
              <w:bottom w:val="single" w:sz="4" w:space="0" w:color="auto"/>
              <w:right w:val="single" w:sz="4" w:space="0" w:color="auto"/>
            </w:tcBorders>
            <w:shd w:val="clear" w:color="auto" w:fill="auto"/>
            <w:noWrap/>
          </w:tcPr>
          <w:p w14:paraId="1C96F01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423 450</w:t>
            </w:r>
          </w:p>
        </w:tc>
      </w:tr>
      <w:tr w:rsidR="00E02DE1" w:rsidRPr="00664FF1" w14:paraId="0C53C37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20C640C"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Jordania</w:t>
            </w:r>
          </w:p>
        </w:tc>
        <w:tc>
          <w:tcPr>
            <w:tcW w:w="1164" w:type="dxa"/>
            <w:tcBorders>
              <w:top w:val="nil"/>
              <w:left w:val="nil"/>
              <w:bottom w:val="single" w:sz="4" w:space="0" w:color="auto"/>
              <w:right w:val="single" w:sz="4" w:space="0" w:color="auto"/>
            </w:tcBorders>
            <w:shd w:val="clear" w:color="auto" w:fill="auto"/>
            <w:noWrap/>
          </w:tcPr>
          <w:p w14:paraId="5066EAC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0,022</w:t>
            </w:r>
          </w:p>
        </w:tc>
        <w:tc>
          <w:tcPr>
            <w:tcW w:w="992" w:type="dxa"/>
            <w:tcBorders>
              <w:top w:val="nil"/>
              <w:left w:val="nil"/>
              <w:bottom w:val="single" w:sz="4" w:space="0" w:color="auto"/>
              <w:right w:val="single" w:sz="4" w:space="0" w:color="auto"/>
            </w:tcBorders>
            <w:shd w:val="clear" w:color="auto" w:fill="auto"/>
            <w:noWrap/>
          </w:tcPr>
          <w:p w14:paraId="174922D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0,023 %</w:t>
            </w:r>
          </w:p>
        </w:tc>
        <w:tc>
          <w:tcPr>
            <w:tcW w:w="1134" w:type="dxa"/>
            <w:tcBorders>
              <w:top w:val="single" w:sz="4" w:space="0" w:color="auto"/>
              <w:left w:val="nil"/>
              <w:bottom w:val="single" w:sz="4" w:space="0" w:color="auto"/>
              <w:right w:val="single" w:sz="4" w:space="0" w:color="auto"/>
            </w:tcBorders>
          </w:tcPr>
          <w:p w14:paraId="35DA5281" w14:textId="69E4DCE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1 028</w:t>
            </w:r>
          </w:p>
        </w:tc>
        <w:tc>
          <w:tcPr>
            <w:tcW w:w="1370" w:type="dxa"/>
            <w:tcBorders>
              <w:top w:val="nil"/>
              <w:left w:val="single" w:sz="4" w:space="0" w:color="auto"/>
              <w:bottom w:val="single" w:sz="4" w:space="0" w:color="auto"/>
              <w:right w:val="single" w:sz="4" w:space="0" w:color="auto"/>
            </w:tcBorders>
            <w:shd w:val="clear" w:color="auto" w:fill="auto"/>
            <w:noWrap/>
          </w:tcPr>
          <w:p w14:paraId="6BCA7070" w14:textId="366BD230"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1 077</w:t>
            </w:r>
          </w:p>
        </w:tc>
        <w:tc>
          <w:tcPr>
            <w:tcW w:w="1370" w:type="dxa"/>
            <w:tcBorders>
              <w:top w:val="nil"/>
              <w:left w:val="nil"/>
              <w:bottom w:val="single" w:sz="4" w:space="0" w:color="auto"/>
              <w:right w:val="single" w:sz="4" w:space="0" w:color="auto"/>
            </w:tcBorders>
            <w:shd w:val="clear" w:color="auto" w:fill="auto"/>
            <w:noWrap/>
          </w:tcPr>
          <w:p w14:paraId="50486CD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1 106</w:t>
            </w:r>
          </w:p>
        </w:tc>
        <w:tc>
          <w:tcPr>
            <w:tcW w:w="1371" w:type="dxa"/>
            <w:tcBorders>
              <w:top w:val="nil"/>
              <w:left w:val="nil"/>
              <w:bottom w:val="single" w:sz="4" w:space="0" w:color="auto"/>
              <w:right w:val="single" w:sz="4" w:space="0" w:color="auto"/>
            </w:tcBorders>
            <w:shd w:val="clear" w:color="auto" w:fill="auto"/>
            <w:noWrap/>
          </w:tcPr>
          <w:p w14:paraId="0583C97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1 160</w:t>
            </w:r>
          </w:p>
        </w:tc>
      </w:tr>
      <w:tr w:rsidR="00E02DE1" w:rsidRPr="00664FF1" w14:paraId="2BFC664E"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47E33F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Kazajstán</w:t>
            </w:r>
          </w:p>
        </w:tc>
        <w:tc>
          <w:tcPr>
            <w:tcW w:w="1164" w:type="dxa"/>
            <w:tcBorders>
              <w:top w:val="nil"/>
              <w:left w:val="nil"/>
              <w:bottom w:val="single" w:sz="4" w:space="0" w:color="auto"/>
              <w:right w:val="single" w:sz="4" w:space="0" w:color="auto"/>
            </w:tcBorders>
            <w:shd w:val="clear" w:color="auto" w:fill="auto"/>
            <w:noWrap/>
          </w:tcPr>
          <w:p w14:paraId="789BBFF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0,133</w:t>
            </w:r>
          </w:p>
        </w:tc>
        <w:tc>
          <w:tcPr>
            <w:tcW w:w="992" w:type="dxa"/>
            <w:tcBorders>
              <w:top w:val="nil"/>
              <w:left w:val="nil"/>
              <w:bottom w:val="single" w:sz="4" w:space="0" w:color="auto"/>
              <w:right w:val="single" w:sz="4" w:space="0" w:color="auto"/>
            </w:tcBorders>
            <w:shd w:val="clear" w:color="auto" w:fill="auto"/>
            <w:noWrap/>
          </w:tcPr>
          <w:p w14:paraId="0A1FC2D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0,137 %</w:t>
            </w:r>
          </w:p>
        </w:tc>
        <w:tc>
          <w:tcPr>
            <w:tcW w:w="1134" w:type="dxa"/>
            <w:tcBorders>
              <w:top w:val="single" w:sz="4" w:space="0" w:color="auto"/>
              <w:left w:val="nil"/>
              <w:bottom w:val="single" w:sz="4" w:space="0" w:color="auto"/>
              <w:right w:val="single" w:sz="4" w:space="0" w:color="auto"/>
            </w:tcBorders>
          </w:tcPr>
          <w:p w14:paraId="61ADD271" w14:textId="0BFAA9C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8 712</w:t>
            </w:r>
          </w:p>
        </w:tc>
        <w:tc>
          <w:tcPr>
            <w:tcW w:w="1370" w:type="dxa"/>
            <w:tcBorders>
              <w:top w:val="nil"/>
              <w:left w:val="single" w:sz="4" w:space="0" w:color="auto"/>
              <w:bottom w:val="single" w:sz="4" w:space="0" w:color="auto"/>
              <w:right w:val="single" w:sz="4" w:space="0" w:color="auto"/>
            </w:tcBorders>
            <w:shd w:val="clear" w:color="auto" w:fill="auto"/>
            <w:noWrap/>
          </w:tcPr>
          <w:p w14:paraId="7F828BCB" w14:textId="69FBE14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6 512</w:t>
            </w:r>
          </w:p>
        </w:tc>
        <w:tc>
          <w:tcPr>
            <w:tcW w:w="1370" w:type="dxa"/>
            <w:tcBorders>
              <w:top w:val="nil"/>
              <w:left w:val="nil"/>
              <w:bottom w:val="single" w:sz="4" w:space="0" w:color="auto"/>
              <w:right w:val="single" w:sz="4" w:space="0" w:color="auto"/>
            </w:tcBorders>
            <w:shd w:val="clear" w:color="auto" w:fill="auto"/>
            <w:noWrap/>
          </w:tcPr>
          <w:p w14:paraId="4E39D4D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6 687</w:t>
            </w:r>
          </w:p>
        </w:tc>
        <w:tc>
          <w:tcPr>
            <w:tcW w:w="1371" w:type="dxa"/>
            <w:tcBorders>
              <w:top w:val="nil"/>
              <w:left w:val="nil"/>
              <w:bottom w:val="single" w:sz="4" w:space="0" w:color="auto"/>
              <w:right w:val="single" w:sz="4" w:space="0" w:color="auto"/>
            </w:tcBorders>
            <w:shd w:val="clear" w:color="auto" w:fill="auto"/>
            <w:noWrap/>
          </w:tcPr>
          <w:p w14:paraId="1BA7441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7 011</w:t>
            </w:r>
          </w:p>
        </w:tc>
      </w:tr>
      <w:tr w:rsidR="00E02DE1" w:rsidRPr="00664FF1" w14:paraId="30DE1A3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CED7C3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Kenya</w:t>
            </w:r>
          </w:p>
        </w:tc>
        <w:tc>
          <w:tcPr>
            <w:tcW w:w="1164" w:type="dxa"/>
            <w:tcBorders>
              <w:top w:val="nil"/>
              <w:left w:val="nil"/>
              <w:bottom w:val="single" w:sz="4" w:space="0" w:color="auto"/>
              <w:right w:val="single" w:sz="4" w:space="0" w:color="auto"/>
            </w:tcBorders>
            <w:shd w:val="clear" w:color="auto" w:fill="auto"/>
            <w:noWrap/>
          </w:tcPr>
          <w:p w14:paraId="0DC3984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0,030</w:t>
            </w:r>
          </w:p>
        </w:tc>
        <w:tc>
          <w:tcPr>
            <w:tcW w:w="992" w:type="dxa"/>
            <w:tcBorders>
              <w:top w:val="nil"/>
              <w:left w:val="nil"/>
              <w:bottom w:val="single" w:sz="4" w:space="0" w:color="auto"/>
              <w:right w:val="single" w:sz="4" w:space="0" w:color="auto"/>
            </w:tcBorders>
            <w:shd w:val="clear" w:color="auto" w:fill="auto"/>
            <w:noWrap/>
          </w:tcPr>
          <w:p w14:paraId="23B4F7F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0,031 %</w:t>
            </w:r>
          </w:p>
        </w:tc>
        <w:tc>
          <w:tcPr>
            <w:tcW w:w="1134" w:type="dxa"/>
            <w:tcBorders>
              <w:top w:val="single" w:sz="4" w:space="0" w:color="auto"/>
              <w:left w:val="nil"/>
              <w:bottom w:val="single" w:sz="4" w:space="0" w:color="auto"/>
              <w:right w:val="single" w:sz="4" w:space="0" w:color="auto"/>
            </w:tcBorders>
          </w:tcPr>
          <w:p w14:paraId="1695EB16" w14:textId="2A505C2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1 175</w:t>
            </w:r>
          </w:p>
        </w:tc>
        <w:tc>
          <w:tcPr>
            <w:tcW w:w="1370" w:type="dxa"/>
            <w:tcBorders>
              <w:top w:val="nil"/>
              <w:left w:val="single" w:sz="4" w:space="0" w:color="auto"/>
              <w:bottom w:val="single" w:sz="4" w:space="0" w:color="auto"/>
              <w:right w:val="single" w:sz="4" w:space="0" w:color="auto"/>
            </w:tcBorders>
            <w:shd w:val="clear" w:color="auto" w:fill="auto"/>
            <w:noWrap/>
          </w:tcPr>
          <w:p w14:paraId="709A80D8" w14:textId="71BEAAD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1 469</w:t>
            </w:r>
          </w:p>
        </w:tc>
        <w:tc>
          <w:tcPr>
            <w:tcW w:w="1370" w:type="dxa"/>
            <w:tcBorders>
              <w:top w:val="nil"/>
              <w:left w:val="nil"/>
              <w:bottom w:val="single" w:sz="4" w:space="0" w:color="auto"/>
              <w:right w:val="single" w:sz="4" w:space="0" w:color="auto"/>
            </w:tcBorders>
            <w:shd w:val="clear" w:color="auto" w:fill="auto"/>
            <w:noWrap/>
          </w:tcPr>
          <w:p w14:paraId="724DD9C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1 508</w:t>
            </w:r>
          </w:p>
        </w:tc>
        <w:tc>
          <w:tcPr>
            <w:tcW w:w="1371" w:type="dxa"/>
            <w:tcBorders>
              <w:top w:val="nil"/>
              <w:left w:val="nil"/>
              <w:bottom w:val="single" w:sz="4" w:space="0" w:color="auto"/>
              <w:right w:val="single" w:sz="4" w:space="0" w:color="auto"/>
            </w:tcBorders>
            <w:shd w:val="clear" w:color="auto" w:fill="auto"/>
            <w:noWrap/>
          </w:tcPr>
          <w:p w14:paraId="2FA966B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1 581</w:t>
            </w:r>
          </w:p>
        </w:tc>
      </w:tr>
      <w:tr w:rsidR="00E02DE1" w:rsidRPr="00664FF1" w14:paraId="53C95AC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39F60B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Kirguistán</w:t>
            </w:r>
          </w:p>
        </w:tc>
        <w:tc>
          <w:tcPr>
            <w:tcW w:w="1164" w:type="dxa"/>
            <w:tcBorders>
              <w:top w:val="nil"/>
              <w:left w:val="nil"/>
              <w:bottom w:val="single" w:sz="4" w:space="0" w:color="auto"/>
              <w:right w:val="single" w:sz="4" w:space="0" w:color="auto"/>
            </w:tcBorders>
            <w:shd w:val="clear" w:color="auto" w:fill="auto"/>
            <w:noWrap/>
          </w:tcPr>
          <w:p w14:paraId="244EAFB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79B8BC4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1039250B" w14:textId="67EB759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1,000</w:t>
            </w:r>
          </w:p>
        </w:tc>
        <w:tc>
          <w:tcPr>
            <w:tcW w:w="1370" w:type="dxa"/>
            <w:tcBorders>
              <w:top w:val="nil"/>
              <w:left w:val="single" w:sz="4" w:space="0" w:color="auto"/>
              <w:bottom w:val="single" w:sz="4" w:space="0" w:color="auto"/>
              <w:right w:val="single" w:sz="4" w:space="0" w:color="auto"/>
            </w:tcBorders>
            <w:shd w:val="clear" w:color="auto" w:fill="auto"/>
            <w:noWrap/>
          </w:tcPr>
          <w:p w14:paraId="3F1BC8BC" w14:textId="416669A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7F09F2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516604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9C81CF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EAC41A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Kiribati</w:t>
            </w:r>
          </w:p>
        </w:tc>
        <w:tc>
          <w:tcPr>
            <w:tcW w:w="1164" w:type="dxa"/>
            <w:tcBorders>
              <w:top w:val="nil"/>
              <w:left w:val="nil"/>
              <w:bottom w:val="single" w:sz="4" w:space="0" w:color="auto"/>
              <w:right w:val="single" w:sz="4" w:space="0" w:color="auto"/>
            </w:tcBorders>
            <w:shd w:val="clear" w:color="auto" w:fill="auto"/>
            <w:noWrap/>
          </w:tcPr>
          <w:p w14:paraId="615FC12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3182614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19B74A40" w14:textId="4F0A271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1DA54F4" w14:textId="5DDD39C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FF9FA0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3F9628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D3A7D6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D0B78CE"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Kuwait</w:t>
            </w:r>
          </w:p>
        </w:tc>
        <w:tc>
          <w:tcPr>
            <w:tcW w:w="1164" w:type="dxa"/>
            <w:tcBorders>
              <w:top w:val="nil"/>
              <w:left w:val="nil"/>
              <w:bottom w:val="single" w:sz="4" w:space="0" w:color="auto"/>
              <w:right w:val="single" w:sz="4" w:space="0" w:color="auto"/>
            </w:tcBorders>
            <w:shd w:val="clear" w:color="auto" w:fill="auto"/>
            <w:noWrap/>
          </w:tcPr>
          <w:p w14:paraId="6C26719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0,234</w:t>
            </w:r>
          </w:p>
        </w:tc>
        <w:tc>
          <w:tcPr>
            <w:tcW w:w="992" w:type="dxa"/>
            <w:tcBorders>
              <w:top w:val="nil"/>
              <w:left w:val="nil"/>
              <w:bottom w:val="single" w:sz="4" w:space="0" w:color="auto"/>
              <w:right w:val="single" w:sz="4" w:space="0" w:color="auto"/>
            </w:tcBorders>
            <w:shd w:val="clear" w:color="auto" w:fill="auto"/>
            <w:noWrap/>
          </w:tcPr>
          <w:p w14:paraId="19DFB5E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0,240 %</w:t>
            </w:r>
          </w:p>
        </w:tc>
        <w:tc>
          <w:tcPr>
            <w:tcW w:w="1134" w:type="dxa"/>
            <w:tcBorders>
              <w:top w:val="single" w:sz="4" w:space="0" w:color="auto"/>
              <w:left w:val="nil"/>
              <w:bottom w:val="single" w:sz="4" w:space="0" w:color="auto"/>
              <w:right w:val="single" w:sz="4" w:space="0" w:color="auto"/>
            </w:tcBorders>
          </w:tcPr>
          <w:p w14:paraId="7CE2098B" w14:textId="538BBC3C"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12 334</w:t>
            </w:r>
          </w:p>
        </w:tc>
        <w:tc>
          <w:tcPr>
            <w:tcW w:w="1370" w:type="dxa"/>
            <w:tcBorders>
              <w:top w:val="nil"/>
              <w:left w:val="single" w:sz="4" w:space="0" w:color="auto"/>
              <w:bottom w:val="single" w:sz="4" w:space="0" w:color="auto"/>
              <w:right w:val="single" w:sz="4" w:space="0" w:color="auto"/>
            </w:tcBorders>
            <w:shd w:val="clear" w:color="auto" w:fill="auto"/>
            <w:noWrap/>
          </w:tcPr>
          <w:p w14:paraId="3651F386" w14:textId="5A4BD94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11 457</w:t>
            </w:r>
          </w:p>
        </w:tc>
        <w:tc>
          <w:tcPr>
            <w:tcW w:w="1370" w:type="dxa"/>
            <w:tcBorders>
              <w:top w:val="nil"/>
              <w:left w:val="nil"/>
              <w:bottom w:val="single" w:sz="4" w:space="0" w:color="auto"/>
              <w:right w:val="single" w:sz="4" w:space="0" w:color="auto"/>
            </w:tcBorders>
            <w:shd w:val="clear" w:color="auto" w:fill="auto"/>
            <w:noWrap/>
          </w:tcPr>
          <w:p w14:paraId="00F833A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11 764</w:t>
            </w:r>
          </w:p>
        </w:tc>
        <w:tc>
          <w:tcPr>
            <w:tcW w:w="1371" w:type="dxa"/>
            <w:tcBorders>
              <w:top w:val="nil"/>
              <w:left w:val="nil"/>
              <w:bottom w:val="single" w:sz="4" w:space="0" w:color="auto"/>
              <w:right w:val="single" w:sz="4" w:space="0" w:color="auto"/>
            </w:tcBorders>
            <w:shd w:val="clear" w:color="auto" w:fill="auto"/>
            <w:noWrap/>
          </w:tcPr>
          <w:p w14:paraId="4CE2243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12 335</w:t>
            </w:r>
          </w:p>
        </w:tc>
      </w:tr>
      <w:tr w:rsidR="00E02DE1" w:rsidRPr="00664FF1" w14:paraId="2860D59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7E970B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Lesotho</w:t>
            </w:r>
          </w:p>
        </w:tc>
        <w:tc>
          <w:tcPr>
            <w:tcW w:w="1164" w:type="dxa"/>
            <w:tcBorders>
              <w:top w:val="nil"/>
              <w:left w:val="nil"/>
              <w:bottom w:val="single" w:sz="4" w:space="0" w:color="auto"/>
              <w:right w:val="single" w:sz="4" w:space="0" w:color="auto"/>
            </w:tcBorders>
            <w:shd w:val="clear" w:color="auto" w:fill="auto"/>
            <w:noWrap/>
          </w:tcPr>
          <w:p w14:paraId="119530D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237E4E5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22FBE346" w14:textId="32C119D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F912578" w14:textId="1F0584A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3E5744B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34F3C4F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0A964C8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5EF8C2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Letonia</w:t>
            </w:r>
          </w:p>
        </w:tc>
        <w:tc>
          <w:tcPr>
            <w:tcW w:w="1164" w:type="dxa"/>
            <w:tcBorders>
              <w:top w:val="nil"/>
              <w:left w:val="nil"/>
              <w:bottom w:val="single" w:sz="4" w:space="0" w:color="auto"/>
              <w:right w:val="single" w:sz="4" w:space="0" w:color="auto"/>
            </w:tcBorders>
            <w:shd w:val="clear" w:color="auto" w:fill="auto"/>
            <w:noWrap/>
          </w:tcPr>
          <w:p w14:paraId="71E07CC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0,050</w:t>
            </w:r>
          </w:p>
        </w:tc>
        <w:tc>
          <w:tcPr>
            <w:tcW w:w="992" w:type="dxa"/>
            <w:tcBorders>
              <w:top w:val="nil"/>
              <w:left w:val="nil"/>
              <w:bottom w:val="single" w:sz="4" w:space="0" w:color="auto"/>
              <w:right w:val="single" w:sz="4" w:space="0" w:color="auto"/>
            </w:tcBorders>
            <w:shd w:val="clear" w:color="auto" w:fill="auto"/>
            <w:noWrap/>
          </w:tcPr>
          <w:p w14:paraId="4C1F922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0,051 %</w:t>
            </w:r>
          </w:p>
        </w:tc>
        <w:tc>
          <w:tcPr>
            <w:tcW w:w="1134" w:type="dxa"/>
            <w:tcBorders>
              <w:top w:val="single" w:sz="4" w:space="0" w:color="auto"/>
              <w:left w:val="nil"/>
              <w:bottom w:val="single" w:sz="4" w:space="0" w:color="auto"/>
              <w:right w:val="single" w:sz="4" w:space="0" w:color="auto"/>
            </w:tcBorders>
          </w:tcPr>
          <w:p w14:paraId="31D88145" w14:textId="350866D4"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2 300</w:t>
            </w:r>
          </w:p>
        </w:tc>
        <w:tc>
          <w:tcPr>
            <w:tcW w:w="1370" w:type="dxa"/>
            <w:tcBorders>
              <w:top w:val="nil"/>
              <w:left w:val="single" w:sz="4" w:space="0" w:color="auto"/>
              <w:bottom w:val="single" w:sz="4" w:space="0" w:color="auto"/>
              <w:right w:val="single" w:sz="4" w:space="0" w:color="auto"/>
            </w:tcBorders>
            <w:shd w:val="clear" w:color="auto" w:fill="auto"/>
            <w:noWrap/>
          </w:tcPr>
          <w:p w14:paraId="72366397" w14:textId="20F9FFA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2 448</w:t>
            </w:r>
          </w:p>
        </w:tc>
        <w:tc>
          <w:tcPr>
            <w:tcW w:w="1370" w:type="dxa"/>
            <w:tcBorders>
              <w:top w:val="nil"/>
              <w:left w:val="nil"/>
              <w:bottom w:val="single" w:sz="4" w:space="0" w:color="auto"/>
              <w:right w:val="single" w:sz="4" w:space="0" w:color="auto"/>
            </w:tcBorders>
            <w:shd w:val="clear" w:color="auto" w:fill="auto"/>
            <w:noWrap/>
          </w:tcPr>
          <w:p w14:paraId="2B97830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2 514</w:t>
            </w:r>
          </w:p>
        </w:tc>
        <w:tc>
          <w:tcPr>
            <w:tcW w:w="1371" w:type="dxa"/>
            <w:tcBorders>
              <w:top w:val="nil"/>
              <w:left w:val="nil"/>
              <w:bottom w:val="single" w:sz="4" w:space="0" w:color="auto"/>
              <w:right w:val="single" w:sz="4" w:space="0" w:color="auto"/>
            </w:tcBorders>
            <w:shd w:val="clear" w:color="auto" w:fill="auto"/>
            <w:noWrap/>
          </w:tcPr>
          <w:p w14:paraId="6E898D9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2 636</w:t>
            </w:r>
          </w:p>
        </w:tc>
      </w:tr>
      <w:tr w:rsidR="00E02DE1" w:rsidRPr="00664FF1" w14:paraId="298E1FA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302A74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Líbano</w:t>
            </w:r>
          </w:p>
        </w:tc>
        <w:tc>
          <w:tcPr>
            <w:tcW w:w="1164" w:type="dxa"/>
            <w:tcBorders>
              <w:top w:val="nil"/>
              <w:left w:val="nil"/>
              <w:bottom w:val="single" w:sz="4" w:space="0" w:color="auto"/>
              <w:right w:val="single" w:sz="4" w:space="0" w:color="auto"/>
            </w:tcBorders>
            <w:shd w:val="clear" w:color="auto" w:fill="auto"/>
            <w:noWrap/>
          </w:tcPr>
          <w:p w14:paraId="57D8B05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0,036</w:t>
            </w:r>
          </w:p>
        </w:tc>
        <w:tc>
          <w:tcPr>
            <w:tcW w:w="992" w:type="dxa"/>
            <w:tcBorders>
              <w:top w:val="nil"/>
              <w:left w:val="nil"/>
              <w:bottom w:val="single" w:sz="4" w:space="0" w:color="auto"/>
              <w:right w:val="single" w:sz="4" w:space="0" w:color="auto"/>
            </w:tcBorders>
            <w:shd w:val="clear" w:color="auto" w:fill="auto"/>
            <w:noWrap/>
          </w:tcPr>
          <w:p w14:paraId="2EF1565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0,037 %</w:t>
            </w:r>
          </w:p>
        </w:tc>
        <w:tc>
          <w:tcPr>
            <w:tcW w:w="1134" w:type="dxa"/>
            <w:tcBorders>
              <w:top w:val="single" w:sz="4" w:space="0" w:color="auto"/>
              <w:left w:val="nil"/>
              <w:bottom w:val="single" w:sz="4" w:space="0" w:color="auto"/>
              <w:right w:val="single" w:sz="4" w:space="0" w:color="auto"/>
            </w:tcBorders>
          </w:tcPr>
          <w:p w14:paraId="1B1084D0" w14:textId="1E5DAF2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2 300</w:t>
            </w:r>
          </w:p>
        </w:tc>
        <w:tc>
          <w:tcPr>
            <w:tcW w:w="1370" w:type="dxa"/>
            <w:tcBorders>
              <w:top w:val="nil"/>
              <w:left w:val="single" w:sz="4" w:space="0" w:color="auto"/>
              <w:bottom w:val="single" w:sz="4" w:space="0" w:color="auto"/>
              <w:right w:val="single" w:sz="4" w:space="0" w:color="auto"/>
            </w:tcBorders>
            <w:shd w:val="clear" w:color="auto" w:fill="auto"/>
            <w:noWrap/>
          </w:tcPr>
          <w:p w14:paraId="7B89260F" w14:textId="6C25650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1 763</w:t>
            </w:r>
          </w:p>
        </w:tc>
        <w:tc>
          <w:tcPr>
            <w:tcW w:w="1370" w:type="dxa"/>
            <w:tcBorders>
              <w:top w:val="nil"/>
              <w:left w:val="nil"/>
              <w:bottom w:val="single" w:sz="4" w:space="0" w:color="auto"/>
              <w:right w:val="single" w:sz="4" w:space="0" w:color="auto"/>
            </w:tcBorders>
            <w:shd w:val="clear" w:color="auto" w:fill="auto"/>
            <w:noWrap/>
          </w:tcPr>
          <w:p w14:paraId="5785F5F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1 810</w:t>
            </w:r>
          </w:p>
        </w:tc>
        <w:tc>
          <w:tcPr>
            <w:tcW w:w="1371" w:type="dxa"/>
            <w:tcBorders>
              <w:top w:val="nil"/>
              <w:left w:val="nil"/>
              <w:bottom w:val="single" w:sz="4" w:space="0" w:color="auto"/>
              <w:right w:val="single" w:sz="4" w:space="0" w:color="auto"/>
            </w:tcBorders>
            <w:shd w:val="clear" w:color="auto" w:fill="auto"/>
            <w:noWrap/>
          </w:tcPr>
          <w:p w14:paraId="493A3A4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1 898</w:t>
            </w:r>
          </w:p>
        </w:tc>
      </w:tr>
      <w:tr w:rsidR="00E02DE1" w:rsidRPr="00664FF1" w14:paraId="6D2836F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C61218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Liberia</w:t>
            </w:r>
          </w:p>
        </w:tc>
        <w:tc>
          <w:tcPr>
            <w:tcW w:w="1164" w:type="dxa"/>
            <w:tcBorders>
              <w:top w:val="nil"/>
              <w:left w:val="nil"/>
              <w:bottom w:val="single" w:sz="4" w:space="0" w:color="auto"/>
              <w:right w:val="single" w:sz="4" w:space="0" w:color="auto"/>
            </w:tcBorders>
            <w:shd w:val="clear" w:color="auto" w:fill="auto"/>
            <w:noWrap/>
          </w:tcPr>
          <w:p w14:paraId="4551474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5A27A6C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6B55CEDD" w14:textId="0B163B3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E3657DE" w14:textId="6DE6536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5D5BA3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335680C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614A61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AD2B8E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Liechtenstein</w:t>
            </w:r>
          </w:p>
        </w:tc>
        <w:tc>
          <w:tcPr>
            <w:tcW w:w="1164" w:type="dxa"/>
            <w:tcBorders>
              <w:top w:val="nil"/>
              <w:left w:val="nil"/>
              <w:bottom w:val="single" w:sz="4" w:space="0" w:color="auto"/>
              <w:right w:val="single" w:sz="4" w:space="0" w:color="auto"/>
            </w:tcBorders>
            <w:shd w:val="clear" w:color="auto" w:fill="auto"/>
            <w:noWrap/>
          </w:tcPr>
          <w:p w14:paraId="410BDE2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7F56DB3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1FE109C0" w14:textId="6EEAC66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22453F3" w14:textId="5D8CED4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6B5671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83FF68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077D0AE"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135764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Lituania</w:t>
            </w:r>
          </w:p>
        </w:tc>
        <w:tc>
          <w:tcPr>
            <w:tcW w:w="1164" w:type="dxa"/>
            <w:tcBorders>
              <w:top w:val="nil"/>
              <w:left w:val="nil"/>
              <w:bottom w:val="single" w:sz="4" w:space="0" w:color="auto"/>
              <w:right w:val="single" w:sz="4" w:space="0" w:color="auto"/>
            </w:tcBorders>
            <w:shd w:val="clear" w:color="auto" w:fill="auto"/>
            <w:noWrap/>
          </w:tcPr>
          <w:p w14:paraId="2B06A60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0,077</w:t>
            </w:r>
          </w:p>
        </w:tc>
        <w:tc>
          <w:tcPr>
            <w:tcW w:w="992" w:type="dxa"/>
            <w:tcBorders>
              <w:top w:val="nil"/>
              <w:left w:val="nil"/>
              <w:bottom w:val="single" w:sz="4" w:space="0" w:color="auto"/>
              <w:right w:val="single" w:sz="4" w:space="0" w:color="auto"/>
            </w:tcBorders>
            <w:shd w:val="clear" w:color="auto" w:fill="auto"/>
            <w:noWrap/>
          </w:tcPr>
          <w:p w14:paraId="391B611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0,079 %</w:t>
            </w:r>
          </w:p>
        </w:tc>
        <w:tc>
          <w:tcPr>
            <w:tcW w:w="1134" w:type="dxa"/>
            <w:tcBorders>
              <w:top w:val="single" w:sz="4" w:space="0" w:color="auto"/>
              <w:left w:val="nil"/>
              <w:bottom w:val="single" w:sz="4" w:space="0" w:color="auto"/>
              <w:right w:val="single" w:sz="4" w:space="0" w:color="auto"/>
            </w:tcBorders>
          </w:tcPr>
          <w:p w14:paraId="05239538" w14:textId="3FCB6A2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3 475</w:t>
            </w:r>
          </w:p>
        </w:tc>
        <w:tc>
          <w:tcPr>
            <w:tcW w:w="1370" w:type="dxa"/>
            <w:tcBorders>
              <w:top w:val="nil"/>
              <w:left w:val="single" w:sz="4" w:space="0" w:color="auto"/>
              <w:bottom w:val="single" w:sz="4" w:space="0" w:color="auto"/>
              <w:right w:val="single" w:sz="4" w:space="0" w:color="auto"/>
            </w:tcBorders>
            <w:shd w:val="clear" w:color="auto" w:fill="auto"/>
            <w:noWrap/>
          </w:tcPr>
          <w:p w14:paraId="6A6851F8" w14:textId="22A9124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3 770</w:t>
            </w:r>
          </w:p>
        </w:tc>
        <w:tc>
          <w:tcPr>
            <w:tcW w:w="1370" w:type="dxa"/>
            <w:tcBorders>
              <w:top w:val="nil"/>
              <w:left w:val="nil"/>
              <w:bottom w:val="single" w:sz="4" w:space="0" w:color="auto"/>
              <w:right w:val="single" w:sz="4" w:space="0" w:color="auto"/>
            </w:tcBorders>
            <w:shd w:val="clear" w:color="auto" w:fill="auto"/>
            <w:noWrap/>
          </w:tcPr>
          <w:p w14:paraId="3F1D942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3 871</w:t>
            </w:r>
          </w:p>
        </w:tc>
        <w:tc>
          <w:tcPr>
            <w:tcW w:w="1371" w:type="dxa"/>
            <w:tcBorders>
              <w:top w:val="nil"/>
              <w:left w:val="nil"/>
              <w:bottom w:val="single" w:sz="4" w:space="0" w:color="auto"/>
              <w:right w:val="single" w:sz="4" w:space="0" w:color="auto"/>
            </w:tcBorders>
            <w:shd w:val="clear" w:color="auto" w:fill="auto"/>
            <w:noWrap/>
          </w:tcPr>
          <w:p w14:paraId="6CC955B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4 059</w:t>
            </w:r>
          </w:p>
        </w:tc>
      </w:tr>
      <w:tr w:rsidR="00E02DE1" w:rsidRPr="00664FF1" w14:paraId="3D1B397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F8D7FA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Luxemburgo</w:t>
            </w:r>
          </w:p>
        </w:tc>
        <w:tc>
          <w:tcPr>
            <w:tcW w:w="1164" w:type="dxa"/>
            <w:tcBorders>
              <w:top w:val="nil"/>
              <w:left w:val="nil"/>
              <w:bottom w:val="single" w:sz="4" w:space="0" w:color="auto"/>
              <w:right w:val="single" w:sz="4" w:space="0" w:color="auto"/>
            </w:tcBorders>
            <w:shd w:val="clear" w:color="auto" w:fill="auto"/>
            <w:noWrap/>
          </w:tcPr>
          <w:p w14:paraId="2267C8D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0,068</w:t>
            </w:r>
          </w:p>
        </w:tc>
        <w:tc>
          <w:tcPr>
            <w:tcW w:w="992" w:type="dxa"/>
            <w:tcBorders>
              <w:top w:val="nil"/>
              <w:left w:val="nil"/>
              <w:bottom w:val="single" w:sz="4" w:space="0" w:color="auto"/>
              <w:right w:val="single" w:sz="4" w:space="0" w:color="auto"/>
            </w:tcBorders>
            <w:shd w:val="clear" w:color="auto" w:fill="auto"/>
            <w:noWrap/>
          </w:tcPr>
          <w:p w14:paraId="0291CF5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0,070 %</w:t>
            </w:r>
          </w:p>
        </w:tc>
        <w:tc>
          <w:tcPr>
            <w:tcW w:w="1134" w:type="dxa"/>
            <w:tcBorders>
              <w:top w:val="single" w:sz="4" w:space="0" w:color="auto"/>
              <w:left w:val="nil"/>
              <w:bottom w:val="single" w:sz="4" w:space="0" w:color="auto"/>
              <w:right w:val="single" w:sz="4" w:space="0" w:color="auto"/>
            </w:tcBorders>
          </w:tcPr>
          <w:p w14:paraId="0ADA915B" w14:textId="79B49F0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3 279</w:t>
            </w:r>
          </w:p>
        </w:tc>
        <w:tc>
          <w:tcPr>
            <w:tcW w:w="1370" w:type="dxa"/>
            <w:tcBorders>
              <w:top w:val="nil"/>
              <w:left w:val="single" w:sz="4" w:space="0" w:color="auto"/>
              <w:bottom w:val="single" w:sz="4" w:space="0" w:color="auto"/>
              <w:right w:val="single" w:sz="4" w:space="0" w:color="auto"/>
            </w:tcBorders>
            <w:shd w:val="clear" w:color="auto" w:fill="auto"/>
            <w:noWrap/>
          </w:tcPr>
          <w:p w14:paraId="2ECBABD3" w14:textId="6B21628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3 329</w:t>
            </w:r>
          </w:p>
        </w:tc>
        <w:tc>
          <w:tcPr>
            <w:tcW w:w="1370" w:type="dxa"/>
            <w:tcBorders>
              <w:top w:val="nil"/>
              <w:left w:val="nil"/>
              <w:bottom w:val="single" w:sz="4" w:space="0" w:color="auto"/>
              <w:right w:val="single" w:sz="4" w:space="0" w:color="auto"/>
            </w:tcBorders>
            <w:shd w:val="clear" w:color="auto" w:fill="auto"/>
            <w:noWrap/>
          </w:tcPr>
          <w:p w14:paraId="568B7D1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3 419</w:t>
            </w:r>
          </w:p>
        </w:tc>
        <w:tc>
          <w:tcPr>
            <w:tcW w:w="1371" w:type="dxa"/>
            <w:tcBorders>
              <w:top w:val="nil"/>
              <w:left w:val="nil"/>
              <w:bottom w:val="single" w:sz="4" w:space="0" w:color="auto"/>
              <w:right w:val="single" w:sz="4" w:space="0" w:color="auto"/>
            </w:tcBorders>
            <w:shd w:val="clear" w:color="auto" w:fill="auto"/>
            <w:noWrap/>
          </w:tcPr>
          <w:p w14:paraId="404BD2F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3 585</w:t>
            </w:r>
          </w:p>
        </w:tc>
      </w:tr>
      <w:tr w:rsidR="00E02DE1" w:rsidRPr="00664FF1" w14:paraId="2DDA3582"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878273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Madagascar</w:t>
            </w:r>
          </w:p>
        </w:tc>
        <w:tc>
          <w:tcPr>
            <w:tcW w:w="1164" w:type="dxa"/>
            <w:tcBorders>
              <w:top w:val="nil"/>
              <w:left w:val="nil"/>
              <w:bottom w:val="single" w:sz="4" w:space="0" w:color="auto"/>
              <w:right w:val="single" w:sz="4" w:space="0" w:color="auto"/>
            </w:tcBorders>
            <w:shd w:val="clear" w:color="auto" w:fill="auto"/>
            <w:noWrap/>
          </w:tcPr>
          <w:p w14:paraId="1485C13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w:t>
            </w:r>
          </w:p>
        </w:tc>
        <w:tc>
          <w:tcPr>
            <w:tcW w:w="992" w:type="dxa"/>
            <w:tcBorders>
              <w:top w:val="nil"/>
              <w:left w:val="nil"/>
              <w:bottom w:val="single" w:sz="4" w:space="0" w:color="auto"/>
              <w:right w:val="single" w:sz="4" w:space="0" w:color="auto"/>
            </w:tcBorders>
            <w:shd w:val="clear" w:color="auto" w:fill="auto"/>
            <w:noWrap/>
          </w:tcPr>
          <w:p w14:paraId="6A5289C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0,004 %</w:t>
            </w:r>
          </w:p>
        </w:tc>
        <w:tc>
          <w:tcPr>
            <w:tcW w:w="1134" w:type="dxa"/>
            <w:tcBorders>
              <w:top w:val="single" w:sz="4" w:space="0" w:color="auto"/>
              <w:left w:val="nil"/>
              <w:bottom w:val="single" w:sz="4" w:space="0" w:color="auto"/>
              <w:right w:val="single" w:sz="4" w:space="0" w:color="auto"/>
            </w:tcBorders>
          </w:tcPr>
          <w:p w14:paraId="6CCF1F92" w14:textId="2144C9B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B7CDB4D" w14:textId="4119961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FF61FC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02D99B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A2C99E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7439565"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Malasia</w:t>
            </w:r>
          </w:p>
        </w:tc>
        <w:tc>
          <w:tcPr>
            <w:tcW w:w="1164" w:type="dxa"/>
            <w:tcBorders>
              <w:top w:val="nil"/>
              <w:left w:val="nil"/>
              <w:bottom w:val="single" w:sz="4" w:space="0" w:color="auto"/>
              <w:right w:val="single" w:sz="4" w:space="0" w:color="auto"/>
            </w:tcBorders>
            <w:shd w:val="clear" w:color="auto" w:fill="auto"/>
            <w:noWrap/>
          </w:tcPr>
          <w:p w14:paraId="66C6FD0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0,348</w:t>
            </w:r>
          </w:p>
        </w:tc>
        <w:tc>
          <w:tcPr>
            <w:tcW w:w="992" w:type="dxa"/>
            <w:tcBorders>
              <w:top w:val="nil"/>
              <w:left w:val="nil"/>
              <w:bottom w:val="single" w:sz="4" w:space="0" w:color="auto"/>
              <w:right w:val="single" w:sz="4" w:space="0" w:color="auto"/>
            </w:tcBorders>
            <w:shd w:val="clear" w:color="auto" w:fill="auto"/>
            <w:noWrap/>
          </w:tcPr>
          <w:p w14:paraId="7AE5343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0,357 %</w:t>
            </w:r>
          </w:p>
        </w:tc>
        <w:tc>
          <w:tcPr>
            <w:tcW w:w="1134" w:type="dxa"/>
            <w:tcBorders>
              <w:top w:val="single" w:sz="4" w:space="0" w:color="auto"/>
              <w:left w:val="nil"/>
              <w:bottom w:val="single" w:sz="4" w:space="0" w:color="auto"/>
              <w:right w:val="single" w:sz="4" w:space="0" w:color="auto"/>
            </w:tcBorders>
          </w:tcPr>
          <w:p w14:paraId="1B208D80" w14:textId="66FB887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16 691</w:t>
            </w:r>
          </w:p>
        </w:tc>
        <w:tc>
          <w:tcPr>
            <w:tcW w:w="1370" w:type="dxa"/>
            <w:tcBorders>
              <w:top w:val="nil"/>
              <w:left w:val="single" w:sz="4" w:space="0" w:color="auto"/>
              <w:bottom w:val="single" w:sz="4" w:space="0" w:color="auto"/>
              <w:right w:val="single" w:sz="4" w:space="0" w:color="auto"/>
            </w:tcBorders>
            <w:shd w:val="clear" w:color="auto" w:fill="auto"/>
            <w:noWrap/>
          </w:tcPr>
          <w:p w14:paraId="4610A01B" w14:textId="29BFB88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17 039</w:t>
            </w:r>
          </w:p>
        </w:tc>
        <w:tc>
          <w:tcPr>
            <w:tcW w:w="1370" w:type="dxa"/>
            <w:tcBorders>
              <w:top w:val="nil"/>
              <w:left w:val="nil"/>
              <w:bottom w:val="single" w:sz="4" w:space="0" w:color="auto"/>
              <w:right w:val="single" w:sz="4" w:space="0" w:color="auto"/>
            </w:tcBorders>
            <w:shd w:val="clear" w:color="auto" w:fill="auto"/>
            <w:noWrap/>
          </w:tcPr>
          <w:p w14:paraId="06DB175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17 496</w:t>
            </w:r>
          </w:p>
        </w:tc>
        <w:tc>
          <w:tcPr>
            <w:tcW w:w="1371" w:type="dxa"/>
            <w:tcBorders>
              <w:top w:val="nil"/>
              <w:left w:val="nil"/>
              <w:bottom w:val="single" w:sz="4" w:space="0" w:color="auto"/>
              <w:right w:val="single" w:sz="4" w:space="0" w:color="auto"/>
            </w:tcBorders>
            <w:shd w:val="clear" w:color="auto" w:fill="auto"/>
            <w:noWrap/>
          </w:tcPr>
          <w:p w14:paraId="1E1AE47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18 344</w:t>
            </w:r>
          </w:p>
        </w:tc>
      </w:tr>
      <w:tr w:rsidR="00E02DE1" w:rsidRPr="00664FF1" w14:paraId="3C76FE4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C1947E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Malawi</w:t>
            </w:r>
          </w:p>
        </w:tc>
        <w:tc>
          <w:tcPr>
            <w:tcW w:w="1164" w:type="dxa"/>
            <w:tcBorders>
              <w:top w:val="nil"/>
              <w:left w:val="nil"/>
              <w:bottom w:val="single" w:sz="4" w:space="0" w:color="auto"/>
              <w:right w:val="single" w:sz="4" w:space="0" w:color="auto"/>
            </w:tcBorders>
            <w:shd w:val="clear" w:color="auto" w:fill="auto"/>
            <w:noWrap/>
          </w:tcPr>
          <w:p w14:paraId="10E73A1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11AD26E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3B66FCE1" w14:textId="5AAEF0E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ABB3B5F" w14:textId="6479DE63"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3BE18D3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6F371C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99E205E"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C04D0B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Malí</w:t>
            </w:r>
          </w:p>
        </w:tc>
        <w:tc>
          <w:tcPr>
            <w:tcW w:w="1164" w:type="dxa"/>
            <w:tcBorders>
              <w:top w:val="nil"/>
              <w:left w:val="nil"/>
              <w:bottom w:val="single" w:sz="4" w:space="0" w:color="auto"/>
              <w:right w:val="single" w:sz="4" w:space="0" w:color="auto"/>
            </w:tcBorders>
            <w:shd w:val="clear" w:color="auto" w:fill="auto"/>
            <w:noWrap/>
          </w:tcPr>
          <w:p w14:paraId="1FC7D2C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w:t>
            </w:r>
          </w:p>
        </w:tc>
        <w:tc>
          <w:tcPr>
            <w:tcW w:w="992" w:type="dxa"/>
            <w:tcBorders>
              <w:top w:val="nil"/>
              <w:left w:val="nil"/>
              <w:bottom w:val="single" w:sz="4" w:space="0" w:color="auto"/>
              <w:right w:val="single" w:sz="4" w:space="0" w:color="auto"/>
            </w:tcBorders>
            <w:shd w:val="clear" w:color="auto" w:fill="auto"/>
            <w:noWrap/>
          </w:tcPr>
          <w:p w14:paraId="4FEEBF8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0,005 %</w:t>
            </w:r>
          </w:p>
        </w:tc>
        <w:tc>
          <w:tcPr>
            <w:tcW w:w="1134" w:type="dxa"/>
            <w:tcBorders>
              <w:top w:val="single" w:sz="4" w:space="0" w:color="auto"/>
              <w:left w:val="nil"/>
              <w:bottom w:val="single" w:sz="4" w:space="0" w:color="auto"/>
              <w:right w:val="single" w:sz="4" w:space="0" w:color="auto"/>
            </w:tcBorders>
          </w:tcPr>
          <w:p w14:paraId="10F7D0EB" w14:textId="045DC10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536EC66" w14:textId="11BAAFA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717C1A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56DBB4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4D9ABE2"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24CB14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Malta</w:t>
            </w:r>
          </w:p>
        </w:tc>
        <w:tc>
          <w:tcPr>
            <w:tcW w:w="1164" w:type="dxa"/>
            <w:tcBorders>
              <w:top w:val="nil"/>
              <w:left w:val="nil"/>
              <w:bottom w:val="single" w:sz="4" w:space="0" w:color="auto"/>
              <w:right w:val="single" w:sz="4" w:space="0" w:color="auto"/>
            </w:tcBorders>
            <w:shd w:val="clear" w:color="auto" w:fill="auto"/>
            <w:noWrap/>
          </w:tcPr>
          <w:p w14:paraId="1338F53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0,019</w:t>
            </w:r>
          </w:p>
        </w:tc>
        <w:tc>
          <w:tcPr>
            <w:tcW w:w="992" w:type="dxa"/>
            <w:tcBorders>
              <w:top w:val="nil"/>
              <w:left w:val="nil"/>
              <w:bottom w:val="single" w:sz="4" w:space="0" w:color="auto"/>
              <w:right w:val="single" w:sz="4" w:space="0" w:color="auto"/>
            </w:tcBorders>
            <w:shd w:val="clear" w:color="auto" w:fill="auto"/>
            <w:noWrap/>
          </w:tcPr>
          <w:p w14:paraId="0B24EAD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0,020 %</w:t>
            </w:r>
          </w:p>
        </w:tc>
        <w:tc>
          <w:tcPr>
            <w:tcW w:w="1134" w:type="dxa"/>
            <w:tcBorders>
              <w:top w:val="single" w:sz="4" w:space="0" w:color="auto"/>
              <w:left w:val="nil"/>
              <w:bottom w:val="single" w:sz="4" w:space="0" w:color="auto"/>
              <w:right w:val="single" w:sz="4" w:space="0" w:color="auto"/>
            </w:tcBorders>
          </w:tcPr>
          <w:p w14:paraId="12FA3FE6" w14:textId="1BC369A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2523776" w14:textId="3DC4EDC0"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7267F4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AEDF00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1 002</w:t>
            </w:r>
          </w:p>
        </w:tc>
      </w:tr>
      <w:tr w:rsidR="00E02DE1" w:rsidRPr="00664FF1" w14:paraId="15981E1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DA3DBA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Marruecos</w:t>
            </w:r>
          </w:p>
        </w:tc>
        <w:tc>
          <w:tcPr>
            <w:tcW w:w="1164" w:type="dxa"/>
            <w:tcBorders>
              <w:top w:val="nil"/>
              <w:left w:val="nil"/>
              <w:bottom w:val="single" w:sz="4" w:space="0" w:color="auto"/>
              <w:right w:val="single" w:sz="4" w:space="0" w:color="auto"/>
            </w:tcBorders>
            <w:shd w:val="clear" w:color="auto" w:fill="auto"/>
            <w:noWrap/>
          </w:tcPr>
          <w:p w14:paraId="322EC51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0,055</w:t>
            </w:r>
          </w:p>
        </w:tc>
        <w:tc>
          <w:tcPr>
            <w:tcW w:w="992" w:type="dxa"/>
            <w:tcBorders>
              <w:top w:val="nil"/>
              <w:left w:val="nil"/>
              <w:bottom w:val="single" w:sz="4" w:space="0" w:color="auto"/>
              <w:right w:val="single" w:sz="4" w:space="0" w:color="auto"/>
            </w:tcBorders>
            <w:shd w:val="clear" w:color="auto" w:fill="auto"/>
            <w:noWrap/>
          </w:tcPr>
          <w:p w14:paraId="474B4C3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0,056 %</w:t>
            </w:r>
          </w:p>
        </w:tc>
        <w:tc>
          <w:tcPr>
            <w:tcW w:w="1134" w:type="dxa"/>
            <w:tcBorders>
              <w:top w:val="single" w:sz="4" w:space="0" w:color="auto"/>
              <w:left w:val="nil"/>
              <w:bottom w:val="single" w:sz="4" w:space="0" w:color="auto"/>
              <w:right w:val="single" w:sz="4" w:space="0" w:color="auto"/>
            </w:tcBorders>
          </w:tcPr>
          <w:p w14:paraId="250C8982" w14:textId="32B947B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2 692</w:t>
            </w:r>
          </w:p>
        </w:tc>
        <w:tc>
          <w:tcPr>
            <w:tcW w:w="1370" w:type="dxa"/>
            <w:tcBorders>
              <w:top w:val="nil"/>
              <w:left w:val="single" w:sz="4" w:space="0" w:color="auto"/>
              <w:bottom w:val="single" w:sz="4" w:space="0" w:color="auto"/>
              <w:right w:val="single" w:sz="4" w:space="0" w:color="auto"/>
            </w:tcBorders>
            <w:shd w:val="clear" w:color="auto" w:fill="auto"/>
            <w:noWrap/>
          </w:tcPr>
          <w:p w14:paraId="2EB77315" w14:textId="5A0C263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2 693</w:t>
            </w:r>
          </w:p>
        </w:tc>
        <w:tc>
          <w:tcPr>
            <w:tcW w:w="1370" w:type="dxa"/>
            <w:tcBorders>
              <w:top w:val="nil"/>
              <w:left w:val="nil"/>
              <w:bottom w:val="single" w:sz="4" w:space="0" w:color="auto"/>
              <w:right w:val="single" w:sz="4" w:space="0" w:color="auto"/>
            </w:tcBorders>
            <w:shd w:val="clear" w:color="auto" w:fill="auto"/>
            <w:noWrap/>
          </w:tcPr>
          <w:p w14:paraId="4EC6C0B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2 765</w:t>
            </w:r>
          </w:p>
        </w:tc>
        <w:tc>
          <w:tcPr>
            <w:tcW w:w="1371" w:type="dxa"/>
            <w:tcBorders>
              <w:top w:val="nil"/>
              <w:left w:val="nil"/>
              <w:bottom w:val="single" w:sz="4" w:space="0" w:color="auto"/>
              <w:right w:val="single" w:sz="4" w:space="0" w:color="auto"/>
            </w:tcBorders>
            <w:shd w:val="clear" w:color="auto" w:fill="auto"/>
            <w:noWrap/>
          </w:tcPr>
          <w:p w14:paraId="39DB653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2 899</w:t>
            </w:r>
          </w:p>
        </w:tc>
      </w:tr>
      <w:tr w:rsidR="00E02DE1" w:rsidRPr="00664FF1" w14:paraId="19115022"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7C67A2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Mauricio</w:t>
            </w:r>
          </w:p>
        </w:tc>
        <w:tc>
          <w:tcPr>
            <w:tcW w:w="1164" w:type="dxa"/>
            <w:tcBorders>
              <w:top w:val="nil"/>
              <w:left w:val="nil"/>
              <w:bottom w:val="single" w:sz="4" w:space="0" w:color="auto"/>
              <w:right w:val="single" w:sz="4" w:space="0" w:color="auto"/>
            </w:tcBorders>
            <w:shd w:val="clear" w:color="auto" w:fill="auto"/>
            <w:noWrap/>
          </w:tcPr>
          <w:p w14:paraId="6449B77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0,019</w:t>
            </w:r>
          </w:p>
        </w:tc>
        <w:tc>
          <w:tcPr>
            <w:tcW w:w="992" w:type="dxa"/>
            <w:tcBorders>
              <w:top w:val="nil"/>
              <w:left w:val="nil"/>
              <w:bottom w:val="single" w:sz="4" w:space="0" w:color="auto"/>
              <w:right w:val="single" w:sz="4" w:space="0" w:color="auto"/>
            </w:tcBorders>
            <w:shd w:val="clear" w:color="auto" w:fill="auto"/>
            <w:noWrap/>
          </w:tcPr>
          <w:p w14:paraId="7B0FFCA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0,020 %</w:t>
            </w:r>
          </w:p>
        </w:tc>
        <w:tc>
          <w:tcPr>
            <w:tcW w:w="1134" w:type="dxa"/>
            <w:tcBorders>
              <w:top w:val="single" w:sz="4" w:space="0" w:color="auto"/>
              <w:left w:val="nil"/>
              <w:bottom w:val="single" w:sz="4" w:space="0" w:color="auto"/>
              <w:right w:val="single" w:sz="4" w:space="0" w:color="auto"/>
            </w:tcBorders>
          </w:tcPr>
          <w:p w14:paraId="504F1C85" w14:textId="09022B94"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F5CD495" w14:textId="0775C32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1754354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48C431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1 002</w:t>
            </w:r>
          </w:p>
        </w:tc>
      </w:tr>
      <w:tr w:rsidR="00E02DE1" w:rsidRPr="00664FF1" w14:paraId="2F8A98D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83BF14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Mauritania</w:t>
            </w:r>
          </w:p>
        </w:tc>
        <w:tc>
          <w:tcPr>
            <w:tcW w:w="1164" w:type="dxa"/>
            <w:tcBorders>
              <w:top w:val="nil"/>
              <w:left w:val="nil"/>
              <w:bottom w:val="single" w:sz="4" w:space="0" w:color="auto"/>
              <w:right w:val="single" w:sz="4" w:space="0" w:color="auto"/>
            </w:tcBorders>
            <w:shd w:val="clear" w:color="auto" w:fill="auto"/>
            <w:noWrap/>
          </w:tcPr>
          <w:p w14:paraId="3EA340B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17F5F70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306B5210" w14:textId="334E814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213C0BB" w14:textId="0808CED3"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AD5AE4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28CE78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6EAB59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3166A2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México</w:t>
            </w:r>
          </w:p>
        </w:tc>
        <w:tc>
          <w:tcPr>
            <w:tcW w:w="1164" w:type="dxa"/>
            <w:tcBorders>
              <w:top w:val="nil"/>
              <w:left w:val="nil"/>
              <w:bottom w:val="single" w:sz="4" w:space="0" w:color="auto"/>
              <w:right w:val="single" w:sz="4" w:space="0" w:color="auto"/>
            </w:tcBorders>
            <w:shd w:val="clear" w:color="auto" w:fill="auto"/>
            <w:noWrap/>
          </w:tcPr>
          <w:p w14:paraId="3DF3A2F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1,221</w:t>
            </w:r>
          </w:p>
        </w:tc>
        <w:tc>
          <w:tcPr>
            <w:tcW w:w="992" w:type="dxa"/>
            <w:tcBorders>
              <w:top w:val="nil"/>
              <w:left w:val="nil"/>
              <w:bottom w:val="single" w:sz="4" w:space="0" w:color="auto"/>
              <w:right w:val="single" w:sz="4" w:space="0" w:color="auto"/>
            </w:tcBorders>
            <w:shd w:val="clear" w:color="auto" w:fill="auto"/>
            <w:noWrap/>
          </w:tcPr>
          <w:p w14:paraId="46C022D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1,253 %</w:t>
            </w:r>
          </w:p>
        </w:tc>
        <w:tc>
          <w:tcPr>
            <w:tcW w:w="1134" w:type="dxa"/>
            <w:tcBorders>
              <w:top w:val="single" w:sz="4" w:space="0" w:color="auto"/>
              <w:left w:val="nil"/>
              <w:bottom w:val="single" w:sz="4" w:space="0" w:color="auto"/>
              <w:right w:val="single" w:sz="4" w:space="0" w:color="auto"/>
            </w:tcBorders>
          </w:tcPr>
          <w:p w14:paraId="1EB4F5EA" w14:textId="65C2DA6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63 238</w:t>
            </w:r>
          </w:p>
        </w:tc>
        <w:tc>
          <w:tcPr>
            <w:tcW w:w="1370" w:type="dxa"/>
            <w:tcBorders>
              <w:top w:val="nil"/>
              <w:left w:val="single" w:sz="4" w:space="0" w:color="auto"/>
              <w:bottom w:val="single" w:sz="4" w:space="0" w:color="auto"/>
              <w:right w:val="single" w:sz="4" w:space="0" w:color="auto"/>
            </w:tcBorders>
            <w:shd w:val="clear" w:color="auto" w:fill="auto"/>
            <w:noWrap/>
          </w:tcPr>
          <w:p w14:paraId="54067484" w14:textId="0DD05D40"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59 784</w:t>
            </w:r>
          </w:p>
        </w:tc>
        <w:tc>
          <w:tcPr>
            <w:tcW w:w="1370" w:type="dxa"/>
            <w:tcBorders>
              <w:top w:val="nil"/>
              <w:left w:val="nil"/>
              <w:bottom w:val="single" w:sz="4" w:space="0" w:color="auto"/>
              <w:right w:val="single" w:sz="4" w:space="0" w:color="auto"/>
            </w:tcBorders>
            <w:shd w:val="clear" w:color="auto" w:fill="auto"/>
            <w:noWrap/>
          </w:tcPr>
          <w:p w14:paraId="16B0CBF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61 386</w:t>
            </w:r>
          </w:p>
        </w:tc>
        <w:tc>
          <w:tcPr>
            <w:tcW w:w="1371" w:type="dxa"/>
            <w:tcBorders>
              <w:top w:val="nil"/>
              <w:left w:val="nil"/>
              <w:bottom w:val="single" w:sz="4" w:space="0" w:color="auto"/>
              <w:right w:val="single" w:sz="4" w:space="0" w:color="auto"/>
            </w:tcBorders>
            <w:shd w:val="clear" w:color="auto" w:fill="auto"/>
            <w:noWrap/>
          </w:tcPr>
          <w:p w14:paraId="178C83D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64 364</w:t>
            </w:r>
          </w:p>
        </w:tc>
      </w:tr>
      <w:tr w:rsidR="00E02DE1" w:rsidRPr="00664FF1" w14:paraId="02B049A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545D9A5"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Mónaco</w:t>
            </w:r>
          </w:p>
        </w:tc>
        <w:tc>
          <w:tcPr>
            <w:tcW w:w="1164" w:type="dxa"/>
            <w:tcBorders>
              <w:top w:val="nil"/>
              <w:left w:val="nil"/>
              <w:bottom w:val="single" w:sz="4" w:space="0" w:color="auto"/>
              <w:right w:val="single" w:sz="4" w:space="0" w:color="auto"/>
            </w:tcBorders>
            <w:shd w:val="clear" w:color="auto" w:fill="auto"/>
            <w:noWrap/>
          </w:tcPr>
          <w:p w14:paraId="03BB5CC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0,011</w:t>
            </w:r>
          </w:p>
        </w:tc>
        <w:tc>
          <w:tcPr>
            <w:tcW w:w="992" w:type="dxa"/>
            <w:tcBorders>
              <w:top w:val="nil"/>
              <w:left w:val="nil"/>
              <w:bottom w:val="single" w:sz="4" w:space="0" w:color="auto"/>
              <w:right w:val="single" w:sz="4" w:space="0" w:color="auto"/>
            </w:tcBorders>
            <w:shd w:val="clear" w:color="auto" w:fill="auto"/>
            <w:noWrap/>
          </w:tcPr>
          <w:p w14:paraId="45E3A70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0,011 %</w:t>
            </w:r>
          </w:p>
        </w:tc>
        <w:tc>
          <w:tcPr>
            <w:tcW w:w="1134" w:type="dxa"/>
            <w:tcBorders>
              <w:top w:val="single" w:sz="4" w:space="0" w:color="auto"/>
              <w:left w:val="nil"/>
              <w:bottom w:val="single" w:sz="4" w:space="0" w:color="auto"/>
              <w:right w:val="single" w:sz="4" w:space="0" w:color="auto"/>
            </w:tcBorders>
          </w:tcPr>
          <w:p w14:paraId="14D15D57" w14:textId="7F40CE0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98B4B66" w14:textId="54EF30A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FD8670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BF6B6F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6EC506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005BEC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Mongolia</w:t>
            </w:r>
          </w:p>
        </w:tc>
        <w:tc>
          <w:tcPr>
            <w:tcW w:w="1164" w:type="dxa"/>
            <w:tcBorders>
              <w:top w:val="nil"/>
              <w:left w:val="nil"/>
              <w:bottom w:val="single" w:sz="4" w:space="0" w:color="auto"/>
              <w:right w:val="single" w:sz="4" w:space="0" w:color="auto"/>
            </w:tcBorders>
            <w:shd w:val="clear" w:color="auto" w:fill="auto"/>
            <w:noWrap/>
          </w:tcPr>
          <w:p w14:paraId="37753DA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w:t>
            </w:r>
          </w:p>
        </w:tc>
        <w:tc>
          <w:tcPr>
            <w:tcW w:w="992" w:type="dxa"/>
            <w:tcBorders>
              <w:top w:val="nil"/>
              <w:left w:val="nil"/>
              <w:bottom w:val="single" w:sz="4" w:space="0" w:color="auto"/>
              <w:right w:val="single" w:sz="4" w:space="0" w:color="auto"/>
            </w:tcBorders>
            <w:shd w:val="clear" w:color="auto" w:fill="auto"/>
            <w:noWrap/>
          </w:tcPr>
          <w:p w14:paraId="27CAFA3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0,004 %</w:t>
            </w:r>
          </w:p>
        </w:tc>
        <w:tc>
          <w:tcPr>
            <w:tcW w:w="1134" w:type="dxa"/>
            <w:tcBorders>
              <w:top w:val="single" w:sz="4" w:space="0" w:color="auto"/>
              <w:left w:val="nil"/>
              <w:bottom w:val="single" w:sz="4" w:space="0" w:color="auto"/>
              <w:right w:val="single" w:sz="4" w:space="0" w:color="auto"/>
            </w:tcBorders>
          </w:tcPr>
          <w:p w14:paraId="12EFE064" w14:textId="742C8FA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0EE2C48" w14:textId="450ACC4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3C259C4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9E811C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4C5E64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2D6382C"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Montenegro</w:t>
            </w:r>
          </w:p>
        </w:tc>
        <w:tc>
          <w:tcPr>
            <w:tcW w:w="1164" w:type="dxa"/>
            <w:tcBorders>
              <w:top w:val="nil"/>
              <w:left w:val="nil"/>
              <w:bottom w:val="single" w:sz="4" w:space="0" w:color="auto"/>
              <w:right w:val="single" w:sz="4" w:space="0" w:color="auto"/>
            </w:tcBorders>
            <w:shd w:val="clear" w:color="auto" w:fill="auto"/>
            <w:noWrap/>
          </w:tcPr>
          <w:p w14:paraId="3F35A9E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w:t>
            </w:r>
          </w:p>
        </w:tc>
        <w:tc>
          <w:tcPr>
            <w:tcW w:w="992" w:type="dxa"/>
            <w:tcBorders>
              <w:top w:val="nil"/>
              <w:left w:val="nil"/>
              <w:bottom w:val="single" w:sz="4" w:space="0" w:color="auto"/>
              <w:right w:val="single" w:sz="4" w:space="0" w:color="auto"/>
            </w:tcBorders>
            <w:shd w:val="clear" w:color="auto" w:fill="auto"/>
            <w:noWrap/>
          </w:tcPr>
          <w:p w14:paraId="08C3EC6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0,004 %</w:t>
            </w:r>
          </w:p>
        </w:tc>
        <w:tc>
          <w:tcPr>
            <w:tcW w:w="1134" w:type="dxa"/>
            <w:tcBorders>
              <w:top w:val="single" w:sz="4" w:space="0" w:color="auto"/>
              <w:left w:val="nil"/>
              <w:bottom w:val="single" w:sz="4" w:space="0" w:color="auto"/>
              <w:right w:val="single" w:sz="4" w:space="0" w:color="auto"/>
            </w:tcBorders>
          </w:tcPr>
          <w:p w14:paraId="266129B8" w14:textId="6C8FBAA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F51951E" w14:textId="54768950"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7D28E5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3AB95C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2961FDB"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71F1EA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Mozambique</w:t>
            </w:r>
          </w:p>
        </w:tc>
        <w:tc>
          <w:tcPr>
            <w:tcW w:w="1164" w:type="dxa"/>
            <w:tcBorders>
              <w:top w:val="nil"/>
              <w:left w:val="nil"/>
              <w:bottom w:val="single" w:sz="4" w:space="0" w:color="auto"/>
              <w:right w:val="single" w:sz="4" w:space="0" w:color="auto"/>
            </w:tcBorders>
            <w:shd w:val="clear" w:color="auto" w:fill="auto"/>
            <w:noWrap/>
          </w:tcPr>
          <w:p w14:paraId="0FE7109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w:t>
            </w:r>
          </w:p>
        </w:tc>
        <w:tc>
          <w:tcPr>
            <w:tcW w:w="992" w:type="dxa"/>
            <w:tcBorders>
              <w:top w:val="nil"/>
              <w:left w:val="nil"/>
              <w:bottom w:val="single" w:sz="4" w:space="0" w:color="auto"/>
              <w:right w:val="single" w:sz="4" w:space="0" w:color="auto"/>
            </w:tcBorders>
            <w:shd w:val="clear" w:color="auto" w:fill="auto"/>
            <w:noWrap/>
          </w:tcPr>
          <w:p w14:paraId="2E73F4E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0,004 %</w:t>
            </w:r>
          </w:p>
        </w:tc>
        <w:tc>
          <w:tcPr>
            <w:tcW w:w="1134" w:type="dxa"/>
            <w:tcBorders>
              <w:top w:val="single" w:sz="4" w:space="0" w:color="auto"/>
              <w:left w:val="nil"/>
              <w:bottom w:val="single" w:sz="4" w:space="0" w:color="auto"/>
              <w:right w:val="single" w:sz="4" w:space="0" w:color="auto"/>
            </w:tcBorders>
          </w:tcPr>
          <w:p w14:paraId="688170E3" w14:textId="60F79EE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187146A" w14:textId="2DAB848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626FFD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13108E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C4F1AE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450F13E"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Myanmar</w:t>
            </w:r>
          </w:p>
        </w:tc>
        <w:tc>
          <w:tcPr>
            <w:tcW w:w="1164" w:type="dxa"/>
            <w:tcBorders>
              <w:top w:val="nil"/>
              <w:left w:val="nil"/>
              <w:bottom w:val="single" w:sz="4" w:space="0" w:color="auto"/>
              <w:right w:val="single" w:sz="4" w:space="0" w:color="auto"/>
            </w:tcBorders>
            <w:shd w:val="clear" w:color="auto" w:fill="auto"/>
            <w:noWrap/>
          </w:tcPr>
          <w:p w14:paraId="1043CBD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13EEC0C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235D5335" w14:textId="1698243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9677B4C" w14:textId="682155C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1F1F1F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9DD7FE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CC5E73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1C80C2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Namibia</w:t>
            </w:r>
          </w:p>
        </w:tc>
        <w:tc>
          <w:tcPr>
            <w:tcW w:w="1164" w:type="dxa"/>
            <w:tcBorders>
              <w:top w:val="nil"/>
              <w:left w:val="nil"/>
              <w:bottom w:val="single" w:sz="4" w:space="0" w:color="auto"/>
              <w:right w:val="single" w:sz="4" w:space="0" w:color="auto"/>
            </w:tcBorders>
            <w:shd w:val="clear" w:color="auto" w:fill="auto"/>
            <w:noWrap/>
          </w:tcPr>
          <w:p w14:paraId="1286EDC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0,009</w:t>
            </w:r>
          </w:p>
        </w:tc>
        <w:tc>
          <w:tcPr>
            <w:tcW w:w="992" w:type="dxa"/>
            <w:tcBorders>
              <w:top w:val="nil"/>
              <w:left w:val="nil"/>
              <w:bottom w:val="single" w:sz="4" w:space="0" w:color="auto"/>
              <w:right w:val="single" w:sz="4" w:space="0" w:color="auto"/>
            </w:tcBorders>
            <w:shd w:val="clear" w:color="auto" w:fill="auto"/>
            <w:noWrap/>
          </w:tcPr>
          <w:p w14:paraId="5D5D2C0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0,009 %</w:t>
            </w:r>
          </w:p>
        </w:tc>
        <w:tc>
          <w:tcPr>
            <w:tcW w:w="1134" w:type="dxa"/>
            <w:tcBorders>
              <w:top w:val="single" w:sz="4" w:space="0" w:color="auto"/>
              <w:left w:val="nil"/>
              <w:bottom w:val="single" w:sz="4" w:space="0" w:color="auto"/>
              <w:right w:val="single" w:sz="4" w:space="0" w:color="auto"/>
            </w:tcBorders>
          </w:tcPr>
          <w:p w14:paraId="1E619EFF" w14:textId="65B1339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A6E2975" w14:textId="22B1E82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F395A7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64FCBA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687D5D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F446F05"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Nepal</w:t>
            </w:r>
          </w:p>
        </w:tc>
        <w:tc>
          <w:tcPr>
            <w:tcW w:w="1164" w:type="dxa"/>
            <w:tcBorders>
              <w:top w:val="nil"/>
              <w:left w:val="nil"/>
              <w:bottom w:val="single" w:sz="4" w:space="0" w:color="auto"/>
              <w:right w:val="single" w:sz="4" w:space="0" w:color="auto"/>
            </w:tcBorders>
            <w:shd w:val="clear" w:color="auto" w:fill="auto"/>
            <w:noWrap/>
          </w:tcPr>
          <w:p w14:paraId="4F63C93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422B17E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5E2C0571" w14:textId="5A14B56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A3FBE80" w14:textId="761E2DE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A7BEAF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EF22E5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F30635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4235FD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Nicaragua</w:t>
            </w:r>
          </w:p>
        </w:tc>
        <w:tc>
          <w:tcPr>
            <w:tcW w:w="1164" w:type="dxa"/>
            <w:tcBorders>
              <w:top w:val="nil"/>
              <w:left w:val="nil"/>
              <w:bottom w:val="single" w:sz="4" w:space="0" w:color="auto"/>
              <w:right w:val="single" w:sz="4" w:space="0" w:color="auto"/>
            </w:tcBorders>
            <w:shd w:val="clear" w:color="auto" w:fill="auto"/>
            <w:noWrap/>
          </w:tcPr>
          <w:p w14:paraId="0C20809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w:t>
            </w:r>
          </w:p>
        </w:tc>
        <w:tc>
          <w:tcPr>
            <w:tcW w:w="992" w:type="dxa"/>
            <w:tcBorders>
              <w:top w:val="nil"/>
              <w:left w:val="nil"/>
              <w:bottom w:val="single" w:sz="4" w:space="0" w:color="auto"/>
              <w:right w:val="single" w:sz="4" w:space="0" w:color="auto"/>
            </w:tcBorders>
            <w:shd w:val="clear" w:color="auto" w:fill="auto"/>
            <w:noWrap/>
          </w:tcPr>
          <w:p w14:paraId="55F0FCD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0,005 %</w:t>
            </w:r>
          </w:p>
        </w:tc>
        <w:tc>
          <w:tcPr>
            <w:tcW w:w="1134" w:type="dxa"/>
            <w:tcBorders>
              <w:top w:val="single" w:sz="4" w:space="0" w:color="auto"/>
              <w:left w:val="nil"/>
              <w:bottom w:val="single" w:sz="4" w:space="0" w:color="auto"/>
              <w:right w:val="single" w:sz="4" w:space="0" w:color="auto"/>
            </w:tcBorders>
          </w:tcPr>
          <w:p w14:paraId="0CDD46E6" w14:textId="67809EF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920867F" w14:textId="102FDEA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FD4671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282C21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0F27E9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E5F52E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Níger</w:t>
            </w:r>
          </w:p>
        </w:tc>
        <w:tc>
          <w:tcPr>
            <w:tcW w:w="1164" w:type="dxa"/>
            <w:tcBorders>
              <w:top w:val="nil"/>
              <w:left w:val="nil"/>
              <w:bottom w:val="single" w:sz="4" w:space="0" w:color="auto"/>
              <w:right w:val="single" w:sz="4" w:space="0" w:color="auto"/>
            </w:tcBorders>
            <w:shd w:val="clear" w:color="auto" w:fill="auto"/>
            <w:noWrap/>
          </w:tcPr>
          <w:p w14:paraId="19FC233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w:t>
            </w:r>
          </w:p>
        </w:tc>
        <w:tc>
          <w:tcPr>
            <w:tcW w:w="992" w:type="dxa"/>
            <w:tcBorders>
              <w:top w:val="nil"/>
              <w:left w:val="nil"/>
              <w:bottom w:val="single" w:sz="4" w:space="0" w:color="auto"/>
              <w:right w:val="single" w:sz="4" w:space="0" w:color="auto"/>
            </w:tcBorders>
            <w:shd w:val="clear" w:color="auto" w:fill="auto"/>
            <w:noWrap/>
          </w:tcPr>
          <w:p w14:paraId="78DEB5E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0,003 %</w:t>
            </w:r>
          </w:p>
        </w:tc>
        <w:tc>
          <w:tcPr>
            <w:tcW w:w="1134" w:type="dxa"/>
            <w:tcBorders>
              <w:top w:val="single" w:sz="4" w:space="0" w:color="auto"/>
              <w:left w:val="nil"/>
              <w:bottom w:val="single" w:sz="4" w:space="0" w:color="auto"/>
              <w:right w:val="single" w:sz="4" w:space="0" w:color="auto"/>
            </w:tcBorders>
          </w:tcPr>
          <w:p w14:paraId="2D050DAE" w14:textId="4C6036F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2F5A4CF" w14:textId="66B23DE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4C041B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EA6AD6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774C03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1EF3BE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Nigeria</w:t>
            </w:r>
          </w:p>
        </w:tc>
        <w:tc>
          <w:tcPr>
            <w:tcW w:w="1164" w:type="dxa"/>
            <w:tcBorders>
              <w:top w:val="nil"/>
              <w:left w:val="nil"/>
              <w:bottom w:val="single" w:sz="4" w:space="0" w:color="auto"/>
              <w:right w:val="single" w:sz="4" w:space="0" w:color="auto"/>
            </w:tcBorders>
            <w:shd w:val="clear" w:color="auto" w:fill="auto"/>
            <w:noWrap/>
          </w:tcPr>
          <w:p w14:paraId="51D9C69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0,182</w:t>
            </w:r>
          </w:p>
        </w:tc>
        <w:tc>
          <w:tcPr>
            <w:tcW w:w="992" w:type="dxa"/>
            <w:tcBorders>
              <w:top w:val="nil"/>
              <w:left w:val="nil"/>
              <w:bottom w:val="single" w:sz="4" w:space="0" w:color="auto"/>
              <w:right w:val="single" w:sz="4" w:space="0" w:color="auto"/>
            </w:tcBorders>
            <w:shd w:val="clear" w:color="auto" w:fill="auto"/>
            <w:noWrap/>
          </w:tcPr>
          <w:p w14:paraId="2AA549A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0,187 %</w:t>
            </w:r>
          </w:p>
        </w:tc>
        <w:tc>
          <w:tcPr>
            <w:tcW w:w="1134" w:type="dxa"/>
            <w:tcBorders>
              <w:top w:val="single" w:sz="4" w:space="0" w:color="auto"/>
              <w:left w:val="nil"/>
              <w:bottom w:val="single" w:sz="4" w:space="0" w:color="auto"/>
              <w:right w:val="single" w:sz="4" w:space="0" w:color="auto"/>
            </w:tcBorders>
          </w:tcPr>
          <w:p w14:paraId="068C4B6A" w14:textId="222865A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12 236</w:t>
            </w:r>
          </w:p>
        </w:tc>
        <w:tc>
          <w:tcPr>
            <w:tcW w:w="1370" w:type="dxa"/>
            <w:tcBorders>
              <w:top w:val="nil"/>
              <w:left w:val="single" w:sz="4" w:space="0" w:color="auto"/>
              <w:bottom w:val="single" w:sz="4" w:space="0" w:color="auto"/>
              <w:right w:val="single" w:sz="4" w:space="0" w:color="auto"/>
            </w:tcBorders>
            <w:shd w:val="clear" w:color="auto" w:fill="auto"/>
            <w:noWrap/>
          </w:tcPr>
          <w:p w14:paraId="2206991B" w14:textId="460F617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8 911</w:t>
            </w:r>
          </w:p>
        </w:tc>
        <w:tc>
          <w:tcPr>
            <w:tcW w:w="1370" w:type="dxa"/>
            <w:tcBorders>
              <w:top w:val="nil"/>
              <w:left w:val="nil"/>
              <w:bottom w:val="single" w:sz="4" w:space="0" w:color="auto"/>
              <w:right w:val="single" w:sz="4" w:space="0" w:color="auto"/>
            </w:tcBorders>
            <w:shd w:val="clear" w:color="auto" w:fill="auto"/>
            <w:noWrap/>
          </w:tcPr>
          <w:p w14:paraId="722C5EB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9 150</w:t>
            </w:r>
          </w:p>
        </w:tc>
        <w:tc>
          <w:tcPr>
            <w:tcW w:w="1371" w:type="dxa"/>
            <w:tcBorders>
              <w:top w:val="nil"/>
              <w:left w:val="nil"/>
              <w:bottom w:val="single" w:sz="4" w:space="0" w:color="auto"/>
              <w:right w:val="single" w:sz="4" w:space="0" w:color="auto"/>
            </w:tcBorders>
            <w:shd w:val="clear" w:color="auto" w:fill="auto"/>
            <w:noWrap/>
          </w:tcPr>
          <w:p w14:paraId="2B39D43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9 594</w:t>
            </w:r>
          </w:p>
        </w:tc>
      </w:tr>
      <w:tr w:rsidR="00E02DE1" w:rsidRPr="00664FF1" w14:paraId="331DC31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4FEC59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Noruega</w:t>
            </w:r>
          </w:p>
        </w:tc>
        <w:tc>
          <w:tcPr>
            <w:tcW w:w="1164" w:type="dxa"/>
            <w:tcBorders>
              <w:top w:val="nil"/>
              <w:left w:val="nil"/>
              <w:bottom w:val="single" w:sz="4" w:space="0" w:color="auto"/>
              <w:right w:val="single" w:sz="4" w:space="0" w:color="auto"/>
            </w:tcBorders>
            <w:shd w:val="clear" w:color="auto" w:fill="auto"/>
            <w:noWrap/>
          </w:tcPr>
          <w:p w14:paraId="7CEFE46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0,679</w:t>
            </w:r>
          </w:p>
        </w:tc>
        <w:tc>
          <w:tcPr>
            <w:tcW w:w="992" w:type="dxa"/>
            <w:tcBorders>
              <w:top w:val="nil"/>
              <w:left w:val="nil"/>
              <w:bottom w:val="single" w:sz="4" w:space="0" w:color="auto"/>
              <w:right w:val="single" w:sz="4" w:space="0" w:color="auto"/>
            </w:tcBorders>
            <w:shd w:val="clear" w:color="auto" w:fill="auto"/>
            <w:noWrap/>
          </w:tcPr>
          <w:p w14:paraId="1A19875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0,697 %</w:t>
            </w:r>
          </w:p>
        </w:tc>
        <w:tc>
          <w:tcPr>
            <w:tcW w:w="1134" w:type="dxa"/>
            <w:tcBorders>
              <w:top w:val="single" w:sz="4" w:space="0" w:color="auto"/>
              <w:left w:val="nil"/>
              <w:bottom w:val="single" w:sz="4" w:space="0" w:color="auto"/>
              <w:right w:val="single" w:sz="4" w:space="0" w:color="auto"/>
            </w:tcBorders>
          </w:tcPr>
          <w:p w14:paraId="604C8CCD" w14:textId="02D0E16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36 905</w:t>
            </w:r>
          </w:p>
        </w:tc>
        <w:tc>
          <w:tcPr>
            <w:tcW w:w="1370" w:type="dxa"/>
            <w:tcBorders>
              <w:top w:val="nil"/>
              <w:left w:val="single" w:sz="4" w:space="0" w:color="auto"/>
              <w:bottom w:val="single" w:sz="4" w:space="0" w:color="auto"/>
              <w:right w:val="single" w:sz="4" w:space="0" w:color="auto"/>
            </w:tcBorders>
            <w:shd w:val="clear" w:color="auto" w:fill="auto"/>
            <w:noWrap/>
          </w:tcPr>
          <w:p w14:paraId="60696194" w14:textId="6282E5B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33 246</w:t>
            </w:r>
          </w:p>
        </w:tc>
        <w:tc>
          <w:tcPr>
            <w:tcW w:w="1370" w:type="dxa"/>
            <w:tcBorders>
              <w:top w:val="nil"/>
              <w:left w:val="nil"/>
              <w:bottom w:val="single" w:sz="4" w:space="0" w:color="auto"/>
              <w:right w:val="single" w:sz="4" w:space="0" w:color="auto"/>
            </w:tcBorders>
            <w:shd w:val="clear" w:color="auto" w:fill="auto"/>
            <w:noWrap/>
          </w:tcPr>
          <w:p w14:paraId="45D1503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34 137</w:t>
            </w:r>
          </w:p>
        </w:tc>
        <w:tc>
          <w:tcPr>
            <w:tcW w:w="1371" w:type="dxa"/>
            <w:tcBorders>
              <w:top w:val="nil"/>
              <w:left w:val="nil"/>
              <w:bottom w:val="single" w:sz="4" w:space="0" w:color="auto"/>
              <w:right w:val="single" w:sz="4" w:space="0" w:color="auto"/>
            </w:tcBorders>
            <w:shd w:val="clear" w:color="auto" w:fill="auto"/>
            <w:noWrap/>
          </w:tcPr>
          <w:p w14:paraId="09FF4BF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35 793</w:t>
            </w:r>
          </w:p>
        </w:tc>
      </w:tr>
      <w:tr w:rsidR="00E02DE1" w:rsidRPr="00664FF1" w14:paraId="7F6F41D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7D129F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Nueva Zelandia</w:t>
            </w:r>
          </w:p>
        </w:tc>
        <w:tc>
          <w:tcPr>
            <w:tcW w:w="1164" w:type="dxa"/>
            <w:tcBorders>
              <w:top w:val="nil"/>
              <w:left w:val="nil"/>
              <w:bottom w:val="single" w:sz="4" w:space="0" w:color="auto"/>
              <w:right w:val="single" w:sz="4" w:space="0" w:color="auto"/>
            </w:tcBorders>
            <w:shd w:val="clear" w:color="auto" w:fill="auto"/>
            <w:noWrap/>
          </w:tcPr>
          <w:p w14:paraId="4E44807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0,309</w:t>
            </w:r>
          </w:p>
        </w:tc>
        <w:tc>
          <w:tcPr>
            <w:tcW w:w="992" w:type="dxa"/>
            <w:tcBorders>
              <w:top w:val="nil"/>
              <w:left w:val="nil"/>
              <w:bottom w:val="single" w:sz="4" w:space="0" w:color="auto"/>
              <w:right w:val="single" w:sz="4" w:space="0" w:color="auto"/>
            </w:tcBorders>
            <w:shd w:val="clear" w:color="auto" w:fill="auto"/>
            <w:noWrap/>
          </w:tcPr>
          <w:p w14:paraId="350194E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0,317 %</w:t>
            </w:r>
          </w:p>
        </w:tc>
        <w:tc>
          <w:tcPr>
            <w:tcW w:w="1134" w:type="dxa"/>
            <w:tcBorders>
              <w:top w:val="single" w:sz="4" w:space="0" w:color="auto"/>
              <w:left w:val="nil"/>
              <w:bottom w:val="single" w:sz="4" w:space="0" w:color="auto"/>
              <w:right w:val="single" w:sz="4" w:space="0" w:color="auto"/>
            </w:tcBorders>
          </w:tcPr>
          <w:p w14:paraId="08F157FE" w14:textId="2263300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14 243</w:t>
            </w:r>
          </w:p>
        </w:tc>
        <w:tc>
          <w:tcPr>
            <w:tcW w:w="1370" w:type="dxa"/>
            <w:tcBorders>
              <w:top w:val="nil"/>
              <w:left w:val="single" w:sz="4" w:space="0" w:color="auto"/>
              <w:bottom w:val="single" w:sz="4" w:space="0" w:color="auto"/>
              <w:right w:val="single" w:sz="4" w:space="0" w:color="auto"/>
            </w:tcBorders>
            <w:shd w:val="clear" w:color="auto" w:fill="auto"/>
            <w:noWrap/>
          </w:tcPr>
          <w:p w14:paraId="18BB776F" w14:textId="61224B8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15 130</w:t>
            </w:r>
          </w:p>
        </w:tc>
        <w:tc>
          <w:tcPr>
            <w:tcW w:w="1370" w:type="dxa"/>
            <w:tcBorders>
              <w:top w:val="nil"/>
              <w:left w:val="nil"/>
              <w:bottom w:val="single" w:sz="4" w:space="0" w:color="auto"/>
              <w:right w:val="single" w:sz="4" w:space="0" w:color="auto"/>
            </w:tcBorders>
            <w:shd w:val="clear" w:color="auto" w:fill="auto"/>
            <w:noWrap/>
          </w:tcPr>
          <w:p w14:paraId="6AE1924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15 535</w:t>
            </w:r>
          </w:p>
        </w:tc>
        <w:tc>
          <w:tcPr>
            <w:tcW w:w="1371" w:type="dxa"/>
            <w:tcBorders>
              <w:top w:val="nil"/>
              <w:left w:val="nil"/>
              <w:bottom w:val="single" w:sz="4" w:space="0" w:color="auto"/>
              <w:right w:val="single" w:sz="4" w:space="0" w:color="auto"/>
            </w:tcBorders>
            <w:shd w:val="clear" w:color="auto" w:fill="auto"/>
            <w:noWrap/>
          </w:tcPr>
          <w:p w14:paraId="6AB6578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16 289</w:t>
            </w:r>
          </w:p>
        </w:tc>
      </w:tr>
      <w:tr w:rsidR="00806D52" w:rsidRPr="00904F2F" w14:paraId="687A128B" w14:textId="77777777" w:rsidTr="00433C12">
        <w:trPr>
          <w:trHeight w:val="276"/>
        </w:trPr>
        <w:tc>
          <w:tcPr>
            <w:tcW w:w="9924" w:type="dxa"/>
            <w:gridSpan w:val="7"/>
            <w:tcBorders>
              <w:top w:val="single" w:sz="4" w:space="0" w:color="auto"/>
            </w:tcBorders>
            <w:shd w:val="clear" w:color="auto" w:fill="auto"/>
            <w:noWrap/>
          </w:tcPr>
          <w:p w14:paraId="04E04ADD" w14:textId="77777777" w:rsidR="00806D52" w:rsidRPr="00814222" w:rsidRDefault="00806D52" w:rsidP="00433C12">
            <w:pPr>
              <w:ind w:left="0"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Con arreglo a la Resolución A/RES/76/238 de las Naciones Unidas; se aplicará la escala revisada de las Naciones Unidas para el trienio cuando esta se haya publicado.</w:t>
            </w:r>
          </w:p>
          <w:p w14:paraId="2BA4B32A" w14:textId="77777777" w:rsidR="00806D52" w:rsidRPr="00664FF1" w:rsidRDefault="00806D52" w:rsidP="00433C12">
            <w:pPr>
              <w:ind w:left="0" w:firstLine="0"/>
              <w:rPr>
                <w:rFonts w:asciiTheme="minorHAnsi" w:hAnsiTheme="minorHAnsi" w:cstheme="minorHAnsi"/>
                <w:noProof/>
                <w:color w:val="000000" w:themeColor="text1"/>
                <w:sz w:val="20"/>
                <w:szCs w:val="20"/>
                <w:lang w:val="es-ES"/>
              </w:rPr>
            </w:pPr>
            <w:r w:rsidRPr="00814222">
              <w:rPr>
                <w:rFonts w:asciiTheme="minorHAnsi" w:eastAsia="Times New Roman" w:hAnsiTheme="minorHAnsi" w:cs="Arial"/>
                <w:noProof/>
                <w:color w:val="000000" w:themeColor="text1"/>
                <w:sz w:val="20"/>
                <w:szCs w:val="20"/>
                <w:lang w:val="es-ES" w:eastAsia="en-GB"/>
              </w:rPr>
              <w:t>***Solamente para 2025, mientras que 2023 y 2024 son las mismas que las del escenario B</w:t>
            </w:r>
            <w:r>
              <w:rPr>
                <w:noProof/>
                <w:lang w:val="es-ES"/>
              </w:rPr>
              <w:t>.</w:t>
            </w:r>
          </w:p>
        </w:tc>
      </w:tr>
      <w:tr w:rsidR="00E02DE1" w:rsidRPr="00664FF1" w14:paraId="37A2763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A3EF9E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lastRenderedPageBreak/>
              <w:t>Omán</w:t>
            </w:r>
          </w:p>
        </w:tc>
        <w:tc>
          <w:tcPr>
            <w:tcW w:w="1164" w:type="dxa"/>
            <w:tcBorders>
              <w:top w:val="nil"/>
              <w:left w:val="nil"/>
              <w:bottom w:val="single" w:sz="4" w:space="0" w:color="auto"/>
              <w:right w:val="single" w:sz="4" w:space="0" w:color="auto"/>
            </w:tcBorders>
            <w:shd w:val="clear" w:color="auto" w:fill="auto"/>
            <w:noWrap/>
          </w:tcPr>
          <w:p w14:paraId="0D05F05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0,111</w:t>
            </w:r>
          </w:p>
        </w:tc>
        <w:tc>
          <w:tcPr>
            <w:tcW w:w="992" w:type="dxa"/>
            <w:tcBorders>
              <w:top w:val="nil"/>
              <w:left w:val="nil"/>
              <w:bottom w:val="single" w:sz="4" w:space="0" w:color="auto"/>
              <w:right w:val="single" w:sz="4" w:space="0" w:color="auto"/>
            </w:tcBorders>
            <w:shd w:val="clear" w:color="auto" w:fill="auto"/>
            <w:noWrap/>
          </w:tcPr>
          <w:p w14:paraId="37E299F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0,114 %</w:t>
            </w:r>
          </w:p>
        </w:tc>
        <w:tc>
          <w:tcPr>
            <w:tcW w:w="1134" w:type="dxa"/>
            <w:tcBorders>
              <w:top w:val="single" w:sz="4" w:space="0" w:color="auto"/>
              <w:left w:val="nil"/>
              <w:bottom w:val="single" w:sz="4" w:space="0" w:color="auto"/>
              <w:right w:val="single" w:sz="4" w:space="0" w:color="auto"/>
            </w:tcBorders>
          </w:tcPr>
          <w:p w14:paraId="203C4952" w14:textId="5236B56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5 629</w:t>
            </w:r>
          </w:p>
        </w:tc>
        <w:tc>
          <w:tcPr>
            <w:tcW w:w="1370" w:type="dxa"/>
            <w:tcBorders>
              <w:top w:val="nil"/>
              <w:left w:val="single" w:sz="4" w:space="0" w:color="auto"/>
              <w:bottom w:val="single" w:sz="4" w:space="0" w:color="auto"/>
              <w:right w:val="single" w:sz="4" w:space="0" w:color="auto"/>
            </w:tcBorders>
            <w:shd w:val="clear" w:color="auto" w:fill="auto"/>
            <w:noWrap/>
          </w:tcPr>
          <w:p w14:paraId="0B3885F3" w14:textId="70C342B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5 435</w:t>
            </w:r>
          </w:p>
        </w:tc>
        <w:tc>
          <w:tcPr>
            <w:tcW w:w="1370" w:type="dxa"/>
            <w:tcBorders>
              <w:top w:val="nil"/>
              <w:left w:val="nil"/>
              <w:bottom w:val="single" w:sz="4" w:space="0" w:color="auto"/>
              <w:right w:val="single" w:sz="4" w:space="0" w:color="auto"/>
            </w:tcBorders>
            <w:shd w:val="clear" w:color="auto" w:fill="auto"/>
            <w:noWrap/>
          </w:tcPr>
          <w:p w14:paraId="1277752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5 581</w:t>
            </w:r>
          </w:p>
        </w:tc>
        <w:tc>
          <w:tcPr>
            <w:tcW w:w="1371" w:type="dxa"/>
            <w:tcBorders>
              <w:top w:val="nil"/>
              <w:left w:val="nil"/>
              <w:bottom w:val="single" w:sz="4" w:space="0" w:color="auto"/>
              <w:right w:val="single" w:sz="4" w:space="0" w:color="auto"/>
            </w:tcBorders>
            <w:shd w:val="clear" w:color="auto" w:fill="auto"/>
            <w:noWrap/>
          </w:tcPr>
          <w:p w14:paraId="0BD508C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5 851</w:t>
            </w:r>
          </w:p>
        </w:tc>
      </w:tr>
      <w:tr w:rsidR="00E02DE1" w:rsidRPr="00664FF1" w14:paraId="1952D96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6E9E3CD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Países Bajos</w:t>
            </w:r>
          </w:p>
        </w:tc>
        <w:tc>
          <w:tcPr>
            <w:tcW w:w="1164" w:type="dxa"/>
            <w:tcBorders>
              <w:top w:val="nil"/>
              <w:left w:val="nil"/>
              <w:bottom w:val="single" w:sz="4" w:space="0" w:color="auto"/>
              <w:right w:val="single" w:sz="4" w:space="0" w:color="auto"/>
            </w:tcBorders>
            <w:shd w:val="clear" w:color="auto" w:fill="auto"/>
            <w:noWrap/>
          </w:tcPr>
          <w:p w14:paraId="4791505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1,377</w:t>
            </w:r>
          </w:p>
        </w:tc>
        <w:tc>
          <w:tcPr>
            <w:tcW w:w="992" w:type="dxa"/>
            <w:tcBorders>
              <w:top w:val="nil"/>
              <w:left w:val="nil"/>
              <w:bottom w:val="single" w:sz="4" w:space="0" w:color="auto"/>
              <w:right w:val="single" w:sz="4" w:space="0" w:color="auto"/>
            </w:tcBorders>
            <w:shd w:val="clear" w:color="auto" w:fill="auto"/>
            <w:noWrap/>
          </w:tcPr>
          <w:p w14:paraId="2CC4B94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1,414 %</w:t>
            </w:r>
          </w:p>
        </w:tc>
        <w:tc>
          <w:tcPr>
            <w:tcW w:w="1134" w:type="dxa"/>
            <w:tcBorders>
              <w:top w:val="single" w:sz="4" w:space="0" w:color="auto"/>
              <w:left w:val="nil"/>
              <w:bottom w:val="single" w:sz="4" w:space="0" w:color="auto"/>
              <w:right w:val="single" w:sz="4" w:space="0" w:color="auto"/>
            </w:tcBorders>
          </w:tcPr>
          <w:p w14:paraId="75F542B1" w14:textId="17D9B24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66 371</w:t>
            </w:r>
          </w:p>
        </w:tc>
        <w:tc>
          <w:tcPr>
            <w:tcW w:w="1370" w:type="dxa"/>
            <w:tcBorders>
              <w:top w:val="nil"/>
              <w:left w:val="single" w:sz="4" w:space="0" w:color="auto"/>
              <w:bottom w:val="single" w:sz="4" w:space="0" w:color="auto"/>
              <w:right w:val="single" w:sz="4" w:space="0" w:color="auto"/>
            </w:tcBorders>
            <w:shd w:val="clear" w:color="auto" w:fill="auto"/>
            <w:noWrap/>
          </w:tcPr>
          <w:p w14:paraId="1203D8AB" w14:textId="5D5912E3"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67 422</w:t>
            </w:r>
          </w:p>
        </w:tc>
        <w:tc>
          <w:tcPr>
            <w:tcW w:w="1370" w:type="dxa"/>
            <w:tcBorders>
              <w:top w:val="nil"/>
              <w:left w:val="nil"/>
              <w:bottom w:val="single" w:sz="4" w:space="0" w:color="auto"/>
              <w:right w:val="single" w:sz="4" w:space="0" w:color="auto"/>
            </w:tcBorders>
            <w:shd w:val="clear" w:color="auto" w:fill="auto"/>
            <w:noWrap/>
          </w:tcPr>
          <w:p w14:paraId="389BDAB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69 229</w:t>
            </w:r>
          </w:p>
        </w:tc>
        <w:tc>
          <w:tcPr>
            <w:tcW w:w="1371" w:type="dxa"/>
            <w:tcBorders>
              <w:top w:val="nil"/>
              <w:left w:val="nil"/>
              <w:bottom w:val="single" w:sz="4" w:space="0" w:color="auto"/>
              <w:right w:val="single" w:sz="4" w:space="0" w:color="auto"/>
            </w:tcBorders>
            <w:shd w:val="clear" w:color="auto" w:fill="auto"/>
            <w:noWrap/>
          </w:tcPr>
          <w:p w14:paraId="4E23242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72 587</w:t>
            </w:r>
          </w:p>
        </w:tc>
      </w:tr>
      <w:tr w:rsidR="00E02DE1" w:rsidRPr="00664FF1" w14:paraId="6A30D91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A6A8A6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Pakistán</w:t>
            </w:r>
          </w:p>
        </w:tc>
        <w:tc>
          <w:tcPr>
            <w:tcW w:w="1164" w:type="dxa"/>
            <w:tcBorders>
              <w:top w:val="nil"/>
              <w:left w:val="nil"/>
              <w:bottom w:val="single" w:sz="4" w:space="0" w:color="auto"/>
              <w:right w:val="single" w:sz="4" w:space="0" w:color="auto"/>
            </w:tcBorders>
            <w:shd w:val="clear" w:color="auto" w:fill="auto"/>
            <w:noWrap/>
          </w:tcPr>
          <w:p w14:paraId="044D3AD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0,114</w:t>
            </w:r>
          </w:p>
        </w:tc>
        <w:tc>
          <w:tcPr>
            <w:tcW w:w="992" w:type="dxa"/>
            <w:tcBorders>
              <w:top w:val="nil"/>
              <w:left w:val="nil"/>
              <w:bottom w:val="single" w:sz="4" w:space="0" w:color="auto"/>
              <w:right w:val="single" w:sz="4" w:space="0" w:color="auto"/>
            </w:tcBorders>
            <w:shd w:val="clear" w:color="auto" w:fill="auto"/>
            <w:noWrap/>
          </w:tcPr>
          <w:p w14:paraId="21D5EE6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0,117 %</w:t>
            </w:r>
          </w:p>
        </w:tc>
        <w:tc>
          <w:tcPr>
            <w:tcW w:w="1134" w:type="dxa"/>
            <w:tcBorders>
              <w:top w:val="single" w:sz="4" w:space="0" w:color="auto"/>
              <w:left w:val="nil"/>
              <w:bottom w:val="single" w:sz="4" w:space="0" w:color="auto"/>
              <w:right w:val="single" w:sz="4" w:space="0" w:color="auto"/>
            </w:tcBorders>
          </w:tcPr>
          <w:p w14:paraId="441DA170" w14:textId="1599AF7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5 629</w:t>
            </w:r>
          </w:p>
        </w:tc>
        <w:tc>
          <w:tcPr>
            <w:tcW w:w="1370" w:type="dxa"/>
            <w:tcBorders>
              <w:top w:val="nil"/>
              <w:left w:val="single" w:sz="4" w:space="0" w:color="auto"/>
              <w:bottom w:val="single" w:sz="4" w:space="0" w:color="auto"/>
              <w:right w:val="single" w:sz="4" w:space="0" w:color="auto"/>
            </w:tcBorders>
            <w:shd w:val="clear" w:color="auto" w:fill="auto"/>
            <w:noWrap/>
          </w:tcPr>
          <w:p w14:paraId="272842D5" w14:textId="6C23E04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5 582</w:t>
            </w:r>
          </w:p>
        </w:tc>
        <w:tc>
          <w:tcPr>
            <w:tcW w:w="1370" w:type="dxa"/>
            <w:tcBorders>
              <w:top w:val="nil"/>
              <w:left w:val="nil"/>
              <w:bottom w:val="single" w:sz="4" w:space="0" w:color="auto"/>
              <w:right w:val="single" w:sz="4" w:space="0" w:color="auto"/>
            </w:tcBorders>
            <w:shd w:val="clear" w:color="auto" w:fill="auto"/>
            <w:noWrap/>
          </w:tcPr>
          <w:p w14:paraId="4E98B58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5 731</w:t>
            </w:r>
          </w:p>
        </w:tc>
        <w:tc>
          <w:tcPr>
            <w:tcW w:w="1371" w:type="dxa"/>
            <w:tcBorders>
              <w:top w:val="nil"/>
              <w:left w:val="nil"/>
              <w:bottom w:val="single" w:sz="4" w:space="0" w:color="auto"/>
              <w:right w:val="single" w:sz="4" w:space="0" w:color="auto"/>
            </w:tcBorders>
            <w:shd w:val="clear" w:color="auto" w:fill="auto"/>
            <w:noWrap/>
          </w:tcPr>
          <w:p w14:paraId="5379C9B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6 009</w:t>
            </w:r>
          </w:p>
        </w:tc>
      </w:tr>
      <w:tr w:rsidR="00E02DE1" w:rsidRPr="00664FF1" w14:paraId="4CA82B6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F04FE5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Palau</w:t>
            </w:r>
          </w:p>
        </w:tc>
        <w:tc>
          <w:tcPr>
            <w:tcW w:w="1164" w:type="dxa"/>
            <w:tcBorders>
              <w:top w:val="nil"/>
              <w:left w:val="nil"/>
              <w:bottom w:val="single" w:sz="4" w:space="0" w:color="auto"/>
              <w:right w:val="single" w:sz="4" w:space="0" w:color="auto"/>
            </w:tcBorders>
            <w:shd w:val="clear" w:color="auto" w:fill="auto"/>
            <w:noWrap/>
          </w:tcPr>
          <w:p w14:paraId="2D9EBFF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3E37A84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5456781F" w14:textId="43EDB90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83F3FB9" w14:textId="215FB45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D7C823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C9B272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15FACCE"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A969E0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Panamá</w:t>
            </w:r>
          </w:p>
        </w:tc>
        <w:tc>
          <w:tcPr>
            <w:tcW w:w="1164" w:type="dxa"/>
            <w:tcBorders>
              <w:top w:val="nil"/>
              <w:left w:val="nil"/>
              <w:bottom w:val="single" w:sz="4" w:space="0" w:color="auto"/>
              <w:right w:val="single" w:sz="4" w:space="0" w:color="auto"/>
            </w:tcBorders>
            <w:shd w:val="clear" w:color="auto" w:fill="auto"/>
            <w:noWrap/>
          </w:tcPr>
          <w:p w14:paraId="2F3983E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0,090</w:t>
            </w:r>
          </w:p>
        </w:tc>
        <w:tc>
          <w:tcPr>
            <w:tcW w:w="992" w:type="dxa"/>
            <w:tcBorders>
              <w:top w:val="nil"/>
              <w:left w:val="nil"/>
              <w:bottom w:val="single" w:sz="4" w:space="0" w:color="auto"/>
              <w:right w:val="single" w:sz="4" w:space="0" w:color="auto"/>
            </w:tcBorders>
            <w:shd w:val="clear" w:color="auto" w:fill="auto"/>
            <w:noWrap/>
          </w:tcPr>
          <w:p w14:paraId="4C861D7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0,092 %</w:t>
            </w:r>
          </w:p>
        </w:tc>
        <w:tc>
          <w:tcPr>
            <w:tcW w:w="1134" w:type="dxa"/>
            <w:tcBorders>
              <w:top w:val="single" w:sz="4" w:space="0" w:color="auto"/>
              <w:left w:val="nil"/>
              <w:bottom w:val="single" w:sz="4" w:space="0" w:color="auto"/>
              <w:right w:val="single" w:sz="4" w:space="0" w:color="auto"/>
            </w:tcBorders>
          </w:tcPr>
          <w:p w14:paraId="1F96F40F" w14:textId="11E130D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2 203</w:t>
            </w:r>
          </w:p>
        </w:tc>
        <w:tc>
          <w:tcPr>
            <w:tcW w:w="1370" w:type="dxa"/>
            <w:tcBorders>
              <w:top w:val="nil"/>
              <w:left w:val="single" w:sz="4" w:space="0" w:color="auto"/>
              <w:bottom w:val="single" w:sz="4" w:space="0" w:color="auto"/>
              <w:right w:val="single" w:sz="4" w:space="0" w:color="auto"/>
            </w:tcBorders>
            <w:shd w:val="clear" w:color="auto" w:fill="auto"/>
            <w:noWrap/>
          </w:tcPr>
          <w:p w14:paraId="502460CD" w14:textId="664D673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4 407</w:t>
            </w:r>
          </w:p>
        </w:tc>
        <w:tc>
          <w:tcPr>
            <w:tcW w:w="1370" w:type="dxa"/>
            <w:tcBorders>
              <w:top w:val="nil"/>
              <w:left w:val="nil"/>
              <w:bottom w:val="single" w:sz="4" w:space="0" w:color="auto"/>
              <w:right w:val="single" w:sz="4" w:space="0" w:color="auto"/>
            </w:tcBorders>
            <w:shd w:val="clear" w:color="auto" w:fill="auto"/>
            <w:noWrap/>
          </w:tcPr>
          <w:p w14:paraId="1EA26FC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4 525</w:t>
            </w:r>
          </w:p>
        </w:tc>
        <w:tc>
          <w:tcPr>
            <w:tcW w:w="1371" w:type="dxa"/>
            <w:tcBorders>
              <w:top w:val="nil"/>
              <w:left w:val="nil"/>
              <w:bottom w:val="single" w:sz="4" w:space="0" w:color="auto"/>
              <w:right w:val="single" w:sz="4" w:space="0" w:color="auto"/>
            </w:tcBorders>
            <w:shd w:val="clear" w:color="auto" w:fill="auto"/>
            <w:noWrap/>
          </w:tcPr>
          <w:p w14:paraId="58A67D2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4 744</w:t>
            </w:r>
          </w:p>
        </w:tc>
      </w:tr>
      <w:tr w:rsidR="00E02DE1" w:rsidRPr="00664FF1" w14:paraId="1FC8CAD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E75469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Papua Nueva Guinea</w:t>
            </w:r>
          </w:p>
        </w:tc>
        <w:tc>
          <w:tcPr>
            <w:tcW w:w="1164" w:type="dxa"/>
            <w:tcBorders>
              <w:top w:val="nil"/>
              <w:left w:val="nil"/>
              <w:bottom w:val="single" w:sz="4" w:space="0" w:color="auto"/>
              <w:right w:val="single" w:sz="4" w:space="0" w:color="auto"/>
            </w:tcBorders>
            <w:shd w:val="clear" w:color="auto" w:fill="auto"/>
            <w:noWrap/>
          </w:tcPr>
          <w:p w14:paraId="7421A3C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49943D6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76A64C10" w14:textId="071B916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703FF2B" w14:textId="4C3156E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F60E64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36FA4A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4FA559E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519D6A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Paraguay</w:t>
            </w:r>
          </w:p>
        </w:tc>
        <w:tc>
          <w:tcPr>
            <w:tcW w:w="1164" w:type="dxa"/>
            <w:tcBorders>
              <w:top w:val="nil"/>
              <w:left w:val="nil"/>
              <w:bottom w:val="single" w:sz="4" w:space="0" w:color="auto"/>
              <w:right w:val="single" w:sz="4" w:space="0" w:color="auto"/>
            </w:tcBorders>
            <w:shd w:val="clear" w:color="auto" w:fill="auto"/>
            <w:noWrap/>
          </w:tcPr>
          <w:p w14:paraId="7B4D4C0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0,026</w:t>
            </w:r>
          </w:p>
        </w:tc>
        <w:tc>
          <w:tcPr>
            <w:tcW w:w="992" w:type="dxa"/>
            <w:tcBorders>
              <w:top w:val="nil"/>
              <w:left w:val="nil"/>
              <w:bottom w:val="single" w:sz="4" w:space="0" w:color="auto"/>
              <w:right w:val="single" w:sz="4" w:space="0" w:color="auto"/>
            </w:tcBorders>
            <w:shd w:val="clear" w:color="auto" w:fill="auto"/>
            <w:noWrap/>
          </w:tcPr>
          <w:p w14:paraId="5F6B077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0,027 %</w:t>
            </w:r>
          </w:p>
        </w:tc>
        <w:tc>
          <w:tcPr>
            <w:tcW w:w="1134" w:type="dxa"/>
            <w:tcBorders>
              <w:top w:val="single" w:sz="4" w:space="0" w:color="auto"/>
              <w:left w:val="nil"/>
              <w:bottom w:val="single" w:sz="4" w:space="0" w:color="auto"/>
              <w:right w:val="single" w:sz="4" w:space="0" w:color="auto"/>
            </w:tcBorders>
          </w:tcPr>
          <w:p w14:paraId="5B88646C" w14:textId="47A517F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809D5AB" w14:textId="7828CA9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1 273</w:t>
            </w:r>
          </w:p>
        </w:tc>
        <w:tc>
          <w:tcPr>
            <w:tcW w:w="1370" w:type="dxa"/>
            <w:tcBorders>
              <w:top w:val="nil"/>
              <w:left w:val="nil"/>
              <w:bottom w:val="single" w:sz="4" w:space="0" w:color="auto"/>
              <w:right w:val="single" w:sz="4" w:space="0" w:color="auto"/>
            </w:tcBorders>
            <w:shd w:val="clear" w:color="auto" w:fill="auto"/>
            <w:noWrap/>
          </w:tcPr>
          <w:p w14:paraId="1C56C38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1 307</w:t>
            </w:r>
          </w:p>
        </w:tc>
        <w:tc>
          <w:tcPr>
            <w:tcW w:w="1371" w:type="dxa"/>
            <w:tcBorders>
              <w:top w:val="nil"/>
              <w:left w:val="nil"/>
              <w:bottom w:val="single" w:sz="4" w:space="0" w:color="auto"/>
              <w:right w:val="single" w:sz="4" w:space="0" w:color="auto"/>
            </w:tcBorders>
            <w:shd w:val="clear" w:color="auto" w:fill="auto"/>
            <w:noWrap/>
          </w:tcPr>
          <w:p w14:paraId="4797298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1 371</w:t>
            </w:r>
          </w:p>
        </w:tc>
      </w:tr>
      <w:tr w:rsidR="00E02DE1" w:rsidRPr="00664FF1" w14:paraId="3B24A9E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577A0A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Perú</w:t>
            </w:r>
          </w:p>
        </w:tc>
        <w:tc>
          <w:tcPr>
            <w:tcW w:w="1164" w:type="dxa"/>
            <w:tcBorders>
              <w:top w:val="nil"/>
              <w:left w:val="nil"/>
              <w:bottom w:val="single" w:sz="4" w:space="0" w:color="auto"/>
              <w:right w:val="single" w:sz="4" w:space="0" w:color="auto"/>
            </w:tcBorders>
            <w:shd w:val="clear" w:color="auto" w:fill="auto"/>
            <w:noWrap/>
          </w:tcPr>
          <w:p w14:paraId="295B126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0,163</w:t>
            </w:r>
          </w:p>
        </w:tc>
        <w:tc>
          <w:tcPr>
            <w:tcW w:w="992" w:type="dxa"/>
            <w:tcBorders>
              <w:top w:val="nil"/>
              <w:left w:val="nil"/>
              <w:bottom w:val="single" w:sz="4" w:space="0" w:color="auto"/>
              <w:right w:val="single" w:sz="4" w:space="0" w:color="auto"/>
            </w:tcBorders>
            <w:shd w:val="clear" w:color="auto" w:fill="auto"/>
            <w:noWrap/>
          </w:tcPr>
          <w:p w14:paraId="25DE4DF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0,167 %</w:t>
            </w:r>
          </w:p>
        </w:tc>
        <w:tc>
          <w:tcPr>
            <w:tcW w:w="1134" w:type="dxa"/>
            <w:tcBorders>
              <w:top w:val="single" w:sz="4" w:space="0" w:color="auto"/>
              <w:left w:val="nil"/>
              <w:bottom w:val="single" w:sz="4" w:space="0" w:color="auto"/>
              <w:right w:val="single" w:sz="4" w:space="0" w:color="auto"/>
            </w:tcBorders>
          </w:tcPr>
          <w:p w14:paraId="72E1B0C8" w14:textId="2394735C"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7440</w:t>
            </w:r>
          </w:p>
        </w:tc>
        <w:tc>
          <w:tcPr>
            <w:tcW w:w="1370" w:type="dxa"/>
            <w:tcBorders>
              <w:top w:val="nil"/>
              <w:left w:val="single" w:sz="4" w:space="0" w:color="auto"/>
              <w:bottom w:val="single" w:sz="4" w:space="0" w:color="auto"/>
              <w:right w:val="single" w:sz="4" w:space="0" w:color="auto"/>
            </w:tcBorders>
            <w:shd w:val="clear" w:color="auto" w:fill="auto"/>
            <w:noWrap/>
          </w:tcPr>
          <w:p w14:paraId="5C62C8D0" w14:textId="131CA66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7 981</w:t>
            </w:r>
          </w:p>
        </w:tc>
        <w:tc>
          <w:tcPr>
            <w:tcW w:w="1370" w:type="dxa"/>
            <w:tcBorders>
              <w:top w:val="nil"/>
              <w:left w:val="nil"/>
              <w:bottom w:val="single" w:sz="4" w:space="0" w:color="auto"/>
              <w:right w:val="single" w:sz="4" w:space="0" w:color="auto"/>
            </w:tcBorders>
            <w:shd w:val="clear" w:color="auto" w:fill="auto"/>
            <w:noWrap/>
          </w:tcPr>
          <w:p w14:paraId="54BEAE9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8 195</w:t>
            </w:r>
          </w:p>
        </w:tc>
        <w:tc>
          <w:tcPr>
            <w:tcW w:w="1371" w:type="dxa"/>
            <w:tcBorders>
              <w:top w:val="nil"/>
              <w:left w:val="nil"/>
              <w:bottom w:val="single" w:sz="4" w:space="0" w:color="auto"/>
              <w:right w:val="single" w:sz="4" w:space="0" w:color="auto"/>
            </w:tcBorders>
            <w:shd w:val="clear" w:color="auto" w:fill="auto"/>
            <w:noWrap/>
          </w:tcPr>
          <w:p w14:paraId="323D180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8 592</w:t>
            </w:r>
          </w:p>
        </w:tc>
      </w:tr>
      <w:tr w:rsidR="00E02DE1" w:rsidRPr="00664FF1" w14:paraId="621BE2C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897BE5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Polonia</w:t>
            </w:r>
          </w:p>
        </w:tc>
        <w:tc>
          <w:tcPr>
            <w:tcW w:w="1164" w:type="dxa"/>
            <w:tcBorders>
              <w:top w:val="nil"/>
              <w:left w:val="nil"/>
              <w:bottom w:val="single" w:sz="4" w:space="0" w:color="auto"/>
              <w:right w:val="single" w:sz="4" w:space="0" w:color="auto"/>
            </w:tcBorders>
            <w:shd w:val="clear" w:color="auto" w:fill="auto"/>
            <w:noWrap/>
          </w:tcPr>
          <w:p w14:paraId="406EEAC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0,837</w:t>
            </w:r>
          </w:p>
        </w:tc>
        <w:tc>
          <w:tcPr>
            <w:tcW w:w="992" w:type="dxa"/>
            <w:tcBorders>
              <w:top w:val="nil"/>
              <w:left w:val="nil"/>
              <w:bottom w:val="single" w:sz="4" w:space="0" w:color="auto"/>
              <w:right w:val="single" w:sz="4" w:space="0" w:color="auto"/>
            </w:tcBorders>
            <w:shd w:val="clear" w:color="auto" w:fill="auto"/>
            <w:noWrap/>
          </w:tcPr>
          <w:p w14:paraId="7A308FF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0,859 %</w:t>
            </w:r>
          </w:p>
        </w:tc>
        <w:tc>
          <w:tcPr>
            <w:tcW w:w="1134" w:type="dxa"/>
            <w:tcBorders>
              <w:top w:val="single" w:sz="4" w:space="0" w:color="auto"/>
              <w:left w:val="nil"/>
              <w:bottom w:val="single" w:sz="4" w:space="0" w:color="auto"/>
              <w:right w:val="single" w:sz="4" w:space="0" w:color="auto"/>
            </w:tcBorders>
          </w:tcPr>
          <w:p w14:paraId="7D442BA9" w14:textId="111A5F1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39 255</w:t>
            </w:r>
          </w:p>
        </w:tc>
        <w:tc>
          <w:tcPr>
            <w:tcW w:w="1370" w:type="dxa"/>
            <w:tcBorders>
              <w:top w:val="nil"/>
              <w:left w:val="single" w:sz="4" w:space="0" w:color="auto"/>
              <w:bottom w:val="single" w:sz="4" w:space="0" w:color="auto"/>
              <w:right w:val="single" w:sz="4" w:space="0" w:color="auto"/>
            </w:tcBorders>
            <w:shd w:val="clear" w:color="auto" w:fill="auto"/>
            <w:noWrap/>
          </w:tcPr>
          <w:p w14:paraId="34106DEC" w14:textId="26B30E02"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40 982</w:t>
            </w:r>
          </w:p>
        </w:tc>
        <w:tc>
          <w:tcPr>
            <w:tcW w:w="1370" w:type="dxa"/>
            <w:tcBorders>
              <w:top w:val="nil"/>
              <w:left w:val="nil"/>
              <w:bottom w:val="single" w:sz="4" w:space="0" w:color="auto"/>
              <w:right w:val="single" w:sz="4" w:space="0" w:color="auto"/>
            </w:tcBorders>
            <w:shd w:val="clear" w:color="auto" w:fill="auto"/>
            <w:noWrap/>
          </w:tcPr>
          <w:p w14:paraId="7555B33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42 080</w:t>
            </w:r>
          </w:p>
        </w:tc>
        <w:tc>
          <w:tcPr>
            <w:tcW w:w="1371" w:type="dxa"/>
            <w:tcBorders>
              <w:top w:val="nil"/>
              <w:left w:val="nil"/>
              <w:bottom w:val="single" w:sz="4" w:space="0" w:color="auto"/>
              <w:right w:val="single" w:sz="4" w:space="0" w:color="auto"/>
            </w:tcBorders>
            <w:shd w:val="clear" w:color="auto" w:fill="auto"/>
            <w:noWrap/>
          </w:tcPr>
          <w:p w14:paraId="73C89BC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44 121</w:t>
            </w:r>
          </w:p>
        </w:tc>
      </w:tr>
      <w:tr w:rsidR="00E02DE1" w:rsidRPr="00664FF1" w14:paraId="448C29B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2D6F3E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Portugal</w:t>
            </w:r>
          </w:p>
        </w:tc>
        <w:tc>
          <w:tcPr>
            <w:tcW w:w="1164" w:type="dxa"/>
            <w:tcBorders>
              <w:top w:val="nil"/>
              <w:left w:val="nil"/>
              <w:bottom w:val="single" w:sz="4" w:space="0" w:color="auto"/>
              <w:right w:val="single" w:sz="4" w:space="0" w:color="auto"/>
            </w:tcBorders>
            <w:shd w:val="clear" w:color="auto" w:fill="auto"/>
            <w:noWrap/>
          </w:tcPr>
          <w:p w14:paraId="6B5702E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0,353</w:t>
            </w:r>
          </w:p>
        </w:tc>
        <w:tc>
          <w:tcPr>
            <w:tcW w:w="992" w:type="dxa"/>
            <w:tcBorders>
              <w:top w:val="nil"/>
              <w:left w:val="nil"/>
              <w:bottom w:val="single" w:sz="4" w:space="0" w:color="auto"/>
              <w:right w:val="single" w:sz="4" w:space="0" w:color="auto"/>
            </w:tcBorders>
            <w:shd w:val="clear" w:color="auto" w:fill="auto"/>
            <w:noWrap/>
          </w:tcPr>
          <w:p w14:paraId="04178E5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0,362 %</w:t>
            </w:r>
          </w:p>
        </w:tc>
        <w:tc>
          <w:tcPr>
            <w:tcW w:w="1134" w:type="dxa"/>
            <w:tcBorders>
              <w:top w:val="single" w:sz="4" w:space="0" w:color="auto"/>
              <w:left w:val="nil"/>
              <w:bottom w:val="single" w:sz="4" w:space="0" w:color="auto"/>
              <w:right w:val="single" w:sz="4" w:space="0" w:color="auto"/>
            </w:tcBorders>
          </w:tcPr>
          <w:p w14:paraId="6D64355B" w14:textId="3BBF114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17 131</w:t>
            </w:r>
          </w:p>
        </w:tc>
        <w:tc>
          <w:tcPr>
            <w:tcW w:w="1370" w:type="dxa"/>
            <w:tcBorders>
              <w:top w:val="nil"/>
              <w:left w:val="single" w:sz="4" w:space="0" w:color="auto"/>
              <w:bottom w:val="single" w:sz="4" w:space="0" w:color="auto"/>
              <w:right w:val="single" w:sz="4" w:space="0" w:color="auto"/>
            </w:tcBorders>
            <w:shd w:val="clear" w:color="auto" w:fill="auto"/>
            <w:noWrap/>
          </w:tcPr>
          <w:p w14:paraId="16BD9161" w14:textId="64DEA1D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17 284</w:t>
            </w:r>
          </w:p>
        </w:tc>
        <w:tc>
          <w:tcPr>
            <w:tcW w:w="1370" w:type="dxa"/>
            <w:tcBorders>
              <w:top w:val="nil"/>
              <w:left w:val="nil"/>
              <w:bottom w:val="single" w:sz="4" w:space="0" w:color="auto"/>
              <w:right w:val="single" w:sz="4" w:space="0" w:color="auto"/>
            </w:tcBorders>
            <w:shd w:val="clear" w:color="auto" w:fill="auto"/>
            <w:noWrap/>
          </w:tcPr>
          <w:p w14:paraId="017EF8E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17 747</w:t>
            </w:r>
          </w:p>
        </w:tc>
        <w:tc>
          <w:tcPr>
            <w:tcW w:w="1371" w:type="dxa"/>
            <w:tcBorders>
              <w:top w:val="nil"/>
              <w:left w:val="nil"/>
              <w:bottom w:val="single" w:sz="4" w:space="0" w:color="auto"/>
              <w:right w:val="single" w:sz="4" w:space="0" w:color="auto"/>
            </w:tcBorders>
            <w:shd w:val="clear" w:color="auto" w:fill="auto"/>
            <w:noWrap/>
          </w:tcPr>
          <w:p w14:paraId="7F2068E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18 608</w:t>
            </w:r>
          </w:p>
        </w:tc>
      </w:tr>
      <w:tr w:rsidR="00E02DE1" w:rsidRPr="00664FF1" w14:paraId="556DC15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02880A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Reino Unido</w:t>
            </w:r>
          </w:p>
        </w:tc>
        <w:tc>
          <w:tcPr>
            <w:tcW w:w="1164" w:type="dxa"/>
            <w:tcBorders>
              <w:top w:val="nil"/>
              <w:left w:val="nil"/>
              <w:bottom w:val="single" w:sz="4" w:space="0" w:color="auto"/>
              <w:right w:val="single" w:sz="4" w:space="0" w:color="auto"/>
            </w:tcBorders>
            <w:shd w:val="clear" w:color="auto" w:fill="auto"/>
            <w:noWrap/>
          </w:tcPr>
          <w:p w14:paraId="3CDBA11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4,375</w:t>
            </w:r>
          </w:p>
        </w:tc>
        <w:tc>
          <w:tcPr>
            <w:tcW w:w="992" w:type="dxa"/>
            <w:tcBorders>
              <w:top w:val="nil"/>
              <w:left w:val="nil"/>
              <w:bottom w:val="single" w:sz="4" w:space="0" w:color="auto"/>
              <w:right w:val="single" w:sz="4" w:space="0" w:color="auto"/>
            </w:tcBorders>
            <w:shd w:val="clear" w:color="auto" w:fill="auto"/>
            <w:noWrap/>
          </w:tcPr>
          <w:p w14:paraId="50BED75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4,491 %</w:t>
            </w:r>
          </w:p>
        </w:tc>
        <w:tc>
          <w:tcPr>
            <w:tcW w:w="1134" w:type="dxa"/>
            <w:tcBorders>
              <w:top w:val="single" w:sz="4" w:space="0" w:color="auto"/>
              <w:left w:val="nil"/>
              <w:bottom w:val="single" w:sz="4" w:space="0" w:color="auto"/>
              <w:right w:val="single" w:sz="4" w:space="0" w:color="auto"/>
            </w:tcBorders>
          </w:tcPr>
          <w:p w14:paraId="500CE3F3" w14:textId="2C06D0C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223 536</w:t>
            </w:r>
          </w:p>
        </w:tc>
        <w:tc>
          <w:tcPr>
            <w:tcW w:w="1370" w:type="dxa"/>
            <w:tcBorders>
              <w:top w:val="nil"/>
              <w:left w:val="single" w:sz="4" w:space="0" w:color="auto"/>
              <w:bottom w:val="single" w:sz="4" w:space="0" w:color="auto"/>
              <w:right w:val="single" w:sz="4" w:space="0" w:color="auto"/>
            </w:tcBorders>
            <w:shd w:val="clear" w:color="auto" w:fill="auto"/>
            <w:noWrap/>
          </w:tcPr>
          <w:p w14:paraId="4457764D" w14:textId="7933215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214 212</w:t>
            </w:r>
          </w:p>
        </w:tc>
        <w:tc>
          <w:tcPr>
            <w:tcW w:w="1370" w:type="dxa"/>
            <w:tcBorders>
              <w:top w:val="nil"/>
              <w:left w:val="nil"/>
              <w:bottom w:val="single" w:sz="4" w:space="0" w:color="auto"/>
              <w:right w:val="single" w:sz="4" w:space="0" w:color="auto"/>
            </w:tcBorders>
            <w:shd w:val="clear" w:color="auto" w:fill="auto"/>
            <w:noWrap/>
          </w:tcPr>
          <w:p w14:paraId="6A62381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219 953</w:t>
            </w:r>
          </w:p>
        </w:tc>
        <w:tc>
          <w:tcPr>
            <w:tcW w:w="1371" w:type="dxa"/>
            <w:tcBorders>
              <w:top w:val="nil"/>
              <w:left w:val="nil"/>
              <w:bottom w:val="single" w:sz="4" w:space="0" w:color="auto"/>
              <w:right w:val="single" w:sz="4" w:space="0" w:color="auto"/>
            </w:tcBorders>
            <w:shd w:val="clear" w:color="auto" w:fill="auto"/>
            <w:noWrap/>
          </w:tcPr>
          <w:p w14:paraId="550DEB0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230 623</w:t>
            </w:r>
          </w:p>
        </w:tc>
      </w:tr>
      <w:tr w:rsidR="00E02DE1" w:rsidRPr="00664FF1" w14:paraId="35BDB19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6E9F5D5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República Árabe Siria</w:t>
            </w:r>
          </w:p>
        </w:tc>
        <w:tc>
          <w:tcPr>
            <w:tcW w:w="1164" w:type="dxa"/>
            <w:tcBorders>
              <w:top w:val="nil"/>
              <w:left w:val="nil"/>
              <w:bottom w:val="single" w:sz="4" w:space="0" w:color="auto"/>
              <w:right w:val="single" w:sz="4" w:space="0" w:color="auto"/>
            </w:tcBorders>
            <w:shd w:val="clear" w:color="auto" w:fill="auto"/>
            <w:noWrap/>
          </w:tcPr>
          <w:p w14:paraId="72CD46B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0,009</w:t>
            </w:r>
          </w:p>
        </w:tc>
        <w:tc>
          <w:tcPr>
            <w:tcW w:w="992" w:type="dxa"/>
            <w:tcBorders>
              <w:top w:val="nil"/>
              <w:left w:val="nil"/>
              <w:bottom w:val="single" w:sz="4" w:space="0" w:color="auto"/>
              <w:right w:val="single" w:sz="4" w:space="0" w:color="auto"/>
            </w:tcBorders>
            <w:shd w:val="clear" w:color="auto" w:fill="auto"/>
            <w:noWrap/>
          </w:tcPr>
          <w:p w14:paraId="481EF8F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0,009 %</w:t>
            </w:r>
          </w:p>
        </w:tc>
        <w:tc>
          <w:tcPr>
            <w:tcW w:w="1134" w:type="dxa"/>
            <w:tcBorders>
              <w:top w:val="single" w:sz="4" w:space="0" w:color="auto"/>
              <w:left w:val="nil"/>
              <w:bottom w:val="single" w:sz="4" w:space="0" w:color="auto"/>
              <w:right w:val="single" w:sz="4" w:space="0" w:color="auto"/>
            </w:tcBorders>
          </w:tcPr>
          <w:p w14:paraId="058AEDAC" w14:textId="1C83F8B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67418912" w14:textId="590B9E6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8346EF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E9234D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0610BE1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953EA3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República Centroafricana</w:t>
            </w:r>
          </w:p>
        </w:tc>
        <w:tc>
          <w:tcPr>
            <w:tcW w:w="1164" w:type="dxa"/>
            <w:tcBorders>
              <w:top w:val="nil"/>
              <w:left w:val="nil"/>
              <w:bottom w:val="single" w:sz="4" w:space="0" w:color="auto"/>
              <w:right w:val="single" w:sz="4" w:space="0" w:color="auto"/>
            </w:tcBorders>
            <w:shd w:val="clear" w:color="auto" w:fill="auto"/>
            <w:noWrap/>
          </w:tcPr>
          <w:p w14:paraId="334C33F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0D716BB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6A712D15" w14:textId="0DE8AA6C"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33ED434" w14:textId="28BBE3C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C5F9E9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B54D11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D35683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B5837D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República Checa</w:t>
            </w:r>
          </w:p>
        </w:tc>
        <w:tc>
          <w:tcPr>
            <w:tcW w:w="1164" w:type="dxa"/>
            <w:tcBorders>
              <w:top w:val="nil"/>
              <w:left w:val="nil"/>
              <w:bottom w:val="single" w:sz="4" w:space="0" w:color="auto"/>
              <w:right w:val="single" w:sz="4" w:space="0" w:color="auto"/>
            </w:tcBorders>
            <w:shd w:val="clear" w:color="auto" w:fill="auto"/>
            <w:noWrap/>
          </w:tcPr>
          <w:p w14:paraId="1264012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0,340</w:t>
            </w:r>
          </w:p>
        </w:tc>
        <w:tc>
          <w:tcPr>
            <w:tcW w:w="992" w:type="dxa"/>
            <w:tcBorders>
              <w:top w:val="nil"/>
              <w:left w:val="nil"/>
              <w:bottom w:val="single" w:sz="4" w:space="0" w:color="auto"/>
              <w:right w:val="single" w:sz="4" w:space="0" w:color="auto"/>
            </w:tcBorders>
            <w:shd w:val="clear" w:color="auto" w:fill="auto"/>
            <w:noWrap/>
          </w:tcPr>
          <w:p w14:paraId="218C6C1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0,349 %</w:t>
            </w:r>
          </w:p>
        </w:tc>
        <w:tc>
          <w:tcPr>
            <w:tcW w:w="1134" w:type="dxa"/>
            <w:tcBorders>
              <w:top w:val="single" w:sz="4" w:space="0" w:color="auto"/>
              <w:left w:val="nil"/>
              <w:bottom w:val="single" w:sz="4" w:space="0" w:color="auto"/>
              <w:right w:val="single" w:sz="4" w:space="0" w:color="auto"/>
            </w:tcBorders>
          </w:tcPr>
          <w:p w14:paraId="0789BAFB" w14:textId="31DE97F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15 222</w:t>
            </w:r>
          </w:p>
        </w:tc>
        <w:tc>
          <w:tcPr>
            <w:tcW w:w="1370" w:type="dxa"/>
            <w:tcBorders>
              <w:top w:val="nil"/>
              <w:left w:val="single" w:sz="4" w:space="0" w:color="auto"/>
              <w:bottom w:val="single" w:sz="4" w:space="0" w:color="auto"/>
              <w:right w:val="single" w:sz="4" w:space="0" w:color="auto"/>
            </w:tcBorders>
            <w:shd w:val="clear" w:color="auto" w:fill="auto"/>
            <w:noWrap/>
          </w:tcPr>
          <w:p w14:paraId="231C6A8E" w14:textId="4CCC499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16 647</w:t>
            </w:r>
          </w:p>
        </w:tc>
        <w:tc>
          <w:tcPr>
            <w:tcW w:w="1370" w:type="dxa"/>
            <w:tcBorders>
              <w:top w:val="nil"/>
              <w:left w:val="nil"/>
              <w:bottom w:val="single" w:sz="4" w:space="0" w:color="auto"/>
              <w:right w:val="single" w:sz="4" w:space="0" w:color="auto"/>
            </w:tcBorders>
            <w:shd w:val="clear" w:color="auto" w:fill="auto"/>
            <w:noWrap/>
          </w:tcPr>
          <w:p w14:paraId="1430912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17 094</w:t>
            </w:r>
          </w:p>
        </w:tc>
        <w:tc>
          <w:tcPr>
            <w:tcW w:w="1371" w:type="dxa"/>
            <w:tcBorders>
              <w:top w:val="nil"/>
              <w:left w:val="nil"/>
              <w:bottom w:val="single" w:sz="4" w:space="0" w:color="auto"/>
              <w:right w:val="single" w:sz="4" w:space="0" w:color="auto"/>
            </w:tcBorders>
            <w:shd w:val="clear" w:color="auto" w:fill="auto"/>
            <w:noWrap/>
          </w:tcPr>
          <w:p w14:paraId="263CFDD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17 923</w:t>
            </w:r>
          </w:p>
        </w:tc>
      </w:tr>
      <w:tr w:rsidR="00E02DE1" w:rsidRPr="00664FF1" w14:paraId="4F84AAE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4EB671D"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República de Corea</w:t>
            </w:r>
          </w:p>
        </w:tc>
        <w:tc>
          <w:tcPr>
            <w:tcW w:w="1164" w:type="dxa"/>
            <w:tcBorders>
              <w:top w:val="nil"/>
              <w:left w:val="nil"/>
              <w:bottom w:val="single" w:sz="4" w:space="0" w:color="auto"/>
              <w:right w:val="single" w:sz="4" w:space="0" w:color="auto"/>
            </w:tcBorders>
            <w:shd w:val="clear" w:color="auto" w:fill="auto"/>
            <w:noWrap/>
          </w:tcPr>
          <w:p w14:paraId="75DF7D4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2,574</w:t>
            </w:r>
          </w:p>
        </w:tc>
        <w:tc>
          <w:tcPr>
            <w:tcW w:w="992" w:type="dxa"/>
            <w:tcBorders>
              <w:top w:val="nil"/>
              <w:left w:val="nil"/>
              <w:bottom w:val="single" w:sz="4" w:space="0" w:color="auto"/>
              <w:right w:val="single" w:sz="4" w:space="0" w:color="auto"/>
            </w:tcBorders>
            <w:shd w:val="clear" w:color="auto" w:fill="auto"/>
            <w:noWrap/>
          </w:tcPr>
          <w:p w14:paraId="19D6F4E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2,643 %</w:t>
            </w:r>
          </w:p>
        </w:tc>
        <w:tc>
          <w:tcPr>
            <w:tcW w:w="1134" w:type="dxa"/>
            <w:tcBorders>
              <w:top w:val="single" w:sz="4" w:space="0" w:color="auto"/>
              <w:left w:val="nil"/>
              <w:bottom w:val="single" w:sz="4" w:space="0" w:color="auto"/>
              <w:right w:val="single" w:sz="4" w:space="0" w:color="auto"/>
            </w:tcBorders>
          </w:tcPr>
          <w:p w14:paraId="52F6283F" w14:textId="437901C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110 960</w:t>
            </w:r>
          </w:p>
        </w:tc>
        <w:tc>
          <w:tcPr>
            <w:tcW w:w="1370" w:type="dxa"/>
            <w:tcBorders>
              <w:top w:val="nil"/>
              <w:left w:val="single" w:sz="4" w:space="0" w:color="auto"/>
              <w:bottom w:val="single" w:sz="4" w:space="0" w:color="auto"/>
              <w:right w:val="single" w:sz="4" w:space="0" w:color="auto"/>
            </w:tcBorders>
            <w:shd w:val="clear" w:color="auto" w:fill="auto"/>
            <w:noWrap/>
          </w:tcPr>
          <w:p w14:paraId="667DF431" w14:textId="6AE290C5"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126 030</w:t>
            </w:r>
          </w:p>
        </w:tc>
        <w:tc>
          <w:tcPr>
            <w:tcW w:w="1370" w:type="dxa"/>
            <w:tcBorders>
              <w:top w:val="nil"/>
              <w:left w:val="nil"/>
              <w:bottom w:val="single" w:sz="4" w:space="0" w:color="auto"/>
              <w:right w:val="single" w:sz="4" w:space="0" w:color="auto"/>
            </w:tcBorders>
            <w:shd w:val="clear" w:color="auto" w:fill="auto"/>
            <w:noWrap/>
          </w:tcPr>
          <w:p w14:paraId="090DF77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129 408</w:t>
            </w:r>
          </w:p>
        </w:tc>
        <w:tc>
          <w:tcPr>
            <w:tcW w:w="1371" w:type="dxa"/>
            <w:tcBorders>
              <w:top w:val="nil"/>
              <w:left w:val="nil"/>
              <w:bottom w:val="single" w:sz="4" w:space="0" w:color="auto"/>
              <w:right w:val="single" w:sz="4" w:space="0" w:color="auto"/>
            </w:tcBorders>
            <w:shd w:val="clear" w:color="auto" w:fill="auto"/>
            <w:noWrap/>
          </w:tcPr>
          <w:p w14:paraId="77DA2BE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135 685</w:t>
            </w:r>
          </w:p>
        </w:tc>
      </w:tr>
      <w:tr w:rsidR="00E02DE1" w:rsidRPr="00664FF1" w14:paraId="236DD76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F9DF42E"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República de Macedonia del Norte</w:t>
            </w:r>
          </w:p>
        </w:tc>
        <w:tc>
          <w:tcPr>
            <w:tcW w:w="1164" w:type="dxa"/>
            <w:tcBorders>
              <w:top w:val="nil"/>
              <w:left w:val="nil"/>
              <w:bottom w:val="single" w:sz="4" w:space="0" w:color="auto"/>
              <w:right w:val="single" w:sz="4" w:space="0" w:color="auto"/>
            </w:tcBorders>
            <w:shd w:val="clear" w:color="auto" w:fill="auto"/>
            <w:noWrap/>
          </w:tcPr>
          <w:p w14:paraId="59AD576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w:t>
            </w:r>
          </w:p>
        </w:tc>
        <w:tc>
          <w:tcPr>
            <w:tcW w:w="992" w:type="dxa"/>
            <w:tcBorders>
              <w:top w:val="nil"/>
              <w:left w:val="nil"/>
              <w:bottom w:val="single" w:sz="4" w:space="0" w:color="auto"/>
              <w:right w:val="single" w:sz="4" w:space="0" w:color="auto"/>
            </w:tcBorders>
            <w:shd w:val="clear" w:color="auto" w:fill="auto"/>
            <w:noWrap/>
          </w:tcPr>
          <w:p w14:paraId="69FE402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0,007 %</w:t>
            </w:r>
          </w:p>
        </w:tc>
        <w:tc>
          <w:tcPr>
            <w:tcW w:w="1134" w:type="dxa"/>
            <w:tcBorders>
              <w:top w:val="single" w:sz="4" w:space="0" w:color="auto"/>
              <w:left w:val="nil"/>
              <w:bottom w:val="single" w:sz="4" w:space="0" w:color="auto"/>
              <w:right w:val="single" w:sz="4" w:space="0" w:color="auto"/>
            </w:tcBorders>
          </w:tcPr>
          <w:p w14:paraId="7B947280" w14:textId="1445EC5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9F064DF" w14:textId="699C179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65AA22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E0B24D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793498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47EE459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República de Moldova</w:t>
            </w:r>
          </w:p>
        </w:tc>
        <w:tc>
          <w:tcPr>
            <w:tcW w:w="1164" w:type="dxa"/>
            <w:tcBorders>
              <w:top w:val="nil"/>
              <w:left w:val="nil"/>
              <w:bottom w:val="single" w:sz="4" w:space="0" w:color="auto"/>
              <w:right w:val="single" w:sz="4" w:space="0" w:color="auto"/>
            </w:tcBorders>
            <w:shd w:val="clear" w:color="auto" w:fill="auto"/>
            <w:noWrap/>
          </w:tcPr>
          <w:p w14:paraId="1AEFA4C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w:t>
            </w:r>
          </w:p>
        </w:tc>
        <w:tc>
          <w:tcPr>
            <w:tcW w:w="992" w:type="dxa"/>
            <w:tcBorders>
              <w:top w:val="nil"/>
              <w:left w:val="nil"/>
              <w:bottom w:val="single" w:sz="4" w:space="0" w:color="auto"/>
              <w:right w:val="single" w:sz="4" w:space="0" w:color="auto"/>
            </w:tcBorders>
            <w:shd w:val="clear" w:color="auto" w:fill="auto"/>
            <w:noWrap/>
          </w:tcPr>
          <w:p w14:paraId="7690CBE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0,005 %</w:t>
            </w:r>
          </w:p>
        </w:tc>
        <w:tc>
          <w:tcPr>
            <w:tcW w:w="1134" w:type="dxa"/>
            <w:tcBorders>
              <w:top w:val="single" w:sz="4" w:space="0" w:color="auto"/>
              <w:left w:val="nil"/>
              <w:bottom w:val="single" w:sz="4" w:space="0" w:color="auto"/>
              <w:right w:val="single" w:sz="4" w:space="0" w:color="auto"/>
            </w:tcBorders>
          </w:tcPr>
          <w:p w14:paraId="6B41591A" w14:textId="598960A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BEBD29C" w14:textId="0F47E1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10FB753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9CD01A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CAEA21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4878C3D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18"/>
                <w:szCs w:val="18"/>
                <w:lang w:val="es-ES" w:eastAsia="en-GB"/>
              </w:rPr>
              <w:t>República Democrática del Congo</w:t>
            </w:r>
          </w:p>
        </w:tc>
        <w:tc>
          <w:tcPr>
            <w:tcW w:w="1164" w:type="dxa"/>
            <w:tcBorders>
              <w:top w:val="nil"/>
              <w:left w:val="nil"/>
              <w:bottom w:val="single" w:sz="4" w:space="0" w:color="auto"/>
              <w:right w:val="single" w:sz="4" w:space="0" w:color="auto"/>
            </w:tcBorders>
            <w:shd w:val="clear" w:color="auto" w:fill="auto"/>
            <w:noWrap/>
          </w:tcPr>
          <w:p w14:paraId="5BFDFC5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39C6DC1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4CA9F6E1" w14:textId="064EFC8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1CF63E91" w14:textId="6DFBD6E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DCAFCD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F52BED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D1F40B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128E588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República Democrática Popular Lao</w:t>
            </w:r>
          </w:p>
        </w:tc>
        <w:tc>
          <w:tcPr>
            <w:tcW w:w="1164" w:type="dxa"/>
            <w:tcBorders>
              <w:top w:val="nil"/>
              <w:left w:val="nil"/>
              <w:bottom w:val="single" w:sz="4" w:space="0" w:color="auto"/>
              <w:right w:val="single" w:sz="4" w:space="0" w:color="auto"/>
            </w:tcBorders>
            <w:shd w:val="clear" w:color="auto" w:fill="auto"/>
            <w:noWrap/>
          </w:tcPr>
          <w:p w14:paraId="79E60D2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w:t>
            </w:r>
          </w:p>
        </w:tc>
        <w:tc>
          <w:tcPr>
            <w:tcW w:w="992" w:type="dxa"/>
            <w:tcBorders>
              <w:top w:val="nil"/>
              <w:left w:val="nil"/>
              <w:bottom w:val="single" w:sz="4" w:space="0" w:color="auto"/>
              <w:right w:val="single" w:sz="4" w:space="0" w:color="auto"/>
            </w:tcBorders>
            <w:shd w:val="clear" w:color="auto" w:fill="auto"/>
            <w:noWrap/>
          </w:tcPr>
          <w:p w14:paraId="0993652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0,007 %</w:t>
            </w:r>
          </w:p>
        </w:tc>
        <w:tc>
          <w:tcPr>
            <w:tcW w:w="1134" w:type="dxa"/>
            <w:tcBorders>
              <w:top w:val="single" w:sz="4" w:space="0" w:color="auto"/>
              <w:left w:val="nil"/>
              <w:bottom w:val="single" w:sz="4" w:space="0" w:color="auto"/>
              <w:right w:val="single" w:sz="4" w:space="0" w:color="auto"/>
            </w:tcBorders>
          </w:tcPr>
          <w:p w14:paraId="1A39773A" w14:textId="1F3BAB6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69CC78F" w14:textId="0C7FE25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7A0A7D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953DCB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3029AF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2303A04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República Dominicana</w:t>
            </w:r>
          </w:p>
        </w:tc>
        <w:tc>
          <w:tcPr>
            <w:tcW w:w="1164" w:type="dxa"/>
            <w:tcBorders>
              <w:top w:val="nil"/>
              <w:left w:val="nil"/>
              <w:bottom w:val="single" w:sz="4" w:space="0" w:color="auto"/>
              <w:right w:val="single" w:sz="4" w:space="0" w:color="auto"/>
            </w:tcBorders>
            <w:shd w:val="clear" w:color="auto" w:fill="auto"/>
            <w:noWrap/>
          </w:tcPr>
          <w:p w14:paraId="5D2882C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0,067</w:t>
            </w:r>
          </w:p>
        </w:tc>
        <w:tc>
          <w:tcPr>
            <w:tcW w:w="992" w:type="dxa"/>
            <w:tcBorders>
              <w:top w:val="nil"/>
              <w:left w:val="nil"/>
              <w:bottom w:val="single" w:sz="4" w:space="0" w:color="auto"/>
              <w:right w:val="single" w:sz="4" w:space="0" w:color="auto"/>
            </w:tcBorders>
            <w:shd w:val="clear" w:color="auto" w:fill="auto"/>
            <w:noWrap/>
          </w:tcPr>
          <w:p w14:paraId="762F0FD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0,069 %</w:t>
            </w:r>
          </w:p>
        </w:tc>
        <w:tc>
          <w:tcPr>
            <w:tcW w:w="1134" w:type="dxa"/>
            <w:tcBorders>
              <w:top w:val="single" w:sz="4" w:space="0" w:color="auto"/>
              <w:left w:val="nil"/>
              <w:bottom w:val="single" w:sz="4" w:space="0" w:color="auto"/>
              <w:right w:val="single" w:sz="4" w:space="0" w:color="auto"/>
            </w:tcBorders>
          </w:tcPr>
          <w:p w14:paraId="6B81F1FC" w14:textId="4F2B63C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2 594</w:t>
            </w:r>
          </w:p>
        </w:tc>
        <w:tc>
          <w:tcPr>
            <w:tcW w:w="1370" w:type="dxa"/>
            <w:tcBorders>
              <w:top w:val="nil"/>
              <w:left w:val="single" w:sz="4" w:space="0" w:color="auto"/>
              <w:bottom w:val="single" w:sz="4" w:space="0" w:color="auto"/>
              <w:right w:val="single" w:sz="4" w:space="0" w:color="auto"/>
            </w:tcBorders>
            <w:shd w:val="clear" w:color="auto" w:fill="auto"/>
            <w:noWrap/>
          </w:tcPr>
          <w:p w14:paraId="067ED637" w14:textId="16FD5FE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3 281</w:t>
            </w:r>
          </w:p>
        </w:tc>
        <w:tc>
          <w:tcPr>
            <w:tcW w:w="1370" w:type="dxa"/>
            <w:tcBorders>
              <w:top w:val="nil"/>
              <w:left w:val="nil"/>
              <w:bottom w:val="single" w:sz="4" w:space="0" w:color="auto"/>
              <w:right w:val="single" w:sz="4" w:space="0" w:color="auto"/>
            </w:tcBorders>
            <w:shd w:val="clear" w:color="auto" w:fill="auto"/>
            <w:noWrap/>
          </w:tcPr>
          <w:p w14:paraId="4AECB74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3 368</w:t>
            </w:r>
          </w:p>
        </w:tc>
        <w:tc>
          <w:tcPr>
            <w:tcW w:w="1371" w:type="dxa"/>
            <w:tcBorders>
              <w:top w:val="nil"/>
              <w:left w:val="nil"/>
              <w:bottom w:val="single" w:sz="4" w:space="0" w:color="auto"/>
              <w:right w:val="single" w:sz="4" w:space="0" w:color="auto"/>
            </w:tcBorders>
            <w:shd w:val="clear" w:color="auto" w:fill="auto"/>
            <w:noWrap/>
          </w:tcPr>
          <w:p w14:paraId="763EDFB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3 532</w:t>
            </w:r>
          </w:p>
        </w:tc>
      </w:tr>
      <w:tr w:rsidR="00E02DE1" w:rsidRPr="00664FF1" w14:paraId="3751800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5FEC46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República Popular Democrática de Corea</w:t>
            </w:r>
          </w:p>
        </w:tc>
        <w:tc>
          <w:tcPr>
            <w:tcW w:w="1164" w:type="dxa"/>
            <w:tcBorders>
              <w:top w:val="nil"/>
              <w:left w:val="nil"/>
              <w:bottom w:val="single" w:sz="4" w:space="0" w:color="auto"/>
              <w:right w:val="single" w:sz="4" w:space="0" w:color="auto"/>
            </w:tcBorders>
            <w:shd w:val="clear" w:color="auto" w:fill="auto"/>
            <w:noWrap/>
          </w:tcPr>
          <w:p w14:paraId="19C072E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w:t>
            </w:r>
          </w:p>
        </w:tc>
        <w:tc>
          <w:tcPr>
            <w:tcW w:w="992" w:type="dxa"/>
            <w:tcBorders>
              <w:top w:val="nil"/>
              <w:left w:val="nil"/>
              <w:bottom w:val="single" w:sz="4" w:space="0" w:color="auto"/>
              <w:right w:val="single" w:sz="4" w:space="0" w:color="auto"/>
            </w:tcBorders>
            <w:shd w:val="clear" w:color="auto" w:fill="auto"/>
            <w:noWrap/>
          </w:tcPr>
          <w:p w14:paraId="07044A6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0,005 %</w:t>
            </w:r>
          </w:p>
        </w:tc>
        <w:tc>
          <w:tcPr>
            <w:tcW w:w="1134" w:type="dxa"/>
            <w:tcBorders>
              <w:top w:val="single" w:sz="4" w:space="0" w:color="auto"/>
              <w:left w:val="nil"/>
              <w:bottom w:val="single" w:sz="4" w:space="0" w:color="auto"/>
              <w:right w:val="single" w:sz="4" w:space="0" w:color="auto"/>
            </w:tcBorders>
          </w:tcPr>
          <w:p w14:paraId="2CAAC5A2" w14:textId="4E9F0568"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AA72663" w14:textId="7B2EDD5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9787D0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E625AC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20158E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4CA92771"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República Unida de Tanzanía</w:t>
            </w:r>
          </w:p>
        </w:tc>
        <w:tc>
          <w:tcPr>
            <w:tcW w:w="1164" w:type="dxa"/>
            <w:tcBorders>
              <w:top w:val="nil"/>
              <w:left w:val="nil"/>
              <w:bottom w:val="single" w:sz="4" w:space="0" w:color="auto"/>
              <w:right w:val="single" w:sz="4" w:space="0" w:color="auto"/>
            </w:tcBorders>
            <w:shd w:val="clear" w:color="auto" w:fill="auto"/>
            <w:noWrap/>
          </w:tcPr>
          <w:p w14:paraId="105AFBE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0D7ED5A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196E360C" w14:textId="459F514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5D7A130" w14:textId="0EC1AFA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C4FA4C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6702C5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C6400F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8BB6B4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Rumania</w:t>
            </w:r>
          </w:p>
        </w:tc>
        <w:tc>
          <w:tcPr>
            <w:tcW w:w="1164" w:type="dxa"/>
            <w:tcBorders>
              <w:top w:val="nil"/>
              <w:left w:val="nil"/>
              <w:bottom w:val="single" w:sz="4" w:space="0" w:color="auto"/>
              <w:right w:val="single" w:sz="4" w:space="0" w:color="auto"/>
            </w:tcBorders>
            <w:shd w:val="clear" w:color="auto" w:fill="auto"/>
            <w:noWrap/>
          </w:tcPr>
          <w:p w14:paraId="691078A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0,312</w:t>
            </w:r>
          </w:p>
        </w:tc>
        <w:tc>
          <w:tcPr>
            <w:tcW w:w="992" w:type="dxa"/>
            <w:tcBorders>
              <w:top w:val="nil"/>
              <w:left w:val="nil"/>
              <w:bottom w:val="single" w:sz="4" w:space="0" w:color="auto"/>
              <w:right w:val="single" w:sz="4" w:space="0" w:color="auto"/>
            </w:tcBorders>
            <w:shd w:val="clear" w:color="auto" w:fill="auto"/>
            <w:noWrap/>
          </w:tcPr>
          <w:p w14:paraId="37F2BA4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0,320 %</w:t>
            </w:r>
          </w:p>
        </w:tc>
        <w:tc>
          <w:tcPr>
            <w:tcW w:w="1134" w:type="dxa"/>
            <w:tcBorders>
              <w:top w:val="single" w:sz="4" w:space="0" w:color="auto"/>
              <w:left w:val="nil"/>
              <w:bottom w:val="single" w:sz="4" w:space="0" w:color="auto"/>
              <w:right w:val="single" w:sz="4" w:space="0" w:color="auto"/>
            </w:tcBorders>
          </w:tcPr>
          <w:p w14:paraId="36A8A14B" w14:textId="0BFD08B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9 691</w:t>
            </w:r>
          </w:p>
        </w:tc>
        <w:tc>
          <w:tcPr>
            <w:tcW w:w="1370" w:type="dxa"/>
            <w:tcBorders>
              <w:top w:val="nil"/>
              <w:left w:val="single" w:sz="4" w:space="0" w:color="auto"/>
              <w:bottom w:val="single" w:sz="4" w:space="0" w:color="auto"/>
              <w:right w:val="single" w:sz="4" w:space="0" w:color="auto"/>
            </w:tcBorders>
            <w:shd w:val="clear" w:color="auto" w:fill="auto"/>
            <w:noWrap/>
          </w:tcPr>
          <w:p w14:paraId="75DFF992" w14:textId="428C6D28"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15 276</w:t>
            </w:r>
          </w:p>
        </w:tc>
        <w:tc>
          <w:tcPr>
            <w:tcW w:w="1370" w:type="dxa"/>
            <w:tcBorders>
              <w:top w:val="nil"/>
              <w:left w:val="nil"/>
              <w:bottom w:val="single" w:sz="4" w:space="0" w:color="auto"/>
              <w:right w:val="single" w:sz="4" w:space="0" w:color="auto"/>
            </w:tcBorders>
            <w:shd w:val="clear" w:color="auto" w:fill="auto"/>
            <w:noWrap/>
          </w:tcPr>
          <w:p w14:paraId="2C764B7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15 686</w:t>
            </w:r>
          </w:p>
        </w:tc>
        <w:tc>
          <w:tcPr>
            <w:tcW w:w="1371" w:type="dxa"/>
            <w:tcBorders>
              <w:top w:val="nil"/>
              <w:left w:val="nil"/>
              <w:bottom w:val="single" w:sz="4" w:space="0" w:color="auto"/>
              <w:right w:val="single" w:sz="4" w:space="0" w:color="auto"/>
            </w:tcBorders>
            <w:shd w:val="clear" w:color="auto" w:fill="auto"/>
            <w:noWrap/>
          </w:tcPr>
          <w:p w14:paraId="51396CE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16 447</w:t>
            </w:r>
          </w:p>
        </w:tc>
      </w:tr>
      <w:tr w:rsidR="00E02DE1" w:rsidRPr="00664FF1" w14:paraId="1F9BC60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385DDB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Rwanda</w:t>
            </w:r>
          </w:p>
        </w:tc>
        <w:tc>
          <w:tcPr>
            <w:tcW w:w="1164" w:type="dxa"/>
            <w:tcBorders>
              <w:top w:val="nil"/>
              <w:left w:val="nil"/>
              <w:bottom w:val="single" w:sz="4" w:space="0" w:color="auto"/>
              <w:right w:val="single" w:sz="4" w:space="0" w:color="auto"/>
            </w:tcBorders>
            <w:shd w:val="clear" w:color="auto" w:fill="auto"/>
            <w:noWrap/>
          </w:tcPr>
          <w:p w14:paraId="5197BB8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w:t>
            </w:r>
          </w:p>
        </w:tc>
        <w:tc>
          <w:tcPr>
            <w:tcW w:w="992" w:type="dxa"/>
            <w:tcBorders>
              <w:top w:val="nil"/>
              <w:left w:val="nil"/>
              <w:bottom w:val="single" w:sz="4" w:space="0" w:color="auto"/>
              <w:right w:val="single" w:sz="4" w:space="0" w:color="auto"/>
            </w:tcBorders>
            <w:shd w:val="clear" w:color="auto" w:fill="auto"/>
            <w:noWrap/>
          </w:tcPr>
          <w:p w14:paraId="4502022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0,003 %</w:t>
            </w:r>
          </w:p>
        </w:tc>
        <w:tc>
          <w:tcPr>
            <w:tcW w:w="1134" w:type="dxa"/>
            <w:tcBorders>
              <w:top w:val="single" w:sz="4" w:space="0" w:color="auto"/>
              <w:left w:val="nil"/>
              <w:bottom w:val="single" w:sz="4" w:space="0" w:color="auto"/>
              <w:right w:val="single" w:sz="4" w:space="0" w:color="auto"/>
            </w:tcBorders>
          </w:tcPr>
          <w:p w14:paraId="0D0DF239" w14:textId="0544807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919A9BF" w14:textId="7E0E6C0D"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891EFD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1AAAA8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50F492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6088B6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Samoa</w:t>
            </w:r>
          </w:p>
        </w:tc>
        <w:tc>
          <w:tcPr>
            <w:tcW w:w="1164" w:type="dxa"/>
            <w:tcBorders>
              <w:top w:val="nil"/>
              <w:left w:val="nil"/>
              <w:bottom w:val="single" w:sz="4" w:space="0" w:color="auto"/>
              <w:right w:val="single" w:sz="4" w:space="0" w:color="auto"/>
            </w:tcBorders>
            <w:shd w:val="clear" w:color="auto" w:fill="auto"/>
            <w:noWrap/>
          </w:tcPr>
          <w:p w14:paraId="00D8C33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16C6C65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3120F5D1" w14:textId="300043B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62B2CC05" w14:textId="5743525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049C2C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8C3390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23FF7E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675DF1E"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Santa Lucía</w:t>
            </w:r>
          </w:p>
        </w:tc>
        <w:tc>
          <w:tcPr>
            <w:tcW w:w="1164" w:type="dxa"/>
            <w:tcBorders>
              <w:top w:val="nil"/>
              <w:left w:val="nil"/>
              <w:bottom w:val="single" w:sz="4" w:space="0" w:color="auto"/>
              <w:right w:val="single" w:sz="4" w:space="0" w:color="auto"/>
            </w:tcBorders>
            <w:shd w:val="clear" w:color="auto" w:fill="auto"/>
            <w:noWrap/>
          </w:tcPr>
          <w:p w14:paraId="32FD511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3B1D05B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3C56217F" w14:textId="1532CD6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637060CB" w14:textId="20D615C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93E317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1FDC89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AFDDF5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1B16BFB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Santo Tomé y Príncipe</w:t>
            </w:r>
          </w:p>
        </w:tc>
        <w:tc>
          <w:tcPr>
            <w:tcW w:w="1164" w:type="dxa"/>
            <w:tcBorders>
              <w:top w:val="nil"/>
              <w:left w:val="nil"/>
              <w:bottom w:val="single" w:sz="4" w:space="0" w:color="auto"/>
              <w:right w:val="single" w:sz="4" w:space="0" w:color="auto"/>
            </w:tcBorders>
            <w:shd w:val="clear" w:color="auto" w:fill="auto"/>
            <w:noWrap/>
          </w:tcPr>
          <w:p w14:paraId="52C4FAE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69D9AD8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437DCD46" w14:textId="58FF916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EE316CB" w14:textId="607581F0"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8EE422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76D059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5E17D23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86EDBE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Senegal</w:t>
            </w:r>
          </w:p>
        </w:tc>
        <w:tc>
          <w:tcPr>
            <w:tcW w:w="1164" w:type="dxa"/>
            <w:tcBorders>
              <w:top w:val="nil"/>
              <w:left w:val="nil"/>
              <w:bottom w:val="single" w:sz="4" w:space="0" w:color="auto"/>
              <w:right w:val="single" w:sz="4" w:space="0" w:color="auto"/>
            </w:tcBorders>
            <w:shd w:val="clear" w:color="auto" w:fill="auto"/>
            <w:noWrap/>
          </w:tcPr>
          <w:p w14:paraId="3FF74D7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w:t>
            </w:r>
          </w:p>
        </w:tc>
        <w:tc>
          <w:tcPr>
            <w:tcW w:w="992" w:type="dxa"/>
            <w:tcBorders>
              <w:top w:val="nil"/>
              <w:left w:val="nil"/>
              <w:bottom w:val="single" w:sz="4" w:space="0" w:color="auto"/>
              <w:right w:val="single" w:sz="4" w:space="0" w:color="auto"/>
            </w:tcBorders>
            <w:shd w:val="clear" w:color="auto" w:fill="auto"/>
            <w:noWrap/>
          </w:tcPr>
          <w:p w14:paraId="0D64981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0,007 %</w:t>
            </w:r>
          </w:p>
        </w:tc>
        <w:tc>
          <w:tcPr>
            <w:tcW w:w="1134" w:type="dxa"/>
            <w:tcBorders>
              <w:top w:val="single" w:sz="4" w:space="0" w:color="auto"/>
              <w:left w:val="nil"/>
              <w:bottom w:val="single" w:sz="4" w:space="0" w:color="auto"/>
              <w:right w:val="single" w:sz="4" w:space="0" w:color="auto"/>
            </w:tcBorders>
          </w:tcPr>
          <w:p w14:paraId="380B563A" w14:textId="5F7B2A1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672A8DFA" w14:textId="79CD0BF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695ACC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7130D6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2000DD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2E76C3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Serbia</w:t>
            </w:r>
          </w:p>
        </w:tc>
        <w:tc>
          <w:tcPr>
            <w:tcW w:w="1164" w:type="dxa"/>
            <w:tcBorders>
              <w:top w:val="nil"/>
              <w:left w:val="nil"/>
              <w:bottom w:val="single" w:sz="4" w:space="0" w:color="auto"/>
              <w:right w:val="single" w:sz="4" w:space="0" w:color="auto"/>
            </w:tcBorders>
            <w:shd w:val="clear" w:color="auto" w:fill="auto"/>
            <w:noWrap/>
          </w:tcPr>
          <w:p w14:paraId="132EEEE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0,032</w:t>
            </w:r>
          </w:p>
        </w:tc>
        <w:tc>
          <w:tcPr>
            <w:tcW w:w="992" w:type="dxa"/>
            <w:tcBorders>
              <w:top w:val="nil"/>
              <w:left w:val="nil"/>
              <w:bottom w:val="single" w:sz="4" w:space="0" w:color="auto"/>
              <w:right w:val="single" w:sz="4" w:space="0" w:color="auto"/>
            </w:tcBorders>
            <w:shd w:val="clear" w:color="auto" w:fill="auto"/>
            <w:noWrap/>
          </w:tcPr>
          <w:p w14:paraId="0A8F7F2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0,033 %</w:t>
            </w:r>
          </w:p>
        </w:tc>
        <w:tc>
          <w:tcPr>
            <w:tcW w:w="1134" w:type="dxa"/>
            <w:tcBorders>
              <w:top w:val="single" w:sz="4" w:space="0" w:color="auto"/>
              <w:left w:val="nil"/>
              <w:bottom w:val="single" w:sz="4" w:space="0" w:color="auto"/>
              <w:right w:val="single" w:sz="4" w:space="0" w:color="auto"/>
            </w:tcBorders>
          </w:tcPr>
          <w:p w14:paraId="2AE6C6B8" w14:textId="1309806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1 370</w:t>
            </w:r>
          </w:p>
        </w:tc>
        <w:tc>
          <w:tcPr>
            <w:tcW w:w="1370" w:type="dxa"/>
            <w:tcBorders>
              <w:top w:val="nil"/>
              <w:left w:val="single" w:sz="4" w:space="0" w:color="auto"/>
              <w:bottom w:val="single" w:sz="4" w:space="0" w:color="auto"/>
              <w:right w:val="single" w:sz="4" w:space="0" w:color="auto"/>
            </w:tcBorders>
            <w:shd w:val="clear" w:color="auto" w:fill="auto"/>
            <w:noWrap/>
          </w:tcPr>
          <w:p w14:paraId="3E0E3C09" w14:textId="46BE88CC"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1 567</w:t>
            </w:r>
          </w:p>
        </w:tc>
        <w:tc>
          <w:tcPr>
            <w:tcW w:w="1370" w:type="dxa"/>
            <w:tcBorders>
              <w:top w:val="nil"/>
              <w:left w:val="nil"/>
              <w:bottom w:val="single" w:sz="4" w:space="0" w:color="auto"/>
              <w:right w:val="single" w:sz="4" w:space="0" w:color="auto"/>
            </w:tcBorders>
            <w:shd w:val="clear" w:color="auto" w:fill="auto"/>
            <w:noWrap/>
          </w:tcPr>
          <w:p w14:paraId="4321ED9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1 609</w:t>
            </w:r>
          </w:p>
        </w:tc>
        <w:tc>
          <w:tcPr>
            <w:tcW w:w="1371" w:type="dxa"/>
            <w:tcBorders>
              <w:top w:val="nil"/>
              <w:left w:val="nil"/>
              <w:bottom w:val="single" w:sz="4" w:space="0" w:color="auto"/>
              <w:right w:val="single" w:sz="4" w:space="0" w:color="auto"/>
            </w:tcBorders>
            <w:shd w:val="clear" w:color="auto" w:fill="auto"/>
            <w:noWrap/>
          </w:tcPr>
          <w:p w14:paraId="07A4051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1 687</w:t>
            </w:r>
          </w:p>
        </w:tc>
      </w:tr>
      <w:tr w:rsidR="00E02DE1" w:rsidRPr="00664FF1" w14:paraId="67A994D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71FAEB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Seychelles</w:t>
            </w:r>
          </w:p>
        </w:tc>
        <w:tc>
          <w:tcPr>
            <w:tcW w:w="1164" w:type="dxa"/>
            <w:tcBorders>
              <w:top w:val="nil"/>
              <w:left w:val="nil"/>
              <w:bottom w:val="single" w:sz="4" w:space="0" w:color="auto"/>
              <w:right w:val="single" w:sz="4" w:space="0" w:color="auto"/>
            </w:tcBorders>
            <w:shd w:val="clear" w:color="auto" w:fill="auto"/>
            <w:noWrap/>
          </w:tcPr>
          <w:p w14:paraId="257DC85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657B9E1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3FB9DA37" w14:textId="6E8ED78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526D25E2" w14:textId="1A557D6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053322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52B8075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9522D5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FBF0DA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Sierra Leona</w:t>
            </w:r>
          </w:p>
        </w:tc>
        <w:tc>
          <w:tcPr>
            <w:tcW w:w="1164" w:type="dxa"/>
            <w:tcBorders>
              <w:top w:val="nil"/>
              <w:left w:val="nil"/>
              <w:bottom w:val="single" w:sz="4" w:space="0" w:color="auto"/>
              <w:right w:val="single" w:sz="4" w:space="0" w:color="auto"/>
            </w:tcBorders>
            <w:shd w:val="clear" w:color="auto" w:fill="auto"/>
            <w:noWrap/>
          </w:tcPr>
          <w:p w14:paraId="0F7BF04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20BD8C3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786E4B56" w14:textId="78EF9BDA"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2B8EB34" w14:textId="1FBBB01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B23FFD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1F1A755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4EB194D5"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0A27AA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Sri Lanka</w:t>
            </w:r>
          </w:p>
        </w:tc>
        <w:tc>
          <w:tcPr>
            <w:tcW w:w="1164" w:type="dxa"/>
            <w:tcBorders>
              <w:top w:val="nil"/>
              <w:left w:val="nil"/>
              <w:bottom w:val="single" w:sz="4" w:space="0" w:color="auto"/>
              <w:right w:val="single" w:sz="4" w:space="0" w:color="auto"/>
            </w:tcBorders>
            <w:shd w:val="clear" w:color="auto" w:fill="auto"/>
            <w:noWrap/>
          </w:tcPr>
          <w:p w14:paraId="744787B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0,045</w:t>
            </w:r>
          </w:p>
        </w:tc>
        <w:tc>
          <w:tcPr>
            <w:tcW w:w="992" w:type="dxa"/>
            <w:tcBorders>
              <w:top w:val="nil"/>
              <w:left w:val="nil"/>
              <w:bottom w:val="single" w:sz="4" w:space="0" w:color="auto"/>
              <w:right w:val="single" w:sz="4" w:space="0" w:color="auto"/>
            </w:tcBorders>
            <w:shd w:val="clear" w:color="auto" w:fill="auto"/>
            <w:noWrap/>
          </w:tcPr>
          <w:p w14:paraId="772F7DA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0,046 %</w:t>
            </w:r>
          </w:p>
        </w:tc>
        <w:tc>
          <w:tcPr>
            <w:tcW w:w="1134" w:type="dxa"/>
            <w:tcBorders>
              <w:top w:val="single" w:sz="4" w:space="0" w:color="auto"/>
              <w:left w:val="nil"/>
              <w:bottom w:val="single" w:sz="4" w:space="0" w:color="auto"/>
              <w:right w:val="single" w:sz="4" w:space="0" w:color="auto"/>
            </w:tcBorders>
          </w:tcPr>
          <w:p w14:paraId="3C128274" w14:textId="1B3AE86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2 154</w:t>
            </w:r>
          </w:p>
        </w:tc>
        <w:tc>
          <w:tcPr>
            <w:tcW w:w="1370" w:type="dxa"/>
            <w:tcBorders>
              <w:top w:val="nil"/>
              <w:left w:val="single" w:sz="4" w:space="0" w:color="auto"/>
              <w:bottom w:val="single" w:sz="4" w:space="0" w:color="auto"/>
              <w:right w:val="single" w:sz="4" w:space="0" w:color="auto"/>
            </w:tcBorders>
            <w:shd w:val="clear" w:color="auto" w:fill="auto"/>
            <w:noWrap/>
          </w:tcPr>
          <w:p w14:paraId="73F38DBC" w14:textId="0247DDF3"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2 203</w:t>
            </w:r>
          </w:p>
        </w:tc>
        <w:tc>
          <w:tcPr>
            <w:tcW w:w="1370" w:type="dxa"/>
            <w:tcBorders>
              <w:top w:val="nil"/>
              <w:left w:val="nil"/>
              <w:bottom w:val="single" w:sz="4" w:space="0" w:color="auto"/>
              <w:right w:val="single" w:sz="4" w:space="0" w:color="auto"/>
            </w:tcBorders>
            <w:shd w:val="clear" w:color="auto" w:fill="auto"/>
            <w:noWrap/>
          </w:tcPr>
          <w:p w14:paraId="6191561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2 262</w:t>
            </w:r>
          </w:p>
        </w:tc>
        <w:tc>
          <w:tcPr>
            <w:tcW w:w="1371" w:type="dxa"/>
            <w:tcBorders>
              <w:top w:val="nil"/>
              <w:left w:val="nil"/>
              <w:bottom w:val="single" w:sz="4" w:space="0" w:color="auto"/>
              <w:right w:val="single" w:sz="4" w:space="0" w:color="auto"/>
            </w:tcBorders>
            <w:shd w:val="clear" w:color="auto" w:fill="auto"/>
            <w:noWrap/>
          </w:tcPr>
          <w:p w14:paraId="1F9F8BE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2 372</w:t>
            </w:r>
          </w:p>
        </w:tc>
      </w:tr>
      <w:tr w:rsidR="00E02DE1" w:rsidRPr="00664FF1" w14:paraId="6D40752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DA79AE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Sudáfrica</w:t>
            </w:r>
          </w:p>
        </w:tc>
        <w:tc>
          <w:tcPr>
            <w:tcW w:w="1164" w:type="dxa"/>
            <w:tcBorders>
              <w:top w:val="nil"/>
              <w:left w:val="nil"/>
              <w:bottom w:val="single" w:sz="4" w:space="0" w:color="auto"/>
              <w:right w:val="single" w:sz="4" w:space="0" w:color="auto"/>
            </w:tcBorders>
            <w:shd w:val="clear" w:color="auto" w:fill="auto"/>
            <w:noWrap/>
          </w:tcPr>
          <w:p w14:paraId="71EE5C7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0,244</w:t>
            </w:r>
          </w:p>
        </w:tc>
        <w:tc>
          <w:tcPr>
            <w:tcW w:w="992" w:type="dxa"/>
            <w:tcBorders>
              <w:top w:val="nil"/>
              <w:left w:val="nil"/>
              <w:bottom w:val="single" w:sz="4" w:space="0" w:color="auto"/>
              <w:right w:val="single" w:sz="4" w:space="0" w:color="auto"/>
            </w:tcBorders>
            <w:shd w:val="clear" w:color="auto" w:fill="auto"/>
            <w:noWrap/>
          </w:tcPr>
          <w:p w14:paraId="605F400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0,250 %</w:t>
            </w:r>
          </w:p>
        </w:tc>
        <w:tc>
          <w:tcPr>
            <w:tcW w:w="1134" w:type="dxa"/>
            <w:tcBorders>
              <w:top w:val="single" w:sz="4" w:space="0" w:color="auto"/>
              <w:left w:val="nil"/>
              <w:bottom w:val="single" w:sz="4" w:space="0" w:color="auto"/>
              <w:right w:val="single" w:sz="4" w:space="0" w:color="auto"/>
            </w:tcBorders>
          </w:tcPr>
          <w:p w14:paraId="45D93FB1" w14:textId="3DF30BD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13 313</w:t>
            </w:r>
          </w:p>
        </w:tc>
        <w:tc>
          <w:tcPr>
            <w:tcW w:w="1370" w:type="dxa"/>
            <w:tcBorders>
              <w:top w:val="nil"/>
              <w:left w:val="single" w:sz="4" w:space="0" w:color="auto"/>
              <w:bottom w:val="single" w:sz="4" w:space="0" w:color="auto"/>
              <w:right w:val="single" w:sz="4" w:space="0" w:color="auto"/>
            </w:tcBorders>
            <w:shd w:val="clear" w:color="auto" w:fill="auto"/>
            <w:noWrap/>
          </w:tcPr>
          <w:p w14:paraId="4128999F" w14:textId="038878E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11 947</w:t>
            </w:r>
          </w:p>
        </w:tc>
        <w:tc>
          <w:tcPr>
            <w:tcW w:w="1370" w:type="dxa"/>
            <w:tcBorders>
              <w:top w:val="nil"/>
              <w:left w:val="nil"/>
              <w:bottom w:val="single" w:sz="4" w:space="0" w:color="auto"/>
              <w:right w:val="single" w:sz="4" w:space="0" w:color="auto"/>
            </w:tcBorders>
            <w:shd w:val="clear" w:color="auto" w:fill="auto"/>
            <w:noWrap/>
          </w:tcPr>
          <w:p w14:paraId="4D9A485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12 267</w:t>
            </w:r>
          </w:p>
        </w:tc>
        <w:tc>
          <w:tcPr>
            <w:tcW w:w="1371" w:type="dxa"/>
            <w:tcBorders>
              <w:top w:val="nil"/>
              <w:left w:val="nil"/>
              <w:bottom w:val="single" w:sz="4" w:space="0" w:color="auto"/>
              <w:right w:val="single" w:sz="4" w:space="0" w:color="auto"/>
            </w:tcBorders>
            <w:shd w:val="clear" w:color="auto" w:fill="auto"/>
            <w:noWrap/>
          </w:tcPr>
          <w:p w14:paraId="32D735A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12 862</w:t>
            </w:r>
          </w:p>
        </w:tc>
      </w:tr>
      <w:tr w:rsidR="00E02DE1" w:rsidRPr="00664FF1" w14:paraId="1355147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5CDC2D1E"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Sudán</w:t>
            </w:r>
          </w:p>
        </w:tc>
        <w:tc>
          <w:tcPr>
            <w:tcW w:w="1164" w:type="dxa"/>
            <w:tcBorders>
              <w:top w:val="nil"/>
              <w:left w:val="nil"/>
              <w:bottom w:val="single" w:sz="4" w:space="0" w:color="auto"/>
              <w:right w:val="single" w:sz="4" w:space="0" w:color="auto"/>
            </w:tcBorders>
            <w:shd w:val="clear" w:color="auto" w:fill="auto"/>
            <w:noWrap/>
          </w:tcPr>
          <w:p w14:paraId="05BBB5C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0D39AA5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0A2ECADA" w14:textId="301A0F1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848F95C" w14:textId="1B033B4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2293473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720E31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04103BE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1FE574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Sudán del Sur</w:t>
            </w:r>
          </w:p>
        </w:tc>
        <w:tc>
          <w:tcPr>
            <w:tcW w:w="1164" w:type="dxa"/>
            <w:tcBorders>
              <w:top w:val="nil"/>
              <w:left w:val="nil"/>
              <w:bottom w:val="single" w:sz="4" w:space="0" w:color="auto"/>
              <w:right w:val="single" w:sz="4" w:space="0" w:color="auto"/>
            </w:tcBorders>
            <w:shd w:val="clear" w:color="auto" w:fill="auto"/>
            <w:noWrap/>
          </w:tcPr>
          <w:p w14:paraId="5567B81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070DBD5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775D2DAE" w14:textId="72C108D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3524B567" w14:textId="02472846"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C4FF64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2A6DA2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3FD096C4"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DD6369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Suecia</w:t>
            </w:r>
          </w:p>
        </w:tc>
        <w:tc>
          <w:tcPr>
            <w:tcW w:w="1164" w:type="dxa"/>
            <w:tcBorders>
              <w:top w:val="nil"/>
              <w:left w:val="nil"/>
              <w:bottom w:val="single" w:sz="4" w:space="0" w:color="auto"/>
              <w:right w:val="single" w:sz="4" w:space="0" w:color="auto"/>
            </w:tcBorders>
            <w:shd w:val="clear" w:color="auto" w:fill="auto"/>
            <w:noWrap/>
          </w:tcPr>
          <w:p w14:paraId="1DF9823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0,871</w:t>
            </w:r>
          </w:p>
        </w:tc>
        <w:tc>
          <w:tcPr>
            <w:tcW w:w="992" w:type="dxa"/>
            <w:tcBorders>
              <w:top w:val="nil"/>
              <w:left w:val="nil"/>
              <w:bottom w:val="single" w:sz="4" w:space="0" w:color="auto"/>
              <w:right w:val="single" w:sz="4" w:space="0" w:color="auto"/>
            </w:tcBorders>
            <w:shd w:val="clear" w:color="auto" w:fill="auto"/>
            <w:noWrap/>
          </w:tcPr>
          <w:p w14:paraId="0804805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0,894 %</w:t>
            </w:r>
          </w:p>
        </w:tc>
        <w:tc>
          <w:tcPr>
            <w:tcW w:w="1134" w:type="dxa"/>
            <w:tcBorders>
              <w:top w:val="single" w:sz="4" w:space="0" w:color="auto"/>
              <w:left w:val="nil"/>
              <w:bottom w:val="single" w:sz="4" w:space="0" w:color="auto"/>
              <w:right w:val="single" w:sz="4" w:space="0" w:color="auto"/>
            </w:tcBorders>
          </w:tcPr>
          <w:p w14:paraId="5668BF88" w14:textId="727C2D9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44 345</w:t>
            </w:r>
          </w:p>
        </w:tc>
        <w:tc>
          <w:tcPr>
            <w:tcW w:w="1370" w:type="dxa"/>
            <w:tcBorders>
              <w:top w:val="nil"/>
              <w:left w:val="single" w:sz="4" w:space="0" w:color="auto"/>
              <w:bottom w:val="single" w:sz="4" w:space="0" w:color="auto"/>
              <w:right w:val="single" w:sz="4" w:space="0" w:color="auto"/>
            </w:tcBorders>
            <w:shd w:val="clear" w:color="auto" w:fill="auto"/>
            <w:noWrap/>
          </w:tcPr>
          <w:p w14:paraId="2FBBA08F" w14:textId="0EE3054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42 647</w:t>
            </w:r>
          </w:p>
        </w:tc>
        <w:tc>
          <w:tcPr>
            <w:tcW w:w="1370" w:type="dxa"/>
            <w:tcBorders>
              <w:top w:val="nil"/>
              <w:left w:val="nil"/>
              <w:bottom w:val="single" w:sz="4" w:space="0" w:color="auto"/>
              <w:right w:val="single" w:sz="4" w:space="0" w:color="auto"/>
            </w:tcBorders>
            <w:shd w:val="clear" w:color="auto" w:fill="auto"/>
            <w:noWrap/>
          </w:tcPr>
          <w:p w14:paraId="4C0B4E7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43 790</w:t>
            </w:r>
          </w:p>
        </w:tc>
        <w:tc>
          <w:tcPr>
            <w:tcW w:w="1371" w:type="dxa"/>
            <w:tcBorders>
              <w:top w:val="nil"/>
              <w:left w:val="nil"/>
              <w:bottom w:val="single" w:sz="4" w:space="0" w:color="auto"/>
              <w:right w:val="single" w:sz="4" w:space="0" w:color="auto"/>
            </w:tcBorders>
            <w:shd w:val="clear" w:color="auto" w:fill="auto"/>
            <w:noWrap/>
          </w:tcPr>
          <w:p w14:paraId="68CDEDC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45 914</w:t>
            </w:r>
          </w:p>
        </w:tc>
      </w:tr>
      <w:tr w:rsidR="00E02DE1" w:rsidRPr="00664FF1" w14:paraId="2056765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4034B6F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Suiza</w:t>
            </w:r>
          </w:p>
        </w:tc>
        <w:tc>
          <w:tcPr>
            <w:tcW w:w="1164" w:type="dxa"/>
            <w:tcBorders>
              <w:top w:val="nil"/>
              <w:left w:val="nil"/>
              <w:bottom w:val="single" w:sz="4" w:space="0" w:color="auto"/>
              <w:right w:val="single" w:sz="4" w:space="0" w:color="auto"/>
            </w:tcBorders>
            <w:shd w:val="clear" w:color="auto" w:fill="auto"/>
            <w:noWrap/>
          </w:tcPr>
          <w:p w14:paraId="415C12C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1,134</w:t>
            </w:r>
          </w:p>
        </w:tc>
        <w:tc>
          <w:tcPr>
            <w:tcW w:w="992" w:type="dxa"/>
            <w:tcBorders>
              <w:top w:val="nil"/>
              <w:left w:val="nil"/>
              <w:bottom w:val="single" w:sz="4" w:space="0" w:color="auto"/>
              <w:right w:val="single" w:sz="4" w:space="0" w:color="auto"/>
            </w:tcBorders>
            <w:shd w:val="clear" w:color="auto" w:fill="auto"/>
            <w:noWrap/>
          </w:tcPr>
          <w:p w14:paraId="0449F9A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1,164 %</w:t>
            </w:r>
          </w:p>
        </w:tc>
        <w:tc>
          <w:tcPr>
            <w:tcW w:w="1134" w:type="dxa"/>
            <w:tcBorders>
              <w:top w:val="single" w:sz="4" w:space="0" w:color="auto"/>
              <w:left w:val="nil"/>
              <w:bottom w:val="single" w:sz="4" w:space="0" w:color="auto"/>
              <w:right w:val="single" w:sz="4" w:space="0" w:color="auto"/>
            </w:tcBorders>
          </w:tcPr>
          <w:p w14:paraId="1664A372" w14:textId="20EECB4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56 337</w:t>
            </w:r>
          </w:p>
        </w:tc>
        <w:tc>
          <w:tcPr>
            <w:tcW w:w="1370" w:type="dxa"/>
            <w:tcBorders>
              <w:top w:val="nil"/>
              <w:left w:val="single" w:sz="4" w:space="0" w:color="auto"/>
              <w:bottom w:val="single" w:sz="4" w:space="0" w:color="auto"/>
              <w:right w:val="single" w:sz="4" w:space="0" w:color="auto"/>
            </w:tcBorders>
            <w:shd w:val="clear" w:color="auto" w:fill="auto"/>
            <w:noWrap/>
          </w:tcPr>
          <w:p w14:paraId="24FA169D" w14:textId="08A98E0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55 524</w:t>
            </w:r>
          </w:p>
        </w:tc>
        <w:tc>
          <w:tcPr>
            <w:tcW w:w="1370" w:type="dxa"/>
            <w:tcBorders>
              <w:top w:val="nil"/>
              <w:left w:val="nil"/>
              <w:bottom w:val="single" w:sz="4" w:space="0" w:color="auto"/>
              <w:right w:val="single" w:sz="4" w:space="0" w:color="auto"/>
            </w:tcBorders>
            <w:shd w:val="clear" w:color="auto" w:fill="auto"/>
            <w:noWrap/>
          </w:tcPr>
          <w:p w14:paraId="2942545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57 012</w:t>
            </w:r>
          </w:p>
        </w:tc>
        <w:tc>
          <w:tcPr>
            <w:tcW w:w="1371" w:type="dxa"/>
            <w:tcBorders>
              <w:top w:val="nil"/>
              <w:left w:val="nil"/>
              <w:bottom w:val="single" w:sz="4" w:space="0" w:color="auto"/>
              <w:right w:val="single" w:sz="4" w:space="0" w:color="auto"/>
            </w:tcBorders>
            <w:shd w:val="clear" w:color="auto" w:fill="auto"/>
            <w:noWrap/>
          </w:tcPr>
          <w:p w14:paraId="70A93B4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59 777</w:t>
            </w:r>
          </w:p>
        </w:tc>
      </w:tr>
      <w:tr w:rsidR="00E02DE1" w:rsidRPr="00664FF1" w14:paraId="2CD58AE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006D7A0"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Suriname</w:t>
            </w:r>
          </w:p>
        </w:tc>
        <w:tc>
          <w:tcPr>
            <w:tcW w:w="1164" w:type="dxa"/>
            <w:tcBorders>
              <w:top w:val="nil"/>
              <w:left w:val="nil"/>
              <w:bottom w:val="single" w:sz="4" w:space="0" w:color="auto"/>
              <w:right w:val="single" w:sz="4" w:space="0" w:color="auto"/>
            </w:tcBorders>
            <w:shd w:val="clear" w:color="auto" w:fill="auto"/>
            <w:noWrap/>
          </w:tcPr>
          <w:p w14:paraId="118ADDC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w:t>
            </w:r>
          </w:p>
        </w:tc>
        <w:tc>
          <w:tcPr>
            <w:tcW w:w="992" w:type="dxa"/>
            <w:tcBorders>
              <w:top w:val="nil"/>
              <w:left w:val="nil"/>
              <w:bottom w:val="single" w:sz="4" w:space="0" w:color="auto"/>
              <w:right w:val="single" w:sz="4" w:space="0" w:color="auto"/>
            </w:tcBorders>
            <w:shd w:val="clear" w:color="auto" w:fill="auto"/>
            <w:noWrap/>
          </w:tcPr>
          <w:p w14:paraId="176C090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0,003 %</w:t>
            </w:r>
          </w:p>
        </w:tc>
        <w:tc>
          <w:tcPr>
            <w:tcW w:w="1134" w:type="dxa"/>
            <w:tcBorders>
              <w:top w:val="single" w:sz="4" w:space="0" w:color="auto"/>
              <w:left w:val="nil"/>
              <w:bottom w:val="single" w:sz="4" w:space="0" w:color="auto"/>
              <w:right w:val="single" w:sz="4" w:space="0" w:color="auto"/>
            </w:tcBorders>
          </w:tcPr>
          <w:p w14:paraId="5FF47506" w14:textId="03F87A1F"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26A2CED9" w14:textId="582934C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4EE61FF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D661FD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806D52" w:rsidRPr="00904F2F" w14:paraId="0047C4F8" w14:textId="77777777" w:rsidTr="00433C12">
        <w:trPr>
          <w:trHeight w:val="276"/>
        </w:trPr>
        <w:tc>
          <w:tcPr>
            <w:tcW w:w="9924" w:type="dxa"/>
            <w:gridSpan w:val="7"/>
            <w:tcBorders>
              <w:top w:val="single" w:sz="4" w:space="0" w:color="auto"/>
            </w:tcBorders>
            <w:shd w:val="clear" w:color="auto" w:fill="auto"/>
            <w:noWrap/>
          </w:tcPr>
          <w:p w14:paraId="500EA849" w14:textId="77777777" w:rsidR="00806D52" w:rsidRPr="00814222" w:rsidRDefault="00806D52" w:rsidP="00433C12">
            <w:pPr>
              <w:ind w:left="0"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Con arreglo a la Resolución A/RES/76/238 de las Naciones Unidas; se aplicará la escala revisada de las Naciones Unidas para el trienio cuando esta se haya publicado.</w:t>
            </w:r>
          </w:p>
          <w:p w14:paraId="5D5AD26F" w14:textId="77777777" w:rsidR="00806D52" w:rsidRPr="00664FF1" w:rsidRDefault="00806D52" w:rsidP="00433C12">
            <w:pPr>
              <w:ind w:left="0" w:firstLine="0"/>
              <w:rPr>
                <w:rFonts w:asciiTheme="minorHAnsi" w:hAnsiTheme="minorHAnsi" w:cstheme="minorHAnsi"/>
                <w:noProof/>
                <w:color w:val="000000" w:themeColor="text1"/>
                <w:sz w:val="20"/>
                <w:szCs w:val="20"/>
                <w:lang w:val="es-ES"/>
              </w:rPr>
            </w:pPr>
            <w:r w:rsidRPr="00814222">
              <w:rPr>
                <w:rFonts w:asciiTheme="minorHAnsi" w:eastAsia="Times New Roman" w:hAnsiTheme="minorHAnsi" w:cs="Arial"/>
                <w:noProof/>
                <w:color w:val="000000" w:themeColor="text1"/>
                <w:sz w:val="20"/>
                <w:szCs w:val="20"/>
                <w:lang w:val="es-ES" w:eastAsia="en-GB"/>
              </w:rPr>
              <w:t>***Solamente para 2025, mientras que 2023 y 2024 son las mismas que las del escenario B</w:t>
            </w:r>
            <w:r>
              <w:rPr>
                <w:noProof/>
                <w:lang w:val="es-ES"/>
              </w:rPr>
              <w:t>.</w:t>
            </w:r>
          </w:p>
        </w:tc>
      </w:tr>
      <w:tr w:rsidR="00E02DE1" w:rsidRPr="00664FF1" w14:paraId="6D779BEF"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173EF88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lastRenderedPageBreak/>
              <w:t>Tailandia</w:t>
            </w:r>
          </w:p>
        </w:tc>
        <w:tc>
          <w:tcPr>
            <w:tcW w:w="1164" w:type="dxa"/>
            <w:tcBorders>
              <w:top w:val="nil"/>
              <w:left w:val="nil"/>
              <w:bottom w:val="single" w:sz="4" w:space="0" w:color="auto"/>
              <w:right w:val="single" w:sz="4" w:space="0" w:color="auto"/>
            </w:tcBorders>
            <w:shd w:val="clear" w:color="auto" w:fill="auto"/>
            <w:noWrap/>
          </w:tcPr>
          <w:p w14:paraId="65D1B58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0,368</w:t>
            </w:r>
          </w:p>
        </w:tc>
        <w:tc>
          <w:tcPr>
            <w:tcW w:w="992" w:type="dxa"/>
            <w:tcBorders>
              <w:top w:val="nil"/>
              <w:left w:val="nil"/>
              <w:bottom w:val="single" w:sz="4" w:space="0" w:color="auto"/>
              <w:right w:val="single" w:sz="4" w:space="0" w:color="auto"/>
            </w:tcBorders>
            <w:shd w:val="clear" w:color="auto" w:fill="auto"/>
            <w:noWrap/>
          </w:tcPr>
          <w:p w14:paraId="392EBFE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0,378 %</w:t>
            </w:r>
          </w:p>
        </w:tc>
        <w:tc>
          <w:tcPr>
            <w:tcW w:w="1134" w:type="dxa"/>
            <w:tcBorders>
              <w:top w:val="single" w:sz="4" w:space="0" w:color="auto"/>
              <w:left w:val="nil"/>
              <w:bottom w:val="single" w:sz="4" w:space="0" w:color="auto"/>
              <w:right w:val="single" w:sz="4" w:space="0" w:color="auto"/>
            </w:tcBorders>
          </w:tcPr>
          <w:p w14:paraId="1783BB7B" w14:textId="6E71B44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15 026</w:t>
            </w:r>
          </w:p>
        </w:tc>
        <w:tc>
          <w:tcPr>
            <w:tcW w:w="1370" w:type="dxa"/>
            <w:tcBorders>
              <w:top w:val="nil"/>
              <w:left w:val="single" w:sz="4" w:space="0" w:color="auto"/>
              <w:bottom w:val="single" w:sz="4" w:space="0" w:color="auto"/>
              <w:right w:val="single" w:sz="4" w:space="0" w:color="auto"/>
            </w:tcBorders>
            <w:shd w:val="clear" w:color="auto" w:fill="auto"/>
            <w:noWrap/>
          </w:tcPr>
          <w:p w14:paraId="51841CE3" w14:textId="2F2B6E90"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18 018</w:t>
            </w:r>
          </w:p>
        </w:tc>
        <w:tc>
          <w:tcPr>
            <w:tcW w:w="1370" w:type="dxa"/>
            <w:tcBorders>
              <w:top w:val="nil"/>
              <w:left w:val="nil"/>
              <w:bottom w:val="single" w:sz="4" w:space="0" w:color="auto"/>
              <w:right w:val="single" w:sz="4" w:space="0" w:color="auto"/>
            </w:tcBorders>
            <w:shd w:val="clear" w:color="auto" w:fill="auto"/>
            <w:noWrap/>
          </w:tcPr>
          <w:p w14:paraId="54551DD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18 501</w:t>
            </w:r>
          </w:p>
        </w:tc>
        <w:tc>
          <w:tcPr>
            <w:tcW w:w="1371" w:type="dxa"/>
            <w:tcBorders>
              <w:top w:val="nil"/>
              <w:left w:val="nil"/>
              <w:bottom w:val="single" w:sz="4" w:space="0" w:color="auto"/>
              <w:right w:val="single" w:sz="4" w:space="0" w:color="auto"/>
            </w:tcBorders>
            <w:shd w:val="clear" w:color="auto" w:fill="auto"/>
            <w:noWrap/>
          </w:tcPr>
          <w:p w14:paraId="6067624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19 399</w:t>
            </w:r>
          </w:p>
        </w:tc>
      </w:tr>
      <w:tr w:rsidR="00E02DE1" w:rsidRPr="00664FF1" w14:paraId="03B5B89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20A61ED5"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Tayikistán</w:t>
            </w:r>
          </w:p>
        </w:tc>
        <w:tc>
          <w:tcPr>
            <w:tcW w:w="1164" w:type="dxa"/>
            <w:tcBorders>
              <w:top w:val="nil"/>
              <w:left w:val="nil"/>
              <w:bottom w:val="single" w:sz="4" w:space="0" w:color="auto"/>
              <w:right w:val="single" w:sz="4" w:space="0" w:color="auto"/>
            </w:tcBorders>
            <w:shd w:val="clear" w:color="auto" w:fill="auto"/>
            <w:noWrap/>
          </w:tcPr>
          <w:p w14:paraId="1FF9974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w:t>
            </w:r>
          </w:p>
        </w:tc>
        <w:tc>
          <w:tcPr>
            <w:tcW w:w="992" w:type="dxa"/>
            <w:tcBorders>
              <w:top w:val="nil"/>
              <w:left w:val="nil"/>
              <w:bottom w:val="single" w:sz="4" w:space="0" w:color="auto"/>
              <w:right w:val="single" w:sz="4" w:space="0" w:color="auto"/>
            </w:tcBorders>
            <w:shd w:val="clear" w:color="auto" w:fill="auto"/>
            <w:noWrap/>
          </w:tcPr>
          <w:p w14:paraId="452DB76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0,003 %</w:t>
            </w:r>
          </w:p>
        </w:tc>
        <w:tc>
          <w:tcPr>
            <w:tcW w:w="1134" w:type="dxa"/>
            <w:tcBorders>
              <w:top w:val="single" w:sz="4" w:space="0" w:color="auto"/>
              <w:left w:val="nil"/>
              <w:bottom w:val="single" w:sz="4" w:space="0" w:color="auto"/>
              <w:right w:val="single" w:sz="4" w:space="0" w:color="auto"/>
            </w:tcBorders>
          </w:tcPr>
          <w:p w14:paraId="520D7681" w14:textId="1B1CF5E9"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5E24CEE" w14:textId="3DED413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55ADFDC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0EECD74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7DBCA9E"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D76312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Togo</w:t>
            </w:r>
          </w:p>
        </w:tc>
        <w:tc>
          <w:tcPr>
            <w:tcW w:w="1164" w:type="dxa"/>
            <w:tcBorders>
              <w:top w:val="nil"/>
              <w:left w:val="nil"/>
              <w:bottom w:val="single" w:sz="4" w:space="0" w:color="auto"/>
              <w:right w:val="single" w:sz="4" w:space="0" w:color="auto"/>
            </w:tcBorders>
            <w:shd w:val="clear" w:color="auto" w:fill="auto"/>
            <w:noWrap/>
          </w:tcPr>
          <w:p w14:paraId="6A493C0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w:t>
            </w:r>
          </w:p>
        </w:tc>
        <w:tc>
          <w:tcPr>
            <w:tcW w:w="992" w:type="dxa"/>
            <w:tcBorders>
              <w:top w:val="nil"/>
              <w:left w:val="nil"/>
              <w:bottom w:val="single" w:sz="4" w:space="0" w:color="auto"/>
              <w:right w:val="single" w:sz="4" w:space="0" w:color="auto"/>
            </w:tcBorders>
            <w:shd w:val="clear" w:color="auto" w:fill="auto"/>
            <w:noWrap/>
          </w:tcPr>
          <w:p w14:paraId="16919B4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0,002 %</w:t>
            </w:r>
          </w:p>
        </w:tc>
        <w:tc>
          <w:tcPr>
            <w:tcW w:w="1134" w:type="dxa"/>
            <w:tcBorders>
              <w:top w:val="single" w:sz="4" w:space="0" w:color="auto"/>
              <w:left w:val="nil"/>
              <w:bottom w:val="single" w:sz="4" w:space="0" w:color="auto"/>
              <w:right w:val="single" w:sz="4" w:space="0" w:color="auto"/>
            </w:tcBorders>
          </w:tcPr>
          <w:p w14:paraId="24283DE2" w14:textId="4112AC7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6AFE1954" w14:textId="4803831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311E8A0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BA0FDC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7149EDA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5F8DFC3"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Trinidad y Tabago</w:t>
            </w:r>
          </w:p>
        </w:tc>
        <w:tc>
          <w:tcPr>
            <w:tcW w:w="1164" w:type="dxa"/>
            <w:tcBorders>
              <w:top w:val="nil"/>
              <w:left w:val="nil"/>
              <w:bottom w:val="single" w:sz="4" w:space="0" w:color="auto"/>
              <w:right w:val="single" w:sz="4" w:space="0" w:color="auto"/>
            </w:tcBorders>
            <w:shd w:val="clear" w:color="auto" w:fill="auto"/>
            <w:noWrap/>
          </w:tcPr>
          <w:p w14:paraId="27ACFB3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0,037</w:t>
            </w:r>
          </w:p>
        </w:tc>
        <w:tc>
          <w:tcPr>
            <w:tcW w:w="992" w:type="dxa"/>
            <w:tcBorders>
              <w:top w:val="nil"/>
              <w:left w:val="nil"/>
              <w:bottom w:val="single" w:sz="4" w:space="0" w:color="auto"/>
              <w:right w:val="single" w:sz="4" w:space="0" w:color="auto"/>
            </w:tcBorders>
            <w:shd w:val="clear" w:color="auto" w:fill="auto"/>
            <w:noWrap/>
          </w:tcPr>
          <w:p w14:paraId="322D639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0,038 %</w:t>
            </w:r>
          </w:p>
        </w:tc>
        <w:tc>
          <w:tcPr>
            <w:tcW w:w="1134" w:type="dxa"/>
            <w:tcBorders>
              <w:top w:val="single" w:sz="4" w:space="0" w:color="auto"/>
              <w:left w:val="nil"/>
              <w:bottom w:val="single" w:sz="4" w:space="0" w:color="auto"/>
              <w:right w:val="single" w:sz="4" w:space="0" w:color="auto"/>
            </w:tcBorders>
          </w:tcPr>
          <w:p w14:paraId="02485984" w14:textId="046EE2E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1 958</w:t>
            </w:r>
          </w:p>
        </w:tc>
        <w:tc>
          <w:tcPr>
            <w:tcW w:w="1370" w:type="dxa"/>
            <w:tcBorders>
              <w:top w:val="nil"/>
              <w:left w:val="single" w:sz="4" w:space="0" w:color="auto"/>
              <w:bottom w:val="single" w:sz="4" w:space="0" w:color="auto"/>
              <w:right w:val="single" w:sz="4" w:space="0" w:color="auto"/>
            </w:tcBorders>
            <w:shd w:val="clear" w:color="auto" w:fill="auto"/>
            <w:noWrap/>
          </w:tcPr>
          <w:p w14:paraId="12516036" w14:textId="3ADD858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1 812</w:t>
            </w:r>
          </w:p>
        </w:tc>
        <w:tc>
          <w:tcPr>
            <w:tcW w:w="1370" w:type="dxa"/>
            <w:tcBorders>
              <w:top w:val="nil"/>
              <w:left w:val="nil"/>
              <w:bottom w:val="single" w:sz="4" w:space="0" w:color="auto"/>
              <w:right w:val="single" w:sz="4" w:space="0" w:color="auto"/>
            </w:tcBorders>
            <w:shd w:val="clear" w:color="auto" w:fill="auto"/>
            <w:noWrap/>
          </w:tcPr>
          <w:p w14:paraId="56E4A36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1 860</w:t>
            </w:r>
          </w:p>
        </w:tc>
        <w:tc>
          <w:tcPr>
            <w:tcW w:w="1371" w:type="dxa"/>
            <w:tcBorders>
              <w:top w:val="nil"/>
              <w:left w:val="nil"/>
              <w:bottom w:val="single" w:sz="4" w:space="0" w:color="auto"/>
              <w:right w:val="single" w:sz="4" w:space="0" w:color="auto"/>
            </w:tcBorders>
            <w:shd w:val="clear" w:color="auto" w:fill="auto"/>
            <w:noWrap/>
          </w:tcPr>
          <w:p w14:paraId="1C5C76B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1 950</w:t>
            </w:r>
          </w:p>
        </w:tc>
      </w:tr>
      <w:tr w:rsidR="00E02DE1" w:rsidRPr="00664FF1" w14:paraId="12469D3D"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C300B7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Túnez</w:t>
            </w:r>
          </w:p>
        </w:tc>
        <w:tc>
          <w:tcPr>
            <w:tcW w:w="1164" w:type="dxa"/>
            <w:tcBorders>
              <w:top w:val="nil"/>
              <w:left w:val="nil"/>
              <w:bottom w:val="single" w:sz="4" w:space="0" w:color="auto"/>
              <w:right w:val="single" w:sz="4" w:space="0" w:color="auto"/>
            </w:tcBorders>
            <w:shd w:val="clear" w:color="auto" w:fill="auto"/>
            <w:noWrap/>
          </w:tcPr>
          <w:p w14:paraId="1A33E92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0,019</w:t>
            </w:r>
          </w:p>
        </w:tc>
        <w:tc>
          <w:tcPr>
            <w:tcW w:w="992" w:type="dxa"/>
            <w:tcBorders>
              <w:top w:val="nil"/>
              <w:left w:val="nil"/>
              <w:bottom w:val="single" w:sz="4" w:space="0" w:color="auto"/>
              <w:right w:val="single" w:sz="4" w:space="0" w:color="auto"/>
            </w:tcBorders>
            <w:shd w:val="clear" w:color="auto" w:fill="auto"/>
            <w:noWrap/>
          </w:tcPr>
          <w:p w14:paraId="54848E1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0,020 %</w:t>
            </w:r>
          </w:p>
        </w:tc>
        <w:tc>
          <w:tcPr>
            <w:tcW w:w="1134" w:type="dxa"/>
            <w:tcBorders>
              <w:top w:val="single" w:sz="4" w:space="0" w:color="auto"/>
              <w:left w:val="nil"/>
              <w:bottom w:val="single" w:sz="4" w:space="0" w:color="auto"/>
              <w:right w:val="single" w:sz="4" w:space="0" w:color="auto"/>
            </w:tcBorders>
          </w:tcPr>
          <w:p w14:paraId="64587601" w14:textId="2D03FFC1"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1 224</w:t>
            </w:r>
          </w:p>
        </w:tc>
        <w:tc>
          <w:tcPr>
            <w:tcW w:w="1370" w:type="dxa"/>
            <w:tcBorders>
              <w:top w:val="nil"/>
              <w:left w:val="single" w:sz="4" w:space="0" w:color="auto"/>
              <w:bottom w:val="single" w:sz="4" w:space="0" w:color="auto"/>
              <w:right w:val="single" w:sz="4" w:space="0" w:color="auto"/>
            </w:tcBorders>
            <w:shd w:val="clear" w:color="auto" w:fill="auto"/>
            <w:noWrap/>
          </w:tcPr>
          <w:p w14:paraId="7C4B7A57" w14:textId="73C9DD9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76A15D1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277CC3A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1 002</w:t>
            </w:r>
          </w:p>
        </w:tc>
      </w:tr>
      <w:tr w:rsidR="00E02DE1" w:rsidRPr="00664FF1" w14:paraId="6C0B2EA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A0AF577"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Turkmenistán</w:t>
            </w:r>
          </w:p>
        </w:tc>
        <w:tc>
          <w:tcPr>
            <w:tcW w:w="1164" w:type="dxa"/>
            <w:tcBorders>
              <w:top w:val="nil"/>
              <w:left w:val="nil"/>
              <w:bottom w:val="single" w:sz="4" w:space="0" w:color="auto"/>
              <w:right w:val="single" w:sz="4" w:space="0" w:color="auto"/>
            </w:tcBorders>
            <w:shd w:val="clear" w:color="auto" w:fill="auto"/>
            <w:noWrap/>
          </w:tcPr>
          <w:p w14:paraId="5177BAE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0,034</w:t>
            </w:r>
          </w:p>
        </w:tc>
        <w:tc>
          <w:tcPr>
            <w:tcW w:w="992" w:type="dxa"/>
            <w:tcBorders>
              <w:top w:val="nil"/>
              <w:left w:val="nil"/>
              <w:bottom w:val="single" w:sz="4" w:space="0" w:color="auto"/>
              <w:right w:val="single" w:sz="4" w:space="0" w:color="auto"/>
            </w:tcBorders>
            <w:shd w:val="clear" w:color="auto" w:fill="auto"/>
            <w:noWrap/>
          </w:tcPr>
          <w:p w14:paraId="794B417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0,035 %</w:t>
            </w:r>
          </w:p>
        </w:tc>
        <w:tc>
          <w:tcPr>
            <w:tcW w:w="1134" w:type="dxa"/>
            <w:tcBorders>
              <w:top w:val="single" w:sz="4" w:space="0" w:color="auto"/>
              <w:left w:val="nil"/>
              <w:bottom w:val="single" w:sz="4" w:space="0" w:color="auto"/>
              <w:right w:val="single" w:sz="4" w:space="0" w:color="auto"/>
            </w:tcBorders>
          </w:tcPr>
          <w:p w14:paraId="00D03203" w14:textId="0D77534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1 615</w:t>
            </w:r>
          </w:p>
        </w:tc>
        <w:tc>
          <w:tcPr>
            <w:tcW w:w="1370" w:type="dxa"/>
            <w:tcBorders>
              <w:top w:val="nil"/>
              <w:left w:val="single" w:sz="4" w:space="0" w:color="auto"/>
              <w:bottom w:val="single" w:sz="4" w:space="0" w:color="auto"/>
              <w:right w:val="single" w:sz="4" w:space="0" w:color="auto"/>
            </w:tcBorders>
            <w:shd w:val="clear" w:color="auto" w:fill="auto"/>
            <w:noWrap/>
          </w:tcPr>
          <w:p w14:paraId="571B0F27" w14:textId="25299F6F"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1 665</w:t>
            </w:r>
          </w:p>
        </w:tc>
        <w:tc>
          <w:tcPr>
            <w:tcW w:w="1370" w:type="dxa"/>
            <w:tcBorders>
              <w:top w:val="nil"/>
              <w:left w:val="nil"/>
              <w:bottom w:val="single" w:sz="4" w:space="0" w:color="auto"/>
              <w:right w:val="single" w:sz="4" w:space="0" w:color="auto"/>
            </w:tcBorders>
            <w:shd w:val="clear" w:color="auto" w:fill="auto"/>
            <w:noWrap/>
          </w:tcPr>
          <w:p w14:paraId="4421298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1 709</w:t>
            </w:r>
          </w:p>
        </w:tc>
        <w:tc>
          <w:tcPr>
            <w:tcW w:w="1371" w:type="dxa"/>
            <w:tcBorders>
              <w:top w:val="nil"/>
              <w:left w:val="nil"/>
              <w:bottom w:val="single" w:sz="4" w:space="0" w:color="auto"/>
              <w:right w:val="single" w:sz="4" w:space="0" w:color="auto"/>
            </w:tcBorders>
            <w:shd w:val="clear" w:color="auto" w:fill="auto"/>
            <w:noWrap/>
          </w:tcPr>
          <w:p w14:paraId="474207A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1 792</w:t>
            </w:r>
          </w:p>
        </w:tc>
      </w:tr>
      <w:tr w:rsidR="00E02DE1" w:rsidRPr="00664FF1" w14:paraId="59C1C14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409A5B9"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Turquía</w:t>
            </w:r>
          </w:p>
        </w:tc>
        <w:tc>
          <w:tcPr>
            <w:tcW w:w="1164" w:type="dxa"/>
            <w:tcBorders>
              <w:top w:val="nil"/>
              <w:left w:val="nil"/>
              <w:bottom w:val="single" w:sz="4" w:space="0" w:color="auto"/>
              <w:right w:val="single" w:sz="4" w:space="0" w:color="auto"/>
            </w:tcBorders>
            <w:shd w:val="clear" w:color="auto" w:fill="auto"/>
            <w:noWrap/>
          </w:tcPr>
          <w:p w14:paraId="012750C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0,845</w:t>
            </w:r>
          </w:p>
        </w:tc>
        <w:tc>
          <w:tcPr>
            <w:tcW w:w="992" w:type="dxa"/>
            <w:tcBorders>
              <w:top w:val="nil"/>
              <w:left w:val="nil"/>
              <w:bottom w:val="single" w:sz="4" w:space="0" w:color="auto"/>
              <w:right w:val="single" w:sz="4" w:space="0" w:color="auto"/>
            </w:tcBorders>
            <w:shd w:val="clear" w:color="auto" w:fill="auto"/>
            <w:noWrap/>
          </w:tcPr>
          <w:p w14:paraId="5C536A7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0,867 %</w:t>
            </w:r>
          </w:p>
        </w:tc>
        <w:tc>
          <w:tcPr>
            <w:tcW w:w="1134" w:type="dxa"/>
            <w:tcBorders>
              <w:top w:val="single" w:sz="4" w:space="0" w:color="auto"/>
              <w:left w:val="nil"/>
              <w:bottom w:val="single" w:sz="4" w:space="0" w:color="auto"/>
              <w:right w:val="single" w:sz="4" w:space="0" w:color="auto"/>
            </w:tcBorders>
          </w:tcPr>
          <w:p w14:paraId="0A4D4C93" w14:textId="35C36FB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67 105</w:t>
            </w:r>
          </w:p>
        </w:tc>
        <w:tc>
          <w:tcPr>
            <w:tcW w:w="1370" w:type="dxa"/>
            <w:tcBorders>
              <w:top w:val="nil"/>
              <w:left w:val="single" w:sz="4" w:space="0" w:color="auto"/>
              <w:bottom w:val="single" w:sz="4" w:space="0" w:color="auto"/>
              <w:right w:val="single" w:sz="4" w:space="0" w:color="auto"/>
            </w:tcBorders>
            <w:shd w:val="clear" w:color="auto" w:fill="auto"/>
            <w:noWrap/>
          </w:tcPr>
          <w:p w14:paraId="07292916" w14:textId="5D6A69A1"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41 374</w:t>
            </w:r>
          </w:p>
        </w:tc>
        <w:tc>
          <w:tcPr>
            <w:tcW w:w="1370" w:type="dxa"/>
            <w:tcBorders>
              <w:top w:val="nil"/>
              <w:left w:val="nil"/>
              <w:bottom w:val="single" w:sz="4" w:space="0" w:color="auto"/>
              <w:right w:val="single" w:sz="4" w:space="0" w:color="auto"/>
            </w:tcBorders>
            <w:shd w:val="clear" w:color="auto" w:fill="auto"/>
            <w:noWrap/>
          </w:tcPr>
          <w:p w14:paraId="5119F09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42 482</w:t>
            </w:r>
          </w:p>
        </w:tc>
        <w:tc>
          <w:tcPr>
            <w:tcW w:w="1371" w:type="dxa"/>
            <w:tcBorders>
              <w:top w:val="nil"/>
              <w:left w:val="nil"/>
              <w:bottom w:val="single" w:sz="4" w:space="0" w:color="auto"/>
              <w:right w:val="single" w:sz="4" w:space="0" w:color="auto"/>
            </w:tcBorders>
            <w:shd w:val="clear" w:color="auto" w:fill="auto"/>
            <w:noWrap/>
          </w:tcPr>
          <w:p w14:paraId="6B304C5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44 543</w:t>
            </w:r>
          </w:p>
        </w:tc>
      </w:tr>
      <w:tr w:rsidR="00E02DE1" w:rsidRPr="00664FF1" w14:paraId="5C92D495"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920181B"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Ucrania</w:t>
            </w:r>
          </w:p>
        </w:tc>
        <w:tc>
          <w:tcPr>
            <w:tcW w:w="1164" w:type="dxa"/>
            <w:tcBorders>
              <w:top w:val="nil"/>
              <w:left w:val="nil"/>
              <w:bottom w:val="single" w:sz="4" w:space="0" w:color="auto"/>
              <w:right w:val="single" w:sz="4" w:space="0" w:color="auto"/>
            </w:tcBorders>
            <w:shd w:val="clear" w:color="auto" w:fill="auto"/>
            <w:noWrap/>
          </w:tcPr>
          <w:p w14:paraId="5F49ABC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0,056</w:t>
            </w:r>
          </w:p>
        </w:tc>
        <w:tc>
          <w:tcPr>
            <w:tcW w:w="992" w:type="dxa"/>
            <w:tcBorders>
              <w:top w:val="nil"/>
              <w:left w:val="nil"/>
              <w:bottom w:val="single" w:sz="4" w:space="0" w:color="auto"/>
              <w:right w:val="single" w:sz="4" w:space="0" w:color="auto"/>
            </w:tcBorders>
            <w:shd w:val="clear" w:color="auto" w:fill="auto"/>
            <w:noWrap/>
          </w:tcPr>
          <w:p w14:paraId="2851028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0,057 %</w:t>
            </w:r>
          </w:p>
        </w:tc>
        <w:tc>
          <w:tcPr>
            <w:tcW w:w="1134" w:type="dxa"/>
            <w:tcBorders>
              <w:top w:val="single" w:sz="4" w:space="0" w:color="auto"/>
              <w:left w:val="nil"/>
              <w:bottom w:val="single" w:sz="4" w:space="0" w:color="auto"/>
              <w:right w:val="single" w:sz="4" w:space="0" w:color="auto"/>
            </w:tcBorders>
          </w:tcPr>
          <w:p w14:paraId="7B401B61" w14:textId="25A08E0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2 790</w:t>
            </w:r>
          </w:p>
        </w:tc>
        <w:tc>
          <w:tcPr>
            <w:tcW w:w="1370" w:type="dxa"/>
            <w:tcBorders>
              <w:top w:val="nil"/>
              <w:left w:val="single" w:sz="4" w:space="0" w:color="auto"/>
              <w:bottom w:val="single" w:sz="4" w:space="0" w:color="auto"/>
              <w:right w:val="single" w:sz="4" w:space="0" w:color="auto"/>
            </w:tcBorders>
            <w:shd w:val="clear" w:color="auto" w:fill="auto"/>
            <w:noWrap/>
          </w:tcPr>
          <w:p w14:paraId="46DB0F8C" w14:textId="33F7C83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2 742</w:t>
            </w:r>
          </w:p>
        </w:tc>
        <w:tc>
          <w:tcPr>
            <w:tcW w:w="1370" w:type="dxa"/>
            <w:tcBorders>
              <w:top w:val="nil"/>
              <w:left w:val="nil"/>
              <w:bottom w:val="single" w:sz="4" w:space="0" w:color="auto"/>
              <w:right w:val="single" w:sz="4" w:space="0" w:color="auto"/>
            </w:tcBorders>
            <w:shd w:val="clear" w:color="auto" w:fill="auto"/>
            <w:noWrap/>
          </w:tcPr>
          <w:p w14:paraId="5CF0362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2 815</w:t>
            </w:r>
          </w:p>
        </w:tc>
        <w:tc>
          <w:tcPr>
            <w:tcW w:w="1371" w:type="dxa"/>
            <w:tcBorders>
              <w:top w:val="nil"/>
              <w:left w:val="nil"/>
              <w:bottom w:val="single" w:sz="4" w:space="0" w:color="auto"/>
              <w:right w:val="single" w:sz="4" w:space="0" w:color="auto"/>
            </w:tcBorders>
            <w:shd w:val="clear" w:color="auto" w:fill="auto"/>
            <w:noWrap/>
          </w:tcPr>
          <w:p w14:paraId="065ACDF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2 952</w:t>
            </w:r>
          </w:p>
        </w:tc>
      </w:tr>
      <w:tr w:rsidR="00E02DE1" w:rsidRPr="00664FF1" w14:paraId="23BC216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7F23C16"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Uganda</w:t>
            </w:r>
          </w:p>
        </w:tc>
        <w:tc>
          <w:tcPr>
            <w:tcW w:w="1164" w:type="dxa"/>
            <w:tcBorders>
              <w:top w:val="nil"/>
              <w:left w:val="nil"/>
              <w:bottom w:val="single" w:sz="4" w:space="0" w:color="auto"/>
              <w:right w:val="single" w:sz="4" w:space="0" w:color="auto"/>
            </w:tcBorders>
            <w:shd w:val="clear" w:color="auto" w:fill="auto"/>
            <w:noWrap/>
          </w:tcPr>
          <w:p w14:paraId="72F7D74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w:t>
            </w:r>
          </w:p>
        </w:tc>
        <w:tc>
          <w:tcPr>
            <w:tcW w:w="992" w:type="dxa"/>
            <w:tcBorders>
              <w:top w:val="nil"/>
              <w:left w:val="nil"/>
              <w:bottom w:val="single" w:sz="4" w:space="0" w:color="auto"/>
              <w:right w:val="single" w:sz="4" w:space="0" w:color="auto"/>
            </w:tcBorders>
            <w:shd w:val="clear" w:color="auto" w:fill="auto"/>
            <w:noWrap/>
          </w:tcPr>
          <w:p w14:paraId="290BB7D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0,010 %</w:t>
            </w:r>
          </w:p>
        </w:tc>
        <w:tc>
          <w:tcPr>
            <w:tcW w:w="1134" w:type="dxa"/>
            <w:tcBorders>
              <w:top w:val="single" w:sz="4" w:space="0" w:color="auto"/>
              <w:left w:val="nil"/>
              <w:bottom w:val="single" w:sz="4" w:space="0" w:color="auto"/>
              <w:right w:val="single" w:sz="4" w:space="0" w:color="auto"/>
            </w:tcBorders>
          </w:tcPr>
          <w:p w14:paraId="48B5D900" w14:textId="1B765DC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19840D1" w14:textId="04ADACE9"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8FB74F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31C39FF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2AC9037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3599608"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Uruguay</w:t>
            </w:r>
          </w:p>
        </w:tc>
        <w:tc>
          <w:tcPr>
            <w:tcW w:w="1164" w:type="dxa"/>
            <w:tcBorders>
              <w:top w:val="nil"/>
              <w:left w:val="nil"/>
              <w:bottom w:val="single" w:sz="4" w:space="0" w:color="auto"/>
              <w:right w:val="single" w:sz="4" w:space="0" w:color="auto"/>
            </w:tcBorders>
            <w:shd w:val="clear" w:color="auto" w:fill="auto"/>
            <w:noWrap/>
          </w:tcPr>
          <w:p w14:paraId="1EDD53D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0,092</w:t>
            </w:r>
          </w:p>
        </w:tc>
        <w:tc>
          <w:tcPr>
            <w:tcW w:w="992" w:type="dxa"/>
            <w:tcBorders>
              <w:top w:val="nil"/>
              <w:left w:val="nil"/>
              <w:bottom w:val="single" w:sz="4" w:space="0" w:color="auto"/>
              <w:right w:val="single" w:sz="4" w:space="0" w:color="auto"/>
            </w:tcBorders>
            <w:shd w:val="clear" w:color="auto" w:fill="auto"/>
            <w:noWrap/>
          </w:tcPr>
          <w:p w14:paraId="2BE591D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0,094 %</w:t>
            </w:r>
          </w:p>
        </w:tc>
        <w:tc>
          <w:tcPr>
            <w:tcW w:w="1134" w:type="dxa"/>
            <w:tcBorders>
              <w:top w:val="single" w:sz="4" w:space="0" w:color="auto"/>
              <w:left w:val="nil"/>
              <w:bottom w:val="single" w:sz="4" w:space="0" w:color="auto"/>
              <w:right w:val="single" w:sz="4" w:space="0" w:color="auto"/>
            </w:tcBorders>
          </w:tcPr>
          <w:p w14:paraId="18ADC163" w14:textId="26F80843"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4 258</w:t>
            </w:r>
          </w:p>
        </w:tc>
        <w:tc>
          <w:tcPr>
            <w:tcW w:w="1370" w:type="dxa"/>
            <w:tcBorders>
              <w:top w:val="nil"/>
              <w:left w:val="single" w:sz="4" w:space="0" w:color="auto"/>
              <w:bottom w:val="single" w:sz="4" w:space="0" w:color="auto"/>
              <w:right w:val="single" w:sz="4" w:space="0" w:color="auto"/>
            </w:tcBorders>
            <w:shd w:val="clear" w:color="auto" w:fill="auto"/>
            <w:noWrap/>
          </w:tcPr>
          <w:p w14:paraId="21194DFC" w14:textId="4269A89E"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4 505</w:t>
            </w:r>
          </w:p>
        </w:tc>
        <w:tc>
          <w:tcPr>
            <w:tcW w:w="1370" w:type="dxa"/>
            <w:tcBorders>
              <w:top w:val="nil"/>
              <w:left w:val="nil"/>
              <w:bottom w:val="single" w:sz="4" w:space="0" w:color="auto"/>
              <w:right w:val="single" w:sz="4" w:space="0" w:color="auto"/>
            </w:tcBorders>
            <w:shd w:val="clear" w:color="auto" w:fill="auto"/>
            <w:noWrap/>
          </w:tcPr>
          <w:p w14:paraId="62D184B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4 625</w:t>
            </w:r>
          </w:p>
        </w:tc>
        <w:tc>
          <w:tcPr>
            <w:tcW w:w="1371" w:type="dxa"/>
            <w:tcBorders>
              <w:top w:val="nil"/>
              <w:left w:val="nil"/>
              <w:bottom w:val="single" w:sz="4" w:space="0" w:color="auto"/>
              <w:right w:val="single" w:sz="4" w:space="0" w:color="auto"/>
            </w:tcBorders>
            <w:shd w:val="clear" w:color="auto" w:fill="auto"/>
            <w:noWrap/>
          </w:tcPr>
          <w:p w14:paraId="1ADCC42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4 850</w:t>
            </w:r>
          </w:p>
        </w:tc>
      </w:tr>
      <w:tr w:rsidR="00E02DE1" w:rsidRPr="00664FF1" w14:paraId="7C82B650"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C96A6AC"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Uzbekistán</w:t>
            </w:r>
          </w:p>
        </w:tc>
        <w:tc>
          <w:tcPr>
            <w:tcW w:w="1164" w:type="dxa"/>
            <w:tcBorders>
              <w:top w:val="nil"/>
              <w:left w:val="nil"/>
              <w:bottom w:val="single" w:sz="4" w:space="0" w:color="auto"/>
              <w:right w:val="single" w:sz="4" w:space="0" w:color="auto"/>
            </w:tcBorders>
            <w:shd w:val="clear" w:color="auto" w:fill="auto"/>
            <w:noWrap/>
          </w:tcPr>
          <w:p w14:paraId="3A850866"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0,027</w:t>
            </w:r>
          </w:p>
        </w:tc>
        <w:tc>
          <w:tcPr>
            <w:tcW w:w="992" w:type="dxa"/>
            <w:tcBorders>
              <w:top w:val="nil"/>
              <w:left w:val="nil"/>
              <w:bottom w:val="single" w:sz="4" w:space="0" w:color="auto"/>
              <w:right w:val="single" w:sz="4" w:space="0" w:color="auto"/>
            </w:tcBorders>
            <w:shd w:val="clear" w:color="auto" w:fill="auto"/>
            <w:noWrap/>
          </w:tcPr>
          <w:p w14:paraId="1CA00AE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0,028 %</w:t>
            </w:r>
          </w:p>
        </w:tc>
        <w:tc>
          <w:tcPr>
            <w:tcW w:w="1134" w:type="dxa"/>
            <w:tcBorders>
              <w:top w:val="single" w:sz="4" w:space="0" w:color="auto"/>
              <w:left w:val="nil"/>
              <w:bottom w:val="single" w:sz="4" w:space="0" w:color="auto"/>
              <w:right w:val="single" w:sz="4" w:space="0" w:color="auto"/>
            </w:tcBorders>
          </w:tcPr>
          <w:p w14:paraId="35A55474" w14:textId="1461C6F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1 566</w:t>
            </w:r>
          </w:p>
        </w:tc>
        <w:tc>
          <w:tcPr>
            <w:tcW w:w="1370" w:type="dxa"/>
            <w:tcBorders>
              <w:top w:val="nil"/>
              <w:left w:val="single" w:sz="4" w:space="0" w:color="auto"/>
              <w:bottom w:val="single" w:sz="4" w:space="0" w:color="auto"/>
              <w:right w:val="single" w:sz="4" w:space="0" w:color="auto"/>
            </w:tcBorders>
            <w:shd w:val="clear" w:color="auto" w:fill="auto"/>
            <w:noWrap/>
          </w:tcPr>
          <w:p w14:paraId="42CEC4DD" w14:textId="6325348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1 322</w:t>
            </w:r>
          </w:p>
        </w:tc>
        <w:tc>
          <w:tcPr>
            <w:tcW w:w="1370" w:type="dxa"/>
            <w:tcBorders>
              <w:top w:val="nil"/>
              <w:left w:val="nil"/>
              <w:bottom w:val="single" w:sz="4" w:space="0" w:color="auto"/>
              <w:right w:val="single" w:sz="4" w:space="0" w:color="auto"/>
            </w:tcBorders>
            <w:shd w:val="clear" w:color="auto" w:fill="auto"/>
            <w:noWrap/>
          </w:tcPr>
          <w:p w14:paraId="11632BA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1 357</w:t>
            </w:r>
          </w:p>
        </w:tc>
        <w:tc>
          <w:tcPr>
            <w:tcW w:w="1371" w:type="dxa"/>
            <w:tcBorders>
              <w:top w:val="nil"/>
              <w:left w:val="nil"/>
              <w:bottom w:val="single" w:sz="4" w:space="0" w:color="auto"/>
              <w:right w:val="single" w:sz="4" w:space="0" w:color="auto"/>
            </w:tcBorders>
            <w:shd w:val="clear" w:color="auto" w:fill="auto"/>
            <w:noWrap/>
          </w:tcPr>
          <w:p w14:paraId="248F5A1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1 423</w:t>
            </w:r>
          </w:p>
        </w:tc>
      </w:tr>
      <w:tr w:rsidR="00E02DE1" w:rsidRPr="00664FF1" w14:paraId="55A20C06"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D990862"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Vanuatu</w:t>
            </w:r>
          </w:p>
        </w:tc>
        <w:tc>
          <w:tcPr>
            <w:tcW w:w="1164" w:type="dxa"/>
            <w:tcBorders>
              <w:top w:val="nil"/>
              <w:left w:val="nil"/>
              <w:bottom w:val="single" w:sz="4" w:space="0" w:color="auto"/>
              <w:right w:val="single" w:sz="4" w:space="0" w:color="auto"/>
            </w:tcBorders>
            <w:shd w:val="clear" w:color="auto" w:fill="auto"/>
            <w:noWrap/>
          </w:tcPr>
          <w:p w14:paraId="32E3720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w:t>
            </w:r>
          </w:p>
        </w:tc>
        <w:tc>
          <w:tcPr>
            <w:tcW w:w="992" w:type="dxa"/>
            <w:tcBorders>
              <w:top w:val="nil"/>
              <w:left w:val="nil"/>
              <w:bottom w:val="single" w:sz="4" w:space="0" w:color="auto"/>
              <w:right w:val="single" w:sz="4" w:space="0" w:color="auto"/>
            </w:tcBorders>
            <w:shd w:val="clear" w:color="auto" w:fill="auto"/>
            <w:noWrap/>
          </w:tcPr>
          <w:p w14:paraId="5A9ACCB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0,001 %</w:t>
            </w:r>
          </w:p>
        </w:tc>
        <w:tc>
          <w:tcPr>
            <w:tcW w:w="1134" w:type="dxa"/>
            <w:tcBorders>
              <w:top w:val="single" w:sz="4" w:space="0" w:color="auto"/>
              <w:left w:val="nil"/>
              <w:bottom w:val="single" w:sz="4" w:space="0" w:color="auto"/>
              <w:right w:val="single" w:sz="4" w:space="0" w:color="auto"/>
            </w:tcBorders>
          </w:tcPr>
          <w:p w14:paraId="4AC01D7F" w14:textId="06199B7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FAB5AB8" w14:textId="7B79DF9F"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BC43C6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624F1DE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6696AA49"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vAlign w:val="center"/>
          </w:tcPr>
          <w:p w14:paraId="44B4202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Venezuela (República Bolivariana de)</w:t>
            </w:r>
          </w:p>
        </w:tc>
        <w:tc>
          <w:tcPr>
            <w:tcW w:w="1164" w:type="dxa"/>
            <w:tcBorders>
              <w:top w:val="nil"/>
              <w:left w:val="nil"/>
              <w:bottom w:val="single" w:sz="4" w:space="0" w:color="auto"/>
              <w:right w:val="single" w:sz="4" w:space="0" w:color="auto"/>
            </w:tcBorders>
            <w:shd w:val="clear" w:color="auto" w:fill="auto"/>
            <w:noWrap/>
          </w:tcPr>
          <w:p w14:paraId="4D41D66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0,175</w:t>
            </w:r>
          </w:p>
        </w:tc>
        <w:tc>
          <w:tcPr>
            <w:tcW w:w="992" w:type="dxa"/>
            <w:tcBorders>
              <w:top w:val="nil"/>
              <w:left w:val="nil"/>
              <w:bottom w:val="single" w:sz="4" w:space="0" w:color="auto"/>
              <w:right w:val="single" w:sz="4" w:space="0" w:color="auto"/>
            </w:tcBorders>
            <w:shd w:val="clear" w:color="auto" w:fill="auto"/>
            <w:noWrap/>
          </w:tcPr>
          <w:p w14:paraId="71C9FDC9"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0,180 %</w:t>
            </w:r>
          </w:p>
        </w:tc>
        <w:tc>
          <w:tcPr>
            <w:tcW w:w="1134" w:type="dxa"/>
            <w:tcBorders>
              <w:top w:val="single" w:sz="4" w:space="0" w:color="auto"/>
              <w:left w:val="nil"/>
              <w:bottom w:val="single" w:sz="4" w:space="0" w:color="auto"/>
              <w:right w:val="single" w:sz="4" w:space="0" w:color="auto"/>
            </w:tcBorders>
          </w:tcPr>
          <w:p w14:paraId="5872E141" w14:textId="1F6CDEA6"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35 633</w:t>
            </w:r>
          </w:p>
        </w:tc>
        <w:tc>
          <w:tcPr>
            <w:tcW w:w="1370" w:type="dxa"/>
            <w:tcBorders>
              <w:top w:val="nil"/>
              <w:left w:val="single" w:sz="4" w:space="0" w:color="auto"/>
              <w:bottom w:val="single" w:sz="4" w:space="0" w:color="auto"/>
              <w:right w:val="single" w:sz="4" w:space="0" w:color="auto"/>
            </w:tcBorders>
            <w:shd w:val="clear" w:color="auto" w:fill="auto"/>
            <w:noWrap/>
          </w:tcPr>
          <w:p w14:paraId="6D19EAD9" w14:textId="3D7C64C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8 568</w:t>
            </w:r>
          </w:p>
        </w:tc>
        <w:tc>
          <w:tcPr>
            <w:tcW w:w="1370" w:type="dxa"/>
            <w:tcBorders>
              <w:top w:val="nil"/>
              <w:left w:val="nil"/>
              <w:bottom w:val="single" w:sz="4" w:space="0" w:color="auto"/>
              <w:right w:val="single" w:sz="4" w:space="0" w:color="auto"/>
            </w:tcBorders>
            <w:shd w:val="clear" w:color="auto" w:fill="auto"/>
            <w:noWrap/>
          </w:tcPr>
          <w:p w14:paraId="1653772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8 798</w:t>
            </w:r>
          </w:p>
        </w:tc>
        <w:tc>
          <w:tcPr>
            <w:tcW w:w="1371" w:type="dxa"/>
            <w:tcBorders>
              <w:top w:val="nil"/>
              <w:left w:val="nil"/>
              <w:bottom w:val="single" w:sz="4" w:space="0" w:color="auto"/>
              <w:right w:val="single" w:sz="4" w:space="0" w:color="auto"/>
            </w:tcBorders>
            <w:shd w:val="clear" w:color="auto" w:fill="auto"/>
            <w:noWrap/>
          </w:tcPr>
          <w:p w14:paraId="1B0ED17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9 225</w:t>
            </w:r>
          </w:p>
        </w:tc>
      </w:tr>
      <w:tr w:rsidR="00E02DE1" w:rsidRPr="00664FF1" w14:paraId="1D85A533"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3D0F949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Viet Nam</w:t>
            </w:r>
          </w:p>
        </w:tc>
        <w:tc>
          <w:tcPr>
            <w:tcW w:w="1164" w:type="dxa"/>
            <w:tcBorders>
              <w:top w:val="nil"/>
              <w:left w:val="nil"/>
              <w:bottom w:val="single" w:sz="4" w:space="0" w:color="auto"/>
              <w:right w:val="single" w:sz="4" w:space="0" w:color="auto"/>
            </w:tcBorders>
            <w:shd w:val="clear" w:color="auto" w:fill="auto"/>
            <w:noWrap/>
          </w:tcPr>
          <w:p w14:paraId="19C4BFE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0,093</w:t>
            </w:r>
          </w:p>
        </w:tc>
        <w:tc>
          <w:tcPr>
            <w:tcW w:w="992" w:type="dxa"/>
            <w:tcBorders>
              <w:top w:val="nil"/>
              <w:left w:val="nil"/>
              <w:bottom w:val="single" w:sz="4" w:space="0" w:color="auto"/>
              <w:right w:val="single" w:sz="4" w:space="0" w:color="auto"/>
            </w:tcBorders>
            <w:shd w:val="clear" w:color="auto" w:fill="auto"/>
            <w:noWrap/>
          </w:tcPr>
          <w:p w14:paraId="2C01A561"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0,095 %</w:t>
            </w:r>
          </w:p>
        </w:tc>
        <w:tc>
          <w:tcPr>
            <w:tcW w:w="1134" w:type="dxa"/>
            <w:tcBorders>
              <w:top w:val="single" w:sz="4" w:space="0" w:color="auto"/>
              <w:left w:val="nil"/>
              <w:bottom w:val="single" w:sz="4" w:space="0" w:color="auto"/>
              <w:right w:val="single" w:sz="4" w:space="0" w:color="auto"/>
            </w:tcBorders>
          </w:tcPr>
          <w:p w14:paraId="6D717ECB" w14:textId="2EA63A4E"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3 769</w:t>
            </w:r>
          </w:p>
        </w:tc>
        <w:tc>
          <w:tcPr>
            <w:tcW w:w="1370" w:type="dxa"/>
            <w:tcBorders>
              <w:top w:val="nil"/>
              <w:left w:val="single" w:sz="4" w:space="0" w:color="auto"/>
              <w:bottom w:val="single" w:sz="4" w:space="0" w:color="auto"/>
              <w:right w:val="single" w:sz="4" w:space="0" w:color="auto"/>
            </w:tcBorders>
            <w:shd w:val="clear" w:color="auto" w:fill="auto"/>
            <w:noWrap/>
          </w:tcPr>
          <w:p w14:paraId="56324C22" w14:textId="17FACD5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4 554</w:t>
            </w:r>
          </w:p>
        </w:tc>
        <w:tc>
          <w:tcPr>
            <w:tcW w:w="1370" w:type="dxa"/>
            <w:tcBorders>
              <w:top w:val="nil"/>
              <w:left w:val="nil"/>
              <w:bottom w:val="single" w:sz="4" w:space="0" w:color="auto"/>
              <w:right w:val="single" w:sz="4" w:space="0" w:color="auto"/>
            </w:tcBorders>
            <w:shd w:val="clear" w:color="auto" w:fill="auto"/>
            <w:noWrap/>
          </w:tcPr>
          <w:p w14:paraId="629FA2A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4 676</w:t>
            </w:r>
          </w:p>
        </w:tc>
        <w:tc>
          <w:tcPr>
            <w:tcW w:w="1371" w:type="dxa"/>
            <w:tcBorders>
              <w:top w:val="nil"/>
              <w:left w:val="nil"/>
              <w:bottom w:val="single" w:sz="4" w:space="0" w:color="auto"/>
              <w:right w:val="single" w:sz="4" w:space="0" w:color="auto"/>
            </w:tcBorders>
            <w:shd w:val="clear" w:color="auto" w:fill="auto"/>
            <w:noWrap/>
          </w:tcPr>
          <w:p w14:paraId="212F7C2B"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4 902</w:t>
            </w:r>
          </w:p>
        </w:tc>
      </w:tr>
      <w:tr w:rsidR="00E02DE1" w:rsidRPr="00664FF1" w14:paraId="5170C62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B1F5E6F"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Yemen</w:t>
            </w:r>
          </w:p>
        </w:tc>
        <w:tc>
          <w:tcPr>
            <w:tcW w:w="1164" w:type="dxa"/>
            <w:tcBorders>
              <w:top w:val="nil"/>
              <w:left w:val="nil"/>
              <w:bottom w:val="single" w:sz="4" w:space="0" w:color="auto"/>
              <w:right w:val="single" w:sz="4" w:space="0" w:color="auto"/>
            </w:tcBorders>
            <w:shd w:val="clear" w:color="auto" w:fill="auto"/>
            <w:noWrap/>
          </w:tcPr>
          <w:p w14:paraId="6D76980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w:t>
            </w:r>
          </w:p>
        </w:tc>
        <w:tc>
          <w:tcPr>
            <w:tcW w:w="992" w:type="dxa"/>
            <w:tcBorders>
              <w:top w:val="nil"/>
              <w:left w:val="nil"/>
              <w:bottom w:val="single" w:sz="4" w:space="0" w:color="auto"/>
              <w:right w:val="single" w:sz="4" w:space="0" w:color="auto"/>
            </w:tcBorders>
            <w:shd w:val="clear" w:color="auto" w:fill="auto"/>
            <w:noWrap/>
          </w:tcPr>
          <w:p w14:paraId="79B3E863"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0,008 %</w:t>
            </w:r>
          </w:p>
        </w:tc>
        <w:tc>
          <w:tcPr>
            <w:tcW w:w="1134" w:type="dxa"/>
            <w:tcBorders>
              <w:top w:val="single" w:sz="4" w:space="0" w:color="auto"/>
              <w:left w:val="nil"/>
              <w:bottom w:val="single" w:sz="4" w:space="0" w:color="auto"/>
              <w:right w:val="single" w:sz="4" w:space="0" w:color="auto"/>
            </w:tcBorders>
          </w:tcPr>
          <w:p w14:paraId="24C496FE" w14:textId="3A179E6C"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05E70AB1" w14:textId="3739E41A"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B91CAF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73254FE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1 000</w:t>
            </w:r>
          </w:p>
        </w:tc>
      </w:tr>
      <w:tr w:rsidR="00E02DE1" w:rsidRPr="00664FF1" w14:paraId="18B2200A"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6E6F7686" w14:textId="77777777" w:rsidR="00E02DE1" w:rsidRPr="00664FF1" w:rsidRDefault="00E02DE1" w:rsidP="00E02DE1">
            <w:pPr>
              <w:ind w:left="0" w:firstLine="0"/>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Zambia</w:t>
            </w:r>
          </w:p>
        </w:tc>
        <w:tc>
          <w:tcPr>
            <w:tcW w:w="1164" w:type="dxa"/>
            <w:tcBorders>
              <w:top w:val="nil"/>
              <w:left w:val="nil"/>
              <w:bottom w:val="single" w:sz="4" w:space="0" w:color="auto"/>
              <w:right w:val="single" w:sz="4" w:space="0" w:color="auto"/>
            </w:tcBorders>
            <w:shd w:val="clear" w:color="auto" w:fill="auto"/>
            <w:noWrap/>
          </w:tcPr>
          <w:p w14:paraId="4522EC23" w14:textId="7777777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0,008</w:t>
            </w:r>
          </w:p>
        </w:tc>
        <w:tc>
          <w:tcPr>
            <w:tcW w:w="992" w:type="dxa"/>
            <w:tcBorders>
              <w:top w:val="nil"/>
              <w:left w:val="nil"/>
              <w:bottom w:val="single" w:sz="4" w:space="0" w:color="auto"/>
              <w:right w:val="single" w:sz="4" w:space="0" w:color="auto"/>
            </w:tcBorders>
            <w:shd w:val="clear" w:color="auto" w:fill="auto"/>
            <w:noWrap/>
          </w:tcPr>
          <w:p w14:paraId="67C9E57C" w14:textId="7777777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0,008 %</w:t>
            </w:r>
          </w:p>
        </w:tc>
        <w:tc>
          <w:tcPr>
            <w:tcW w:w="1134" w:type="dxa"/>
            <w:tcBorders>
              <w:top w:val="single" w:sz="4" w:space="0" w:color="auto"/>
              <w:left w:val="nil"/>
              <w:bottom w:val="single" w:sz="4" w:space="0" w:color="auto"/>
              <w:right w:val="single" w:sz="4" w:space="0" w:color="auto"/>
            </w:tcBorders>
          </w:tcPr>
          <w:p w14:paraId="7513A156" w14:textId="37257824"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4775C008" w14:textId="20975CFB"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0B54C1A9" w14:textId="7777777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D962033" w14:textId="7777777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r>
      <w:tr w:rsidR="00E02DE1" w:rsidRPr="00664FF1" w14:paraId="2F2EB817"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0483F189" w14:textId="77777777" w:rsidR="00E02DE1" w:rsidRPr="00664FF1" w:rsidRDefault="00E02DE1" w:rsidP="00E02DE1">
            <w:pPr>
              <w:ind w:left="0" w:firstLine="0"/>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Zimbabwe</w:t>
            </w:r>
          </w:p>
        </w:tc>
        <w:tc>
          <w:tcPr>
            <w:tcW w:w="1164" w:type="dxa"/>
            <w:tcBorders>
              <w:top w:val="nil"/>
              <w:left w:val="nil"/>
              <w:bottom w:val="single" w:sz="4" w:space="0" w:color="auto"/>
              <w:right w:val="single" w:sz="4" w:space="0" w:color="auto"/>
            </w:tcBorders>
            <w:shd w:val="clear" w:color="auto" w:fill="auto"/>
            <w:noWrap/>
          </w:tcPr>
          <w:p w14:paraId="54D5B656" w14:textId="7777777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0,007</w:t>
            </w:r>
          </w:p>
        </w:tc>
        <w:tc>
          <w:tcPr>
            <w:tcW w:w="992" w:type="dxa"/>
            <w:tcBorders>
              <w:top w:val="nil"/>
              <w:left w:val="nil"/>
              <w:bottom w:val="single" w:sz="4" w:space="0" w:color="auto"/>
              <w:right w:val="single" w:sz="4" w:space="0" w:color="auto"/>
            </w:tcBorders>
            <w:shd w:val="clear" w:color="auto" w:fill="auto"/>
            <w:noWrap/>
          </w:tcPr>
          <w:p w14:paraId="25C0E978" w14:textId="7777777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0,007 %</w:t>
            </w:r>
          </w:p>
        </w:tc>
        <w:tc>
          <w:tcPr>
            <w:tcW w:w="1134" w:type="dxa"/>
            <w:tcBorders>
              <w:top w:val="single" w:sz="4" w:space="0" w:color="auto"/>
              <w:left w:val="nil"/>
              <w:bottom w:val="single" w:sz="4" w:space="0" w:color="auto"/>
              <w:right w:val="single" w:sz="4" w:space="0" w:color="auto"/>
            </w:tcBorders>
          </w:tcPr>
          <w:p w14:paraId="51F14471" w14:textId="337ECDE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single" w:sz="4" w:space="0" w:color="auto"/>
              <w:bottom w:val="single" w:sz="4" w:space="0" w:color="auto"/>
              <w:right w:val="single" w:sz="4" w:space="0" w:color="auto"/>
            </w:tcBorders>
            <w:shd w:val="clear" w:color="auto" w:fill="auto"/>
            <w:noWrap/>
          </w:tcPr>
          <w:p w14:paraId="74C96D78" w14:textId="70803500"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0" w:type="dxa"/>
            <w:tcBorders>
              <w:top w:val="nil"/>
              <w:left w:val="nil"/>
              <w:bottom w:val="single" w:sz="4" w:space="0" w:color="auto"/>
              <w:right w:val="single" w:sz="4" w:space="0" w:color="auto"/>
            </w:tcBorders>
            <w:shd w:val="clear" w:color="auto" w:fill="auto"/>
            <w:noWrap/>
          </w:tcPr>
          <w:p w14:paraId="6E797C5E" w14:textId="7777777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c>
          <w:tcPr>
            <w:tcW w:w="1371" w:type="dxa"/>
            <w:tcBorders>
              <w:top w:val="nil"/>
              <w:left w:val="nil"/>
              <w:bottom w:val="single" w:sz="4" w:space="0" w:color="auto"/>
              <w:right w:val="single" w:sz="4" w:space="0" w:color="auto"/>
            </w:tcBorders>
            <w:shd w:val="clear" w:color="auto" w:fill="auto"/>
            <w:noWrap/>
          </w:tcPr>
          <w:p w14:paraId="45A51204" w14:textId="77777777"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1 000</w:t>
            </w:r>
          </w:p>
        </w:tc>
      </w:tr>
      <w:tr w:rsidR="00E02DE1" w:rsidRPr="00664FF1" w14:paraId="5A86B281"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DBE5F1" w:themeFill="accent1" w:themeFillTint="33"/>
            <w:noWrap/>
          </w:tcPr>
          <w:p w14:paraId="2E592445" w14:textId="77777777" w:rsidR="00E02DE1" w:rsidRPr="00664FF1" w:rsidRDefault="00E02DE1" w:rsidP="00E02DE1">
            <w:pPr>
              <w:ind w:left="0" w:firstLine="0"/>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Total</w:t>
            </w:r>
          </w:p>
        </w:tc>
        <w:tc>
          <w:tcPr>
            <w:tcW w:w="1164" w:type="dxa"/>
            <w:tcBorders>
              <w:top w:val="nil"/>
              <w:left w:val="nil"/>
              <w:bottom w:val="single" w:sz="4" w:space="0" w:color="auto"/>
              <w:right w:val="single" w:sz="4" w:space="0" w:color="auto"/>
            </w:tcBorders>
            <w:shd w:val="clear" w:color="auto" w:fill="DBE5F1" w:themeFill="accent1" w:themeFillTint="33"/>
            <w:noWrap/>
          </w:tcPr>
          <w:p w14:paraId="2CD143B5" w14:textId="77777777" w:rsidR="00E02DE1" w:rsidRPr="00664FF1" w:rsidRDefault="00E02DE1" w:rsidP="00E02DE1">
            <w:pPr>
              <w:ind w:left="0" w:firstLine="0"/>
              <w:jc w:val="right"/>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75,978</w:t>
            </w:r>
          </w:p>
        </w:tc>
        <w:tc>
          <w:tcPr>
            <w:tcW w:w="992" w:type="dxa"/>
            <w:tcBorders>
              <w:top w:val="nil"/>
              <w:left w:val="nil"/>
              <w:bottom w:val="single" w:sz="4" w:space="0" w:color="auto"/>
              <w:right w:val="single" w:sz="4" w:space="0" w:color="auto"/>
            </w:tcBorders>
            <w:shd w:val="clear" w:color="auto" w:fill="DBE5F1" w:themeFill="accent1" w:themeFillTint="33"/>
            <w:noWrap/>
          </w:tcPr>
          <w:p w14:paraId="731F4C05" w14:textId="77777777" w:rsidR="00E02DE1" w:rsidRPr="00664FF1" w:rsidRDefault="00E02DE1" w:rsidP="00E02DE1">
            <w:pPr>
              <w:ind w:left="0" w:firstLine="0"/>
              <w:jc w:val="right"/>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78,0000 %</w:t>
            </w:r>
          </w:p>
        </w:tc>
        <w:tc>
          <w:tcPr>
            <w:tcW w:w="1134" w:type="dxa"/>
            <w:tcBorders>
              <w:top w:val="single" w:sz="4" w:space="0" w:color="auto"/>
              <w:left w:val="nil"/>
              <w:bottom w:val="single" w:sz="4" w:space="0" w:color="auto"/>
              <w:right w:val="single" w:sz="4" w:space="0" w:color="auto"/>
            </w:tcBorders>
            <w:shd w:val="clear" w:color="auto" w:fill="F2DBDB" w:themeFill="accent2" w:themeFillTint="33"/>
          </w:tcPr>
          <w:p w14:paraId="14780FCD" w14:textId="22AED690" w:rsidR="00E02DE1" w:rsidRPr="00664FF1" w:rsidRDefault="00E02DE1" w:rsidP="00E02DE1">
            <w:pPr>
              <w:ind w:left="0" w:firstLine="0"/>
              <w:jc w:val="right"/>
              <w:rPr>
                <w:rFonts w:asciiTheme="minorHAnsi" w:hAnsiTheme="minorHAnsi" w:cstheme="minorHAnsi"/>
                <w:b/>
                <w:bCs/>
                <w:noProof/>
                <w:color w:val="000000" w:themeColor="text1"/>
                <w:sz w:val="20"/>
                <w:szCs w:val="20"/>
                <w:lang w:val="es-ES"/>
              </w:rPr>
            </w:pPr>
            <w:r w:rsidRPr="00664FF1">
              <w:rPr>
                <w:rFonts w:asciiTheme="minorHAnsi" w:hAnsiTheme="minorHAnsi" w:cstheme="minorHAnsi"/>
                <w:b/>
                <w:bCs/>
                <w:noProof/>
                <w:color w:val="000000" w:themeColor="text1"/>
                <w:sz w:val="20"/>
                <w:szCs w:val="20"/>
                <w:lang w:val="es-ES"/>
              </w:rPr>
              <w:t>3 778 998</w:t>
            </w:r>
          </w:p>
        </w:tc>
        <w:tc>
          <w:tcPr>
            <w:tcW w:w="1370" w:type="dxa"/>
            <w:tcBorders>
              <w:top w:val="nil"/>
              <w:left w:val="single" w:sz="4" w:space="0" w:color="auto"/>
              <w:bottom w:val="single" w:sz="4" w:space="0" w:color="auto"/>
              <w:right w:val="single" w:sz="4" w:space="0" w:color="auto"/>
            </w:tcBorders>
            <w:shd w:val="clear" w:color="auto" w:fill="EAF1DD" w:themeFill="accent3" w:themeFillTint="33"/>
            <w:noWrap/>
          </w:tcPr>
          <w:p w14:paraId="12B450C8" w14:textId="61BDEF0D" w:rsidR="00E02DE1" w:rsidRPr="00664FF1" w:rsidRDefault="00E02DE1" w:rsidP="00E02DE1">
            <w:pPr>
              <w:ind w:left="0" w:firstLine="0"/>
              <w:jc w:val="right"/>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3 779 000</w:t>
            </w:r>
          </w:p>
        </w:tc>
        <w:tc>
          <w:tcPr>
            <w:tcW w:w="1370" w:type="dxa"/>
            <w:tcBorders>
              <w:top w:val="nil"/>
              <w:left w:val="nil"/>
              <w:bottom w:val="single" w:sz="4" w:space="0" w:color="auto"/>
              <w:right w:val="single" w:sz="4" w:space="0" w:color="auto"/>
            </w:tcBorders>
            <w:shd w:val="clear" w:color="auto" w:fill="EAF1DD" w:themeFill="accent3" w:themeFillTint="33"/>
            <w:noWrap/>
          </w:tcPr>
          <w:p w14:paraId="2A8BD0F7" w14:textId="77777777" w:rsidR="00E02DE1" w:rsidRPr="00664FF1" w:rsidRDefault="00E02DE1" w:rsidP="00E02DE1">
            <w:pPr>
              <w:ind w:left="0" w:firstLine="0"/>
              <w:jc w:val="right"/>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3 878 000</w:t>
            </w:r>
          </w:p>
        </w:tc>
        <w:tc>
          <w:tcPr>
            <w:tcW w:w="1371" w:type="dxa"/>
            <w:tcBorders>
              <w:top w:val="nil"/>
              <w:left w:val="nil"/>
              <w:bottom w:val="single" w:sz="4" w:space="0" w:color="auto"/>
              <w:right w:val="single" w:sz="4" w:space="0" w:color="auto"/>
            </w:tcBorders>
            <w:shd w:val="clear" w:color="auto" w:fill="EAF1DD" w:themeFill="accent3" w:themeFillTint="33"/>
            <w:noWrap/>
          </w:tcPr>
          <w:p w14:paraId="50DC5212" w14:textId="77777777" w:rsidR="00E02DE1" w:rsidRPr="00664FF1" w:rsidRDefault="00E02DE1" w:rsidP="00E02DE1">
            <w:pPr>
              <w:ind w:left="0" w:firstLine="0"/>
              <w:jc w:val="right"/>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4 062 000</w:t>
            </w:r>
          </w:p>
        </w:tc>
      </w:tr>
      <w:tr w:rsidR="00E02DE1" w:rsidRPr="00664FF1" w14:paraId="619A1D1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C7AE2E4"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eastAsia="Times New Roman" w:hAnsiTheme="minorHAnsi" w:cs="Arial"/>
                <w:noProof/>
                <w:color w:val="000000" w:themeColor="text1"/>
                <w:sz w:val="20"/>
                <w:szCs w:val="20"/>
                <w:lang w:val="es-ES" w:eastAsia="en-GB"/>
              </w:rPr>
              <w:t>Otras contribuciones</w:t>
            </w:r>
            <w:r w:rsidRPr="00664FF1">
              <w:rPr>
                <w:rFonts w:asciiTheme="minorHAnsi" w:hAnsiTheme="minorHAnsi" w:cstheme="minorHAnsi"/>
                <w:noProof/>
                <w:color w:val="000000" w:themeColor="text1"/>
                <w:sz w:val="20"/>
                <w:szCs w:val="20"/>
                <w:lang w:val="es-ES"/>
              </w:rPr>
              <w:t>**</w:t>
            </w:r>
          </w:p>
        </w:tc>
        <w:tc>
          <w:tcPr>
            <w:tcW w:w="1164" w:type="dxa"/>
            <w:tcBorders>
              <w:top w:val="nil"/>
              <w:left w:val="nil"/>
              <w:bottom w:val="single" w:sz="4" w:space="0" w:color="auto"/>
              <w:right w:val="single" w:sz="4" w:space="0" w:color="auto"/>
            </w:tcBorders>
            <w:shd w:val="clear" w:color="auto" w:fill="auto"/>
            <w:noWrap/>
          </w:tcPr>
          <w:p w14:paraId="115F317A"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992" w:type="dxa"/>
            <w:tcBorders>
              <w:top w:val="nil"/>
              <w:left w:val="nil"/>
              <w:bottom w:val="single" w:sz="4" w:space="0" w:color="auto"/>
              <w:right w:val="single" w:sz="4" w:space="0" w:color="auto"/>
            </w:tcBorders>
            <w:shd w:val="clear" w:color="auto" w:fill="auto"/>
            <w:noWrap/>
          </w:tcPr>
          <w:p w14:paraId="0BF9D77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1134" w:type="dxa"/>
            <w:tcBorders>
              <w:top w:val="single" w:sz="4" w:space="0" w:color="auto"/>
              <w:left w:val="nil"/>
              <w:bottom w:val="single" w:sz="4" w:space="0" w:color="auto"/>
              <w:right w:val="single" w:sz="4" w:space="0" w:color="auto"/>
            </w:tcBorders>
          </w:tcPr>
          <w:p w14:paraId="54E4A2C8" w14:textId="286A2782"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 </w:t>
            </w:r>
          </w:p>
        </w:tc>
        <w:tc>
          <w:tcPr>
            <w:tcW w:w="1370" w:type="dxa"/>
            <w:tcBorders>
              <w:top w:val="nil"/>
              <w:left w:val="single" w:sz="4" w:space="0" w:color="auto"/>
              <w:bottom w:val="single" w:sz="4" w:space="0" w:color="auto"/>
              <w:right w:val="single" w:sz="4" w:space="0" w:color="auto"/>
            </w:tcBorders>
            <w:shd w:val="clear" w:color="auto" w:fill="auto"/>
            <w:noWrap/>
          </w:tcPr>
          <w:p w14:paraId="0ACC7270" w14:textId="6ACE4F6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1370" w:type="dxa"/>
            <w:tcBorders>
              <w:top w:val="nil"/>
              <w:left w:val="nil"/>
              <w:bottom w:val="single" w:sz="4" w:space="0" w:color="auto"/>
              <w:right w:val="single" w:sz="4" w:space="0" w:color="auto"/>
            </w:tcBorders>
            <w:shd w:val="clear" w:color="auto" w:fill="auto"/>
            <w:noWrap/>
          </w:tcPr>
          <w:p w14:paraId="604EE39D"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1371" w:type="dxa"/>
            <w:tcBorders>
              <w:top w:val="nil"/>
              <w:left w:val="nil"/>
              <w:bottom w:val="single" w:sz="4" w:space="0" w:color="auto"/>
              <w:right w:val="single" w:sz="4" w:space="0" w:color="auto"/>
            </w:tcBorders>
            <w:shd w:val="clear" w:color="auto" w:fill="auto"/>
            <w:noWrap/>
          </w:tcPr>
          <w:p w14:paraId="4D7EEF54"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r>
      <w:tr w:rsidR="00E02DE1" w:rsidRPr="00664FF1" w14:paraId="20921F7C"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705B0D8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Estados Unidos de América</w:t>
            </w:r>
          </w:p>
        </w:tc>
        <w:tc>
          <w:tcPr>
            <w:tcW w:w="1164" w:type="dxa"/>
            <w:tcBorders>
              <w:top w:val="nil"/>
              <w:left w:val="nil"/>
              <w:bottom w:val="single" w:sz="4" w:space="0" w:color="auto"/>
              <w:right w:val="single" w:sz="4" w:space="0" w:color="auto"/>
            </w:tcBorders>
            <w:shd w:val="clear" w:color="auto" w:fill="auto"/>
            <w:noWrap/>
          </w:tcPr>
          <w:p w14:paraId="70234F95"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992" w:type="dxa"/>
            <w:tcBorders>
              <w:top w:val="nil"/>
              <w:left w:val="nil"/>
              <w:bottom w:val="single" w:sz="4" w:space="0" w:color="auto"/>
              <w:right w:val="single" w:sz="4" w:space="0" w:color="auto"/>
            </w:tcBorders>
            <w:shd w:val="clear" w:color="auto" w:fill="auto"/>
            <w:noWrap/>
          </w:tcPr>
          <w:p w14:paraId="15B0E910"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22 %</w:t>
            </w:r>
          </w:p>
        </w:tc>
        <w:tc>
          <w:tcPr>
            <w:tcW w:w="1134" w:type="dxa"/>
            <w:tcBorders>
              <w:top w:val="single" w:sz="4" w:space="0" w:color="auto"/>
              <w:left w:val="nil"/>
              <w:bottom w:val="single" w:sz="4" w:space="0" w:color="auto"/>
              <w:right w:val="single" w:sz="4" w:space="0" w:color="auto"/>
            </w:tcBorders>
          </w:tcPr>
          <w:p w14:paraId="2689EF37" w14:textId="0B7A6DDD"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1 065 799</w:t>
            </w:r>
          </w:p>
        </w:tc>
        <w:tc>
          <w:tcPr>
            <w:tcW w:w="1370" w:type="dxa"/>
            <w:tcBorders>
              <w:top w:val="nil"/>
              <w:left w:val="single" w:sz="4" w:space="0" w:color="auto"/>
              <w:bottom w:val="single" w:sz="4" w:space="0" w:color="auto"/>
              <w:right w:val="single" w:sz="4" w:space="0" w:color="auto"/>
            </w:tcBorders>
            <w:shd w:val="clear" w:color="auto" w:fill="auto"/>
            <w:noWrap/>
          </w:tcPr>
          <w:p w14:paraId="3EE9CDE0" w14:textId="47E65AAB"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1 065 799</w:t>
            </w:r>
          </w:p>
        </w:tc>
        <w:tc>
          <w:tcPr>
            <w:tcW w:w="1370" w:type="dxa"/>
            <w:tcBorders>
              <w:top w:val="nil"/>
              <w:left w:val="nil"/>
              <w:bottom w:val="single" w:sz="4" w:space="0" w:color="auto"/>
              <w:right w:val="single" w:sz="4" w:space="0" w:color="auto"/>
            </w:tcBorders>
            <w:shd w:val="clear" w:color="auto" w:fill="auto"/>
            <w:noWrap/>
          </w:tcPr>
          <w:p w14:paraId="2A8BD3A8"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1 094 000</w:t>
            </w:r>
          </w:p>
        </w:tc>
        <w:tc>
          <w:tcPr>
            <w:tcW w:w="1371" w:type="dxa"/>
            <w:tcBorders>
              <w:top w:val="nil"/>
              <w:left w:val="nil"/>
              <w:bottom w:val="single" w:sz="4" w:space="0" w:color="auto"/>
              <w:right w:val="single" w:sz="4" w:space="0" w:color="auto"/>
            </w:tcBorders>
            <w:shd w:val="clear" w:color="auto" w:fill="auto"/>
            <w:noWrap/>
          </w:tcPr>
          <w:p w14:paraId="5143A03C"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1 146 000</w:t>
            </w:r>
          </w:p>
        </w:tc>
      </w:tr>
      <w:tr w:rsidR="00E02DE1" w:rsidRPr="00664FF1" w14:paraId="47D78FBB"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auto"/>
            <w:noWrap/>
          </w:tcPr>
          <w:p w14:paraId="20CE96EA" w14:textId="77777777" w:rsidR="00E02DE1" w:rsidRPr="00664FF1" w:rsidRDefault="00E02DE1" w:rsidP="00E02DE1">
            <w:pPr>
              <w:ind w:left="0" w:firstLine="0"/>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1164" w:type="dxa"/>
            <w:tcBorders>
              <w:top w:val="nil"/>
              <w:left w:val="nil"/>
              <w:bottom w:val="single" w:sz="4" w:space="0" w:color="auto"/>
              <w:right w:val="single" w:sz="4" w:space="0" w:color="auto"/>
            </w:tcBorders>
            <w:shd w:val="clear" w:color="auto" w:fill="auto"/>
            <w:noWrap/>
          </w:tcPr>
          <w:p w14:paraId="308051B2"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992" w:type="dxa"/>
            <w:tcBorders>
              <w:top w:val="nil"/>
              <w:left w:val="nil"/>
              <w:bottom w:val="single" w:sz="4" w:space="0" w:color="auto"/>
              <w:right w:val="single" w:sz="4" w:space="0" w:color="auto"/>
            </w:tcBorders>
            <w:shd w:val="clear" w:color="auto" w:fill="auto"/>
            <w:noWrap/>
          </w:tcPr>
          <w:p w14:paraId="45CAE67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1134" w:type="dxa"/>
            <w:tcBorders>
              <w:top w:val="single" w:sz="4" w:space="0" w:color="auto"/>
              <w:left w:val="nil"/>
              <w:bottom w:val="single" w:sz="4" w:space="0" w:color="auto"/>
              <w:right w:val="single" w:sz="4" w:space="0" w:color="auto"/>
            </w:tcBorders>
          </w:tcPr>
          <w:p w14:paraId="792DCC6B" w14:textId="72D55D45" w:rsidR="00E02DE1" w:rsidRPr="00664FF1" w:rsidRDefault="00E02DE1" w:rsidP="00E02DE1">
            <w:pPr>
              <w:ind w:left="0" w:firstLine="0"/>
              <w:jc w:val="right"/>
              <w:rPr>
                <w:rFonts w:asciiTheme="minorHAnsi" w:hAnsiTheme="minorHAnsi" w:cstheme="minorHAnsi"/>
                <w:noProof/>
                <w:color w:val="000000" w:themeColor="text1"/>
                <w:sz w:val="20"/>
                <w:szCs w:val="20"/>
                <w:lang w:val="es-ES"/>
              </w:rPr>
            </w:pPr>
            <w:r w:rsidRPr="00664FF1">
              <w:rPr>
                <w:rFonts w:asciiTheme="minorHAnsi" w:hAnsiTheme="minorHAnsi" w:cstheme="minorHAnsi"/>
                <w:noProof/>
                <w:color w:val="000000" w:themeColor="text1"/>
                <w:sz w:val="20"/>
                <w:szCs w:val="20"/>
                <w:lang w:val="es-ES"/>
              </w:rPr>
              <w:t> </w:t>
            </w:r>
          </w:p>
        </w:tc>
        <w:tc>
          <w:tcPr>
            <w:tcW w:w="1370" w:type="dxa"/>
            <w:tcBorders>
              <w:top w:val="nil"/>
              <w:left w:val="single" w:sz="4" w:space="0" w:color="auto"/>
              <w:bottom w:val="single" w:sz="4" w:space="0" w:color="auto"/>
              <w:right w:val="single" w:sz="4" w:space="0" w:color="auto"/>
            </w:tcBorders>
            <w:shd w:val="clear" w:color="auto" w:fill="auto"/>
            <w:noWrap/>
          </w:tcPr>
          <w:p w14:paraId="13F8440A" w14:textId="56E0C004"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1370" w:type="dxa"/>
            <w:tcBorders>
              <w:top w:val="nil"/>
              <w:left w:val="nil"/>
              <w:bottom w:val="single" w:sz="4" w:space="0" w:color="auto"/>
              <w:right w:val="single" w:sz="4" w:space="0" w:color="auto"/>
            </w:tcBorders>
            <w:shd w:val="clear" w:color="auto" w:fill="auto"/>
            <w:noWrap/>
          </w:tcPr>
          <w:p w14:paraId="3657012F"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1371" w:type="dxa"/>
            <w:tcBorders>
              <w:top w:val="nil"/>
              <w:left w:val="nil"/>
              <w:bottom w:val="single" w:sz="4" w:space="0" w:color="auto"/>
              <w:right w:val="single" w:sz="4" w:space="0" w:color="auto"/>
            </w:tcBorders>
            <w:shd w:val="clear" w:color="auto" w:fill="auto"/>
            <w:noWrap/>
          </w:tcPr>
          <w:p w14:paraId="42D541D7"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r>
      <w:tr w:rsidR="00E02DE1" w:rsidRPr="00664FF1" w14:paraId="22AC84D8" w14:textId="77777777" w:rsidTr="00FF31FF">
        <w:trPr>
          <w:trHeight w:val="276"/>
        </w:trPr>
        <w:tc>
          <w:tcPr>
            <w:tcW w:w="2523" w:type="dxa"/>
            <w:tcBorders>
              <w:top w:val="nil"/>
              <w:left w:val="single" w:sz="4" w:space="0" w:color="auto"/>
              <w:bottom w:val="single" w:sz="4" w:space="0" w:color="auto"/>
              <w:right w:val="single" w:sz="4" w:space="0" w:color="auto"/>
            </w:tcBorders>
            <w:shd w:val="clear" w:color="auto" w:fill="C6D9F1" w:themeFill="text2" w:themeFillTint="33"/>
            <w:noWrap/>
          </w:tcPr>
          <w:p w14:paraId="33B1D7F2" w14:textId="77777777" w:rsidR="00E02DE1" w:rsidRPr="00664FF1" w:rsidRDefault="00E02DE1" w:rsidP="00E02DE1">
            <w:pPr>
              <w:ind w:left="0" w:firstLine="0"/>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Gran Total</w:t>
            </w:r>
          </w:p>
        </w:tc>
        <w:tc>
          <w:tcPr>
            <w:tcW w:w="1164" w:type="dxa"/>
            <w:tcBorders>
              <w:top w:val="nil"/>
              <w:left w:val="nil"/>
              <w:bottom w:val="single" w:sz="4" w:space="0" w:color="auto"/>
              <w:right w:val="single" w:sz="4" w:space="0" w:color="auto"/>
            </w:tcBorders>
            <w:shd w:val="clear" w:color="auto" w:fill="C6D9F1" w:themeFill="text2" w:themeFillTint="33"/>
            <w:noWrap/>
          </w:tcPr>
          <w:p w14:paraId="48B61EAE" w14:textId="77777777" w:rsidR="00E02DE1" w:rsidRPr="00664FF1" w:rsidRDefault="00E02DE1" w:rsidP="00E02DE1">
            <w:pPr>
              <w:ind w:left="0" w:firstLine="0"/>
              <w:jc w:val="right"/>
              <w:rPr>
                <w:rFonts w:asciiTheme="minorHAnsi" w:eastAsia="Times New Roman" w:hAnsiTheme="minorHAnsi" w:cstheme="minorHAnsi"/>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992" w:type="dxa"/>
            <w:tcBorders>
              <w:top w:val="nil"/>
              <w:left w:val="nil"/>
              <w:bottom w:val="single" w:sz="4" w:space="0" w:color="auto"/>
              <w:right w:val="single" w:sz="4" w:space="0" w:color="auto"/>
            </w:tcBorders>
            <w:shd w:val="clear" w:color="auto" w:fill="C6D9F1" w:themeFill="text2" w:themeFillTint="33"/>
            <w:noWrap/>
          </w:tcPr>
          <w:p w14:paraId="0DC3C2CB" w14:textId="77777777" w:rsidR="00E02DE1" w:rsidRPr="00664FF1" w:rsidRDefault="00E02DE1" w:rsidP="00E02DE1">
            <w:pPr>
              <w:ind w:left="0" w:firstLine="0"/>
              <w:jc w:val="right"/>
              <w:rPr>
                <w:rFonts w:asciiTheme="minorHAnsi" w:eastAsia="Times New Roman" w:hAnsiTheme="minorHAnsi" w:cstheme="minorHAnsi"/>
                <w:b/>
                <w:noProof/>
                <w:color w:val="000000" w:themeColor="text1"/>
                <w:sz w:val="20"/>
                <w:szCs w:val="20"/>
                <w:lang w:val="es-ES" w:eastAsia="en-GB"/>
              </w:rPr>
            </w:pPr>
            <w:r w:rsidRPr="00664FF1">
              <w:rPr>
                <w:rFonts w:asciiTheme="minorHAnsi" w:hAnsiTheme="minorHAnsi" w:cstheme="minorHAnsi"/>
                <w:noProof/>
                <w:color w:val="000000" w:themeColor="text1"/>
                <w:sz w:val="20"/>
                <w:szCs w:val="20"/>
                <w:lang w:val="es-ES"/>
              </w:rPr>
              <w:t> </w:t>
            </w:r>
          </w:p>
        </w:tc>
        <w:tc>
          <w:tcPr>
            <w:tcW w:w="1134" w:type="dxa"/>
            <w:tcBorders>
              <w:top w:val="single" w:sz="4" w:space="0" w:color="auto"/>
              <w:left w:val="nil"/>
              <w:bottom w:val="single" w:sz="4" w:space="0" w:color="auto"/>
              <w:right w:val="single" w:sz="4" w:space="0" w:color="auto"/>
            </w:tcBorders>
            <w:shd w:val="clear" w:color="auto" w:fill="F2DBDB" w:themeFill="accent2" w:themeFillTint="33"/>
          </w:tcPr>
          <w:p w14:paraId="6C3B3EF4" w14:textId="7E6823C9" w:rsidR="00E02DE1" w:rsidRPr="00664FF1" w:rsidRDefault="00E02DE1" w:rsidP="00E02DE1">
            <w:pPr>
              <w:ind w:left="0" w:firstLine="0"/>
              <w:jc w:val="right"/>
              <w:rPr>
                <w:rFonts w:asciiTheme="minorHAnsi" w:hAnsiTheme="minorHAnsi" w:cstheme="minorHAnsi"/>
                <w:b/>
                <w:bCs/>
                <w:noProof/>
                <w:color w:val="000000" w:themeColor="text1"/>
                <w:sz w:val="20"/>
                <w:szCs w:val="20"/>
                <w:lang w:val="es-ES"/>
              </w:rPr>
            </w:pPr>
            <w:r w:rsidRPr="00664FF1">
              <w:rPr>
                <w:rFonts w:asciiTheme="minorHAnsi" w:hAnsiTheme="minorHAnsi" w:cstheme="minorHAnsi"/>
                <w:b/>
                <w:bCs/>
                <w:noProof/>
                <w:color w:val="000000" w:themeColor="text1"/>
                <w:sz w:val="20"/>
                <w:szCs w:val="20"/>
                <w:lang w:val="es-ES"/>
              </w:rPr>
              <w:t>4 844 797</w:t>
            </w:r>
          </w:p>
        </w:tc>
        <w:tc>
          <w:tcPr>
            <w:tcW w:w="1370" w:type="dxa"/>
            <w:tcBorders>
              <w:top w:val="nil"/>
              <w:left w:val="single" w:sz="4" w:space="0" w:color="auto"/>
              <w:bottom w:val="single" w:sz="4" w:space="0" w:color="auto"/>
              <w:right w:val="single" w:sz="4" w:space="0" w:color="auto"/>
            </w:tcBorders>
            <w:shd w:val="clear" w:color="auto" w:fill="EAF1DD" w:themeFill="accent3" w:themeFillTint="33"/>
            <w:noWrap/>
          </w:tcPr>
          <w:p w14:paraId="2A14A776" w14:textId="51D09B17" w:rsidR="00E02DE1" w:rsidRPr="00664FF1" w:rsidRDefault="00E02DE1" w:rsidP="00E02DE1">
            <w:pPr>
              <w:ind w:left="0" w:firstLine="0"/>
              <w:jc w:val="right"/>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4 844 799</w:t>
            </w:r>
          </w:p>
        </w:tc>
        <w:tc>
          <w:tcPr>
            <w:tcW w:w="1370" w:type="dxa"/>
            <w:tcBorders>
              <w:top w:val="nil"/>
              <w:left w:val="nil"/>
              <w:bottom w:val="single" w:sz="4" w:space="0" w:color="auto"/>
              <w:right w:val="single" w:sz="4" w:space="0" w:color="auto"/>
            </w:tcBorders>
            <w:shd w:val="clear" w:color="auto" w:fill="EAF1DD" w:themeFill="accent3" w:themeFillTint="33"/>
            <w:noWrap/>
          </w:tcPr>
          <w:p w14:paraId="756918CE" w14:textId="77777777" w:rsidR="00E02DE1" w:rsidRPr="00664FF1" w:rsidRDefault="00E02DE1" w:rsidP="00E02DE1">
            <w:pPr>
              <w:ind w:left="0" w:firstLine="0"/>
              <w:jc w:val="right"/>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4 972 000</w:t>
            </w:r>
          </w:p>
        </w:tc>
        <w:tc>
          <w:tcPr>
            <w:tcW w:w="1371" w:type="dxa"/>
            <w:tcBorders>
              <w:top w:val="nil"/>
              <w:left w:val="nil"/>
              <w:bottom w:val="single" w:sz="4" w:space="0" w:color="auto"/>
              <w:right w:val="single" w:sz="4" w:space="0" w:color="auto"/>
            </w:tcBorders>
            <w:shd w:val="clear" w:color="auto" w:fill="EAF1DD" w:themeFill="accent3" w:themeFillTint="33"/>
            <w:noWrap/>
          </w:tcPr>
          <w:p w14:paraId="5BE986DA" w14:textId="77777777" w:rsidR="00E02DE1" w:rsidRPr="00664FF1" w:rsidRDefault="00E02DE1" w:rsidP="00E02DE1">
            <w:pPr>
              <w:ind w:left="0" w:firstLine="0"/>
              <w:jc w:val="right"/>
              <w:rPr>
                <w:rFonts w:asciiTheme="minorHAnsi" w:eastAsia="Times New Roman" w:hAnsiTheme="minorHAnsi" w:cstheme="minorHAnsi"/>
                <w:b/>
                <w:bCs/>
                <w:noProof/>
                <w:color w:val="000000" w:themeColor="text1"/>
                <w:sz w:val="20"/>
                <w:szCs w:val="20"/>
                <w:lang w:val="es-ES" w:eastAsia="en-GB"/>
              </w:rPr>
            </w:pPr>
            <w:r w:rsidRPr="00664FF1">
              <w:rPr>
                <w:rFonts w:asciiTheme="minorHAnsi" w:hAnsiTheme="minorHAnsi" w:cstheme="minorHAnsi"/>
                <w:b/>
                <w:bCs/>
                <w:noProof/>
                <w:color w:val="000000" w:themeColor="text1"/>
                <w:sz w:val="20"/>
                <w:szCs w:val="20"/>
                <w:lang w:val="es-ES"/>
              </w:rPr>
              <w:t>5 208 000</w:t>
            </w:r>
          </w:p>
        </w:tc>
      </w:tr>
    </w:tbl>
    <w:p w14:paraId="4F7109C4" w14:textId="77777777" w:rsidR="0053038D" w:rsidRPr="00814222" w:rsidRDefault="0053038D" w:rsidP="00806D52">
      <w:pPr>
        <w:ind w:left="-426"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Con arreglo a la Resolución A/RES/76/238 de las Naciones Unidas; se aplicará la escala revisada de las Naciones Unidas para el trienio cuando esta se haya publicado.</w:t>
      </w:r>
    </w:p>
    <w:p w14:paraId="3E907FFE" w14:textId="77777777" w:rsidR="0053038D" w:rsidRPr="00814222" w:rsidRDefault="0053038D" w:rsidP="00806D52">
      <w:pPr>
        <w:ind w:left="-426" w:firstLine="0"/>
        <w:rPr>
          <w:rFonts w:asciiTheme="minorHAnsi" w:eastAsia="Times New Roman" w:hAnsiTheme="minorHAnsi" w:cs="Arial"/>
          <w:noProof/>
          <w:color w:val="000000"/>
          <w:sz w:val="20"/>
          <w:szCs w:val="20"/>
          <w:lang w:val="es-ES" w:eastAsia="en-GB"/>
        </w:rPr>
      </w:pPr>
      <w:r w:rsidRPr="00814222">
        <w:rPr>
          <w:rFonts w:asciiTheme="minorHAnsi" w:eastAsia="Times New Roman" w:hAnsiTheme="minorHAnsi" w:cs="Arial"/>
          <w:noProof/>
          <w:color w:val="000000"/>
          <w:sz w:val="20"/>
          <w:szCs w:val="20"/>
          <w:lang w:val="es-ES" w:eastAsia="en-GB"/>
        </w:rPr>
        <w:t>** Al igual que anteriormente, el 22 % de las contribuciones totales de las Partes Contratantes.</w:t>
      </w:r>
    </w:p>
    <w:p w14:paraId="69813C9F" w14:textId="77777777" w:rsidR="00904F2F" w:rsidRDefault="0053038D" w:rsidP="00806D52">
      <w:pPr>
        <w:ind w:left="-426" w:firstLine="0"/>
        <w:rPr>
          <w:noProof/>
          <w:lang w:val="es-ES"/>
        </w:rPr>
      </w:pPr>
      <w:r w:rsidRPr="00814222">
        <w:rPr>
          <w:rFonts w:asciiTheme="minorHAnsi" w:eastAsia="Times New Roman" w:hAnsiTheme="minorHAnsi" w:cs="Arial"/>
          <w:noProof/>
          <w:color w:val="000000" w:themeColor="text1"/>
          <w:sz w:val="20"/>
          <w:szCs w:val="20"/>
          <w:lang w:val="es-ES" w:eastAsia="en-GB"/>
        </w:rPr>
        <w:t>***Solamente para 2025, mientras que 2023 y 2024 son las mismas que las del escenario B</w:t>
      </w:r>
      <w:r w:rsidR="00664FF1">
        <w:rPr>
          <w:noProof/>
          <w:lang w:val="es-ES"/>
        </w:rPr>
        <w:t>.</w:t>
      </w:r>
    </w:p>
    <w:p w14:paraId="72D69655" w14:textId="77777777" w:rsidR="00904F2F" w:rsidRDefault="00904F2F">
      <w:pPr>
        <w:rPr>
          <w:noProof/>
          <w:lang w:val="es-ES"/>
        </w:rPr>
      </w:pPr>
      <w:r>
        <w:rPr>
          <w:noProof/>
          <w:lang w:val="es-ES"/>
        </w:rPr>
        <w:br w:type="page"/>
      </w:r>
    </w:p>
    <w:p w14:paraId="72EC9516" w14:textId="41EF3E32" w:rsidR="0072250A" w:rsidRPr="00814222" w:rsidRDefault="0072250A" w:rsidP="00904F2F">
      <w:pPr>
        <w:ind w:left="0" w:firstLine="0"/>
        <w:rPr>
          <w:b/>
          <w:bCs/>
          <w:noProof/>
          <w:lang w:val="es-ES" w:eastAsia="en-GB"/>
        </w:rPr>
      </w:pPr>
      <w:r w:rsidRPr="00814222">
        <w:rPr>
          <w:b/>
          <w:bCs/>
          <w:noProof/>
          <w:lang w:val="es-ES" w:eastAsia="en-GB"/>
        </w:rPr>
        <w:lastRenderedPageBreak/>
        <w:t xml:space="preserve">Anexo 3 </w:t>
      </w:r>
    </w:p>
    <w:p w14:paraId="79205FDB" w14:textId="77777777" w:rsidR="0072250A" w:rsidRPr="00814222" w:rsidRDefault="0072250A" w:rsidP="0072250A">
      <w:pPr>
        <w:rPr>
          <w:b/>
          <w:bCs/>
          <w:noProof/>
          <w:lang w:val="es-ES" w:eastAsia="en-GB"/>
        </w:rPr>
      </w:pPr>
      <w:r w:rsidRPr="00814222">
        <w:rPr>
          <w:b/>
          <w:bCs/>
          <w:noProof/>
          <w:lang w:val="es-ES" w:eastAsia="en-GB"/>
        </w:rPr>
        <w:t xml:space="preserve">Personal de la Secretaría (presupuesto básico) para 2023-2025 según el presupuesto del Anexo 1 </w:t>
      </w:r>
    </w:p>
    <w:p w14:paraId="6A0A3FEE" w14:textId="77777777" w:rsidR="0072250A" w:rsidRPr="00814222" w:rsidRDefault="0072250A" w:rsidP="0072250A">
      <w:pPr>
        <w:rPr>
          <w:rFonts w:ascii="Arial" w:eastAsia="Times New Roman" w:hAnsi="Arial" w:cs="Arial"/>
          <w:noProof/>
          <w:sz w:val="18"/>
          <w:szCs w:val="18"/>
          <w:lang w:val="es-ES" w:eastAsia="en-GB"/>
        </w:rPr>
      </w:pPr>
    </w:p>
    <w:tbl>
      <w:tblPr>
        <w:tblW w:w="9258" w:type="dxa"/>
        <w:tblInd w:w="93" w:type="dxa"/>
        <w:tblLayout w:type="fixed"/>
        <w:tblCellMar>
          <w:top w:w="57" w:type="dxa"/>
          <w:left w:w="57" w:type="dxa"/>
          <w:bottom w:w="57" w:type="dxa"/>
          <w:right w:w="57" w:type="dxa"/>
        </w:tblCellMar>
        <w:tblLook w:val="04A0" w:firstRow="1" w:lastRow="0" w:firstColumn="1" w:lastColumn="0" w:noHBand="0" w:noVBand="1"/>
      </w:tblPr>
      <w:tblGrid>
        <w:gridCol w:w="3075"/>
        <w:gridCol w:w="1530"/>
        <w:gridCol w:w="1534"/>
        <w:gridCol w:w="1560"/>
        <w:gridCol w:w="1559"/>
      </w:tblGrid>
      <w:tr w:rsidR="0072250A" w:rsidRPr="00814222" w14:paraId="78E05754" w14:textId="77777777" w:rsidTr="00C627A0">
        <w:trPr>
          <w:trHeight w:val="264"/>
        </w:trPr>
        <w:tc>
          <w:tcPr>
            <w:tcW w:w="30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643728B" w14:textId="77777777" w:rsidR="0072250A" w:rsidRPr="00814222" w:rsidRDefault="0072250A" w:rsidP="00C627A0">
            <w:pPr>
              <w:jc w:val="center"/>
              <w:rPr>
                <w:rFonts w:eastAsia="Times New Roman" w:cs="Arial"/>
                <w:b/>
                <w:bCs/>
                <w:noProof/>
                <w:sz w:val="20"/>
                <w:szCs w:val="20"/>
                <w:lang w:val="es-ES" w:eastAsia="en-GB"/>
              </w:rPr>
            </w:pPr>
            <w:r w:rsidRPr="00814222">
              <w:rPr>
                <w:rFonts w:eastAsia="Times New Roman" w:cs="Arial"/>
                <w:b/>
                <w:bCs/>
                <w:noProof/>
                <w:sz w:val="20"/>
                <w:szCs w:val="20"/>
                <w:lang w:val="es-ES" w:eastAsia="en-GB"/>
              </w:rPr>
              <w:t>Equipo</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48DF340" w14:textId="77777777" w:rsidR="0072250A" w:rsidRPr="00814222" w:rsidRDefault="0072250A" w:rsidP="00C627A0">
            <w:pPr>
              <w:jc w:val="center"/>
              <w:rPr>
                <w:rFonts w:eastAsia="Times New Roman" w:cs="Arial"/>
                <w:b/>
                <w:bCs/>
                <w:noProof/>
                <w:sz w:val="20"/>
                <w:szCs w:val="20"/>
                <w:lang w:val="es-ES" w:eastAsia="en-GB"/>
              </w:rPr>
            </w:pPr>
            <w:r w:rsidRPr="00814222">
              <w:rPr>
                <w:rFonts w:eastAsia="Times New Roman" w:cs="Arial"/>
                <w:b/>
                <w:bCs/>
                <w:noProof/>
                <w:sz w:val="20"/>
                <w:szCs w:val="20"/>
                <w:lang w:val="es-ES" w:eastAsia="en-GB"/>
              </w:rPr>
              <w:t>2022</w:t>
            </w:r>
          </w:p>
        </w:tc>
        <w:tc>
          <w:tcPr>
            <w:tcW w:w="15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4B98CEE" w14:textId="77777777" w:rsidR="0072250A" w:rsidRPr="00814222" w:rsidRDefault="0072250A" w:rsidP="00C627A0">
            <w:pPr>
              <w:jc w:val="center"/>
              <w:rPr>
                <w:rFonts w:eastAsia="Times New Roman" w:cs="Arial"/>
                <w:b/>
                <w:bCs/>
                <w:noProof/>
                <w:sz w:val="20"/>
                <w:szCs w:val="20"/>
                <w:lang w:val="es-ES" w:eastAsia="en-GB"/>
              </w:rPr>
            </w:pPr>
            <w:r w:rsidRPr="00814222">
              <w:rPr>
                <w:rFonts w:eastAsia="Times New Roman" w:cs="Arial"/>
                <w:b/>
                <w:bCs/>
                <w:noProof/>
                <w:sz w:val="20"/>
                <w:szCs w:val="20"/>
                <w:lang w:val="es-ES" w:eastAsia="en-GB"/>
              </w:rPr>
              <w:t>2023</w:t>
            </w:r>
          </w:p>
        </w:tc>
        <w:tc>
          <w:tcPr>
            <w:tcW w:w="15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D606684" w14:textId="77777777" w:rsidR="0072250A" w:rsidRPr="00814222" w:rsidRDefault="0072250A" w:rsidP="00C627A0">
            <w:pPr>
              <w:jc w:val="center"/>
              <w:rPr>
                <w:rFonts w:eastAsia="Times New Roman" w:cs="Arial"/>
                <w:b/>
                <w:bCs/>
                <w:noProof/>
                <w:sz w:val="20"/>
                <w:szCs w:val="20"/>
                <w:lang w:val="es-ES" w:eastAsia="en-GB"/>
              </w:rPr>
            </w:pPr>
            <w:r w:rsidRPr="00814222">
              <w:rPr>
                <w:rFonts w:eastAsia="Times New Roman" w:cs="Arial"/>
                <w:b/>
                <w:bCs/>
                <w:noProof/>
                <w:sz w:val="20"/>
                <w:szCs w:val="20"/>
                <w:lang w:val="es-ES" w:eastAsia="en-GB"/>
              </w:rPr>
              <w:t>2024</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649D0EA" w14:textId="77777777" w:rsidR="0072250A" w:rsidRPr="00814222" w:rsidRDefault="0072250A" w:rsidP="00C627A0">
            <w:pPr>
              <w:jc w:val="center"/>
              <w:rPr>
                <w:rFonts w:eastAsia="Times New Roman" w:cs="Arial"/>
                <w:b/>
                <w:bCs/>
                <w:noProof/>
                <w:sz w:val="20"/>
                <w:szCs w:val="20"/>
                <w:lang w:val="es-ES" w:eastAsia="en-GB"/>
              </w:rPr>
            </w:pPr>
            <w:r w:rsidRPr="00814222">
              <w:rPr>
                <w:rFonts w:eastAsia="Times New Roman" w:cs="Arial"/>
                <w:b/>
                <w:bCs/>
                <w:noProof/>
                <w:sz w:val="20"/>
                <w:szCs w:val="20"/>
                <w:lang w:val="es-ES" w:eastAsia="en-GB"/>
              </w:rPr>
              <w:t>2025</w:t>
            </w:r>
          </w:p>
        </w:tc>
      </w:tr>
      <w:tr w:rsidR="0072250A" w:rsidRPr="00814222" w14:paraId="37E08E3A" w14:textId="77777777" w:rsidTr="00C627A0">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518325CE" w14:textId="77777777" w:rsidR="0072250A" w:rsidRPr="00814222" w:rsidRDefault="0072250A" w:rsidP="00C627A0">
            <w:pPr>
              <w:rPr>
                <w:rFonts w:eastAsia="Times New Roman" w:cs="Arial"/>
                <w:noProof/>
                <w:sz w:val="20"/>
                <w:szCs w:val="20"/>
                <w:lang w:val="es-ES" w:eastAsia="en-GB"/>
              </w:rPr>
            </w:pPr>
            <w:r w:rsidRPr="00814222">
              <w:rPr>
                <w:rFonts w:eastAsia="Times New Roman" w:cs="Arial"/>
                <w:noProof/>
                <w:sz w:val="20"/>
                <w:szCs w:val="20"/>
                <w:lang w:val="es-ES" w:eastAsia="en-GB"/>
              </w:rPr>
              <w:t>Personal directivo de la Secretaría</w:t>
            </w:r>
          </w:p>
        </w:tc>
        <w:tc>
          <w:tcPr>
            <w:tcW w:w="1530" w:type="dxa"/>
            <w:tcBorders>
              <w:top w:val="nil"/>
              <w:left w:val="nil"/>
              <w:bottom w:val="single" w:sz="4" w:space="0" w:color="auto"/>
              <w:right w:val="single" w:sz="4" w:space="0" w:color="auto"/>
            </w:tcBorders>
            <w:shd w:val="clear" w:color="auto" w:fill="auto"/>
            <w:noWrap/>
            <w:hideMark/>
          </w:tcPr>
          <w:p w14:paraId="2F4E2614" w14:textId="4182A582"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S, 1 D, 1 P2,</w:t>
            </w:r>
            <w:r w:rsidR="00B91D14" w:rsidRPr="00814222">
              <w:rPr>
                <w:rFonts w:eastAsia="Times New Roman" w:cs="Arial"/>
                <w:noProof/>
                <w:sz w:val="20"/>
                <w:szCs w:val="20"/>
                <w:lang w:val="es-ES" w:eastAsia="en-GB"/>
              </w:rPr>
              <w:t xml:space="preserve">     </w:t>
            </w:r>
            <w:r w:rsidRPr="00814222">
              <w:rPr>
                <w:rFonts w:eastAsia="Times New Roman" w:cs="Arial"/>
                <w:noProof/>
                <w:sz w:val="20"/>
                <w:szCs w:val="20"/>
                <w:lang w:val="es-ES" w:eastAsia="en-GB"/>
              </w:rPr>
              <w:t>2</w:t>
            </w:r>
            <w:r w:rsidR="00B91D14" w:rsidRPr="00814222">
              <w:rPr>
                <w:rFonts w:eastAsia="Times New Roman" w:cs="Arial"/>
                <w:noProof/>
                <w:sz w:val="20"/>
                <w:szCs w:val="20"/>
                <w:lang w:val="es-ES" w:eastAsia="en-GB"/>
              </w:rPr>
              <w:t xml:space="preserve"> </w:t>
            </w:r>
            <w:r w:rsidRPr="00814222">
              <w:rPr>
                <w:rFonts w:eastAsia="Times New Roman" w:cs="Arial"/>
                <w:noProof/>
                <w:sz w:val="20"/>
                <w:szCs w:val="20"/>
                <w:lang w:val="es-ES" w:eastAsia="en-GB"/>
              </w:rPr>
              <w:t>A3</w:t>
            </w:r>
          </w:p>
        </w:tc>
        <w:tc>
          <w:tcPr>
            <w:tcW w:w="1534" w:type="dxa"/>
            <w:tcBorders>
              <w:top w:val="nil"/>
              <w:left w:val="nil"/>
              <w:bottom w:val="single" w:sz="4" w:space="0" w:color="auto"/>
              <w:right w:val="single" w:sz="4" w:space="0" w:color="auto"/>
            </w:tcBorders>
            <w:shd w:val="clear" w:color="auto" w:fill="auto"/>
            <w:hideMark/>
          </w:tcPr>
          <w:p w14:paraId="6417A9BA"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 xml:space="preserve">1 S, 1 D, 1 P2, </w:t>
            </w:r>
            <w:r w:rsidRPr="00814222">
              <w:rPr>
                <w:rFonts w:eastAsia="Times New Roman" w:cs="Arial"/>
                <w:noProof/>
                <w:sz w:val="20"/>
                <w:szCs w:val="20"/>
                <w:lang w:val="es-ES" w:eastAsia="en-GB"/>
              </w:rPr>
              <w:br/>
              <w:t>2 A3</w:t>
            </w:r>
          </w:p>
        </w:tc>
        <w:tc>
          <w:tcPr>
            <w:tcW w:w="1560" w:type="dxa"/>
            <w:tcBorders>
              <w:top w:val="nil"/>
              <w:left w:val="nil"/>
              <w:bottom w:val="single" w:sz="4" w:space="0" w:color="auto"/>
              <w:right w:val="single" w:sz="4" w:space="0" w:color="auto"/>
            </w:tcBorders>
            <w:shd w:val="clear" w:color="auto" w:fill="auto"/>
            <w:hideMark/>
          </w:tcPr>
          <w:p w14:paraId="7AD723F3" w14:textId="38C23CED"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 xml:space="preserve">1 S, 1 D, 1 P2, </w:t>
            </w:r>
            <w:r w:rsidR="00B91D14" w:rsidRPr="00814222">
              <w:rPr>
                <w:rFonts w:eastAsia="Times New Roman" w:cs="Arial"/>
                <w:noProof/>
                <w:sz w:val="20"/>
                <w:szCs w:val="20"/>
                <w:lang w:val="es-ES" w:eastAsia="en-GB"/>
              </w:rPr>
              <w:t xml:space="preserve">     </w:t>
            </w:r>
            <w:r w:rsidRPr="00814222">
              <w:rPr>
                <w:rFonts w:eastAsia="Times New Roman" w:cs="Arial"/>
                <w:noProof/>
                <w:sz w:val="20"/>
                <w:szCs w:val="20"/>
                <w:lang w:val="es-ES" w:eastAsia="en-GB"/>
              </w:rPr>
              <w:t>2 A3</w:t>
            </w:r>
          </w:p>
        </w:tc>
        <w:tc>
          <w:tcPr>
            <w:tcW w:w="1559" w:type="dxa"/>
            <w:tcBorders>
              <w:top w:val="nil"/>
              <w:left w:val="nil"/>
              <w:bottom w:val="single" w:sz="4" w:space="0" w:color="auto"/>
              <w:right w:val="single" w:sz="4" w:space="0" w:color="auto"/>
            </w:tcBorders>
            <w:shd w:val="clear" w:color="auto" w:fill="auto"/>
            <w:hideMark/>
          </w:tcPr>
          <w:p w14:paraId="2A8B2A3F"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 xml:space="preserve">1 S, 1 D, 1 P2, </w:t>
            </w:r>
            <w:r w:rsidRPr="00814222">
              <w:rPr>
                <w:rFonts w:eastAsia="Times New Roman" w:cs="Arial"/>
                <w:noProof/>
                <w:sz w:val="20"/>
                <w:szCs w:val="20"/>
                <w:lang w:val="es-ES" w:eastAsia="en-GB"/>
              </w:rPr>
              <w:br/>
              <w:t>2 A3</w:t>
            </w:r>
          </w:p>
        </w:tc>
      </w:tr>
      <w:tr w:rsidR="0072250A" w:rsidRPr="00814222" w14:paraId="0558E981" w14:textId="77777777" w:rsidTr="00C627A0">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3CBD0AA8" w14:textId="510F5765" w:rsidR="0072250A" w:rsidRPr="00814222" w:rsidRDefault="0072250A" w:rsidP="008D1B62">
            <w:pPr>
              <w:rPr>
                <w:rFonts w:eastAsia="Times New Roman" w:cs="Arial"/>
                <w:noProof/>
                <w:sz w:val="20"/>
                <w:szCs w:val="20"/>
                <w:lang w:val="es-ES" w:eastAsia="en-GB"/>
              </w:rPr>
            </w:pPr>
            <w:r w:rsidRPr="00814222">
              <w:rPr>
                <w:rFonts w:eastAsia="Times New Roman" w:cs="Arial"/>
                <w:noProof/>
                <w:sz w:val="20"/>
                <w:szCs w:val="20"/>
                <w:lang w:val="es-ES" w:eastAsia="en-GB"/>
              </w:rPr>
              <w:t>Movilización de recursos y</w:t>
            </w:r>
            <w:r w:rsidR="00AC7C3A">
              <w:rPr>
                <w:rFonts w:eastAsia="Times New Roman" w:cs="Arial"/>
                <w:noProof/>
                <w:sz w:val="20"/>
                <w:szCs w:val="20"/>
                <w:lang w:val="es-ES" w:eastAsia="en-GB"/>
              </w:rPr>
              <w:t xml:space="preserve"> </w:t>
            </w:r>
            <w:r w:rsidRPr="00814222">
              <w:rPr>
                <w:rFonts w:eastAsia="Times New Roman" w:cs="Arial"/>
                <w:noProof/>
                <w:sz w:val="20"/>
                <w:szCs w:val="20"/>
                <w:lang w:val="es-ES" w:eastAsia="en-GB"/>
              </w:rPr>
              <w:t>promoción</w:t>
            </w:r>
          </w:p>
        </w:tc>
        <w:tc>
          <w:tcPr>
            <w:tcW w:w="1530" w:type="dxa"/>
            <w:tcBorders>
              <w:top w:val="nil"/>
              <w:left w:val="nil"/>
              <w:bottom w:val="single" w:sz="4" w:space="0" w:color="auto"/>
              <w:right w:val="single" w:sz="4" w:space="0" w:color="auto"/>
            </w:tcBorders>
            <w:shd w:val="clear" w:color="auto" w:fill="auto"/>
            <w:noWrap/>
            <w:hideMark/>
          </w:tcPr>
          <w:p w14:paraId="3B4EA2BA"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2 P2, 1 A3</w:t>
            </w:r>
          </w:p>
        </w:tc>
        <w:tc>
          <w:tcPr>
            <w:tcW w:w="1534" w:type="dxa"/>
            <w:tcBorders>
              <w:top w:val="nil"/>
              <w:left w:val="nil"/>
              <w:bottom w:val="single" w:sz="4" w:space="0" w:color="auto"/>
              <w:right w:val="single" w:sz="4" w:space="0" w:color="auto"/>
            </w:tcBorders>
            <w:shd w:val="clear" w:color="auto" w:fill="auto"/>
            <w:noWrap/>
            <w:hideMark/>
          </w:tcPr>
          <w:p w14:paraId="52C58F4A"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2 P2, 1 A3</w:t>
            </w:r>
          </w:p>
        </w:tc>
        <w:tc>
          <w:tcPr>
            <w:tcW w:w="1560" w:type="dxa"/>
            <w:tcBorders>
              <w:top w:val="nil"/>
              <w:left w:val="nil"/>
              <w:bottom w:val="single" w:sz="4" w:space="0" w:color="auto"/>
              <w:right w:val="single" w:sz="4" w:space="0" w:color="auto"/>
            </w:tcBorders>
            <w:shd w:val="clear" w:color="auto" w:fill="auto"/>
            <w:hideMark/>
          </w:tcPr>
          <w:p w14:paraId="0016DBEF"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2 P2, 1 A3</w:t>
            </w:r>
          </w:p>
        </w:tc>
        <w:tc>
          <w:tcPr>
            <w:tcW w:w="1559" w:type="dxa"/>
            <w:tcBorders>
              <w:top w:val="nil"/>
              <w:left w:val="nil"/>
              <w:bottom w:val="single" w:sz="4" w:space="0" w:color="auto"/>
              <w:right w:val="single" w:sz="4" w:space="0" w:color="auto"/>
            </w:tcBorders>
            <w:shd w:val="clear" w:color="auto" w:fill="auto"/>
            <w:noWrap/>
            <w:hideMark/>
          </w:tcPr>
          <w:p w14:paraId="08000F55"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2 P2, 1 A3</w:t>
            </w:r>
          </w:p>
        </w:tc>
      </w:tr>
      <w:tr w:rsidR="0072250A" w:rsidRPr="00814222" w14:paraId="2321C673" w14:textId="77777777" w:rsidTr="00C627A0">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3F02AEC8" w14:textId="77777777" w:rsidR="0072250A" w:rsidRPr="00814222" w:rsidRDefault="0072250A" w:rsidP="00C627A0">
            <w:pPr>
              <w:rPr>
                <w:rFonts w:eastAsia="Times New Roman" w:cs="Arial"/>
                <w:noProof/>
                <w:sz w:val="20"/>
                <w:szCs w:val="20"/>
                <w:lang w:val="es-ES" w:eastAsia="en-GB"/>
              </w:rPr>
            </w:pPr>
            <w:r w:rsidRPr="00814222">
              <w:rPr>
                <w:rFonts w:eastAsia="Times New Roman" w:cs="Arial"/>
                <w:noProof/>
                <w:sz w:val="20"/>
                <w:szCs w:val="20"/>
                <w:lang w:val="es-ES" w:eastAsia="en-GB"/>
              </w:rPr>
              <w:t>Asesoramiento y apoyo regionales</w:t>
            </w:r>
          </w:p>
        </w:tc>
        <w:tc>
          <w:tcPr>
            <w:tcW w:w="1530" w:type="dxa"/>
            <w:tcBorders>
              <w:top w:val="nil"/>
              <w:left w:val="nil"/>
              <w:bottom w:val="single" w:sz="4" w:space="0" w:color="auto"/>
              <w:right w:val="single" w:sz="4" w:space="0" w:color="auto"/>
            </w:tcBorders>
            <w:shd w:val="clear" w:color="auto" w:fill="auto"/>
            <w:noWrap/>
            <w:hideMark/>
          </w:tcPr>
          <w:p w14:paraId="64F809C9"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4 M1, 4 pasantes</w:t>
            </w:r>
          </w:p>
        </w:tc>
        <w:tc>
          <w:tcPr>
            <w:tcW w:w="1534" w:type="dxa"/>
            <w:tcBorders>
              <w:top w:val="nil"/>
              <w:left w:val="nil"/>
              <w:bottom w:val="single" w:sz="4" w:space="0" w:color="auto"/>
              <w:right w:val="single" w:sz="4" w:space="0" w:color="auto"/>
            </w:tcBorders>
            <w:shd w:val="clear" w:color="auto" w:fill="auto"/>
            <w:noWrap/>
            <w:hideMark/>
          </w:tcPr>
          <w:p w14:paraId="1A9C5790"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4 M1, 4 pasantes</w:t>
            </w:r>
          </w:p>
        </w:tc>
        <w:tc>
          <w:tcPr>
            <w:tcW w:w="1560" w:type="dxa"/>
            <w:tcBorders>
              <w:top w:val="nil"/>
              <w:left w:val="nil"/>
              <w:bottom w:val="single" w:sz="4" w:space="0" w:color="auto"/>
              <w:right w:val="single" w:sz="4" w:space="0" w:color="auto"/>
            </w:tcBorders>
            <w:shd w:val="clear" w:color="auto" w:fill="auto"/>
            <w:hideMark/>
          </w:tcPr>
          <w:p w14:paraId="7AD7E63B"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4 M1, 4 pasantes</w:t>
            </w:r>
          </w:p>
        </w:tc>
        <w:tc>
          <w:tcPr>
            <w:tcW w:w="1559" w:type="dxa"/>
            <w:tcBorders>
              <w:top w:val="nil"/>
              <w:left w:val="nil"/>
              <w:bottom w:val="single" w:sz="4" w:space="0" w:color="auto"/>
              <w:right w:val="single" w:sz="4" w:space="0" w:color="auto"/>
            </w:tcBorders>
            <w:shd w:val="clear" w:color="auto" w:fill="auto"/>
            <w:hideMark/>
          </w:tcPr>
          <w:p w14:paraId="47A86B1B"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4 M1, 4 pasantes</w:t>
            </w:r>
          </w:p>
        </w:tc>
      </w:tr>
      <w:tr w:rsidR="0072250A" w:rsidRPr="00814222" w14:paraId="06162051" w14:textId="77777777" w:rsidTr="00C627A0">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61C6E2DF" w14:textId="77777777" w:rsidR="0072250A" w:rsidRPr="00814222" w:rsidRDefault="0072250A" w:rsidP="00C627A0">
            <w:pPr>
              <w:rPr>
                <w:rFonts w:eastAsia="Times New Roman" w:cs="Arial"/>
                <w:noProof/>
                <w:sz w:val="20"/>
                <w:szCs w:val="20"/>
                <w:lang w:val="es-ES" w:eastAsia="en-GB"/>
              </w:rPr>
            </w:pPr>
            <w:r w:rsidRPr="00814222">
              <w:rPr>
                <w:rFonts w:eastAsia="Times New Roman" w:cs="Arial"/>
                <w:noProof/>
                <w:sz w:val="20"/>
                <w:szCs w:val="20"/>
                <w:lang w:val="es-ES" w:eastAsia="en-GB"/>
              </w:rPr>
              <w:t>Ciencia y políticas</w:t>
            </w:r>
          </w:p>
        </w:tc>
        <w:tc>
          <w:tcPr>
            <w:tcW w:w="1530" w:type="dxa"/>
            <w:tcBorders>
              <w:top w:val="nil"/>
              <w:left w:val="nil"/>
              <w:bottom w:val="single" w:sz="4" w:space="0" w:color="auto"/>
              <w:right w:val="single" w:sz="4" w:space="0" w:color="auto"/>
            </w:tcBorders>
            <w:shd w:val="clear" w:color="auto" w:fill="auto"/>
            <w:noWrap/>
            <w:hideMark/>
          </w:tcPr>
          <w:p w14:paraId="25FA6E96" w14:textId="049AB9B8"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M1, 2 P2, 1 P1</w:t>
            </w:r>
          </w:p>
        </w:tc>
        <w:tc>
          <w:tcPr>
            <w:tcW w:w="1534" w:type="dxa"/>
            <w:tcBorders>
              <w:top w:val="nil"/>
              <w:left w:val="nil"/>
              <w:bottom w:val="single" w:sz="4" w:space="0" w:color="auto"/>
              <w:right w:val="single" w:sz="4" w:space="0" w:color="auto"/>
            </w:tcBorders>
            <w:shd w:val="clear" w:color="auto" w:fill="auto"/>
            <w:noWrap/>
            <w:hideMark/>
          </w:tcPr>
          <w:p w14:paraId="137147B6"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M1, 2 P2, 1 P1</w:t>
            </w:r>
          </w:p>
        </w:tc>
        <w:tc>
          <w:tcPr>
            <w:tcW w:w="1560" w:type="dxa"/>
            <w:tcBorders>
              <w:top w:val="nil"/>
              <w:left w:val="nil"/>
              <w:bottom w:val="single" w:sz="4" w:space="0" w:color="auto"/>
              <w:right w:val="single" w:sz="4" w:space="0" w:color="auto"/>
            </w:tcBorders>
            <w:shd w:val="clear" w:color="auto" w:fill="auto"/>
            <w:hideMark/>
          </w:tcPr>
          <w:p w14:paraId="7BD8D513"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M1, 2 P2, 1 P1</w:t>
            </w:r>
          </w:p>
        </w:tc>
        <w:tc>
          <w:tcPr>
            <w:tcW w:w="1559" w:type="dxa"/>
            <w:tcBorders>
              <w:top w:val="nil"/>
              <w:left w:val="nil"/>
              <w:bottom w:val="single" w:sz="4" w:space="0" w:color="auto"/>
              <w:right w:val="single" w:sz="4" w:space="0" w:color="auto"/>
            </w:tcBorders>
            <w:shd w:val="clear" w:color="auto" w:fill="auto"/>
            <w:noWrap/>
            <w:hideMark/>
          </w:tcPr>
          <w:p w14:paraId="48733070"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M1, 2 P2, 1 P1</w:t>
            </w:r>
          </w:p>
        </w:tc>
      </w:tr>
      <w:tr w:rsidR="0072250A" w:rsidRPr="00814222" w14:paraId="5E15A3FF" w14:textId="77777777" w:rsidTr="00C627A0">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19E27EEC" w14:textId="77777777" w:rsidR="0072250A" w:rsidRPr="00814222" w:rsidRDefault="0072250A" w:rsidP="00C627A0">
            <w:pPr>
              <w:rPr>
                <w:rFonts w:eastAsia="Times New Roman" w:cs="Arial"/>
                <w:noProof/>
                <w:sz w:val="20"/>
                <w:szCs w:val="20"/>
                <w:lang w:val="es-ES" w:eastAsia="en-GB"/>
              </w:rPr>
            </w:pPr>
            <w:r w:rsidRPr="00814222">
              <w:rPr>
                <w:rFonts w:eastAsia="Times New Roman" w:cs="Arial"/>
                <w:noProof/>
                <w:sz w:val="20"/>
                <w:szCs w:val="20"/>
                <w:lang w:val="es-ES" w:eastAsia="en-GB"/>
              </w:rPr>
              <w:t>Administración</w:t>
            </w:r>
          </w:p>
        </w:tc>
        <w:tc>
          <w:tcPr>
            <w:tcW w:w="1530" w:type="dxa"/>
            <w:tcBorders>
              <w:top w:val="nil"/>
              <w:left w:val="nil"/>
              <w:bottom w:val="single" w:sz="4" w:space="0" w:color="auto"/>
              <w:right w:val="single" w:sz="4" w:space="0" w:color="auto"/>
            </w:tcBorders>
            <w:shd w:val="clear" w:color="auto" w:fill="auto"/>
            <w:hideMark/>
          </w:tcPr>
          <w:p w14:paraId="212BDFC1" w14:textId="7607F903"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P2, 1 P1</w:t>
            </w:r>
            <w:r w:rsidR="00B91D14" w:rsidRPr="00814222">
              <w:rPr>
                <w:rFonts w:eastAsia="Times New Roman" w:cs="Arial"/>
                <w:noProof/>
                <w:sz w:val="20"/>
                <w:szCs w:val="20"/>
                <w:lang w:val="es-ES" w:eastAsia="en-GB"/>
              </w:rPr>
              <w:t xml:space="preserve"> </w:t>
            </w:r>
            <w:r w:rsidRPr="00814222">
              <w:rPr>
                <w:rFonts w:eastAsia="Times New Roman" w:cs="Arial"/>
                <w:noProof/>
                <w:sz w:val="20"/>
                <w:szCs w:val="20"/>
                <w:lang w:val="es-ES" w:eastAsia="en-GB"/>
              </w:rPr>
              <w:t>(50 %), 1 A3</w:t>
            </w:r>
          </w:p>
        </w:tc>
        <w:tc>
          <w:tcPr>
            <w:tcW w:w="1534" w:type="dxa"/>
            <w:tcBorders>
              <w:top w:val="nil"/>
              <w:left w:val="nil"/>
              <w:bottom w:val="single" w:sz="4" w:space="0" w:color="auto"/>
              <w:right w:val="single" w:sz="4" w:space="0" w:color="auto"/>
            </w:tcBorders>
            <w:shd w:val="clear" w:color="auto" w:fill="auto"/>
            <w:hideMark/>
          </w:tcPr>
          <w:p w14:paraId="2B33B58C" w14:textId="4F195BF8"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P2, 1 P1</w:t>
            </w:r>
            <w:r w:rsidR="00B91D14" w:rsidRPr="00814222">
              <w:rPr>
                <w:rFonts w:eastAsia="Times New Roman" w:cs="Arial"/>
                <w:noProof/>
                <w:sz w:val="20"/>
                <w:szCs w:val="20"/>
                <w:lang w:val="es-ES" w:eastAsia="en-GB"/>
              </w:rPr>
              <w:t xml:space="preserve"> (</w:t>
            </w:r>
            <w:r w:rsidRPr="00814222">
              <w:rPr>
                <w:rFonts w:eastAsia="Times New Roman" w:cs="Arial"/>
                <w:noProof/>
                <w:sz w:val="20"/>
                <w:szCs w:val="20"/>
                <w:lang w:val="es-ES" w:eastAsia="en-GB"/>
              </w:rPr>
              <w:t>50 %), 1 A3</w:t>
            </w:r>
          </w:p>
        </w:tc>
        <w:tc>
          <w:tcPr>
            <w:tcW w:w="1560" w:type="dxa"/>
            <w:tcBorders>
              <w:top w:val="nil"/>
              <w:left w:val="nil"/>
              <w:bottom w:val="single" w:sz="4" w:space="0" w:color="auto"/>
              <w:right w:val="single" w:sz="4" w:space="0" w:color="auto"/>
            </w:tcBorders>
            <w:shd w:val="clear" w:color="auto" w:fill="auto"/>
            <w:hideMark/>
          </w:tcPr>
          <w:p w14:paraId="79C88BCE" w14:textId="21806584"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P2, 1 P1</w:t>
            </w:r>
            <w:r w:rsidR="00B91D14" w:rsidRPr="00814222">
              <w:rPr>
                <w:rFonts w:eastAsia="Times New Roman" w:cs="Arial"/>
                <w:noProof/>
                <w:sz w:val="20"/>
                <w:szCs w:val="20"/>
                <w:lang w:val="es-ES" w:eastAsia="en-GB"/>
              </w:rPr>
              <w:t xml:space="preserve"> </w:t>
            </w:r>
            <w:r w:rsidRPr="00814222">
              <w:rPr>
                <w:rFonts w:eastAsia="Times New Roman" w:cs="Arial"/>
                <w:noProof/>
                <w:sz w:val="20"/>
                <w:szCs w:val="20"/>
                <w:lang w:val="es-ES" w:eastAsia="en-GB"/>
              </w:rPr>
              <w:t>(50 %), 1 A3</w:t>
            </w:r>
          </w:p>
        </w:tc>
        <w:tc>
          <w:tcPr>
            <w:tcW w:w="1559" w:type="dxa"/>
            <w:tcBorders>
              <w:top w:val="nil"/>
              <w:left w:val="nil"/>
              <w:bottom w:val="single" w:sz="4" w:space="0" w:color="auto"/>
              <w:right w:val="single" w:sz="4" w:space="0" w:color="auto"/>
            </w:tcBorders>
            <w:shd w:val="clear" w:color="auto" w:fill="auto"/>
            <w:hideMark/>
          </w:tcPr>
          <w:p w14:paraId="1DA856C6" w14:textId="77777777" w:rsidR="0072250A" w:rsidRPr="00814222" w:rsidRDefault="0072250A" w:rsidP="00AC7C3A">
            <w:pPr>
              <w:rPr>
                <w:rFonts w:eastAsia="Times New Roman" w:cs="Arial"/>
                <w:noProof/>
                <w:sz w:val="20"/>
                <w:szCs w:val="20"/>
                <w:lang w:val="es-ES" w:eastAsia="en-GB"/>
              </w:rPr>
            </w:pPr>
            <w:r w:rsidRPr="00814222">
              <w:rPr>
                <w:rFonts w:eastAsia="Times New Roman" w:cs="Arial"/>
                <w:noProof/>
                <w:sz w:val="20"/>
                <w:szCs w:val="20"/>
                <w:lang w:val="es-ES" w:eastAsia="en-GB"/>
              </w:rPr>
              <w:t>1 P2, 1 P1 (50 %), 1 A3</w:t>
            </w:r>
          </w:p>
        </w:tc>
      </w:tr>
      <w:tr w:rsidR="0072250A" w:rsidRPr="00814222" w14:paraId="654A4532" w14:textId="77777777" w:rsidTr="00C627A0">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hideMark/>
          </w:tcPr>
          <w:p w14:paraId="7F416512" w14:textId="77777777" w:rsidR="0072250A" w:rsidRPr="00814222" w:rsidRDefault="0072250A" w:rsidP="00C627A0">
            <w:pPr>
              <w:rPr>
                <w:rFonts w:eastAsia="Times New Roman" w:cs="Arial"/>
                <w:b/>
                <w:bCs/>
                <w:noProof/>
                <w:sz w:val="20"/>
                <w:szCs w:val="20"/>
                <w:lang w:val="es-ES" w:eastAsia="en-GB"/>
              </w:rPr>
            </w:pPr>
            <w:r w:rsidRPr="00814222">
              <w:rPr>
                <w:rFonts w:eastAsia="Times New Roman" w:cs="Arial"/>
                <w:b/>
                <w:bCs/>
                <w:noProof/>
                <w:sz w:val="20"/>
                <w:szCs w:val="20"/>
                <w:lang w:val="es-ES" w:eastAsia="en-GB"/>
              </w:rPr>
              <w:t>Total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0ACF51E9" w14:textId="77777777" w:rsidR="0072250A" w:rsidRPr="00814222" w:rsidRDefault="0072250A" w:rsidP="00AC7C3A">
            <w:pPr>
              <w:rPr>
                <w:rFonts w:eastAsia="Times New Roman" w:cs="Arial"/>
                <w:b/>
                <w:bCs/>
                <w:noProof/>
                <w:sz w:val="20"/>
                <w:szCs w:val="20"/>
                <w:lang w:val="es-ES" w:eastAsia="en-GB"/>
              </w:rPr>
            </w:pPr>
            <w:r w:rsidRPr="00814222">
              <w:rPr>
                <w:rFonts w:eastAsia="Times New Roman" w:cs="Arial"/>
                <w:b/>
                <w:bCs/>
                <w:noProof/>
                <w:sz w:val="20"/>
                <w:szCs w:val="20"/>
                <w:lang w:val="es-ES" w:eastAsia="en-GB"/>
              </w:rPr>
              <w:t>22,5 miembros del personal</w:t>
            </w:r>
          </w:p>
        </w:tc>
        <w:tc>
          <w:tcPr>
            <w:tcW w:w="1534" w:type="dxa"/>
            <w:tcBorders>
              <w:top w:val="nil"/>
              <w:left w:val="nil"/>
              <w:bottom w:val="single" w:sz="4" w:space="0" w:color="auto"/>
              <w:right w:val="single" w:sz="4" w:space="0" w:color="auto"/>
            </w:tcBorders>
            <w:shd w:val="clear" w:color="auto" w:fill="C6D9F1" w:themeFill="text2" w:themeFillTint="33"/>
            <w:noWrap/>
            <w:hideMark/>
          </w:tcPr>
          <w:p w14:paraId="4E86208D" w14:textId="77777777" w:rsidR="0072250A" w:rsidRPr="00814222" w:rsidRDefault="0072250A" w:rsidP="00AC7C3A">
            <w:pPr>
              <w:rPr>
                <w:rFonts w:eastAsia="Times New Roman" w:cs="Arial"/>
                <w:b/>
                <w:bCs/>
                <w:noProof/>
                <w:sz w:val="20"/>
                <w:szCs w:val="20"/>
                <w:lang w:val="es-ES" w:eastAsia="en-GB"/>
              </w:rPr>
            </w:pPr>
            <w:r w:rsidRPr="00814222">
              <w:rPr>
                <w:rFonts w:eastAsia="Times New Roman" w:cs="Arial"/>
                <w:b/>
                <w:bCs/>
                <w:noProof/>
                <w:sz w:val="20"/>
                <w:szCs w:val="20"/>
                <w:lang w:val="es-ES" w:eastAsia="en-GB"/>
              </w:rPr>
              <w:t>22,5 miembros del personal</w:t>
            </w:r>
          </w:p>
        </w:tc>
        <w:tc>
          <w:tcPr>
            <w:tcW w:w="1560" w:type="dxa"/>
            <w:tcBorders>
              <w:top w:val="nil"/>
              <w:left w:val="nil"/>
              <w:bottom w:val="single" w:sz="4" w:space="0" w:color="auto"/>
              <w:right w:val="single" w:sz="4" w:space="0" w:color="auto"/>
            </w:tcBorders>
            <w:shd w:val="clear" w:color="auto" w:fill="C6D9F1" w:themeFill="text2" w:themeFillTint="33"/>
            <w:noWrap/>
            <w:hideMark/>
          </w:tcPr>
          <w:p w14:paraId="0A9B90F3" w14:textId="77777777" w:rsidR="0072250A" w:rsidRPr="00814222" w:rsidRDefault="0072250A" w:rsidP="00AC7C3A">
            <w:pPr>
              <w:rPr>
                <w:rFonts w:eastAsia="Times New Roman" w:cs="Arial"/>
                <w:b/>
                <w:bCs/>
                <w:noProof/>
                <w:sz w:val="20"/>
                <w:szCs w:val="20"/>
                <w:lang w:val="es-ES" w:eastAsia="en-GB"/>
              </w:rPr>
            </w:pPr>
            <w:r w:rsidRPr="00814222">
              <w:rPr>
                <w:rFonts w:eastAsia="Times New Roman" w:cs="Arial"/>
                <w:b/>
                <w:bCs/>
                <w:noProof/>
                <w:sz w:val="20"/>
                <w:szCs w:val="20"/>
                <w:lang w:val="es-ES" w:eastAsia="en-GB"/>
              </w:rPr>
              <w:t>22,5 miembros del personal</w:t>
            </w:r>
          </w:p>
        </w:tc>
        <w:tc>
          <w:tcPr>
            <w:tcW w:w="1559" w:type="dxa"/>
            <w:tcBorders>
              <w:top w:val="nil"/>
              <w:left w:val="nil"/>
              <w:bottom w:val="single" w:sz="4" w:space="0" w:color="auto"/>
              <w:right w:val="single" w:sz="4" w:space="0" w:color="auto"/>
            </w:tcBorders>
            <w:shd w:val="clear" w:color="auto" w:fill="C6D9F1" w:themeFill="text2" w:themeFillTint="33"/>
            <w:noWrap/>
            <w:hideMark/>
          </w:tcPr>
          <w:p w14:paraId="0D1477F2" w14:textId="77777777" w:rsidR="0072250A" w:rsidRPr="00814222" w:rsidRDefault="0072250A" w:rsidP="00AC7C3A">
            <w:pPr>
              <w:rPr>
                <w:rFonts w:eastAsia="Times New Roman" w:cs="Arial"/>
                <w:b/>
                <w:bCs/>
                <w:noProof/>
                <w:sz w:val="20"/>
                <w:szCs w:val="20"/>
                <w:lang w:val="es-ES" w:eastAsia="en-GB"/>
              </w:rPr>
            </w:pPr>
            <w:r w:rsidRPr="00814222">
              <w:rPr>
                <w:rFonts w:eastAsia="Times New Roman" w:cs="Arial"/>
                <w:b/>
                <w:bCs/>
                <w:noProof/>
                <w:sz w:val="20"/>
                <w:szCs w:val="20"/>
                <w:lang w:val="es-ES" w:eastAsia="en-GB"/>
              </w:rPr>
              <w:t>22,5 miembros del personal</w:t>
            </w:r>
          </w:p>
        </w:tc>
      </w:tr>
      <w:tr w:rsidR="00C131B7" w:rsidRPr="00814222" w14:paraId="5CF1B74E" w14:textId="77777777" w:rsidTr="00C131B7">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D4D7789" w14:textId="7584905B" w:rsidR="00C131B7" w:rsidRPr="00814222" w:rsidRDefault="00C131B7" w:rsidP="00C131B7">
            <w:pPr>
              <w:rPr>
                <w:rFonts w:eastAsia="Times New Roman" w:cs="Arial"/>
                <w:b/>
                <w:bCs/>
                <w:noProof/>
                <w:sz w:val="20"/>
                <w:szCs w:val="20"/>
                <w:lang w:val="es-ES" w:eastAsia="en-GB"/>
              </w:rPr>
            </w:pPr>
            <w:r w:rsidRPr="00814222">
              <w:rPr>
                <w:rFonts w:eastAsia="Times New Roman" w:cs="Arial"/>
                <w:b/>
                <w:bCs/>
                <w:noProof/>
                <w:sz w:val="20"/>
                <w:szCs w:val="20"/>
                <w:lang w:val="es-ES" w:eastAsia="en-GB"/>
              </w:rPr>
              <w:t>Costos totales</w:t>
            </w:r>
            <w:r>
              <w:rPr>
                <w:rFonts w:eastAsia="Times New Roman" w:cs="Arial"/>
                <w:b/>
                <w:bCs/>
                <w:noProof/>
                <w:sz w:val="20"/>
                <w:szCs w:val="20"/>
                <w:lang w:val="es-ES" w:eastAsia="en-GB"/>
              </w:rPr>
              <w:t xml:space="preserve"> E</w:t>
            </w:r>
            <w:r w:rsidRPr="00C131B7">
              <w:rPr>
                <w:rFonts w:eastAsia="Times New Roman" w:cs="Arial"/>
                <w:b/>
                <w:bCs/>
                <w:noProof/>
                <w:sz w:val="20"/>
                <w:szCs w:val="20"/>
                <w:lang w:val="es-ES" w:eastAsia="en-GB"/>
              </w:rPr>
              <w:t>scenario</w:t>
            </w:r>
            <w:r w:rsidRPr="00C131B7">
              <w:rPr>
                <w:rFonts w:eastAsia="Times New Roman" w:cs="Arial"/>
                <w:b/>
                <w:bCs/>
                <w:noProof/>
                <w:sz w:val="20"/>
                <w:szCs w:val="20"/>
                <w:lang w:val="es-ES" w:eastAsia="en-GB"/>
              </w:rPr>
              <w:t xml:space="preserve"> A</w:t>
            </w:r>
          </w:p>
          <w:p w14:paraId="4FEFC3F2" w14:textId="77777777" w:rsidR="00C131B7" w:rsidRPr="00814222" w:rsidRDefault="00C131B7" w:rsidP="00C131B7">
            <w:pPr>
              <w:rPr>
                <w:rFonts w:eastAsia="Times New Roman" w:cs="Arial"/>
                <w:b/>
                <w:bCs/>
                <w:noProof/>
                <w:sz w:val="20"/>
                <w:szCs w:val="20"/>
                <w:lang w:val="es-ES" w:eastAsia="en-GB"/>
              </w:rPr>
            </w:pPr>
            <w:r w:rsidRPr="00814222">
              <w:rPr>
                <w:rFonts w:eastAsia="Times New Roman" w:cs="Arial"/>
                <w:b/>
                <w:bCs/>
                <w:noProof/>
                <w:sz w:val="20"/>
                <w:szCs w:val="20"/>
                <w:lang w:val="es-ES" w:eastAsia="en-GB"/>
              </w:rPr>
              <w:t>(en miles de francos suizos)</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3C3CFA73" w14:textId="483582E0" w:rsidR="00C131B7" w:rsidRPr="00814222" w:rsidRDefault="00C131B7" w:rsidP="00C131B7">
            <w:pPr>
              <w:jc w:val="right"/>
              <w:rPr>
                <w:rFonts w:eastAsia="Times New Roman" w:cs="Arial"/>
                <w:b/>
                <w:bCs/>
                <w:noProof/>
                <w:sz w:val="20"/>
                <w:szCs w:val="20"/>
                <w:lang w:val="es-ES" w:eastAsia="en-GB"/>
              </w:rPr>
            </w:pPr>
            <w:r w:rsidRPr="001D42CA">
              <w:rPr>
                <w:rFonts w:asciiTheme="minorHAnsi" w:eastAsia="Times New Roman" w:hAnsiTheme="minorHAnsi" w:cs="Arial"/>
                <w:b/>
                <w:bCs/>
                <w:sz w:val="20"/>
                <w:szCs w:val="20"/>
                <w:lang w:eastAsia="en-GB"/>
              </w:rPr>
              <w:t>3,</w:t>
            </w:r>
            <w:r>
              <w:rPr>
                <w:rFonts w:asciiTheme="minorHAnsi" w:eastAsia="Times New Roman" w:hAnsiTheme="minorHAnsi" w:cs="Arial"/>
                <w:b/>
                <w:bCs/>
                <w:sz w:val="20"/>
                <w:szCs w:val="20"/>
                <w:lang w:eastAsia="en-GB"/>
              </w:rPr>
              <w:t>586</w:t>
            </w:r>
          </w:p>
        </w:tc>
        <w:tc>
          <w:tcPr>
            <w:tcW w:w="1534" w:type="dxa"/>
            <w:tcBorders>
              <w:top w:val="nil"/>
              <w:left w:val="nil"/>
              <w:bottom w:val="single" w:sz="4" w:space="0" w:color="auto"/>
              <w:right w:val="single" w:sz="4" w:space="0" w:color="auto"/>
            </w:tcBorders>
            <w:shd w:val="clear" w:color="auto" w:fill="C6D9F1" w:themeFill="text2" w:themeFillTint="33"/>
            <w:noWrap/>
            <w:vAlign w:val="center"/>
            <w:hideMark/>
          </w:tcPr>
          <w:p w14:paraId="0A60D7F6" w14:textId="0DFF559B" w:rsidR="00C131B7" w:rsidRPr="00814222" w:rsidRDefault="00C131B7" w:rsidP="00C131B7">
            <w:pPr>
              <w:jc w:val="right"/>
              <w:rPr>
                <w:rFonts w:eastAsia="Times New Roman" w:cs="Arial"/>
                <w:b/>
                <w:bCs/>
                <w:noProof/>
                <w:sz w:val="20"/>
                <w:szCs w:val="20"/>
                <w:lang w:val="es-ES" w:eastAsia="en-GB"/>
              </w:rPr>
            </w:pPr>
            <w:r>
              <w:rPr>
                <w:rFonts w:asciiTheme="minorHAnsi" w:eastAsia="Times New Roman" w:hAnsiTheme="minorHAnsi" w:cs="Arial"/>
                <w:b/>
                <w:bCs/>
                <w:sz w:val="20"/>
                <w:szCs w:val="20"/>
                <w:lang w:eastAsia="en-GB"/>
              </w:rPr>
              <w:t>3,586</w:t>
            </w:r>
          </w:p>
        </w:tc>
        <w:tc>
          <w:tcPr>
            <w:tcW w:w="1560" w:type="dxa"/>
            <w:tcBorders>
              <w:top w:val="nil"/>
              <w:left w:val="nil"/>
              <w:bottom w:val="single" w:sz="4" w:space="0" w:color="auto"/>
              <w:right w:val="single" w:sz="4" w:space="0" w:color="auto"/>
            </w:tcBorders>
            <w:shd w:val="clear" w:color="auto" w:fill="C6D9F1" w:themeFill="text2" w:themeFillTint="33"/>
            <w:noWrap/>
            <w:vAlign w:val="center"/>
            <w:hideMark/>
          </w:tcPr>
          <w:p w14:paraId="4049A51A" w14:textId="38DFACD4" w:rsidR="00C131B7" w:rsidRPr="00814222" w:rsidRDefault="00C131B7" w:rsidP="00C131B7">
            <w:pPr>
              <w:jc w:val="right"/>
              <w:rPr>
                <w:rFonts w:eastAsia="Times New Roman" w:cs="Arial"/>
                <w:b/>
                <w:bCs/>
                <w:noProof/>
                <w:sz w:val="20"/>
                <w:szCs w:val="20"/>
                <w:lang w:val="es-ES" w:eastAsia="en-GB"/>
              </w:rPr>
            </w:pPr>
            <w:r>
              <w:rPr>
                <w:rFonts w:asciiTheme="minorHAnsi" w:eastAsia="Times New Roman" w:hAnsiTheme="minorHAnsi" w:cs="Arial"/>
                <w:b/>
                <w:bCs/>
                <w:sz w:val="20"/>
                <w:szCs w:val="20"/>
                <w:lang w:eastAsia="en-GB"/>
              </w:rPr>
              <w:t>3,603</w:t>
            </w:r>
          </w:p>
        </w:tc>
        <w:tc>
          <w:tcPr>
            <w:tcW w:w="1559" w:type="dxa"/>
            <w:tcBorders>
              <w:top w:val="nil"/>
              <w:left w:val="nil"/>
              <w:bottom w:val="single" w:sz="4" w:space="0" w:color="auto"/>
              <w:right w:val="single" w:sz="4" w:space="0" w:color="auto"/>
            </w:tcBorders>
            <w:shd w:val="clear" w:color="auto" w:fill="C6D9F1" w:themeFill="text2" w:themeFillTint="33"/>
            <w:noWrap/>
            <w:vAlign w:val="center"/>
            <w:hideMark/>
          </w:tcPr>
          <w:p w14:paraId="644F9AC7" w14:textId="3496F615" w:rsidR="00C131B7" w:rsidRPr="00814222" w:rsidRDefault="00C131B7" w:rsidP="00C131B7">
            <w:pPr>
              <w:jc w:val="right"/>
              <w:rPr>
                <w:rFonts w:eastAsia="Times New Roman" w:cs="Arial"/>
                <w:b/>
                <w:bCs/>
                <w:noProof/>
                <w:sz w:val="20"/>
                <w:szCs w:val="20"/>
                <w:lang w:val="es-ES" w:eastAsia="en-GB"/>
              </w:rPr>
            </w:pPr>
            <w:r>
              <w:rPr>
                <w:rFonts w:asciiTheme="minorHAnsi" w:eastAsia="Times New Roman" w:hAnsiTheme="minorHAnsi" w:cs="Arial"/>
                <w:b/>
                <w:bCs/>
                <w:sz w:val="20"/>
                <w:szCs w:val="20"/>
                <w:lang w:eastAsia="en-GB"/>
              </w:rPr>
              <w:t>3,603</w:t>
            </w:r>
          </w:p>
        </w:tc>
      </w:tr>
      <w:tr w:rsidR="00C131B7" w:rsidRPr="00C131B7" w14:paraId="110832C6" w14:textId="77777777" w:rsidTr="00C131B7">
        <w:trPr>
          <w:trHeight w:val="264"/>
        </w:trPr>
        <w:tc>
          <w:tcPr>
            <w:tcW w:w="30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27B5ADA" w14:textId="3D48F3E9" w:rsidR="00C131B7" w:rsidRPr="00814222" w:rsidRDefault="00C131B7" w:rsidP="00C131B7">
            <w:pPr>
              <w:rPr>
                <w:rFonts w:eastAsia="Times New Roman" w:cs="Arial"/>
                <w:b/>
                <w:bCs/>
                <w:noProof/>
                <w:sz w:val="20"/>
                <w:szCs w:val="20"/>
                <w:lang w:val="es-ES" w:eastAsia="en-GB"/>
              </w:rPr>
            </w:pPr>
            <w:r w:rsidRPr="00814222">
              <w:rPr>
                <w:rFonts w:eastAsia="Times New Roman" w:cs="Arial"/>
                <w:b/>
                <w:bCs/>
                <w:noProof/>
                <w:sz w:val="20"/>
                <w:szCs w:val="20"/>
                <w:lang w:val="es-ES" w:eastAsia="en-GB"/>
              </w:rPr>
              <w:t>Costos totales</w:t>
            </w:r>
            <w:r>
              <w:rPr>
                <w:rFonts w:eastAsia="Times New Roman" w:cs="Arial"/>
                <w:b/>
                <w:bCs/>
                <w:noProof/>
                <w:sz w:val="20"/>
                <w:szCs w:val="20"/>
                <w:lang w:val="es-ES" w:eastAsia="en-GB"/>
              </w:rPr>
              <w:t xml:space="preserve"> E</w:t>
            </w:r>
            <w:r w:rsidRPr="00C131B7">
              <w:rPr>
                <w:rFonts w:eastAsia="Times New Roman" w:cs="Arial"/>
                <w:b/>
                <w:bCs/>
                <w:noProof/>
                <w:sz w:val="20"/>
                <w:szCs w:val="20"/>
                <w:lang w:val="es-ES" w:eastAsia="en-GB"/>
              </w:rPr>
              <w:t>scenario</w:t>
            </w:r>
            <w:r>
              <w:rPr>
                <w:rFonts w:eastAsia="Times New Roman" w:cs="Arial"/>
                <w:b/>
                <w:bCs/>
                <w:noProof/>
                <w:sz w:val="20"/>
                <w:szCs w:val="20"/>
                <w:lang w:val="es-ES" w:eastAsia="en-GB"/>
              </w:rPr>
              <w:t>s</w:t>
            </w:r>
            <w:r w:rsidRPr="00C131B7">
              <w:rPr>
                <w:rFonts w:eastAsia="Times New Roman" w:cs="Arial"/>
                <w:b/>
                <w:bCs/>
                <w:noProof/>
                <w:sz w:val="20"/>
                <w:szCs w:val="20"/>
                <w:lang w:val="es-ES" w:eastAsia="en-GB"/>
              </w:rPr>
              <w:t xml:space="preserve"> </w:t>
            </w:r>
            <w:r>
              <w:rPr>
                <w:rFonts w:eastAsia="Times New Roman" w:cs="Arial"/>
                <w:b/>
                <w:bCs/>
                <w:noProof/>
                <w:sz w:val="20"/>
                <w:szCs w:val="20"/>
                <w:lang w:val="es-ES" w:eastAsia="en-GB"/>
              </w:rPr>
              <w:t>B y C</w:t>
            </w:r>
          </w:p>
          <w:p w14:paraId="2A5C63E7" w14:textId="715929D8" w:rsidR="00C131B7" w:rsidRPr="00814222" w:rsidRDefault="00C131B7" w:rsidP="00C131B7">
            <w:pPr>
              <w:rPr>
                <w:rFonts w:eastAsia="Times New Roman" w:cs="Arial"/>
                <w:b/>
                <w:bCs/>
                <w:noProof/>
                <w:sz w:val="20"/>
                <w:szCs w:val="20"/>
                <w:lang w:val="es-ES" w:eastAsia="en-GB"/>
              </w:rPr>
            </w:pPr>
            <w:r w:rsidRPr="00814222">
              <w:rPr>
                <w:rFonts w:eastAsia="Times New Roman" w:cs="Arial"/>
                <w:b/>
                <w:bCs/>
                <w:noProof/>
                <w:sz w:val="20"/>
                <w:szCs w:val="20"/>
                <w:lang w:val="es-ES" w:eastAsia="en-GB"/>
              </w:rPr>
              <w:t>(en miles de francos suizos)</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35716F82" w14:textId="3B292132" w:rsidR="00C131B7" w:rsidRPr="00C131B7" w:rsidRDefault="00C131B7" w:rsidP="00C131B7">
            <w:pPr>
              <w:jc w:val="right"/>
              <w:rPr>
                <w:rFonts w:asciiTheme="minorHAnsi" w:eastAsia="Times New Roman" w:hAnsiTheme="minorHAnsi" w:cs="Arial"/>
                <w:b/>
                <w:bCs/>
                <w:sz w:val="20"/>
                <w:szCs w:val="20"/>
                <w:lang w:val="fr-FR" w:eastAsia="en-GB"/>
              </w:rPr>
            </w:pPr>
            <w:r>
              <w:rPr>
                <w:rFonts w:asciiTheme="minorHAnsi" w:eastAsia="Times New Roman" w:hAnsiTheme="minorHAnsi" w:cs="Arial"/>
                <w:b/>
                <w:bCs/>
                <w:sz w:val="20"/>
                <w:szCs w:val="20"/>
                <w:lang w:eastAsia="en-GB"/>
              </w:rPr>
              <w:t>3,586</w:t>
            </w:r>
          </w:p>
        </w:tc>
        <w:tc>
          <w:tcPr>
            <w:tcW w:w="153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BCF98DB" w14:textId="33EB4199" w:rsidR="00C131B7" w:rsidRPr="00C131B7" w:rsidRDefault="00C131B7" w:rsidP="00C131B7">
            <w:pPr>
              <w:jc w:val="right"/>
              <w:rPr>
                <w:rFonts w:asciiTheme="minorHAnsi" w:eastAsia="Times New Roman" w:hAnsiTheme="minorHAnsi" w:cs="Arial"/>
                <w:b/>
                <w:bCs/>
                <w:sz w:val="20"/>
                <w:szCs w:val="20"/>
                <w:lang w:val="fr-FR" w:eastAsia="en-GB"/>
              </w:rPr>
            </w:pPr>
            <w:r>
              <w:rPr>
                <w:rFonts w:asciiTheme="minorHAnsi" w:eastAsia="Times New Roman" w:hAnsiTheme="minorHAnsi" w:cs="Arial"/>
                <w:b/>
                <w:bCs/>
                <w:sz w:val="20"/>
                <w:szCs w:val="20"/>
                <w:lang w:eastAsia="en-GB"/>
              </w:rPr>
              <w:t>3,621</w:t>
            </w:r>
          </w:p>
        </w:tc>
        <w:tc>
          <w:tcPr>
            <w:tcW w:w="156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627E01A" w14:textId="63405A87" w:rsidR="00C131B7" w:rsidRPr="00C131B7" w:rsidRDefault="00C131B7" w:rsidP="00C131B7">
            <w:pPr>
              <w:jc w:val="right"/>
              <w:rPr>
                <w:rFonts w:asciiTheme="minorHAnsi" w:eastAsia="Times New Roman" w:hAnsiTheme="minorHAnsi" w:cs="Arial"/>
                <w:b/>
                <w:bCs/>
                <w:sz w:val="20"/>
                <w:szCs w:val="20"/>
                <w:lang w:val="fr-FR" w:eastAsia="en-GB"/>
              </w:rPr>
            </w:pPr>
            <w:r>
              <w:rPr>
                <w:rFonts w:asciiTheme="minorHAnsi" w:eastAsia="Times New Roman" w:hAnsiTheme="minorHAnsi" w:cs="Arial"/>
                <w:b/>
                <w:bCs/>
                <w:sz w:val="20"/>
                <w:szCs w:val="20"/>
                <w:lang w:eastAsia="en-GB"/>
              </w:rPr>
              <w:t>3,672</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2CD176C" w14:textId="36DDE5FA" w:rsidR="00C131B7" w:rsidRPr="00C131B7" w:rsidRDefault="00C131B7" w:rsidP="00C131B7">
            <w:pPr>
              <w:jc w:val="right"/>
              <w:rPr>
                <w:rFonts w:asciiTheme="minorHAnsi" w:eastAsia="Times New Roman" w:hAnsiTheme="minorHAnsi" w:cs="Arial"/>
                <w:b/>
                <w:bCs/>
                <w:sz w:val="20"/>
                <w:szCs w:val="20"/>
                <w:lang w:val="fr-FR" w:eastAsia="en-GB"/>
              </w:rPr>
            </w:pPr>
            <w:r>
              <w:rPr>
                <w:rFonts w:asciiTheme="minorHAnsi" w:eastAsia="Times New Roman" w:hAnsiTheme="minorHAnsi" w:cs="Arial"/>
                <w:b/>
                <w:bCs/>
                <w:sz w:val="20"/>
                <w:szCs w:val="20"/>
                <w:lang w:eastAsia="en-GB"/>
              </w:rPr>
              <w:t>3,707</w:t>
            </w:r>
          </w:p>
        </w:tc>
      </w:tr>
    </w:tbl>
    <w:p w14:paraId="40122492" w14:textId="77777777" w:rsidR="0072250A" w:rsidRPr="00814222" w:rsidRDefault="0072250A" w:rsidP="0072250A">
      <w:pPr>
        <w:rPr>
          <w:noProof/>
          <w:lang w:val="es-ES"/>
        </w:rPr>
      </w:pPr>
    </w:p>
    <w:p w14:paraId="1311CAD6" w14:textId="77777777" w:rsidR="0072250A" w:rsidRPr="00814222" w:rsidRDefault="0072250A" w:rsidP="008D1B62">
      <w:pPr>
        <w:autoSpaceDE w:val="0"/>
        <w:autoSpaceDN w:val="0"/>
        <w:adjustRightInd w:val="0"/>
        <w:rPr>
          <w:rFonts w:eastAsia="Times New Roman" w:cs="Arial"/>
          <w:noProof/>
          <w:sz w:val="20"/>
          <w:szCs w:val="20"/>
          <w:lang w:val="es-ES" w:eastAsia="en-GB"/>
        </w:rPr>
      </w:pPr>
      <w:r w:rsidRPr="00814222">
        <w:rPr>
          <w:rFonts w:eastAsia="Times New Roman" w:cs="Arial"/>
          <w:noProof/>
          <w:sz w:val="20"/>
          <w:szCs w:val="20"/>
          <w:lang w:val="es-ES" w:eastAsia="en-GB"/>
        </w:rPr>
        <w:t xml:space="preserve">Nota: </w:t>
      </w:r>
    </w:p>
    <w:p w14:paraId="2C9F2665" w14:textId="65A36C05" w:rsidR="0072250A" w:rsidRPr="00814222" w:rsidRDefault="0072250A" w:rsidP="008D1B62">
      <w:pPr>
        <w:autoSpaceDE w:val="0"/>
        <w:autoSpaceDN w:val="0"/>
        <w:adjustRightInd w:val="0"/>
        <w:ind w:left="0" w:firstLine="0"/>
        <w:rPr>
          <w:rFonts w:ascii="Tahoma" w:hAnsi="Tahoma" w:cs="Tahoma"/>
          <w:noProof/>
          <w:sz w:val="20"/>
          <w:szCs w:val="20"/>
          <w:lang w:val="es-ES"/>
        </w:rPr>
      </w:pPr>
      <w:r w:rsidRPr="00814222">
        <w:rPr>
          <w:rFonts w:eastAsia="Times New Roman" w:cs="Arial"/>
          <w:noProof/>
          <w:sz w:val="20"/>
          <w:szCs w:val="20"/>
          <w:lang w:val="es-ES" w:eastAsia="en-GB"/>
        </w:rPr>
        <w:t>Se indican el número de empleados en 2022 y los puestos que ocupan a modo de referencia. Los costos presupuestados y asignados a las partidas presupuestarias se basan en los puestos actuales financiados con cargo al presupuesto básico. Los equipos se refieren a la categorización de los gastos según figura en el Anexo</w:t>
      </w:r>
      <w:r w:rsidR="006B64B9">
        <w:rPr>
          <w:rFonts w:eastAsia="Times New Roman" w:cs="Arial"/>
          <w:noProof/>
          <w:sz w:val="20"/>
          <w:szCs w:val="20"/>
          <w:lang w:val="es-ES" w:eastAsia="en-GB"/>
        </w:rPr>
        <w:t> </w:t>
      </w:r>
      <w:bookmarkStart w:id="1" w:name="_GoBack"/>
      <w:bookmarkEnd w:id="1"/>
      <w:r w:rsidRPr="00814222">
        <w:rPr>
          <w:rFonts w:eastAsia="Times New Roman" w:cs="Arial"/>
          <w:noProof/>
          <w:sz w:val="20"/>
          <w:szCs w:val="20"/>
          <w:lang w:val="es-ES" w:eastAsia="en-GB"/>
        </w:rPr>
        <w:t>1</w:t>
      </w:r>
      <w:r w:rsidRPr="00814222">
        <w:rPr>
          <w:noProof/>
          <w:sz w:val="20"/>
          <w:szCs w:val="20"/>
          <w:lang w:val="es-ES"/>
        </w:rPr>
        <w:t xml:space="preserve">. </w:t>
      </w:r>
    </w:p>
    <w:p w14:paraId="7090C26F" w14:textId="77777777" w:rsidR="0072250A" w:rsidRPr="00814222" w:rsidRDefault="0072250A" w:rsidP="008D1B62">
      <w:pPr>
        <w:rPr>
          <w:rFonts w:eastAsia="Times New Roman" w:cs="Arial"/>
          <w:noProof/>
          <w:sz w:val="20"/>
          <w:szCs w:val="20"/>
          <w:lang w:val="es-ES" w:eastAsia="en-GB"/>
        </w:rPr>
      </w:pPr>
    </w:p>
    <w:p w14:paraId="7C80230B" w14:textId="30181241" w:rsidR="0072250A" w:rsidRPr="00814222" w:rsidRDefault="0072250A" w:rsidP="008D1B62">
      <w:pPr>
        <w:autoSpaceDE w:val="0"/>
        <w:autoSpaceDN w:val="0"/>
        <w:adjustRightInd w:val="0"/>
        <w:ind w:left="0" w:firstLine="0"/>
        <w:rPr>
          <w:rFonts w:eastAsia="Times New Roman" w:cs="Arial"/>
          <w:noProof/>
          <w:sz w:val="20"/>
          <w:szCs w:val="20"/>
          <w:lang w:val="es-ES" w:eastAsia="en-GB"/>
        </w:rPr>
      </w:pPr>
      <w:r w:rsidRPr="00814222">
        <w:rPr>
          <w:rFonts w:eastAsia="Times New Roman" w:cs="Arial"/>
          <w:noProof/>
          <w:sz w:val="20"/>
          <w:szCs w:val="20"/>
          <w:lang w:val="es-ES" w:eastAsia="en-GB"/>
        </w:rPr>
        <w:t>Niveles correspondientes a la política y las directrices de la UICN en materia de RR.HH. y la clasificación de lo</w:t>
      </w:r>
      <w:r w:rsidR="008D1B62">
        <w:rPr>
          <w:rFonts w:eastAsia="Times New Roman" w:cs="Arial"/>
          <w:noProof/>
          <w:sz w:val="20"/>
          <w:szCs w:val="20"/>
          <w:lang w:val="es-ES" w:eastAsia="en-GB"/>
        </w:rPr>
        <w:t xml:space="preserve">s </w:t>
      </w:r>
      <w:r w:rsidRPr="00814222">
        <w:rPr>
          <w:rFonts w:eastAsia="Times New Roman" w:cs="Arial"/>
          <w:noProof/>
          <w:sz w:val="20"/>
          <w:szCs w:val="20"/>
          <w:lang w:val="es-ES" w:eastAsia="en-GB"/>
        </w:rPr>
        <w:t xml:space="preserve">puestos de trabajo. </w:t>
      </w:r>
    </w:p>
    <w:p w14:paraId="5ACD4D9D" w14:textId="77777777" w:rsidR="0072250A" w:rsidRPr="00814222" w:rsidRDefault="0072250A" w:rsidP="008D1B62">
      <w:pPr>
        <w:autoSpaceDE w:val="0"/>
        <w:autoSpaceDN w:val="0"/>
        <w:adjustRightInd w:val="0"/>
        <w:ind w:left="0" w:firstLine="0"/>
        <w:rPr>
          <w:noProof/>
          <w:sz w:val="20"/>
          <w:lang w:val="es-ES"/>
        </w:rPr>
      </w:pPr>
      <w:r w:rsidRPr="00814222">
        <w:rPr>
          <w:rFonts w:eastAsia="Times New Roman" w:cs="Arial"/>
          <w:noProof/>
          <w:sz w:val="20"/>
          <w:szCs w:val="20"/>
          <w:lang w:val="es-ES" w:eastAsia="en-GB"/>
        </w:rPr>
        <w:t>S = Secretario/a General; M1-M2 = puestos superiores; P1-P2 = puestos profesionales; A1-A3 = puestos de apoyo.</w:t>
      </w:r>
    </w:p>
    <w:p w14:paraId="19663070" w14:textId="77777777" w:rsidR="00464F8A" w:rsidRPr="00814222" w:rsidRDefault="00464F8A" w:rsidP="00EA22B9">
      <w:pPr>
        <w:ind w:left="0" w:firstLine="0"/>
        <w:rPr>
          <w:noProof/>
          <w:lang w:val="es-ES"/>
        </w:rPr>
      </w:pPr>
    </w:p>
    <w:sectPr w:rsidR="00464F8A" w:rsidRPr="00814222" w:rsidSect="00C131B7">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68DC1" w14:textId="77777777" w:rsidR="00E02DE1" w:rsidRDefault="00E02DE1" w:rsidP="00DF2386">
      <w:r>
        <w:separator/>
      </w:r>
    </w:p>
  </w:endnote>
  <w:endnote w:type="continuationSeparator" w:id="0">
    <w:p w14:paraId="48C925EF" w14:textId="77777777" w:rsidR="00E02DE1" w:rsidRDefault="00E02DE1"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937ED" w14:textId="4BA3FB03" w:rsidR="00C131B7" w:rsidRPr="00C131B7" w:rsidRDefault="00C131B7" w:rsidP="00C131B7">
    <w:pPr>
      <w:pStyle w:val="Header"/>
      <w:rPr>
        <w:noProof/>
        <w:sz w:val="20"/>
        <w:szCs w:val="20"/>
      </w:rPr>
    </w:pPr>
    <w:r w:rsidRPr="00333314">
      <w:rPr>
        <w:sz w:val="20"/>
        <w:szCs w:val="20"/>
      </w:rPr>
      <w:t>SC59/2022 Doc.8.3</w:t>
    </w:r>
    <w:r w:rsidRPr="00333314">
      <w:rPr>
        <w:sz w:val="20"/>
        <w:szCs w:val="20"/>
      </w:rPr>
      <w:tab/>
    </w:r>
    <w:r w:rsidRPr="00333314">
      <w:rPr>
        <w:sz w:val="20"/>
        <w:szCs w:val="20"/>
      </w:rPr>
      <w:tab/>
    </w:r>
    <w:sdt>
      <w:sdtPr>
        <w:rPr>
          <w:sz w:val="20"/>
          <w:szCs w:val="20"/>
        </w:rPr>
        <w:id w:val="1267813536"/>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sidR="006B64B9">
          <w:rPr>
            <w:noProof/>
            <w:sz w:val="20"/>
            <w:szCs w:val="20"/>
          </w:rPr>
          <w:t>20</w:t>
        </w:r>
        <w:r w:rsidRPr="00333314">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67C6B" w14:textId="77777777" w:rsidR="00E02DE1" w:rsidRDefault="00E02DE1" w:rsidP="00DF2386">
      <w:r>
        <w:separator/>
      </w:r>
    </w:p>
  </w:footnote>
  <w:footnote w:type="continuationSeparator" w:id="0">
    <w:p w14:paraId="44570741" w14:textId="77777777" w:rsidR="00E02DE1" w:rsidRDefault="00E02DE1" w:rsidP="00DF2386">
      <w:r>
        <w:continuationSeparator/>
      </w:r>
    </w:p>
  </w:footnote>
  <w:footnote w:id="1">
    <w:p w14:paraId="41323E41" w14:textId="77777777" w:rsidR="00E02DE1" w:rsidRPr="00FF31FF" w:rsidRDefault="00E02DE1" w:rsidP="00FF31FF">
      <w:pPr>
        <w:pStyle w:val="FootnoteText"/>
        <w:ind w:left="0" w:firstLine="0"/>
        <w:rPr>
          <w:noProof/>
          <w:lang w:val="es-ES"/>
        </w:rPr>
      </w:pPr>
      <w:r w:rsidRPr="00FF31FF">
        <w:rPr>
          <w:rStyle w:val="FootnoteReference"/>
          <w:noProof/>
          <w:lang w:val="es-ES"/>
        </w:rPr>
        <w:footnoteRef/>
      </w:r>
      <w:r w:rsidRPr="00FF31FF">
        <w:rPr>
          <w:noProof/>
          <w:lang w:val="es-ES"/>
        </w:rPr>
        <w:t xml:space="preserve"> Los salarios y otras prestaciones laborales se presentan conjuntamente, con arreglo a la Decisión SC59-27. </w:t>
      </w:r>
    </w:p>
  </w:footnote>
  <w:footnote w:id="2">
    <w:p w14:paraId="3F8B18A8" w14:textId="77777777" w:rsidR="00E02DE1" w:rsidRPr="00FF31FF" w:rsidRDefault="00E02DE1" w:rsidP="00FF31FF">
      <w:pPr>
        <w:pStyle w:val="FootnoteText"/>
        <w:ind w:left="0" w:firstLine="0"/>
        <w:rPr>
          <w:noProof/>
          <w:lang w:val="es-ES"/>
        </w:rPr>
      </w:pPr>
      <w:r w:rsidRPr="00FF31FF">
        <w:rPr>
          <w:rStyle w:val="FootnoteReference"/>
          <w:noProof/>
          <w:lang w:val="es-ES"/>
        </w:rPr>
        <w:footnoteRef/>
      </w:r>
      <w:r w:rsidRPr="00FF31FF">
        <w:rPr>
          <w:noProof/>
          <w:lang w:val="es-ES"/>
        </w:rPr>
        <w:t xml:space="preserve"> Este párrafo se propone con respecto al escenario presupuestario A y tiene el mismo enfoque que el párrafo 15 de la Resolución XIII.2.</w:t>
      </w:r>
    </w:p>
  </w:footnote>
  <w:footnote w:id="3">
    <w:p w14:paraId="304255C2" w14:textId="070A7623" w:rsidR="00E02DE1" w:rsidRPr="00FF31FF" w:rsidRDefault="00E02DE1" w:rsidP="00FF31FF">
      <w:pPr>
        <w:pStyle w:val="FootnoteText"/>
        <w:ind w:left="0" w:firstLine="0"/>
        <w:rPr>
          <w:lang w:val="fr-FR"/>
        </w:rPr>
      </w:pPr>
      <w:r w:rsidRPr="00FF31FF">
        <w:rPr>
          <w:rStyle w:val="FootnoteReference"/>
        </w:rPr>
        <w:footnoteRef/>
      </w:r>
      <w:r w:rsidRPr="00FF31FF">
        <w:rPr>
          <w:lang w:val="fr-FR"/>
        </w:rPr>
        <w:t xml:space="preserve"> La tabla en el resolución definitiva será coherente con las adoptadas en años anteriores e incluiría solo los totales de las categorías principales.</w:t>
      </w:r>
    </w:p>
  </w:footnote>
  <w:footnote w:id="4">
    <w:p w14:paraId="56F0D268" w14:textId="5768C5C6" w:rsidR="00E02DE1" w:rsidRPr="00FF31FF" w:rsidRDefault="00E02DE1" w:rsidP="00FF31FF">
      <w:pPr>
        <w:pStyle w:val="FootnoteText"/>
        <w:ind w:left="0" w:firstLine="0"/>
        <w:rPr>
          <w:lang w:val="fr-FR"/>
        </w:rPr>
      </w:pPr>
      <w:r w:rsidRPr="00FF31FF">
        <w:rPr>
          <w:rStyle w:val="FootnoteReference"/>
        </w:rPr>
        <w:footnoteRef/>
      </w:r>
      <w:r w:rsidRPr="00FF31FF">
        <w:rPr>
          <w:lang w:val="fr-FR"/>
        </w:rPr>
        <w:t xml:space="preserve"> </w:t>
      </w:r>
      <w:r w:rsidRPr="00FF31FF">
        <w:rPr>
          <w:rFonts w:cs="Calibri"/>
          <w:color w:val="000000"/>
          <w:lang w:val="es-ES_tradnl"/>
        </w:rPr>
        <w:t>El cálculo aproximado de los cambios en las contribuciones anuales se incluirá en el proyecto de resolución que se presentará a la COP14, basado en los escenarios aprobados por la reunión SC59/2022</w:t>
      </w:r>
      <w:r w:rsidR="00FF31FF">
        <w:rPr>
          <w:rFonts w:cs="Calibri"/>
          <w:color w:val="000000"/>
          <w:lang w:val="es-ES_trad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24B276D8"/>
    <w:multiLevelType w:val="hybridMultilevel"/>
    <w:tmpl w:val="3544D272"/>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2F4"/>
    <w:rsid w:val="00006F21"/>
    <w:rsid w:val="0001102A"/>
    <w:rsid w:val="0001167E"/>
    <w:rsid w:val="00012800"/>
    <w:rsid w:val="00013224"/>
    <w:rsid w:val="000133D1"/>
    <w:rsid w:val="00014168"/>
    <w:rsid w:val="0001564A"/>
    <w:rsid w:val="00017A16"/>
    <w:rsid w:val="00024026"/>
    <w:rsid w:val="000260B4"/>
    <w:rsid w:val="00026E09"/>
    <w:rsid w:val="000376CE"/>
    <w:rsid w:val="00037745"/>
    <w:rsid w:val="00037CE0"/>
    <w:rsid w:val="0004295A"/>
    <w:rsid w:val="000467E7"/>
    <w:rsid w:val="000519D4"/>
    <w:rsid w:val="0005215D"/>
    <w:rsid w:val="00053929"/>
    <w:rsid w:val="00074DE8"/>
    <w:rsid w:val="00080177"/>
    <w:rsid w:val="0008391B"/>
    <w:rsid w:val="000930D3"/>
    <w:rsid w:val="000937A7"/>
    <w:rsid w:val="0009413F"/>
    <w:rsid w:val="00096371"/>
    <w:rsid w:val="000A0B90"/>
    <w:rsid w:val="000A192A"/>
    <w:rsid w:val="000A3E3E"/>
    <w:rsid w:val="000A3F5A"/>
    <w:rsid w:val="000A5278"/>
    <w:rsid w:val="000A7AEC"/>
    <w:rsid w:val="000B02D3"/>
    <w:rsid w:val="000C2489"/>
    <w:rsid w:val="000C71A7"/>
    <w:rsid w:val="000D039A"/>
    <w:rsid w:val="000D311B"/>
    <w:rsid w:val="000D5C76"/>
    <w:rsid w:val="000E2FA0"/>
    <w:rsid w:val="000E47E9"/>
    <w:rsid w:val="000E603E"/>
    <w:rsid w:val="000F0897"/>
    <w:rsid w:val="000F2F4D"/>
    <w:rsid w:val="00101117"/>
    <w:rsid w:val="00102D6A"/>
    <w:rsid w:val="0010393E"/>
    <w:rsid w:val="00104F7B"/>
    <w:rsid w:val="00105E0C"/>
    <w:rsid w:val="00106197"/>
    <w:rsid w:val="00112D3E"/>
    <w:rsid w:val="00112F3F"/>
    <w:rsid w:val="00117167"/>
    <w:rsid w:val="0011732C"/>
    <w:rsid w:val="0012096C"/>
    <w:rsid w:val="00124BD7"/>
    <w:rsid w:val="00127828"/>
    <w:rsid w:val="00140D08"/>
    <w:rsid w:val="00143B9F"/>
    <w:rsid w:val="00145BDD"/>
    <w:rsid w:val="00150BB8"/>
    <w:rsid w:val="00161BDA"/>
    <w:rsid w:val="00167E31"/>
    <w:rsid w:val="0017123E"/>
    <w:rsid w:val="00171618"/>
    <w:rsid w:val="001776BD"/>
    <w:rsid w:val="001819B1"/>
    <w:rsid w:val="0018239F"/>
    <w:rsid w:val="00183021"/>
    <w:rsid w:val="0018623B"/>
    <w:rsid w:val="00191794"/>
    <w:rsid w:val="001936D6"/>
    <w:rsid w:val="00194B1B"/>
    <w:rsid w:val="00197946"/>
    <w:rsid w:val="001A2D10"/>
    <w:rsid w:val="001A386F"/>
    <w:rsid w:val="001A770E"/>
    <w:rsid w:val="001B1561"/>
    <w:rsid w:val="001B1F55"/>
    <w:rsid w:val="001B2635"/>
    <w:rsid w:val="001B773B"/>
    <w:rsid w:val="001B79AE"/>
    <w:rsid w:val="001C22F2"/>
    <w:rsid w:val="001C3A25"/>
    <w:rsid w:val="001C5E41"/>
    <w:rsid w:val="001C77BC"/>
    <w:rsid w:val="001D0FDF"/>
    <w:rsid w:val="001D48BB"/>
    <w:rsid w:val="001D5FC6"/>
    <w:rsid w:val="001D684B"/>
    <w:rsid w:val="001E00E3"/>
    <w:rsid w:val="001E12A2"/>
    <w:rsid w:val="001E22DA"/>
    <w:rsid w:val="001E5FD0"/>
    <w:rsid w:val="001F0F83"/>
    <w:rsid w:val="001F2349"/>
    <w:rsid w:val="001F3C9F"/>
    <w:rsid w:val="001F55EB"/>
    <w:rsid w:val="001F5C62"/>
    <w:rsid w:val="002005D2"/>
    <w:rsid w:val="0020298B"/>
    <w:rsid w:val="00203003"/>
    <w:rsid w:val="002035D8"/>
    <w:rsid w:val="00205F91"/>
    <w:rsid w:val="00206111"/>
    <w:rsid w:val="00206A76"/>
    <w:rsid w:val="00206AAB"/>
    <w:rsid w:val="00212850"/>
    <w:rsid w:val="0021303C"/>
    <w:rsid w:val="002137E0"/>
    <w:rsid w:val="00214C88"/>
    <w:rsid w:val="00223428"/>
    <w:rsid w:val="002249C2"/>
    <w:rsid w:val="00227712"/>
    <w:rsid w:val="00227C59"/>
    <w:rsid w:val="00232904"/>
    <w:rsid w:val="00233EC7"/>
    <w:rsid w:val="00235147"/>
    <w:rsid w:val="0023550A"/>
    <w:rsid w:val="00236D86"/>
    <w:rsid w:val="00240FEA"/>
    <w:rsid w:val="00241822"/>
    <w:rsid w:val="0024521E"/>
    <w:rsid w:val="002517BC"/>
    <w:rsid w:val="00267D03"/>
    <w:rsid w:val="00271A5C"/>
    <w:rsid w:val="002741AC"/>
    <w:rsid w:val="00275F13"/>
    <w:rsid w:val="00277A87"/>
    <w:rsid w:val="002819C0"/>
    <w:rsid w:val="00281B7E"/>
    <w:rsid w:val="00281C69"/>
    <w:rsid w:val="002822F8"/>
    <w:rsid w:val="002845BD"/>
    <w:rsid w:val="00285571"/>
    <w:rsid w:val="0029247A"/>
    <w:rsid w:val="00295556"/>
    <w:rsid w:val="002957DC"/>
    <w:rsid w:val="00295BB5"/>
    <w:rsid w:val="002A34CC"/>
    <w:rsid w:val="002A5A4D"/>
    <w:rsid w:val="002B0CEF"/>
    <w:rsid w:val="002B4262"/>
    <w:rsid w:val="002B7088"/>
    <w:rsid w:val="002C3209"/>
    <w:rsid w:val="002D28C5"/>
    <w:rsid w:val="002D5A4D"/>
    <w:rsid w:val="002E03CF"/>
    <w:rsid w:val="002E22AF"/>
    <w:rsid w:val="002E533D"/>
    <w:rsid w:val="002E660E"/>
    <w:rsid w:val="002E69E1"/>
    <w:rsid w:val="002E70AF"/>
    <w:rsid w:val="002F484A"/>
    <w:rsid w:val="002F7900"/>
    <w:rsid w:val="003002AC"/>
    <w:rsid w:val="00300837"/>
    <w:rsid w:val="00302B21"/>
    <w:rsid w:val="003107B5"/>
    <w:rsid w:val="00322C05"/>
    <w:rsid w:val="00324398"/>
    <w:rsid w:val="00331485"/>
    <w:rsid w:val="00333E1C"/>
    <w:rsid w:val="00335704"/>
    <w:rsid w:val="003441D3"/>
    <w:rsid w:val="0034689E"/>
    <w:rsid w:val="00352486"/>
    <w:rsid w:val="0035377D"/>
    <w:rsid w:val="00355F75"/>
    <w:rsid w:val="00356F1A"/>
    <w:rsid w:val="00357919"/>
    <w:rsid w:val="003616BC"/>
    <w:rsid w:val="00363957"/>
    <w:rsid w:val="00366633"/>
    <w:rsid w:val="0037514F"/>
    <w:rsid w:val="00375CB6"/>
    <w:rsid w:val="00377ACF"/>
    <w:rsid w:val="00382F90"/>
    <w:rsid w:val="00384FC3"/>
    <w:rsid w:val="003932B5"/>
    <w:rsid w:val="00396932"/>
    <w:rsid w:val="003969AD"/>
    <w:rsid w:val="003A3804"/>
    <w:rsid w:val="003A48FF"/>
    <w:rsid w:val="003A52BE"/>
    <w:rsid w:val="003A5809"/>
    <w:rsid w:val="003A5866"/>
    <w:rsid w:val="003A62C2"/>
    <w:rsid w:val="003A6E9F"/>
    <w:rsid w:val="003A7B77"/>
    <w:rsid w:val="003B7342"/>
    <w:rsid w:val="003C0C53"/>
    <w:rsid w:val="003C0DCD"/>
    <w:rsid w:val="003C1EA0"/>
    <w:rsid w:val="003D01D9"/>
    <w:rsid w:val="003D10BB"/>
    <w:rsid w:val="003D1E71"/>
    <w:rsid w:val="003D4537"/>
    <w:rsid w:val="003D4CD6"/>
    <w:rsid w:val="003D4E02"/>
    <w:rsid w:val="003E634B"/>
    <w:rsid w:val="003E7D6C"/>
    <w:rsid w:val="003F5763"/>
    <w:rsid w:val="003F7105"/>
    <w:rsid w:val="0040199D"/>
    <w:rsid w:val="004029A2"/>
    <w:rsid w:val="00411C7C"/>
    <w:rsid w:val="0041311F"/>
    <w:rsid w:val="004149AD"/>
    <w:rsid w:val="00415BC1"/>
    <w:rsid w:val="00420E85"/>
    <w:rsid w:val="004228C7"/>
    <w:rsid w:val="00422BD2"/>
    <w:rsid w:val="00426DD9"/>
    <w:rsid w:val="0042798B"/>
    <w:rsid w:val="004333C5"/>
    <w:rsid w:val="00433DC7"/>
    <w:rsid w:val="00434913"/>
    <w:rsid w:val="00436E55"/>
    <w:rsid w:val="004474F8"/>
    <w:rsid w:val="0045022B"/>
    <w:rsid w:val="00452DF8"/>
    <w:rsid w:val="00454034"/>
    <w:rsid w:val="0046217F"/>
    <w:rsid w:val="00464F8A"/>
    <w:rsid w:val="0046771B"/>
    <w:rsid w:val="00467A8D"/>
    <w:rsid w:val="004717A4"/>
    <w:rsid w:val="00473F28"/>
    <w:rsid w:val="00477550"/>
    <w:rsid w:val="0048153B"/>
    <w:rsid w:val="004844A8"/>
    <w:rsid w:val="004853F2"/>
    <w:rsid w:val="0048682A"/>
    <w:rsid w:val="00490943"/>
    <w:rsid w:val="00491DF5"/>
    <w:rsid w:val="00495C5D"/>
    <w:rsid w:val="004962BC"/>
    <w:rsid w:val="00496803"/>
    <w:rsid w:val="0049707C"/>
    <w:rsid w:val="004A01E5"/>
    <w:rsid w:val="004A0CCC"/>
    <w:rsid w:val="004A172D"/>
    <w:rsid w:val="004A6343"/>
    <w:rsid w:val="004A7294"/>
    <w:rsid w:val="004B08CD"/>
    <w:rsid w:val="004B1B80"/>
    <w:rsid w:val="004B2272"/>
    <w:rsid w:val="004B4108"/>
    <w:rsid w:val="004B420F"/>
    <w:rsid w:val="004B6688"/>
    <w:rsid w:val="004C5B2F"/>
    <w:rsid w:val="004D0D3D"/>
    <w:rsid w:val="004D475A"/>
    <w:rsid w:val="004D48D2"/>
    <w:rsid w:val="004D7DE3"/>
    <w:rsid w:val="004E26E4"/>
    <w:rsid w:val="004E4C83"/>
    <w:rsid w:val="004F0D16"/>
    <w:rsid w:val="004F18A1"/>
    <w:rsid w:val="004F1CDC"/>
    <w:rsid w:val="004F20C4"/>
    <w:rsid w:val="004F38CE"/>
    <w:rsid w:val="004F5A18"/>
    <w:rsid w:val="00502A28"/>
    <w:rsid w:val="0050463E"/>
    <w:rsid w:val="005054FD"/>
    <w:rsid w:val="00512AA7"/>
    <w:rsid w:val="00521308"/>
    <w:rsid w:val="00522533"/>
    <w:rsid w:val="00522B37"/>
    <w:rsid w:val="005244A4"/>
    <w:rsid w:val="00527783"/>
    <w:rsid w:val="0053038D"/>
    <w:rsid w:val="0053257A"/>
    <w:rsid w:val="0054046C"/>
    <w:rsid w:val="00545FF3"/>
    <w:rsid w:val="005464D2"/>
    <w:rsid w:val="00553DEA"/>
    <w:rsid w:val="00554DB1"/>
    <w:rsid w:val="005814B5"/>
    <w:rsid w:val="00583279"/>
    <w:rsid w:val="005863D6"/>
    <w:rsid w:val="00586541"/>
    <w:rsid w:val="00591622"/>
    <w:rsid w:val="005A6559"/>
    <w:rsid w:val="005A6A00"/>
    <w:rsid w:val="005B02DC"/>
    <w:rsid w:val="005B0E16"/>
    <w:rsid w:val="005B47C2"/>
    <w:rsid w:val="005C2ADF"/>
    <w:rsid w:val="005D29BE"/>
    <w:rsid w:val="005D35BD"/>
    <w:rsid w:val="005D3E9D"/>
    <w:rsid w:val="005D57D6"/>
    <w:rsid w:val="005D6FBF"/>
    <w:rsid w:val="005E4BF4"/>
    <w:rsid w:val="005E4E6C"/>
    <w:rsid w:val="005E59C2"/>
    <w:rsid w:val="005F0052"/>
    <w:rsid w:val="005F1D0B"/>
    <w:rsid w:val="005F1F89"/>
    <w:rsid w:val="005F3B7A"/>
    <w:rsid w:val="005F64E0"/>
    <w:rsid w:val="005F6AE1"/>
    <w:rsid w:val="00607AC7"/>
    <w:rsid w:val="00615DA7"/>
    <w:rsid w:val="00617276"/>
    <w:rsid w:val="006211E5"/>
    <w:rsid w:val="0062284A"/>
    <w:rsid w:val="00624C8F"/>
    <w:rsid w:val="006256D3"/>
    <w:rsid w:val="00627BB7"/>
    <w:rsid w:val="00635E05"/>
    <w:rsid w:val="00637C68"/>
    <w:rsid w:val="00641220"/>
    <w:rsid w:val="00643C10"/>
    <w:rsid w:val="00644A13"/>
    <w:rsid w:val="0065136E"/>
    <w:rsid w:val="00660A12"/>
    <w:rsid w:val="00664FF1"/>
    <w:rsid w:val="00670D71"/>
    <w:rsid w:val="00672D6E"/>
    <w:rsid w:val="00673291"/>
    <w:rsid w:val="00674248"/>
    <w:rsid w:val="00676D65"/>
    <w:rsid w:val="0068433D"/>
    <w:rsid w:val="00686DC0"/>
    <w:rsid w:val="00695F7A"/>
    <w:rsid w:val="00696039"/>
    <w:rsid w:val="006B4163"/>
    <w:rsid w:val="006B64B9"/>
    <w:rsid w:val="006B7BB7"/>
    <w:rsid w:val="006C05A5"/>
    <w:rsid w:val="006C1A08"/>
    <w:rsid w:val="006C1D07"/>
    <w:rsid w:val="006D3CBA"/>
    <w:rsid w:val="006D418B"/>
    <w:rsid w:val="006D6374"/>
    <w:rsid w:val="006E7605"/>
    <w:rsid w:val="006E7DCE"/>
    <w:rsid w:val="006F3E3D"/>
    <w:rsid w:val="006F6E6B"/>
    <w:rsid w:val="00701C8A"/>
    <w:rsid w:val="0070360E"/>
    <w:rsid w:val="007050FF"/>
    <w:rsid w:val="007061A4"/>
    <w:rsid w:val="00717B75"/>
    <w:rsid w:val="007204E3"/>
    <w:rsid w:val="0072250A"/>
    <w:rsid w:val="0072349E"/>
    <w:rsid w:val="007236B4"/>
    <w:rsid w:val="00724D41"/>
    <w:rsid w:val="00730BC4"/>
    <w:rsid w:val="00730CBE"/>
    <w:rsid w:val="007369F0"/>
    <w:rsid w:val="00737F84"/>
    <w:rsid w:val="0074102A"/>
    <w:rsid w:val="00745918"/>
    <w:rsid w:val="00752764"/>
    <w:rsid w:val="00755495"/>
    <w:rsid w:val="00760117"/>
    <w:rsid w:val="007629C8"/>
    <w:rsid w:val="00764209"/>
    <w:rsid w:val="00766962"/>
    <w:rsid w:val="00775287"/>
    <w:rsid w:val="00776105"/>
    <w:rsid w:val="0077732B"/>
    <w:rsid w:val="0078029B"/>
    <w:rsid w:val="00781BEE"/>
    <w:rsid w:val="00783433"/>
    <w:rsid w:val="00784A28"/>
    <w:rsid w:val="007863D1"/>
    <w:rsid w:val="00786D6D"/>
    <w:rsid w:val="007936EA"/>
    <w:rsid w:val="0079408E"/>
    <w:rsid w:val="007A224B"/>
    <w:rsid w:val="007A653C"/>
    <w:rsid w:val="007B3669"/>
    <w:rsid w:val="007B4D3F"/>
    <w:rsid w:val="007B7B47"/>
    <w:rsid w:val="007C267F"/>
    <w:rsid w:val="007D005B"/>
    <w:rsid w:val="007D064F"/>
    <w:rsid w:val="007D33F4"/>
    <w:rsid w:val="007E73AA"/>
    <w:rsid w:val="007F0899"/>
    <w:rsid w:val="007F3ABE"/>
    <w:rsid w:val="007F59B4"/>
    <w:rsid w:val="008023CD"/>
    <w:rsid w:val="00803C20"/>
    <w:rsid w:val="00806CE0"/>
    <w:rsid w:val="00806D52"/>
    <w:rsid w:val="00806FDA"/>
    <w:rsid w:val="00812249"/>
    <w:rsid w:val="00812F1D"/>
    <w:rsid w:val="00814222"/>
    <w:rsid w:val="00814323"/>
    <w:rsid w:val="00814B59"/>
    <w:rsid w:val="008155A3"/>
    <w:rsid w:val="00821F47"/>
    <w:rsid w:val="00827551"/>
    <w:rsid w:val="008328E9"/>
    <w:rsid w:val="0083353F"/>
    <w:rsid w:val="00835BCB"/>
    <w:rsid w:val="00835CDC"/>
    <w:rsid w:val="008416FD"/>
    <w:rsid w:val="008445F1"/>
    <w:rsid w:val="008446C3"/>
    <w:rsid w:val="00847429"/>
    <w:rsid w:val="00850B09"/>
    <w:rsid w:val="008514F2"/>
    <w:rsid w:val="008559A3"/>
    <w:rsid w:val="00862C99"/>
    <w:rsid w:val="00863B9D"/>
    <w:rsid w:val="00863BE6"/>
    <w:rsid w:val="00865285"/>
    <w:rsid w:val="008775BC"/>
    <w:rsid w:val="00882F1B"/>
    <w:rsid w:val="008926BA"/>
    <w:rsid w:val="0089648B"/>
    <w:rsid w:val="00896FD6"/>
    <w:rsid w:val="008A219C"/>
    <w:rsid w:val="008A70CE"/>
    <w:rsid w:val="008B313D"/>
    <w:rsid w:val="008C0B07"/>
    <w:rsid w:val="008C25E4"/>
    <w:rsid w:val="008C2DAE"/>
    <w:rsid w:val="008C3149"/>
    <w:rsid w:val="008C3FB1"/>
    <w:rsid w:val="008C6E36"/>
    <w:rsid w:val="008C6E9B"/>
    <w:rsid w:val="008C7187"/>
    <w:rsid w:val="008D1B62"/>
    <w:rsid w:val="008D713A"/>
    <w:rsid w:val="008D7727"/>
    <w:rsid w:val="008E620B"/>
    <w:rsid w:val="008F43D2"/>
    <w:rsid w:val="008F481B"/>
    <w:rsid w:val="008F7E80"/>
    <w:rsid w:val="009015A7"/>
    <w:rsid w:val="009041D7"/>
    <w:rsid w:val="00904F2F"/>
    <w:rsid w:val="009058AE"/>
    <w:rsid w:val="009059A9"/>
    <w:rsid w:val="009102AE"/>
    <w:rsid w:val="00913CF1"/>
    <w:rsid w:val="00914232"/>
    <w:rsid w:val="0091521F"/>
    <w:rsid w:val="009217EC"/>
    <w:rsid w:val="0092515E"/>
    <w:rsid w:val="0093047A"/>
    <w:rsid w:val="00930AAE"/>
    <w:rsid w:val="009315CC"/>
    <w:rsid w:val="00933D8C"/>
    <w:rsid w:val="0094052C"/>
    <w:rsid w:val="00942FBD"/>
    <w:rsid w:val="00943A84"/>
    <w:rsid w:val="0094770B"/>
    <w:rsid w:val="00947D4A"/>
    <w:rsid w:val="00951D88"/>
    <w:rsid w:val="009520FB"/>
    <w:rsid w:val="0095712D"/>
    <w:rsid w:val="00957260"/>
    <w:rsid w:val="00965BFF"/>
    <w:rsid w:val="00970C63"/>
    <w:rsid w:val="00971CD2"/>
    <w:rsid w:val="00972C4F"/>
    <w:rsid w:val="00977A64"/>
    <w:rsid w:val="00977E6E"/>
    <w:rsid w:val="00981341"/>
    <w:rsid w:val="00994023"/>
    <w:rsid w:val="00994B64"/>
    <w:rsid w:val="009A141C"/>
    <w:rsid w:val="009A2A51"/>
    <w:rsid w:val="009A515B"/>
    <w:rsid w:val="009B2267"/>
    <w:rsid w:val="009B2FCA"/>
    <w:rsid w:val="009B4DDB"/>
    <w:rsid w:val="009C1017"/>
    <w:rsid w:val="009C42FF"/>
    <w:rsid w:val="009C573B"/>
    <w:rsid w:val="009D5B72"/>
    <w:rsid w:val="009E0AE8"/>
    <w:rsid w:val="009E495F"/>
    <w:rsid w:val="009E5374"/>
    <w:rsid w:val="009F1E3B"/>
    <w:rsid w:val="009F345D"/>
    <w:rsid w:val="009F7D89"/>
    <w:rsid w:val="00A108EA"/>
    <w:rsid w:val="00A11BA8"/>
    <w:rsid w:val="00A13218"/>
    <w:rsid w:val="00A134B7"/>
    <w:rsid w:val="00A217FF"/>
    <w:rsid w:val="00A227A3"/>
    <w:rsid w:val="00A22E7B"/>
    <w:rsid w:val="00A26E01"/>
    <w:rsid w:val="00A278C9"/>
    <w:rsid w:val="00A433E8"/>
    <w:rsid w:val="00A550B1"/>
    <w:rsid w:val="00A60635"/>
    <w:rsid w:val="00A60B73"/>
    <w:rsid w:val="00A616A2"/>
    <w:rsid w:val="00A61FC0"/>
    <w:rsid w:val="00A62ABF"/>
    <w:rsid w:val="00A645B4"/>
    <w:rsid w:val="00A6664E"/>
    <w:rsid w:val="00A66727"/>
    <w:rsid w:val="00A67F2E"/>
    <w:rsid w:val="00A7261F"/>
    <w:rsid w:val="00A75E4E"/>
    <w:rsid w:val="00A768EA"/>
    <w:rsid w:val="00A80080"/>
    <w:rsid w:val="00A81CC0"/>
    <w:rsid w:val="00A87DBC"/>
    <w:rsid w:val="00A90275"/>
    <w:rsid w:val="00A91565"/>
    <w:rsid w:val="00AA063C"/>
    <w:rsid w:val="00AA1858"/>
    <w:rsid w:val="00AA24E2"/>
    <w:rsid w:val="00AA6EAE"/>
    <w:rsid w:val="00AB3004"/>
    <w:rsid w:val="00AB4951"/>
    <w:rsid w:val="00AC2E85"/>
    <w:rsid w:val="00AC7C3A"/>
    <w:rsid w:val="00AD65E1"/>
    <w:rsid w:val="00AE45E0"/>
    <w:rsid w:val="00AE4EEA"/>
    <w:rsid w:val="00AE7A58"/>
    <w:rsid w:val="00AF2796"/>
    <w:rsid w:val="00AF3FA8"/>
    <w:rsid w:val="00B02FB3"/>
    <w:rsid w:val="00B037AE"/>
    <w:rsid w:val="00B04521"/>
    <w:rsid w:val="00B25283"/>
    <w:rsid w:val="00B315A0"/>
    <w:rsid w:val="00B32E40"/>
    <w:rsid w:val="00B34A18"/>
    <w:rsid w:val="00B36736"/>
    <w:rsid w:val="00B41A85"/>
    <w:rsid w:val="00B468CE"/>
    <w:rsid w:val="00B52CCE"/>
    <w:rsid w:val="00B54F35"/>
    <w:rsid w:val="00B579CB"/>
    <w:rsid w:val="00B623B2"/>
    <w:rsid w:val="00B626CD"/>
    <w:rsid w:val="00B63637"/>
    <w:rsid w:val="00B70083"/>
    <w:rsid w:val="00B7282A"/>
    <w:rsid w:val="00B73D0E"/>
    <w:rsid w:val="00B8058B"/>
    <w:rsid w:val="00B83B28"/>
    <w:rsid w:val="00B87A76"/>
    <w:rsid w:val="00B87D61"/>
    <w:rsid w:val="00B91D14"/>
    <w:rsid w:val="00B925C8"/>
    <w:rsid w:val="00B9303A"/>
    <w:rsid w:val="00B961C4"/>
    <w:rsid w:val="00BA3F66"/>
    <w:rsid w:val="00BB28F6"/>
    <w:rsid w:val="00BB3B4B"/>
    <w:rsid w:val="00BC0742"/>
    <w:rsid w:val="00BC2609"/>
    <w:rsid w:val="00BC26DD"/>
    <w:rsid w:val="00BC294C"/>
    <w:rsid w:val="00BC4468"/>
    <w:rsid w:val="00BD39A9"/>
    <w:rsid w:val="00BD4CE7"/>
    <w:rsid w:val="00BE5629"/>
    <w:rsid w:val="00BE66BA"/>
    <w:rsid w:val="00BE764D"/>
    <w:rsid w:val="00BF28C7"/>
    <w:rsid w:val="00BF5DD8"/>
    <w:rsid w:val="00BF73A0"/>
    <w:rsid w:val="00C002AE"/>
    <w:rsid w:val="00C025F8"/>
    <w:rsid w:val="00C03DD1"/>
    <w:rsid w:val="00C12DA1"/>
    <w:rsid w:val="00C13145"/>
    <w:rsid w:val="00C131B7"/>
    <w:rsid w:val="00C13A7C"/>
    <w:rsid w:val="00C13E62"/>
    <w:rsid w:val="00C16838"/>
    <w:rsid w:val="00C16975"/>
    <w:rsid w:val="00C16FCB"/>
    <w:rsid w:val="00C2135F"/>
    <w:rsid w:val="00C24936"/>
    <w:rsid w:val="00C31D49"/>
    <w:rsid w:val="00C34785"/>
    <w:rsid w:val="00C40DCC"/>
    <w:rsid w:val="00C4117F"/>
    <w:rsid w:val="00C527AA"/>
    <w:rsid w:val="00C61012"/>
    <w:rsid w:val="00C627A0"/>
    <w:rsid w:val="00C6757F"/>
    <w:rsid w:val="00C6766B"/>
    <w:rsid w:val="00C67C97"/>
    <w:rsid w:val="00C70EC0"/>
    <w:rsid w:val="00C7135A"/>
    <w:rsid w:val="00C72A9C"/>
    <w:rsid w:val="00C7587C"/>
    <w:rsid w:val="00C83176"/>
    <w:rsid w:val="00C83C4D"/>
    <w:rsid w:val="00C83F07"/>
    <w:rsid w:val="00C86091"/>
    <w:rsid w:val="00CA1CBE"/>
    <w:rsid w:val="00CA3EAA"/>
    <w:rsid w:val="00CA5A98"/>
    <w:rsid w:val="00CB2EC4"/>
    <w:rsid w:val="00CC23C3"/>
    <w:rsid w:val="00CD5DAF"/>
    <w:rsid w:val="00CD7225"/>
    <w:rsid w:val="00CE3E0B"/>
    <w:rsid w:val="00CE4746"/>
    <w:rsid w:val="00CE4F89"/>
    <w:rsid w:val="00CE7104"/>
    <w:rsid w:val="00CE750F"/>
    <w:rsid w:val="00CE778B"/>
    <w:rsid w:val="00CF1498"/>
    <w:rsid w:val="00CF4437"/>
    <w:rsid w:val="00CF6A1A"/>
    <w:rsid w:val="00D06197"/>
    <w:rsid w:val="00D07DDD"/>
    <w:rsid w:val="00D1039A"/>
    <w:rsid w:val="00D12474"/>
    <w:rsid w:val="00D1536F"/>
    <w:rsid w:val="00D15858"/>
    <w:rsid w:val="00D160CB"/>
    <w:rsid w:val="00D220C7"/>
    <w:rsid w:val="00D245A1"/>
    <w:rsid w:val="00D24CB3"/>
    <w:rsid w:val="00D270F1"/>
    <w:rsid w:val="00D33681"/>
    <w:rsid w:val="00D36152"/>
    <w:rsid w:val="00D3680D"/>
    <w:rsid w:val="00D41049"/>
    <w:rsid w:val="00D415E2"/>
    <w:rsid w:val="00D41F92"/>
    <w:rsid w:val="00D42055"/>
    <w:rsid w:val="00D47119"/>
    <w:rsid w:val="00D522EF"/>
    <w:rsid w:val="00D53015"/>
    <w:rsid w:val="00D5668E"/>
    <w:rsid w:val="00D57BC7"/>
    <w:rsid w:val="00D60B3D"/>
    <w:rsid w:val="00D6132D"/>
    <w:rsid w:val="00D647C3"/>
    <w:rsid w:val="00D6650E"/>
    <w:rsid w:val="00D7314D"/>
    <w:rsid w:val="00D77809"/>
    <w:rsid w:val="00D8263D"/>
    <w:rsid w:val="00D83D91"/>
    <w:rsid w:val="00D86F01"/>
    <w:rsid w:val="00D92709"/>
    <w:rsid w:val="00D9337B"/>
    <w:rsid w:val="00D9386E"/>
    <w:rsid w:val="00D9633A"/>
    <w:rsid w:val="00DA6C88"/>
    <w:rsid w:val="00DA7027"/>
    <w:rsid w:val="00DA71FC"/>
    <w:rsid w:val="00DB30B4"/>
    <w:rsid w:val="00DB4C0C"/>
    <w:rsid w:val="00DC0EBF"/>
    <w:rsid w:val="00DC18B2"/>
    <w:rsid w:val="00DC395A"/>
    <w:rsid w:val="00DC3D93"/>
    <w:rsid w:val="00DD4C66"/>
    <w:rsid w:val="00DD4FC4"/>
    <w:rsid w:val="00DF1BDE"/>
    <w:rsid w:val="00DF219B"/>
    <w:rsid w:val="00DF2386"/>
    <w:rsid w:val="00DF7FE7"/>
    <w:rsid w:val="00E00E9F"/>
    <w:rsid w:val="00E02654"/>
    <w:rsid w:val="00E02D95"/>
    <w:rsid w:val="00E02DE1"/>
    <w:rsid w:val="00E05747"/>
    <w:rsid w:val="00E100B9"/>
    <w:rsid w:val="00E16CC7"/>
    <w:rsid w:val="00E17A64"/>
    <w:rsid w:val="00E17EE6"/>
    <w:rsid w:val="00E20094"/>
    <w:rsid w:val="00E3024A"/>
    <w:rsid w:val="00E43885"/>
    <w:rsid w:val="00E444FC"/>
    <w:rsid w:val="00E44F1E"/>
    <w:rsid w:val="00E46367"/>
    <w:rsid w:val="00E50224"/>
    <w:rsid w:val="00E559B0"/>
    <w:rsid w:val="00E57D9D"/>
    <w:rsid w:val="00E631A8"/>
    <w:rsid w:val="00E63F0B"/>
    <w:rsid w:val="00E642B6"/>
    <w:rsid w:val="00E745FC"/>
    <w:rsid w:val="00E75CA2"/>
    <w:rsid w:val="00E76632"/>
    <w:rsid w:val="00E77109"/>
    <w:rsid w:val="00E777F3"/>
    <w:rsid w:val="00E9040B"/>
    <w:rsid w:val="00E913BF"/>
    <w:rsid w:val="00E96B53"/>
    <w:rsid w:val="00EA22B9"/>
    <w:rsid w:val="00EA3318"/>
    <w:rsid w:val="00EA3A7F"/>
    <w:rsid w:val="00EA6B7A"/>
    <w:rsid w:val="00EB3CA7"/>
    <w:rsid w:val="00EC588F"/>
    <w:rsid w:val="00ED1012"/>
    <w:rsid w:val="00ED1CB9"/>
    <w:rsid w:val="00ED2630"/>
    <w:rsid w:val="00ED3AEB"/>
    <w:rsid w:val="00ED4036"/>
    <w:rsid w:val="00EE2107"/>
    <w:rsid w:val="00EE60AF"/>
    <w:rsid w:val="00EE7537"/>
    <w:rsid w:val="00EF42CE"/>
    <w:rsid w:val="00F078F1"/>
    <w:rsid w:val="00F126E5"/>
    <w:rsid w:val="00F12F74"/>
    <w:rsid w:val="00F136F5"/>
    <w:rsid w:val="00F14404"/>
    <w:rsid w:val="00F17C29"/>
    <w:rsid w:val="00F2372D"/>
    <w:rsid w:val="00F26C2E"/>
    <w:rsid w:val="00F32C70"/>
    <w:rsid w:val="00F32D03"/>
    <w:rsid w:val="00F336F0"/>
    <w:rsid w:val="00F344DE"/>
    <w:rsid w:val="00F52E89"/>
    <w:rsid w:val="00F56BB7"/>
    <w:rsid w:val="00F7138B"/>
    <w:rsid w:val="00F73E71"/>
    <w:rsid w:val="00F73EE2"/>
    <w:rsid w:val="00F776A9"/>
    <w:rsid w:val="00F847E5"/>
    <w:rsid w:val="00F92888"/>
    <w:rsid w:val="00F97D89"/>
    <w:rsid w:val="00F97E9B"/>
    <w:rsid w:val="00FB6EE7"/>
    <w:rsid w:val="00FB70D8"/>
    <w:rsid w:val="00FC42BB"/>
    <w:rsid w:val="00FC7A32"/>
    <w:rsid w:val="00FD27EB"/>
    <w:rsid w:val="00FD59B1"/>
    <w:rsid w:val="00FD5C6E"/>
    <w:rsid w:val="00FD639C"/>
    <w:rsid w:val="00FD692A"/>
    <w:rsid w:val="00FE188B"/>
    <w:rsid w:val="00FE49DA"/>
    <w:rsid w:val="00FF1C3F"/>
    <w:rsid w:val="00FF31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864FF"/>
  <w15:docId w15:val="{73BD5DDE-FF9D-42CD-9810-707A6D1A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styleId="DocumentMap">
    <w:name w:val="Document Map"/>
    <w:basedOn w:val="Normal"/>
    <w:link w:val="DocumentMapChar"/>
    <w:uiPriority w:val="99"/>
    <w:semiHidden/>
    <w:unhideWhenUsed/>
    <w:rsid w:val="0072250A"/>
    <w:rPr>
      <w:rFonts w:ascii="Lucida Grande" w:hAnsi="Lucida Grande"/>
      <w:sz w:val="24"/>
      <w:szCs w:val="24"/>
      <w:lang w:val="es-ES"/>
    </w:rPr>
  </w:style>
  <w:style w:type="character" w:customStyle="1" w:styleId="DocumentMapChar">
    <w:name w:val="Document Map Char"/>
    <w:basedOn w:val="DefaultParagraphFont"/>
    <w:link w:val="DocumentMap"/>
    <w:uiPriority w:val="99"/>
    <w:semiHidden/>
    <w:rsid w:val="0072250A"/>
    <w:rPr>
      <w:rFonts w:ascii="Lucida Grande" w:eastAsia="Calibri" w:hAnsi="Lucida Grande"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5C0D-B67E-441E-B855-D16178920765}">
  <ds:schemaRefs>
    <ds:schemaRef ds:uri="http://purl.org/dc/elements/1.1/"/>
    <ds:schemaRef ds:uri="8c0b6b05-eb82-4bda-97e8-cd82d0d6b453"/>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3.xml><?xml version="1.0" encoding="utf-8"?>
<ds:datastoreItem xmlns:ds="http://schemas.openxmlformats.org/officeDocument/2006/customXml" ds:itemID="{A88977C5-E081-4E25-B79A-D23A20F8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8FB8F-9EF6-4591-8D9B-CB66AC36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7757</Words>
  <Characters>44218</Characters>
  <Application>Microsoft Office Word</Application>
  <DocSecurity>0</DocSecurity>
  <Lines>368</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51872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5</cp:revision>
  <cp:lastPrinted>2022-03-15T13:39:00Z</cp:lastPrinted>
  <dcterms:created xsi:type="dcterms:W3CDTF">2022-03-24T17:01:00Z</dcterms:created>
  <dcterms:modified xsi:type="dcterms:W3CDTF">2022-03-24T17:47:00Z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