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6D11" w14:textId="77777777" w:rsidR="00275F13" w:rsidRPr="00930651" w:rsidRDefault="0093047A"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930651">
        <w:rPr>
          <w:sz w:val="24"/>
        </w:rPr>
        <w:t xml:space="preserve">CONVENTION SUR LES ZONES HUMIDES </w:t>
      </w:r>
    </w:p>
    <w:p w14:paraId="555500F6" w14:textId="77777777" w:rsidR="00DF2386" w:rsidRPr="00930651" w:rsidRDefault="0093047A"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930651">
        <w:rPr>
          <w:sz w:val="24"/>
        </w:rPr>
        <w:t>59</w:t>
      </w:r>
      <w:r w:rsidRPr="00930651">
        <w:rPr>
          <w:sz w:val="24"/>
          <w:vertAlign w:val="superscript"/>
        </w:rPr>
        <w:t>e</w:t>
      </w:r>
      <w:r w:rsidRPr="00930651">
        <w:rPr>
          <w:sz w:val="24"/>
        </w:rPr>
        <w:t> Réunion du Comité permanent</w:t>
      </w:r>
    </w:p>
    <w:p w14:paraId="3912CAC3" w14:textId="77777777" w:rsidR="00D15858" w:rsidRPr="00930651" w:rsidRDefault="00D15858"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930651">
        <w:rPr>
          <w:sz w:val="24"/>
        </w:rPr>
        <w:t>Reprise de séance</w:t>
      </w:r>
    </w:p>
    <w:p w14:paraId="20F97C2D" w14:textId="77777777" w:rsidR="00DF2386" w:rsidRPr="00930651"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930651">
        <w:rPr>
          <w:sz w:val="24"/>
        </w:rPr>
        <w:t>Gland, Suisse, 23-27 mai 2022</w:t>
      </w:r>
    </w:p>
    <w:p w14:paraId="1E1D7BF4" w14:textId="77777777" w:rsidR="00DF2386" w:rsidRPr="00930651" w:rsidRDefault="00DF2386" w:rsidP="00014168">
      <w:pPr>
        <w:outlineLvl w:val="0"/>
        <w:rPr>
          <w:b/>
        </w:rPr>
      </w:pPr>
    </w:p>
    <w:p w14:paraId="6C28FC8E" w14:textId="77777777" w:rsidR="00DF2386" w:rsidRPr="00930651" w:rsidRDefault="00A26E01" w:rsidP="00014168">
      <w:pPr>
        <w:jc w:val="right"/>
        <w:rPr>
          <w:rFonts w:cs="Arial"/>
          <w:sz w:val="28"/>
          <w:szCs w:val="28"/>
        </w:rPr>
      </w:pPr>
      <w:r w:rsidRPr="00930651">
        <w:rPr>
          <w:b/>
          <w:sz w:val="28"/>
        </w:rPr>
        <w:t xml:space="preserve">SC59/2022 Doc.8.3 </w:t>
      </w:r>
    </w:p>
    <w:p w14:paraId="7B6DC746" w14:textId="77777777" w:rsidR="00DF2386" w:rsidRPr="00930651" w:rsidRDefault="00DF2386" w:rsidP="00951D88">
      <w:pPr>
        <w:ind w:left="0" w:firstLine="0"/>
        <w:rPr>
          <w:rFonts w:cs="Arial"/>
          <w:b/>
          <w:sz w:val="28"/>
          <w:szCs w:val="28"/>
        </w:rPr>
      </w:pPr>
    </w:p>
    <w:p w14:paraId="3D82B3A7" w14:textId="77777777" w:rsidR="00DF2386" w:rsidRPr="00930651" w:rsidRDefault="00AA1858" w:rsidP="00951D88">
      <w:pPr>
        <w:ind w:left="0" w:firstLine="0"/>
        <w:jc w:val="center"/>
        <w:rPr>
          <w:rFonts w:cs="Arial"/>
          <w:b/>
          <w:sz w:val="28"/>
          <w:szCs w:val="28"/>
        </w:rPr>
      </w:pPr>
      <w:r w:rsidRPr="00930651">
        <w:rPr>
          <w:b/>
          <w:sz w:val="28"/>
        </w:rPr>
        <w:t>Scénarios budgétaires pour 2023-2025 et projet de résolution sur les questions financières et budgétaires</w:t>
      </w:r>
    </w:p>
    <w:p w14:paraId="5A32E4CF" w14:textId="77777777" w:rsidR="00DF2386" w:rsidRPr="00930651" w:rsidRDefault="00DF2386" w:rsidP="00014168">
      <w:pPr>
        <w:rPr>
          <w:rFonts w:ascii="Garamond" w:hAnsi="Garamond" w:cs="Arial"/>
        </w:rPr>
      </w:pPr>
    </w:p>
    <w:p w14:paraId="6D80BC8D" w14:textId="77777777" w:rsidR="000C2489" w:rsidRPr="00930651" w:rsidRDefault="000C2489" w:rsidP="00014168">
      <w:pPr>
        <w:autoSpaceDE w:val="0"/>
        <w:autoSpaceDN w:val="0"/>
        <w:adjustRightInd w:val="0"/>
        <w:rPr>
          <w:rFonts w:asciiTheme="minorHAnsi" w:eastAsiaTheme="minorHAnsi" w:hAnsiTheme="minorHAnsi" w:cs="Calibri-Bold"/>
          <w:b/>
          <w:bCs/>
        </w:rPr>
      </w:pPr>
      <w:r w:rsidRPr="00930651">
        <w:rPr>
          <w:noProof/>
          <w:lang w:val="en-GB" w:eastAsia="en-GB"/>
        </w:rPr>
        <mc:AlternateContent>
          <mc:Choice Requires="wps">
            <w:drawing>
              <wp:inline distT="0" distB="0" distL="0" distR="0" wp14:anchorId="57F0C394" wp14:editId="4A8BEB1E">
                <wp:extent cx="5731510" cy="1938435"/>
                <wp:effectExtent l="0" t="0" r="2159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38435"/>
                        </a:xfrm>
                        <a:prstGeom prst="rect">
                          <a:avLst/>
                        </a:prstGeom>
                        <a:solidFill>
                          <a:srgbClr val="FFFFFF"/>
                        </a:solidFill>
                        <a:ln w="9525">
                          <a:solidFill>
                            <a:srgbClr val="000000"/>
                          </a:solidFill>
                          <a:miter lim="800000"/>
                          <a:headEnd/>
                          <a:tailEnd/>
                        </a:ln>
                      </wps:spPr>
                      <wps:txbx>
                        <w:txbxContent>
                          <w:p w14:paraId="0B7C18FE" w14:textId="77777777" w:rsidR="00A31639" w:rsidRDefault="00A31639" w:rsidP="000C2489">
                            <w:pPr>
                              <w:rPr>
                                <w:b/>
                                <w:bCs/>
                              </w:rPr>
                            </w:pPr>
                            <w:r>
                              <w:rPr>
                                <w:b/>
                              </w:rPr>
                              <w:t xml:space="preserve">Mesures requises : </w:t>
                            </w:r>
                          </w:p>
                          <w:p w14:paraId="32D7856B" w14:textId="77777777" w:rsidR="00A31639" w:rsidRDefault="00A31639" w:rsidP="000C2489">
                            <w:pPr>
                              <w:pStyle w:val="ColorfulList-Accent11"/>
                              <w:ind w:left="0"/>
                            </w:pPr>
                          </w:p>
                          <w:p w14:paraId="112615BE" w14:textId="77777777" w:rsidR="00A31639" w:rsidRDefault="00A31639" w:rsidP="00275F13">
                            <w:pPr>
                              <w:pStyle w:val="ColorfulList-Accent11"/>
                              <w:ind w:left="0" w:firstLine="0"/>
                              <w:rPr>
                                <w:rFonts w:cs="Calibri"/>
                              </w:rPr>
                            </w:pPr>
                            <w:r>
                              <w:t>Le Comité permanent est invité à :</w:t>
                            </w:r>
                          </w:p>
                          <w:p w14:paraId="7D1CD284" w14:textId="77777777" w:rsidR="00A31639" w:rsidRDefault="00A31639" w:rsidP="000C2489">
                            <w:pPr>
                              <w:pStyle w:val="ColorfulList-Accent11"/>
                              <w:ind w:left="0"/>
                              <w:rPr>
                                <w:rFonts w:cs="Calibri"/>
                              </w:rPr>
                            </w:pPr>
                          </w:p>
                          <w:p w14:paraId="55C51082" w14:textId="77777777" w:rsidR="00A31639" w:rsidRPr="00951D88" w:rsidRDefault="00A31639" w:rsidP="00951D88">
                            <w:pPr>
                              <w:pStyle w:val="ColorfulList-Accent11"/>
                              <w:ind w:left="850"/>
                              <w:rPr>
                                <w:rFonts w:cs="Calibri"/>
                              </w:rPr>
                            </w:pPr>
                            <w:r>
                              <w:t>i.</w:t>
                            </w:r>
                            <w:r>
                              <w:tab/>
                              <w:t xml:space="preserve">prendre note du contenu du présent rapport ; </w:t>
                            </w:r>
                          </w:p>
                          <w:p w14:paraId="04171D21" w14:textId="77777777" w:rsidR="00A31639" w:rsidRPr="00F32D03" w:rsidRDefault="00A31639" w:rsidP="00275F13">
                            <w:pPr>
                              <w:pStyle w:val="ColorfulList-Accent11"/>
                              <w:ind w:left="-425" w:firstLine="0"/>
                            </w:pPr>
                          </w:p>
                          <w:p w14:paraId="05C51C8F" w14:textId="4295DB93" w:rsidR="00A31639" w:rsidRPr="00F32D03" w:rsidRDefault="00A31639" w:rsidP="00951D88">
                            <w:pPr>
                              <w:pStyle w:val="ColorfulList-Accent11"/>
                              <w:ind w:left="850"/>
                            </w:pPr>
                            <w:r>
                              <w:t>ii.</w:t>
                            </w:r>
                            <w:r>
                              <w:tab/>
                              <w:t>confirmer les scénarios budgétaires à soumettre à l’examen de la 14</w:t>
                            </w:r>
                            <w:r>
                              <w:rPr>
                                <w:vertAlign w:val="superscript"/>
                              </w:rPr>
                              <w:t>e</w:t>
                            </w:r>
                            <w:r>
                              <w:t> Session de la Conférence des Parties contractantes ;</w:t>
                            </w:r>
                          </w:p>
                          <w:p w14:paraId="75E55BCF" w14:textId="77777777" w:rsidR="00A31639" w:rsidRPr="00F32D03" w:rsidRDefault="00A31639" w:rsidP="00275F13">
                            <w:pPr>
                              <w:pStyle w:val="ColorfulList-Accent11"/>
                              <w:ind w:left="-425" w:firstLine="0"/>
                            </w:pPr>
                          </w:p>
                          <w:p w14:paraId="7B000770" w14:textId="77777777" w:rsidR="00A31639" w:rsidRPr="00951D88" w:rsidRDefault="00A31639" w:rsidP="00951D88">
                            <w:pPr>
                              <w:pStyle w:val="ColorfulList-Accent11"/>
                              <w:ind w:left="850"/>
                              <w:rPr>
                                <w:rFonts w:cs="Calibri"/>
                              </w:rPr>
                            </w:pPr>
                            <w:r>
                              <w:t>iii.</w:t>
                            </w:r>
                            <w:r>
                              <w:tab/>
                              <w:t>examiner le projet de résolution proposé sur les questions financières et budgétaires.</w:t>
                            </w:r>
                          </w:p>
                        </w:txbxContent>
                      </wps:txbx>
                      <wps:bodyPr rot="0" vert="horz" wrap="square" lIns="91440" tIns="45720" rIns="91440" bIns="45720" anchor="t" anchorCtr="0" upright="1">
                        <a:noAutofit/>
                      </wps:bodyPr>
                    </wps:wsp>
                  </a:graphicData>
                </a:graphic>
              </wp:inline>
            </w:drawing>
          </mc:Choice>
          <mc:Fallback>
            <w:pict>
              <v:shapetype w14:anchorId="57F0C394" id="_x0000_t202" coordsize="21600,21600" o:spt="202" path="m,l,21600r21600,l21600,xe">
                <v:stroke joinstyle="miter"/>
                <v:path gradientshapeok="t" o:connecttype="rect"/>
              </v:shapetype>
              <v:shape id="Text Box 1" o:spid="_x0000_s1026" type="#_x0000_t202" style="width:451.3pt;height:1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">
                <v:textbox>
                  <w:txbxContent>
                    <w:p w14:paraId="0B7C18FE" w14:textId="77777777" w:rsidR="00A31639" w:rsidRDefault="00A31639" w:rsidP="000C2489">
                      <w:pPr>
                        <w:rPr>
                          <w:b/>
                          <w:bCs/>
                        </w:rPr>
                      </w:pPr>
                      <w:r>
                        <w:rPr>
                          <w:b/>
                        </w:rPr>
                        <w:t xml:space="preserve">Mesures requises : </w:t>
                      </w:r>
                    </w:p>
                    <w:p w14:paraId="32D7856B" w14:textId="77777777" w:rsidR="00A31639" w:rsidRDefault="00A31639" w:rsidP="000C2489">
                      <w:pPr>
                        <w:pStyle w:val="ColorfulList-Accent11"/>
                        <w:ind w:left="0"/>
                      </w:pPr>
                    </w:p>
                    <w:p w14:paraId="112615BE" w14:textId="77777777" w:rsidR="00A31639" w:rsidRDefault="00A31639" w:rsidP="00275F13">
                      <w:pPr>
                        <w:pStyle w:val="ColorfulList-Accent11"/>
                        <w:ind w:left="0" w:firstLine="0"/>
                        <w:rPr>
                          <w:rFonts w:cs="Calibri"/>
                        </w:rPr>
                      </w:pPr>
                      <w:r>
                        <w:t>Le Comité permanent est invité à :</w:t>
                      </w:r>
                    </w:p>
                    <w:p w14:paraId="7D1CD284" w14:textId="77777777" w:rsidR="00A31639" w:rsidRDefault="00A31639" w:rsidP="000C2489">
                      <w:pPr>
                        <w:pStyle w:val="ColorfulList-Accent11"/>
                        <w:ind w:left="0"/>
                        <w:rPr>
                          <w:rFonts w:cs="Calibri"/>
                        </w:rPr>
                      </w:pPr>
                    </w:p>
                    <w:p w14:paraId="55C51082" w14:textId="77777777" w:rsidR="00A31639" w:rsidRPr="00951D88" w:rsidRDefault="00A31639" w:rsidP="00951D88">
                      <w:pPr>
                        <w:pStyle w:val="ColorfulList-Accent11"/>
                        <w:ind w:left="850"/>
                        <w:rPr>
                          <w:rFonts w:cs="Calibri"/>
                        </w:rPr>
                      </w:pPr>
                      <w:r>
                        <w:t>i.</w:t>
                      </w:r>
                      <w:r>
                        <w:tab/>
                        <w:t xml:space="preserve">prendre note du contenu du présent rapport ; </w:t>
                      </w:r>
                    </w:p>
                    <w:p w14:paraId="04171D21" w14:textId="77777777" w:rsidR="00A31639" w:rsidRPr="00F32D03" w:rsidRDefault="00A31639" w:rsidP="00275F13">
                      <w:pPr>
                        <w:pStyle w:val="ColorfulList-Accent11"/>
                        <w:ind w:left="-425" w:firstLine="0"/>
                      </w:pPr>
                    </w:p>
                    <w:p w14:paraId="05C51C8F" w14:textId="4295DB93" w:rsidR="00A31639" w:rsidRPr="00F32D03" w:rsidRDefault="00A31639" w:rsidP="00951D88">
                      <w:pPr>
                        <w:pStyle w:val="ColorfulList-Accent11"/>
                        <w:ind w:left="850"/>
                      </w:pPr>
                      <w:r>
                        <w:t>ii.</w:t>
                      </w:r>
                      <w:r>
                        <w:tab/>
                        <w:t>confirmer les scénarios budgétaires à soumettre à l’examen de la 14</w:t>
                      </w:r>
                      <w:r>
                        <w:rPr>
                          <w:vertAlign w:val="superscript"/>
                        </w:rPr>
                        <w:t>e</w:t>
                      </w:r>
                      <w:r>
                        <w:t> Session de la Conférence des Parties contractantes ;</w:t>
                      </w:r>
                    </w:p>
                    <w:p w14:paraId="75E55BCF" w14:textId="77777777" w:rsidR="00A31639" w:rsidRPr="00F32D03" w:rsidRDefault="00A31639" w:rsidP="00275F13">
                      <w:pPr>
                        <w:pStyle w:val="ColorfulList-Accent11"/>
                        <w:ind w:left="-425" w:firstLine="0"/>
                      </w:pPr>
                    </w:p>
                    <w:p w14:paraId="7B000770" w14:textId="77777777" w:rsidR="00A31639" w:rsidRPr="00951D88" w:rsidRDefault="00A31639" w:rsidP="00951D88">
                      <w:pPr>
                        <w:pStyle w:val="ColorfulList-Accent11"/>
                        <w:ind w:left="850"/>
                        <w:rPr>
                          <w:rFonts w:cs="Calibri"/>
                        </w:rPr>
                      </w:pPr>
                      <w:r>
                        <w:t>iii.</w:t>
                      </w:r>
                      <w:r>
                        <w:tab/>
                        <w:t>examiner le projet de résolution proposé sur les questions financières et budgétaires.</w:t>
                      </w:r>
                    </w:p>
                  </w:txbxContent>
                </v:textbox>
                <w10:anchorlock/>
              </v:shape>
            </w:pict>
          </mc:Fallback>
        </mc:AlternateContent>
      </w:r>
    </w:p>
    <w:p w14:paraId="7ECE67E0" w14:textId="77777777" w:rsidR="009E0AE8" w:rsidRPr="00930651" w:rsidRDefault="009E0AE8" w:rsidP="00014168">
      <w:pPr>
        <w:rPr>
          <w:rFonts w:cs="Arial"/>
          <w:b/>
        </w:rPr>
      </w:pPr>
    </w:p>
    <w:p w14:paraId="4F7409EA" w14:textId="77777777" w:rsidR="00951D88" w:rsidRPr="00930651" w:rsidRDefault="00951D88" w:rsidP="00014168">
      <w:pPr>
        <w:rPr>
          <w:rFonts w:cs="Arial"/>
          <w:b/>
        </w:rPr>
      </w:pPr>
    </w:p>
    <w:p w14:paraId="31AD347E" w14:textId="74969FA6" w:rsidR="00B32E40" w:rsidRPr="00930651" w:rsidRDefault="00951D88" w:rsidP="00951D88">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t>1.</w:t>
      </w:r>
      <w:r w:rsidRPr="00930651">
        <w:rPr>
          <w:rFonts w:asciiTheme="minorHAnsi" w:hAnsiTheme="minorHAnsi"/>
          <w:sz w:val="22"/>
        </w:rPr>
        <w:tab/>
        <w:t>Le Secrétariat de la Convention sur les zones humides a préparé trois scénarios de budget administratif à soumettre à l</w:t>
      </w:r>
      <w:r w:rsidR="00101E52">
        <w:rPr>
          <w:rFonts w:asciiTheme="minorHAnsi" w:hAnsiTheme="minorHAnsi"/>
          <w:sz w:val="22"/>
        </w:rPr>
        <w:t>’</w:t>
      </w:r>
      <w:r w:rsidRPr="00930651">
        <w:rPr>
          <w:rFonts w:asciiTheme="minorHAnsi" w:hAnsiTheme="minorHAnsi"/>
          <w:sz w:val="22"/>
        </w:rPr>
        <w:t xml:space="preserve">examen du Comité permanent. Il vise </w:t>
      </w:r>
      <w:r w:rsidR="00101E52" w:rsidRPr="00930651">
        <w:rPr>
          <w:rFonts w:asciiTheme="minorHAnsi" w:hAnsiTheme="minorHAnsi"/>
          <w:sz w:val="22"/>
        </w:rPr>
        <w:t>également</w:t>
      </w:r>
      <w:r w:rsidRPr="00930651">
        <w:rPr>
          <w:rFonts w:asciiTheme="minorHAnsi" w:hAnsiTheme="minorHAnsi"/>
          <w:sz w:val="22"/>
        </w:rPr>
        <w:t xml:space="preserve"> à obtenir l</w:t>
      </w:r>
      <w:r w:rsidR="00101E52">
        <w:rPr>
          <w:rFonts w:asciiTheme="minorHAnsi" w:hAnsiTheme="minorHAnsi"/>
          <w:sz w:val="22"/>
        </w:rPr>
        <w:t>’</w:t>
      </w:r>
      <w:r w:rsidRPr="00930651">
        <w:rPr>
          <w:rFonts w:asciiTheme="minorHAnsi" w:hAnsiTheme="minorHAnsi"/>
          <w:sz w:val="22"/>
        </w:rPr>
        <w:t>aval du Comité permanent concernant la présentation de ces scénarios à la Conférence des Parties contractantes. Outre le budget administratif, le Secrétariat Ramsar s</w:t>
      </w:r>
      <w:r w:rsidR="00101E52">
        <w:rPr>
          <w:rFonts w:asciiTheme="minorHAnsi" w:hAnsiTheme="minorHAnsi"/>
          <w:sz w:val="22"/>
        </w:rPr>
        <w:t>’</w:t>
      </w:r>
      <w:r w:rsidRPr="00930651">
        <w:rPr>
          <w:rFonts w:asciiTheme="minorHAnsi" w:hAnsiTheme="minorHAnsi"/>
          <w:sz w:val="22"/>
        </w:rPr>
        <w:t>efforcera d</w:t>
      </w:r>
      <w:r w:rsidR="00101E52">
        <w:rPr>
          <w:rFonts w:asciiTheme="minorHAnsi" w:hAnsiTheme="minorHAnsi"/>
          <w:sz w:val="22"/>
        </w:rPr>
        <w:t>’</w:t>
      </w:r>
      <w:r w:rsidRPr="00930651">
        <w:rPr>
          <w:rFonts w:asciiTheme="minorHAnsi" w:hAnsiTheme="minorHAnsi"/>
          <w:sz w:val="22"/>
        </w:rPr>
        <w:t xml:space="preserve">obtenir des fonds non administratifs supplémentaires, le cas échéant. </w:t>
      </w:r>
    </w:p>
    <w:p w14:paraId="5CC3A17C" w14:textId="77777777" w:rsidR="006D3CBA" w:rsidRPr="00930651" w:rsidRDefault="006D3CBA" w:rsidP="00B32E40">
      <w:pPr>
        <w:pStyle w:val="MGfulltext"/>
        <w:spacing w:after="0"/>
        <w:rPr>
          <w:rFonts w:asciiTheme="minorHAnsi" w:eastAsia="Batang" w:hAnsiTheme="minorHAnsi" w:cs="Times New Roman"/>
          <w:b/>
          <w:sz w:val="22"/>
          <w:szCs w:val="22"/>
        </w:rPr>
      </w:pPr>
    </w:p>
    <w:p w14:paraId="5816F879" w14:textId="182865DE" w:rsidR="00B32E40" w:rsidRPr="00930651" w:rsidRDefault="00B32E40" w:rsidP="00B32E40">
      <w:pPr>
        <w:pStyle w:val="MGfulltext"/>
        <w:spacing w:after="0"/>
        <w:rPr>
          <w:rFonts w:asciiTheme="minorHAnsi" w:eastAsia="Batang" w:hAnsiTheme="minorHAnsi" w:cs="Times New Roman"/>
          <w:b/>
          <w:sz w:val="22"/>
          <w:szCs w:val="22"/>
        </w:rPr>
      </w:pPr>
      <w:r w:rsidRPr="00930651">
        <w:rPr>
          <w:rFonts w:asciiTheme="minorHAnsi" w:hAnsiTheme="minorHAnsi"/>
          <w:b/>
          <w:sz w:val="22"/>
        </w:rPr>
        <w:t>Scénarios de budgets administratifs pour la période triennale 2023-2025 (annexe </w:t>
      </w:r>
      <w:r w:rsidR="00114A5D">
        <w:rPr>
          <w:rFonts w:asciiTheme="minorHAnsi" w:hAnsiTheme="minorHAnsi"/>
          <w:b/>
          <w:sz w:val="22"/>
        </w:rPr>
        <w:t>1</w:t>
      </w:r>
      <w:r w:rsidRPr="00930651">
        <w:rPr>
          <w:rFonts w:asciiTheme="minorHAnsi" w:hAnsiTheme="minorHAnsi"/>
          <w:b/>
          <w:sz w:val="22"/>
        </w:rPr>
        <w:t>)</w:t>
      </w:r>
    </w:p>
    <w:p w14:paraId="04471F6A" w14:textId="77777777" w:rsidR="00E631A8" w:rsidRPr="00930651" w:rsidRDefault="00E631A8" w:rsidP="006D3CBA">
      <w:pPr>
        <w:pStyle w:val="MGfulltext"/>
        <w:tabs>
          <w:tab w:val="left" w:pos="5199"/>
        </w:tabs>
        <w:spacing w:after="0"/>
        <w:rPr>
          <w:rFonts w:asciiTheme="minorHAnsi" w:eastAsia="Batang" w:hAnsiTheme="minorHAnsi" w:cs="Times New Roman"/>
          <w:b/>
          <w:sz w:val="22"/>
          <w:szCs w:val="22"/>
        </w:rPr>
      </w:pPr>
    </w:p>
    <w:p w14:paraId="378CD6BD" w14:textId="25F6FE6C" w:rsidR="00B32E40" w:rsidRPr="00930651" w:rsidRDefault="00951D88" w:rsidP="00951D88">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t>2.</w:t>
      </w:r>
      <w:r w:rsidRPr="00930651">
        <w:rPr>
          <w:rFonts w:asciiTheme="minorHAnsi" w:hAnsiTheme="minorHAnsi"/>
          <w:sz w:val="22"/>
        </w:rPr>
        <w:tab/>
        <w:t>Pour la période triennale 2023-2025, trois scénarios de budget administratifs sont proposés en annexe </w:t>
      </w:r>
      <w:r w:rsidR="00114A5D">
        <w:rPr>
          <w:rFonts w:asciiTheme="minorHAnsi" w:hAnsiTheme="minorHAnsi"/>
          <w:sz w:val="22"/>
        </w:rPr>
        <w:t>1</w:t>
      </w:r>
      <w:r w:rsidRPr="00930651">
        <w:rPr>
          <w:rFonts w:asciiTheme="minorHAnsi" w:hAnsiTheme="minorHAnsi"/>
          <w:sz w:val="22"/>
        </w:rPr>
        <w:t xml:space="preserve">, qui ne comportent pas de demandes de financement fondées sur les projets de résolutions soumis. Les trois scénarios sont : </w:t>
      </w:r>
    </w:p>
    <w:p w14:paraId="3116D11A" w14:textId="77777777" w:rsidR="00951D88" w:rsidRPr="00930651" w:rsidRDefault="00951D88" w:rsidP="00951D88">
      <w:pPr>
        <w:pStyle w:val="MGfulltext"/>
        <w:spacing w:after="0"/>
        <w:ind w:left="426"/>
        <w:rPr>
          <w:rFonts w:asciiTheme="minorHAnsi" w:eastAsia="Batang" w:hAnsiTheme="minorHAnsi" w:cs="Times New Roman"/>
          <w:sz w:val="22"/>
          <w:szCs w:val="22"/>
        </w:rPr>
      </w:pPr>
    </w:p>
    <w:p w14:paraId="53608E03" w14:textId="77777777" w:rsidR="00B32E40" w:rsidRPr="00930651" w:rsidRDefault="00241822"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a.</w:t>
      </w:r>
      <w:r w:rsidRPr="00930651">
        <w:rPr>
          <w:rFonts w:asciiTheme="minorHAnsi" w:hAnsiTheme="minorHAnsi"/>
          <w:sz w:val="22"/>
        </w:rPr>
        <w:tab/>
        <w:t xml:space="preserve">augmentation de 0 % par rapport aux budgets pour les périodes triennales 2016-2018 et 2019-2021 (scénario A) ; </w:t>
      </w:r>
    </w:p>
    <w:p w14:paraId="3A34F271" w14:textId="77777777" w:rsidR="00951D88" w:rsidRPr="00930651" w:rsidRDefault="00951D88" w:rsidP="00241822">
      <w:pPr>
        <w:pStyle w:val="MGfulltext"/>
        <w:spacing w:after="0"/>
        <w:ind w:left="850" w:hanging="425"/>
        <w:rPr>
          <w:rFonts w:asciiTheme="minorHAnsi" w:eastAsia="Batang" w:hAnsiTheme="minorHAnsi" w:cs="Times New Roman"/>
          <w:sz w:val="22"/>
          <w:szCs w:val="22"/>
        </w:rPr>
      </w:pPr>
    </w:p>
    <w:p w14:paraId="1C459B5D" w14:textId="77777777" w:rsidR="00B32E40" w:rsidRPr="00930651" w:rsidRDefault="00241822"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b.</w:t>
      </w:r>
      <w:r w:rsidRPr="00930651">
        <w:rPr>
          <w:rFonts w:asciiTheme="minorHAnsi" w:hAnsiTheme="minorHAnsi"/>
          <w:sz w:val="22"/>
        </w:rPr>
        <w:tab/>
        <w:t>augmentation de 2,8 % (438 000 CHF) par rapport au budget pour la période triennale 2019-2022, ce qui implique une augmentation de 2,7 % des contributions des Parties contractantes (scénario B) ;</w:t>
      </w:r>
    </w:p>
    <w:p w14:paraId="35660F1C" w14:textId="77777777" w:rsidR="00951D88" w:rsidRPr="00930651" w:rsidRDefault="00951D88" w:rsidP="00241822">
      <w:pPr>
        <w:pStyle w:val="MGfulltext"/>
        <w:spacing w:after="0"/>
        <w:ind w:left="850" w:hanging="425"/>
        <w:rPr>
          <w:rFonts w:asciiTheme="minorHAnsi" w:eastAsia="Batang" w:hAnsiTheme="minorHAnsi" w:cs="Times New Roman"/>
          <w:sz w:val="22"/>
          <w:szCs w:val="22"/>
        </w:rPr>
      </w:pPr>
    </w:p>
    <w:p w14:paraId="275E7439" w14:textId="77777777" w:rsidR="006D3CBA" w:rsidRPr="00930651" w:rsidRDefault="00241822"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c.</w:t>
      </w:r>
      <w:r w:rsidRPr="00930651">
        <w:rPr>
          <w:rFonts w:asciiTheme="minorHAnsi" w:hAnsiTheme="minorHAnsi"/>
          <w:sz w:val="22"/>
        </w:rPr>
        <w:tab/>
        <w:t xml:space="preserve">augmentation de 4,2 % (674 000 CHF) par rapport au budget pour la période triennale 2019-2022, ce qui implique une augmentation de 4,3 % des contributions des Parties contractantes (scénario C). </w:t>
      </w:r>
    </w:p>
    <w:p w14:paraId="6D9D7A62" w14:textId="77777777" w:rsidR="00951D88" w:rsidRPr="00930651" w:rsidRDefault="00951D88" w:rsidP="006D3CBA">
      <w:pPr>
        <w:pStyle w:val="MGfulltext"/>
        <w:spacing w:after="0"/>
        <w:ind w:left="426"/>
        <w:rPr>
          <w:rFonts w:asciiTheme="minorHAnsi" w:eastAsia="Batang" w:hAnsiTheme="minorHAnsi" w:cs="Times New Roman"/>
          <w:sz w:val="22"/>
          <w:szCs w:val="22"/>
        </w:rPr>
      </w:pPr>
    </w:p>
    <w:p w14:paraId="4D6CECF9" w14:textId="77777777" w:rsidR="00D60B3D" w:rsidRPr="00930651" w:rsidRDefault="00D60B3D" w:rsidP="006D3CBA">
      <w:pPr>
        <w:pStyle w:val="MGfulltext"/>
        <w:spacing w:after="0"/>
        <w:ind w:left="426"/>
        <w:rPr>
          <w:rFonts w:asciiTheme="minorHAnsi" w:eastAsia="Batang" w:hAnsiTheme="minorHAnsi" w:cs="Times New Roman"/>
          <w:sz w:val="22"/>
          <w:szCs w:val="22"/>
        </w:rPr>
      </w:pPr>
      <w:r w:rsidRPr="00930651">
        <w:rPr>
          <w:rFonts w:asciiTheme="minorHAnsi" w:hAnsiTheme="minorHAnsi"/>
          <w:sz w:val="22"/>
        </w:rPr>
        <w:t>Les détails du budget administratif par département / catégorie ont été conservés pour aider les Parties contractantes à voir comment leurs contributions seront dépensées.</w:t>
      </w:r>
    </w:p>
    <w:p w14:paraId="66CBF189" w14:textId="77777777" w:rsidR="00B32E40" w:rsidRPr="00930651" w:rsidRDefault="00B32E40" w:rsidP="00B32E40">
      <w:pPr>
        <w:pStyle w:val="MGfulltext"/>
        <w:spacing w:after="0"/>
        <w:ind w:left="2160"/>
        <w:rPr>
          <w:rFonts w:asciiTheme="minorHAnsi" w:eastAsia="Batang" w:hAnsiTheme="minorHAnsi" w:cs="Times New Roman"/>
          <w:sz w:val="22"/>
          <w:szCs w:val="22"/>
        </w:rPr>
      </w:pPr>
    </w:p>
    <w:p w14:paraId="38FDEFE2" w14:textId="03BDDA64" w:rsidR="00B32E40" w:rsidRPr="00930651" w:rsidRDefault="00951D88" w:rsidP="00951D88">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lastRenderedPageBreak/>
        <w:t>3.</w:t>
      </w:r>
      <w:r w:rsidRPr="00930651">
        <w:rPr>
          <w:rFonts w:asciiTheme="minorHAnsi" w:hAnsiTheme="minorHAnsi"/>
          <w:sz w:val="22"/>
        </w:rPr>
        <w:tab/>
        <w:t xml:space="preserve">Le </w:t>
      </w:r>
      <w:r w:rsidRPr="00930651">
        <w:rPr>
          <w:rFonts w:asciiTheme="minorHAnsi" w:hAnsiTheme="minorHAnsi"/>
          <w:b/>
          <w:sz w:val="22"/>
        </w:rPr>
        <w:t>scénario à 0 % (A</w:t>
      </w:r>
      <w:r w:rsidRPr="00930651">
        <w:rPr>
          <w:rFonts w:asciiTheme="minorHAnsi" w:hAnsiTheme="minorHAnsi"/>
          <w:sz w:val="22"/>
        </w:rPr>
        <w:t>) comprend les hypothèses suivantes, qui s</w:t>
      </w:r>
      <w:r w:rsidR="00101E52">
        <w:rPr>
          <w:rFonts w:asciiTheme="minorHAnsi" w:hAnsiTheme="minorHAnsi"/>
          <w:sz w:val="22"/>
        </w:rPr>
        <w:t>’</w:t>
      </w:r>
      <w:r w:rsidRPr="00930651">
        <w:rPr>
          <w:rFonts w:asciiTheme="minorHAnsi" w:hAnsiTheme="minorHAnsi"/>
          <w:sz w:val="22"/>
        </w:rPr>
        <w:t>appliquent aussi aux scénarios B et C, sauf indication contraire :</w:t>
      </w:r>
    </w:p>
    <w:p w14:paraId="00E88626" w14:textId="77777777" w:rsidR="00951D88" w:rsidRPr="00930651" w:rsidRDefault="00951D88" w:rsidP="00951D88">
      <w:pPr>
        <w:pStyle w:val="MGfulltext"/>
        <w:spacing w:after="0"/>
        <w:ind w:left="425" w:hanging="425"/>
        <w:rPr>
          <w:rFonts w:asciiTheme="minorHAnsi" w:eastAsia="Batang" w:hAnsiTheme="minorHAnsi" w:cs="Times New Roman"/>
          <w:sz w:val="22"/>
          <w:szCs w:val="22"/>
        </w:rPr>
      </w:pPr>
    </w:p>
    <w:p w14:paraId="736F197F" w14:textId="4D9B8B83" w:rsidR="00B32E40" w:rsidRPr="00930651" w:rsidRDefault="00241822"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a.</w:t>
      </w:r>
      <w:r w:rsidRPr="00930651">
        <w:rPr>
          <w:rFonts w:asciiTheme="minorHAnsi" w:hAnsiTheme="minorHAnsi"/>
          <w:sz w:val="22"/>
        </w:rPr>
        <w:tab/>
        <w:t>Le montant total des contributions en francs suisses (CHF) de toutes les Parties contractantes sont reçues, sur la base du barème des quotes-parts des Nations Unies, y compris une contribution volontaire de 22 % des États-Unis d</w:t>
      </w:r>
      <w:r w:rsidR="00101E52">
        <w:rPr>
          <w:rFonts w:asciiTheme="minorHAnsi" w:hAnsiTheme="minorHAnsi"/>
          <w:sz w:val="22"/>
        </w:rPr>
        <w:t>’</w:t>
      </w:r>
      <w:r w:rsidRPr="00930651">
        <w:rPr>
          <w:rFonts w:asciiTheme="minorHAnsi" w:hAnsiTheme="minorHAnsi"/>
          <w:sz w:val="22"/>
        </w:rPr>
        <w:t>Amérique.</w:t>
      </w:r>
    </w:p>
    <w:p w14:paraId="08321819"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04D338F3" w14:textId="77777777" w:rsidR="00B32E40" w:rsidRPr="00930651" w:rsidRDefault="00241822"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b.</w:t>
      </w:r>
      <w:r w:rsidRPr="00930651">
        <w:rPr>
          <w:rFonts w:asciiTheme="minorHAnsi" w:hAnsiTheme="minorHAnsi"/>
          <w:sz w:val="22"/>
        </w:rPr>
        <w:tab/>
        <w:t>Maintien du niveau actuel du financement administratif pour rémunérer le personnel.</w:t>
      </w:r>
    </w:p>
    <w:p w14:paraId="363C68CB"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468CF529" w14:textId="51978F25" w:rsidR="0083353F" w:rsidRPr="00930651" w:rsidRDefault="00241822"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c.</w:t>
      </w:r>
      <w:r w:rsidRPr="00930651">
        <w:rPr>
          <w:rFonts w:asciiTheme="minorHAnsi" w:hAnsiTheme="minorHAnsi"/>
          <w:sz w:val="22"/>
        </w:rPr>
        <w:tab/>
        <w:t>Les dépenses de personnel ont été budgétisées sur la base des coûts réels actuels, conformément à la politique de l</w:t>
      </w:r>
      <w:r w:rsidR="00101E52">
        <w:rPr>
          <w:rFonts w:asciiTheme="minorHAnsi" w:hAnsiTheme="minorHAnsi"/>
          <w:sz w:val="22"/>
        </w:rPr>
        <w:t>’</w:t>
      </w:r>
      <w:r w:rsidRPr="00930651">
        <w:rPr>
          <w:rFonts w:asciiTheme="minorHAnsi" w:hAnsiTheme="minorHAnsi"/>
          <w:sz w:val="22"/>
        </w:rPr>
        <w:t>UICN. La plupart des conventions administrées par l</w:t>
      </w:r>
      <w:r w:rsidR="00101E52">
        <w:rPr>
          <w:rFonts w:asciiTheme="minorHAnsi" w:hAnsiTheme="minorHAnsi"/>
          <w:sz w:val="22"/>
        </w:rPr>
        <w:t>’</w:t>
      </w:r>
      <w:r w:rsidRPr="00930651">
        <w:rPr>
          <w:rFonts w:asciiTheme="minorHAnsi" w:hAnsiTheme="minorHAnsi"/>
          <w:sz w:val="22"/>
        </w:rPr>
        <w:t>ONU élaborent leurs budgets sur la base de coûts standard et le Secrétariat recommande de prendre cette direction afin de garder une certaine souplesse en cas de changements et d</w:t>
      </w:r>
      <w:r w:rsidR="00101E52">
        <w:rPr>
          <w:rFonts w:asciiTheme="minorHAnsi" w:hAnsiTheme="minorHAnsi"/>
          <w:sz w:val="22"/>
        </w:rPr>
        <w:t>’</w:t>
      </w:r>
      <w:r w:rsidRPr="00930651">
        <w:rPr>
          <w:rFonts w:asciiTheme="minorHAnsi" w:hAnsiTheme="minorHAnsi"/>
          <w:sz w:val="22"/>
        </w:rPr>
        <w:t xml:space="preserve">ajustements en matière de personnel et de prestations sociales. Une provision a été incluse afin de garantir une certaine souplesse en cas de changement de personnel et de ses prestations sociales. </w:t>
      </w:r>
    </w:p>
    <w:p w14:paraId="28A5EF53"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00DB1D4C" w14:textId="6F48F33F" w:rsidR="00674248" w:rsidRPr="00930651" w:rsidRDefault="00D47119" w:rsidP="001F0F83">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d.</w:t>
      </w:r>
      <w:r w:rsidRPr="00930651">
        <w:rPr>
          <w:rFonts w:asciiTheme="minorHAnsi" w:hAnsiTheme="minorHAnsi"/>
          <w:sz w:val="22"/>
        </w:rPr>
        <w:tab/>
        <w:t xml:space="preserve">Comme indiqué dans la Résolution XIII.2, paragraphe 15, un déficit de 228 000 CHF dans le budget des fonctions administratives du Secrétariat : 120 000 CHF pour la communication, la traduction, les publications et rapports ; 60 000 CHF pour les </w:t>
      </w:r>
      <w:r w:rsidR="00884289" w:rsidRPr="00930651">
        <w:rPr>
          <w:rFonts w:asciiTheme="minorHAnsi" w:hAnsiTheme="minorHAnsi"/>
          <w:sz w:val="22"/>
        </w:rPr>
        <w:t>déplacements</w:t>
      </w:r>
      <w:r w:rsidRPr="00930651">
        <w:rPr>
          <w:rFonts w:asciiTheme="minorHAnsi" w:hAnsiTheme="minorHAnsi"/>
          <w:sz w:val="22"/>
        </w:rPr>
        <w:t xml:space="preserve"> du personnel (15 000 CHF pour les voyages des cadres </w:t>
      </w:r>
      <w:r w:rsidR="00884289" w:rsidRPr="00930651">
        <w:rPr>
          <w:rFonts w:asciiTheme="minorHAnsi" w:hAnsiTheme="minorHAnsi"/>
          <w:sz w:val="22"/>
        </w:rPr>
        <w:t>supérieurs</w:t>
      </w:r>
      <w:r w:rsidRPr="00930651">
        <w:rPr>
          <w:rFonts w:asciiTheme="minorHAnsi" w:hAnsiTheme="minorHAnsi"/>
          <w:sz w:val="22"/>
        </w:rPr>
        <w:t xml:space="preserve"> du </w:t>
      </w:r>
      <w:r w:rsidR="00884289" w:rsidRPr="00930651">
        <w:rPr>
          <w:rFonts w:asciiTheme="minorHAnsi" w:hAnsiTheme="minorHAnsi"/>
          <w:sz w:val="22"/>
        </w:rPr>
        <w:t>Secrétariat</w:t>
      </w:r>
      <w:r w:rsidRPr="00930651">
        <w:rPr>
          <w:rFonts w:asciiTheme="minorHAnsi" w:hAnsiTheme="minorHAnsi"/>
          <w:sz w:val="22"/>
        </w:rPr>
        <w:t xml:space="preserve">, 15 000 CHF pour les voyages Mobilisation des ressources et sensibilisation et 30 000 CHF pour les voyages Appui et conseils aux </w:t>
      </w:r>
      <w:r w:rsidR="00884289" w:rsidRPr="00930651">
        <w:rPr>
          <w:rFonts w:asciiTheme="minorHAnsi" w:hAnsiTheme="minorHAnsi"/>
          <w:sz w:val="22"/>
        </w:rPr>
        <w:t>régions</w:t>
      </w:r>
      <w:r w:rsidRPr="00930651">
        <w:rPr>
          <w:rFonts w:asciiTheme="minorHAnsi" w:hAnsiTheme="minorHAnsi"/>
          <w:sz w:val="22"/>
        </w:rPr>
        <w:t>) ; 15 000 CHF pour l</w:t>
      </w:r>
      <w:r w:rsidR="00101E52">
        <w:rPr>
          <w:rFonts w:asciiTheme="minorHAnsi" w:hAnsiTheme="minorHAnsi"/>
          <w:sz w:val="22"/>
        </w:rPr>
        <w:t>’</w:t>
      </w:r>
      <w:r w:rsidRPr="00930651">
        <w:rPr>
          <w:rFonts w:asciiTheme="minorHAnsi" w:hAnsiTheme="minorHAnsi"/>
          <w:sz w:val="22"/>
        </w:rPr>
        <w:t xml:space="preserve">application du GEST et 33 000 CHF pour la planification et le renforcement des </w:t>
      </w:r>
      <w:r w:rsidR="00884289" w:rsidRPr="00930651">
        <w:rPr>
          <w:rFonts w:asciiTheme="minorHAnsi" w:hAnsiTheme="minorHAnsi"/>
          <w:sz w:val="22"/>
        </w:rPr>
        <w:t>capacités</w:t>
      </w:r>
      <w:r w:rsidRPr="00930651">
        <w:rPr>
          <w:rFonts w:asciiTheme="minorHAnsi" w:hAnsiTheme="minorHAnsi"/>
          <w:sz w:val="22"/>
        </w:rPr>
        <w:t>) a été créé pour permettre l</w:t>
      </w:r>
      <w:r w:rsidR="00101E52">
        <w:rPr>
          <w:rFonts w:asciiTheme="minorHAnsi" w:hAnsiTheme="minorHAnsi"/>
          <w:sz w:val="22"/>
        </w:rPr>
        <w:t>’</w:t>
      </w:r>
      <w:r w:rsidRPr="00930651">
        <w:rPr>
          <w:rFonts w:asciiTheme="minorHAnsi" w:hAnsiTheme="minorHAnsi"/>
          <w:sz w:val="22"/>
        </w:rPr>
        <w:t>ajout d</w:t>
      </w:r>
      <w:r w:rsidR="00101E52">
        <w:rPr>
          <w:rFonts w:asciiTheme="minorHAnsi" w:hAnsiTheme="minorHAnsi"/>
          <w:sz w:val="22"/>
        </w:rPr>
        <w:t>’</w:t>
      </w:r>
      <w:r w:rsidRPr="00930651">
        <w:rPr>
          <w:rFonts w:asciiTheme="minorHAnsi" w:hAnsiTheme="minorHAnsi"/>
          <w:sz w:val="22"/>
        </w:rPr>
        <w:t>un poste d</w:t>
      </w:r>
      <w:r w:rsidR="00101E52">
        <w:rPr>
          <w:rFonts w:asciiTheme="minorHAnsi" w:hAnsiTheme="minorHAnsi"/>
          <w:sz w:val="22"/>
        </w:rPr>
        <w:t>’</w:t>
      </w:r>
      <w:r w:rsidRPr="00930651">
        <w:rPr>
          <w:rFonts w:asciiTheme="minorHAnsi" w:hAnsiTheme="minorHAnsi"/>
          <w:sz w:val="22"/>
        </w:rPr>
        <w:t>assistant financier et comptable, et la COP13 a approuvé l</w:t>
      </w:r>
      <w:r w:rsidR="00101E52">
        <w:rPr>
          <w:rFonts w:asciiTheme="minorHAnsi" w:hAnsiTheme="minorHAnsi"/>
          <w:sz w:val="22"/>
        </w:rPr>
        <w:t>’</w:t>
      </w:r>
      <w:r w:rsidRPr="00930651">
        <w:rPr>
          <w:rFonts w:asciiTheme="minorHAnsi" w:hAnsiTheme="minorHAnsi"/>
          <w:sz w:val="22"/>
        </w:rPr>
        <w:t>utilisation de l</w:t>
      </w:r>
      <w:r w:rsidR="00101E52">
        <w:rPr>
          <w:rFonts w:asciiTheme="minorHAnsi" w:hAnsiTheme="minorHAnsi"/>
          <w:sz w:val="22"/>
        </w:rPr>
        <w:t>’</w:t>
      </w:r>
      <w:r w:rsidRPr="00930651">
        <w:rPr>
          <w:rFonts w:asciiTheme="minorHAnsi" w:hAnsiTheme="minorHAnsi"/>
          <w:sz w:val="22"/>
        </w:rPr>
        <w:t>excédent de la période triennale précédente pour couvrir ce déficit. Les frais de personnel inscrits dans le scénario A du budget 2023-2025 incluent ce poste d</w:t>
      </w:r>
      <w:r w:rsidR="00101E52">
        <w:rPr>
          <w:rFonts w:asciiTheme="minorHAnsi" w:hAnsiTheme="minorHAnsi"/>
          <w:sz w:val="22"/>
        </w:rPr>
        <w:t>’</w:t>
      </w:r>
      <w:r w:rsidRPr="00930651">
        <w:rPr>
          <w:rFonts w:asciiTheme="minorHAnsi" w:hAnsiTheme="minorHAnsi"/>
          <w:sz w:val="22"/>
        </w:rPr>
        <w:t xml:space="preserve">assistant financier et comptable, qui se traduit par le même déficit dans le budget administratif. Le Secrétariat a recommandé dans le document SC59/2022 Doc 8.1 </w:t>
      </w:r>
      <w:r w:rsidRPr="00930651">
        <w:rPr>
          <w:rFonts w:asciiTheme="minorHAnsi" w:hAnsiTheme="minorHAnsi"/>
          <w:i/>
          <w:sz w:val="22"/>
        </w:rPr>
        <w:t xml:space="preserve">Rapport sur les questions financières pour 2019-2021 et 2022 </w:t>
      </w:r>
      <w:r w:rsidRPr="00930651">
        <w:rPr>
          <w:rFonts w:asciiTheme="minorHAnsi" w:hAnsiTheme="minorHAnsi"/>
          <w:sz w:val="22"/>
        </w:rPr>
        <w:t>d</w:t>
      </w:r>
      <w:r w:rsidR="00101E52">
        <w:rPr>
          <w:rFonts w:asciiTheme="minorHAnsi" w:hAnsiTheme="minorHAnsi"/>
          <w:sz w:val="22"/>
        </w:rPr>
        <w:t>’</w:t>
      </w:r>
      <w:r w:rsidRPr="00930651">
        <w:rPr>
          <w:rFonts w:asciiTheme="minorHAnsi" w:hAnsiTheme="minorHAnsi"/>
          <w:sz w:val="22"/>
        </w:rPr>
        <w:t>utiliser l</w:t>
      </w:r>
      <w:r w:rsidR="00101E52">
        <w:rPr>
          <w:rFonts w:asciiTheme="minorHAnsi" w:hAnsiTheme="minorHAnsi"/>
          <w:sz w:val="22"/>
        </w:rPr>
        <w:t>’</w:t>
      </w:r>
      <w:r w:rsidRPr="00930651">
        <w:rPr>
          <w:rFonts w:asciiTheme="minorHAnsi" w:hAnsiTheme="minorHAnsi"/>
          <w:sz w:val="22"/>
        </w:rPr>
        <w:t>excédent de la période triennale 2019-2021 d</w:t>
      </w:r>
      <w:r w:rsidR="00101E52">
        <w:rPr>
          <w:rFonts w:asciiTheme="minorHAnsi" w:hAnsiTheme="minorHAnsi"/>
          <w:sz w:val="22"/>
        </w:rPr>
        <w:t>’</w:t>
      </w:r>
      <w:r w:rsidRPr="00930651">
        <w:rPr>
          <w:rFonts w:asciiTheme="minorHAnsi" w:hAnsiTheme="minorHAnsi"/>
          <w:sz w:val="22"/>
        </w:rPr>
        <w:t>un même montant de 228 000 CHF pour couvrir ce déficit. Le scénario A présuppose que le Comité permanent approuve l</w:t>
      </w:r>
      <w:r w:rsidR="00101E52">
        <w:rPr>
          <w:rFonts w:asciiTheme="minorHAnsi" w:hAnsiTheme="minorHAnsi"/>
          <w:sz w:val="22"/>
        </w:rPr>
        <w:t>’</w:t>
      </w:r>
      <w:r w:rsidRPr="00930651">
        <w:rPr>
          <w:rFonts w:asciiTheme="minorHAnsi" w:hAnsiTheme="minorHAnsi"/>
          <w:sz w:val="22"/>
        </w:rPr>
        <w:t>utilisation de l</w:t>
      </w:r>
      <w:r w:rsidR="00101E52">
        <w:rPr>
          <w:rFonts w:asciiTheme="minorHAnsi" w:hAnsiTheme="minorHAnsi"/>
          <w:sz w:val="22"/>
        </w:rPr>
        <w:t>’</w:t>
      </w:r>
      <w:r w:rsidRPr="00930651">
        <w:rPr>
          <w:rFonts w:asciiTheme="minorHAnsi" w:hAnsiTheme="minorHAnsi"/>
          <w:sz w:val="22"/>
        </w:rPr>
        <w:t>excédent à cette fin, en suivant la même approche que lors de la période triennale précédente, de sorte que le budget couvrant les tâches administratives du Secrétariat soit rétabli.</w:t>
      </w:r>
    </w:p>
    <w:p w14:paraId="70FF8D6D" w14:textId="77777777" w:rsidR="00674248" w:rsidRPr="00930651" w:rsidRDefault="00674248" w:rsidP="002A34CC">
      <w:pPr>
        <w:pStyle w:val="MGfulltext"/>
        <w:spacing w:after="0"/>
        <w:ind w:left="850" w:hanging="425"/>
        <w:rPr>
          <w:rFonts w:asciiTheme="minorHAnsi" w:eastAsia="Batang" w:hAnsiTheme="minorHAnsi" w:cs="Times New Roman"/>
          <w:sz w:val="22"/>
          <w:szCs w:val="22"/>
        </w:rPr>
      </w:pPr>
    </w:p>
    <w:p w14:paraId="16E17DDF" w14:textId="1DF0208D" w:rsidR="00C527AA" w:rsidRPr="00930651" w:rsidRDefault="00970C63" w:rsidP="0068433D">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e.</w:t>
      </w:r>
      <w:r w:rsidRPr="00930651">
        <w:rPr>
          <w:rFonts w:asciiTheme="minorHAnsi" w:hAnsiTheme="minorHAnsi"/>
          <w:sz w:val="22"/>
        </w:rPr>
        <w:tab/>
        <w:t>Conformément aux Lignes directrices de l</w:t>
      </w:r>
      <w:r w:rsidR="00101E52">
        <w:rPr>
          <w:rFonts w:asciiTheme="minorHAnsi" w:hAnsiTheme="minorHAnsi"/>
          <w:sz w:val="22"/>
        </w:rPr>
        <w:t>’</w:t>
      </w:r>
      <w:r w:rsidRPr="00930651">
        <w:rPr>
          <w:rFonts w:asciiTheme="minorHAnsi" w:hAnsiTheme="minorHAnsi"/>
          <w:sz w:val="22"/>
        </w:rPr>
        <w:t>UICN relatives à la rémunération des ressources humaines, les salaires du personnel comprennent un système d</w:t>
      </w:r>
      <w:r w:rsidR="00101E52">
        <w:rPr>
          <w:rFonts w:asciiTheme="minorHAnsi" w:hAnsiTheme="minorHAnsi"/>
          <w:sz w:val="22"/>
        </w:rPr>
        <w:t>’</w:t>
      </w:r>
      <w:r w:rsidRPr="00930651">
        <w:rPr>
          <w:rFonts w:asciiTheme="minorHAnsi" w:hAnsiTheme="minorHAnsi"/>
          <w:sz w:val="22"/>
        </w:rPr>
        <w:t>augmentation et de prime fondé sur les performances que le Secrétariat Ramsar a mis en œuvre à partir du 1</w:t>
      </w:r>
      <w:r w:rsidRPr="00930651">
        <w:rPr>
          <w:rFonts w:asciiTheme="minorHAnsi" w:hAnsiTheme="minorHAnsi"/>
          <w:sz w:val="22"/>
          <w:vertAlign w:val="superscript"/>
        </w:rPr>
        <w:t>er</w:t>
      </w:r>
      <w:r w:rsidRPr="00930651">
        <w:rPr>
          <w:rFonts w:asciiTheme="minorHAnsi" w:hAnsiTheme="minorHAnsi"/>
          <w:sz w:val="22"/>
        </w:rPr>
        <w:t> janvier 2019, lorsque le Secrétariat a également appliqué la politique de promotion de l</w:t>
      </w:r>
      <w:r w:rsidR="00101E52">
        <w:rPr>
          <w:rFonts w:asciiTheme="minorHAnsi" w:hAnsiTheme="minorHAnsi"/>
          <w:sz w:val="22"/>
        </w:rPr>
        <w:t>’</w:t>
      </w:r>
      <w:r w:rsidRPr="00930651">
        <w:rPr>
          <w:rFonts w:asciiTheme="minorHAnsi" w:hAnsiTheme="minorHAnsi"/>
          <w:sz w:val="22"/>
        </w:rPr>
        <w:t>UICN. Le budget approuvé par la COP13 pour 2019-2021 inclut la provision pour mettre en œuvre ces deux politiques. Le Secrétariat a intégré une augmentation annuelle dans le budget approuvé par la COP13 pour couvrir les bonnes performances et les promotions. Cependant, il n</w:t>
      </w:r>
      <w:r w:rsidR="00101E52">
        <w:rPr>
          <w:rFonts w:asciiTheme="minorHAnsi" w:hAnsiTheme="minorHAnsi"/>
          <w:sz w:val="22"/>
        </w:rPr>
        <w:t>’</w:t>
      </w:r>
      <w:r w:rsidRPr="00930651">
        <w:rPr>
          <w:rFonts w:asciiTheme="minorHAnsi" w:hAnsiTheme="minorHAnsi"/>
          <w:sz w:val="22"/>
        </w:rPr>
        <w:t>est pas possible de conserver de manière durable une telle augmentation sur le long terme sans augmenter l</w:t>
      </w:r>
      <w:r w:rsidR="00101E52">
        <w:rPr>
          <w:rFonts w:asciiTheme="minorHAnsi" w:hAnsiTheme="minorHAnsi"/>
          <w:sz w:val="22"/>
        </w:rPr>
        <w:t>’</w:t>
      </w:r>
      <w:r w:rsidRPr="00930651">
        <w:rPr>
          <w:rFonts w:asciiTheme="minorHAnsi" w:hAnsiTheme="minorHAnsi"/>
          <w:sz w:val="22"/>
        </w:rPr>
        <w:t>enveloppe budgétaire affectée au personnel. Le Secrétariat propose donc de conserver le système de primes inscrit dans le scénario A avec une provision à cet effet, et de soumettre à l</w:t>
      </w:r>
      <w:r w:rsidR="00101E52">
        <w:rPr>
          <w:rFonts w:asciiTheme="minorHAnsi" w:hAnsiTheme="minorHAnsi"/>
          <w:sz w:val="22"/>
        </w:rPr>
        <w:t>’</w:t>
      </w:r>
      <w:r w:rsidRPr="00930651">
        <w:rPr>
          <w:rFonts w:asciiTheme="minorHAnsi" w:hAnsiTheme="minorHAnsi"/>
          <w:sz w:val="22"/>
        </w:rPr>
        <w:t>examen des Parties contractantes la possibilité d</w:t>
      </w:r>
      <w:r w:rsidR="00101E52">
        <w:rPr>
          <w:rFonts w:asciiTheme="minorHAnsi" w:hAnsiTheme="minorHAnsi"/>
          <w:sz w:val="22"/>
        </w:rPr>
        <w:t>’</w:t>
      </w:r>
      <w:r w:rsidRPr="00930651">
        <w:rPr>
          <w:rFonts w:asciiTheme="minorHAnsi" w:hAnsiTheme="minorHAnsi"/>
          <w:sz w:val="22"/>
        </w:rPr>
        <w:t>attribuer des augmentations de salaire liées aux performances dans les scénarios B et C. De l</w:t>
      </w:r>
      <w:r w:rsidR="00101E52">
        <w:rPr>
          <w:rFonts w:asciiTheme="minorHAnsi" w:hAnsiTheme="minorHAnsi"/>
          <w:sz w:val="22"/>
        </w:rPr>
        <w:t>’</w:t>
      </w:r>
      <w:r w:rsidRPr="00930651">
        <w:rPr>
          <w:rFonts w:asciiTheme="minorHAnsi" w:hAnsiTheme="minorHAnsi"/>
          <w:sz w:val="22"/>
        </w:rPr>
        <w:t>avis du Secrétariat, il est important de se doter de telles mesures pour appliquer les politiques et les lignes directrices de l</w:t>
      </w:r>
      <w:r w:rsidR="00101E52">
        <w:rPr>
          <w:rFonts w:asciiTheme="minorHAnsi" w:hAnsiTheme="minorHAnsi"/>
          <w:sz w:val="22"/>
        </w:rPr>
        <w:t>’</w:t>
      </w:r>
      <w:r w:rsidRPr="00930651">
        <w:rPr>
          <w:rFonts w:asciiTheme="minorHAnsi" w:hAnsiTheme="minorHAnsi"/>
          <w:sz w:val="22"/>
        </w:rPr>
        <w:t>UICN, ainsi que pour fournir les incitations nécessaires pour retenir le personnel et le récompenser lorsque ses performances sont bonnes, voire exceptionnelles.</w:t>
      </w:r>
    </w:p>
    <w:p w14:paraId="63A688FC" w14:textId="77777777" w:rsidR="00191794" w:rsidRPr="00930651" w:rsidRDefault="00191794" w:rsidP="0068433D">
      <w:pPr>
        <w:pStyle w:val="MGfulltext"/>
        <w:spacing w:after="0"/>
        <w:ind w:left="850" w:hanging="425"/>
        <w:rPr>
          <w:rFonts w:asciiTheme="minorHAnsi" w:eastAsia="Batang" w:hAnsiTheme="minorHAnsi" w:cs="Times New Roman"/>
          <w:sz w:val="22"/>
          <w:szCs w:val="22"/>
        </w:rPr>
      </w:pPr>
    </w:p>
    <w:p w14:paraId="06E21580" w14:textId="295B881C" w:rsidR="007D005B" w:rsidRPr="00930651" w:rsidRDefault="00105E0C" w:rsidP="00586541">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f.</w:t>
      </w:r>
      <w:r w:rsidRPr="00930651">
        <w:rPr>
          <w:rFonts w:asciiTheme="minorHAnsi" w:hAnsiTheme="minorHAnsi"/>
          <w:sz w:val="22"/>
        </w:rPr>
        <w:tab/>
        <w:t>Le Secrétariat tient à noter que le budget 2022 approuvé par la troisième Session extraordinaire de la Conférence des Parties contractantes (ExCOP3) n</w:t>
      </w:r>
      <w:r w:rsidR="00101E52">
        <w:rPr>
          <w:rFonts w:asciiTheme="minorHAnsi" w:hAnsiTheme="minorHAnsi"/>
          <w:sz w:val="22"/>
        </w:rPr>
        <w:t>’</w:t>
      </w:r>
      <w:r w:rsidRPr="00930651">
        <w:rPr>
          <w:rFonts w:asciiTheme="minorHAnsi" w:hAnsiTheme="minorHAnsi"/>
          <w:sz w:val="22"/>
        </w:rPr>
        <w:t>incluait que la provision pour les primes et ne permettait donc pas d</w:t>
      </w:r>
      <w:r w:rsidR="00101E52">
        <w:rPr>
          <w:rFonts w:asciiTheme="minorHAnsi" w:hAnsiTheme="minorHAnsi"/>
          <w:sz w:val="22"/>
        </w:rPr>
        <w:t>’</w:t>
      </w:r>
      <w:r w:rsidRPr="00930651">
        <w:rPr>
          <w:rFonts w:asciiTheme="minorHAnsi" w:hAnsiTheme="minorHAnsi"/>
          <w:sz w:val="22"/>
        </w:rPr>
        <w:t>augmentations fondées sur la performance.</w:t>
      </w:r>
    </w:p>
    <w:p w14:paraId="2A5F7CD5" w14:textId="77777777" w:rsidR="007D005B" w:rsidRPr="00930651" w:rsidRDefault="007D005B" w:rsidP="00241822">
      <w:pPr>
        <w:pStyle w:val="MGfulltext"/>
        <w:spacing w:after="0"/>
        <w:ind w:left="850" w:hanging="425"/>
        <w:rPr>
          <w:rFonts w:asciiTheme="minorHAnsi" w:eastAsia="Batang" w:hAnsiTheme="minorHAnsi" w:cs="Times New Roman"/>
          <w:sz w:val="22"/>
          <w:szCs w:val="22"/>
        </w:rPr>
      </w:pPr>
    </w:p>
    <w:p w14:paraId="2C44CD19" w14:textId="7975297A" w:rsidR="00B87D61" w:rsidRPr="00930651" w:rsidRDefault="00105E0C"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g.</w:t>
      </w:r>
      <w:r w:rsidRPr="00930651">
        <w:rPr>
          <w:rFonts w:asciiTheme="minorHAnsi" w:hAnsiTheme="minorHAnsi"/>
          <w:sz w:val="22"/>
        </w:rPr>
        <w:tab/>
        <w:t>Le Secrétariat tient également à souligner que l</w:t>
      </w:r>
      <w:r w:rsidR="00101E52">
        <w:rPr>
          <w:rFonts w:asciiTheme="minorHAnsi" w:hAnsiTheme="minorHAnsi"/>
          <w:sz w:val="22"/>
        </w:rPr>
        <w:t>’</w:t>
      </w:r>
      <w:r w:rsidRPr="00930651">
        <w:rPr>
          <w:rFonts w:asciiTheme="minorHAnsi" w:hAnsiTheme="minorHAnsi"/>
          <w:sz w:val="22"/>
        </w:rPr>
        <w:t xml:space="preserve">UICN mettra à jour ses lignes directrices relatives à la rémunération durant le second semestre 2022. </w:t>
      </w:r>
    </w:p>
    <w:p w14:paraId="667D0A20" w14:textId="77777777" w:rsidR="00B87D61" w:rsidRPr="00930651" w:rsidRDefault="00B87D61" w:rsidP="00241822">
      <w:pPr>
        <w:pStyle w:val="MGfulltext"/>
        <w:spacing w:after="0"/>
        <w:ind w:left="850" w:hanging="425"/>
        <w:rPr>
          <w:rFonts w:asciiTheme="minorHAnsi" w:eastAsia="Batang" w:hAnsiTheme="minorHAnsi" w:cs="Times New Roman"/>
          <w:sz w:val="22"/>
          <w:szCs w:val="22"/>
        </w:rPr>
      </w:pPr>
    </w:p>
    <w:p w14:paraId="65FA69DB" w14:textId="1EAA0385" w:rsidR="0053257A" w:rsidRPr="00930651" w:rsidRDefault="005E4E6C"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h.</w:t>
      </w:r>
      <w:r w:rsidRPr="00930651">
        <w:rPr>
          <w:rFonts w:asciiTheme="minorHAnsi" w:hAnsiTheme="minorHAnsi"/>
          <w:sz w:val="22"/>
        </w:rPr>
        <w:tab/>
        <w:t>Le montant total des coûts salariaux et des coûts connexes représente environ 71 % du budget administratif, c</w:t>
      </w:r>
      <w:r w:rsidR="00101E52">
        <w:rPr>
          <w:rFonts w:asciiTheme="minorHAnsi" w:hAnsiTheme="minorHAnsi"/>
          <w:sz w:val="22"/>
        </w:rPr>
        <w:t>’</w:t>
      </w:r>
      <w:r w:rsidRPr="00930651">
        <w:rPr>
          <w:rFonts w:asciiTheme="minorHAnsi" w:hAnsiTheme="minorHAnsi"/>
          <w:sz w:val="22"/>
        </w:rPr>
        <w:t>est-à-dire qu</w:t>
      </w:r>
      <w:r w:rsidR="00101E52">
        <w:rPr>
          <w:rFonts w:asciiTheme="minorHAnsi" w:hAnsiTheme="minorHAnsi"/>
          <w:sz w:val="22"/>
        </w:rPr>
        <w:t>’</w:t>
      </w:r>
      <w:r w:rsidRPr="00930651">
        <w:rPr>
          <w:rFonts w:asciiTheme="minorHAnsi" w:hAnsiTheme="minorHAnsi"/>
          <w:sz w:val="22"/>
        </w:rPr>
        <w:t>il est maintenu au même niveau que pendant la période 2019-2021</w:t>
      </w:r>
      <w:r w:rsidR="00300837" w:rsidRPr="00930651">
        <w:rPr>
          <w:rStyle w:val="FootnoteReference"/>
          <w:rFonts w:asciiTheme="minorHAnsi" w:eastAsia="Batang" w:hAnsiTheme="minorHAnsi" w:cs="Times New Roman"/>
          <w:sz w:val="22"/>
          <w:szCs w:val="22"/>
        </w:rPr>
        <w:footnoteReference w:id="1"/>
      </w:r>
      <w:r w:rsidRPr="00930651">
        <w:rPr>
          <w:rFonts w:asciiTheme="minorHAnsi" w:hAnsiTheme="minorHAnsi"/>
          <w:sz w:val="22"/>
        </w:rPr>
        <w:t>. Il n</w:t>
      </w:r>
      <w:r w:rsidR="00101E52">
        <w:rPr>
          <w:rFonts w:asciiTheme="minorHAnsi" w:hAnsiTheme="minorHAnsi"/>
          <w:sz w:val="22"/>
        </w:rPr>
        <w:t>’</w:t>
      </w:r>
      <w:r w:rsidRPr="00930651">
        <w:rPr>
          <w:rFonts w:asciiTheme="minorHAnsi" w:hAnsiTheme="minorHAnsi"/>
          <w:sz w:val="22"/>
        </w:rPr>
        <w:t>est donc pas possible dans ce scénario d</w:t>
      </w:r>
      <w:r w:rsidR="00101E52">
        <w:rPr>
          <w:rFonts w:asciiTheme="minorHAnsi" w:hAnsiTheme="minorHAnsi"/>
          <w:sz w:val="22"/>
        </w:rPr>
        <w:t>’</w:t>
      </w:r>
      <w:r w:rsidRPr="00930651">
        <w:rPr>
          <w:rFonts w:asciiTheme="minorHAnsi" w:hAnsiTheme="minorHAnsi"/>
          <w:sz w:val="22"/>
        </w:rPr>
        <w:t>appliquer des augmentations de salaire et des promotions fondées sur les performances. Cependant, en maintenant les salaires au même niveau, le Secrétariat ne peut pas continuer à donner les augmentations fondées sur la performance décidées en 2019, et il ne dispose d</w:t>
      </w:r>
      <w:r w:rsidR="00101E52">
        <w:rPr>
          <w:rFonts w:asciiTheme="minorHAnsi" w:hAnsiTheme="minorHAnsi"/>
          <w:sz w:val="22"/>
        </w:rPr>
        <w:t>’</w:t>
      </w:r>
      <w:r w:rsidRPr="00930651">
        <w:rPr>
          <w:rFonts w:asciiTheme="minorHAnsi" w:hAnsiTheme="minorHAnsi"/>
          <w:sz w:val="22"/>
        </w:rPr>
        <w:t>aucune ressource pour les promotions et la rétention du personnel.</w:t>
      </w:r>
    </w:p>
    <w:p w14:paraId="52BBD68A"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0B226020" w14:textId="77777777" w:rsidR="00EE7537" w:rsidRPr="00930651" w:rsidRDefault="005E4E6C"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i.</w:t>
      </w:r>
      <w:r w:rsidRPr="00930651">
        <w:rPr>
          <w:rFonts w:asciiTheme="minorHAnsi" w:hAnsiTheme="minorHAnsi"/>
          <w:sz w:val="22"/>
        </w:rPr>
        <w:tab/>
        <w:t xml:space="preserve">Par rapport au budget triennal 2019-2021, les coûts de recrutement et de départ du personnel ont été augmentés de 77 000 CHF, sur la base des coûts réels. </w:t>
      </w:r>
    </w:p>
    <w:p w14:paraId="40CE65FF" w14:textId="77777777" w:rsidR="00EE7537" w:rsidRPr="00930651" w:rsidRDefault="00EE7537" w:rsidP="00241822">
      <w:pPr>
        <w:pStyle w:val="MGfulltext"/>
        <w:spacing w:after="0"/>
        <w:ind w:left="850" w:hanging="425"/>
        <w:rPr>
          <w:rFonts w:asciiTheme="minorHAnsi" w:eastAsia="Batang" w:hAnsiTheme="minorHAnsi" w:cs="Times New Roman"/>
          <w:sz w:val="22"/>
          <w:szCs w:val="22"/>
        </w:rPr>
      </w:pPr>
    </w:p>
    <w:p w14:paraId="492BAE38" w14:textId="53E0A89D" w:rsidR="00FD27EB" w:rsidRPr="00930651" w:rsidRDefault="005E4E6C"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j.</w:t>
      </w:r>
      <w:r w:rsidRPr="00930651">
        <w:rPr>
          <w:rFonts w:asciiTheme="minorHAnsi" w:hAnsiTheme="minorHAnsi"/>
          <w:sz w:val="22"/>
        </w:rPr>
        <w:tab/>
        <w:t>Le coût des services administratifs de l</w:t>
      </w:r>
      <w:r w:rsidR="00101E52">
        <w:rPr>
          <w:rFonts w:asciiTheme="minorHAnsi" w:hAnsiTheme="minorHAnsi"/>
          <w:sz w:val="22"/>
        </w:rPr>
        <w:t>’</w:t>
      </w:r>
      <w:r w:rsidRPr="00930651">
        <w:rPr>
          <w:rFonts w:asciiTheme="minorHAnsi" w:hAnsiTheme="minorHAnsi"/>
          <w:sz w:val="22"/>
        </w:rPr>
        <w:t>UICN a été réduit de 57 000 CHF par rapport à la période triennale précédente grâce aux changements apportés au système de l</w:t>
      </w:r>
      <w:r w:rsidR="00101E52">
        <w:rPr>
          <w:rFonts w:asciiTheme="minorHAnsi" w:hAnsiTheme="minorHAnsi"/>
          <w:sz w:val="22"/>
        </w:rPr>
        <w:t>’</w:t>
      </w:r>
      <w:r w:rsidRPr="00930651">
        <w:rPr>
          <w:rFonts w:asciiTheme="minorHAnsi" w:hAnsiTheme="minorHAnsi"/>
          <w:sz w:val="22"/>
        </w:rPr>
        <w:t>UICN d</w:t>
      </w:r>
      <w:r w:rsidR="00101E52">
        <w:rPr>
          <w:rFonts w:asciiTheme="minorHAnsi" w:hAnsiTheme="minorHAnsi"/>
          <w:sz w:val="22"/>
        </w:rPr>
        <w:t>’</w:t>
      </w:r>
      <w:r w:rsidRPr="00930651">
        <w:rPr>
          <w:rFonts w:asciiTheme="minorHAnsi" w:hAnsiTheme="minorHAnsi"/>
          <w:sz w:val="22"/>
        </w:rPr>
        <w:t>organisation des voyages. L</w:t>
      </w:r>
      <w:r w:rsidR="00101E52">
        <w:rPr>
          <w:rFonts w:asciiTheme="minorHAnsi" w:hAnsiTheme="minorHAnsi"/>
          <w:sz w:val="22"/>
        </w:rPr>
        <w:t>’</w:t>
      </w:r>
      <w:r w:rsidRPr="00930651">
        <w:rPr>
          <w:rFonts w:asciiTheme="minorHAnsi" w:hAnsiTheme="minorHAnsi"/>
          <w:sz w:val="22"/>
        </w:rPr>
        <w:t>UICN a supprimé le service de voyage inscrit au budget lors de la précédente période triennale au printemps 2020 en raison des restrictions de déplacements liées au COVID-19, la réservation des billets se fait par l</w:t>
      </w:r>
      <w:r w:rsidR="00101E52">
        <w:rPr>
          <w:rFonts w:asciiTheme="minorHAnsi" w:hAnsiTheme="minorHAnsi"/>
          <w:sz w:val="22"/>
        </w:rPr>
        <w:t>’</w:t>
      </w:r>
      <w:r w:rsidR="006E4400" w:rsidRPr="00930651">
        <w:rPr>
          <w:rFonts w:asciiTheme="minorHAnsi" w:hAnsiTheme="minorHAnsi"/>
          <w:sz w:val="22"/>
        </w:rPr>
        <w:t>intermédiaire</w:t>
      </w:r>
      <w:r w:rsidRPr="00930651">
        <w:rPr>
          <w:rFonts w:asciiTheme="minorHAnsi" w:hAnsiTheme="minorHAnsi"/>
          <w:sz w:val="22"/>
        </w:rPr>
        <w:t xml:space="preserve"> du centre d</w:t>
      </w:r>
      <w:r w:rsidR="00101E52">
        <w:rPr>
          <w:rFonts w:asciiTheme="minorHAnsi" w:hAnsiTheme="minorHAnsi"/>
          <w:sz w:val="22"/>
        </w:rPr>
        <w:t>’</w:t>
      </w:r>
      <w:r w:rsidRPr="00930651">
        <w:rPr>
          <w:rFonts w:asciiTheme="minorHAnsi" w:hAnsiTheme="minorHAnsi"/>
          <w:sz w:val="22"/>
        </w:rPr>
        <w:t>appel et des plateformes internet de l</w:t>
      </w:r>
      <w:r w:rsidR="00101E52">
        <w:rPr>
          <w:rFonts w:asciiTheme="minorHAnsi" w:hAnsiTheme="minorHAnsi"/>
          <w:sz w:val="22"/>
        </w:rPr>
        <w:t>’</w:t>
      </w:r>
      <w:r w:rsidRPr="00930651">
        <w:rPr>
          <w:rFonts w:asciiTheme="minorHAnsi" w:hAnsiTheme="minorHAnsi"/>
          <w:sz w:val="22"/>
        </w:rPr>
        <w:t>agence de voyage</w:t>
      </w:r>
      <w:r w:rsidR="00BD2743">
        <w:rPr>
          <w:rFonts w:asciiTheme="minorHAnsi" w:hAnsiTheme="minorHAnsi"/>
          <w:sz w:val="22"/>
        </w:rPr>
        <w:t>s</w:t>
      </w:r>
      <w:r w:rsidRPr="00930651">
        <w:rPr>
          <w:rFonts w:asciiTheme="minorHAnsi" w:hAnsiTheme="minorHAnsi"/>
          <w:sz w:val="22"/>
        </w:rPr>
        <w:t xml:space="preserve"> et les prestations de service sont incluses dans les frais de voyage.</w:t>
      </w:r>
    </w:p>
    <w:p w14:paraId="2BC7783B"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1E5C39C4" w14:textId="6CB173F6" w:rsidR="002F7900" w:rsidRPr="00930651" w:rsidRDefault="005E4E6C"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k.</w:t>
      </w:r>
      <w:r w:rsidRPr="00930651">
        <w:rPr>
          <w:rFonts w:asciiTheme="minorHAnsi" w:hAnsiTheme="minorHAnsi"/>
          <w:sz w:val="22"/>
        </w:rPr>
        <w:tab/>
        <w:t>En outre, par rapport au budget triennal 2019-2021, l</w:t>
      </w:r>
      <w:r w:rsidR="00101E52">
        <w:rPr>
          <w:rFonts w:asciiTheme="minorHAnsi" w:hAnsiTheme="minorHAnsi"/>
          <w:sz w:val="22"/>
        </w:rPr>
        <w:t>’</w:t>
      </w:r>
      <w:r w:rsidRPr="00930651">
        <w:rPr>
          <w:rFonts w:asciiTheme="minorHAnsi" w:hAnsiTheme="minorHAnsi"/>
          <w:sz w:val="22"/>
        </w:rPr>
        <w:t>Appui et le développement du Web/TI a été réduit de 11 000 CHF</w:t>
      </w:r>
      <w:r w:rsidR="00BD2743">
        <w:rPr>
          <w:rFonts w:asciiTheme="minorHAnsi" w:hAnsiTheme="minorHAnsi"/>
          <w:sz w:val="22"/>
        </w:rPr>
        <w:t>,</w:t>
      </w:r>
      <w:r w:rsidRPr="00930651">
        <w:rPr>
          <w:rFonts w:asciiTheme="minorHAnsi" w:hAnsiTheme="minorHAnsi"/>
          <w:sz w:val="22"/>
        </w:rPr>
        <w:t xml:space="preserve"> car le Secrétariat prévoit une baisse des dépenses d</w:t>
      </w:r>
      <w:r w:rsidR="00101E52">
        <w:rPr>
          <w:rFonts w:asciiTheme="minorHAnsi" w:hAnsiTheme="minorHAnsi"/>
          <w:sz w:val="22"/>
        </w:rPr>
        <w:t>’</w:t>
      </w:r>
      <w:r w:rsidRPr="00930651">
        <w:rPr>
          <w:rFonts w:asciiTheme="minorHAnsi" w:hAnsiTheme="minorHAnsi"/>
          <w:sz w:val="22"/>
        </w:rPr>
        <w:t>appui pour l</w:t>
      </w:r>
      <w:r w:rsidR="00101E52">
        <w:rPr>
          <w:rFonts w:asciiTheme="minorHAnsi" w:hAnsiTheme="minorHAnsi"/>
          <w:sz w:val="22"/>
        </w:rPr>
        <w:t>’</w:t>
      </w:r>
      <w:r w:rsidRPr="00930651">
        <w:rPr>
          <w:rFonts w:asciiTheme="minorHAnsi" w:hAnsiTheme="minorHAnsi"/>
          <w:sz w:val="22"/>
        </w:rPr>
        <w:t>hébergement, la maintenance et les développements informatiques limités après la refonte du site prévue en 2022.</w:t>
      </w:r>
    </w:p>
    <w:p w14:paraId="5320CEDF" w14:textId="77777777" w:rsidR="00C13E62" w:rsidRPr="00930651" w:rsidRDefault="00C13E62" w:rsidP="00241822">
      <w:pPr>
        <w:pStyle w:val="MGfulltext"/>
        <w:spacing w:after="0"/>
        <w:ind w:left="850" w:hanging="425"/>
        <w:rPr>
          <w:rFonts w:asciiTheme="minorHAnsi" w:eastAsia="Batang" w:hAnsiTheme="minorHAnsi" w:cs="Times New Roman"/>
          <w:sz w:val="22"/>
          <w:szCs w:val="22"/>
        </w:rPr>
      </w:pPr>
    </w:p>
    <w:p w14:paraId="2CAD2378" w14:textId="3E47A286" w:rsidR="00C13E62" w:rsidRPr="00930651" w:rsidRDefault="005E4E6C" w:rsidP="00101117">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l.</w:t>
      </w:r>
      <w:r w:rsidRPr="00930651">
        <w:rPr>
          <w:rFonts w:asciiTheme="minorHAnsi" w:hAnsiTheme="minorHAnsi"/>
          <w:sz w:val="22"/>
        </w:rPr>
        <w:tab/>
        <w:t xml:space="preserve">Par rapport </w:t>
      </w:r>
      <w:r w:rsidR="006E4400">
        <w:rPr>
          <w:rFonts w:asciiTheme="minorHAnsi" w:hAnsiTheme="minorHAnsi"/>
          <w:sz w:val="22"/>
        </w:rPr>
        <w:t>à la période triennale précédente</w:t>
      </w:r>
      <w:r w:rsidRPr="00930651">
        <w:rPr>
          <w:rFonts w:asciiTheme="minorHAnsi" w:hAnsiTheme="minorHAnsi"/>
          <w:sz w:val="22"/>
        </w:rPr>
        <w:t xml:space="preserve">, le budget prévu pour les voyages a été ajusté avec une réaffectation de 24 000 CHF de la section C Appui et conseils aux </w:t>
      </w:r>
      <w:r w:rsidR="006E4400" w:rsidRPr="00930651">
        <w:rPr>
          <w:rFonts w:asciiTheme="minorHAnsi" w:hAnsiTheme="minorHAnsi"/>
          <w:sz w:val="22"/>
        </w:rPr>
        <w:t>régions</w:t>
      </w:r>
      <w:r w:rsidRPr="00930651">
        <w:rPr>
          <w:rFonts w:asciiTheme="minorHAnsi" w:hAnsiTheme="minorHAnsi"/>
          <w:sz w:val="22"/>
        </w:rPr>
        <w:t xml:space="preserve"> du budget à la section E Sciences et Politiques, conformément aux obligations </w:t>
      </w:r>
      <w:r w:rsidR="006E4400">
        <w:rPr>
          <w:rFonts w:asciiTheme="minorHAnsi" w:hAnsiTheme="minorHAnsi"/>
          <w:sz w:val="22"/>
        </w:rPr>
        <w:t>figurant dans le</w:t>
      </w:r>
      <w:r w:rsidRPr="00930651">
        <w:rPr>
          <w:rFonts w:asciiTheme="minorHAnsi" w:hAnsiTheme="minorHAnsi"/>
          <w:sz w:val="22"/>
        </w:rPr>
        <w:t xml:space="preserve"> plan de travail </w:t>
      </w:r>
      <w:r w:rsidR="007B4653">
        <w:rPr>
          <w:rFonts w:asciiTheme="minorHAnsi" w:hAnsiTheme="minorHAnsi"/>
          <w:sz w:val="22"/>
        </w:rPr>
        <w:t>du</w:t>
      </w:r>
      <w:r w:rsidRPr="00930651">
        <w:rPr>
          <w:rFonts w:asciiTheme="minorHAnsi" w:hAnsiTheme="minorHAnsi"/>
          <w:sz w:val="22"/>
        </w:rPr>
        <w:t xml:space="preserve"> Secrétariat, tandis que le budget global reste le même que pendant la période triennale 2019-2021 et représente 3 % du budget administratif.</w:t>
      </w:r>
    </w:p>
    <w:p w14:paraId="09368000" w14:textId="77777777" w:rsidR="002F7900" w:rsidRPr="00930651" w:rsidRDefault="002F7900" w:rsidP="00241822">
      <w:pPr>
        <w:pStyle w:val="MGfulltext"/>
        <w:spacing w:after="0"/>
        <w:ind w:left="850" w:hanging="425"/>
        <w:rPr>
          <w:rFonts w:asciiTheme="minorHAnsi" w:eastAsia="Batang" w:hAnsiTheme="minorHAnsi" w:cs="Times New Roman"/>
          <w:sz w:val="22"/>
          <w:szCs w:val="22"/>
        </w:rPr>
      </w:pPr>
    </w:p>
    <w:p w14:paraId="0AD92578" w14:textId="1C28AEBC" w:rsidR="00B32E40" w:rsidRPr="00930651" w:rsidRDefault="005E4E6C"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m.</w:t>
      </w:r>
      <w:r w:rsidRPr="00930651">
        <w:rPr>
          <w:rFonts w:asciiTheme="minorHAnsi" w:hAnsiTheme="minorHAnsi"/>
          <w:sz w:val="22"/>
        </w:rPr>
        <w:tab/>
        <w:t xml:space="preserve">Comme dans la période triennale précédente, 100 000 CHF par an sont inscrits au budget pour financer le </w:t>
      </w:r>
      <w:r w:rsidR="0014519C" w:rsidRPr="00930651">
        <w:rPr>
          <w:rFonts w:asciiTheme="minorHAnsi" w:hAnsiTheme="minorHAnsi"/>
          <w:sz w:val="22"/>
        </w:rPr>
        <w:t>démarrage</w:t>
      </w:r>
      <w:r w:rsidRPr="00930651">
        <w:rPr>
          <w:rFonts w:asciiTheme="minorHAnsi" w:hAnsiTheme="minorHAnsi"/>
          <w:sz w:val="22"/>
        </w:rPr>
        <w:t xml:space="preserve"> d</w:t>
      </w:r>
      <w:r w:rsidR="00101E52">
        <w:rPr>
          <w:rFonts w:asciiTheme="minorHAnsi" w:hAnsiTheme="minorHAnsi"/>
          <w:sz w:val="22"/>
        </w:rPr>
        <w:t>’</w:t>
      </w:r>
      <w:r w:rsidRPr="00930651">
        <w:rPr>
          <w:rFonts w:asciiTheme="minorHAnsi" w:hAnsiTheme="minorHAnsi"/>
          <w:sz w:val="22"/>
        </w:rPr>
        <w:t xml:space="preserve">Initiatives </w:t>
      </w:r>
      <w:r w:rsidR="0014519C" w:rsidRPr="00930651">
        <w:rPr>
          <w:rFonts w:asciiTheme="minorHAnsi" w:hAnsiTheme="minorHAnsi"/>
          <w:sz w:val="22"/>
        </w:rPr>
        <w:t>régionales</w:t>
      </w:r>
      <w:r w:rsidRPr="00930651">
        <w:rPr>
          <w:rFonts w:asciiTheme="minorHAnsi" w:hAnsiTheme="minorHAnsi"/>
          <w:sz w:val="22"/>
        </w:rPr>
        <w:t xml:space="preserve"> Ramsar. </w:t>
      </w:r>
    </w:p>
    <w:p w14:paraId="477F192D"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71F5B01B" w14:textId="2886BE38" w:rsidR="00B32E40" w:rsidRPr="007B4653" w:rsidRDefault="005E4E6C" w:rsidP="00241822">
      <w:pPr>
        <w:pStyle w:val="MGfulltext"/>
        <w:spacing w:after="0"/>
        <w:ind w:left="850" w:hanging="425"/>
        <w:rPr>
          <w:rFonts w:asciiTheme="minorHAnsi" w:eastAsia="Batang" w:hAnsiTheme="minorHAnsi" w:cs="Times New Roman"/>
          <w:spacing w:val="-4"/>
          <w:sz w:val="22"/>
          <w:szCs w:val="22"/>
        </w:rPr>
      </w:pPr>
      <w:r w:rsidRPr="007B4653">
        <w:rPr>
          <w:rFonts w:asciiTheme="minorHAnsi" w:hAnsiTheme="minorHAnsi"/>
          <w:spacing w:val="-4"/>
          <w:sz w:val="22"/>
        </w:rPr>
        <w:t>n.</w:t>
      </w:r>
      <w:r w:rsidRPr="007B4653">
        <w:rPr>
          <w:rFonts w:asciiTheme="minorHAnsi" w:hAnsiTheme="minorHAnsi"/>
          <w:spacing w:val="-4"/>
          <w:sz w:val="22"/>
        </w:rPr>
        <w:tab/>
        <w:t>Aucun financement n</w:t>
      </w:r>
      <w:r w:rsidR="00101E52" w:rsidRPr="007B4653">
        <w:rPr>
          <w:rFonts w:asciiTheme="minorHAnsi" w:hAnsiTheme="minorHAnsi"/>
          <w:spacing w:val="-4"/>
          <w:sz w:val="22"/>
        </w:rPr>
        <w:t>’</w:t>
      </w:r>
      <w:r w:rsidRPr="007B4653">
        <w:rPr>
          <w:rFonts w:asciiTheme="minorHAnsi" w:hAnsiTheme="minorHAnsi"/>
          <w:spacing w:val="-4"/>
          <w:sz w:val="22"/>
        </w:rPr>
        <w:t>est prévu dans le budget administratif pour les Missions consultatives Ramsar, les sessions de la Conférence des Parties contractantes ou pour les réunions régionales précédant la COP, comme c</w:t>
      </w:r>
      <w:r w:rsidR="00101E52" w:rsidRPr="007B4653">
        <w:rPr>
          <w:rFonts w:asciiTheme="minorHAnsi" w:hAnsiTheme="minorHAnsi"/>
          <w:spacing w:val="-4"/>
          <w:sz w:val="22"/>
        </w:rPr>
        <w:t>’</w:t>
      </w:r>
      <w:r w:rsidRPr="007B4653">
        <w:rPr>
          <w:rFonts w:asciiTheme="minorHAnsi" w:hAnsiTheme="minorHAnsi"/>
          <w:spacing w:val="-4"/>
          <w:sz w:val="22"/>
        </w:rPr>
        <w:t>était le cas pour la période triennale 2019-2021 (à l</w:t>
      </w:r>
      <w:r w:rsidR="00101E52" w:rsidRPr="007B4653">
        <w:rPr>
          <w:rFonts w:asciiTheme="minorHAnsi" w:hAnsiTheme="minorHAnsi"/>
          <w:spacing w:val="-4"/>
          <w:sz w:val="22"/>
        </w:rPr>
        <w:t>’</w:t>
      </w:r>
      <w:r w:rsidRPr="007B4653">
        <w:rPr>
          <w:rFonts w:asciiTheme="minorHAnsi" w:hAnsiTheme="minorHAnsi"/>
          <w:spacing w:val="-4"/>
          <w:sz w:val="22"/>
        </w:rPr>
        <w:t>exception des dépenses liées aux sessions de la COP figurant dans le scénario budgétaire C).</w:t>
      </w:r>
    </w:p>
    <w:p w14:paraId="7971F710" w14:textId="77777777" w:rsidR="00701C8A" w:rsidRPr="00930651" w:rsidRDefault="00701C8A" w:rsidP="00241822">
      <w:pPr>
        <w:pStyle w:val="MGfulltext"/>
        <w:spacing w:after="0"/>
        <w:ind w:left="850" w:hanging="425"/>
        <w:rPr>
          <w:rFonts w:asciiTheme="minorHAnsi" w:eastAsia="Batang" w:hAnsiTheme="minorHAnsi" w:cs="Times New Roman"/>
          <w:sz w:val="22"/>
          <w:szCs w:val="22"/>
        </w:rPr>
      </w:pPr>
    </w:p>
    <w:p w14:paraId="24201960" w14:textId="77777777" w:rsidR="00701C8A" w:rsidRPr="00930651" w:rsidRDefault="005E4E6C"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o.</w:t>
      </w:r>
      <w:r w:rsidRPr="00930651">
        <w:rPr>
          <w:rFonts w:asciiTheme="minorHAnsi" w:hAnsiTheme="minorHAnsi"/>
          <w:sz w:val="22"/>
        </w:rPr>
        <w:tab/>
        <w:t xml:space="preserve">Par rapport à la période triennale précédente, le montant affecté aux provisions a été maintenu. Toutefois, conformément à la Décision SC58-31 du Comité permanent, les </w:t>
      </w:r>
      <w:r w:rsidRPr="00930651">
        <w:rPr>
          <w:rFonts w:asciiTheme="minorHAnsi" w:hAnsiTheme="minorHAnsi"/>
          <w:sz w:val="22"/>
        </w:rPr>
        <w:lastRenderedPageBreak/>
        <w:t xml:space="preserve">provisions sont présentées dans deux lignes budgétaires distinctes : a) provisions pour le personnel et b) provision pour les contributions impayées. Ainsi, sur la base des ajustements moyens des provisions pour le personnel durant la période triennale 2019-2021, le Secrétariat a réparti le montant de 50 000 CHF alloué durant la période triennale 2019-2021 en affectant 20 000 CHF aux provisions pour le personnel et 30 000 CHF à la provision pour les contributions impayées. </w:t>
      </w:r>
    </w:p>
    <w:p w14:paraId="7E7A3563" w14:textId="77777777" w:rsidR="000A192A" w:rsidRPr="00930651" w:rsidRDefault="000A192A" w:rsidP="00241822">
      <w:pPr>
        <w:pStyle w:val="MGfulltext"/>
        <w:spacing w:after="0"/>
        <w:ind w:left="850" w:hanging="425"/>
        <w:rPr>
          <w:rFonts w:asciiTheme="minorHAnsi" w:eastAsia="Batang" w:hAnsiTheme="minorHAnsi" w:cs="Times New Roman"/>
          <w:sz w:val="22"/>
          <w:szCs w:val="22"/>
        </w:rPr>
      </w:pPr>
    </w:p>
    <w:p w14:paraId="315F1C0A" w14:textId="684E18ED" w:rsidR="00BC294C" w:rsidRPr="00930651" w:rsidRDefault="005E4E6C"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p.</w:t>
      </w:r>
      <w:r w:rsidRPr="00930651">
        <w:rPr>
          <w:rFonts w:asciiTheme="minorHAnsi" w:hAnsiTheme="minorHAnsi"/>
          <w:sz w:val="22"/>
        </w:rPr>
        <w:tab/>
        <w:t>Le montant affecté aux provisions pour le personnel a été calculé sur la base des chiffres réels de la période triennale précédente. Le montant de la provision pour les contributions impayées ne sera pas suffisant, donc des économies réalisées dans le budget administratif devront être affectées chaque année à cette ligne budgétaire sur la base des calculs réels. Cela s</w:t>
      </w:r>
      <w:r w:rsidR="00101E52">
        <w:rPr>
          <w:rFonts w:asciiTheme="minorHAnsi" w:hAnsiTheme="minorHAnsi"/>
          <w:sz w:val="22"/>
        </w:rPr>
        <w:t>’</w:t>
      </w:r>
      <w:r w:rsidRPr="00930651">
        <w:rPr>
          <w:rFonts w:asciiTheme="minorHAnsi" w:hAnsiTheme="minorHAnsi"/>
          <w:sz w:val="22"/>
        </w:rPr>
        <w:t>explique par le fait que la Convention applique la nouvelle méthodologie de calcul des provisions pour contributions impayées depuis juin 2019, suite à la demande de l</w:t>
      </w:r>
      <w:r w:rsidR="00101E52">
        <w:rPr>
          <w:rFonts w:asciiTheme="minorHAnsi" w:hAnsiTheme="minorHAnsi"/>
          <w:sz w:val="22"/>
        </w:rPr>
        <w:t>’</w:t>
      </w:r>
      <w:r w:rsidRPr="00930651">
        <w:rPr>
          <w:rFonts w:asciiTheme="minorHAnsi" w:hAnsiTheme="minorHAnsi"/>
          <w:sz w:val="22"/>
        </w:rPr>
        <w:t>auditeur externe et à la décision SC57-39 du Comité permanent. Le Secrétariat estime que la provision pour contributions impayées s</w:t>
      </w:r>
      <w:r w:rsidR="00101E52">
        <w:rPr>
          <w:rFonts w:asciiTheme="minorHAnsi" w:hAnsiTheme="minorHAnsi"/>
          <w:sz w:val="22"/>
        </w:rPr>
        <w:t>’</w:t>
      </w:r>
      <w:r w:rsidRPr="00930651">
        <w:rPr>
          <w:rFonts w:asciiTheme="minorHAnsi" w:hAnsiTheme="minorHAnsi"/>
          <w:sz w:val="22"/>
        </w:rPr>
        <w:t>élèvera à un montant total pouvant aller jusqu</w:t>
      </w:r>
      <w:r w:rsidR="00101E52">
        <w:rPr>
          <w:rFonts w:asciiTheme="minorHAnsi" w:hAnsiTheme="minorHAnsi"/>
          <w:sz w:val="22"/>
        </w:rPr>
        <w:t>’</w:t>
      </w:r>
      <w:r w:rsidRPr="00930651">
        <w:rPr>
          <w:rFonts w:asciiTheme="minorHAnsi" w:hAnsiTheme="minorHAnsi"/>
          <w:sz w:val="22"/>
        </w:rPr>
        <w:t>à 450 000 CHF (jusqu</w:t>
      </w:r>
      <w:r w:rsidR="00101E52">
        <w:rPr>
          <w:rFonts w:asciiTheme="minorHAnsi" w:hAnsiTheme="minorHAnsi"/>
          <w:sz w:val="22"/>
        </w:rPr>
        <w:t>’</w:t>
      </w:r>
      <w:r w:rsidRPr="00930651">
        <w:rPr>
          <w:rFonts w:asciiTheme="minorHAnsi" w:hAnsiTheme="minorHAnsi"/>
          <w:sz w:val="22"/>
        </w:rPr>
        <w:t>à un maximum de 150 000 CHF par an). Le montant de 90 000 CHF étant déjà inclus dans le budget (30 000 CHF par an), une attribution supplémentaire jusqu</w:t>
      </w:r>
      <w:r w:rsidR="00101E52">
        <w:rPr>
          <w:rFonts w:asciiTheme="minorHAnsi" w:hAnsiTheme="minorHAnsi"/>
          <w:sz w:val="22"/>
        </w:rPr>
        <w:t>’</w:t>
      </w:r>
      <w:r w:rsidRPr="00930651">
        <w:rPr>
          <w:rFonts w:asciiTheme="minorHAnsi" w:hAnsiTheme="minorHAnsi"/>
          <w:sz w:val="22"/>
        </w:rPr>
        <w:t>à un maximum de 360 000 CHF (120 000 CHF par an) sera nécessaire pour couvrir ces dépenses durant la période triennale 2023-2025. Le Secrétariat suggère de couvrir ces dépenses avec l</w:t>
      </w:r>
      <w:r w:rsidR="00101E52">
        <w:rPr>
          <w:rFonts w:asciiTheme="minorHAnsi" w:hAnsiTheme="minorHAnsi"/>
          <w:sz w:val="22"/>
        </w:rPr>
        <w:t>’</w:t>
      </w:r>
      <w:r w:rsidRPr="00930651">
        <w:rPr>
          <w:rFonts w:asciiTheme="minorHAnsi" w:hAnsiTheme="minorHAnsi"/>
          <w:sz w:val="22"/>
        </w:rPr>
        <w:t xml:space="preserve">excédent de la période triennale précédente relevé dans le document SC59/2022 Doc 8.1 </w:t>
      </w:r>
      <w:r w:rsidRPr="00930651">
        <w:rPr>
          <w:rFonts w:asciiTheme="minorHAnsi" w:hAnsiTheme="minorHAnsi"/>
          <w:i/>
          <w:sz w:val="22"/>
        </w:rPr>
        <w:t>Rapport sur les questions financières pour 2019, 2021 et 2022</w:t>
      </w:r>
      <w:r w:rsidRPr="00930651">
        <w:rPr>
          <w:rFonts w:asciiTheme="minorHAnsi" w:hAnsiTheme="minorHAnsi"/>
          <w:sz w:val="22"/>
        </w:rPr>
        <w:t>. Ainsi, le scénario A dépend de l</w:t>
      </w:r>
      <w:r w:rsidR="00101E52">
        <w:rPr>
          <w:rFonts w:asciiTheme="minorHAnsi" w:hAnsiTheme="minorHAnsi"/>
          <w:sz w:val="22"/>
        </w:rPr>
        <w:t>’</w:t>
      </w:r>
      <w:r w:rsidRPr="00930651">
        <w:rPr>
          <w:rFonts w:asciiTheme="minorHAnsi" w:hAnsiTheme="minorHAnsi"/>
          <w:sz w:val="22"/>
        </w:rPr>
        <w:t>approbation de l</w:t>
      </w:r>
      <w:r w:rsidR="00101E52">
        <w:rPr>
          <w:rFonts w:asciiTheme="minorHAnsi" w:hAnsiTheme="minorHAnsi"/>
          <w:sz w:val="22"/>
        </w:rPr>
        <w:t>’</w:t>
      </w:r>
      <w:r w:rsidRPr="00930651">
        <w:rPr>
          <w:rFonts w:asciiTheme="minorHAnsi" w:hAnsiTheme="minorHAnsi"/>
          <w:sz w:val="22"/>
        </w:rPr>
        <w:t>utilisation de l</w:t>
      </w:r>
      <w:r w:rsidR="00101E52">
        <w:rPr>
          <w:rFonts w:asciiTheme="minorHAnsi" w:hAnsiTheme="minorHAnsi"/>
          <w:sz w:val="22"/>
        </w:rPr>
        <w:t>’</w:t>
      </w:r>
      <w:r w:rsidRPr="00930651">
        <w:rPr>
          <w:rFonts w:asciiTheme="minorHAnsi" w:hAnsiTheme="minorHAnsi"/>
          <w:sz w:val="22"/>
        </w:rPr>
        <w:t xml:space="preserve">excédent de la période 2019-2022 à cette fin. </w:t>
      </w:r>
    </w:p>
    <w:p w14:paraId="28C375E3" w14:textId="77777777" w:rsidR="004A172D" w:rsidRPr="00930651" w:rsidRDefault="004A172D" w:rsidP="00B32E40">
      <w:pPr>
        <w:pStyle w:val="ListParagraph"/>
        <w:rPr>
          <w:rFonts w:asciiTheme="minorHAnsi" w:hAnsiTheme="minorHAnsi"/>
        </w:rPr>
      </w:pPr>
    </w:p>
    <w:p w14:paraId="6D8E5F87" w14:textId="5E6BBFCA" w:rsidR="00363957" w:rsidRPr="00930651" w:rsidRDefault="00951D88" w:rsidP="00951D88">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t>4.</w:t>
      </w:r>
      <w:r w:rsidRPr="00930651">
        <w:rPr>
          <w:rFonts w:asciiTheme="minorHAnsi" w:hAnsiTheme="minorHAnsi"/>
          <w:sz w:val="22"/>
        </w:rPr>
        <w:tab/>
        <w:t xml:space="preserve">Dans le </w:t>
      </w:r>
      <w:r w:rsidRPr="00930651">
        <w:rPr>
          <w:rFonts w:asciiTheme="minorHAnsi" w:hAnsiTheme="minorHAnsi"/>
          <w:b/>
          <w:sz w:val="22"/>
        </w:rPr>
        <w:t xml:space="preserve">scénario (B) prévoyant une augmentation de 2,8 %, </w:t>
      </w:r>
      <w:r w:rsidRPr="00930651">
        <w:rPr>
          <w:rFonts w:asciiTheme="minorHAnsi" w:hAnsiTheme="minorHAnsi"/>
          <w:sz w:val="22"/>
        </w:rPr>
        <w:t>l</w:t>
      </w:r>
      <w:r w:rsidR="00101E52">
        <w:rPr>
          <w:rFonts w:asciiTheme="minorHAnsi" w:hAnsiTheme="minorHAnsi"/>
          <w:sz w:val="22"/>
        </w:rPr>
        <w:t>’</w:t>
      </w:r>
      <w:r w:rsidRPr="00930651">
        <w:rPr>
          <w:rFonts w:asciiTheme="minorHAnsi" w:hAnsiTheme="minorHAnsi"/>
          <w:sz w:val="22"/>
        </w:rPr>
        <w:t>augmentation totale du budget serait de 438 000 CHF au cours de la période triennale, ce qui représenterait un nouveau budget total de 15 681 000 CHF, avec l</w:t>
      </w:r>
      <w:r w:rsidR="00101E52">
        <w:rPr>
          <w:rFonts w:asciiTheme="minorHAnsi" w:hAnsiTheme="minorHAnsi"/>
          <w:sz w:val="22"/>
        </w:rPr>
        <w:t>’</w:t>
      </w:r>
      <w:r w:rsidRPr="00930651">
        <w:rPr>
          <w:rFonts w:asciiTheme="minorHAnsi" w:hAnsiTheme="minorHAnsi"/>
          <w:sz w:val="22"/>
        </w:rPr>
        <w:t xml:space="preserve">ajout des rubriques suivantes par rapport au </w:t>
      </w:r>
      <w:r w:rsidR="006D396F" w:rsidRPr="00930651">
        <w:rPr>
          <w:rFonts w:asciiTheme="minorHAnsi" w:hAnsiTheme="minorHAnsi"/>
          <w:sz w:val="22"/>
        </w:rPr>
        <w:t>scénario</w:t>
      </w:r>
      <w:r w:rsidRPr="00930651">
        <w:rPr>
          <w:rFonts w:asciiTheme="minorHAnsi" w:hAnsiTheme="minorHAnsi"/>
          <w:sz w:val="22"/>
        </w:rPr>
        <w:t xml:space="preserve"> A : </w:t>
      </w:r>
    </w:p>
    <w:p w14:paraId="09F3A4A0"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62FF34DC" w14:textId="4E575804" w:rsidR="004B2272" w:rsidRPr="00930651" w:rsidRDefault="00241822"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a.</w:t>
      </w:r>
      <w:r w:rsidRPr="00930651">
        <w:rPr>
          <w:rFonts w:asciiTheme="minorHAnsi" w:hAnsiTheme="minorHAnsi"/>
          <w:sz w:val="22"/>
        </w:rPr>
        <w:tab/>
        <w:t>Une augmentation des coûts de personnel de 210 000 CHF afin d</w:t>
      </w:r>
      <w:r w:rsidR="00101E52">
        <w:rPr>
          <w:rFonts w:asciiTheme="minorHAnsi" w:hAnsiTheme="minorHAnsi"/>
          <w:sz w:val="22"/>
        </w:rPr>
        <w:t>’</w:t>
      </w:r>
      <w:r w:rsidRPr="00930651">
        <w:rPr>
          <w:rFonts w:asciiTheme="minorHAnsi" w:hAnsiTheme="minorHAnsi"/>
          <w:sz w:val="22"/>
        </w:rPr>
        <w:t>inclure une provision au titre des augmentations de salaire et des promotions fondées sur les performances, conformément au cadre de compétences et aux lignes directrices de l</w:t>
      </w:r>
      <w:r w:rsidR="00101E52">
        <w:rPr>
          <w:rFonts w:asciiTheme="minorHAnsi" w:hAnsiTheme="minorHAnsi"/>
          <w:sz w:val="22"/>
        </w:rPr>
        <w:t>’</w:t>
      </w:r>
      <w:r w:rsidRPr="00930651">
        <w:rPr>
          <w:rFonts w:asciiTheme="minorHAnsi" w:hAnsiTheme="minorHAnsi"/>
          <w:sz w:val="22"/>
        </w:rPr>
        <w:t xml:space="preserve">UICN sur les promotions mis en œuvre par le </w:t>
      </w:r>
      <w:r w:rsidR="00930651" w:rsidRPr="00930651">
        <w:rPr>
          <w:rFonts w:asciiTheme="minorHAnsi" w:hAnsiTheme="minorHAnsi"/>
          <w:sz w:val="22"/>
        </w:rPr>
        <w:t>Secrétariat</w:t>
      </w:r>
      <w:r w:rsidRPr="00930651">
        <w:rPr>
          <w:rFonts w:asciiTheme="minorHAnsi" w:hAnsiTheme="minorHAnsi"/>
          <w:sz w:val="22"/>
        </w:rPr>
        <w:t xml:space="preserve"> en 2019. </w:t>
      </w:r>
    </w:p>
    <w:p w14:paraId="739BD89A"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3CD16F60" w14:textId="5368F2F3" w:rsidR="004B2272" w:rsidRPr="00930651" w:rsidRDefault="00241822" w:rsidP="00241822">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b.</w:t>
      </w:r>
      <w:r w:rsidRPr="00930651">
        <w:rPr>
          <w:rFonts w:asciiTheme="minorHAnsi" w:hAnsiTheme="minorHAnsi"/>
          <w:sz w:val="22"/>
        </w:rPr>
        <w:tab/>
        <w:t>Une augmentation de 228 000 CHF pour combler le déficit créé par l</w:t>
      </w:r>
      <w:r w:rsidR="00101E52">
        <w:rPr>
          <w:rFonts w:asciiTheme="minorHAnsi" w:hAnsiTheme="minorHAnsi"/>
          <w:sz w:val="22"/>
        </w:rPr>
        <w:t>’</w:t>
      </w:r>
      <w:r w:rsidRPr="00930651">
        <w:rPr>
          <w:rFonts w:asciiTheme="minorHAnsi" w:hAnsiTheme="minorHAnsi"/>
          <w:sz w:val="22"/>
        </w:rPr>
        <w:t>introduction dans le budget d</w:t>
      </w:r>
      <w:r w:rsidR="00101E52">
        <w:rPr>
          <w:rFonts w:asciiTheme="minorHAnsi" w:hAnsiTheme="minorHAnsi"/>
          <w:sz w:val="22"/>
        </w:rPr>
        <w:t>’</w:t>
      </w:r>
      <w:r w:rsidRPr="00930651">
        <w:rPr>
          <w:rFonts w:asciiTheme="minorHAnsi" w:hAnsiTheme="minorHAnsi"/>
          <w:sz w:val="22"/>
        </w:rPr>
        <w:t>un poste d</w:t>
      </w:r>
      <w:r w:rsidR="00101E52">
        <w:rPr>
          <w:rFonts w:asciiTheme="minorHAnsi" w:hAnsiTheme="minorHAnsi"/>
          <w:sz w:val="22"/>
        </w:rPr>
        <w:t>’</w:t>
      </w:r>
      <w:r w:rsidRPr="00930651">
        <w:rPr>
          <w:rFonts w:asciiTheme="minorHAnsi" w:hAnsiTheme="minorHAnsi"/>
          <w:sz w:val="22"/>
        </w:rPr>
        <w:t>assistant financier et comptable. Cette somme serait allouée aux lignes budgétaires d</w:t>
      </w:r>
      <w:r w:rsidR="00101E52">
        <w:rPr>
          <w:rFonts w:asciiTheme="minorHAnsi" w:hAnsiTheme="minorHAnsi"/>
          <w:sz w:val="22"/>
        </w:rPr>
        <w:t>’</w:t>
      </w:r>
      <w:r w:rsidRPr="00930651">
        <w:rPr>
          <w:rFonts w:asciiTheme="minorHAnsi" w:hAnsiTheme="minorHAnsi"/>
          <w:sz w:val="22"/>
        </w:rPr>
        <w:t xml:space="preserve">origine sur lesquelles les ressources ont été prélevées, comme indiqué dans la Résolution XIII.2, paragraphe 15, de la manière suivante : 120 000 CHF pour la communication, la traduction, les publications et rapports ; 60 000 CHF pour les déplacements du personnel (15 000 CHF pour les voyages des cadres </w:t>
      </w:r>
      <w:r w:rsidR="00930651" w:rsidRPr="00930651">
        <w:rPr>
          <w:rFonts w:asciiTheme="minorHAnsi" w:hAnsiTheme="minorHAnsi"/>
          <w:sz w:val="22"/>
        </w:rPr>
        <w:t>supérieurs</w:t>
      </w:r>
      <w:r w:rsidRPr="00930651">
        <w:rPr>
          <w:rFonts w:asciiTheme="minorHAnsi" w:hAnsiTheme="minorHAnsi"/>
          <w:sz w:val="22"/>
        </w:rPr>
        <w:t xml:space="preserve"> du Secrétariat, 15 000 CHF pour les voyages Mobilisation des ressources et sensibilisation et 30 000 CHF pour les voyages Appui et conseils aux </w:t>
      </w:r>
      <w:r w:rsidR="00BE7375" w:rsidRPr="00930651">
        <w:rPr>
          <w:rFonts w:asciiTheme="minorHAnsi" w:hAnsiTheme="minorHAnsi"/>
          <w:sz w:val="22"/>
        </w:rPr>
        <w:t>régions</w:t>
      </w:r>
      <w:r w:rsidRPr="00930651">
        <w:rPr>
          <w:rFonts w:asciiTheme="minorHAnsi" w:hAnsiTheme="minorHAnsi"/>
          <w:sz w:val="22"/>
        </w:rPr>
        <w:t>) ; 15 000 CHF pour l</w:t>
      </w:r>
      <w:r w:rsidR="00101E52">
        <w:rPr>
          <w:rFonts w:asciiTheme="minorHAnsi" w:hAnsiTheme="minorHAnsi"/>
          <w:sz w:val="22"/>
        </w:rPr>
        <w:t>’</w:t>
      </w:r>
      <w:r w:rsidRPr="00930651">
        <w:rPr>
          <w:rFonts w:asciiTheme="minorHAnsi" w:hAnsiTheme="minorHAnsi"/>
          <w:sz w:val="22"/>
        </w:rPr>
        <w:t xml:space="preserve">application du GEST et 33 000 CHF pour la planification et le renforcement des </w:t>
      </w:r>
      <w:r w:rsidR="00BE7375" w:rsidRPr="00930651">
        <w:rPr>
          <w:rFonts w:asciiTheme="minorHAnsi" w:hAnsiTheme="minorHAnsi"/>
          <w:sz w:val="22"/>
        </w:rPr>
        <w:t>capacités</w:t>
      </w:r>
      <w:r w:rsidRPr="00930651">
        <w:rPr>
          <w:rFonts w:asciiTheme="minorHAnsi" w:hAnsiTheme="minorHAnsi"/>
          <w:sz w:val="22"/>
        </w:rPr>
        <w:t> ;</w:t>
      </w:r>
    </w:p>
    <w:p w14:paraId="49AA9136" w14:textId="77777777" w:rsidR="00241822" w:rsidRPr="00930651" w:rsidRDefault="00241822" w:rsidP="00241822">
      <w:pPr>
        <w:pStyle w:val="MGfulltext"/>
        <w:spacing w:after="0"/>
        <w:ind w:left="850" w:hanging="425"/>
        <w:rPr>
          <w:rFonts w:asciiTheme="minorHAnsi" w:eastAsia="Batang" w:hAnsiTheme="minorHAnsi" w:cs="Times New Roman"/>
          <w:sz w:val="22"/>
          <w:szCs w:val="22"/>
        </w:rPr>
      </w:pPr>
    </w:p>
    <w:p w14:paraId="2F91AE91" w14:textId="77777777" w:rsidR="00BF73A0" w:rsidRPr="00930651" w:rsidRDefault="00737F84" w:rsidP="00737F84">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c.</w:t>
      </w:r>
      <w:r w:rsidRPr="00930651">
        <w:rPr>
          <w:rFonts w:asciiTheme="minorHAnsi" w:hAnsiTheme="minorHAnsi"/>
          <w:sz w:val="22"/>
        </w:rPr>
        <w:tab/>
        <w:t xml:space="preserve">En raison des augmentations susmentionnées, le montant total des salaires et des coûts connexes représenterait environ 70 % du montant total du budget administratif. </w:t>
      </w:r>
    </w:p>
    <w:p w14:paraId="02E2C460" w14:textId="77777777" w:rsidR="00B54F35" w:rsidRPr="00930651" w:rsidRDefault="00B54F35" w:rsidP="00E76632">
      <w:pPr>
        <w:pStyle w:val="MGfulltext"/>
        <w:spacing w:after="0"/>
        <w:rPr>
          <w:rFonts w:asciiTheme="minorHAnsi" w:hAnsiTheme="minorHAnsi"/>
          <w:sz w:val="22"/>
          <w:szCs w:val="22"/>
        </w:rPr>
      </w:pPr>
    </w:p>
    <w:p w14:paraId="5094463B" w14:textId="21B045BB" w:rsidR="0045022B" w:rsidRPr="00930651" w:rsidRDefault="0045022B" w:rsidP="00586541">
      <w:pPr>
        <w:pStyle w:val="MGfulltext"/>
        <w:spacing w:after="0"/>
        <w:ind w:left="850" w:hanging="425"/>
        <w:rPr>
          <w:rFonts w:asciiTheme="minorHAnsi" w:eastAsia="Batang" w:hAnsiTheme="minorHAnsi" w:cs="Times New Roman"/>
          <w:sz w:val="22"/>
          <w:szCs w:val="22"/>
        </w:rPr>
      </w:pPr>
      <w:r w:rsidRPr="00930651">
        <w:rPr>
          <w:rFonts w:asciiTheme="minorHAnsi" w:hAnsiTheme="minorHAnsi"/>
          <w:sz w:val="22"/>
        </w:rPr>
        <w:t>d.</w:t>
      </w:r>
      <w:r w:rsidRPr="00930651">
        <w:rPr>
          <w:rFonts w:asciiTheme="minorHAnsi" w:hAnsiTheme="minorHAnsi"/>
          <w:sz w:val="22"/>
        </w:rPr>
        <w:tab/>
        <w:t xml:space="preserve">Comme dans le scénario A, un montant supplémentaire de 360 000 CHF sera nécessaire pour couvrir les provisions pour contributions impayées. Le Secrétariat suggère de les couvrir </w:t>
      </w:r>
      <w:r w:rsidR="00BE7375">
        <w:rPr>
          <w:rFonts w:asciiTheme="minorHAnsi" w:hAnsiTheme="minorHAnsi"/>
          <w:sz w:val="22"/>
        </w:rPr>
        <w:t>avec</w:t>
      </w:r>
      <w:r w:rsidRPr="00930651">
        <w:rPr>
          <w:rFonts w:asciiTheme="minorHAnsi" w:hAnsiTheme="minorHAnsi"/>
          <w:sz w:val="22"/>
        </w:rPr>
        <w:t xml:space="preserve"> l</w:t>
      </w:r>
      <w:r w:rsidR="00101E52">
        <w:rPr>
          <w:rFonts w:asciiTheme="minorHAnsi" w:hAnsiTheme="minorHAnsi"/>
          <w:sz w:val="22"/>
        </w:rPr>
        <w:t>’</w:t>
      </w:r>
      <w:r w:rsidRPr="00930651">
        <w:rPr>
          <w:rFonts w:asciiTheme="minorHAnsi" w:hAnsiTheme="minorHAnsi"/>
          <w:sz w:val="22"/>
        </w:rPr>
        <w:t>excédent du budget administratif de la période triennale précédente, comme présenté plus haut dans le paragraphe 3.p.</w:t>
      </w:r>
    </w:p>
    <w:p w14:paraId="6357177B" w14:textId="77777777" w:rsidR="0045022B" w:rsidRPr="00930651" w:rsidRDefault="0045022B" w:rsidP="00E76632">
      <w:pPr>
        <w:pStyle w:val="MGfulltext"/>
        <w:spacing w:after="0"/>
        <w:rPr>
          <w:rFonts w:asciiTheme="minorHAnsi" w:hAnsiTheme="minorHAnsi"/>
          <w:sz w:val="22"/>
          <w:szCs w:val="22"/>
        </w:rPr>
      </w:pPr>
    </w:p>
    <w:p w14:paraId="1F2CB68F" w14:textId="23CBA7A8" w:rsidR="00C70EC0" w:rsidRPr="00930651" w:rsidRDefault="00951D88" w:rsidP="00951D88">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lastRenderedPageBreak/>
        <w:t>5.</w:t>
      </w:r>
      <w:r w:rsidRPr="00930651">
        <w:rPr>
          <w:rFonts w:asciiTheme="minorHAnsi" w:hAnsiTheme="minorHAnsi"/>
          <w:sz w:val="22"/>
        </w:rPr>
        <w:tab/>
        <w:t xml:space="preserve">Dans le </w:t>
      </w:r>
      <w:r w:rsidRPr="00930651">
        <w:rPr>
          <w:rFonts w:asciiTheme="minorHAnsi" w:hAnsiTheme="minorHAnsi"/>
          <w:b/>
          <w:sz w:val="22"/>
        </w:rPr>
        <w:t>scénario à augmentation de 4,2 % (C)</w:t>
      </w:r>
      <w:r w:rsidRPr="00930651">
        <w:rPr>
          <w:rFonts w:asciiTheme="minorHAnsi" w:hAnsiTheme="minorHAnsi"/>
          <w:sz w:val="22"/>
        </w:rPr>
        <w:t>, l</w:t>
      </w:r>
      <w:r w:rsidR="00101E52">
        <w:rPr>
          <w:rFonts w:asciiTheme="minorHAnsi" w:hAnsiTheme="minorHAnsi"/>
          <w:sz w:val="22"/>
        </w:rPr>
        <w:t>’</w:t>
      </w:r>
      <w:r w:rsidRPr="00930651">
        <w:rPr>
          <w:rFonts w:asciiTheme="minorHAnsi" w:hAnsiTheme="minorHAnsi"/>
          <w:sz w:val="22"/>
        </w:rPr>
        <w:t>augmentation totale du budget serait de 674 000 CHF au cours de la période triennale, ce qui représente un nouveau budget d</w:t>
      </w:r>
      <w:r w:rsidR="00101E52">
        <w:rPr>
          <w:rFonts w:asciiTheme="minorHAnsi" w:hAnsiTheme="minorHAnsi"/>
          <w:sz w:val="22"/>
        </w:rPr>
        <w:t>’</w:t>
      </w:r>
      <w:r w:rsidRPr="00930651">
        <w:rPr>
          <w:rFonts w:asciiTheme="minorHAnsi" w:hAnsiTheme="minorHAnsi"/>
          <w:sz w:val="22"/>
        </w:rPr>
        <w:t>un montant total de 15 917 000 CHF. Le scénario C comprend les ajouts mentionnés dans le scénario B et également une allocation de 236 000 CHF en 2025 au titre des coûts associés à la COP15 (services d</w:t>
      </w:r>
      <w:r w:rsidR="00101E52">
        <w:rPr>
          <w:rFonts w:asciiTheme="minorHAnsi" w:hAnsiTheme="minorHAnsi"/>
          <w:sz w:val="22"/>
        </w:rPr>
        <w:t>’</w:t>
      </w:r>
      <w:r w:rsidRPr="00930651">
        <w:rPr>
          <w:rFonts w:asciiTheme="minorHAnsi" w:hAnsiTheme="minorHAnsi"/>
          <w:sz w:val="22"/>
        </w:rPr>
        <w:t>interprétation, de traduction, rédaction de rapports, impression et salles de conférence, ainsi que coûts opérationnels). Des dépenses budgétaires similaires figurent régulièrement dans les budgets de conventions comparables, comme la Convention sur les espèces migratrices et la Convention sur le commerce international des espèces de faune et de flore sauvages menacées d</w:t>
      </w:r>
      <w:r w:rsidR="00101E52">
        <w:rPr>
          <w:rFonts w:asciiTheme="minorHAnsi" w:hAnsiTheme="minorHAnsi"/>
          <w:sz w:val="22"/>
        </w:rPr>
        <w:t>’</w:t>
      </w:r>
      <w:r w:rsidRPr="00930651">
        <w:rPr>
          <w:rFonts w:asciiTheme="minorHAnsi" w:hAnsiTheme="minorHAnsi"/>
          <w:sz w:val="22"/>
        </w:rPr>
        <w:t xml:space="preserve">extinction. Sans cette allocation budgétaire, les coûts devraient être couverts par le pays hôte. </w:t>
      </w:r>
    </w:p>
    <w:p w14:paraId="11643C82" w14:textId="77777777" w:rsidR="00B32E40" w:rsidRPr="00930651" w:rsidRDefault="00B32E40" w:rsidP="00B32E40">
      <w:pPr>
        <w:pStyle w:val="MGfulltext"/>
        <w:spacing w:after="0"/>
        <w:rPr>
          <w:rFonts w:asciiTheme="minorHAnsi" w:eastAsia="Batang" w:hAnsiTheme="minorHAnsi" w:cs="Times New Roman"/>
          <w:sz w:val="22"/>
          <w:szCs w:val="22"/>
        </w:rPr>
      </w:pPr>
    </w:p>
    <w:p w14:paraId="4D71EF50" w14:textId="34253E4F" w:rsidR="0045022B" w:rsidRPr="00930651" w:rsidRDefault="00C83176" w:rsidP="00586541">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t>6.</w:t>
      </w:r>
      <w:r w:rsidRPr="00930651">
        <w:rPr>
          <w:rFonts w:asciiTheme="minorHAnsi" w:hAnsiTheme="minorHAnsi"/>
          <w:sz w:val="22"/>
        </w:rPr>
        <w:tab/>
        <w:t xml:space="preserve">Comme dans les scénarios A et B, un montant supplémentaire de 360 000 CHF sera nécessaire pour couvrir les provisions pour contributions impayées. Le Secrétariat suggère de les couvrir </w:t>
      </w:r>
      <w:r w:rsidR="00BE7375">
        <w:rPr>
          <w:rFonts w:asciiTheme="minorHAnsi" w:hAnsiTheme="minorHAnsi"/>
          <w:sz w:val="22"/>
        </w:rPr>
        <w:t>avec</w:t>
      </w:r>
      <w:r w:rsidRPr="00930651">
        <w:rPr>
          <w:rFonts w:asciiTheme="minorHAnsi" w:hAnsiTheme="minorHAnsi"/>
          <w:sz w:val="22"/>
        </w:rPr>
        <w:t xml:space="preserve"> l</w:t>
      </w:r>
      <w:r w:rsidR="00101E52">
        <w:rPr>
          <w:rFonts w:asciiTheme="minorHAnsi" w:hAnsiTheme="minorHAnsi"/>
          <w:sz w:val="22"/>
        </w:rPr>
        <w:t>’</w:t>
      </w:r>
      <w:r w:rsidRPr="00930651">
        <w:rPr>
          <w:rFonts w:asciiTheme="minorHAnsi" w:hAnsiTheme="minorHAnsi"/>
          <w:sz w:val="22"/>
        </w:rPr>
        <w:t>excédent du budget administratif de la période triennale précédente, comme présenté plus haut dans le paragraphe 3.p.</w:t>
      </w:r>
    </w:p>
    <w:p w14:paraId="26F6B0B9" w14:textId="77777777" w:rsidR="00C6766B" w:rsidRPr="00930651" w:rsidRDefault="00C6766B" w:rsidP="00B32E40">
      <w:pPr>
        <w:pStyle w:val="MGfulltext"/>
        <w:spacing w:after="0"/>
        <w:rPr>
          <w:rFonts w:asciiTheme="minorHAnsi" w:eastAsia="Batang" w:hAnsiTheme="minorHAnsi" w:cs="Times New Roman"/>
          <w:b/>
          <w:sz w:val="22"/>
          <w:szCs w:val="22"/>
        </w:rPr>
      </w:pPr>
    </w:p>
    <w:p w14:paraId="60E668D2" w14:textId="77777777" w:rsidR="005E4BF4" w:rsidRPr="00930651" w:rsidRDefault="005E4BF4" w:rsidP="00B32E40">
      <w:pPr>
        <w:pStyle w:val="MGfulltext"/>
        <w:spacing w:after="0"/>
        <w:rPr>
          <w:rFonts w:asciiTheme="minorHAnsi" w:eastAsia="Batang" w:hAnsiTheme="minorHAnsi" w:cs="Times New Roman"/>
          <w:b/>
          <w:sz w:val="22"/>
          <w:szCs w:val="22"/>
        </w:rPr>
      </w:pPr>
      <w:r w:rsidRPr="00930651">
        <w:rPr>
          <w:rFonts w:asciiTheme="minorHAnsi" w:hAnsiTheme="minorHAnsi"/>
          <w:b/>
          <w:sz w:val="22"/>
        </w:rPr>
        <w:t>Structure des scénarios du budget administratif</w:t>
      </w:r>
    </w:p>
    <w:p w14:paraId="0250224D" w14:textId="77777777" w:rsidR="005E4BF4" w:rsidRPr="00930651" w:rsidRDefault="005E4BF4" w:rsidP="00B32E40">
      <w:pPr>
        <w:pStyle w:val="MGfulltext"/>
        <w:spacing w:after="0"/>
        <w:rPr>
          <w:rFonts w:asciiTheme="minorHAnsi" w:eastAsia="Batang" w:hAnsiTheme="minorHAnsi" w:cs="Times New Roman"/>
          <w:b/>
          <w:sz w:val="22"/>
          <w:szCs w:val="22"/>
        </w:rPr>
      </w:pPr>
    </w:p>
    <w:p w14:paraId="57408790" w14:textId="77777777" w:rsidR="005E4BF4" w:rsidRPr="00930651" w:rsidRDefault="00C83176" w:rsidP="00951D88">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t>7.</w:t>
      </w:r>
      <w:r w:rsidRPr="00930651">
        <w:rPr>
          <w:rFonts w:asciiTheme="minorHAnsi" w:hAnsiTheme="minorHAnsi"/>
          <w:sz w:val="22"/>
        </w:rPr>
        <w:tab/>
        <w:t>Pour maintenir la méthode actuelle qui répertorie les dépenses par département / catégorie, le Secrétariat propose de maintenir la même structure budgétaire que celle de la période triennale précédente.</w:t>
      </w:r>
    </w:p>
    <w:p w14:paraId="619D83DE" w14:textId="77777777" w:rsidR="00B54F35" w:rsidRPr="00930651" w:rsidRDefault="00B54F35" w:rsidP="00951D88">
      <w:pPr>
        <w:pStyle w:val="MGfulltext"/>
        <w:spacing w:after="0"/>
        <w:ind w:left="425" w:hanging="425"/>
        <w:rPr>
          <w:rFonts w:asciiTheme="minorHAnsi" w:eastAsia="Batang" w:hAnsiTheme="minorHAnsi" w:cs="Times New Roman"/>
          <w:sz w:val="22"/>
          <w:szCs w:val="22"/>
        </w:rPr>
      </w:pPr>
    </w:p>
    <w:p w14:paraId="72D8C359" w14:textId="77777777" w:rsidR="00F14404" w:rsidRPr="00930651" w:rsidRDefault="00C83176" w:rsidP="00951D88">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t>8.</w:t>
      </w:r>
      <w:r w:rsidRPr="00930651">
        <w:rPr>
          <w:rFonts w:asciiTheme="minorHAnsi" w:hAnsiTheme="minorHAnsi"/>
          <w:sz w:val="22"/>
        </w:rPr>
        <w:tab/>
        <w:t>Les principaux changements de présentation résultant des décisions du Comité permanent sont les suivants :</w:t>
      </w:r>
    </w:p>
    <w:p w14:paraId="00CB1629" w14:textId="77777777" w:rsidR="00AD65E1" w:rsidRPr="00930651" w:rsidRDefault="00AD65E1" w:rsidP="00AD65E1">
      <w:pPr>
        <w:pStyle w:val="MGfulltext"/>
        <w:spacing w:after="0"/>
        <w:ind w:left="850" w:hanging="425"/>
        <w:rPr>
          <w:rFonts w:asciiTheme="minorHAnsi" w:eastAsia="Batang" w:hAnsiTheme="minorHAnsi" w:cs="Times New Roman"/>
          <w:sz w:val="22"/>
          <w:szCs w:val="22"/>
        </w:rPr>
      </w:pPr>
    </w:p>
    <w:p w14:paraId="0A1DDADF" w14:textId="6A4E30EF" w:rsidR="00E57D9D" w:rsidRPr="00930651" w:rsidRDefault="00E57D9D" w:rsidP="0074102A">
      <w:pPr>
        <w:pStyle w:val="MGfulltext"/>
        <w:numPr>
          <w:ilvl w:val="0"/>
          <w:numId w:val="39"/>
        </w:numPr>
        <w:spacing w:after="0"/>
        <w:ind w:left="851" w:hanging="425"/>
        <w:rPr>
          <w:rFonts w:asciiTheme="minorHAnsi" w:hAnsiTheme="minorHAnsi"/>
          <w:sz w:val="22"/>
          <w:szCs w:val="22"/>
        </w:rPr>
      </w:pPr>
      <w:r w:rsidRPr="00930651">
        <w:rPr>
          <w:rFonts w:asciiTheme="minorHAnsi" w:hAnsiTheme="minorHAnsi"/>
          <w:sz w:val="22"/>
        </w:rPr>
        <w:t>Les provisions ont été séparées en deux lignes budgétaires : 1) les provisions pour le personnel et 2) les provisions pour couvrir les contributions impayées, ceci afin de favoriser une meilleure gestion et de garantir la transparence de l</w:t>
      </w:r>
      <w:r w:rsidR="00101E52">
        <w:rPr>
          <w:rFonts w:asciiTheme="minorHAnsi" w:hAnsiTheme="minorHAnsi"/>
          <w:sz w:val="22"/>
        </w:rPr>
        <w:t>’</w:t>
      </w:r>
      <w:r w:rsidRPr="00930651">
        <w:rPr>
          <w:rFonts w:asciiTheme="minorHAnsi" w:hAnsiTheme="minorHAnsi"/>
          <w:sz w:val="22"/>
        </w:rPr>
        <w:t>utilisation des provisions (conformément à la Décision SC58-31 du Comité permanent).</w:t>
      </w:r>
    </w:p>
    <w:p w14:paraId="3662446D" w14:textId="77777777" w:rsidR="00E57D9D" w:rsidRPr="00930651" w:rsidRDefault="00E57D9D" w:rsidP="0074102A">
      <w:pPr>
        <w:pStyle w:val="MGfulltext"/>
        <w:spacing w:after="0"/>
        <w:ind w:left="851" w:hanging="425"/>
        <w:rPr>
          <w:rFonts w:asciiTheme="minorHAnsi" w:hAnsiTheme="minorHAnsi"/>
          <w:sz w:val="22"/>
          <w:szCs w:val="22"/>
        </w:rPr>
      </w:pPr>
    </w:p>
    <w:p w14:paraId="4425ABCF" w14:textId="10E63454" w:rsidR="00AD65E1" w:rsidRPr="00BE7375" w:rsidRDefault="0074102A" w:rsidP="00A50362">
      <w:pPr>
        <w:pStyle w:val="MGfulltext"/>
        <w:numPr>
          <w:ilvl w:val="0"/>
          <w:numId w:val="39"/>
        </w:numPr>
        <w:spacing w:after="0"/>
        <w:ind w:left="850" w:hanging="425"/>
        <w:rPr>
          <w:rFonts w:asciiTheme="minorHAnsi" w:eastAsia="Batang" w:hAnsiTheme="minorHAnsi" w:cs="Times New Roman"/>
          <w:sz w:val="22"/>
          <w:szCs w:val="22"/>
        </w:rPr>
      </w:pPr>
      <w:r w:rsidRPr="00BE7375">
        <w:rPr>
          <w:rFonts w:asciiTheme="minorHAnsi" w:hAnsiTheme="minorHAnsi"/>
          <w:sz w:val="22"/>
        </w:rPr>
        <w:t>La ligne budgétaire regroupant les « salaires, charges sociales et autres prestations » comprend « autres prestations » pour chaque poste budgétaire, en reconnaissant que ce changement d</w:t>
      </w:r>
      <w:r w:rsidR="00101E52" w:rsidRPr="00BE7375">
        <w:rPr>
          <w:rFonts w:asciiTheme="minorHAnsi" w:hAnsiTheme="minorHAnsi"/>
          <w:sz w:val="22"/>
        </w:rPr>
        <w:t>’</w:t>
      </w:r>
      <w:r w:rsidRPr="00BE7375">
        <w:rPr>
          <w:rFonts w:asciiTheme="minorHAnsi" w:hAnsiTheme="minorHAnsi"/>
          <w:sz w:val="22"/>
        </w:rPr>
        <w:t>imputation entre les lignes budgétaires ne traduit pas un changement des niveaux de financement (conformément à la Décision SC59-27).</w:t>
      </w:r>
      <w:r w:rsidRPr="00BE7375">
        <w:rPr>
          <w:rFonts w:asciiTheme="minorHAnsi" w:hAnsiTheme="minorHAnsi"/>
          <w:sz w:val="22"/>
        </w:rPr>
        <w:cr/>
      </w:r>
    </w:p>
    <w:p w14:paraId="743CF38C" w14:textId="1389A477" w:rsidR="001936D6" w:rsidRPr="00930651" w:rsidRDefault="00E57D9D" w:rsidP="0074102A">
      <w:pPr>
        <w:pStyle w:val="MGfulltext"/>
        <w:spacing w:after="0"/>
        <w:ind w:left="851" w:hanging="425"/>
        <w:rPr>
          <w:rFonts w:asciiTheme="minorHAnsi" w:eastAsia="Batang" w:hAnsiTheme="minorHAnsi" w:cs="Times New Roman"/>
          <w:sz w:val="22"/>
          <w:szCs w:val="22"/>
        </w:rPr>
      </w:pPr>
      <w:r w:rsidRPr="00930651">
        <w:rPr>
          <w:rFonts w:asciiTheme="minorHAnsi" w:hAnsiTheme="minorHAnsi"/>
          <w:sz w:val="22"/>
        </w:rPr>
        <w:t>c.</w:t>
      </w:r>
      <w:r w:rsidRPr="00930651">
        <w:rPr>
          <w:rFonts w:asciiTheme="minorHAnsi" w:hAnsiTheme="minorHAnsi"/>
          <w:sz w:val="22"/>
        </w:rPr>
        <w:tab/>
        <w:t>Budgétiser les coûts de personnel par département pour lequel il travaille actuellement, conformément au tableau 1 ci-dessous. Le Tableau 1 reflète la manière dont les postes financés par le budget administratif sont budgétisés dans les scénarios proposés, en montrant explicitement l</w:t>
      </w:r>
      <w:r w:rsidR="00101E52">
        <w:rPr>
          <w:rFonts w:asciiTheme="minorHAnsi" w:hAnsiTheme="minorHAnsi"/>
          <w:sz w:val="22"/>
        </w:rPr>
        <w:t>’</w:t>
      </w:r>
      <w:r w:rsidRPr="00930651">
        <w:rPr>
          <w:rFonts w:asciiTheme="minorHAnsi" w:hAnsiTheme="minorHAnsi"/>
          <w:sz w:val="22"/>
        </w:rPr>
        <w:t xml:space="preserve">affectation des salaires et des charges sociales aux différentes lignes budgétaires. </w:t>
      </w:r>
    </w:p>
    <w:p w14:paraId="61582969" w14:textId="77777777" w:rsidR="00C6766B" w:rsidRPr="00930651" w:rsidRDefault="00C6766B" w:rsidP="00AD65E1">
      <w:pPr>
        <w:pStyle w:val="MGfulltext"/>
        <w:tabs>
          <w:tab w:val="left" w:pos="1190"/>
        </w:tabs>
        <w:spacing w:after="0"/>
        <w:rPr>
          <w:rFonts w:asciiTheme="minorHAnsi" w:hAnsiTheme="minorHAnsi"/>
          <w:bCs/>
          <w:sz w:val="22"/>
          <w:szCs w:val="22"/>
          <w:lang w:eastAsia="en-GB"/>
        </w:rPr>
      </w:pPr>
    </w:p>
    <w:p w14:paraId="0E397C30" w14:textId="77777777" w:rsidR="00AD65E1" w:rsidRPr="00930651" w:rsidRDefault="00AD65E1" w:rsidP="00AD65E1">
      <w:pPr>
        <w:pStyle w:val="MGfulltext"/>
        <w:tabs>
          <w:tab w:val="left" w:pos="1190"/>
        </w:tabs>
        <w:spacing w:after="0"/>
        <w:rPr>
          <w:rFonts w:asciiTheme="minorHAnsi" w:eastAsia="Batang" w:hAnsiTheme="minorHAnsi" w:cs="Times New Roman"/>
          <w:i/>
          <w:sz w:val="22"/>
          <w:szCs w:val="22"/>
        </w:rPr>
      </w:pPr>
      <w:r w:rsidRPr="00930651">
        <w:rPr>
          <w:rFonts w:asciiTheme="minorHAnsi" w:hAnsiTheme="minorHAnsi"/>
          <w:i/>
          <w:sz w:val="22"/>
        </w:rPr>
        <w:t>Tableau 1 : Tableau des effectifs actuels (scénario A)</w:t>
      </w:r>
    </w:p>
    <w:tbl>
      <w:tblPr>
        <w:tblW w:w="7655" w:type="dxa"/>
        <w:tblInd w:w="-5" w:type="dxa"/>
        <w:tblLook w:val="04A0" w:firstRow="1" w:lastRow="0" w:firstColumn="1" w:lastColumn="0" w:noHBand="0" w:noVBand="1"/>
      </w:tblPr>
      <w:tblGrid>
        <w:gridCol w:w="4820"/>
        <w:gridCol w:w="2835"/>
      </w:tblGrid>
      <w:tr w:rsidR="00AD65E1" w:rsidRPr="00930651" w14:paraId="67DA85C4" w14:textId="77777777" w:rsidTr="007B4653">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E526" w14:textId="77777777" w:rsidR="00AD65E1" w:rsidRPr="00930651" w:rsidRDefault="00AD65E1" w:rsidP="00EB3CA7">
            <w:pPr>
              <w:ind w:left="0" w:firstLine="0"/>
              <w:rPr>
                <w:rFonts w:asciiTheme="minorHAnsi" w:eastAsia="Times New Roman" w:hAnsiTheme="minorHAnsi" w:cs="Arial"/>
              </w:rPr>
            </w:pPr>
            <w:r w:rsidRPr="00930651">
              <w:rPr>
                <w:rFonts w:asciiTheme="minorHAnsi" w:hAnsiTheme="minorHAnsi"/>
              </w:rPr>
              <w:t>Cadres supérieurs du Secrétariat et gouvernance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32CC6FD" w14:textId="77777777" w:rsidR="00AD65E1" w:rsidRPr="00930651" w:rsidRDefault="00AD65E1" w:rsidP="00ED1012">
            <w:pPr>
              <w:ind w:left="0" w:firstLine="0"/>
              <w:rPr>
                <w:rFonts w:asciiTheme="minorHAnsi" w:eastAsia="Times New Roman" w:hAnsiTheme="minorHAnsi" w:cs="Arial"/>
              </w:rPr>
            </w:pPr>
            <w:r w:rsidRPr="00930651">
              <w:rPr>
                <w:rFonts w:asciiTheme="minorHAnsi" w:hAnsiTheme="minorHAnsi"/>
              </w:rPr>
              <w:t>1 S, 1 D, 1 P2, 2 A3</w:t>
            </w:r>
          </w:p>
        </w:tc>
      </w:tr>
      <w:tr w:rsidR="00AD65E1" w:rsidRPr="00930651" w14:paraId="2D0745A0" w14:textId="77777777" w:rsidTr="007B4653">
        <w:trPr>
          <w:trHeight w:val="264"/>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454A9057" w14:textId="77777777" w:rsidR="00AD65E1" w:rsidRPr="00930651" w:rsidRDefault="00AD65E1" w:rsidP="004A01E5">
            <w:pPr>
              <w:ind w:left="0" w:firstLine="0"/>
              <w:rPr>
                <w:rFonts w:asciiTheme="minorHAnsi" w:eastAsia="Times New Roman" w:hAnsiTheme="minorHAnsi" w:cs="Arial"/>
              </w:rPr>
            </w:pPr>
            <w:r w:rsidRPr="00930651">
              <w:rPr>
                <w:rFonts w:asciiTheme="minorHAnsi" w:hAnsiTheme="minorHAnsi"/>
              </w:rPr>
              <w:t>Mobilisation des ressources et sensibilisation</w:t>
            </w:r>
          </w:p>
        </w:tc>
        <w:tc>
          <w:tcPr>
            <w:tcW w:w="2835" w:type="dxa"/>
            <w:tcBorders>
              <w:top w:val="nil"/>
              <w:left w:val="nil"/>
              <w:bottom w:val="single" w:sz="4" w:space="0" w:color="auto"/>
              <w:right w:val="single" w:sz="4" w:space="0" w:color="auto"/>
            </w:tcBorders>
            <w:shd w:val="clear" w:color="auto" w:fill="auto"/>
            <w:noWrap/>
            <w:vAlign w:val="bottom"/>
            <w:hideMark/>
          </w:tcPr>
          <w:p w14:paraId="589025CE" w14:textId="77777777" w:rsidR="00AD65E1" w:rsidRPr="00930651" w:rsidRDefault="00ED1012" w:rsidP="00E57D9D">
            <w:pPr>
              <w:ind w:left="0" w:firstLine="0"/>
              <w:rPr>
                <w:rFonts w:asciiTheme="minorHAnsi" w:eastAsia="Times New Roman" w:hAnsiTheme="minorHAnsi" w:cs="Arial"/>
              </w:rPr>
            </w:pPr>
            <w:r w:rsidRPr="00930651">
              <w:rPr>
                <w:rFonts w:asciiTheme="minorHAnsi" w:hAnsiTheme="minorHAnsi"/>
              </w:rPr>
              <w:t>2 P2, 1 A3</w:t>
            </w:r>
          </w:p>
        </w:tc>
      </w:tr>
      <w:tr w:rsidR="00AD65E1" w:rsidRPr="00930651" w14:paraId="13A80F9D" w14:textId="77777777" w:rsidTr="007B4653">
        <w:trPr>
          <w:trHeight w:val="264"/>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0B06D349" w14:textId="77777777" w:rsidR="00AD65E1" w:rsidRPr="00930651" w:rsidRDefault="00AD65E1" w:rsidP="004A01E5">
            <w:pPr>
              <w:ind w:left="0" w:firstLine="0"/>
              <w:rPr>
                <w:rFonts w:asciiTheme="minorHAnsi" w:eastAsia="Times New Roman" w:hAnsiTheme="minorHAnsi" w:cs="Arial"/>
              </w:rPr>
            </w:pPr>
            <w:r w:rsidRPr="00930651">
              <w:rPr>
                <w:rFonts w:asciiTheme="minorHAnsi" w:hAnsiTheme="minorHAnsi"/>
              </w:rPr>
              <w:t>Appui et conseils aux régions</w:t>
            </w:r>
          </w:p>
        </w:tc>
        <w:tc>
          <w:tcPr>
            <w:tcW w:w="2835" w:type="dxa"/>
            <w:tcBorders>
              <w:top w:val="nil"/>
              <w:left w:val="nil"/>
              <w:bottom w:val="single" w:sz="4" w:space="0" w:color="auto"/>
              <w:right w:val="single" w:sz="4" w:space="0" w:color="auto"/>
            </w:tcBorders>
            <w:shd w:val="clear" w:color="auto" w:fill="auto"/>
            <w:noWrap/>
            <w:vAlign w:val="bottom"/>
            <w:hideMark/>
          </w:tcPr>
          <w:p w14:paraId="1FE447ED" w14:textId="77777777" w:rsidR="00AD65E1" w:rsidRPr="00930651" w:rsidRDefault="00AD65E1" w:rsidP="00ED1012">
            <w:pPr>
              <w:ind w:left="0" w:firstLine="0"/>
              <w:rPr>
                <w:rFonts w:asciiTheme="minorHAnsi" w:eastAsia="Times New Roman" w:hAnsiTheme="minorHAnsi" w:cs="Arial"/>
              </w:rPr>
            </w:pPr>
            <w:r w:rsidRPr="00930651">
              <w:rPr>
                <w:rFonts w:asciiTheme="minorHAnsi" w:hAnsiTheme="minorHAnsi"/>
              </w:rPr>
              <w:t>4 M1, 4 JP</w:t>
            </w:r>
          </w:p>
        </w:tc>
      </w:tr>
      <w:tr w:rsidR="00AD65E1" w:rsidRPr="00930651" w14:paraId="3B7FA3C1" w14:textId="77777777" w:rsidTr="007B4653">
        <w:trPr>
          <w:trHeight w:val="264"/>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316BBC93" w14:textId="77777777" w:rsidR="00AD65E1" w:rsidRPr="00930651" w:rsidRDefault="00AD65E1" w:rsidP="004A01E5">
            <w:pPr>
              <w:ind w:left="0" w:firstLine="0"/>
              <w:rPr>
                <w:rFonts w:asciiTheme="minorHAnsi" w:eastAsia="Times New Roman" w:hAnsiTheme="minorHAnsi" w:cs="Arial"/>
              </w:rPr>
            </w:pPr>
            <w:r w:rsidRPr="00930651">
              <w:rPr>
                <w:rFonts w:asciiTheme="minorHAnsi" w:hAnsiTheme="minorHAnsi"/>
              </w:rPr>
              <w:t>Sciences et politiques</w:t>
            </w:r>
          </w:p>
        </w:tc>
        <w:tc>
          <w:tcPr>
            <w:tcW w:w="2835" w:type="dxa"/>
            <w:tcBorders>
              <w:top w:val="nil"/>
              <w:left w:val="nil"/>
              <w:bottom w:val="single" w:sz="4" w:space="0" w:color="auto"/>
              <w:right w:val="single" w:sz="4" w:space="0" w:color="auto"/>
            </w:tcBorders>
            <w:shd w:val="clear" w:color="auto" w:fill="auto"/>
            <w:noWrap/>
            <w:vAlign w:val="bottom"/>
            <w:hideMark/>
          </w:tcPr>
          <w:p w14:paraId="0D2E1245" w14:textId="77777777" w:rsidR="00AD65E1" w:rsidRPr="00930651" w:rsidRDefault="00AD65E1" w:rsidP="00ED1012">
            <w:pPr>
              <w:ind w:left="0" w:firstLine="0"/>
              <w:rPr>
                <w:rFonts w:asciiTheme="minorHAnsi" w:eastAsia="Times New Roman" w:hAnsiTheme="minorHAnsi" w:cs="Arial"/>
              </w:rPr>
            </w:pPr>
            <w:r w:rsidRPr="00930651">
              <w:rPr>
                <w:rFonts w:asciiTheme="minorHAnsi" w:hAnsiTheme="minorHAnsi"/>
              </w:rPr>
              <w:t>1 M1, 2 P2, 1 P1</w:t>
            </w:r>
          </w:p>
        </w:tc>
      </w:tr>
      <w:tr w:rsidR="00AD65E1" w:rsidRPr="00930651" w14:paraId="3BCC537A" w14:textId="77777777" w:rsidTr="007B4653">
        <w:trPr>
          <w:trHeight w:val="264"/>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2AB9EFEB" w14:textId="77777777" w:rsidR="00AD65E1" w:rsidRPr="00930651" w:rsidRDefault="00AD65E1" w:rsidP="004A01E5">
            <w:pPr>
              <w:ind w:left="0" w:firstLine="0"/>
              <w:rPr>
                <w:rFonts w:asciiTheme="minorHAnsi" w:eastAsia="Times New Roman" w:hAnsiTheme="minorHAnsi" w:cs="Arial"/>
              </w:rPr>
            </w:pPr>
            <w:r w:rsidRPr="00930651">
              <w:rPr>
                <w:rFonts w:asciiTheme="minorHAnsi" w:hAnsiTheme="minorHAnsi"/>
              </w:rPr>
              <w:t>Administration</w:t>
            </w:r>
          </w:p>
        </w:tc>
        <w:tc>
          <w:tcPr>
            <w:tcW w:w="2835" w:type="dxa"/>
            <w:tcBorders>
              <w:top w:val="nil"/>
              <w:left w:val="nil"/>
              <w:bottom w:val="single" w:sz="4" w:space="0" w:color="auto"/>
              <w:right w:val="single" w:sz="4" w:space="0" w:color="auto"/>
            </w:tcBorders>
            <w:shd w:val="clear" w:color="auto" w:fill="auto"/>
            <w:noWrap/>
            <w:vAlign w:val="bottom"/>
            <w:hideMark/>
          </w:tcPr>
          <w:p w14:paraId="3A35C4D1" w14:textId="77777777" w:rsidR="00AD65E1" w:rsidRPr="00930651" w:rsidRDefault="00AD65E1" w:rsidP="00E57D9D">
            <w:pPr>
              <w:ind w:left="0" w:firstLine="0"/>
              <w:rPr>
                <w:rFonts w:asciiTheme="minorHAnsi" w:eastAsia="Times New Roman" w:hAnsiTheme="minorHAnsi" w:cs="Arial"/>
              </w:rPr>
            </w:pPr>
            <w:r w:rsidRPr="00930651">
              <w:rPr>
                <w:rFonts w:asciiTheme="minorHAnsi" w:hAnsiTheme="minorHAnsi"/>
              </w:rPr>
              <w:t>1 P2, 1 P1 (50 %), 1 A3</w:t>
            </w:r>
          </w:p>
        </w:tc>
      </w:tr>
      <w:tr w:rsidR="00AD65E1" w:rsidRPr="00930651" w14:paraId="2DA4D92D" w14:textId="77777777" w:rsidTr="007B4653">
        <w:trPr>
          <w:trHeight w:val="264"/>
        </w:trPr>
        <w:tc>
          <w:tcPr>
            <w:tcW w:w="48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AB4916" w14:textId="77777777" w:rsidR="00AD65E1" w:rsidRPr="00930651" w:rsidRDefault="00AD65E1" w:rsidP="004A01E5">
            <w:pPr>
              <w:ind w:left="0" w:firstLine="0"/>
              <w:rPr>
                <w:rFonts w:asciiTheme="minorHAnsi" w:eastAsia="Times New Roman" w:hAnsiTheme="minorHAnsi" w:cs="Arial"/>
                <w:b/>
                <w:bCs/>
              </w:rPr>
            </w:pPr>
            <w:r w:rsidRPr="00930651">
              <w:rPr>
                <w:rFonts w:asciiTheme="minorHAnsi" w:hAnsiTheme="minorHAnsi"/>
                <w:b/>
              </w:rPr>
              <w:t>Total</w:t>
            </w:r>
          </w:p>
        </w:tc>
        <w:tc>
          <w:tcPr>
            <w:tcW w:w="2835" w:type="dxa"/>
            <w:tcBorders>
              <w:top w:val="single" w:sz="4" w:space="0" w:color="auto"/>
              <w:left w:val="nil"/>
              <w:bottom w:val="single" w:sz="4" w:space="0" w:color="auto"/>
              <w:right w:val="single" w:sz="4" w:space="0" w:color="auto"/>
            </w:tcBorders>
            <w:shd w:val="clear" w:color="000000" w:fill="BFBFBF"/>
            <w:noWrap/>
            <w:vAlign w:val="bottom"/>
            <w:hideMark/>
          </w:tcPr>
          <w:p w14:paraId="4E1F9BB2" w14:textId="77777777" w:rsidR="00AD65E1" w:rsidRPr="00930651" w:rsidRDefault="00FE188B" w:rsidP="004A01E5">
            <w:pPr>
              <w:ind w:left="0" w:firstLine="0"/>
              <w:rPr>
                <w:rFonts w:asciiTheme="minorHAnsi" w:eastAsia="Times New Roman" w:hAnsiTheme="minorHAnsi" w:cs="Arial"/>
                <w:b/>
                <w:bCs/>
              </w:rPr>
            </w:pPr>
            <w:r w:rsidRPr="00930651">
              <w:rPr>
                <w:rFonts w:asciiTheme="minorHAnsi" w:hAnsiTheme="minorHAnsi"/>
                <w:b/>
              </w:rPr>
              <w:t>22,5 membres du personnel</w:t>
            </w:r>
          </w:p>
        </w:tc>
      </w:tr>
    </w:tbl>
    <w:p w14:paraId="282C6133" w14:textId="4D8129D7" w:rsidR="00AD65E1" w:rsidRPr="00930651" w:rsidRDefault="00AD65E1" w:rsidP="00AD65E1">
      <w:pPr>
        <w:pStyle w:val="MGfulltext"/>
        <w:spacing w:after="0"/>
        <w:ind w:left="567" w:hanging="567"/>
        <w:rPr>
          <w:rFonts w:asciiTheme="minorHAnsi" w:eastAsia="Batang" w:hAnsiTheme="minorHAnsi" w:cs="Times New Roman"/>
          <w:b/>
          <w:sz w:val="22"/>
          <w:szCs w:val="22"/>
        </w:rPr>
      </w:pPr>
      <w:r w:rsidRPr="00930651">
        <w:rPr>
          <w:rFonts w:asciiTheme="minorHAnsi" w:hAnsiTheme="minorHAnsi"/>
          <w:sz w:val="22"/>
        </w:rPr>
        <w:t>Note : Niveaux selon les politiques et lignes directrices de l</w:t>
      </w:r>
      <w:r w:rsidR="00101E52">
        <w:rPr>
          <w:rFonts w:asciiTheme="minorHAnsi" w:hAnsiTheme="minorHAnsi"/>
          <w:sz w:val="22"/>
        </w:rPr>
        <w:t>’</w:t>
      </w:r>
      <w:r w:rsidRPr="00930651">
        <w:rPr>
          <w:rFonts w:asciiTheme="minorHAnsi" w:hAnsiTheme="minorHAnsi"/>
          <w:sz w:val="22"/>
        </w:rPr>
        <w:t>UICN sur le classement des emplois.</w:t>
      </w:r>
    </w:p>
    <w:p w14:paraId="4999B0CD" w14:textId="797F1FAB" w:rsidR="00AD65E1" w:rsidRPr="00930651" w:rsidRDefault="00AD65E1" w:rsidP="00AD65E1">
      <w:pPr>
        <w:ind w:left="0" w:firstLine="0"/>
        <w:rPr>
          <w:rFonts w:asciiTheme="minorHAnsi" w:eastAsia="Times New Roman" w:hAnsiTheme="minorHAnsi" w:cs="Arial"/>
        </w:rPr>
      </w:pPr>
      <w:r w:rsidRPr="00930651">
        <w:rPr>
          <w:rFonts w:asciiTheme="minorHAnsi" w:hAnsiTheme="minorHAnsi"/>
        </w:rPr>
        <w:t>S = Secrétaire général ; M1-M2 = postes de cadres ; P1-P2 = postes professionnels ; A1-A3 = poste de soutien administratif ; JP = postes d</w:t>
      </w:r>
      <w:r w:rsidR="00101E52">
        <w:rPr>
          <w:rFonts w:asciiTheme="minorHAnsi" w:hAnsiTheme="minorHAnsi"/>
        </w:rPr>
        <w:t>’</w:t>
      </w:r>
      <w:r w:rsidRPr="00930651">
        <w:rPr>
          <w:rFonts w:asciiTheme="minorHAnsi" w:hAnsiTheme="minorHAnsi"/>
        </w:rPr>
        <w:t>administrateurs auxiliaires.</w:t>
      </w:r>
    </w:p>
    <w:p w14:paraId="0336BD19" w14:textId="77777777" w:rsidR="00AD65E1" w:rsidRPr="00930651" w:rsidRDefault="00AD65E1" w:rsidP="0062284A">
      <w:pPr>
        <w:tabs>
          <w:tab w:val="left" w:pos="3586"/>
        </w:tabs>
        <w:rPr>
          <w:rFonts w:asciiTheme="minorHAnsi" w:eastAsia="Times New Roman" w:hAnsiTheme="minorHAnsi" w:cs="Arial"/>
          <w:lang w:eastAsia="en-GB"/>
        </w:rPr>
      </w:pPr>
    </w:p>
    <w:p w14:paraId="660127D8" w14:textId="77777777" w:rsidR="00B32E40" w:rsidRPr="00930651" w:rsidRDefault="00B32E40" w:rsidP="00B32E40">
      <w:pPr>
        <w:pStyle w:val="MGfulltext"/>
        <w:spacing w:after="0"/>
        <w:ind w:left="567" w:hanging="567"/>
        <w:rPr>
          <w:rFonts w:asciiTheme="minorHAnsi" w:eastAsia="Batang" w:hAnsiTheme="minorHAnsi" w:cs="Times New Roman"/>
          <w:b/>
          <w:sz w:val="22"/>
          <w:szCs w:val="22"/>
        </w:rPr>
      </w:pPr>
      <w:r w:rsidRPr="00930651">
        <w:rPr>
          <w:rFonts w:asciiTheme="minorHAnsi" w:hAnsiTheme="minorHAnsi"/>
          <w:b/>
          <w:sz w:val="22"/>
        </w:rPr>
        <w:t>Fonds non administratifs à lever</w:t>
      </w:r>
    </w:p>
    <w:p w14:paraId="5562796A" w14:textId="77777777" w:rsidR="00B32E40" w:rsidRPr="00930651" w:rsidRDefault="00B32E40" w:rsidP="00B32E40">
      <w:pPr>
        <w:pStyle w:val="MGfulltext"/>
        <w:spacing w:after="0"/>
        <w:rPr>
          <w:rFonts w:asciiTheme="minorHAnsi" w:eastAsia="Batang" w:hAnsiTheme="minorHAnsi" w:cs="Times New Roman"/>
          <w:sz w:val="22"/>
          <w:szCs w:val="22"/>
        </w:rPr>
      </w:pPr>
    </w:p>
    <w:p w14:paraId="3DD8B039" w14:textId="10635DA2" w:rsidR="007A653C" w:rsidRPr="00930651" w:rsidRDefault="0074102A" w:rsidP="00951D88">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t>9.</w:t>
      </w:r>
      <w:r w:rsidRPr="00930651">
        <w:rPr>
          <w:rFonts w:asciiTheme="minorHAnsi" w:hAnsiTheme="minorHAnsi"/>
          <w:sz w:val="22"/>
        </w:rPr>
        <w:tab/>
        <w:t>Outre le budget administratif, les priorités de financement non administratif du Secrétariat sont décidées par la Conférence des Parties contractantes. Il s</w:t>
      </w:r>
      <w:r w:rsidR="00101E52">
        <w:rPr>
          <w:rFonts w:asciiTheme="minorHAnsi" w:hAnsiTheme="minorHAnsi"/>
          <w:sz w:val="22"/>
        </w:rPr>
        <w:t>’</w:t>
      </w:r>
      <w:r w:rsidRPr="00930651">
        <w:rPr>
          <w:rFonts w:asciiTheme="minorHAnsi" w:hAnsiTheme="minorHAnsi"/>
          <w:sz w:val="22"/>
        </w:rPr>
        <w:t>agit notamment des principaux domaines de travail du Secrétariat et des priorités identifiées dans les résolutions adoptées par la Conférence des Parties contractantes.</w:t>
      </w:r>
    </w:p>
    <w:p w14:paraId="3CED56F2" w14:textId="77777777" w:rsidR="00B32E40" w:rsidRPr="00930651" w:rsidRDefault="00B32E40" w:rsidP="00B32E40">
      <w:pPr>
        <w:pStyle w:val="ListParagraph"/>
        <w:ind w:left="567"/>
        <w:rPr>
          <w:rFonts w:asciiTheme="minorHAnsi" w:hAnsiTheme="minorHAnsi"/>
        </w:rPr>
      </w:pPr>
    </w:p>
    <w:p w14:paraId="782D4C64" w14:textId="77777777" w:rsidR="00B32E40" w:rsidRPr="00930651" w:rsidRDefault="00B32E40" w:rsidP="00B32E40">
      <w:pPr>
        <w:ind w:left="540" w:hanging="540"/>
        <w:rPr>
          <w:rFonts w:asciiTheme="minorHAnsi" w:hAnsiTheme="minorHAnsi"/>
          <w:b/>
        </w:rPr>
      </w:pPr>
      <w:r w:rsidRPr="00930651">
        <w:rPr>
          <w:rFonts w:asciiTheme="minorHAnsi" w:hAnsiTheme="minorHAnsi"/>
          <w:b/>
        </w:rPr>
        <w:t>Projet de résolution sur les questions financières et budgétaires</w:t>
      </w:r>
    </w:p>
    <w:p w14:paraId="7CD8874B" w14:textId="77777777" w:rsidR="00B32E40" w:rsidRPr="00930651" w:rsidRDefault="00B32E40" w:rsidP="00B32E40">
      <w:pPr>
        <w:rPr>
          <w:rFonts w:asciiTheme="minorHAnsi" w:hAnsiTheme="minorHAnsi"/>
          <w:b/>
        </w:rPr>
      </w:pPr>
    </w:p>
    <w:p w14:paraId="19CB48E7" w14:textId="45268CB2" w:rsidR="00396932" w:rsidRPr="00930651" w:rsidRDefault="0074102A" w:rsidP="00EB3CA7">
      <w:pPr>
        <w:pStyle w:val="MGfulltext"/>
        <w:spacing w:after="0"/>
        <w:ind w:left="425" w:hanging="425"/>
        <w:rPr>
          <w:rFonts w:asciiTheme="minorHAnsi" w:eastAsia="Batang" w:hAnsiTheme="minorHAnsi" w:cs="Times New Roman"/>
          <w:sz w:val="22"/>
          <w:szCs w:val="22"/>
        </w:rPr>
      </w:pPr>
      <w:r w:rsidRPr="00930651">
        <w:rPr>
          <w:rFonts w:asciiTheme="minorHAnsi" w:hAnsiTheme="minorHAnsi"/>
          <w:sz w:val="22"/>
        </w:rPr>
        <w:t>10.</w:t>
      </w:r>
      <w:r w:rsidRPr="00930651">
        <w:rPr>
          <w:rFonts w:asciiTheme="minorHAnsi" w:hAnsiTheme="minorHAnsi"/>
          <w:sz w:val="22"/>
        </w:rPr>
        <w:tab/>
        <w:t xml:space="preserve">Le projet de résolution sur les questions financières et budgétaires à soumettre à la COP14 est présenté </w:t>
      </w:r>
      <w:r w:rsidR="007B4653" w:rsidRPr="007B4653">
        <w:rPr>
          <w:rFonts w:asciiTheme="minorHAnsi" w:hAnsiTheme="minorHAnsi"/>
          <w:sz w:val="22"/>
        </w:rPr>
        <w:t>ci-dessous</w:t>
      </w:r>
      <w:r w:rsidRPr="00930651">
        <w:rPr>
          <w:rFonts w:asciiTheme="minorHAnsi" w:hAnsiTheme="minorHAnsi"/>
          <w:sz w:val="22"/>
        </w:rPr>
        <w:t xml:space="preserve">. </w:t>
      </w:r>
    </w:p>
    <w:p w14:paraId="26B874C0" w14:textId="77777777" w:rsidR="00E76632" w:rsidRPr="00930651" w:rsidRDefault="00B32E40" w:rsidP="00396932">
      <w:pPr>
        <w:pStyle w:val="MGfulltext"/>
        <w:spacing w:after="0"/>
        <w:rPr>
          <w:rFonts w:asciiTheme="minorHAnsi" w:hAnsiTheme="minorHAnsi"/>
        </w:rPr>
      </w:pPr>
      <w:r w:rsidRPr="00930651">
        <w:br w:type="page"/>
      </w:r>
      <w:bookmarkStart w:id="0" w:name="OLE_LINK3"/>
    </w:p>
    <w:p w14:paraId="4498C8F4" w14:textId="77777777" w:rsidR="00B32E40" w:rsidRPr="00930651" w:rsidRDefault="00B32E40" w:rsidP="00B32E40">
      <w:pPr>
        <w:ind w:left="540" w:hanging="540"/>
        <w:rPr>
          <w:rFonts w:asciiTheme="minorHAnsi" w:hAnsiTheme="minorHAnsi"/>
          <w:b/>
          <w:sz w:val="24"/>
          <w:szCs w:val="24"/>
        </w:rPr>
      </w:pPr>
      <w:r w:rsidRPr="00930651">
        <w:rPr>
          <w:rFonts w:asciiTheme="minorHAnsi" w:hAnsiTheme="minorHAnsi"/>
          <w:b/>
          <w:sz w:val="24"/>
        </w:rPr>
        <w:lastRenderedPageBreak/>
        <w:t>Projet de Résolution 14.xx</w:t>
      </w:r>
    </w:p>
    <w:bookmarkEnd w:id="0"/>
    <w:p w14:paraId="34621601" w14:textId="77777777" w:rsidR="00B32E40" w:rsidRPr="00930651" w:rsidRDefault="00B32E40" w:rsidP="00E76632">
      <w:pPr>
        <w:ind w:left="0" w:firstLine="0"/>
        <w:rPr>
          <w:rFonts w:asciiTheme="minorHAnsi" w:hAnsiTheme="minorHAnsi"/>
          <w:b/>
          <w:sz w:val="24"/>
          <w:szCs w:val="24"/>
        </w:rPr>
      </w:pPr>
      <w:r w:rsidRPr="00930651">
        <w:rPr>
          <w:rFonts w:asciiTheme="minorHAnsi" w:hAnsiTheme="minorHAnsi"/>
          <w:b/>
          <w:sz w:val="24"/>
        </w:rPr>
        <w:t>Questions financières et budgétaires</w:t>
      </w:r>
    </w:p>
    <w:p w14:paraId="31F2E447" w14:textId="77777777" w:rsidR="00A81CC0" w:rsidRPr="00930651" w:rsidRDefault="00A81CC0" w:rsidP="00A81CC0">
      <w:pPr>
        <w:rPr>
          <w:rFonts w:asciiTheme="minorHAnsi" w:hAnsiTheme="minorHAnsi"/>
          <w:b/>
        </w:rPr>
      </w:pPr>
    </w:p>
    <w:p w14:paraId="4E2C4F4F" w14:textId="0F76F488" w:rsidR="00A81CC0" w:rsidRPr="00930651" w:rsidRDefault="00A81CC0" w:rsidP="00A81CC0">
      <w:pPr>
        <w:pStyle w:val="ListParagraph"/>
        <w:numPr>
          <w:ilvl w:val="0"/>
          <w:numId w:val="37"/>
        </w:numPr>
        <w:ind w:left="425" w:hanging="425"/>
        <w:rPr>
          <w:rFonts w:asciiTheme="minorHAnsi" w:hAnsiTheme="minorHAnsi"/>
        </w:rPr>
      </w:pPr>
      <w:r w:rsidRPr="00930651">
        <w:rPr>
          <w:rFonts w:asciiTheme="minorHAnsi" w:hAnsiTheme="minorHAnsi"/>
        </w:rPr>
        <w:t>RAPPELANT les dispositions budgétaires établies par l</w:t>
      </w:r>
      <w:r w:rsidR="00101E52">
        <w:rPr>
          <w:rFonts w:asciiTheme="minorHAnsi" w:hAnsiTheme="minorHAnsi"/>
        </w:rPr>
        <w:t>’</w:t>
      </w:r>
      <w:r w:rsidRPr="00930651">
        <w:rPr>
          <w:rFonts w:asciiTheme="minorHAnsi" w:hAnsiTheme="minorHAnsi"/>
        </w:rPr>
        <w:t>Article 6, alinéas 5 et 6, de la Convention ;</w:t>
      </w:r>
    </w:p>
    <w:p w14:paraId="14EB6989" w14:textId="77777777" w:rsidR="00A81CC0" w:rsidRPr="00930651" w:rsidRDefault="00A81CC0" w:rsidP="00A81CC0">
      <w:pPr>
        <w:pStyle w:val="ListParagraph"/>
        <w:ind w:left="425"/>
        <w:rPr>
          <w:rFonts w:asciiTheme="minorHAnsi" w:hAnsiTheme="minorHAnsi"/>
        </w:rPr>
      </w:pPr>
    </w:p>
    <w:p w14:paraId="263C6C76" w14:textId="77777777" w:rsidR="00A81CC0" w:rsidRPr="00930651" w:rsidRDefault="00A81CC0" w:rsidP="00A81CC0">
      <w:pPr>
        <w:rPr>
          <w:rFonts w:asciiTheme="minorHAnsi" w:hAnsiTheme="minorHAnsi"/>
        </w:rPr>
      </w:pPr>
      <w:r w:rsidRPr="00930651">
        <w:rPr>
          <w:rFonts w:asciiTheme="minorHAnsi" w:hAnsiTheme="minorHAnsi"/>
        </w:rPr>
        <w:t>2.</w:t>
      </w:r>
      <w:r w:rsidRPr="00930651">
        <w:rPr>
          <w:rFonts w:asciiTheme="minorHAnsi" w:hAnsiTheme="minorHAnsi"/>
        </w:rPr>
        <w:tab/>
      </w:r>
      <w:r w:rsidRPr="00930651">
        <w:t xml:space="preserve">RAPPELANT la Résolution XII.7, </w:t>
      </w:r>
      <w:r w:rsidRPr="00930651">
        <w:rPr>
          <w:i/>
        </w:rPr>
        <w:t xml:space="preserve">Cadre de la Convention de Ramsar pour la mobilisation de ressources et les partenariats </w:t>
      </w:r>
      <w:r w:rsidRPr="00930651">
        <w:t xml:space="preserve">et les dispositions connexes de la Résolution XIII.2 </w:t>
      </w:r>
      <w:r w:rsidRPr="00930651">
        <w:rPr>
          <w:i/>
        </w:rPr>
        <w:t>Questions financières et budgétaires</w:t>
      </w:r>
      <w:r w:rsidRPr="00930651">
        <w:t xml:space="preserve"> et la Résolution ExCOP3.2 </w:t>
      </w:r>
      <w:r w:rsidRPr="00930651">
        <w:rPr>
          <w:i/>
        </w:rPr>
        <w:t>Questions financières et budgétaires</w:t>
      </w:r>
      <w:r w:rsidRPr="00930651">
        <w:t> :</w:t>
      </w:r>
      <w:r w:rsidRPr="00930651">
        <w:rPr>
          <w:i/>
        </w:rPr>
        <w:t xml:space="preserve"> budget administratif 2022 </w:t>
      </w:r>
      <w:r w:rsidRPr="00930651">
        <w:t>;</w:t>
      </w:r>
      <w:r w:rsidRPr="00930651">
        <w:rPr>
          <w:rFonts w:asciiTheme="minorHAnsi" w:hAnsiTheme="minorHAnsi"/>
        </w:rPr>
        <w:t xml:space="preserve"> </w:t>
      </w:r>
    </w:p>
    <w:p w14:paraId="7719AD7A" w14:textId="77777777" w:rsidR="005C2ADF" w:rsidRPr="00930651" w:rsidRDefault="005C2ADF" w:rsidP="00A81CC0">
      <w:pPr>
        <w:rPr>
          <w:rFonts w:asciiTheme="minorHAnsi" w:hAnsiTheme="minorHAnsi"/>
        </w:rPr>
      </w:pPr>
    </w:p>
    <w:p w14:paraId="2F210D85" w14:textId="1C5AE9F8" w:rsidR="00A81CC0" w:rsidRPr="00930651" w:rsidRDefault="00A81CC0" w:rsidP="00A81CC0">
      <w:pPr>
        <w:rPr>
          <w:rFonts w:asciiTheme="minorHAnsi" w:hAnsiTheme="minorHAnsi"/>
        </w:rPr>
      </w:pPr>
      <w:r w:rsidRPr="00930651">
        <w:rPr>
          <w:rFonts w:asciiTheme="minorHAnsi" w:hAnsiTheme="minorHAnsi"/>
        </w:rPr>
        <w:t>3.</w:t>
      </w:r>
      <w:r w:rsidRPr="00930651">
        <w:rPr>
          <w:rFonts w:asciiTheme="minorHAnsi" w:hAnsiTheme="minorHAnsi"/>
        </w:rPr>
        <w:tab/>
      </w:r>
      <w:r w:rsidRPr="00930651">
        <w:t>RECONNAISSANT AVEC SATISFACTION que la majorité des Parties contractantes ont versé promptement leurs contributions au budget administratif de la Convention</w:t>
      </w:r>
      <w:r w:rsidR="00474FCE">
        <w:t> </w:t>
      </w:r>
      <w:r w:rsidRPr="00930651">
        <w:t>; mais CONSTATANT AVEC PRÉOCCUPATION que plusieurs Parties contractantes ont encore d</w:t>
      </w:r>
      <w:r w:rsidR="00101E52">
        <w:t>’</w:t>
      </w:r>
      <w:r w:rsidRPr="00930651">
        <w:t xml:space="preserve">importants arriérés de contributions (voir document COP14 Doc.xx, </w:t>
      </w:r>
      <w:r w:rsidRPr="00930651">
        <w:rPr>
          <w:i/>
          <w:iCs/>
        </w:rPr>
        <w:t>Rapport sur les questions financières et budgétaires</w:t>
      </w:r>
      <w:r w:rsidRPr="00930651">
        <w:t>) ;</w:t>
      </w:r>
    </w:p>
    <w:p w14:paraId="221065E2" w14:textId="77777777" w:rsidR="00A81CC0" w:rsidRPr="00930651" w:rsidRDefault="00A81CC0" w:rsidP="00A81CC0">
      <w:pPr>
        <w:rPr>
          <w:rFonts w:asciiTheme="minorHAnsi" w:hAnsiTheme="minorHAnsi"/>
        </w:rPr>
      </w:pPr>
    </w:p>
    <w:p w14:paraId="6A215C47" w14:textId="3413AAFC" w:rsidR="00A81CC0" w:rsidRPr="00930651" w:rsidRDefault="00A81CC0" w:rsidP="00A81CC0">
      <w:pPr>
        <w:rPr>
          <w:rFonts w:asciiTheme="minorHAnsi" w:hAnsiTheme="minorHAnsi"/>
        </w:rPr>
      </w:pPr>
      <w:r w:rsidRPr="00930651">
        <w:rPr>
          <w:rFonts w:asciiTheme="minorHAnsi" w:hAnsiTheme="minorHAnsi"/>
        </w:rPr>
        <w:t>4.</w:t>
      </w:r>
      <w:r w:rsidRPr="00930651">
        <w:rPr>
          <w:rFonts w:asciiTheme="minorHAnsi" w:hAnsiTheme="minorHAnsi"/>
        </w:rPr>
        <w:tab/>
      </w:r>
      <w:r w:rsidRPr="00930651">
        <w:t>NOTANT AVEC GRATITUDE les contributions financières supplémentaires versées volontairement par nombre de Parties contractantes, notamment celles de Parties contractantes d</w:t>
      </w:r>
      <w:r w:rsidR="00101E52">
        <w:t>’</w:t>
      </w:r>
      <w:r w:rsidRPr="00930651">
        <w:t xml:space="preserve">Afrique spécifiquement affectées aux Initiatives régionales africaines (conformément au paragraphe 23 de la Résolution X.2, </w:t>
      </w:r>
      <w:r w:rsidRPr="00930651">
        <w:rPr>
          <w:i/>
        </w:rPr>
        <w:t>Questions financières et budgétaires</w:t>
      </w:r>
      <w:r w:rsidRPr="00930651">
        <w:t>), ainsi que les contributions d</w:t>
      </w:r>
      <w:r w:rsidR="00101E52">
        <w:t>’</w:t>
      </w:r>
      <w:r w:rsidRPr="00930651">
        <w:t>organisations non gouvernementales et du secteur privé destinées aux activités du Secrétariat ;</w:t>
      </w:r>
    </w:p>
    <w:p w14:paraId="1CDDED15" w14:textId="77777777" w:rsidR="00A81CC0" w:rsidRPr="00930651" w:rsidRDefault="00A81CC0" w:rsidP="00A81CC0">
      <w:pPr>
        <w:rPr>
          <w:rFonts w:asciiTheme="minorHAnsi" w:hAnsiTheme="minorHAnsi"/>
        </w:rPr>
      </w:pPr>
    </w:p>
    <w:p w14:paraId="08DCF794" w14:textId="11A110A8" w:rsidR="00A81CC0" w:rsidRPr="00930651" w:rsidRDefault="00A81CC0" w:rsidP="00A81CC0">
      <w:pPr>
        <w:rPr>
          <w:rFonts w:asciiTheme="minorHAnsi" w:hAnsiTheme="minorHAnsi"/>
        </w:rPr>
      </w:pPr>
      <w:r w:rsidRPr="00930651">
        <w:rPr>
          <w:rFonts w:asciiTheme="minorHAnsi" w:hAnsiTheme="minorHAnsi"/>
        </w:rPr>
        <w:t>5.</w:t>
      </w:r>
      <w:r w:rsidRPr="00930651">
        <w:rPr>
          <w:rFonts w:asciiTheme="minorHAnsi" w:hAnsiTheme="minorHAnsi"/>
        </w:rPr>
        <w:tab/>
        <w:t xml:space="preserve">RAPPELANT la </w:t>
      </w:r>
      <w:r w:rsidRPr="00930651">
        <w:rPr>
          <w:rFonts w:asciiTheme="minorHAnsi" w:hAnsiTheme="minorHAnsi"/>
          <w:i/>
        </w:rPr>
        <w:t>Délégation d</w:t>
      </w:r>
      <w:r w:rsidR="00101E52">
        <w:rPr>
          <w:rFonts w:asciiTheme="minorHAnsi" w:hAnsiTheme="minorHAnsi"/>
          <w:i/>
        </w:rPr>
        <w:t>’</w:t>
      </w:r>
      <w:r w:rsidRPr="00930651">
        <w:rPr>
          <w:rFonts w:asciiTheme="minorHAnsi" w:hAnsiTheme="minorHAnsi"/>
          <w:i/>
        </w:rPr>
        <w:t xml:space="preserve">autorité au Secrétaire général de la Convention sur les zones humides </w:t>
      </w:r>
      <w:r w:rsidRPr="00930651">
        <w:rPr>
          <w:rFonts w:asciiTheme="minorHAnsi" w:hAnsiTheme="minorHAnsi"/>
        </w:rPr>
        <w:t>signée par le Directeur général de l</w:t>
      </w:r>
      <w:r w:rsidR="00101E52">
        <w:rPr>
          <w:rFonts w:asciiTheme="minorHAnsi" w:hAnsiTheme="minorHAnsi"/>
        </w:rPr>
        <w:t>’</w:t>
      </w:r>
      <w:r w:rsidRPr="00930651">
        <w:rPr>
          <w:rFonts w:asciiTheme="minorHAnsi" w:hAnsiTheme="minorHAnsi"/>
        </w:rPr>
        <w:t xml:space="preserve">Union internationale pour la conservation de la nature (UICN) et le Président du Comité permanent de la Convention, le 29 janvier 1993, et la </w:t>
      </w:r>
      <w:r w:rsidRPr="00930651">
        <w:rPr>
          <w:rFonts w:asciiTheme="minorHAnsi" w:hAnsiTheme="minorHAnsi"/>
          <w:i/>
        </w:rPr>
        <w:t>Note supplémentaire à la délégation d</w:t>
      </w:r>
      <w:r w:rsidR="00101E52">
        <w:rPr>
          <w:rFonts w:asciiTheme="minorHAnsi" w:hAnsiTheme="minorHAnsi"/>
          <w:i/>
        </w:rPr>
        <w:t>’</w:t>
      </w:r>
      <w:r w:rsidRPr="00930651">
        <w:rPr>
          <w:rFonts w:asciiTheme="minorHAnsi" w:hAnsiTheme="minorHAnsi"/>
          <w:i/>
        </w:rPr>
        <w:t xml:space="preserve">autorité </w:t>
      </w:r>
      <w:r w:rsidRPr="00930651">
        <w:rPr>
          <w:rFonts w:asciiTheme="minorHAnsi" w:hAnsiTheme="minorHAnsi"/>
        </w:rPr>
        <w:t>signée à la même date ;</w:t>
      </w:r>
    </w:p>
    <w:p w14:paraId="20129E0B" w14:textId="77777777" w:rsidR="00A81CC0" w:rsidRPr="00930651" w:rsidRDefault="00A81CC0" w:rsidP="00A81CC0">
      <w:pPr>
        <w:rPr>
          <w:rFonts w:asciiTheme="minorHAnsi" w:hAnsiTheme="minorHAnsi"/>
        </w:rPr>
      </w:pPr>
    </w:p>
    <w:p w14:paraId="0545C518" w14:textId="21915672" w:rsidR="00A81CC0" w:rsidRPr="00930651" w:rsidRDefault="00A81CC0" w:rsidP="00A81CC0">
      <w:pPr>
        <w:rPr>
          <w:rFonts w:asciiTheme="minorHAnsi" w:hAnsiTheme="minorHAnsi"/>
        </w:rPr>
      </w:pPr>
      <w:r w:rsidRPr="00930651">
        <w:rPr>
          <w:rFonts w:asciiTheme="minorHAnsi" w:hAnsiTheme="minorHAnsi"/>
        </w:rPr>
        <w:t>6.</w:t>
      </w:r>
      <w:r w:rsidRPr="00930651">
        <w:rPr>
          <w:rFonts w:asciiTheme="minorHAnsi" w:hAnsiTheme="minorHAnsi"/>
        </w:rPr>
        <w:tab/>
        <w:t>SE FÉLICITANT des services financiers et administratifs fournis au Secrétariat Ramsar par l</w:t>
      </w:r>
      <w:r w:rsidR="00101E52">
        <w:rPr>
          <w:rFonts w:asciiTheme="minorHAnsi" w:hAnsiTheme="minorHAnsi"/>
        </w:rPr>
        <w:t>’</w:t>
      </w:r>
      <w:r w:rsidRPr="00930651">
        <w:rPr>
          <w:rFonts w:asciiTheme="minorHAnsi" w:hAnsiTheme="minorHAnsi"/>
        </w:rPr>
        <w:t>UICN, conformément à l</w:t>
      </w:r>
      <w:r w:rsidR="00101E52">
        <w:rPr>
          <w:rFonts w:asciiTheme="minorHAnsi" w:hAnsiTheme="minorHAnsi"/>
        </w:rPr>
        <w:t>’</w:t>
      </w:r>
      <w:r w:rsidRPr="00930651">
        <w:rPr>
          <w:rFonts w:asciiTheme="minorHAnsi" w:hAnsiTheme="minorHAnsi"/>
        </w:rPr>
        <w:t>Accord de services conclu entre la Convention de Ramsar et l</w:t>
      </w:r>
      <w:r w:rsidR="00101E52">
        <w:rPr>
          <w:rFonts w:asciiTheme="minorHAnsi" w:hAnsiTheme="minorHAnsi"/>
        </w:rPr>
        <w:t>’</w:t>
      </w:r>
      <w:r w:rsidRPr="00930651">
        <w:rPr>
          <w:rFonts w:asciiTheme="minorHAnsi" w:hAnsiTheme="minorHAnsi"/>
        </w:rPr>
        <w:t>UICN et révisé en 2009 ;</w:t>
      </w:r>
    </w:p>
    <w:p w14:paraId="60A6ECEE" w14:textId="77777777" w:rsidR="00A81CC0" w:rsidRPr="00930651" w:rsidRDefault="00A81CC0" w:rsidP="00A81CC0">
      <w:pPr>
        <w:pStyle w:val="ListParagraph"/>
        <w:ind w:left="425"/>
        <w:rPr>
          <w:rFonts w:asciiTheme="minorHAnsi" w:hAnsiTheme="minorHAnsi"/>
        </w:rPr>
      </w:pPr>
    </w:p>
    <w:p w14:paraId="7EDC3DAD" w14:textId="77777777" w:rsidR="00A81CC0" w:rsidRPr="00930651" w:rsidRDefault="00A81CC0" w:rsidP="00A81CC0">
      <w:pPr>
        <w:rPr>
          <w:rFonts w:asciiTheme="minorHAnsi" w:hAnsiTheme="minorHAnsi"/>
        </w:rPr>
      </w:pPr>
      <w:r w:rsidRPr="00930651">
        <w:rPr>
          <w:rFonts w:asciiTheme="minorHAnsi" w:hAnsiTheme="minorHAnsi"/>
        </w:rPr>
        <w:t>7.</w:t>
      </w:r>
      <w:r w:rsidRPr="00930651">
        <w:rPr>
          <w:rFonts w:asciiTheme="minorHAnsi" w:hAnsiTheme="minorHAnsi"/>
        </w:rPr>
        <w:tab/>
        <w:t>NOTANT que les Parties contractantes ont été tenues informées de la situation financière du Secrétariat de la Convention dans les rapports financiers annuels vérifiés pour les exercices 2018 à 2021 et les procès-verbaux des réunions du Comité permanent de 2019 à 2022 ; et</w:t>
      </w:r>
    </w:p>
    <w:p w14:paraId="6237002B" w14:textId="77777777" w:rsidR="00A81CC0" w:rsidRPr="00930651" w:rsidRDefault="00A81CC0" w:rsidP="00A81CC0">
      <w:pPr>
        <w:rPr>
          <w:rFonts w:asciiTheme="minorHAnsi" w:hAnsiTheme="minorHAnsi"/>
        </w:rPr>
      </w:pPr>
    </w:p>
    <w:p w14:paraId="730E683B" w14:textId="77777777" w:rsidR="00A81CC0" w:rsidRPr="00930651" w:rsidRDefault="00A81CC0" w:rsidP="00A81CC0">
      <w:pPr>
        <w:rPr>
          <w:rFonts w:asciiTheme="minorHAnsi" w:hAnsiTheme="minorHAnsi"/>
        </w:rPr>
      </w:pPr>
      <w:r w:rsidRPr="00930651">
        <w:rPr>
          <w:rFonts w:asciiTheme="minorHAnsi" w:hAnsiTheme="minorHAnsi"/>
        </w:rPr>
        <w:t>8.</w:t>
      </w:r>
      <w:r w:rsidRPr="00930651">
        <w:rPr>
          <w:rFonts w:asciiTheme="minorHAnsi" w:hAnsiTheme="minorHAnsi"/>
        </w:rPr>
        <w:tab/>
        <w:t>CONSCIENTE de la nécessité de poursuivre le renforcement des partenariats financiers avec les organisations internationales et autres organismes concernés et de réfléchir à de nouvelles possibilités de financement par le biais de leurs mécanismes financiers ;</w:t>
      </w:r>
    </w:p>
    <w:p w14:paraId="0AC18DE2" w14:textId="77777777" w:rsidR="00A81CC0" w:rsidRPr="00930651" w:rsidRDefault="00A81CC0" w:rsidP="00A81CC0">
      <w:pPr>
        <w:ind w:left="426" w:hanging="426"/>
        <w:rPr>
          <w:rFonts w:asciiTheme="minorHAnsi" w:hAnsiTheme="minorHAnsi"/>
        </w:rPr>
      </w:pPr>
    </w:p>
    <w:p w14:paraId="3E6CC0B0" w14:textId="77777777" w:rsidR="00A81CC0" w:rsidRPr="00930651" w:rsidRDefault="00A81CC0" w:rsidP="00A81CC0">
      <w:pPr>
        <w:keepNext/>
        <w:ind w:left="426" w:hanging="426"/>
        <w:jc w:val="center"/>
        <w:rPr>
          <w:rFonts w:asciiTheme="minorHAnsi" w:hAnsiTheme="minorHAnsi"/>
        </w:rPr>
      </w:pPr>
      <w:r w:rsidRPr="00930651">
        <w:rPr>
          <w:rFonts w:asciiTheme="minorHAnsi" w:hAnsiTheme="minorHAnsi"/>
        </w:rPr>
        <w:t>LA CONFÉRENCE DES PARTIES CONTRACTANTES</w:t>
      </w:r>
    </w:p>
    <w:p w14:paraId="6D28F282" w14:textId="77777777" w:rsidR="00A81CC0" w:rsidRPr="00930651" w:rsidRDefault="00A81CC0" w:rsidP="00A81CC0">
      <w:pPr>
        <w:keepNext/>
        <w:ind w:left="567" w:hanging="567"/>
        <w:rPr>
          <w:rFonts w:asciiTheme="minorHAnsi" w:hAnsiTheme="minorHAnsi"/>
        </w:rPr>
      </w:pPr>
    </w:p>
    <w:p w14:paraId="56EC4582" w14:textId="77777777" w:rsidR="00A81CC0" w:rsidRPr="00930651" w:rsidRDefault="00A81CC0" w:rsidP="00A81CC0">
      <w:pPr>
        <w:rPr>
          <w:rFonts w:asciiTheme="minorHAnsi" w:hAnsiTheme="minorHAnsi"/>
        </w:rPr>
      </w:pPr>
      <w:r w:rsidRPr="00930651">
        <w:rPr>
          <w:rFonts w:asciiTheme="minorHAnsi" w:hAnsiTheme="minorHAnsi"/>
        </w:rPr>
        <w:t>9.</w:t>
      </w:r>
      <w:r w:rsidRPr="00930651">
        <w:rPr>
          <w:rFonts w:asciiTheme="minorHAnsi" w:hAnsiTheme="minorHAnsi"/>
        </w:rPr>
        <w:tab/>
        <w:t>PREND NOTE que depuis la 13</w:t>
      </w:r>
      <w:r w:rsidRPr="00930651">
        <w:rPr>
          <w:rFonts w:asciiTheme="minorHAnsi" w:hAnsiTheme="minorHAnsi"/>
          <w:vertAlign w:val="superscript"/>
        </w:rPr>
        <w:t>e</w:t>
      </w:r>
      <w:r w:rsidRPr="00930651">
        <w:rPr>
          <w:rFonts w:asciiTheme="minorHAnsi" w:hAnsiTheme="minorHAnsi"/>
        </w:rPr>
        <w:t> Session de la Conférence des Parties contractantes (COP13), en 2018, le Secrétariat a continué à améliorer considérablement sa gestion des fonds de la Convention avec prudence, efficacité et transparence.</w:t>
      </w:r>
    </w:p>
    <w:p w14:paraId="413375CD" w14:textId="77777777" w:rsidR="00A81CC0" w:rsidRPr="00930651" w:rsidRDefault="00A81CC0" w:rsidP="00A81CC0">
      <w:pPr>
        <w:rPr>
          <w:rFonts w:asciiTheme="minorHAnsi" w:hAnsiTheme="minorHAnsi"/>
        </w:rPr>
      </w:pPr>
    </w:p>
    <w:p w14:paraId="6E3B10B0" w14:textId="0B6B3397" w:rsidR="00A81CC0" w:rsidRPr="00930651" w:rsidRDefault="00A81CC0" w:rsidP="00A81CC0">
      <w:pPr>
        <w:rPr>
          <w:rFonts w:asciiTheme="minorHAnsi" w:hAnsiTheme="minorHAnsi"/>
        </w:rPr>
      </w:pPr>
      <w:r w:rsidRPr="00930651">
        <w:rPr>
          <w:rFonts w:asciiTheme="minorHAnsi" w:hAnsiTheme="minorHAnsi"/>
        </w:rPr>
        <w:t>10.</w:t>
      </w:r>
      <w:r w:rsidRPr="00930651">
        <w:rPr>
          <w:rFonts w:asciiTheme="minorHAnsi" w:hAnsiTheme="minorHAnsi"/>
        </w:rPr>
        <w:tab/>
        <w:t>EXPRIME SA RECONNAISSANCE aux Parties contractantes qui ont siégé au Sous-groupe sur les finances du Comité permanent durant la période triennale 2019-2021 et</w:t>
      </w:r>
      <w:r w:rsidR="00474FCE">
        <w:rPr>
          <w:rFonts w:asciiTheme="minorHAnsi" w:hAnsiTheme="minorHAnsi"/>
        </w:rPr>
        <w:t xml:space="preserve"> en 2022</w:t>
      </w:r>
      <w:r w:rsidRPr="00930651">
        <w:rPr>
          <w:rFonts w:asciiTheme="minorHAnsi" w:hAnsiTheme="minorHAnsi"/>
        </w:rPr>
        <w:t>, en particulier, au Mexique, qui en a assuré la présidence.</w:t>
      </w:r>
    </w:p>
    <w:p w14:paraId="6AFC1A42" w14:textId="77777777" w:rsidR="00A81CC0" w:rsidRPr="00930651" w:rsidRDefault="00A81CC0" w:rsidP="00A81CC0">
      <w:pPr>
        <w:rPr>
          <w:rFonts w:asciiTheme="minorHAnsi" w:hAnsiTheme="minorHAnsi"/>
        </w:rPr>
      </w:pPr>
    </w:p>
    <w:p w14:paraId="64884C96" w14:textId="2A5917B9" w:rsidR="00A81CC0" w:rsidRPr="00930651" w:rsidRDefault="00A81CC0" w:rsidP="00A81CC0">
      <w:pPr>
        <w:rPr>
          <w:rFonts w:asciiTheme="minorHAnsi" w:hAnsiTheme="minorHAnsi"/>
        </w:rPr>
      </w:pPr>
      <w:r w:rsidRPr="00930651">
        <w:rPr>
          <w:rFonts w:asciiTheme="minorHAnsi" w:hAnsiTheme="minorHAnsi"/>
        </w:rPr>
        <w:lastRenderedPageBreak/>
        <w:t>11.</w:t>
      </w:r>
      <w:r w:rsidRPr="00930651">
        <w:rPr>
          <w:rFonts w:asciiTheme="minorHAnsi" w:hAnsiTheme="minorHAnsi"/>
        </w:rPr>
        <w:tab/>
        <w:t xml:space="preserve">DÉCIDE que les </w:t>
      </w:r>
      <w:r w:rsidRPr="00930651">
        <w:rPr>
          <w:rFonts w:asciiTheme="minorHAnsi" w:hAnsiTheme="minorHAnsi"/>
          <w:i/>
        </w:rPr>
        <w:t>Dispositions relatives à l</w:t>
      </w:r>
      <w:r w:rsidR="00101E52">
        <w:rPr>
          <w:rFonts w:asciiTheme="minorHAnsi" w:hAnsiTheme="minorHAnsi"/>
          <w:i/>
        </w:rPr>
        <w:t>’</w:t>
      </w:r>
      <w:r w:rsidRPr="00930651">
        <w:rPr>
          <w:rFonts w:asciiTheme="minorHAnsi" w:hAnsiTheme="minorHAnsi"/>
          <w:i/>
        </w:rPr>
        <w:t>administration financière de la Convention</w:t>
      </w:r>
      <w:r w:rsidRPr="00930651">
        <w:rPr>
          <w:rFonts w:asciiTheme="minorHAnsi" w:hAnsiTheme="minorHAnsi"/>
        </w:rPr>
        <w:t>, énoncées à l</w:t>
      </w:r>
      <w:r w:rsidR="00101E52">
        <w:rPr>
          <w:rFonts w:asciiTheme="minorHAnsi" w:hAnsiTheme="minorHAnsi"/>
        </w:rPr>
        <w:t>’</w:t>
      </w:r>
      <w:r w:rsidRPr="00930651">
        <w:rPr>
          <w:rFonts w:asciiTheme="minorHAnsi" w:hAnsiTheme="minorHAnsi"/>
        </w:rPr>
        <w:t xml:space="preserve">annexe 3 de la Résolution 5.2, Résolution </w:t>
      </w:r>
      <w:r w:rsidRPr="00930651">
        <w:rPr>
          <w:rFonts w:asciiTheme="minorHAnsi" w:hAnsiTheme="minorHAnsi"/>
          <w:i/>
        </w:rPr>
        <w:t xml:space="preserve">Questions financières et budgétaires </w:t>
      </w:r>
      <w:r w:rsidRPr="00930651">
        <w:rPr>
          <w:rFonts w:asciiTheme="minorHAnsi" w:hAnsiTheme="minorHAnsi"/>
        </w:rPr>
        <w:t>(1993), seront intégralement appliquées pendant la période triennale 2023-2025.</w:t>
      </w:r>
    </w:p>
    <w:p w14:paraId="5BEF0503" w14:textId="77777777" w:rsidR="00A81CC0" w:rsidRPr="00930651" w:rsidRDefault="00A81CC0" w:rsidP="00A81CC0">
      <w:pPr>
        <w:rPr>
          <w:rFonts w:asciiTheme="minorHAnsi" w:hAnsiTheme="minorHAnsi"/>
        </w:rPr>
      </w:pPr>
    </w:p>
    <w:p w14:paraId="7BA01ADA" w14:textId="0CDE5FEA" w:rsidR="00A81CC0" w:rsidRPr="00930651" w:rsidRDefault="00A81CC0" w:rsidP="00A81CC0">
      <w:pPr>
        <w:rPr>
          <w:rFonts w:asciiTheme="minorHAnsi" w:hAnsiTheme="minorHAnsi"/>
        </w:rPr>
      </w:pPr>
      <w:r w:rsidRPr="00930651">
        <w:rPr>
          <w:rFonts w:asciiTheme="minorHAnsi" w:hAnsiTheme="minorHAnsi"/>
        </w:rPr>
        <w:t>12.</w:t>
      </w:r>
      <w:r w:rsidRPr="00930651">
        <w:rPr>
          <w:rFonts w:asciiTheme="minorHAnsi" w:hAnsiTheme="minorHAnsi"/>
        </w:rPr>
        <w:tab/>
        <w:t>DÉCIDE EN OUTRE que le Sous-groupe sur les finances, tel qu</w:t>
      </w:r>
      <w:r w:rsidR="00101E52">
        <w:rPr>
          <w:rFonts w:asciiTheme="minorHAnsi" w:hAnsiTheme="minorHAnsi"/>
        </w:rPr>
        <w:t>’</w:t>
      </w:r>
      <w:r w:rsidRPr="00930651">
        <w:rPr>
          <w:rFonts w:asciiTheme="minorHAnsi" w:hAnsiTheme="minorHAnsi"/>
        </w:rPr>
        <w:t xml:space="preserve">établi par la Résolution VI.17, </w:t>
      </w:r>
      <w:r w:rsidRPr="00930651">
        <w:rPr>
          <w:rFonts w:asciiTheme="minorHAnsi" w:hAnsiTheme="minorHAnsi"/>
          <w:i/>
        </w:rPr>
        <w:t xml:space="preserve">Questions financières et budgétaires </w:t>
      </w:r>
      <w:r w:rsidRPr="00930651">
        <w:rPr>
          <w:rFonts w:asciiTheme="minorHAnsi" w:hAnsiTheme="minorHAnsi"/>
        </w:rPr>
        <w:t>(1996), sera prorogé et continuera de fonctionner sous les auspices du Comité permanent, en assumant les rôles et responsabilités énoncés dans ladite résolution, et comprendra un représentant au Comité permanent de chaque région Ramsar plus le président sortant du Sous-groupe sur les finances, ainsi que toute autre Partie contractante intéressée, compte tenu du fait qu</w:t>
      </w:r>
      <w:r w:rsidR="00101E52">
        <w:rPr>
          <w:rFonts w:asciiTheme="minorHAnsi" w:hAnsiTheme="minorHAnsi"/>
        </w:rPr>
        <w:t>’</w:t>
      </w:r>
      <w:r w:rsidRPr="00930651">
        <w:rPr>
          <w:rFonts w:asciiTheme="minorHAnsi" w:hAnsiTheme="minorHAnsi"/>
        </w:rPr>
        <w:t>il est souhaitable d</w:t>
      </w:r>
      <w:r w:rsidR="00101E52">
        <w:rPr>
          <w:rFonts w:asciiTheme="minorHAnsi" w:hAnsiTheme="minorHAnsi"/>
        </w:rPr>
        <w:t>’</w:t>
      </w:r>
      <w:r w:rsidRPr="00930651">
        <w:rPr>
          <w:rFonts w:asciiTheme="minorHAnsi" w:hAnsiTheme="minorHAnsi"/>
        </w:rPr>
        <w:t>avoir une participation régionale équitable et nécessaire de s</w:t>
      </w:r>
      <w:r w:rsidR="00101E52">
        <w:rPr>
          <w:rFonts w:asciiTheme="minorHAnsi" w:hAnsiTheme="minorHAnsi"/>
        </w:rPr>
        <w:t>’</w:t>
      </w:r>
      <w:r w:rsidRPr="00930651">
        <w:rPr>
          <w:rFonts w:asciiTheme="minorHAnsi" w:hAnsiTheme="minorHAnsi"/>
        </w:rPr>
        <w:t>assurer que le groupe est d</w:t>
      </w:r>
      <w:r w:rsidR="00101E52">
        <w:rPr>
          <w:rFonts w:asciiTheme="minorHAnsi" w:hAnsiTheme="minorHAnsi"/>
        </w:rPr>
        <w:t>’</w:t>
      </w:r>
      <w:r w:rsidRPr="00930651">
        <w:rPr>
          <w:rFonts w:asciiTheme="minorHAnsi" w:hAnsiTheme="minorHAnsi"/>
        </w:rPr>
        <w:t>une taille gérable, et désignera un de ses membres comme président; et NOTE que l</w:t>
      </w:r>
      <w:r w:rsidR="00101E52">
        <w:rPr>
          <w:rFonts w:asciiTheme="minorHAnsi" w:hAnsiTheme="minorHAnsi"/>
        </w:rPr>
        <w:t>’</w:t>
      </w:r>
      <w:r w:rsidRPr="00930651">
        <w:rPr>
          <w:rFonts w:asciiTheme="minorHAnsi" w:hAnsiTheme="minorHAnsi"/>
        </w:rPr>
        <w:t>aide aux déplacements des Parties contractantes éligibles pour assister aux réunions du Sous-groupe sera limitée aux représentants régionaux du Comité permanent.</w:t>
      </w:r>
    </w:p>
    <w:p w14:paraId="48332A6F" w14:textId="77777777" w:rsidR="00A81CC0" w:rsidRPr="00930651" w:rsidRDefault="00A81CC0" w:rsidP="00A81CC0">
      <w:pPr>
        <w:pStyle w:val="ListParagraph"/>
        <w:ind w:left="425"/>
        <w:rPr>
          <w:rFonts w:asciiTheme="minorHAnsi" w:hAnsiTheme="minorHAnsi"/>
        </w:rPr>
      </w:pPr>
    </w:p>
    <w:p w14:paraId="6DEFCD4C" w14:textId="3C2D3C1F" w:rsidR="00A81CC0" w:rsidRPr="00930651" w:rsidRDefault="00A81CC0" w:rsidP="00A81CC0">
      <w:pPr>
        <w:rPr>
          <w:rFonts w:asciiTheme="minorHAnsi" w:hAnsiTheme="minorHAnsi"/>
        </w:rPr>
      </w:pPr>
      <w:r w:rsidRPr="00930651">
        <w:rPr>
          <w:rFonts w:asciiTheme="minorHAnsi" w:hAnsiTheme="minorHAnsi"/>
        </w:rPr>
        <w:t>13.</w:t>
      </w:r>
      <w:r w:rsidRPr="00930651">
        <w:rPr>
          <w:rFonts w:asciiTheme="minorHAnsi" w:hAnsiTheme="minorHAnsi"/>
        </w:rPr>
        <w:tab/>
        <w:t>NOTE que le budget 2023-2025 comprend un élément administratif financé par les contributions des Parties contractantes et que le Secrétariat recherchera des ressources non administratives supplémentaires conformément aux priorités identifiées par la Conférence des Parties ; et DEMANDE que le Secrétariat continue à rechercher de nouvelles approches et à élaborer des outils pour garantir un soutien financier volontaire aux projets prioritaires n</w:t>
      </w:r>
      <w:r w:rsidR="00101E52">
        <w:rPr>
          <w:rFonts w:asciiTheme="minorHAnsi" w:hAnsiTheme="minorHAnsi"/>
        </w:rPr>
        <w:t>’</w:t>
      </w:r>
      <w:r w:rsidRPr="00930651">
        <w:rPr>
          <w:rFonts w:asciiTheme="minorHAnsi" w:hAnsiTheme="minorHAnsi"/>
        </w:rPr>
        <w:t>ayant pas actuellement de financement.</w:t>
      </w:r>
    </w:p>
    <w:p w14:paraId="23A3C8CF" w14:textId="77777777" w:rsidR="00A81CC0" w:rsidRPr="00930651" w:rsidRDefault="00A81CC0" w:rsidP="00A81CC0">
      <w:pPr>
        <w:pStyle w:val="MGfulltext"/>
        <w:spacing w:after="0"/>
        <w:ind w:left="425" w:hanging="425"/>
        <w:rPr>
          <w:rFonts w:asciiTheme="minorHAnsi" w:hAnsiTheme="minorHAnsi"/>
        </w:rPr>
      </w:pPr>
    </w:p>
    <w:p w14:paraId="5D5B6BC3" w14:textId="7F45F084" w:rsidR="00A81CC0" w:rsidRPr="00930651" w:rsidRDefault="00A81CC0" w:rsidP="00A81CC0">
      <w:pPr>
        <w:rPr>
          <w:rFonts w:asciiTheme="minorHAnsi" w:hAnsiTheme="minorHAnsi"/>
        </w:rPr>
      </w:pPr>
      <w:r w:rsidRPr="00930651">
        <w:rPr>
          <w:rFonts w:asciiTheme="minorHAnsi" w:hAnsiTheme="minorHAnsi"/>
        </w:rPr>
        <w:t>14.</w:t>
      </w:r>
      <w:r w:rsidRPr="00930651">
        <w:rPr>
          <w:rFonts w:asciiTheme="minorHAnsi" w:hAnsiTheme="minorHAnsi"/>
        </w:rPr>
        <w:tab/>
        <w:t>APPROUVE le budget administratif pour la période triennale 2023-2025 tel qu</w:t>
      </w:r>
      <w:r w:rsidR="00101E52">
        <w:rPr>
          <w:rFonts w:asciiTheme="minorHAnsi" w:hAnsiTheme="minorHAnsi"/>
        </w:rPr>
        <w:t>’</w:t>
      </w:r>
      <w:r w:rsidRPr="00930651">
        <w:rPr>
          <w:rFonts w:asciiTheme="minorHAnsi" w:hAnsiTheme="minorHAnsi"/>
        </w:rPr>
        <w:t>il figure à l</w:t>
      </w:r>
      <w:r w:rsidR="00101E52">
        <w:rPr>
          <w:rFonts w:asciiTheme="minorHAnsi" w:hAnsiTheme="minorHAnsi"/>
        </w:rPr>
        <w:t>’</w:t>
      </w:r>
      <w:r w:rsidRPr="00930651">
        <w:rPr>
          <w:rFonts w:asciiTheme="minorHAnsi" w:hAnsiTheme="minorHAnsi"/>
        </w:rPr>
        <w:t>annexe 1 de la présente Résolution, pour permettre l</w:t>
      </w:r>
      <w:r w:rsidR="00101E52">
        <w:rPr>
          <w:rFonts w:asciiTheme="minorHAnsi" w:hAnsiTheme="minorHAnsi"/>
        </w:rPr>
        <w:t>’</w:t>
      </w:r>
      <w:r w:rsidRPr="00930651">
        <w:rPr>
          <w:rFonts w:asciiTheme="minorHAnsi" w:hAnsiTheme="minorHAnsi"/>
        </w:rPr>
        <w:t>application du Plan stratégique Ramsar 2016-2024.</w:t>
      </w:r>
    </w:p>
    <w:p w14:paraId="17420B62" w14:textId="77777777" w:rsidR="00A81CC0" w:rsidRPr="00930651" w:rsidRDefault="00A81CC0" w:rsidP="00A81CC0">
      <w:pPr>
        <w:rPr>
          <w:rFonts w:asciiTheme="minorHAnsi" w:hAnsiTheme="minorHAnsi"/>
        </w:rPr>
      </w:pPr>
    </w:p>
    <w:p w14:paraId="5BBB6586" w14:textId="041F5263" w:rsidR="00A81CC0" w:rsidRPr="00930651" w:rsidRDefault="00A81CC0" w:rsidP="00A81CC0">
      <w:pPr>
        <w:rPr>
          <w:rFonts w:asciiTheme="minorHAnsi" w:hAnsiTheme="minorHAnsi"/>
        </w:rPr>
      </w:pPr>
      <w:r w:rsidRPr="00930651">
        <w:rPr>
          <w:rFonts w:asciiTheme="minorHAnsi" w:hAnsiTheme="minorHAnsi"/>
        </w:rPr>
        <w:t>15.</w:t>
      </w:r>
      <w:r w:rsidRPr="00930651">
        <w:rPr>
          <w:rFonts w:asciiTheme="minorHAnsi" w:hAnsiTheme="minorHAnsi"/>
        </w:rPr>
        <w:tab/>
        <w:t>APPROUVE l</w:t>
      </w:r>
      <w:r w:rsidR="00101E52">
        <w:rPr>
          <w:rFonts w:asciiTheme="minorHAnsi" w:hAnsiTheme="minorHAnsi"/>
        </w:rPr>
        <w:t>’</w:t>
      </w:r>
      <w:r w:rsidRPr="00930651">
        <w:rPr>
          <w:rFonts w:asciiTheme="minorHAnsi" w:hAnsiTheme="minorHAnsi"/>
        </w:rPr>
        <w:t>utilisation d</w:t>
      </w:r>
      <w:r w:rsidR="00101E52">
        <w:rPr>
          <w:rFonts w:asciiTheme="minorHAnsi" w:hAnsiTheme="minorHAnsi"/>
        </w:rPr>
        <w:t>’</w:t>
      </w:r>
      <w:r w:rsidRPr="00930651">
        <w:rPr>
          <w:rFonts w:asciiTheme="minorHAnsi" w:hAnsiTheme="minorHAnsi"/>
        </w:rPr>
        <w:t>un montant de 228 000 CHF de l</w:t>
      </w:r>
      <w:r w:rsidR="00101E52">
        <w:rPr>
          <w:rFonts w:asciiTheme="minorHAnsi" w:hAnsiTheme="minorHAnsi"/>
        </w:rPr>
        <w:t>’</w:t>
      </w:r>
      <w:r w:rsidRPr="00930651">
        <w:rPr>
          <w:rFonts w:asciiTheme="minorHAnsi" w:hAnsiTheme="minorHAnsi"/>
        </w:rPr>
        <w:t>excédent administratif pour la période triennale 2019-2021, pour compléter le budget triennal 2023-2025 approuvé dans les domaines suivants : 120 000 CHF pour la communication, la traduction, les publications et rapports; 60 000 CHF pour les déplacements du personnel (15 000 CHF pour les voyages des cadres supérieurs du Secrétariat, 15 000 CHF pour les voyages Mobilisation des ressources et sensibilisation et 30 000 CHF pour les voyages Appui et conseils aux régions) ; 15 000 CHF pour l</w:t>
      </w:r>
      <w:r w:rsidR="00101E52">
        <w:rPr>
          <w:rFonts w:asciiTheme="minorHAnsi" w:hAnsiTheme="minorHAnsi"/>
        </w:rPr>
        <w:t>’</w:t>
      </w:r>
      <w:r w:rsidRPr="00930651">
        <w:rPr>
          <w:rFonts w:asciiTheme="minorHAnsi" w:hAnsiTheme="minorHAnsi"/>
        </w:rPr>
        <w:t>application du GEST et 33 000 CHF pour la Planification et le renforcement des capacités ; et DEMANDE au Secrétariat de parvenir à l</w:t>
      </w:r>
      <w:r w:rsidR="00101E52">
        <w:rPr>
          <w:rFonts w:asciiTheme="minorHAnsi" w:hAnsiTheme="minorHAnsi"/>
        </w:rPr>
        <w:t>’</w:t>
      </w:r>
      <w:r w:rsidRPr="00930651">
        <w:rPr>
          <w:rFonts w:asciiTheme="minorHAnsi" w:hAnsiTheme="minorHAnsi"/>
        </w:rPr>
        <w:t>équilibre budgétaire avant la fin de la période triennale 2023-2025</w:t>
      </w:r>
      <w:r w:rsidRPr="00930651">
        <w:rPr>
          <w:rStyle w:val="FootnoteReference"/>
          <w:rFonts w:asciiTheme="minorHAnsi" w:hAnsiTheme="minorHAnsi"/>
        </w:rPr>
        <w:footnoteReference w:id="2"/>
      </w:r>
      <w:r w:rsidRPr="00930651">
        <w:rPr>
          <w:rFonts w:asciiTheme="minorHAnsi" w:hAnsiTheme="minorHAnsi"/>
        </w:rPr>
        <w:t>.</w:t>
      </w:r>
    </w:p>
    <w:p w14:paraId="3F32A4FD" w14:textId="77777777" w:rsidR="00A81CC0" w:rsidRPr="00930651" w:rsidRDefault="00A81CC0" w:rsidP="00A81CC0">
      <w:pPr>
        <w:rPr>
          <w:rFonts w:asciiTheme="minorHAnsi" w:hAnsiTheme="minorHAnsi"/>
        </w:rPr>
      </w:pPr>
    </w:p>
    <w:p w14:paraId="14F0598D" w14:textId="5762CA5E" w:rsidR="00A81CC0" w:rsidRPr="00930651" w:rsidRDefault="00A81CC0" w:rsidP="00A81CC0">
      <w:pPr>
        <w:tabs>
          <w:tab w:val="left" w:pos="3665"/>
        </w:tabs>
        <w:rPr>
          <w:rFonts w:asciiTheme="minorHAnsi" w:hAnsiTheme="minorHAnsi"/>
        </w:rPr>
      </w:pPr>
      <w:r w:rsidRPr="00930651">
        <w:rPr>
          <w:rFonts w:asciiTheme="minorHAnsi" w:hAnsiTheme="minorHAnsi"/>
        </w:rPr>
        <w:t>16.</w:t>
      </w:r>
      <w:r w:rsidRPr="00930651">
        <w:rPr>
          <w:rFonts w:asciiTheme="minorHAnsi" w:hAnsiTheme="minorHAnsi"/>
        </w:rPr>
        <w:tab/>
        <w:t>APPROUVE l</w:t>
      </w:r>
      <w:r w:rsidR="00101E52">
        <w:rPr>
          <w:rFonts w:asciiTheme="minorHAnsi" w:hAnsiTheme="minorHAnsi"/>
        </w:rPr>
        <w:t>’</w:t>
      </w:r>
      <w:r w:rsidRPr="00930651">
        <w:rPr>
          <w:rFonts w:asciiTheme="minorHAnsi" w:hAnsiTheme="minorHAnsi"/>
        </w:rPr>
        <w:t>utilisation d</w:t>
      </w:r>
      <w:r w:rsidR="00101E52">
        <w:rPr>
          <w:rFonts w:asciiTheme="minorHAnsi" w:hAnsiTheme="minorHAnsi"/>
        </w:rPr>
        <w:t>’</w:t>
      </w:r>
      <w:r w:rsidRPr="00930651">
        <w:rPr>
          <w:rFonts w:asciiTheme="minorHAnsi" w:hAnsiTheme="minorHAnsi"/>
        </w:rPr>
        <w:t>un montant de 360 000 CHF de l</w:t>
      </w:r>
      <w:r w:rsidR="00101E52">
        <w:rPr>
          <w:rFonts w:asciiTheme="minorHAnsi" w:hAnsiTheme="minorHAnsi"/>
        </w:rPr>
        <w:t>’</w:t>
      </w:r>
      <w:r w:rsidRPr="00930651">
        <w:rPr>
          <w:rFonts w:asciiTheme="minorHAnsi" w:hAnsiTheme="minorHAnsi"/>
        </w:rPr>
        <w:t>excédent de la période triennale 2019-2021, pour augmenter la provision pour les contributions impayées de la période triennale 2023-2025.</w:t>
      </w:r>
    </w:p>
    <w:p w14:paraId="63A82F51" w14:textId="77777777" w:rsidR="00A81CC0" w:rsidRPr="00930651" w:rsidRDefault="00A81CC0" w:rsidP="00A81CC0">
      <w:pPr>
        <w:tabs>
          <w:tab w:val="left" w:pos="3665"/>
        </w:tabs>
        <w:rPr>
          <w:rFonts w:asciiTheme="minorHAnsi" w:hAnsiTheme="minorHAnsi"/>
        </w:rPr>
      </w:pPr>
      <w:r w:rsidRPr="00930651">
        <w:rPr>
          <w:rFonts w:asciiTheme="minorHAnsi" w:hAnsiTheme="minorHAnsi"/>
        </w:rPr>
        <w:tab/>
      </w:r>
    </w:p>
    <w:p w14:paraId="462C2000" w14:textId="07627CB8" w:rsidR="00A81CC0" w:rsidRPr="00930651" w:rsidRDefault="00A81CC0" w:rsidP="00A81CC0">
      <w:pPr>
        <w:rPr>
          <w:rFonts w:asciiTheme="minorHAnsi" w:hAnsiTheme="minorHAnsi"/>
        </w:rPr>
      </w:pPr>
      <w:r w:rsidRPr="00930651">
        <w:rPr>
          <w:rFonts w:asciiTheme="minorHAnsi" w:hAnsiTheme="minorHAnsi"/>
        </w:rPr>
        <w:t>17.</w:t>
      </w:r>
      <w:r w:rsidRPr="00930651">
        <w:rPr>
          <w:rFonts w:asciiTheme="minorHAnsi" w:hAnsiTheme="minorHAnsi"/>
        </w:rPr>
        <w:tab/>
        <w:t>EXHORTE les Parties contractantes ayant des arriérés de contributions à redoubler d</w:t>
      </w:r>
      <w:r w:rsidR="00101E52">
        <w:rPr>
          <w:rFonts w:asciiTheme="minorHAnsi" w:hAnsiTheme="minorHAnsi"/>
        </w:rPr>
        <w:t>’</w:t>
      </w:r>
      <w:r w:rsidRPr="00930651">
        <w:rPr>
          <w:rFonts w:asciiTheme="minorHAnsi" w:hAnsiTheme="minorHAnsi"/>
        </w:rPr>
        <w:t>effort</w:t>
      </w:r>
      <w:r w:rsidR="00BD2743">
        <w:rPr>
          <w:rFonts w:asciiTheme="minorHAnsi" w:hAnsiTheme="minorHAnsi"/>
        </w:rPr>
        <w:t>s</w:t>
      </w:r>
      <w:r w:rsidRPr="00930651">
        <w:rPr>
          <w:rFonts w:asciiTheme="minorHAnsi" w:hAnsiTheme="minorHAnsi"/>
        </w:rPr>
        <w:t xml:space="preserve"> pour les régler le plus rapidement possible afin de renforcer la viabilité financière de la Convention grâce aux contributions de toutes les Parties contractantes.</w:t>
      </w:r>
    </w:p>
    <w:p w14:paraId="25D47738" w14:textId="77777777" w:rsidR="00A81CC0" w:rsidRPr="00930651" w:rsidRDefault="00A81CC0" w:rsidP="00A81CC0">
      <w:pPr>
        <w:rPr>
          <w:rFonts w:asciiTheme="minorHAnsi" w:hAnsiTheme="minorHAnsi"/>
        </w:rPr>
      </w:pPr>
    </w:p>
    <w:p w14:paraId="62EE634D" w14:textId="7C6EBC65" w:rsidR="00A81CC0" w:rsidRPr="00930651" w:rsidRDefault="00A81CC0" w:rsidP="00A81CC0">
      <w:pPr>
        <w:rPr>
          <w:rFonts w:asciiTheme="minorHAnsi" w:hAnsiTheme="minorHAnsi"/>
        </w:rPr>
      </w:pPr>
      <w:r w:rsidRPr="00930651">
        <w:rPr>
          <w:rFonts w:asciiTheme="minorHAnsi" w:hAnsiTheme="minorHAnsi"/>
        </w:rPr>
        <w:t>18.</w:t>
      </w:r>
      <w:r w:rsidRPr="00930651">
        <w:rPr>
          <w:rFonts w:asciiTheme="minorHAnsi" w:hAnsiTheme="minorHAnsi"/>
        </w:rPr>
        <w:tab/>
        <w:t xml:space="preserve">CHARGE le Secrétariat de contacter les Parties contractantes ayant des arriérés de contributions de plus de trois ans pour les aider à définir les solutions appropriées qui leur permettront de rectifier la situation et de solliciter un plan de paiement des contributions et rendre compte à chaque réunion du Comité permanent et session de la Conférence des Parties contractantes sur les mesures prises à cet égard et les résultats obtenus ; et DÉCIDE que le Comité permanent </w:t>
      </w:r>
      <w:r w:rsidRPr="00930651">
        <w:rPr>
          <w:rFonts w:asciiTheme="minorHAnsi" w:hAnsiTheme="minorHAnsi"/>
        </w:rPr>
        <w:lastRenderedPageBreak/>
        <w:t>continuera d</w:t>
      </w:r>
      <w:r w:rsidR="00101E52">
        <w:rPr>
          <w:rFonts w:asciiTheme="minorHAnsi" w:hAnsiTheme="minorHAnsi"/>
        </w:rPr>
        <w:t>’</w:t>
      </w:r>
      <w:r w:rsidRPr="00930651">
        <w:rPr>
          <w:rFonts w:asciiTheme="minorHAnsi" w:hAnsiTheme="minorHAnsi"/>
        </w:rPr>
        <w:t>étudier les mesures appropriées concernant les Parties n</w:t>
      </w:r>
      <w:r w:rsidR="00101E52">
        <w:rPr>
          <w:rFonts w:asciiTheme="minorHAnsi" w:hAnsiTheme="minorHAnsi"/>
        </w:rPr>
        <w:t>’</w:t>
      </w:r>
      <w:r w:rsidRPr="00930651">
        <w:rPr>
          <w:rFonts w:asciiTheme="minorHAnsi" w:hAnsiTheme="minorHAnsi"/>
        </w:rPr>
        <w:t>ayant pas réglé leurs arriérés de contributions ni soumis de plan de paiement à cet effet.</w:t>
      </w:r>
    </w:p>
    <w:p w14:paraId="6E647782" w14:textId="77777777" w:rsidR="00A81CC0" w:rsidRPr="00930651" w:rsidRDefault="00A81CC0" w:rsidP="00A81CC0">
      <w:pPr>
        <w:rPr>
          <w:rFonts w:asciiTheme="minorHAnsi" w:hAnsiTheme="minorHAnsi"/>
        </w:rPr>
      </w:pPr>
    </w:p>
    <w:p w14:paraId="1F499DB4" w14:textId="57C1297E" w:rsidR="00A81CC0" w:rsidRPr="00930651" w:rsidRDefault="00A81CC0" w:rsidP="00A81CC0">
      <w:pPr>
        <w:rPr>
          <w:rFonts w:asciiTheme="minorHAnsi" w:hAnsiTheme="minorHAnsi"/>
        </w:rPr>
      </w:pPr>
      <w:r w:rsidRPr="00930651">
        <w:rPr>
          <w:rFonts w:asciiTheme="minorHAnsi" w:hAnsiTheme="minorHAnsi"/>
        </w:rPr>
        <w:t>19.</w:t>
      </w:r>
      <w:r w:rsidRPr="00930651">
        <w:rPr>
          <w:rFonts w:asciiTheme="minorHAnsi" w:hAnsiTheme="minorHAnsi"/>
        </w:rPr>
        <w:tab/>
        <w:t>DEMANDE aux représentants régionaux siégeant au Comité permanent d</w:t>
      </w:r>
      <w:r w:rsidR="00101E52">
        <w:rPr>
          <w:rFonts w:asciiTheme="minorHAnsi" w:hAnsiTheme="minorHAnsi"/>
        </w:rPr>
        <w:t>’</w:t>
      </w:r>
      <w:r w:rsidRPr="00930651">
        <w:rPr>
          <w:rFonts w:asciiTheme="minorHAnsi" w:hAnsiTheme="minorHAnsi"/>
        </w:rPr>
        <w:t>approcher les Parties contractantes de leurs régions respectives qui ont des arriérés de contributions pour les encourager à définir des solutions appropriées afin de rectifier la situation.</w:t>
      </w:r>
    </w:p>
    <w:p w14:paraId="6633D662" w14:textId="77777777" w:rsidR="00A81CC0" w:rsidRPr="00930651" w:rsidRDefault="00A81CC0" w:rsidP="00A81CC0">
      <w:pPr>
        <w:rPr>
          <w:rFonts w:asciiTheme="minorHAnsi" w:hAnsiTheme="minorHAnsi"/>
        </w:rPr>
      </w:pPr>
    </w:p>
    <w:p w14:paraId="6DB45F31" w14:textId="0F3C1195" w:rsidR="00A81CC0" w:rsidRPr="00930651" w:rsidRDefault="00A81CC0" w:rsidP="00A81CC0">
      <w:pPr>
        <w:rPr>
          <w:rFonts w:asciiTheme="minorHAnsi" w:hAnsiTheme="minorHAnsi"/>
        </w:rPr>
      </w:pPr>
      <w:r w:rsidRPr="00930651">
        <w:rPr>
          <w:rFonts w:asciiTheme="minorHAnsi" w:hAnsiTheme="minorHAnsi"/>
        </w:rPr>
        <w:t>20.</w:t>
      </w:r>
      <w:r w:rsidRPr="00930651">
        <w:rPr>
          <w:rFonts w:asciiTheme="minorHAnsi" w:hAnsiTheme="minorHAnsi"/>
        </w:rPr>
        <w:tab/>
        <w:t>NOTE AVEC PRÉOCCUPATION la situation des contributions non administrati</w:t>
      </w:r>
      <w:r w:rsidR="00474FCE">
        <w:rPr>
          <w:rFonts w:asciiTheme="minorHAnsi" w:hAnsiTheme="minorHAnsi"/>
        </w:rPr>
        <w:t>ve</w:t>
      </w:r>
      <w:r w:rsidRPr="00930651">
        <w:rPr>
          <w:rFonts w:asciiTheme="minorHAnsi" w:hAnsiTheme="minorHAnsi"/>
        </w:rPr>
        <w:t>s des Parties contractantes ; et ENCOURAGE les Parties contractantes, entre autres, à augmenter ces contributions.</w:t>
      </w:r>
    </w:p>
    <w:p w14:paraId="3BB4C2BA" w14:textId="77777777" w:rsidR="00A81CC0" w:rsidRPr="00930651" w:rsidRDefault="00A81CC0" w:rsidP="00A81CC0">
      <w:pPr>
        <w:rPr>
          <w:rFonts w:asciiTheme="minorHAnsi" w:hAnsiTheme="minorHAnsi"/>
        </w:rPr>
      </w:pPr>
    </w:p>
    <w:p w14:paraId="209F3104" w14:textId="61063B30" w:rsidR="00A81CC0" w:rsidRPr="00930651" w:rsidRDefault="00A81CC0" w:rsidP="00A81CC0">
      <w:pPr>
        <w:rPr>
          <w:rFonts w:asciiTheme="minorHAnsi" w:hAnsiTheme="minorHAnsi"/>
        </w:rPr>
      </w:pPr>
      <w:r w:rsidRPr="00930651">
        <w:rPr>
          <w:rFonts w:asciiTheme="minorHAnsi" w:hAnsiTheme="minorHAnsi"/>
        </w:rPr>
        <w:t>21.</w:t>
      </w:r>
      <w:r w:rsidRPr="00930651">
        <w:rPr>
          <w:rFonts w:asciiTheme="minorHAnsi" w:hAnsiTheme="minorHAnsi"/>
        </w:rPr>
        <w:tab/>
        <w:t>ENCOURAGE les Parties contractantes et INVITE d</w:t>
      </w:r>
      <w:r w:rsidR="00101E52">
        <w:rPr>
          <w:rFonts w:asciiTheme="minorHAnsi" w:hAnsiTheme="minorHAnsi"/>
        </w:rPr>
        <w:t>’</w:t>
      </w:r>
      <w:r w:rsidRPr="00930651">
        <w:rPr>
          <w:rFonts w:asciiTheme="minorHAnsi" w:hAnsiTheme="minorHAnsi"/>
        </w:rPr>
        <w:t>autres gouvernements, les institutions financières, les Organisations internationales partenaires et autres partenaires d</w:t>
      </w:r>
      <w:r w:rsidR="00101E52">
        <w:rPr>
          <w:rFonts w:asciiTheme="minorHAnsi" w:hAnsiTheme="minorHAnsi"/>
        </w:rPr>
        <w:t>’</w:t>
      </w:r>
      <w:r w:rsidRPr="00930651">
        <w:rPr>
          <w:rFonts w:asciiTheme="minorHAnsi" w:hAnsiTheme="minorHAnsi"/>
        </w:rPr>
        <w:t>exécution, à soutenir l</w:t>
      </w:r>
      <w:r w:rsidR="00101E52">
        <w:rPr>
          <w:rFonts w:asciiTheme="minorHAnsi" w:hAnsiTheme="minorHAnsi"/>
        </w:rPr>
        <w:t>’</w:t>
      </w:r>
      <w:r w:rsidRPr="00930651">
        <w:rPr>
          <w:rFonts w:asciiTheme="minorHAnsi" w:hAnsiTheme="minorHAnsi"/>
        </w:rPr>
        <w:t>application de la Convention de Ramsar.</w:t>
      </w:r>
    </w:p>
    <w:p w14:paraId="162818F5" w14:textId="77777777" w:rsidR="00A81CC0" w:rsidRPr="00930651" w:rsidRDefault="00A81CC0" w:rsidP="00A81CC0">
      <w:pPr>
        <w:rPr>
          <w:rFonts w:asciiTheme="minorHAnsi" w:hAnsiTheme="minorHAnsi"/>
        </w:rPr>
      </w:pPr>
    </w:p>
    <w:p w14:paraId="1B5232D1" w14:textId="5352B70D" w:rsidR="00A81CC0" w:rsidRPr="00930651" w:rsidRDefault="00A81CC0" w:rsidP="00A81CC0">
      <w:pPr>
        <w:rPr>
          <w:rFonts w:asciiTheme="minorHAnsi" w:hAnsiTheme="minorHAnsi"/>
        </w:rPr>
      </w:pPr>
      <w:r w:rsidRPr="00930651">
        <w:rPr>
          <w:rFonts w:asciiTheme="minorHAnsi" w:hAnsiTheme="minorHAnsi"/>
        </w:rPr>
        <w:t>22.</w:t>
      </w:r>
      <w:r w:rsidRPr="00930651">
        <w:rPr>
          <w:rFonts w:asciiTheme="minorHAnsi" w:hAnsiTheme="minorHAnsi"/>
        </w:rPr>
        <w:tab/>
        <w:t>PREND NOTE d</w:t>
      </w:r>
      <w:r w:rsidR="00474FCE">
        <w:rPr>
          <w:rFonts w:asciiTheme="minorHAnsi" w:hAnsiTheme="minorHAnsi"/>
        </w:rPr>
        <w:t xml:space="preserve">u plan de travail </w:t>
      </w:r>
      <w:r w:rsidRPr="00930651">
        <w:rPr>
          <w:rFonts w:asciiTheme="minorHAnsi" w:hAnsiTheme="minorHAnsi"/>
        </w:rPr>
        <w:t>de mobilisation des ressources pour la Convention approuvée par le Comité permanent et PRIE le Secrétariat de la mettre à jour pour tenir compte des priorités identifiées par les Parties contractantes à la COP14 et de la communiquer, pour examen, au Comité permanent à sa 62</w:t>
      </w:r>
      <w:r w:rsidRPr="00930651">
        <w:rPr>
          <w:rFonts w:asciiTheme="minorHAnsi" w:hAnsiTheme="minorHAnsi"/>
          <w:vertAlign w:val="superscript"/>
        </w:rPr>
        <w:t>e</w:t>
      </w:r>
      <w:r w:rsidRPr="00930651">
        <w:rPr>
          <w:rFonts w:asciiTheme="minorHAnsi" w:hAnsiTheme="minorHAnsi"/>
        </w:rPr>
        <w:t> Réunion.</w:t>
      </w:r>
    </w:p>
    <w:p w14:paraId="3B743E2A" w14:textId="77777777" w:rsidR="00A81CC0" w:rsidRPr="00930651" w:rsidRDefault="00A81CC0" w:rsidP="00A81CC0">
      <w:pPr>
        <w:pStyle w:val="ListParagraph"/>
        <w:ind w:left="425"/>
        <w:rPr>
          <w:rFonts w:asciiTheme="minorHAnsi" w:hAnsiTheme="minorHAnsi"/>
        </w:rPr>
      </w:pPr>
    </w:p>
    <w:p w14:paraId="75819A9C" w14:textId="707239D7" w:rsidR="00A81CC0" w:rsidRPr="00930651" w:rsidRDefault="00A81CC0" w:rsidP="00A81CC0">
      <w:pPr>
        <w:rPr>
          <w:rFonts w:asciiTheme="minorHAnsi" w:hAnsiTheme="minorHAnsi"/>
        </w:rPr>
      </w:pPr>
      <w:r w:rsidRPr="00930651">
        <w:rPr>
          <w:rFonts w:asciiTheme="minorHAnsi" w:hAnsiTheme="minorHAnsi"/>
        </w:rPr>
        <w:t>23.</w:t>
      </w:r>
      <w:r w:rsidRPr="00930651">
        <w:rPr>
          <w:rFonts w:asciiTheme="minorHAnsi" w:hAnsiTheme="minorHAnsi"/>
        </w:rPr>
        <w:tab/>
        <w:t>SE FÉLICITE de l</w:t>
      </w:r>
      <w:r w:rsidR="00101E52">
        <w:rPr>
          <w:rFonts w:asciiTheme="minorHAnsi" w:hAnsiTheme="minorHAnsi"/>
        </w:rPr>
        <w:t>’</w:t>
      </w:r>
      <w:r w:rsidRPr="00930651">
        <w:rPr>
          <w:rFonts w:asciiTheme="minorHAnsi" w:hAnsiTheme="minorHAnsi"/>
        </w:rPr>
        <w:t>alignement du Secrétariat sur les politiques et procédures de l</w:t>
      </w:r>
      <w:r w:rsidR="00101E52">
        <w:rPr>
          <w:rFonts w:asciiTheme="minorHAnsi" w:hAnsiTheme="minorHAnsi"/>
        </w:rPr>
        <w:t>’</w:t>
      </w:r>
      <w:r w:rsidRPr="00930651">
        <w:rPr>
          <w:rFonts w:asciiTheme="minorHAnsi" w:hAnsiTheme="minorHAnsi"/>
        </w:rPr>
        <w:t>Union internationale pour la conservation de la nature (UICN) pour la gestion des fonds non administratifs.</w:t>
      </w:r>
    </w:p>
    <w:p w14:paraId="08154C36" w14:textId="77777777" w:rsidR="00A81CC0" w:rsidRPr="00930651" w:rsidRDefault="00A81CC0" w:rsidP="00A81CC0">
      <w:pPr>
        <w:rPr>
          <w:rFonts w:asciiTheme="minorHAnsi" w:hAnsiTheme="minorHAnsi"/>
        </w:rPr>
      </w:pPr>
    </w:p>
    <w:p w14:paraId="341958B5" w14:textId="56269B08" w:rsidR="00A81CC0" w:rsidRPr="00930651" w:rsidRDefault="00A81CC0" w:rsidP="00A81CC0">
      <w:pPr>
        <w:rPr>
          <w:rFonts w:asciiTheme="minorHAnsi" w:hAnsiTheme="minorHAnsi"/>
        </w:rPr>
      </w:pPr>
      <w:r w:rsidRPr="00930651">
        <w:rPr>
          <w:rFonts w:asciiTheme="minorHAnsi" w:hAnsiTheme="minorHAnsi"/>
        </w:rPr>
        <w:t>24.</w:t>
      </w:r>
      <w:r w:rsidRPr="00930651">
        <w:rPr>
          <w:rFonts w:asciiTheme="minorHAnsi" w:hAnsiTheme="minorHAnsi"/>
        </w:rPr>
        <w:tab/>
      </w:r>
      <w:r w:rsidRPr="00930651">
        <w:t>CHARGE le Secrétariat de fournir aux Initiatives régionales Ramsar (IRR) en Afrique, sur une base annuelle, le solde disponible du fonds africain de contributions volontaires ; et INVITE ces IRR à soumettre au Secrétariat, dans leurs rapports, des demandes d</w:t>
      </w:r>
      <w:r w:rsidR="00101E52">
        <w:t>’</w:t>
      </w:r>
      <w:r w:rsidRPr="00930651">
        <w:t xml:space="preserve">accès aux fonds disponibles, conformément aux dispositions de la Résolution 14.xx, </w:t>
      </w:r>
      <w:r w:rsidRPr="00930651">
        <w:rPr>
          <w:i/>
        </w:rPr>
        <w:t>Les Initiatives régionales Ramsar 2023-2025</w:t>
      </w:r>
      <w:r w:rsidRPr="00930651">
        <w:t>.</w:t>
      </w:r>
    </w:p>
    <w:p w14:paraId="4B6CEE39" w14:textId="77777777" w:rsidR="00A81CC0" w:rsidRPr="00930651" w:rsidRDefault="00A81CC0" w:rsidP="00A81CC0">
      <w:pPr>
        <w:rPr>
          <w:rFonts w:asciiTheme="minorHAnsi" w:hAnsiTheme="minorHAnsi"/>
        </w:rPr>
      </w:pPr>
    </w:p>
    <w:p w14:paraId="2CFBCBB6" w14:textId="52F4F014" w:rsidR="00A81CC0" w:rsidRPr="00930651" w:rsidRDefault="00A81CC0" w:rsidP="00A81CC0">
      <w:pPr>
        <w:rPr>
          <w:rFonts w:asciiTheme="minorHAnsi" w:hAnsiTheme="minorHAnsi"/>
        </w:rPr>
      </w:pPr>
      <w:r w:rsidRPr="00930651">
        <w:rPr>
          <w:rFonts w:asciiTheme="minorHAnsi" w:hAnsiTheme="minorHAnsi"/>
        </w:rPr>
        <w:t>25.</w:t>
      </w:r>
      <w:r w:rsidRPr="00930651">
        <w:rPr>
          <w:rFonts w:asciiTheme="minorHAnsi" w:hAnsiTheme="minorHAnsi"/>
        </w:rPr>
        <w:tab/>
        <w:t>INVITE les représentants régionaux africains au Comité permanent à décider de l</w:t>
      </w:r>
      <w:r w:rsidR="00101E52">
        <w:rPr>
          <w:rFonts w:asciiTheme="minorHAnsi" w:hAnsiTheme="minorHAnsi"/>
        </w:rPr>
        <w:t>’</w:t>
      </w:r>
      <w:r w:rsidRPr="00930651">
        <w:rPr>
          <w:rFonts w:asciiTheme="minorHAnsi" w:hAnsiTheme="minorHAnsi"/>
        </w:rPr>
        <w:t>utilisation de ces fonds mentionnés au paragraphe 24 de la présente Résolution, en fonction des demandes soumises par les IRR et à informer le Secrétariat en conséquence.</w:t>
      </w:r>
    </w:p>
    <w:p w14:paraId="52C2D823" w14:textId="77777777" w:rsidR="00A81CC0" w:rsidRPr="00930651" w:rsidRDefault="00A81CC0" w:rsidP="00A81CC0">
      <w:pPr>
        <w:rPr>
          <w:rFonts w:asciiTheme="minorHAnsi" w:hAnsiTheme="minorHAnsi"/>
        </w:rPr>
      </w:pPr>
    </w:p>
    <w:p w14:paraId="17EA9A72" w14:textId="685765CC" w:rsidR="00A81CC0" w:rsidRPr="00930651" w:rsidRDefault="00A81CC0" w:rsidP="00A81CC0">
      <w:r w:rsidRPr="00930651">
        <w:rPr>
          <w:color w:val="262626"/>
        </w:rPr>
        <w:t>26.</w:t>
      </w:r>
      <w:r w:rsidRPr="00930651">
        <w:rPr>
          <w:color w:val="262626"/>
        </w:rPr>
        <w:tab/>
        <w:t>RÉAFFIRME la décision pris</w:t>
      </w:r>
      <w:r w:rsidR="00BD2743">
        <w:rPr>
          <w:color w:val="262626"/>
        </w:rPr>
        <w:t>e</w:t>
      </w:r>
      <w:r w:rsidRPr="00930651">
        <w:rPr>
          <w:color w:val="262626"/>
        </w:rPr>
        <w:t xml:space="preserve"> lors de la 13</w:t>
      </w:r>
      <w:r w:rsidRPr="00930651">
        <w:rPr>
          <w:color w:val="262626"/>
          <w:vertAlign w:val="superscript"/>
        </w:rPr>
        <w:t>e</w:t>
      </w:r>
      <w:r w:rsidRPr="00930651">
        <w:rPr>
          <w:color w:val="262626"/>
        </w:rPr>
        <w:t> Session de la Conférence des Parties contractantes qui charge le Secrétariat, dans le cadre juridique et dans les limites de son mandat actuels d</w:t>
      </w:r>
      <w:r w:rsidR="00101E52">
        <w:rPr>
          <w:color w:val="262626"/>
        </w:rPr>
        <w:t>’</w:t>
      </w:r>
      <w:r w:rsidRPr="00930651">
        <w:rPr>
          <w:color w:val="262626"/>
        </w:rPr>
        <w:t>aider, comme il convient, les Parties contractantes à administrer les projets financés par des fonds non administratifs, y compris, sans toutefois s</w:t>
      </w:r>
      <w:r w:rsidR="00101E52">
        <w:rPr>
          <w:color w:val="262626"/>
        </w:rPr>
        <w:t>’</w:t>
      </w:r>
      <w:r w:rsidRPr="00930651">
        <w:rPr>
          <w:color w:val="262626"/>
        </w:rPr>
        <w:t>y limiter, les appels de fonds pour les IRR ; et qui donne instruction au personnel du Secrétariat décrit dans l</w:t>
      </w:r>
      <w:r w:rsidR="00101E52">
        <w:rPr>
          <w:color w:val="262626"/>
        </w:rPr>
        <w:t>’</w:t>
      </w:r>
      <w:r w:rsidRPr="00930651">
        <w:rPr>
          <w:color w:val="262626"/>
        </w:rPr>
        <w:t>annexe 3, rémunéré par des fonds administratifs, de ne pas prendre part à l</w:t>
      </w:r>
      <w:r w:rsidR="00101E52">
        <w:rPr>
          <w:color w:val="262626"/>
        </w:rPr>
        <w:t>’</w:t>
      </w:r>
      <w:r w:rsidRPr="00930651">
        <w:rPr>
          <w:color w:val="262626"/>
        </w:rPr>
        <w:t>administration quotidienne des projets financés par des fonds non administratifs</w:t>
      </w:r>
      <w:r w:rsidR="00BD2743">
        <w:rPr>
          <w:color w:val="262626"/>
        </w:rPr>
        <w:t>,</w:t>
      </w:r>
      <w:r w:rsidRPr="00930651">
        <w:rPr>
          <w:color w:val="262626"/>
        </w:rPr>
        <w:t xml:space="preserve"> car ce rôle incombe au personnel du Secrétariat rémunéré à ces fins par des fonds non administratifs.</w:t>
      </w:r>
    </w:p>
    <w:p w14:paraId="1E33D830" w14:textId="77777777" w:rsidR="00A81CC0" w:rsidRPr="00930651" w:rsidRDefault="00A81CC0" w:rsidP="00A81CC0">
      <w:pPr>
        <w:rPr>
          <w:rFonts w:asciiTheme="minorHAnsi" w:hAnsiTheme="minorHAnsi"/>
        </w:rPr>
      </w:pPr>
    </w:p>
    <w:p w14:paraId="45F97BEF" w14:textId="6C5670BA" w:rsidR="00A81CC0" w:rsidRPr="00930651" w:rsidRDefault="00A81CC0" w:rsidP="00A81CC0">
      <w:pPr>
        <w:rPr>
          <w:rFonts w:asciiTheme="minorHAnsi" w:hAnsiTheme="minorHAnsi"/>
        </w:rPr>
      </w:pPr>
      <w:r w:rsidRPr="00930651">
        <w:rPr>
          <w:rFonts w:asciiTheme="minorHAnsi" w:hAnsiTheme="minorHAnsi"/>
        </w:rPr>
        <w:t>27.</w:t>
      </w:r>
      <w:r w:rsidRPr="00930651">
        <w:rPr>
          <w:rFonts w:asciiTheme="minorHAnsi" w:hAnsiTheme="minorHAnsi"/>
        </w:rPr>
        <w:tab/>
        <w:t>AUTORISE le Comité permanent, après consultation de son Sous-groupe sur les finances, à revoir les affectations budgétaires administratives d</w:t>
      </w:r>
      <w:r w:rsidR="00101E52">
        <w:rPr>
          <w:rFonts w:asciiTheme="minorHAnsi" w:hAnsiTheme="minorHAnsi"/>
        </w:rPr>
        <w:t>’</w:t>
      </w:r>
      <w:r w:rsidRPr="00930651">
        <w:rPr>
          <w:rFonts w:asciiTheme="minorHAnsi" w:hAnsiTheme="minorHAnsi"/>
        </w:rPr>
        <w:t>un poste budgétaire à l</w:t>
      </w:r>
      <w:r w:rsidR="00101E52">
        <w:rPr>
          <w:rFonts w:asciiTheme="minorHAnsi" w:hAnsiTheme="minorHAnsi"/>
        </w:rPr>
        <w:t>’</w:t>
      </w:r>
      <w:r w:rsidRPr="00930651">
        <w:rPr>
          <w:rFonts w:asciiTheme="minorHAnsi" w:hAnsiTheme="minorHAnsi"/>
        </w:rPr>
        <w:t>autre en fonction des fluctuations importantes, à la hausse ou à la baisse, durant la période concernée, des coûts, du taux d</w:t>
      </w:r>
      <w:r w:rsidR="00101E52">
        <w:rPr>
          <w:rFonts w:asciiTheme="minorHAnsi" w:hAnsiTheme="minorHAnsi"/>
        </w:rPr>
        <w:t>’</w:t>
      </w:r>
      <w:r w:rsidRPr="00930651">
        <w:rPr>
          <w:rFonts w:asciiTheme="minorHAnsi" w:hAnsiTheme="minorHAnsi"/>
        </w:rPr>
        <w:t>inflation, des revenus d</w:t>
      </w:r>
      <w:r w:rsidR="00101E52">
        <w:rPr>
          <w:rFonts w:asciiTheme="minorHAnsi" w:hAnsiTheme="minorHAnsi"/>
        </w:rPr>
        <w:t>’</w:t>
      </w:r>
      <w:r w:rsidRPr="00930651">
        <w:rPr>
          <w:rFonts w:asciiTheme="minorHAnsi" w:hAnsiTheme="minorHAnsi"/>
        </w:rPr>
        <w:t>intérêts ou d</w:t>
      </w:r>
      <w:r w:rsidR="00101E52">
        <w:rPr>
          <w:rFonts w:asciiTheme="minorHAnsi" w:hAnsiTheme="minorHAnsi"/>
        </w:rPr>
        <w:t>’</w:t>
      </w:r>
      <w:r w:rsidRPr="00930651">
        <w:rPr>
          <w:rFonts w:asciiTheme="minorHAnsi" w:hAnsiTheme="minorHAnsi"/>
        </w:rPr>
        <w:t>impôts prévus au budget sans augmenter les contributions des Parties ou les charges payées à l</w:t>
      </w:r>
      <w:r w:rsidR="00101E52">
        <w:rPr>
          <w:rFonts w:asciiTheme="minorHAnsi" w:hAnsiTheme="minorHAnsi"/>
        </w:rPr>
        <w:t>’</w:t>
      </w:r>
      <w:r w:rsidRPr="00930651">
        <w:rPr>
          <w:rFonts w:asciiTheme="minorHAnsi" w:hAnsiTheme="minorHAnsi"/>
        </w:rPr>
        <w:t>UICN au-dessus du maximum de 13 % prévu au budget.</w:t>
      </w:r>
    </w:p>
    <w:p w14:paraId="0F145924" w14:textId="77777777" w:rsidR="00A81CC0" w:rsidRPr="00930651" w:rsidRDefault="00A81CC0" w:rsidP="00A81CC0">
      <w:pPr>
        <w:rPr>
          <w:rFonts w:asciiTheme="minorHAnsi" w:hAnsiTheme="minorHAnsi"/>
        </w:rPr>
      </w:pPr>
    </w:p>
    <w:p w14:paraId="1AAC8156" w14:textId="4E08147A" w:rsidR="00A81CC0" w:rsidRPr="00930651" w:rsidRDefault="00A81CC0" w:rsidP="00A81CC0">
      <w:pPr>
        <w:rPr>
          <w:rFonts w:asciiTheme="minorHAnsi" w:hAnsiTheme="minorHAnsi"/>
        </w:rPr>
      </w:pPr>
      <w:r w:rsidRPr="00930651">
        <w:rPr>
          <w:rFonts w:asciiTheme="minorHAnsi" w:hAnsiTheme="minorHAnsi"/>
        </w:rPr>
        <w:lastRenderedPageBreak/>
        <w:t>28.</w:t>
      </w:r>
      <w:r w:rsidRPr="00930651">
        <w:rPr>
          <w:rFonts w:asciiTheme="minorHAnsi" w:hAnsiTheme="minorHAnsi"/>
        </w:rPr>
        <w:tab/>
        <w:t>RECONNAÎT les avantages de la flexibilité des lignes budgétaires au titre des déplacements afin de mettre en œuvre le plan de travail du Secrétariat pour la période triennale ; et RÉAFFIRME la décision prise à la 13</w:t>
      </w:r>
      <w:r w:rsidRPr="00930651">
        <w:rPr>
          <w:rFonts w:asciiTheme="minorHAnsi" w:hAnsiTheme="minorHAnsi"/>
          <w:vertAlign w:val="superscript"/>
        </w:rPr>
        <w:t>e</w:t>
      </w:r>
      <w:r w:rsidRPr="00930651">
        <w:rPr>
          <w:rFonts w:asciiTheme="minorHAnsi" w:hAnsiTheme="minorHAnsi"/>
        </w:rPr>
        <w:t> Session de la Conférence des Parties contractantes qui autorise la Secrétaire générale à transférer des ressources d</w:t>
      </w:r>
      <w:r w:rsidR="00101E52">
        <w:rPr>
          <w:rFonts w:asciiTheme="minorHAnsi" w:hAnsiTheme="minorHAnsi"/>
        </w:rPr>
        <w:t>’</w:t>
      </w:r>
      <w:r w:rsidRPr="00930651">
        <w:rPr>
          <w:rFonts w:asciiTheme="minorHAnsi" w:hAnsiTheme="minorHAnsi"/>
        </w:rPr>
        <w:t>une ligne budgétaire allouée aux déplacements à l</w:t>
      </w:r>
      <w:r w:rsidR="00101E52">
        <w:rPr>
          <w:rFonts w:asciiTheme="minorHAnsi" w:hAnsiTheme="minorHAnsi"/>
        </w:rPr>
        <w:t>’</w:t>
      </w:r>
      <w:r w:rsidRPr="00930651">
        <w:rPr>
          <w:rFonts w:asciiTheme="minorHAnsi" w:hAnsiTheme="minorHAnsi"/>
        </w:rPr>
        <w:t>autre en veillant à informer le Sous-groupe sur les finances et à rendre compte de ces transferts au Comité permanent à sa réunion suivante.</w:t>
      </w:r>
    </w:p>
    <w:p w14:paraId="66EA901D" w14:textId="77777777" w:rsidR="00A81CC0" w:rsidRPr="00930651" w:rsidRDefault="00A81CC0" w:rsidP="00A81CC0">
      <w:pPr>
        <w:pStyle w:val="ListParagraph"/>
        <w:ind w:left="425"/>
        <w:rPr>
          <w:rFonts w:asciiTheme="minorHAnsi" w:hAnsiTheme="minorHAnsi"/>
        </w:rPr>
      </w:pPr>
    </w:p>
    <w:p w14:paraId="4FA79A80" w14:textId="49A255BB" w:rsidR="00A81CC0" w:rsidRPr="00930651" w:rsidRDefault="00A81CC0" w:rsidP="00A81CC0">
      <w:pPr>
        <w:rPr>
          <w:rFonts w:asciiTheme="minorHAnsi" w:hAnsiTheme="minorHAnsi"/>
        </w:rPr>
      </w:pPr>
      <w:r w:rsidRPr="00930651">
        <w:rPr>
          <w:rFonts w:asciiTheme="minorHAnsi" w:hAnsiTheme="minorHAnsi"/>
        </w:rPr>
        <w:t>29.</w:t>
      </w:r>
      <w:r w:rsidRPr="00930651">
        <w:rPr>
          <w:rFonts w:asciiTheme="minorHAnsi" w:hAnsiTheme="minorHAnsi"/>
        </w:rPr>
        <w:tab/>
        <w:t>DÉCIDE que la contribution de chaque Partie contractante au budget administratif devra être conforme au barème des quotes-parts le plus récent applicable aux contributions versées par les États Membres au budget des Nations Unies, tel qu</w:t>
      </w:r>
      <w:r w:rsidR="00101E52">
        <w:rPr>
          <w:rFonts w:asciiTheme="minorHAnsi" w:hAnsiTheme="minorHAnsi"/>
        </w:rPr>
        <w:t>’</w:t>
      </w:r>
      <w:r w:rsidRPr="00930651">
        <w:rPr>
          <w:rFonts w:asciiTheme="minorHAnsi" w:hAnsiTheme="minorHAnsi"/>
        </w:rPr>
        <w:t>approuvé par l</w:t>
      </w:r>
      <w:r w:rsidR="00101E52">
        <w:rPr>
          <w:rFonts w:asciiTheme="minorHAnsi" w:hAnsiTheme="minorHAnsi"/>
        </w:rPr>
        <w:t>’</w:t>
      </w:r>
      <w:r w:rsidRPr="00930651">
        <w:rPr>
          <w:rFonts w:asciiTheme="minorHAnsi" w:hAnsiTheme="minorHAnsi"/>
        </w:rPr>
        <w:t>Assemblée générale des Nations Unies, sauf pour les Parties contractantes dont les contributions annuelles au budget administratif de la Convention de Ramsar seraient inférieures à 1 000 CHF une fois appliqué le barème des Nations Unies, auquel cas leur contribution annuelle sera de ce même montant. Les contributions estimées au budget administratif pour la période triennale 2023-2025 sont présentées à l</w:t>
      </w:r>
      <w:r w:rsidR="00101E52">
        <w:rPr>
          <w:rFonts w:asciiTheme="minorHAnsi" w:hAnsiTheme="minorHAnsi"/>
        </w:rPr>
        <w:t>’</w:t>
      </w:r>
      <w:r w:rsidRPr="00930651">
        <w:rPr>
          <w:rFonts w:asciiTheme="minorHAnsi" w:hAnsiTheme="minorHAnsi"/>
        </w:rPr>
        <w:t xml:space="preserve">annexe 2 de la présente Résolution. </w:t>
      </w:r>
    </w:p>
    <w:p w14:paraId="6BDF04E7" w14:textId="77777777" w:rsidR="00A81CC0" w:rsidRPr="00930651" w:rsidRDefault="00A81CC0" w:rsidP="00A81CC0">
      <w:pPr>
        <w:rPr>
          <w:rFonts w:asciiTheme="minorHAnsi" w:hAnsiTheme="minorHAnsi"/>
        </w:rPr>
      </w:pPr>
    </w:p>
    <w:p w14:paraId="65CBFB0A" w14:textId="1D5C08BA" w:rsidR="00A81CC0" w:rsidRPr="00930651" w:rsidRDefault="00A81CC0" w:rsidP="00A81CC0">
      <w:pPr>
        <w:rPr>
          <w:rFonts w:asciiTheme="minorHAnsi" w:hAnsiTheme="minorHAnsi"/>
        </w:rPr>
      </w:pPr>
      <w:r w:rsidRPr="00930651">
        <w:rPr>
          <w:rFonts w:asciiTheme="minorHAnsi" w:hAnsiTheme="minorHAnsi"/>
        </w:rPr>
        <w:t>30.</w:t>
      </w:r>
      <w:r w:rsidRPr="00930651">
        <w:rPr>
          <w:rFonts w:asciiTheme="minorHAnsi" w:hAnsiTheme="minorHAnsi"/>
        </w:rPr>
        <w:tab/>
        <w:t>PRIE INSTAMMENT toutes les Parties contractantes de s</w:t>
      </w:r>
      <w:r w:rsidR="00101E52">
        <w:rPr>
          <w:rFonts w:asciiTheme="minorHAnsi" w:hAnsiTheme="minorHAnsi"/>
        </w:rPr>
        <w:t>’</w:t>
      </w:r>
      <w:r w:rsidRPr="00930651">
        <w:rPr>
          <w:rFonts w:asciiTheme="minorHAnsi" w:hAnsiTheme="minorHAnsi"/>
        </w:rPr>
        <w:t>acquitter promptement de leur contribution avant le 1</w:t>
      </w:r>
      <w:r w:rsidRPr="00930651">
        <w:rPr>
          <w:rFonts w:asciiTheme="minorHAnsi" w:hAnsiTheme="minorHAnsi"/>
          <w:vertAlign w:val="superscript"/>
        </w:rPr>
        <w:t>er</w:t>
      </w:r>
      <w:r w:rsidRPr="00930651">
        <w:rPr>
          <w:rFonts w:asciiTheme="minorHAnsi" w:hAnsiTheme="minorHAnsi"/>
        </w:rPr>
        <w:t> janvier de chaque année, ou dès que le cycle budgétaire des pays concernés le permettra.</w:t>
      </w:r>
    </w:p>
    <w:p w14:paraId="5D6AA8D7" w14:textId="77777777" w:rsidR="00A81CC0" w:rsidRPr="00930651" w:rsidRDefault="00A81CC0" w:rsidP="00A81CC0">
      <w:pPr>
        <w:rPr>
          <w:rFonts w:asciiTheme="minorHAnsi" w:hAnsiTheme="minorHAnsi"/>
        </w:rPr>
      </w:pPr>
    </w:p>
    <w:p w14:paraId="5FDC23C2" w14:textId="5BC30A8E" w:rsidR="00A81CC0" w:rsidRPr="00930651" w:rsidRDefault="00A81CC0" w:rsidP="00A81CC0">
      <w:pPr>
        <w:rPr>
          <w:rFonts w:asciiTheme="minorHAnsi" w:hAnsiTheme="minorHAnsi"/>
        </w:rPr>
      </w:pPr>
      <w:r w:rsidRPr="00930651">
        <w:rPr>
          <w:rFonts w:asciiTheme="minorHAnsi" w:hAnsiTheme="minorHAnsi"/>
        </w:rPr>
        <w:t>31.</w:t>
      </w:r>
      <w:r w:rsidRPr="00930651">
        <w:rPr>
          <w:rFonts w:asciiTheme="minorHAnsi" w:hAnsiTheme="minorHAnsi"/>
        </w:rPr>
        <w:tab/>
        <w:t>EXPRIME sa gratitude aux gouvernements de l</w:t>
      </w:r>
      <w:r w:rsidR="00101E52">
        <w:rPr>
          <w:rFonts w:asciiTheme="minorHAnsi" w:hAnsiTheme="minorHAnsi"/>
        </w:rPr>
        <w:t>’</w:t>
      </w:r>
      <w:r w:rsidRPr="00930651">
        <w:rPr>
          <w:rFonts w:asciiTheme="minorHAnsi" w:hAnsiTheme="minorHAnsi"/>
        </w:rPr>
        <w:t>Allemagne, de la Fédération de Russie, de la Finlande, de la Norvège, ainsi qu</w:t>
      </w:r>
      <w:r w:rsidR="00101E52">
        <w:rPr>
          <w:rFonts w:asciiTheme="minorHAnsi" w:hAnsiTheme="minorHAnsi"/>
        </w:rPr>
        <w:t>’</w:t>
      </w:r>
      <w:r w:rsidRPr="00930651">
        <w:rPr>
          <w:rFonts w:asciiTheme="minorHAnsi" w:hAnsiTheme="minorHAnsi"/>
        </w:rPr>
        <w:t>aux États-Unis d</w:t>
      </w:r>
      <w:r w:rsidR="00101E52">
        <w:rPr>
          <w:rFonts w:asciiTheme="minorHAnsi" w:hAnsiTheme="minorHAnsi"/>
        </w:rPr>
        <w:t>’</w:t>
      </w:r>
      <w:r w:rsidRPr="00930651">
        <w:rPr>
          <w:rFonts w:asciiTheme="minorHAnsi" w:hAnsiTheme="minorHAnsi"/>
        </w:rPr>
        <w:t>Amérique et à Danone, à la Nagao Natural Environment Foundation pour leurs contributions volontaires aux activités non administratives</w:t>
      </w:r>
    </w:p>
    <w:p w14:paraId="1B54B9A6" w14:textId="77777777" w:rsidR="00A81CC0" w:rsidRPr="00930651" w:rsidRDefault="00A81CC0" w:rsidP="00A81CC0">
      <w:pPr>
        <w:rPr>
          <w:rFonts w:asciiTheme="minorHAnsi" w:hAnsiTheme="minorHAnsi"/>
        </w:rPr>
      </w:pPr>
    </w:p>
    <w:p w14:paraId="1C62C590" w14:textId="77777777" w:rsidR="00A81CC0" w:rsidRPr="00930651" w:rsidRDefault="00A81CC0" w:rsidP="00A81CC0">
      <w:pPr>
        <w:rPr>
          <w:rFonts w:asciiTheme="minorHAnsi" w:hAnsiTheme="minorHAnsi"/>
        </w:rPr>
      </w:pPr>
      <w:r w:rsidRPr="00930651">
        <w:rPr>
          <w:rFonts w:asciiTheme="minorHAnsi" w:hAnsiTheme="minorHAnsi"/>
        </w:rPr>
        <w:t>32.</w:t>
      </w:r>
      <w:r w:rsidRPr="00930651">
        <w:rPr>
          <w:rFonts w:asciiTheme="minorHAnsi" w:hAnsiTheme="minorHAnsi"/>
        </w:rPr>
        <w:tab/>
        <w:t>RÉAFFIRME la décision prise à la 11</w:t>
      </w:r>
      <w:r w:rsidRPr="00930651">
        <w:rPr>
          <w:rFonts w:asciiTheme="minorHAnsi" w:hAnsiTheme="minorHAnsi"/>
          <w:vertAlign w:val="superscript"/>
        </w:rPr>
        <w:t>e</w:t>
      </w:r>
      <w:r w:rsidRPr="00930651">
        <w:rPr>
          <w:rFonts w:asciiTheme="minorHAnsi" w:hAnsiTheme="minorHAnsi"/>
        </w:rPr>
        <w:t xml:space="preserve"> Session de la Conférence des Parties contractantes (dans la Résolution XI.2, </w:t>
      </w:r>
      <w:r w:rsidRPr="00930651">
        <w:rPr>
          <w:rFonts w:asciiTheme="minorHAnsi" w:hAnsiTheme="minorHAnsi"/>
          <w:i/>
        </w:rPr>
        <w:t>Questions financières et budgétaires</w:t>
      </w:r>
      <w:r w:rsidRPr="00930651">
        <w:rPr>
          <w:rFonts w:asciiTheme="minorHAnsi" w:hAnsiTheme="minorHAnsi"/>
        </w:rPr>
        <w:t>) selon laquelle le Fonds de réserve :</w:t>
      </w:r>
    </w:p>
    <w:p w14:paraId="1441D7E4" w14:textId="77777777" w:rsidR="00A81CC0" w:rsidRPr="00930651" w:rsidRDefault="00A81CC0" w:rsidP="00A81CC0">
      <w:pPr>
        <w:pStyle w:val="MGfulltext"/>
        <w:numPr>
          <w:ilvl w:val="1"/>
          <w:numId w:val="30"/>
        </w:numPr>
        <w:spacing w:after="0"/>
        <w:ind w:left="850" w:hanging="425"/>
        <w:rPr>
          <w:rFonts w:asciiTheme="minorHAnsi" w:eastAsia="Batang" w:hAnsiTheme="minorHAnsi" w:cs="Times New Roman"/>
          <w:sz w:val="22"/>
          <w:szCs w:val="22"/>
        </w:rPr>
      </w:pPr>
      <w:r w:rsidRPr="00930651">
        <w:rPr>
          <w:rFonts w:asciiTheme="minorHAnsi" w:hAnsiTheme="minorHAnsi"/>
          <w:sz w:val="22"/>
        </w:rPr>
        <w:t>pare aux dépenses imprévues et inévitables ;</w:t>
      </w:r>
    </w:p>
    <w:p w14:paraId="3D04109B" w14:textId="77777777" w:rsidR="00A81CC0" w:rsidRPr="00930651" w:rsidRDefault="00A81CC0" w:rsidP="00A81CC0">
      <w:pPr>
        <w:pStyle w:val="MGfulltext"/>
        <w:numPr>
          <w:ilvl w:val="1"/>
          <w:numId w:val="30"/>
        </w:numPr>
        <w:spacing w:after="0"/>
        <w:ind w:left="850" w:hanging="425"/>
        <w:rPr>
          <w:rFonts w:asciiTheme="minorHAnsi" w:eastAsia="Batang" w:hAnsiTheme="minorHAnsi" w:cs="Times New Roman"/>
          <w:sz w:val="22"/>
          <w:szCs w:val="22"/>
        </w:rPr>
      </w:pPr>
      <w:r w:rsidRPr="00930651">
        <w:rPr>
          <w:rFonts w:asciiTheme="minorHAnsi" w:hAnsiTheme="minorHAnsi"/>
          <w:sz w:val="22"/>
        </w:rPr>
        <w:t>absorbe les excédents (ou les déficits) du budget administratif de la période triennale ;</w:t>
      </w:r>
    </w:p>
    <w:p w14:paraId="5FFDEEC9" w14:textId="0BCDB1A8" w:rsidR="00A81CC0" w:rsidRPr="00930651" w:rsidRDefault="00A81CC0" w:rsidP="00A81CC0">
      <w:pPr>
        <w:pStyle w:val="MGfulltext"/>
        <w:numPr>
          <w:ilvl w:val="1"/>
          <w:numId w:val="30"/>
        </w:numPr>
        <w:spacing w:after="0"/>
        <w:ind w:left="850" w:hanging="425"/>
        <w:rPr>
          <w:rFonts w:asciiTheme="minorHAnsi" w:eastAsia="Batang" w:hAnsiTheme="minorHAnsi" w:cs="Times New Roman"/>
          <w:sz w:val="22"/>
          <w:szCs w:val="22"/>
        </w:rPr>
      </w:pPr>
      <w:r w:rsidRPr="00930651">
        <w:rPr>
          <w:rFonts w:asciiTheme="minorHAnsi" w:hAnsiTheme="minorHAnsi"/>
          <w:sz w:val="22"/>
        </w:rPr>
        <w:t>s</w:t>
      </w:r>
      <w:r w:rsidR="00101E52">
        <w:rPr>
          <w:rFonts w:asciiTheme="minorHAnsi" w:hAnsiTheme="minorHAnsi"/>
          <w:sz w:val="22"/>
        </w:rPr>
        <w:t>’</w:t>
      </w:r>
      <w:r w:rsidRPr="00930651">
        <w:rPr>
          <w:rFonts w:asciiTheme="minorHAnsi" w:hAnsiTheme="minorHAnsi"/>
          <w:sz w:val="22"/>
        </w:rPr>
        <w:t>établit à 6 % au minimum et 15 % au maximum du budget administratif annuel de la Convention ; et</w:t>
      </w:r>
    </w:p>
    <w:p w14:paraId="2BBE851D" w14:textId="45E54AAF" w:rsidR="00A81CC0" w:rsidRPr="00930651" w:rsidRDefault="00A81CC0" w:rsidP="00A81CC0">
      <w:pPr>
        <w:pStyle w:val="MGfulltext"/>
        <w:numPr>
          <w:ilvl w:val="1"/>
          <w:numId w:val="30"/>
        </w:numPr>
        <w:spacing w:after="0"/>
        <w:ind w:left="850" w:hanging="425"/>
        <w:rPr>
          <w:rFonts w:asciiTheme="minorHAnsi" w:eastAsia="Batang" w:hAnsiTheme="minorHAnsi" w:cs="Times New Roman"/>
          <w:sz w:val="22"/>
          <w:szCs w:val="22"/>
        </w:rPr>
      </w:pPr>
      <w:r w:rsidRPr="00930651">
        <w:rPr>
          <w:rFonts w:asciiTheme="minorHAnsi" w:hAnsiTheme="minorHAnsi"/>
          <w:sz w:val="22"/>
        </w:rPr>
        <w:t>est administré par la Secrétaire générale avec l</w:t>
      </w:r>
      <w:r w:rsidR="00101E52">
        <w:rPr>
          <w:rFonts w:asciiTheme="minorHAnsi" w:hAnsiTheme="minorHAnsi"/>
          <w:sz w:val="22"/>
        </w:rPr>
        <w:t>’</w:t>
      </w:r>
      <w:r w:rsidRPr="00930651">
        <w:rPr>
          <w:rFonts w:asciiTheme="minorHAnsi" w:hAnsiTheme="minorHAnsi"/>
          <w:sz w:val="22"/>
        </w:rPr>
        <w:t>approbation du Sous-groupe sur les finances établi par le Comité permanent.</w:t>
      </w:r>
    </w:p>
    <w:p w14:paraId="4705792F" w14:textId="77777777" w:rsidR="00A81CC0" w:rsidRPr="00930651" w:rsidRDefault="00A81CC0" w:rsidP="00A81CC0">
      <w:pPr>
        <w:ind w:left="426" w:hanging="426"/>
        <w:rPr>
          <w:rFonts w:asciiTheme="minorHAnsi" w:hAnsiTheme="minorHAnsi"/>
        </w:rPr>
      </w:pPr>
    </w:p>
    <w:p w14:paraId="3806DD23" w14:textId="77777777" w:rsidR="00A81CC0" w:rsidRPr="00930651" w:rsidRDefault="00A81CC0" w:rsidP="00A81CC0">
      <w:pPr>
        <w:rPr>
          <w:rFonts w:asciiTheme="minorHAnsi" w:hAnsiTheme="minorHAnsi"/>
        </w:rPr>
      </w:pPr>
      <w:r w:rsidRPr="00930651">
        <w:rPr>
          <w:rFonts w:asciiTheme="minorHAnsi" w:hAnsiTheme="minorHAnsi"/>
        </w:rPr>
        <w:t>33.</w:t>
      </w:r>
      <w:r w:rsidRPr="00930651">
        <w:rPr>
          <w:rFonts w:asciiTheme="minorHAnsi" w:hAnsiTheme="minorHAnsi"/>
        </w:rPr>
        <w:tab/>
        <w:t>DEMANDE au Secrétariat de tout mettre en œuvre pour maintenir le Fonds de réserve pendant la période triennale 2023-2025, de rendre compte une fois par an de la situation du Fonds au Comité permanent et de demander son accord au Sous-groupe sur les finances avant toute utilisation du Fonds.</w:t>
      </w:r>
    </w:p>
    <w:p w14:paraId="7A5E521E" w14:textId="77777777" w:rsidR="00A81CC0" w:rsidRPr="00930651" w:rsidRDefault="00A81CC0" w:rsidP="00A81CC0">
      <w:pPr>
        <w:rPr>
          <w:rFonts w:asciiTheme="minorHAnsi" w:hAnsiTheme="minorHAnsi"/>
        </w:rPr>
      </w:pPr>
    </w:p>
    <w:p w14:paraId="0F8130E7" w14:textId="7BE943D5" w:rsidR="00A81CC0" w:rsidRPr="00930651" w:rsidRDefault="00A81CC0" w:rsidP="00A81CC0">
      <w:pPr>
        <w:rPr>
          <w:rFonts w:asciiTheme="minorHAnsi" w:hAnsiTheme="minorHAnsi"/>
        </w:rPr>
      </w:pPr>
      <w:r w:rsidRPr="00930651">
        <w:rPr>
          <w:rFonts w:asciiTheme="minorHAnsi" w:hAnsiTheme="minorHAnsi"/>
        </w:rPr>
        <w:t>34.</w:t>
      </w:r>
      <w:r w:rsidRPr="00930651">
        <w:rPr>
          <w:rFonts w:asciiTheme="minorHAnsi" w:hAnsiTheme="minorHAnsi"/>
        </w:rPr>
        <w:tab/>
        <w:t>RÉAFFIRME la décision prise lors de la 13</w:t>
      </w:r>
      <w:r w:rsidRPr="00930651">
        <w:rPr>
          <w:rFonts w:asciiTheme="minorHAnsi" w:hAnsiTheme="minorHAnsi"/>
          <w:vertAlign w:val="superscript"/>
        </w:rPr>
        <w:t>e</w:t>
      </w:r>
      <w:r w:rsidRPr="00930651">
        <w:rPr>
          <w:rFonts w:asciiTheme="minorHAnsi" w:hAnsiTheme="minorHAnsi"/>
        </w:rPr>
        <w:t xml:space="preserve"> Session de la Conférence des Parties contractantes (dans la Résolution XII.2 </w:t>
      </w:r>
      <w:r w:rsidRPr="00930651">
        <w:rPr>
          <w:rFonts w:asciiTheme="minorHAnsi" w:hAnsiTheme="minorHAnsi"/>
          <w:i/>
        </w:rPr>
        <w:t>Questions financières et budgétaires</w:t>
      </w:r>
      <w:r w:rsidRPr="00930651">
        <w:rPr>
          <w:rFonts w:asciiTheme="minorHAnsi" w:hAnsiTheme="minorHAnsi"/>
        </w:rPr>
        <w:t>) qui autorise la Secrétaire générale, dans les limites des règles de l</w:t>
      </w:r>
      <w:r w:rsidR="00101E52">
        <w:rPr>
          <w:rFonts w:asciiTheme="minorHAnsi" w:hAnsiTheme="minorHAnsi"/>
        </w:rPr>
        <w:t>’</w:t>
      </w:r>
      <w:r w:rsidRPr="00930651">
        <w:rPr>
          <w:rFonts w:asciiTheme="minorHAnsi" w:hAnsiTheme="minorHAnsi"/>
        </w:rPr>
        <w:t>UICN, à ajuster les niveaux des effectifs, les chiffres et la structure du Secrétariat figurant à l</w:t>
      </w:r>
      <w:r w:rsidR="00101E52">
        <w:rPr>
          <w:rFonts w:asciiTheme="minorHAnsi" w:hAnsiTheme="minorHAnsi"/>
        </w:rPr>
        <w:t>’</w:t>
      </w:r>
      <w:r w:rsidRPr="00930651">
        <w:rPr>
          <w:rFonts w:asciiTheme="minorHAnsi" w:hAnsiTheme="minorHAnsi"/>
        </w:rPr>
        <w:t xml:space="preserve">annexe 3 de la présente Résolution, à condition que ces ajustements se situent dans les limites des coûts indiqués et soient conformes à la </w:t>
      </w:r>
      <w:r w:rsidRPr="00930651">
        <w:rPr>
          <w:rFonts w:asciiTheme="minorHAnsi" w:hAnsiTheme="minorHAnsi"/>
          <w:i/>
        </w:rPr>
        <w:t>Délégation d</w:t>
      </w:r>
      <w:r w:rsidR="00101E52">
        <w:rPr>
          <w:rFonts w:asciiTheme="minorHAnsi" w:hAnsiTheme="minorHAnsi"/>
          <w:i/>
        </w:rPr>
        <w:t>’</w:t>
      </w:r>
      <w:r w:rsidRPr="00930651">
        <w:rPr>
          <w:rFonts w:asciiTheme="minorHAnsi" w:hAnsiTheme="minorHAnsi"/>
          <w:i/>
        </w:rPr>
        <w:t xml:space="preserve">autorité au Secrétaire général de la Convention sur les zones humides </w:t>
      </w:r>
      <w:r w:rsidRPr="00930651">
        <w:rPr>
          <w:rFonts w:asciiTheme="minorHAnsi" w:hAnsiTheme="minorHAnsi"/>
        </w:rPr>
        <w:t xml:space="preserve">de 1993 et à sa </w:t>
      </w:r>
      <w:r w:rsidRPr="00930651">
        <w:rPr>
          <w:rFonts w:asciiTheme="minorHAnsi" w:hAnsiTheme="minorHAnsi"/>
          <w:i/>
        </w:rPr>
        <w:t>Note supplémentaire</w:t>
      </w:r>
      <w:r w:rsidRPr="00930651">
        <w:rPr>
          <w:rFonts w:asciiTheme="minorHAnsi" w:hAnsiTheme="minorHAnsi"/>
        </w:rPr>
        <w:t>.</w:t>
      </w:r>
    </w:p>
    <w:p w14:paraId="6A3DC5E3" w14:textId="77777777" w:rsidR="00A81CC0" w:rsidRPr="00930651" w:rsidRDefault="00A81CC0" w:rsidP="00A81CC0">
      <w:pPr>
        <w:rPr>
          <w:rFonts w:asciiTheme="minorHAnsi" w:hAnsiTheme="minorHAnsi"/>
        </w:rPr>
      </w:pPr>
    </w:p>
    <w:p w14:paraId="5EDD899A" w14:textId="59A1921C" w:rsidR="00A81CC0" w:rsidRPr="00930651" w:rsidRDefault="00A81CC0" w:rsidP="00A81CC0">
      <w:pPr>
        <w:rPr>
          <w:rFonts w:asciiTheme="minorHAnsi" w:hAnsiTheme="minorHAnsi"/>
        </w:rPr>
      </w:pPr>
      <w:r w:rsidRPr="00930651">
        <w:rPr>
          <w:rFonts w:asciiTheme="minorHAnsi" w:hAnsiTheme="minorHAnsi"/>
        </w:rPr>
        <w:t>35.</w:t>
      </w:r>
      <w:r w:rsidRPr="00930651">
        <w:rPr>
          <w:rFonts w:asciiTheme="minorHAnsi" w:hAnsiTheme="minorHAnsi"/>
        </w:rPr>
        <w:tab/>
        <w:t>NOTE AVEC SATISFACTION la transparence et la responsabilité concernant les opérations du Secrétariat que la Secrétaire générale a encouragées au cours de la période triennale écoulée ; et NOTE ÉGALEMENT que, afin de renforcer encore ces efforts, le Secrétariat a établi une section sur le site web de la Convention pour publier des informations visant à garantir la transparence et la responsabilité, notamment les rapports d</w:t>
      </w:r>
      <w:r w:rsidR="00101E52">
        <w:rPr>
          <w:rFonts w:asciiTheme="minorHAnsi" w:hAnsiTheme="minorHAnsi"/>
        </w:rPr>
        <w:t>’</w:t>
      </w:r>
      <w:r w:rsidRPr="00930651">
        <w:rPr>
          <w:rFonts w:asciiTheme="minorHAnsi" w:hAnsiTheme="minorHAnsi"/>
        </w:rPr>
        <w:t xml:space="preserve">audit achevés et acceptés ; les </w:t>
      </w:r>
      <w:r w:rsidRPr="00930651">
        <w:rPr>
          <w:rFonts w:asciiTheme="minorHAnsi" w:hAnsiTheme="minorHAnsi"/>
        </w:rPr>
        <w:lastRenderedPageBreak/>
        <w:t>règles et règlements financiers ; les rapports annuels de la Secrétaire générale au Comité permanent ; les procédures d</w:t>
      </w:r>
      <w:r w:rsidR="00101E52">
        <w:rPr>
          <w:rFonts w:asciiTheme="minorHAnsi" w:hAnsiTheme="minorHAnsi"/>
        </w:rPr>
        <w:t>’</w:t>
      </w:r>
      <w:r w:rsidRPr="00930651">
        <w:rPr>
          <w:rFonts w:asciiTheme="minorHAnsi" w:hAnsiTheme="minorHAnsi"/>
        </w:rPr>
        <w:t>engagement avec le secteur privé ; les documents relatifs aux codes de conduite et à l</w:t>
      </w:r>
      <w:r w:rsidR="00101E52">
        <w:rPr>
          <w:rFonts w:asciiTheme="minorHAnsi" w:hAnsiTheme="minorHAnsi"/>
        </w:rPr>
        <w:t>’</w:t>
      </w:r>
      <w:r w:rsidRPr="00930651">
        <w:rPr>
          <w:rFonts w:asciiTheme="minorHAnsi" w:hAnsiTheme="minorHAnsi"/>
        </w:rPr>
        <w:t>éthique professionnelle du personnel ; la Délégation de pouvoir de 1993 et sa Note supplémentaire ; les politiques de lutte contre la fraude et contre le harcèlement ; les règles et protections relatives aux lanceurs d</w:t>
      </w:r>
      <w:r w:rsidR="00101E52">
        <w:rPr>
          <w:rFonts w:asciiTheme="minorHAnsi" w:hAnsiTheme="minorHAnsi"/>
        </w:rPr>
        <w:t>’</w:t>
      </w:r>
      <w:r w:rsidRPr="00930651">
        <w:rPr>
          <w:rFonts w:asciiTheme="minorHAnsi" w:hAnsiTheme="minorHAnsi"/>
        </w:rPr>
        <w:t>alarme ; les politiques sur les conflits d</w:t>
      </w:r>
      <w:r w:rsidR="00101E52">
        <w:rPr>
          <w:rFonts w:asciiTheme="minorHAnsi" w:hAnsiTheme="minorHAnsi"/>
        </w:rPr>
        <w:t>’</w:t>
      </w:r>
      <w:r w:rsidRPr="00930651">
        <w:rPr>
          <w:rFonts w:asciiTheme="minorHAnsi" w:hAnsiTheme="minorHAnsi"/>
        </w:rPr>
        <w:t>intérêts ; les politiques d</w:t>
      </w:r>
      <w:r w:rsidR="00101E52">
        <w:rPr>
          <w:rFonts w:asciiTheme="minorHAnsi" w:hAnsiTheme="minorHAnsi"/>
        </w:rPr>
        <w:t>’</w:t>
      </w:r>
      <w:r w:rsidRPr="00930651">
        <w:rPr>
          <w:rFonts w:asciiTheme="minorHAnsi" w:hAnsiTheme="minorHAnsi"/>
        </w:rPr>
        <w:t>équité et d</w:t>
      </w:r>
      <w:r w:rsidR="00101E52">
        <w:rPr>
          <w:rFonts w:asciiTheme="minorHAnsi" w:hAnsiTheme="minorHAnsi"/>
        </w:rPr>
        <w:t>’</w:t>
      </w:r>
      <w:r w:rsidRPr="00930651">
        <w:rPr>
          <w:rFonts w:asciiTheme="minorHAnsi" w:hAnsiTheme="minorHAnsi"/>
        </w:rPr>
        <w:t>égalité entre les sexes ; ainsi que toutes autres informations pertinentes ; et DEMANDE que le Secrétariat poursuive des efforts pendant la période 2023- 2025.</w:t>
      </w:r>
    </w:p>
    <w:p w14:paraId="73F4C79D" w14:textId="77777777" w:rsidR="00A81CC0" w:rsidRPr="00930651" w:rsidRDefault="00A81CC0" w:rsidP="00A81CC0">
      <w:pPr>
        <w:rPr>
          <w:rFonts w:asciiTheme="minorHAnsi" w:hAnsiTheme="minorHAnsi"/>
        </w:rPr>
      </w:pPr>
    </w:p>
    <w:p w14:paraId="109AB6BE" w14:textId="7A4C9E10" w:rsidR="00A81CC0" w:rsidRPr="00930651" w:rsidRDefault="00A81CC0" w:rsidP="00A81CC0">
      <w:pPr>
        <w:rPr>
          <w:rFonts w:asciiTheme="minorHAnsi" w:hAnsiTheme="minorHAnsi"/>
        </w:rPr>
      </w:pPr>
      <w:r w:rsidRPr="00930651">
        <w:rPr>
          <w:rFonts w:asciiTheme="minorHAnsi" w:hAnsiTheme="minorHAnsi"/>
        </w:rPr>
        <w:t>36.</w:t>
      </w:r>
      <w:r w:rsidRPr="00930651">
        <w:rPr>
          <w:rFonts w:asciiTheme="minorHAnsi" w:hAnsiTheme="minorHAnsi"/>
        </w:rPr>
        <w:tab/>
        <w:t xml:space="preserve">PRIE le Secrétariat de considérer les Parties contractantes qui sont sur la liste des petits États insulaires en développement (PEID) de la Conférence des Nations Unies sur le commerce et le développement comme </w:t>
      </w:r>
      <w:r w:rsidR="00E66E9B" w:rsidRPr="00930651">
        <w:rPr>
          <w:rFonts w:asciiTheme="minorHAnsi" w:hAnsiTheme="minorHAnsi"/>
        </w:rPr>
        <w:t>étant</w:t>
      </w:r>
      <w:r w:rsidRPr="00930651">
        <w:rPr>
          <w:rFonts w:asciiTheme="minorHAnsi" w:hAnsiTheme="minorHAnsi"/>
        </w:rPr>
        <w:t xml:space="preserve"> </w:t>
      </w:r>
      <w:r w:rsidR="00E66E9B" w:rsidRPr="00930651">
        <w:rPr>
          <w:rFonts w:asciiTheme="minorHAnsi" w:hAnsiTheme="minorHAnsi"/>
        </w:rPr>
        <w:t>éligibles</w:t>
      </w:r>
      <w:r w:rsidRPr="00930651">
        <w:rPr>
          <w:rFonts w:asciiTheme="minorHAnsi" w:hAnsiTheme="minorHAnsi"/>
        </w:rPr>
        <w:t xml:space="preserve"> à l</w:t>
      </w:r>
      <w:r w:rsidR="00101E52">
        <w:rPr>
          <w:rFonts w:asciiTheme="minorHAnsi" w:hAnsiTheme="minorHAnsi"/>
        </w:rPr>
        <w:t>’</w:t>
      </w:r>
      <w:r w:rsidRPr="00930651">
        <w:rPr>
          <w:rFonts w:asciiTheme="minorHAnsi" w:hAnsiTheme="minorHAnsi"/>
        </w:rPr>
        <w:t>aide au voyage de délégués, que ces États soient ou non classés officiellement comme tels pour des motifs économiques sur la liste du Comité d</w:t>
      </w:r>
      <w:r w:rsidR="00101E52">
        <w:rPr>
          <w:rFonts w:asciiTheme="minorHAnsi" w:hAnsiTheme="minorHAnsi"/>
        </w:rPr>
        <w:t>’</w:t>
      </w:r>
      <w:r w:rsidRPr="00930651">
        <w:rPr>
          <w:rFonts w:asciiTheme="minorHAnsi" w:hAnsiTheme="minorHAnsi"/>
        </w:rPr>
        <w:t xml:space="preserve">aide au </w:t>
      </w:r>
      <w:r w:rsidR="00E66E9B" w:rsidRPr="00930651">
        <w:rPr>
          <w:rFonts w:asciiTheme="minorHAnsi" w:hAnsiTheme="minorHAnsi"/>
        </w:rPr>
        <w:t>développement</w:t>
      </w:r>
      <w:r w:rsidRPr="00930651">
        <w:rPr>
          <w:rFonts w:asciiTheme="minorHAnsi" w:hAnsiTheme="minorHAnsi"/>
        </w:rPr>
        <w:t xml:space="preserve"> (CAD) de l</w:t>
      </w:r>
      <w:r w:rsidR="00101E52">
        <w:rPr>
          <w:rFonts w:asciiTheme="minorHAnsi" w:hAnsiTheme="minorHAnsi"/>
        </w:rPr>
        <w:t>’</w:t>
      </w:r>
      <w:r w:rsidRPr="00930651">
        <w:rPr>
          <w:rFonts w:asciiTheme="minorHAnsi" w:hAnsiTheme="minorHAnsi"/>
        </w:rPr>
        <w:t>Organisation de coopération et de développement économiques (OCDE).</w:t>
      </w:r>
    </w:p>
    <w:p w14:paraId="1A614F4C" w14:textId="77777777" w:rsidR="00A81CC0" w:rsidRPr="00930651" w:rsidRDefault="00A81CC0" w:rsidP="00A81CC0">
      <w:pPr>
        <w:rPr>
          <w:rFonts w:asciiTheme="minorHAnsi" w:hAnsiTheme="minorHAnsi"/>
        </w:rPr>
      </w:pPr>
    </w:p>
    <w:p w14:paraId="222BD9E6" w14:textId="2E249721" w:rsidR="00A81CC0" w:rsidRPr="00930651" w:rsidRDefault="00A81CC0" w:rsidP="00A81CC0">
      <w:pPr>
        <w:rPr>
          <w:rFonts w:asciiTheme="minorHAnsi" w:hAnsiTheme="minorHAnsi"/>
        </w:rPr>
      </w:pPr>
      <w:r w:rsidRPr="00930651">
        <w:rPr>
          <w:rFonts w:asciiTheme="minorHAnsi" w:hAnsiTheme="minorHAnsi"/>
        </w:rPr>
        <w:t>37.</w:t>
      </w:r>
      <w:r w:rsidRPr="00930651">
        <w:rPr>
          <w:rFonts w:asciiTheme="minorHAnsi" w:hAnsiTheme="minorHAnsi"/>
        </w:rPr>
        <w:tab/>
        <w:t xml:space="preserve">CONFIRME que la présente Résolution et ses annexes remplacent la Résolution XIII.2, </w:t>
      </w:r>
      <w:r w:rsidRPr="00930651">
        <w:rPr>
          <w:rFonts w:asciiTheme="minorHAnsi" w:hAnsiTheme="minorHAnsi"/>
          <w:i/>
        </w:rPr>
        <w:t xml:space="preserve">Questions financières et budgétaires, </w:t>
      </w:r>
      <w:r w:rsidRPr="00930651">
        <w:rPr>
          <w:rFonts w:asciiTheme="minorHAnsi" w:hAnsiTheme="minorHAnsi"/>
        </w:rPr>
        <w:t xml:space="preserve">Résolution ExCOP3.2, </w:t>
      </w:r>
      <w:r w:rsidRPr="00930651">
        <w:rPr>
          <w:rFonts w:asciiTheme="minorHAnsi" w:hAnsiTheme="minorHAnsi"/>
          <w:i/>
          <w:iCs/>
        </w:rPr>
        <w:t>Questions financières et budgétaires :</w:t>
      </w:r>
      <w:r w:rsidRPr="00930651">
        <w:rPr>
          <w:rFonts w:asciiTheme="minorHAnsi" w:hAnsiTheme="minorHAnsi"/>
          <w:i/>
        </w:rPr>
        <w:t xml:space="preserve"> </w:t>
      </w:r>
      <w:r w:rsidRPr="00930651">
        <w:rPr>
          <w:rFonts w:asciiTheme="minorHAnsi" w:hAnsiTheme="minorHAnsi"/>
          <w:i/>
          <w:iCs/>
        </w:rPr>
        <w:t>budget administratif 2022</w:t>
      </w:r>
      <w:r w:rsidRPr="00930651">
        <w:rPr>
          <w:rFonts w:asciiTheme="minorHAnsi" w:hAnsiTheme="minorHAnsi"/>
        </w:rPr>
        <w:t xml:space="preserve"> et le paragraphe 11 a) de la Résolution VI.17</w:t>
      </w:r>
      <w:r w:rsidR="00474FCE">
        <w:rPr>
          <w:rFonts w:asciiTheme="minorHAnsi" w:hAnsiTheme="minorHAnsi"/>
        </w:rPr>
        <w:t xml:space="preserve">, </w:t>
      </w:r>
      <w:r w:rsidR="00474FCE" w:rsidRPr="00474FCE">
        <w:rPr>
          <w:rFonts w:asciiTheme="minorHAnsi" w:hAnsiTheme="minorHAnsi"/>
          <w:i/>
          <w:iCs/>
        </w:rPr>
        <w:t>Q</w:t>
      </w:r>
      <w:r w:rsidRPr="00474FCE">
        <w:rPr>
          <w:rFonts w:asciiTheme="minorHAnsi" w:hAnsiTheme="minorHAnsi"/>
          <w:i/>
          <w:iCs/>
        </w:rPr>
        <w:t>uestions financières et budgétaires</w:t>
      </w:r>
      <w:r w:rsidRPr="00930651">
        <w:rPr>
          <w:rFonts w:asciiTheme="minorHAnsi" w:hAnsiTheme="minorHAnsi"/>
        </w:rPr>
        <w:t>.</w:t>
      </w:r>
    </w:p>
    <w:p w14:paraId="39D0D69E" w14:textId="77777777" w:rsidR="003D403B" w:rsidRDefault="003D403B">
      <w:pPr>
        <w:rPr>
          <w:b/>
          <w:sz w:val="24"/>
        </w:rPr>
      </w:pPr>
      <w:r>
        <w:rPr>
          <w:b/>
          <w:sz w:val="24"/>
        </w:rPr>
        <w:br w:type="page"/>
      </w:r>
    </w:p>
    <w:p w14:paraId="16DBBD14" w14:textId="0F292DDB" w:rsidR="00ED2630" w:rsidRPr="00930651" w:rsidRDefault="0049707C" w:rsidP="00A217FF">
      <w:pPr>
        <w:pStyle w:val="ListParagraph"/>
        <w:ind w:left="0" w:firstLine="0"/>
        <w:contextualSpacing w:val="0"/>
        <w:rPr>
          <w:rFonts w:cs="Arial"/>
          <w:b/>
          <w:sz w:val="24"/>
          <w:szCs w:val="24"/>
        </w:rPr>
      </w:pPr>
      <w:r w:rsidRPr="00930651">
        <w:rPr>
          <w:b/>
          <w:sz w:val="24"/>
        </w:rPr>
        <w:lastRenderedPageBreak/>
        <w:t>Annexe </w:t>
      </w:r>
      <w:r w:rsidR="00A50362">
        <w:rPr>
          <w:b/>
          <w:sz w:val="24"/>
        </w:rPr>
        <w:t>1</w:t>
      </w:r>
      <w:r w:rsidR="00A50362">
        <w:rPr>
          <w:rStyle w:val="FootnoteReference"/>
          <w:b/>
          <w:sz w:val="24"/>
        </w:rPr>
        <w:footnoteReference w:id="3"/>
      </w:r>
    </w:p>
    <w:p w14:paraId="06F178D1" w14:textId="77777777" w:rsidR="00701C8A" w:rsidRPr="00930651" w:rsidRDefault="0049707C" w:rsidP="00A217FF">
      <w:pPr>
        <w:pStyle w:val="ListParagraph"/>
        <w:ind w:left="0" w:firstLine="0"/>
        <w:contextualSpacing w:val="0"/>
        <w:rPr>
          <w:rFonts w:cs="Arial"/>
          <w:b/>
          <w:sz w:val="24"/>
          <w:szCs w:val="24"/>
        </w:rPr>
      </w:pPr>
      <w:r w:rsidRPr="00930651">
        <w:rPr>
          <w:b/>
          <w:sz w:val="24"/>
        </w:rPr>
        <w:t>Scénarios budgétaires proposés pour 2023-2025</w:t>
      </w:r>
    </w:p>
    <w:p w14:paraId="78B4A784" w14:textId="77777777" w:rsidR="00396932" w:rsidRPr="00930651" w:rsidRDefault="00396932" w:rsidP="00A217FF">
      <w:pPr>
        <w:pStyle w:val="ListParagraph"/>
        <w:ind w:left="0" w:firstLine="0"/>
        <w:contextualSpacing w:val="0"/>
        <w:rPr>
          <w:rFonts w:cs="Arial"/>
          <w:b/>
        </w:rPr>
      </w:pPr>
    </w:p>
    <w:p w14:paraId="458B58A1" w14:textId="7B1C5B6C" w:rsidR="0049707C" w:rsidRPr="00930651" w:rsidRDefault="0049707C" w:rsidP="00A217FF">
      <w:pPr>
        <w:pStyle w:val="ListParagraph"/>
        <w:ind w:left="0" w:firstLine="0"/>
        <w:contextualSpacing w:val="0"/>
        <w:rPr>
          <w:rFonts w:cs="Arial"/>
          <w:b/>
        </w:rPr>
      </w:pPr>
      <w:r w:rsidRPr="00930651">
        <w:rPr>
          <w:b/>
        </w:rPr>
        <w:t>Scénario A, 0 % d</w:t>
      </w:r>
      <w:r w:rsidR="00101E52">
        <w:rPr>
          <w:b/>
        </w:rPr>
        <w:t>’</w:t>
      </w:r>
      <w:r w:rsidRPr="00930651">
        <w:rPr>
          <w:b/>
        </w:rPr>
        <w:t>augmentation par rapport à la période triennale 2019-2021</w:t>
      </w:r>
    </w:p>
    <w:tbl>
      <w:tblPr>
        <w:tblW w:w="9351" w:type="dxa"/>
        <w:tblInd w:w="-147" w:type="dxa"/>
        <w:tblLayout w:type="fixed"/>
        <w:tblLook w:val="04A0" w:firstRow="1" w:lastRow="0" w:firstColumn="1" w:lastColumn="0" w:noHBand="0" w:noVBand="1"/>
      </w:tblPr>
      <w:tblGrid>
        <w:gridCol w:w="4673"/>
        <w:gridCol w:w="1169"/>
        <w:gridCol w:w="1170"/>
        <w:gridCol w:w="1169"/>
        <w:gridCol w:w="1170"/>
      </w:tblGrid>
      <w:tr w:rsidR="00C03DD1" w:rsidRPr="003D403B" w14:paraId="0D7E5362" w14:textId="77777777" w:rsidTr="008F4A6B">
        <w:tc>
          <w:tcPr>
            <w:tcW w:w="4673" w:type="dxa"/>
            <w:tcBorders>
              <w:top w:val="single" w:sz="4" w:space="0" w:color="auto"/>
              <w:left w:val="single" w:sz="4" w:space="0" w:color="auto"/>
              <w:bottom w:val="single" w:sz="4" w:space="0" w:color="auto"/>
              <w:right w:val="single" w:sz="4" w:space="0" w:color="auto"/>
            </w:tcBorders>
            <w:shd w:val="clear" w:color="000000" w:fill="EBF1DE"/>
            <w:vAlign w:val="center"/>
          </w:tcPr>
          <w:p w14:paraId="0DD40510" w14:textId="58A06E16" w:rsidR="00C03DD1" w:rsidRPr="003D403B" w:rsidRDefault="00C03DD1" w:rsidP="003D403B">
            <w:pPr>
              <w:ind w:left="0" w:firstLine="0"/>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Budget Ramsar proposé pour 2023-2025</w:t>
            </w:r>
            <w:r w:rsidR="003D403B" w:rsidRPr="003D403B">
              <w:rPr>
                <w:rFonts w:asciiTheme="minorHAnsi" w:hAnsiTheme="minorHAnsi"/>
                <w:b/>
                <w:color w:val="1F497D"/>
                <w:sz w:val="20"/>
                <w:szCs w:val="20"/>
              </w:rPr>
              <w:br/>
              <w:t>en milliers de CHF</w:t>
            </w:r>
          </w:p>
        </w:tc>
        <w:tc>
          <w:tcPr>
            <w:tcW w:w="1169" w:type="dxa"/>
            <w:tcBorders>
              <w:top w:val="single" w:sz="4" w:space="0" w:color="auto"/>
              <w:left w:val="nil"/>
              <w:bottom w:val="single" w:sz="4" w:space="0" w:color="auto"/>
              <w:right w:val="single" w:sz="4" w:space="0" w:color="auto"/>
            </w:tcBorders>
            <w:shd w:val="clear" w:color="000000" w:fill="EBF1DE"/>
            <w:vAlign w:val="center"/>
          </w:tcPr>
          <w:p w14:paraId="19D2F1DC" w14:textId="77777777" w:rsidR="00C03DD1" w:rsidRPr="003D403B" w:rsidRDefault="00C03DD1" w:rsidP="008023CD">
            <w:pPr>
              <w:ind w:left="0" w:firstLine="0"/>
              <w:jc w:val="center"/>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Budget 2023</w:t>
            </w:r>
          </w:p>
        </w:tc>
        <w:tc>
          <w:tcPr>
            <w:tcW w:w="1170" w:type="dxa"/>
            <w:tcBorders>
              <w:top w:val="single" w:sz="4" w:space="0" w:color="auto"/>
              <w:left w:val="nil"/>
              <w:bottom w:val="single" w:sz="4" w:space="0" w:color="auto"/>
              <w:right w:val="single" w:sz="4" w:space="0" w:color="auto"/>
            </w:tcBorders>
            <w:shd w:val="clear" w:color="000000" w:fill="EBF1DE"/>
            <w:vAlign w:val="center"/>
          </w:tcPr>
          <w:p w14:paraId="4C953D7E" w14:textId="77777777" w:rsidR="00C03DD1" w:rsidRPr="003D403B" w:rsidRDefault="00C03DD1" w:rsidP="008023CD">
            <w:pPr>
              <w:ind w:left="0" w:firstLine="0"/>
              <w:jc w:val="center"/>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Budget 2024</w:t>
            </w:r>
          </w:p>
        </w:tc>
        <w:tc>
          <w:tcPr>
            <w:tcW w:w="1169" w:type="dxa"/>
            <w:tcBorders>
              <w:top w:val="single" w:sz="4" w:space="0" w:color="auto"/>
              <w:left w:val="nil"/>
              <w:bottom w:val="single" w:sz="4" w:space="0" w:color="auto"/>
              <w:right w:val="single" w:sz="4" w:space="0" w:color="auto"/>
            </w:tcBorders>
            <w:shd w:val="clear" w:color="000000" w:fill="EBF1DE"/>
            <w:vAlign w:val="center"/>
          </w:tcPr>
          <w:p w14:paraId="1464E9EF" w14:textId="77777777" w:rsidR="00C03DD1" w:rsidRPr="003D403B" w:rsidRDefault="00C03DD1" w:rsidP="008023CD">
            <w:pPr>
              <w:ind w:left="0" w:firstLine="0"/>
              <w:jc w:val="center"/>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Budget 2025</w:t>
            </w:r>
          </w:p>
        </w:tc>
        <w:tc>
          <w:tcPr>
            <w:tcW w:w="1170" w:type="dxa"/>
            <w:tcBorders>
              <w:top w:val="single" w:sz="4" w:space="0" w:color="auto"/>
              <w:left w:val="nil"/>
              <w:bottom w:val="single" w:sz="4" w:space="0" w:color="auto"/>
              <w:right w:val="single" w:sz="4" w:space="0" w:color="auto"/>
            </w:tcBorders>
            <w:shd w:val="clear" w:color="000000" w:fill="EBF1DE"/>
            <w:vAlign w:val="center"/>
          </w:tcPr>
          <w:p w14:paraId="7E6F4385" w14:textId="77777777" w:rsidR="00C03DD1" w:rsidRPr="003D403B" w:rsidRDefault="00C03DD1" w:rsidP="008023CD">
            <w:pPr>
              <w:ind w:left="0" w:firstLine="0"/>
              <w:jc w:val="center"/>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Total Budget 2023-2025</w:t>
            </w:r>
          </w:p>
        </w:tc>
      </w:tr>
      <w:tr w:rsidR="00C03DD1" w:rsidRPr="00930651" w14:paraId="21B01196" w14:textId="77777777" w:rsidTr="008F4A6B">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3E33E" w14:textId="77777777" w:rsidR="00C03DD1" w:rsidRPr="00930651" w:rsidRDefault="00C03DD1" w:rsidP="00A217FF">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REVENUS</w:t>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56818568" w14:textId="77777777" w:rsidR="00C03DD1" w:rsidRPr="00930651" w:rsidRDefault="00C03DD1"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1E7D65A" w14:textId="77777777" w:rsidR="00C03DD1" w:rsidRPr="00930651" w:rsidRDefault="00C03DD1"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7616FFED" w14:textId="77777777" w:rsidR="00C03DD1" w:rsidRPr="00930651" w:rsidRDefault="00C03DD1"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B652101"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 </w:t>
            </w:r>
          </w:p>
        </w:tc>
      </w:tr>
      <w:tr w:rsidR="00C03DD1" w:rsidRPr="00930651" w14:paraId="04CC0FA7"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7A9F6275" w14:textId="77777777" w:rsidR="00C03DD1" w:rsidRPr="00930651" w:rsidRDefault="00C03DD1" w:rsidP="00A217FF">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Contributions des Parties contractantes</w:t>
            </w:r>
          </w:p>
        </w:tc>
        <w:tc>
          <w:tcPr>
            <w:tcW w:w="1169" w:type="dxa"/>
            <w:tcBorders>
              <w:top w:val="nil"/>
              <w:left w:val="nil"/>
              <w:bottom w:val="single" w:sz="4" w:space="0" w:color="auto"/>
              <w:right w:val="single" w:sz="4" w:space="0" w:color="auto"/>
            </w:tcBorders>
            <w:shd w:val="clear" w:color="auto" w:fill="auto"/>
            <w:noWrap/>
            <w:vAlign w:val="center"/>
          </w:tcPr>
          <w:p w14:paraId="4F9120D5"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3 778</w:t>
            </w:r>
          </w:p>
        </w:tc>
        <w:tc>
          <w:tcPr>
            <w:tcW w:w="1170" w:type="dxa"/>
            <w:tcBorders>
              <w:top w:val="nil"/>
              <w:left w:val="nil"/>
              <w:bottom w:val="single" w:sz="4" w:space="0" w:color="auto"/>
              <w:right w:val="single" w:sz="4" w:space="0" w:color="auto"/>
            </w:tcBorders>
            <w:shd w:val="clear" w:color="auto" w:fill="auto"/>
            <w:noWrap/>
            <w:vAlign w:val="center"/>
          </w:tcPr>
          <w:p w14:paraId="0DA56ED0"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3 778</w:t>
            </w:r>
          </w:p>
        </w:tc>
        <w:tc>
          <w:tcPr>
            <w:tcW w:w="1169" w:type="dxa"/>
            <w:tcBorders>
              <w:top w:val="nil"/>
              <w:left w:val="nil"/>
              <w:bottom w:val="single" w:sz="4" w:space="0" w:color="auto"/>
              <w:right w:val="single" w:sz="4" w:space="0" w:color="auto"/>
            </w:tcBorders>
            <w:shd w:val="clear" w:color="auto" w:fill="auto"/>
            <w:noWrap/>
            <w:vAlign w:val="center"/>
          </w:tcPr>
          <w:p w14:paraId="1E98D677"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3 778</w:t>
            </w:r>
          </w:p>
        </w:tc>
        <w:tc>
          <w:tcPr>
            <w:tcW w:w="1170" w:type="dxa"/>
            <w:tcBorders>
              <w:top w:val="nil"/>
              <w:left w:val="nil"/>
              <w:bottom w:val="single" w:sz="4" w:space="0" w:color="auto"/>
              <w:right w:val="single" w:sz="4" w:space="0" w:color="auto"/>
            </w:tcBorders>
            <w:shd w:val="clear" w:color="auto" w:fill="auto"/>
            <w:noWrap/>
            <w:vAlign w:val="center"/>
          </w:tcPr>
          <w:p w14:paraId="68684FD8"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11 334</w:t>
            </w:r>
          </w:p>
        </w:tc>
      </w:tr>
      <w:tr w:rsidR="00C03DD1" w:rsidRPr="00930651" w14:paraId="35483DE0"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238128A6" w14:textId="77777777" w:rsidR="00C03DD1" w:rsidRPr="00930651" w:rsidRDefault="00C03DD1" w:rsidP="00A217FF">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Contributions volontaires</w:t>
            </w:r>
          </w:p>
        </w:tc>
        <w:tc>
          <w:tcPr>
            <w:tcW w:w="1169" w:type="dxa"/>
            <w:tcBorders>
              <w:top w:val="nil"/>
              <w:left w:val="nil"/>
              <w:bottom w:val="single" w:sz="4" w:space="0" w:color="auto"/>
              <w:right w:val="single" w:sz="4" w:space="0" w:color="auto"/>
            </w:tcBorders>
            <w:shd w:val="clear" w:color="auto" w:fill="auto"/>
            <w:noWrap/>
            <w:vAlign w:val="center"/>
          </w:tcPr>
          <w:p w14:paraId="2D013DE0"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1 066</w:t>
            </w:r>
          </w:p>
        </w:tc>
        <w:tc>
          <w:tcPr>
            <w:tcW w:w="1170" w:type="dxa"/>
            <w:tcBorders>
              <w:top w:val="nil"/>
              <w:left w:val="nil"/>
              <w:bottom w:val="single" w:sz="4" w:space="0" w:color="auto"/>
              <w:right w:val="single" w:sz="4" w:space="0" w:color="auto"/>
            </w:tcBorders>
            <w:shd w:val="clear" w:color="auto" w:fill="auto"/>
            <w:noWrap/>
            <w:vAlign w:val="center"/>
          </w:tcPr>
          <w:p w14:paraId="23AF7E7D"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1 066</w:t>
            </w:r>
          </w:p>
        </w:tc>
        <w:tc>
          <w:tcPr>
            <w:tcW w:w="1169" w:type="dxa"/>
            <w:tcBorders>
              <w:top w:val="nil"/>
              <w:left w:val="nil"/>
              <w:bottom w:val="single" w:sz="4" w:space="0" w:color="auto"/>
              <w:right w:val="single" w:sz="4" w:space="0" w:color="auto"/>
            </w:tcBorders>
            <w:shd w:val="clear" w:color="auto" w:fill="auto"/>
            <w:noWrap/>
            <w:vAlign w:val="center"/>
          </w:tcPr>
          <w:p w14:paraId="1E943929"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1 066</w:t>
            </w:r>
          </w:p>
        </w:tc>
        <w:tc>
          <w:tcPr>
            <w:tcW w:w="1170" w:type="dxa"/>
            <w:tcBorders>
              <w:top w:val="nil"/>
              <w:left w:val="nil"/>
              <w:bottom w:val="single" w:sz="4" w:space="0" w:color="auto"/>
              <w:right w:val="single" w:sz="4" w:space="0" w:color="auto"/>
            </w:tcBorders>
            <w:shd w:val="clear" w:color="auto" w:fill="auto"/>
            <w:noWrap/>
            <w:vAlign w:val="center"/>
          </w:tcPr>
          <w:p w14:paraId="376192C4"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3 198</w:t>
            </w:r>
          </w:p>
        </w:tc>
      </w:tr>
      <w:tr w:rsidR="00C03DD1" w:rsidRPr="00930651" w14:paraId="0279B9AB"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2F7A7798" w14:textId="77777777" w:rsidR="00C03DD1" w:rsidRPr="00930651" w:rsidRDefault="00C03DD1" w:rsidP="00A217FF">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Impôts</w:t>
            </w:r>
          </w:p>
        </w:tc>
        <w:tc>
          <w:tcPr>
            <w:tcW w:w="1169" w:type="dxa"/>
            <w:tcBorders>
              <w:top w:val="nil"/>
              <w:left w:val="nil"/>
              <w:bottom w:val="single" w:sz="4" w:space="0" w:color="auto"/>
              <w:right w:val="single" w:sz="4" w:space="0" w:color="auto"/>
            </w:tcBorders>
            <w:shd w:val="clear" w:color="auto" w:fill="auto"/>
            <w:noWrap/>
            <w:vAlign w:val="center"/>
          </w:tcPr>
          <w:p w14:paraId="084AC50F"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225</w:t>
            </w:r>
          </w:p>
        </w:tc>
        <w:tc>
          <w:tcPr>
            <w:tcW w:w="1170" w:type="dxa"/>
            <w:tcBorders>
              <w:top w:val="nil"/>
              <w:left w:val="nil"/>
              <w:bottom w:val="single" w:sz="4" w:space="0" w:color="auto"/>
              <w:right w:val="single" w:sz="4" w:space="0" w:color="auto"/>
            </w:tcBorders>
            <w:shd w:val="clear" w:color="auto" w:fill="auto"/>
            <w:noWrap/>
            <w:vAlign w:val="center"/>
          </w:tcPr>
          <w:p w14:paraId="377684D3"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225</w:t>
            </w:r>
          </w:p>
        </w:tc>
        <w:tc>
          <w:tcPr>
            <w:tcW w:w="1169" w:type="dxa"/>
            <w:tcBorders>
              <w:top w:val="nil"/>
              <w:left w:val="nil"/>
              <w:bottom w:val="single" w:sz="4" w:space="0" w:color="auto"/>
              <w:right w:val="single" w:sz="4" w:space="0" w:color="auto"/>
            </w:tcBorders>
            <w:shd w:val="clear" w:color="auto" w:fill="auto"/>
            <w:noWrap/>
            <w:vAlign w:val="center"/>
          </w:tcPr>
          <w:p w14:paraId="58D26B37"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225</w:t>
            </w:r>
          </w:p>
        </w:tc>
        <w:tc>
          <w:tcPr>
            <w:tcW w:w="1170" w:type="dxa"/>
            <w:tcBorders>
              <w:top w:val="nil"/>
              <w:left w:val="nil"/>
              <w:bottom w:val="single" w:sz="4" w:space="0" w:color="auto"/>
              <w:right w:val="single" w:sz="4" w:space="0" w:color="auto"/>
            </w:tcBorders>
            <w:shd w:val="clear" w:color="auto" w:fill="auto"/>
            <w:noWrap/>
            <w:vAlign w:val="center"/>
          </w:tcPr>
          <w:p w14:paraId="1B6811A5"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675</w:t>
            </w:r>
          </w:p>
        </w:tc>
      </w:tr>
      <w:tr w:rsidR="00C03DD1" w:rsidRPr="00930651" w14:paraId="26123B81" w14:textId="77777777" w:rsidTr="008F4A6B">
        <w:tc>
          <w:tcPr>
            <w:tcW w:w="4673" w:type="dxa"/>
            <w:tcBorders>
              <w:top w:val="nil"/>
              <w:left w:val="single" w:sz="4" w:space="0" w:color="auto"/>
              <w:bottom w:val="nil"/>
              <w:right w:val="single" w:sz="4" w:space="0" w:color="auto"/>
            </w:tcBorders>
            <w:shd w:val="clear" w:color="auto" w:fill="auto"/>
            <w:noWrap/>
            <w:vAlign w:val="center"/>
          </w:tcPr>
          <w:p w14:paraId="12D4769E" w14:textId="436CAB2B" w:rsidR="00C03DD1" w:rsidRPr="00930651" w:rsidRDefault="00C03DD1" w:rsidP="00A217FF">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Revenus d</w:t>
            </w:r>
            <w:r w:rsidR="00101E52">
              <w:rPr>
                <w:rFonts w:asciiTheme="minorHAnsi" w:hAnsiTheme="minorHAnsi"/>
                <w:color w:val="000000"/>
                <w:sz w:val="20"/>
              </w:rPr>
              <w:t>’</w:t>
            </w:r>
            <w:r w:rsidRPr="00930651">
              <w:rPr>
                <w:rFonts w:asciiTheme="minorHAnsi" w:hAnsiTheme="minorHAnsi"/>
                <w:color w:val="000000"/>
                <w:sz w:val="20"/>
              </w:rPr>
              <w:t>intérêts</w:t>
            </w:r>
          </w:p>
        </w:tc>
        <w:tc>
          <w:tcPr>
            <w:tcW w:w="1169" w:type="dxa"/>
            <w:tcBorders>
              <w:top w:val="nil"/>
              <w:left w:val="nil"/>
              <w:bottom w:val="single" w:sz="4" w:space="0" w:color="auto"/>
              <w:right w:val="single" w:sz="4" w:space="0" w:color="auto"/>
            </w:tcBorders>
            <w:shd w:val="clear" w:color="auto" w:fill="auto"/>
            <w:noWrap/>
            <w:vAlign w:val="center"/>
          </w:tcPr>
          <w:p w14:paraId="7BD7464B"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12</w:t>
            </w:r>
          </w:p>
        </w:tc>
        <w:tc>
          <w:tcPr>
            <w:tcW w:w="1170" w:type="dxa"/>
            <w:tcBorders>
              <w:top w:val="nil"/>
              <w:left w:val="nil"/>
              <w:bottom w:val="single" w:sz="4" w:space="0" w:color="auto"/>
              <w:right w:val="single" w:sz="4" w:space="0" w:color="auto"/>
            </w:tcBorders>
            <w:shd w:val="clear" w:color="auto" w:fill="auto"/>
            <w:noWrap/>
            <w:vAlign w:val="center"/>
          </w:tcPr>
          <w:p w14:paraId="0CB09340"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12</w:t>
            </w:r>
          </w:p>
        </w:tc>
        <w:tc>
          <w:tcPr>
            <w:tcW w:w="1169" w:type="dxa"/>
            <w:tcBorders>
              <w:top w:val="nil"/>
              <w:left w:val="nil"/>
              <w:bottom w:val="single" w:sz="4" w:space="0" w:color="auto"/>
              <w:right w:val="single" w:sz="4" w:space="0" w:color="auto"/>
            </w:tcBorders>
            <w:shd w:val="clear" w:color="auto" w:fill="auto"/>
            <w:noWrap/>
            <w:vAlign w:val="center"/>
          </w:tcPr>
          <w:p w14:paraId="6D0DB638"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12</w:t>
            </w:r>
          </w:p>
        </w:tc>
        <w:tc>
          <w:tcPr>
            <w:tcW w:w="1170" w:type="dxa"/>
            <w:tcBorders>
              <w:top w:val="nil"/>
              <w:left w:val="nil"/>
              <w:bottom w:val="single" w:sz="4" w:space="0" w:color="auto"/>
              <w:right w:val="single" w:sz="4" w:space="0" w:color="auto"/>
            </w:tcBorders>
            <w:shd w:val="clear" w:color="auto" w:fill="auto"/>
            <w:noWrap/>
            <w:vAlign w:val="center"/>
          </w:tcPr>
          <w:p w14:paraId="4214767C"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36</w:t>
            </w:r>
          </w:p>
        </w:tc>
      </w:tr>
      <w:tr w:rsidR="00C03DD1" w:rsidRPr="00930651" w14:paraId="0D35D695" w14:textId="77777777" w:rsidTr="008F4A6B">
        <w:tc>
          <w:tcPr>
            <w:tcW w:w="4673"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4819024" w14:textId="77777777" w:rsidR="00C03DD1" w:rsidRPr="00930651" w:rsidRDefault="00C03DD1" w:rsidP="00A217FF">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TOTAL DES REVENUS</w:t>
            </w:r>
          </w:p>
        </w:tc>
        <w:tc>
          <w:tcPr>
            <w:tcW w:w="1169" w:type="dxa"/>
            <w:tcBorders>
              <w:top w:val="single" w:sz="4" w:space="0" w:color="auto"/>
              <w:left w:val="nil"/>
              <w:bottom w:val="single" w:sz="4" w:space="0" w:color="auto"/>
              <w:right w:val="single" w:sz="4" w:space="0" w:color="auto"/>
            </w:tcBorders>
            <w:shd w:val="clear" w:color="000000" w:fill="C4D79B"/>
            <w:noWrap/>
            <w:vAlign w:val="center"/>
          </w:tcPr>
          <w:p w14:paraId="19838B79" w14:textId="77777777" w:rsidR="00C03DD1" w:rsidRPr="00930651" w:rsidRDefault="00C03DD1" w:rsidP="00A217FF">
            <w:pPr>
              <w:ind w:left="0" w:firstLine="0"/>
              <w:jc w:val="right"/>
              <w:rPr>
                <w:rFonts w:asciiTheme="minorHAnsi" w:eastAsia="Times New Roman" w:hAnsiTheme="minorHAnsi" w:cs="Arial"/>
                <w:b/>
                <w:bCs/>
                <w:color w:val="000000"/>
              </w:rPr>
            </w:pPr>
            <w:r w:rsidRPr="00930651">
              <w:rPr>
                <w:rFonts w:asciiTheme="minorHAnsi" w:hAnsiTheme="minorHAnsi"/>
                <w:b/>
                <w:color w:val="000000"/>
              </w:rPr>
              <w:t>5 081</w:t>
            </w:r>
          </w:p>
        </w:tc>
        <w:tc>
          <w:tcPr>
            <w:tcW w:w="1170" w:type="dxa"/>
            <w:tcBorders>
              <w:top w:val="single" w:sz="4" w:space="0" w:color="auto"/>
              <w:left w:val="nil"/>
              <w:bottom w:val="single" w:sz="4" w:space="0" w:color="auto"/>
              <w:right w:val="single" w:sz="4" w:space="0" w:color="auto"/>
            </w:tcBorders>
            <w:shd w:val="clear" w:color="000000" w:fill="C4D79B"/>
            <w:noWrap/>
            <w:vAlign w:val="center"/>
          </w:tcPr>
          <w:p w14:paraId="668A64FD" w14:textId="77777777" w:rsidR="00C03DD1" w:rsidRPr="00930651" w:rsidRDefault="00C03DD1" w:rsidP="00A217FF">
            <w:pPr>
              <w:ind w:left="0" w:firstLine="0"/>
              <w:jc w:val="right"/>
              <w:rPr>
                <w:rFonts w:asciiTheme="minorHAnsi" w:eastAsia="Times New Roman" w:hAnsiTheme="minorHAnsi" w:cs="Arial"/>
                <w:b/>
                <w:bCs/>
                <w:color w:val="000000"/>
              </w:rPr>
            </w:pPr>
            <w:r w:rsidRPr="00930651">
              <w:rPr>
                <w:rFonts w:asciiTheme="minorHAnsi" w:hAnsiTheme="minorHAnsi"/>
                <w:b/>
                <w:color w:val="000000"/>
              </w:rPr>
              <w:t>5 081</w:t>
            </w:r>
          </w:p>
        </w:tc>
        <w:tc>
          <w:tcPr>
            <w:tcW w:w="1169" w:type="dxa"/>
            <w:tcBorders>
              <w:top w:val="single" w:sz="4" w:space="0" w:color="auto"/>
              <w:left w:val="nil"/>
              <w:bottom w:val="single" w:sz="4" w:space="0" w:color="auto"/>
              <w:right w:val="single" w:sz="4" w:space="0" w:color="auto"/>
            </w:tcBorders>
            <w:shd w:val="clear" w:color="000000" w:fill="C4D79B"/>
            <w:noWrap/>
            <w:vAlign w:val="center"/>
          </w:tcPr>
          <w:p w14:paraId="66513B6A" w14:textId="77777777" w:rsidR="00C03DD1" w:rsidRPr="00930651" w:rsidRDefault="00C03DD1" w:rsidP="00A217FF">
            <w:pPr>
              <w:ind w:left="0" w:firstLine="0"/>
              <w:jc w:val="right"/>
              <w:rPr>
                <w:rFonts w:asciiTheme="minorHAnsi" w:eastAsia="Times New Roman" w:hAnsiTheme="minorHAnsi" w:cs="Arial"/>
                <w:b/>
                <w:bCs/>
                <w:color w:val="000000"/>
              </w:rPr>
            </w:pPr>
            <w:r w:rsidRPr="00930651">
              <w:rPr>
                <w:rFonts w:asciiTheme="minorHAnsi" w:hAnsiTheme="minorHAnsi"/>
                <w:b/>
                <w:color w:val="000000"/>
              </w:rPr>
              <w:t>5 081</w:t>
            </w:r>
          </w:p>
        </w:tc>
        <w:tc>
          <w:tcPr>
            <w:tcW w:w="1170" w:type="dxa"/>
            <w:tcBorders>
              <w:top w:val="single" w:sz="4" w:space="0" w:color="auto"/>
              <w:left w:val="nil"/>
              <w:bottom w:val="single" w:sz="4" w:space="0" w:color="auto"/>
              <w:right w:val="single" w:sz="4" w:space="0" w:color="auto"/>
            </w:tcBorders>
            <w:shd w:val="clear" w:color="000000" w:fill="C4D79B"/>
            <w:noWrap/>
            <w:vAlign w:val="center"/>
          </w:tcPr>
          <w:p w14:paraId="556134DD" w14:textId="77777777" w:rsidR="00C03DD1" w:rsidRPr="00930651" w:rsidRDefault="00C03DD1" w:rsidP="00A217FF">
            <w:pPr>
              <w:ind w:left="0" w:firstLine="0"/>
              <w:jc w:val="right"/>
              <w:rPr>
                <w:rFonts w:asciiTheme="minorHAnsi" w:eastAsia="Times New Roman" w:hAnsiTheme="minorHAnsi" w:cs="Arial"/>
                <w:b/>
                <w:bCs/>
                <w:color w:val="000000"/>
              </w:rPr>
            </w:pPr>
            <w:r w:rsidRPr="00930651">
              <w:rPr>
                <w:rFonts w:asciiTheme="minorHAnsi" w:hAnsiTheme="minorHAnsi"/>
                <w:b/>
                <w:color w:val="000000"/>
              </w:rPr>
              <w:t>15 243</w:t>
            </w:r>
          </w:p>
        </w:tc>
      </w:tr>
      <w:tr w:rsidR="00C03DD1" w:rsidRPr="00930651" w14:paraId="5E1CCFB8" w14:textId="77777777" w:rsidTr="008F4A6B">
        <w:trPr>
          <w:trHeight w:val="397"/>
        </w:trPr>
        <w:tc>
          <w:tcPr>
            <w:tcW w:w="4673" w:type="dxa"/>
            <w:tcBorders>
              <w:top w:val="nil"/>
              <w:left w:val="single" w:sz="4" w:space="0" w:color="auto"/>
              <w:bottom w:val="single" w:sz="4" w:space="0" w:color="auto"/>
              <w:right w:val="single" w:sz="4" w:space="0" w:color="auto"/>
            </w:tcBorders>
            <w:shd w:val="clear" w:color="auto" w:fill="auto"/>
            <w:noWrap/>
            <w:vAlign w:val="bottom"/>
          </w:tcPr>
          <w:p w14:paraId="6575D2DD" w14:textId="77777777" w:rsidR="00C03DD1" w:rsidRPr="00930651" w:rsidRDefault="00C03DD1" w:rsidP="00A217FF">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DÉPENSES</w:t>
            </w:r>
          </w:p>
        </w:tc>
        <w:tc>
          <w:tcPr>
            <w:tcW w:w="1169" w:type="dxa"/>
            <w:tcBorders>
              <w:top w:val="nil"/>
              <w:left w:val="nil"/>
              <w:bottom w:val="single" w:sz="4" w:space="0" w:color="auto"/>
              <w:right w:val="single" w:sz="4" w:space="0" w:color="auto"/>
            </w:tcBorders>
            <w:shd w:val="clear" w:color="auto" w:fill="auto"/>
            <w:noWrap/>
            <w:vAlign w:val="bottom"/>
          </w:tcPr>
          <w:p w14:paraId="74276616" w14:textId="77777777" w:rsidR="00C03DD1" w:rsidRPr="00930651" w:rsidRDefault="00C03DD1" w:rsidP="00A217FF">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70" w:type="dxa"/>
            <w:tcBorders>
              <w:top w:val="nil"/>
              <w:left w:val="nil"/>
              <w:bottom w:val="single" w:sz="4" w:space="0" w:color="auto"/>
              <w:right w:val="single" w:sz="4" w:space="0" w:color="auto"/>
            </w:tcBorders>
            <w:shd w:val="clear" w:color="auto" w:fill="auto"/>
            <w:noWrap/>
            <w:vAlign w:val="bottom"/>
          </w:tcPr>
          <w:p w14:paraId="26845939" w14:textId="77777777" w:rsidR="00C03DD1" w:rsidRPr="00930651" w:rsidRDefault="00C03DD1" w:rsidP="00A217FF">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69" w:type="dxa"/>
            <w:tcBorders>
              <w:top w:val="nil"/>
              <w:left w:val="nil"/>
              <w:bottom w:val="single" w:sz="4" w:space="0" w:color="auto"/>
              <w:right w:val="single" w:sz="4" w:space="0" w:color="auto"/>
            </w:tcBorders>
            <w:shd w:val="clear" w:color="auto" w:fill="auto"/>
            <w:noWrap/>
            <w:vAlign w:val="bottom"/>
          </w:tcPr>
          <w:p w14:paraId="3E5FA3AB" w14:textId="77777777" w:rsidR="00C03DD1" w:rsidRPr="00930651" w:rsidRDefault="00C03DD1" w:rsidP="00A217FF">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70" w:type="dxa"/>
            <w:tcBorders>
              <w:top w:val="nil"/>
              <w:left w:val="nil"/>
              <w:bottom w:val="single" w:sz="4" w:space="0" w:color="auto"/>
              <w:right w:val="single" w:sz="4" w:space="0" w:color="auto"/>
            </w:tcBorders>
            <w:shd w:val="clear" w:color="auto" w:fill="auto"/>
            <w:noWrap/>
            <w:vAlign w:val="bottom"/>
          </w:tcPr>
          <w:p w14:paraId="7616A74B" w14:textId="77777777" w:rsidR="00C03DD1" w:rsidRPr="00930651" w:rsidRDefault="00C03DD1" w:rsidP="00A217FF">
            <w:pPr>
              <w:ind w:left="0" w:firstLine="0"/>
              <w:rPr>
                <w:rFonts w:asciiTheme="minorHAnsi" w:eastAsia="Times New Roman" w:hAnsiTheme="minorHAnsi" w:cs="Arial"/>
                <w:b/>
                <w:bCs/>
                <w:sz w:val="20"/>
                <w:szCs w:val="20"/>
              </w:rPr>
            </w:pPr>
            <w:r w:rsidRPr="00930651">
              <w:rPr>
                <w:rFonts w:asciiTheme="minorHAnsi" w:hAnsiTheme="minorHAnsi"/>
                <w:b/>
                <w:sz w:val="20"/>
              </w:rPr>
              <w:t> </w:t>
            </w:r>
          </w:p>
        </w:tc>
      </w:tr>
      <w:tr w:rsidR="00C03DD1" w:rsidRPr="00930651" w14:paraId="60EE7B27"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tcPr>
          <w:p w14:paraId="1259C034" w14:textId="77777777" w:rsidR="00C03DD1" w:rsidRPr="00930651" w:rsidRDefault="00A217FF" w:rsidP="00A217FF">
            <w:pPr>
              <w:ind w:left="0" w:firstLine="0"/>
              <w:rPr>
                <w:rFonts w:asciiTheme="minorHAnsi" w:eastAsia="Times New Roman" w:hAnsiTheme="minorHAnsi" w:cs="Arial"/>
                <w:b/>
                <w:bCs/>
                <w:color w:val="000000"/>
                <w:sz w:val="20"/>
                <w:szCs w:val="20"/>
              </w:rPr>
            </w:pPr>
            <w:r w:rsidRPr="00930651">
              <w:rPr>
                <w:rFonts w:asciiTheme="minorHAnsi" w:hAnsiTheme="minorHAnsi"/>
                <w:b/>
                <w:color w:val="000000"/>
                <w:sz w:val="20"/>
              </w:rPr>
              <w:t>A. Cadres supérieurs du Secrétariat &amp; Gouvernance</w:t>
            </w:r>
          </w:p>
        </w:tc>
        <w:tc>
          <w:tcPr>
            <w:tcW w:w="1169" w:type="dxa"/>
            <w:tcBorders>
              <w:top w:val="nil"/>
              <w:left w:val="nil"/>
              <w:bottom w:val="single" w:sz="4" w:space="0" w:color="auto"/>
              <w:right w:val="single" w:sz="4" w:space="0" w:color="auto"/>
            </w:tcBorders>
            <w:shd w:val="clear" w:color="000000" w:fill="C4D79B"/>
            <w:noWrap/>
            <w:vAlign w:val="center"/>
          </w:tcPr>
          <w:p w14:paraId="182F561F" w14:textId="77777777" w:rsidR="00C03DD1" w:rsidRPr="00930651" w:rsidRDefault="00F776A9"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1 050</w:t>
            </w:r>
          </w:p>
        </w:tc>
        <w:tc>
          <w:tcPr>
            <w:tcW w:w="1170" w:type="dxa"/>
            <w:tcBorders>
              <w:top w:val="nil"/>
              <w:left w:val="nil"/>
              <w:bottom w:val="single" w:sz="4" w:space="0" w:color="auto"/>
              <w:right w:val="single" w:sz="4" w:space="0" w:color="auto"/>
            </w:tcBorders>
            <w:shd w:val="clear" w:color="000000" w:fill="C4D79B"/>
            <w:noWrap/>
            <w:vAlign w:val="center"/>
          </w:tcPr>
          <w:p w14:paraId="6B07A4D2" w14:textId="77777777" w:rsidR="00C03DD1" w:rsidRPr="00930651" w:rsidRDefault="00F776A9"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1 062</w:t>
            </w:r>
          </w:p>
        </w:tc>
        <w:tc>
          <w:tcPr>
            <w:tcW w:w="1169" w:type="dxa"/>
            <w:tcBorders>
              <w:top w:val="nil"/>
              <w:left w:val="nil"/>
              <w:bottom w:val="single" w:sz="4" w:space="0" w:color="auto"/>
              <w:right w:val="single" w:sz="4" w:space="0" w:color="auto"/>
            </w:tcBorders>
            <w:shd w:val="clear" w:color="000000" w:fill="C4D79B"/>
            <w:noWrap/>
            <w:vAlign w:val="center"/>
          </w:tcPr>
          <w:p w14:paraId="1F4B0A05" w14:textId="77777777" w:rsidR="00C03DD1" w:rsidRPr="00930651" w:rsidRDefault="00F776A9"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1 057</w:t>
            </w:r>
          </w:p>
        </w:tc>
        <w:tc>
          <w:tcPr>
            <w:tcW w:w="1170" w:type="dxa"/>
            <w:tcBorders>
              <w:top w:val="nil"/>
              <w:left w:val="nil"/>
              <w:bottom w:val="single" w:sz="4" w:space="0" w:color="auto"/>
              <w:right w:val="single" w:sz="4" w:space="0" w:color="auto"/>
            </w:tcBorders>
            <w:shd w:val="clear" w:color="000000" w:fill="C4D79B"/>
            <w:noWrap/>
            <w:vAlign w:val="center"/>
          </w:tcPr>
          <w:p w14:paraId="1CCC33DE" w14:textId="77777777" w:rsidR="00C03DD1" w:rsidRPr="00930651" w:rsidRDefault="00F776A9"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3 169</w:t>
            </w:r>
          </w:p>
        </w:tc>
      </w:tr>
      <w:tr w:rsidR="00C03DD1" w:rsidRPr="00930651" w14:paraId="7ABBAA2E"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37F76727"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tcPr>
          <w:p w14:paraId="293D10CC"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1 010</w:t>
            </w:r>
          </w:p>
        </w:tc>
        <w:tc>
          <w:tcPr>
            <w:tcW w:w="1170" w:type="dxa"/>
            <w:tcBorders>
              <w:top w:val="nil"/>
              <w:left w:val="nil"/>
              <w:bottom w:val="single" w:sz="4" w:space="0" w:color="auto"/>
              <w:right w:val="single" w:sz="4" w:space="0" w:color="auto"/>
            </w:tcBorders>
            <w:shd w:val="clear" w:color="auto" w:fill="auto"/>
            <w:noWrap/>
            <w:vAlign w:val="center"/>
          </w:tcPr>
          <w:p w14:paraId="26BA1C7B"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1 022</w:t>
            </w:r>
          </w:p>
        </w:tc>
        <w:tc>
          <w:tcPr>
            <w:tcW w:w="1169" w:type="dxa"/>
            <w:tcBorders>
              <w:top w:val="nil"/>
              <w:left w:val="nil"/>
              <w:bottom w:val="single" w:sz="4" w:space="0" w:color="auto"/>
              <w:right w:val="single" w:sz="4" w:space="0" w:color="auto"/>
            </w:tcBorders>
            <w:shd w:val="clear" w:color="auto" w:fill="auto"/>
            <w:noWrap/>
            <w:vAlign w:val="center"/>
          </w:tcPr>
          <w:p w14:paraId="4CE36144" w14:textId="77777777" w:rsidR="00C03DD1" w:rsidRPr="00930651" w:rsidRDefault="00A22E7B"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1 017</w:t>
            </w:r>
          </w:p>
        </w:tc>
        <w:tc>
          <w:tcPr>
            <w:tcW w:w="1170" w:type="dxa"/>
            <w:tcBorders>
              <w:top w:val="nil"/>
              <w:left w:val="nil"/>
              <w:bottom w:val="single" w:sz="4" w:space="0" w:color="auto"/>
              <w:right w:val="single" w:sz="4" w:space="0" w:color="auto"/>
            </w:tcBorders>
            <w:shd w:val="clear" w:color="auto" w:fill="auto"/>
            <w:noWrap/>
            <w:vAlign w:val="center"/>
          </w:tcPr>
          <w:p w14:paraId="4A174B97" w14:textId="77777777" w:rsidR="00C03DD1" w:rsidRPr="00930651" w:rsidRDefault="00A22E7B"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3 049</w:t>
            </w:r>
          </w:p>
        </w:tc>
      </w:tr>
      <w:tr w:rsidR="00C03DD1" w:rsidRPr="00930651" w14:paraId="015C4207"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0C7CAE1C" w14:textId="77777777" w:rsidR="00C03DD1" w:rsidRPr="00930651" w:rsidRDefault="00F776A9" w:rsidP="00A217FF">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69" w:type="dxa"/>
            <w:tcBorders>
              <w:top w:val="nil"/>
              <w:left w:val="nil"/>
              <w:bottom w:val="single" w:sz="4" w:space="0" w:color="auto"/>
              <w:right w:val="single" w:sz="4" w:space="0" w:color="auto"/>
            </w:tcBorders>
            <w:shd w:val="clear" w:color="auto" w:fill="auto"/>
            <w:noWrap/>
            <w:vAlign w:val="center"/>
          </w:tcPr>
          <w:p w14:paraId="26302457" w14:textId="77777777" w:rsidR="00C03DD1" w:rsidRPr="00930651" w:rsidRDefault="00F776A9" w:rsidP="00A217FF">
            <w:pPr>
              <w:ind w:left="0" w:firstLine="0"/>
              <w:jc w:val="right"/>
              <w:rPr>
                <w:rFonts w:asciiTheme="minorHAnsi" w:eastAsia="Times New Roman" w:hAnsiTheme="minorHAnsi" w:cs="Arial"/>
                <w:sz w:val="20"/>
                <w:szCs w:val="20"/>
              </w:rPr>
            </w:pPr>
            <w:r w:rsidRPr="00930651">
              <w:rPr>
                <w:rFonts w:asciiTheme="minorHAnsi" w:hAnsiTheme="minorHAnsi"/>
                <w:sz w:val="20"/>
              </w:rPr>
              <w:t>40</w:t>
            </w:r>
          </w:p>
        </w:tc>
        <w:tc>
          <w:tcPr>
            <w:tcW w:w="1170" w:type="dxa"/>
            <w:tcBorders>
              <w:top w:val="nil"/>
              <w:left w:val="nil"/>
              <w:bottom w:val="single" w:sz="4" w:space="0" w:color="auto"/>
              <w:right w:val="single" w:sz="4" w:space="0" w:color="auto"/>
            </w:tcBorders>
            <w:shd w:val="clear" w:color="auto" w:fill="auto"/>
            <w:noWrap/>
            <w:vAlign w:val="center"/>
          </w:tcPr>
          <w:p w14:paraId="1FEEF1FA" w14:textId="77777777" w:rsidR="00C03DD1" w:rsidRPr="00930651" w:rsidRDefault="00F776A9" w:rsidP="00A217FF">
            <w:pPr>
              <w:ind w:left="0" w:firstLine="0"/>
              <w:jc w:val="right"/>
              <w:rPr>
                <w:rFonts w:asciiTheme="minorHAnsi" w:eastAsia="Times New Roman" w:hAnsiTheme="minorHAnsi" w:cs="Arial"/>
                <w:sz w:val="20"/>
                <w:szCs w:val="20"/>
              </w:rPr>
            </w:pPr>
            <w:r w:rsidRPr="00930651">
              <w:rPr>
                <w:rFonts w:asciiTheme="minorHAnsi" w:hAnsiTheme="minorHAnsi"/>
                <w:sz w:val="20"/>
              </w:rPr>
              <w:t>40</w:t>
            </w:r>
          </w:p>
        </w:tc>
        <w:tc>
          <w:tcPr>
            <w:tcW w:w="1169" w:type="dxa"/>
            <w:tcBorders>
              <w:top w:val="nil"/>
              <w:left w:val="nil"/>
              <w:bottom w:val="single" w:sz="4" w:space="0" w:color="auto"/>
              <w:right w:val="single" w:sz="4" w:space="0" w:color="auto"/>
            </w:tcBorders>
            <w:shd w:val="clear" w:color="auto" w:fill="auto"/>
            <w:noWrap/>
            <w:vAlign w:val="center"/>
          </w:tcPr>
          <w:p w14:paraId="2CC5CB87" w14:textId="77777777" w:rsidR="00C03DD1" w:rsidRPr="00930651" w:rsidRDefault="00F776A9"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40</w:t>
            </w:r>
          </w:p>
        </w:tc>
        <w:tc>
          <w:tcPr>
            <w:tcW w:w="1170" w:type="dxa"/>
            <w:tcBorders>
              <w:top w:val="nil"/>
              <w:left w:val="nil"/>
              <w:bottom w:val="single" w:sz="4" w:space="0" w:color="auto"/>
              <w:right w:val="single" w:sz="4" w:space="0" w:color="auto"/>
            </w:tcBorders>
            <w:shd w:val="clear" w:color="auto" w:fill="auto"/>
            <w:noWrap/>
            <w:vAlign w:val="center"/>
          </w:tcPr>
          <w:p w14:paraId="3B1DCD5D" w14:textId="77777777" w:rsidR="00C03DD1" w:rsidRPr="00930651" w:rsidRDefault="00F776A9"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120</w:t>
            </w:r>
          </w:p>
        </w:tc>
      </w:tr>
      <w:tr w:rsidR="00C03DD1" w:rsidRPr="00930651" w14:paraId="010D77AA"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tcPr>
          <w:p w14:paraId="4B5DC6D5" w14:textId="77777777" w:rsidR="00C03DD1" w:rsidRPr="00930651" w:rsidRDefault="00A217FF" w:rsidP="00A217FF">
            <w:pPr>
              <w:ind w:left="0" w:firstLine="0"/>
              <w:rPr>
                <w:rFonts w:asciiTheme="minorHAnsi" w:eastAsia="Times New Roman" w:hAnsiTheme="minorHAnsi" w:cs="Arial"/>
                <w:b/>
                <w:bCs/>
                <w:sz w:val="20"/>
                <w:szCs w:val="20"/>
              </w:rPr>
            </w:pPr>
            <w:r w:rsidRPr="00930651">
              <w:rPr>
                <w:rFonts w:asciiTheme="minorHAnsi" w:hAnsiTheme="minorHAnsi"/>
                <w:b/>
                <w:sz w:val="20"/>
              </w:rPr>
              <w:t>B. Mobilisation des ressources et sensibilisation</w:t>
            </w:r>
          </w:p>
        </w:tc>
        <w:tc>
          <w:tcPr>
            <w:tcW w:w="1169" w:type="dxa"/>
            <w:tcBorders>
              <w:top w:val="nil"/>
              <w:left w:val="nil"/>
              <w:bottom w:val="single" w:sz="4" w:space="0" w:color="auto"/>
              <w:right w:val="single" w:sz="4" w:space="0" w:color="auto"/>
            </w:tcBorders>
            <w:shd w:val="clear" w:color="000000" w:fill="C4D79B"/>
            <w:noWrap/>
            <w:vAlign w:val="center"/>
          </w:tcPr>
          <w:p w14:paraId="67A1AD5F" w14:textId="77777777" w:rsidR="00C03DD1" w:rsidRPr="00930651" w:rsidRDefault="00F776A9"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508</w:t>
            </w:r>
          </w:p>
        </w:tc>
        <w:tc>
          <w:tcPr>
            <w:tcW w:w="1170" w:type="dxa"/>
            <w:tcBorders>
              <w:top w:val="nil"/>
              <w:left w:val="nil"/>
              <w:bottom w:val="single" w:sz="4" w:space="0" w:color="auto"/>
              <w:right w:val="single" w:sz="4" w:space="0" w:color="auto"/>
            </w:tcBorders>
            <w:shd w:val="clear" w:color="000000" w:fill="C4D79B"/>
            <w:noWrap/>
            <w:vAlign w:val="center"/>
          </w:tcPr>
          <w:p w14:paraId="40851291" w14:textId="77777777" w:rsidR="00C03DD1" w:rsidRPr="00930651" w:rsidRDefault="002452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508</w:t>
            </w:r>
          </w:p>
        </w:tc>
        <w:tc>
          <w:tcPr>
            <w:tcW w:w="1169" w:type="dxa"/>
            <w:tcBorders>
              <w:top w:val="nil"/>
              <w:left w:val="nil"/>
              <w:bottom w:val="single" w:sz="4" w:space="0" w:color="auto"/>
              <w:right w:val="single" w:sz="4" w:space="0" w:color="auto"/>
            </w:tcBorders>
            <w:shd w:val="clear" w:color="000000" w:fill="C4D79B"/>
            <w:noWrap/>
            <w:vAlign w:val="center"/>
          </w:tcPr>
          <w:p w14:paraId="4C262495" w14:textId="77777777" w:rsidR="00C03DD1" w:rsidRPr="00930651" w:rsidRDefault="0024521E" w:rsidP="008F481B">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508</w:t>
            </w:r>
          </w:p>
        </w:tc>
        <w:tc>
          <w:tcPr>
            <w:tcW w:w="1170" w:type="dxa"/>
            <w:tcBorders>
              <w:top w:val="nil"/>
              <w:left w:val="nil"/>
              <w:bottom w:val="single" w:sz="4" w:space="0" w:color="auto"/>
              <w:right w:val="single" w:sz="4" w:space="0" w:color="auto"/>
            </w:tcBorders>
            <w:shd w:val="clear" w:color="000000" w:fill="C4D79B"/>
            <w:noWrap/>
            <w:vAlign w:val="center"/>
          </w:tcPr>
          <w:p w14:paraId="6E565526" w14:textId="77777777" w:rsidR="00C03DD1" w:rsidRPr="00930651" w:rsidRDefault="00F776A9"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1 524</w:t>
            </w:r>
          </w:p>
        </w:tc>
      </w:tr>
      <w:tr w:rsidR="00C03DD1" w:rsidRPr="00930651" w14:paraId="55C0D01A"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7CB454C0"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tcPr>
          <w:p w14:paraId="2D243919" w14:textId="77777777" w:rsidR="00C03DD1" w:rsidRPr="00930651" w:rsidRDefault="00F776A9" w:rsidP="008F481B">
            <w:pPr>
              <w:ind w:left="0" w:firstLine="0"/>
              <w:jc w:val="right"/>
              <w:rPr>
                <w:rFonts w:asciiTheme="minorHAnsi" w:eastAsia="Times New Roman" w:hAnsiTheme="minorHAnsi" w:cs="Arial"/>
                <w:sz w:val="20"/>
                <w:szCs w:val="20"/>
              </w:rPr>
            </w:pPr>
            <w:r w:rsidRPr="00930651">
              <w:rPr>
                <w:rFonts w:asciiTheme="minorHAnsi" w:hAnsiTheme="minorHAnsi"/>
                <w:sz w:val="20"/>
              </w:rPr>
              <w:t>352</w:t>
            </w:r>
          </w:p>
        </w:tc>
        <w:tc>
          <w:tcPr>
            <w:tcW w:w="1170" w:type="dxa"/>
            <w:tcBorders>
              <w:top w:val="nil"/>
              <w:left w:val="nil"/>
              <w:bottom w:val="single" w:sz="4" w:space="0" w:color="auto"/>
              <w:right w:val="single" w:sz="4" w:space="0" w:color="auto"/>
            </w:tcBorders>
            <w:shd w:val="clear" w:color="auto" w:fill="auto"/>
            <w:noWrap/>
            <w:vAlign w:val="center"/>
          </w:tcPr>
          <w:p w14:paraId="61AF2FF3"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352</w:t>
            </w:r>
          </w:p>
        </w:tc>
        <w:tc>
          <w:tcPr>
            <w:tcW w:w="1169" w:type="dxa"/>
            <w:tcBorders>
              <w:top w:val="nil"/>
              <w:left w:val="nil"/>
              <w:bottom w:val="single" w:sz="4" w:space="0" w:color="auto"/>
              <w:right w:val="single" w:sz="4" w:space="0" w:color="auto"/>
            </w:tcBorders>
            <w:shd w:val="clear" w:color="auto" w:fill="auto"/>
            <w:noWrap/>
            <w:vAlign w:val="center"/>
          </w:tcPr>
          <w:p w14:paraId="18CF5C24" w14:textId="77777777" w:rsidR="00C03DD1" w:rsidRPr="00930651" w:rsidRDefault="002452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352</w:t>
            </w:r>
          </w:p>
        </w:tc>
        <w:tc>
          <w:tcPr>
            <w:tcW w:w="1170" w:type="dxa"/>
            <w:tcBorders>
              <w:top w:val="nil"/>
              <w:left w:val="nil"/>
              <w:bottom w:val="single" w:sz="4" w:space="0" w:color="auto"/>
              <w:right w:val="single" w:sz="4" w:space="0" w:color="auto"/>
            </w:tcBorders>
            <w:shd w:val="clear" w:color="auto" w:fill="auto"/>
            <w:noWrap/>
            <w:vAlign w:val="center"/>
          </w:tcPr>
          <w:p w14:paraId="660E82E7" w14:textId="77777777" w:rsidR="00C03DD1" w:rsidRPr="00930651" w:rsidRDefault="00F776A9" w:rsidP="008F481B">
            <w:pPr>
              <w:ind w:left="0" w:firstLine="0"/>
              <w:jc w:val="right"/>
              <w:rPr>
                <w:rFonts w:asciiTheme="minorHAnsi" w:eastAsia="Times New Roman" w:hAnsiTheme="minorHAnsi" w:cs="Arial"/>
                <w:sz w:val="20"/>
                <w:szCs w:val="20"/>
              </w:rPr>
            </w:pPr>
            <w:r w:rsidRPr="00930651">
              <w:rPr>
                <w:rFonts w:asciiTheme="minorHAnsi" w:hAnsiTheme="minorHAnsi"/>
                <w:sz w:val="20"/>
              </w:rPr>
              <w:t>1 056</w:t>
            </w:r>
          </w:p>
        </w:tc>
      </w:tr>
      <w:tr w:rsidR="00C03DD1" w:rsidRPr="00930651" w14:paraId="45B002D2"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60FC5CC5"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Programme de CESP</w:t>
            </w:r>
          </w:p>
        </w:tc>
        <w:tc>
          <w:tcPr>
            <w:tcW w:w="1169" w:type="dxa"/>
            <w:tcBorders>
              <w:top w:val="nil"/>
              <w:left w:val="nil"/>
              <w:bottom w:val="single" w:sz="4" w:space="0" w:color="auto"/>
              <w:right w:val="single" w:sz="4" w:space="0" w:color="auto"/>
            </w:tcBorders>
            <w:shd w:val="clear" w:color="auto" w:fill="auto"/>
            <w:noWrap/>
            <w:vAlign w:val="center"/>
          </w:tcPr>
          <w:p w14:paraId="4C7FDDEA"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70" w:type="dxa"/>
            <w:tcBorders>
              <w:top w:val="nil"/>
              <w:left w:val="nil"/>
              <w:bottom w:val="single" w:sz="4" w:space="0" w:color="auto"/>
              <w:right w:val="single" w:sz="4" w:space="0" w:color="auto"/>
            </w:tcBorders>
            <w:shd w:val="clear" w:color="auto" w:fill="auto"/>
            <w:noWrap/>
            <w:vAlign w:val="center"/>
          </w:tcPr>
          <w:p w14:paraId="60712682"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69" w:type="dxa"/>
            <w:tcBorders>
              <w:top w:val="nil"/>
              <w:left w:val="nil"/>
              <w:bottom w:val="single" w:sz="4" w:space="0" w:color="auto"/>
              <w:right w:val="single" w:sz="4" w:space="0" w:color="auto"/>
            </w:tcBorders>
            <w:shd w:val="clear" w:color="auto" w:fill="auto"/>
            <w:noWrap/>
            <w:vAlign w:val="center"/>
          </w:tcPr>
          <w:p w14:paraId="6FDF3485"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30</w:t>
            </w:r>
          </w:p>
        </w:tc>
        <w:tc>
          <w:tcPr>
            <w:tcW w:w="1170" w:type="dxa"/>
            <w:tcBorders>
              <w:top w:val="nil"/>
              <w:left w:val="nil"/>
              <w:bottom w:val="single" w:sz="4" w:space="0" w:color="auto"/>
              <w:right w:val="single" w:sz="4" w:space="0" w:color="auto"/>
            </w:tcBorders>
            <w:shd w:val="clear" w:color="auto" w:fill="auto"/>
            <w:noWrap/>
            <w:vAlign w:val="center"/>
          </w:tcPr>
          <w:p w14:paraId="60EED6B7"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90</w:t>
            </w:r>
          </w:p>
        </w:tc>
      </w:tr>
      <w:tr w:rsidR="00C03DD1" w:rsidRPr="00930651" w14:paraId="76811129"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0C69120D"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Communications, traductions, publications et rapports</w:t>
            </w:r>
          </w:p>
        </w:tc>
        <w:tc>
          <w:tcPr>
            <w:tcW w:w="1169" w:type="dxa"/>
            <w:tcBorders>
              <w:top w:val="nil"/>
              <w:left w:val="nil"/>
              <w:bottom w:val="single" w:sz="4" w:space="0" w:color="auto"/>
              <w:right w:val="single" w:sz="4" w:space="0" w:color="auto"/>
            </w:tcBorders>
            <w:shd w:val="clear" w:color="auto" w:fill="auto"/>
            <w:noWrap/>
            <w:vAlign w:val="center"/>
          </w:tcPr>
          <w:p w14:paraId="35E63572"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c>
          <w:tcPr>
            <w:tcW w:w="1170" w:type="dxa"/>
            <w:tcBorders>
              <w:top w:val="nil"/>
              <w:left w:val="nil"/>
              <w:bottom w:val="single" w:sz="4" w:space="0" w:color="auto"/>
              <w:right w:val="single" w:sz="4" w:space="0" w:color="auto"/>
            </w:tcBorders>
            <w:shd w:val="clear" w:color="auto" w:fill="auto"/>
            <w:noWrap/>
            <w:vAlign w:val="center"/>
          </w:tcPr>
          <w:p w14:paraId="5B9D1D25"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c>
          <w:tcPr>
            <w:tcW w:w="1169" w:type="dxa"/>
            <w:tcBorders>
              <w:top w:val="nil"/>
              <w:left w:val="nil"/>
              <w:bottom w:val="single" w:sz="4" w:space="0" w:color="auto"/>
              <w:right w:val="single" w:sz="4" w:space="0" w:color="auto"/>
            </w:tcBorders>
            <w:shd w:val="clear" w:color="auto" w:fill="auto"/>
            <w:noWrap/>
            <w:vAlign w:val="center"/>
          </w:tcPr>
          <w:p w14:paraId="35740044" w14:textId="77777777" w:rsidR="00C03DD1" w:rsidRPr="00930651"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60</w:t>
            </w:r>
          </w:p>
        </w:tc>
        <w:tc>
          <w:tcPr>
            <w:tcW w:w="1170" w:type="dxa"/>
            <w:tcBorders>
              <w:top w:val="nil"/>
              <w:left w:val="nil"/>
              <w:bottom w:val="single" w:sz="4" w:space="0" w:color="auto"/>
              <w:right w:val="single" w:sz="4" w:space="0" w:color="auto"/>
            </w:tcBorders>
            <w:shd w:val="clear" w:color="auto" w:fill="auto"/>
            <w:noWrap/>
            <w:vAlign w:val="center"/>
          </w:tcPr>
          <w:p w14:paraId="3E3AF2CA"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180</w:t>
            </w:r>
          </w:p>
        </w:tc>
      </w:tr>
      <w:tr w:rsidR="00C03DD1" w:rsidRPr="00930651" w14:paraId="431FCF2F"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507C53AB"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Appui et développement du Web/TI</w:t>
            </w:r>
          </w:p>
        </w:tc>
        <w:tc>
          <w:tcPr>
            <w:tcW w:w="1169" w:type="dxa"/>
            <w:tcBorders>
              <w:top w:val="nil"/>
              <w:left w:val="nil"/>
              <w:bottom w:val="single" w:sz="4" w:space="0" w:color="auto"/>
              <w:right w:val="single" w:sz="4" w:space="0" w:color="auto"/>
            </w:tcBorders>
            <w:shd w:val="clear" w:color="auto" w:fill="auto"/>
            <w:noWrap/>
            <w:vAlign w:val="center"/>
          </w:tcPr>
          <w:p w14:paraId="4CA2B80A"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56</w:t>
            </w:r>
          </w:p>
        </w:tc>
        <w:tc>
          <w:tcPr>
            <w:tcW w:w="1170" w:type="dxa"/>
            <w:tcBorders>
              <w:top w:val="nil"/>
              <w:left w:val="nil"/>
              <w:bottom w:val="single" w:sz="4" w:space="0" w:color="auto"/>
              <w:right w:val="single" w:sz="4" w:space="0" w:color="auto"/>
            </w:tcBorders>
            <w:shd w:val="clear" w:color="auto" w:fill="auto"/>
            <w:noWrap/>
            <w:vAlign w:val="center"/>
          </w:tcPr>
          <w:p w14:paraId="197B2736"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56</w:t>
            </w:r>
          </w:p>
        </w:tc>
        <w:tc>
          <w:tcPr>
            <w:tcW w:w="1169" w:type="dxa"/>
            <w:tcBorders>
              <w:top w:val="nil"/>
              <w:left w:val="nil"/>
              <w:bottom w:val="single" w:sz="4" w:space="0" w:color="auto"/>
              <w:right w:val="single" w:sz="4" w:space="0" w:color="auto"/>
            </w:tcBorders>
            <w:shd w:val="clear" w:color="auto" w:fill="auto"/>
            <w:noWrap/>
            <w:vAlign w:val="center"/>
          </w:tcPr>
          <w:p w14:paraId="249BF259" w14:textId="77777777" w:rsidR="00C03DD1" w:rsidRPr="00930651" w:rsidRDefault="002452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56</w:t>
            </w:r>
          </w:p>
        </w:tc>
        <w:tc>
          <w:tcPr>
            <w:tcW w:w="1170" w:type="dxa"/>
            <w:tcBorders>
              <w:top w:val="nil"/>
              <w:left w:val="nil"/>
              <w:bottom w:val="single" w:sz="4" w:space="0" w:color="auto"/>
              <w:right w:val="single" w:sz="4" w:space="0" w:color="auto"/>
            </w:tcBorders>
            <w:shd w:val="clear" w:color="auto" w:fill="auto"/>
            <w:noWrap/>
            <w:vAlign w:val="center"/>
          </w:tcPr>
          <w:p w14:paraId="0DAD0EDC" w14:textId="77777777" w:rsidR="00C03DD1" w:rsidRPr="00930651" w:rsidRDefault="0024521E" w:rsidP="008F481B">
            <w:pPr>
              <w:ind w:left="0" w:firstLine="0"/>
              <w:jc w:val="right"/>
              <w:rPr>
                <w:rFonts w:asciiTheme="minorHAnsi" w:eastAsia="Times New Roman" w:hAnsiTheme="minorHAnsi" w:cs="Arial"/>
                <w:sz w:val="20"/>
                <w:szCs w:val="20"/>
              </w:rPr>
            </w:pPr>
            <w:r w:rsidRPr="00930651">
              <w:rPr>
                <w:rFonts w:asciiTheme="minorHAnsi" w:hAnsiTheme="minorHAnsi"/>
                <w:sz w:val="20"/>
              </w:rPr>
              <w:t>168</w:t>
            </w:r>
          </w:p>
        </w:tc>
      </w:tr>
      <w:tr w:rsidR="00A6664E" w:rsidRPr="00930651" w14:paraId="3FF7FEA1"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365C1FEE" w14:textId="77777777" w:rsidR="00A6664E" w:rsidRPr="00930651" w:rsidRDefault="00A6664E" w:rsidP="00A217FF">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69" w:type="dxa"/>
            <w:tcBorders>
              <w:top w:val="nil"/>
              <w:left w:val="nil"/>
              <w:bottom w:val="single" w:sz="4" w:space="0" w:color="auto"/>
              <w:right w:val="single" w:sz="4" w:space="0" w:color="auto"/>
            </w:tcBorders>
            <w:shd w:val="clear" w:color="auto" w:fill="auto"/>
            <w:noWrap/>
            <w:vAlign w:val="center"/>
          </w:tcPr>
          <w:p w14:paraId="0741CFD8"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10</w:t>
            </w:r>
          </w:p>
        </w:tc>
        <w:tc>
          <w:tcPr>
            <w:tcW w:w="1170" w:type="dxa"/>
            <w:tcBorders>
              <w:top w:val="nil"/>
              <w:left w:val="nil"/>
              <w:bottom w:val="single" w:sz="4" w:space="0" w:color="auto"/>
              <w:right w:val="single" w:sz="4" w:space="0" w:color="auto"/>
            </w:tcBorders>
            <w:shd w:val="clear" w:color="auto" w:fill="auto"/>
            <w:noWrap/>
            <w:vAlign w:val="center"/>
          </w:tcPr>
          <w:p w14:paraId="02CF57E8"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10</w:t>
            </w:r>
          </w:p>
        </w:tc>
        <w:tc>
          <w:tcPr>
            <w:tcW w:w="1169" w:type="dxa"/>
            <w:tcBorders>
              <w:top w:val="nil"/>
              <w:left w:val="nil"/>
              <w:bottom w:val="single" w:sz="4" w:space="0" w:color="auto"/>
              <w:right w:val="single" w:sz="4" w:space="0" w:color="auto"/>
            </w:tcBorders>
            <w:shd w:val="clear" w:color="auto" w:fill="auto"/>
            <w:noWrap/>
            <w:vAlign w:val="center"/>
          </w:tcPr>
          <w:p w14:paraId="676C08DD" w14:textId="77777777" w:rsidR="00A6664E" w:rsidRPr="00930651" w:rsidDel="00A6664E"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10</w:t>
            </w:r>
          </w:p>
        </w:tc>
        <w:tc>
          <w:tcPr>
            <w:tcW w:w="1170" w:type="dxa"/>
            <w:tcBorders>
              <w:top w:val="nil"/>
              <w:left w:val="nil"/>
              <w:bottom w:val="single" w:sz="4" w:space="0" w:color="auto"/>
              <w:right w:val="single" w:sz="4" w:space="0" w:color="auto"/>
            </w:tcBorders>
            <w:shd w:val="clear" w:color="auto" w:fill="auto"/>
            <w:noWrap/>
            <w:vAlign w:val="center"/>
          </w:tcPr>
          <w:p w14:paraId="369CFF39"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r>
      <w:tr w:rsidR="00C03DD1" w:rsidRPr="00930651" w14:paraId="3644328A"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tcPr>
          <w:p w14:paraId="27F046EC" w14:textId="77777777" w:rsidR="00C03DD1" w:rsidRPr="00930651" w:rsidRDefault="00A217FF" w:rsidP="00A217FF">
            <w:pPr>
              <w:ind w:left="0" w:firstLine="0"/>
              <w:rPr>
                <w:rFonts w:asciiTheme="minorHAnsi" w:eastAsia="Times New Roman" w:hAnsiTheme="minorHAnsi" w:cs="Arial"/>
                <w:b/>
                <w:bCs/>
                <w:sz w:val="20"/>
                <w:szCs w:val="20"/>
              </w:rPr>
            </w:pPr>
            <w:r w:rsidRPr="00930651">
              <w:rPr>
                <w:rFonts w:asciiTheme="minorHAnsi" w:hAnsiTheme="minorHAnsi"/>
                <w:b/>
                <w:sz w:val="20"/>
              </w:rPr>
              <w:t>C. Appui et conseils aux régions</w:t>
            </w:r>
          </w:p>
        </w:tc>
        <w:tc>
          <w:tcPr>
            <w:tcW w:w="1169" w:type="dxa"/>
            <w:tcBorders>
              <w:top w:val="nil"/>
              <w:left w:val="nil"/>
              <w:bottom w:val="single" w:sz="4" w:space="0" w:color="auto"/>
              <w:right w:val="single" w:sz="4" w:space="0" w:color="auto"/>
            </w:tcBorders>
            <w:shd w:val="clear" w:color="000000" w:fill="C4D79B"/>
            <w:noWrap/>
            <w:vAlign w:val="center"/>
          </w:tcPr>
          <w:p w14:paraId="47DD9CCE" w14:textId="77777777" w:rsidR="00C03DD1" w:rsidRPr="00930651" w:rsidRDefault="00A6664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1 309</w:t>
            </w:r>
          </w:p>
        </w:tc>
        <w:tc>
          <w:tcPr>
            <w:tcW w:w="1170" w:type="dxa"/>
            <w:tcBorders>
              <w:top w:val="nil"/>
              <w:left w:val="nil"/>
              <w:bottom w:val="single" w:sz="4" w:space="0" w:color="auto"/>
              <w:right w:val="single" w:sz="4" w:space="0" w:color="auto"/>
            </w:tcBorders>
            <w:shd w:val="clear" w:color="000000" w:fill="C4D79B"/>
            <w:noWrap/>
            <w:vAlign w:val="center"/>
          </w:tcPr>
          <w:p w14:paraId="1BD57935" w14:textId="77777777" w:rsidR="00C03DD1" w:rsidRPr="00930651" w:rsidRDefault="00A6664E" w:rsidP="00A6664E">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1 316</w:t>
            </w:r>
          </w:p>
        </w:tc>
        <w:tc>
          <w:tcPr>
            <w:tcW w:w="1169" w:type="dxa"/>
            <w:tcBorders>
              <w:top w:val="nil"/>
              <w:left w:val="nil"/>
              <w:bottom w:val="single" w:sz="4" w:space="0" w:color="auto"/>
              <w:right w:val="single" w:sz="4" w:space="0" w:color="auto"/>
            </w:tcBorders>
            <w:shd w:val="clear" w:color="000000" w:fill="C4D79B"/>
            <w:noWrap/>
            <w:vAlign w:val="center"/>
          </w:tcPr>
          <w:p w14:paraId="6797AF15" w14:textId="77777777" w:rsidR="00C03DD1" w:rsidRPr="00930651" w:rsidRDefault="00A6664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1 318</w:t>
            </w:r>
          </w:p>
        </w:tc>
        <w:tc>
          <w:tcPr>
            <w:tcW w:w="1170" w:type="dxa"/>
            <w:tcBorders>
              <w:top w:val="nil"/>
              <w:left w:val="nil"/>
              <w:bottom w:val="single" w:sz="4" w:space="0" w:color="auto"/>
              <w:right w:val="single" w:sz="4" w:space="0" w:color="auto"/>
            </w:tcBorders>
            <w:shd w:val="clear" w:color="000000" w:fill="C4D79B"/>
            <w:noWrap/>
            <w:vAlign w:val="center"/>
          </w:tcPr>
          <w:p w14:paraId="4124A7BF" w14:textId="77777777" w:rsidR="00C03DD1" w:rsidRPr="00930651" w:rsidRDefault="00A6664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3 943</w:t>
            </w:r>
          </w:p>
        </w:tc>
      </w:tr>
      <w:tr w:rsidR="00C03DD1" w:rsidRPr="00930651" w14:paraId="34870F69"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71539E0A"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tcPr>
          <w:p w14:paraId="2FE2D188"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1 242</w:t>
            </w:r>
          </w:p>
        </w:tc>
        <w:tc>
          <w:tcPr>
            <w:tcW w:w="1170" w:type="dxa"/>
            <w:tcBorders>
              <w:top w:val="nil"/>
              <w:left w:val="nil"/>
              <w:bottom w:val="single" w:sz="4" w:space="0" w:color="auto"/>
              <w:right w:val="single" w:sz="4" w:space="0" w:color="auto"/>
            </w:tcBorders>
            <w:shd w:val="clear" w:color="auto" w:fill="auto"/>
            <w:noWrap/>
            <w:vAlign w:val="center"/>
          </w:tcPr>
          <w:p w14:paraId="2B8D1777"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1 249</w:t>
            </w:r>
          </w:p>
        </w:tc>
        <w:tc>
          <w:tcPr>
            <w:tcW w:w="1169" w:type="dxa"/>
            <w:tcBorders>
              <w:top w:val="nil"/>
              <w:left w:val="nil"/>
              <w:bottom w:val="single" w:sz="4" w:space="0" w:color="auto"/>
              <w:right w:val="single" w:sz="4" w:space="0" w:color="auto"/>
            </w:tcBorders>
            <w:shd w:val="clear" w:color="auto" w:fill="auto"/>
            <w:noWrap/>
            <w:vAlign w:val="center"/>
          </w:tcPr>
          <w:p w14:paraId="5EC9E787" w14:textId="77777777" w:rsidR="00C03DD1" w:rsidRPr="00930651"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1 251</w:t>
            </w:r>
          </w:p>
        </w:tc>
        <w:tc>
          <w:tcPr>
            <w:tcW w:w="1170" w:type="dxa"/>
            <w:tcBorders>
              <w:top w:val="nil"/>
              <w:left w:val="nil"/>
              <w:bottom w:val="single" w:sz="4" w:space="0" w:color="auto"/>
              <w:right w:val="single" w:sz="4" w:space="0" w:color="auto"/>
            </w:tcBorders>
            <w:shd w:val="clear" w:color="auto" w:fill="auto"/>
            <w:noWrap/>
            <w:vAlign w:val="center"/>
          </w:tcPr>
          <w:p w14:paraId="02C401D6"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3 742</w:t>
            </w:r>
          </w:p>
        </w:tc>
      </w:tr>
      <w:tr w:rsidR="00C03DD1" w:rsidRPr="00930651" w14:paraId="4574BF3A"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3C67107B" w14:textId="77777777" w:rsidR="00C03DD1" w:rsidRPr="00930651" w:rsidRDefault="00A6664E" w:rsidP="00A217FF">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69" w:type="dxa"/>
            <w:tcBorders>
              <w:top w:val="nil"/>
              <w:left w:val="nil"/>
              <w:bottom w:val="single" w:sz="4" w:space="0" w:color="auto"/>
              <w:right w:val="single" w:sz="4" w:space="0" w:color="auto"/>
            </w:tcBorders>
            <w:shd w:val="clear" w:color="auto" w:fill="auto"/>
            <w:noWrap/>
            <w:vAlign w:val="center"/>
          </w:tcPr>
          <w:p w14:paraId="58F0074A"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67</w:t>
            </w:r>
          </w:p>
        </w:tc>
        <w:tc>
          <w:tcPr>
            <w:tcW w:w="1170" w:type="dxa"/>
            <w:tcBorders>
              <w:top w:val="nil"/>
              <w:left w:val="nil"/>
              <w:bottom w:val="single" w:sz="4" w:space="0" w:color="auto"/>
              <w:right w:val="single" w:sz="4" w:space="0" w:color="auto"/>
            </w:tcBorders>
            <w:shd w:val="clear" w:color="auto" w:fill="auto"/>
            <w:noWrap/>
            <w:vAlign w:val="center"/>
          </w:tcPr>
          <w:p w14:paraId="0B547C1A"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67</w:t>
            </w:r>
          </w:p>
        </w:tc>
        <w:tc>
          <w:tcPr>
            <w:tcW w:w="1169" w:type="dxa"/>
            <w:tcBorders>
              <w:top w:val="nil"/>
              <w:left w:val="nil"/>
              <w:bottom w:val="single" w:sz="4" w:space="0" w:color="auto"/>
              <w:right w:val="single" w:sz="4" w:space="0" w:color="auto"/>
            </w:tcBorders>
            <w:shd w:val="clear" w:color="auto" w:fill="auto"/>
            <w:noWrap/>
            <w:vAlign w:val="center"/>
          </w:tcPr>
          <w:p w14:paraId="4329993B" w14:textId="77777777" w:rsidR="00C03DD1" w:rsidRPr="00930651"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67</w:t>
            </w:r>
          </w:p>
        </w:tc>
        <w:tc>
          <w:tcPr>
            <w:tcW w:w="1170" w:type="dxa"/>
            <w:tcBorders>
              <w:top w:val="nil"/>
              <w:left w:val="nil"/>
              <w:bottom w:val="single" w:sz="4" w:space="0" w:color="auto"/>
              <w:right w:val="single" w:sz="4" w:space="0" w:color="auto"/>
            </w:tcBorders>
            <w:shd w:val="clear" w:color="auto" w:fill="auto"/>
            <w:noWrap/>
            <w:vAlign w:val="center"/>
          </w:tcPr>
          <w:p w14:paraId="2DE85795"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201</w:t>
            </w:r>
          </w:p>
        </w:tc>
      </w:tr>
      <w:tr w:rsidR="00C03DD1" w:rsidRPr="00930651" w14:paraId="5FD29462"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tcPr>
          <w:p w14:paraId="2AD8F494" w14:textId="77777777" w:rsidR="00C03DD1" w:rsidRPr="00930651" w:rsidRDefault="00A217FF" w:rsidP="00A217FF">
            <w:pPr>
              <w:ind w:left="0" w:firstLine="0"/>
              <w:rPr>
                <w:rFonts w:asciiTheme="minorHAnsi" w:eastAsia="Times New Roman" w:hAnsiTheme="minorHAnsi" w:cs="Arial"/>
                <w:b/>
                <w:bCs/>
                <w:sz w:val="20"/>
                <w:szCs w:val="20"/>
              </w:rPr>
            </w:pPr>
            <w:r w:rsidRPr="00930651">
              <w:rPr>
                <w:rFonts w:asciiTheme="minorHAnsi" w:hAnsiTheme="minorHAnsi"/>
                <w:b/>
                <w:sz w:val="20"/>
              </w:rPr>
              <w:t>D. Appui aux Initiatives régionales</w:t>
            </w:r>
          </w:p>
        </w:tc>
        <w:tc>
          <w:tcPr>
            <w:tcW w:w="1169" w:type="dxa"/>
            <w:tcBorders>
              <w:top w:val="nil"/>
              <w:left w:val="nil"/>
              <w:bottom w:val="single" w:sz="4" w:space="0" w:color="auto"/>
              <w:right w:val="single" w:sz="4" w:space="0" w:color="auto"/>
            </w:tcBorders>
            <w:shd w:val="clear" w:color="000000" w:fill="C4D79B"/>
            <w:noWrap/>
            <w:vAlign w:val="center"/>
          </w:tcPr>
          <w:p w14:paraId="602BA9CE" w14:textId="77777777" w:rsidR="00C03DD1" w:rsidRPr="00930651" w:rsidRDefault="00A6664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70" w:type="dxa"/>
            <w:tcBorders>
              <w:top w:val="nil"/>
              <w:left w:val="nil"/>
              <w:bottom w:val="single" w:sz="4" w:space="0" w:color="auto"/>
              <w:right w:val="single" w:sz="4" w:space="0" w:color="auto"/>
            </w:tcBorders>
            <w:shd w:val="clear" w:color="000000" w:fill="C4D79B"/>
            <w:noWrap/>
            <w:vAlign w:val="center"/>
          </w:tcPr>
          <w:p w14:paraId="061E2E17" w14:textId="77777777" w:rsidR="00C03DD1" w:rsidRPr="00930651" w:rsidRDefault="00A6664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69" w:type="dxa"/>
            <w:tcBorders>
              <w:top w:val="nil"/>
              <w:left w:val="nil"/>
              <w:bottom w:val="single" w:sz="4" w:space="0" w:color="auto"/>
              <w:right w:val="single" w:sz="4" w:space="0" w:color="auto"/>
            </w:tcBorders>
            <w:shd w:val="clear" w:color="000000" w:fill="C4D79B"/>
            <w:noWrap/>
            <w:vAlign w:val="center"/>
          </w:tcPr>
          <w:p w14:paraId="4EDACB32" w14:textId="77777777" w:rsidR="00C03DD1" w:rsidRPr="00930651" w:rsidRDefault="00A6664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70" w:type="dxa"/>
            <w:tcBorders>
              <w:top w:val="nil"/>
              <w:left w:val="nil"/>
              <w:bottom w:val="single" w:sz="4" w:space="0" w:color="auto"/>
              <w:right w:val="single" w:sz="4" w:space="0" w:color="auto"/>
            </w:tcBorders>
            <w:shd w:val="clear" w:color="000000" w:fill="C4D79B"/>
            <w:noWrap/>
            <w:vAlign w:val="center"/>
          </w:tcPr>
          <w:p w14:paraId="3AB228C3" w14:textId="77777777" w:rsidR="00C03DD1" w:rsidRPr="00930651" w:rsidRDefault="00A6664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300</w:t>
            </w:r>
          </w:p>
        </w:tc>
      </w:tr>
      <w:tr w:rsidR="00C03DD1" w:rsidRPr="00930651" w14:paraId="46A87643"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2C9361BF" w14:textId="77777777" w:rsidR="00C03DD1" w:rsidRPr="00930651" w:rsidRDefault="00C03DD1" w:rsidP="00EB3CA7">
            <w:pPr>
              <w:ind w:left="0" w:firstLine="0"/>
              <w:rPr>
                <w:rFonts w:asciiTheme="minorHAnsi" w:eastAsia="Times New Roman" w:hAnsiTheme="minorHAnsi" w:cs="Arial"/>
                <w:sz w:val="20"/>
                <w:szCs w:val="20"/>
              </w:rPr>
            </w:pPr>
            <w:r w:rsidRPr="00930651">
              <w:rPr>
                <w:rFonts w:asciiTheme="minorHAnsi" w:hAnsiTheme="minorHAnsi"/>
                <w:sz w:val="20"/>
              </w:rPr>
              <w:t>Réseaux et centres régionaux</w:t>
            </w:r>
          </w:p>
        </w:tc>
        <w:tc>
          <w:tcPr>
            <w:tcW w:w="1169" w:type="dxa"/>
            <w:tcBorders>
              <w:top w:val="nil"/>
              <w:left w:val="nil"/>
              <w:bottom w:val="single" w:sz="4" w:space="0" w:color="auto"/>
              <w:right w:val="single" w:sz="4" w:space="0" w:color="auto"/>
            </w:tcBorders>
            <w:shd w:val="clear" w:color="auto" w:fill="auto"/>
            <w:noWrap/>
            <w:vAlign w:val="center"/>
          </w:tcPr>
          <w:p w14:paraId="2D19B6AD"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70" w:type="dxa"/>
            <w:tcBorders>
              <w:top w:val="nil"/>
              <w:left w:val="nil"/>
              <w:bottom w:val="single" w:sz="4" w:space="0" w:color="auto"/>
              <w:right w:val="single" w:sz="4" w:space="0" w:color="auto"/>
            </w:tcBorders>
            <w:shd w:val="clear" w:color="auto" w:fill="auto"/>
            <w:noWrap/>
            <w:vAlign w:val="center"/>
          </w:tcPr>
          <w:p w14:paraId="4E81DFF7"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69" w:type="dxa"/>
            <w:tcBorders>
              <w:top w:val="nil"/>
              <w:left w:val="nil"/>
              <w:bottom w:val="single" w:sz="4" w:space="0" w:color="auto"/>
              <w:right w:val="single" w:sz="4" w:space="0" w:color="auto"/>
            </w:tcBorders>
            <w:shd w:val="clear" w:color="auto" w:fill="auto"/>
            <w:noWrap/>
            <w:vAlign w:val="center"/>
          </w:tcPr>
          <w:p w14:paraId="6779EDC1" w14:textId="77777777" w:rsidR="00C03DD1" w:rsidRPr="00930651"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100</w:t>
            </w:r>
          </w:p>
        </w:tc>
        <w:tc>
          <w:tcPr>
            <w:tcW w:w="1170" w:type="dxa"/>
            <w:tcBorders>
              <w:top w:val="nil"/>
              <w:left w:val="nil"/>
              <w:bottom w:val="single" w:sz="4" w:space="0" w:color="auto"/>
              <w:right w:val="single" w:sz="4" w:space="0" w:color="auto"/>
            </w:tcBorders>
            <w:shd w:val="clear" w:color="auto" w:fill="auto"/>
            <w:noWrap/>
            <w:vAlign w:val="center"/>
          </w:tcPr>
          <w:p w14:paraId="4BA2FBF3"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300</w:t>
            </w:r>
          </w:p>
        </w:tc>
      </w:tr>
      <w:tr w:rsidR="00C03DD1" w:rsidRPr="00930651" w14:paraId="57CC2CA9"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tcPr>
          <w:p w14:paraId="47CDD223" w14:textId="77777777" w:rsidR="00C03DD1" w:rsidRPr="00930651" w:rsidRDefault="00A217FF" w:rsidP="00A217FF">
            <w:pPr>
              <w:ind w:left="0" w:firstLine="0"/>
              <w:rPr>
                <w:rFonts w:asciiTheme="minorHAnsi" w:eastAsia="Times New Roman" w:hAnsiTheme="minorHAnsi" w:cs="Arial"/>
                <w:b/>
                <w:bCs/>
                <w:sz w:val="20"/>
                <w:szCs w:val="20"/>
              </w:rPr>
            </w:pPr>
            <w:r w:rsidRPr="00930651">
              <w:rPr>
                <w:rFonts w:asciiTheme="minorHAnsi" w:hAnsiTheme="minorHAnsi"/>
                <w:b/>
                <w:sz w:val="20"/>
              </w:rPr>
              <w:t>E. Sciences et Politiques</w:t>
            </w:r>
          </w:p>
        </w:tc>
        <w:tc>
          <w:tcPr>
            <w:tcW w:w="1169" w:type="dxa"/>
            <w:tcBorders>
              <w:top w:val="nil"/>
              <w:left w:val="nil"/>
              <w:bottom w:val="single" w:sz="4" w:space="0" w:color="auto"/>
              <w:right w:val="single" w:sz="4" w:space="0" w:color="auto"/>
            </w:tcBorders>
            <w:shd w:val="clear" w:color="000000" w:fill="C4D79B"/>
            <w:noWrap/>
            <w:vAlign w:val="center"/>
          </w:tcPr>
          <w:p w14:paraId="3E0374D6" w14:textId="77777777" w:rsidR="00C03DD1" w:rsidRPr="00930651" w:rsidRDefault="002452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840</w:t>
            </w:r>
          </w:p>
        </w:tc>
        <w:tc>
          <w:tcPr>
            <w:tcW w:w="1170" w:type="dxa"/>
            <w:tcBorders>
              <w:top w:val="nil"/>
              <w:left w:val="nil"/>
              <w:bottom w:val="single" w:sz="4" w:space="0" w:color="auto"/>
              <w:right w:val="single" w:sz="4" w:space="0" w:color="auto"/>
            </w:tcBorders>
            <w:shd w:val="clear" w:color="000000" w:fill="C4D79B"/>
            <w:noWrap/>
            <w:vAlign w:val="center"/>
          </w:tcPr>
          <w:p w14:paraId="25A613B4" w14:textId="77777777" w:rsidR="00C03DD1" w:rsidRPr="00930651" w:rsidRDefault="002452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817</w:t>
            </w:r>
          </w:p>
        </w:tc>
        <w:tc>
          <w:tcPr>
            <w:tcW w:w="1169" w:type="dxa"/>
            <w:tcBorders>
              <w:top w:val="nil"/>
              <w:left w:val="nil"/>
              <w:bottom w:val="single" w:sz="4" w:space="0" w:color="auto"/>
              <w:right w:val="single" w:sz="4" w:space="0" w:color="auto"/>
            </w:tcBorders>
            <w:shd w:val="clear" w:color="000000" w:fill="C4D79B"/>
            <w:noWrap/>
            <w:vAlign w:val="center"/>
          </w:tcPr>
          <w:p w14:paraId="6F4EB1AF" w14:textId="77777777" w:rsidR="00C03DD1" w:rsidRPr="00930651" w:rsidRDefault="002452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820</w:t>
            </w:r>
          </w:p>
        </w:tc>
        <w:tc>
          <w:tcPr>
            <w:tcW w:w="1170" w:type="dxa"/>
            <w:tcBorders>
              <w:top w:val="nil"/>
              <w:left w:val="nil"/>
              <w:bottom w:val="single" w:sz="4" w:space="0" w:color="auto"/>
              <w:right w:val="single" w:sz="4" w:space="0" w:color="auto"/>
            </w:tcBorders>
            <w:shd w:val="clear" w:color="000000" w:fill="C4D79B"/>
            <w:noWrap/>
            <w:vAlign w:val="center"/>
          </w:tcPr>
          <w:p w14:paraId="390389D9" w14:textId="77777777" w:rsidR="00C03DD1" w:rsidRPr="00930651" w:rsidRDefault="00A6664E" w:rsidP="008F481B">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2 477</w:t>
            </w:r>
          </w:p>
        </w:tc>
      </w:tr>
      <w:tr w:rsidR="00C03DD1" w:rsidRPr="00930651" w14:paraId="65D456BA"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4EDA3FA3"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tcPr>
          <w:p w14:paraId="25C82DCD"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652</w:t>
            </w:r>
          </w:p>
        </w:tc>
        <w:tc>
          <w:tcPr>
            <w:tcW w:w="1170" w:type="dxa"/>
            <w:tcBorders>
              <w:top w:val="nil"/>
              <w:left w:val="nil"/>
              <w:bottom w:val="single" w:sz="4" w:space="0" w:color="auto"/>
              <w:right w:val="single" w:sz="4" w:space="0" w:color="auto"/>
            </w:tcBorders>
            <w:shd w:val="clear" w:color="auto" w:fill="auto"/>
            <w:noWrap/>
            <w:vAlign w:val="center"/>
          </w:tcPr>
          <w:p w14:paraId="0B91E64C"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649</w:t>
            </w:r>
          </w:p>
        </w:tc>
        <w:tc>
          <w:tcPr>
            <w:tcW w:w="1169" w:type="dxa"/>
            <w:tcBorders>
              <w:top w:val="nil"/>
              <w:left w:val="nil"/>
              <w:bottom w:val="single" w:sz="4" w:space="0" w:color="auto"/>
              <w:right w:val="single" w:sz="4" w:space="0" w:color="auto"/>
            </w:tcBorders>
            <w:shd w:val="clear" w:color="auto" w:fill="auto"/>
            <w:noWrap/>
            <w:vAlign w:val="center"/>
          </w:tcPr>
          <w:p w14:paraId="773C9665" w14:textId="77777777" w:rsidR="00C03DD1" w:rsidRPr="00930651" w:rsidRDefault="002452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652</w:t>
            </w:r>
          </w:p>
        </w:tc>
        <w:tc>
          <w:tcPr>
            <w:tcW w:w="1170" w:type="dxa"/>
            <w:tcBorders>
              <w:top w:val="nil"/>
              <w:left w:val="nil"/>
              <w:bottom w:val="single" w:sz="4" w:space="0" w:color="auto"/>
              <w:right w:val="single" w:sz="4" w:space="0" w:color="auto"/>
            </w:tcBorders>
            <w:shd w:val="clear" w:color="auto" w:fill="auto"/>
            <w:noWrap/>
            <w:vAlign w:val="center"/>
          </w:tcPr>
          <w:p w14:paraId="6A62A802" w14:textId="77777777" w:rsidR="00C03DD1" w:rsidRPr="00930651" w:rsidRDefault="00A6664E" w:rsidP="008F481B">
            <w:pPr>
              <w:ind w:left="0" w:firstLine="0"/>
              <w:jc w:val="right"/>
              <w:rPr>
                <w:rFonts w:asciiTheme="minorHAnsi" w:eastAsia="Times New Roman" w:hAnsiTheme="minorHAnsi" w:cs="Arial"/>
                <w:sz w:val="20"/>
                <w:szCs w:val="20"/>
              </w:rPr>
            </w:pPr>
            <w:r w:rsidRPr="00930651">
              <w:rPr>
                <w:rFonts w:asciiTheme="minorHAnsi" w:hAnsiTheme="minorHAnsi"/>
                <w:sz w:val="20"/>
              </w:rPr>
              <w:t>1 953</w:t>
            </w:r>
          </w:p>
        </w:tc>
      </w:tr>
      <w:tr w:rsidR="00C03DD1" w:rsidRPr="00930651" w14:paraId="7428B731"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1E0FFD08"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Mise en œuvre du programme du GEST</w:t>
            </w:r>
          </w:p>
        </w:tc>
        <w:tc>
          <w:tcPr>
            <w:tcW w:w="1169" w:type="dxa"/>
            <w:tcBorders>
              <w:top w:val="nil"/>
              <w:left w:val="nil"/>
              <w:bottom w:val="single" w:sz="4" w:space="0" w:color="auto"/>
              <w:right w:val="single" w:sz="4" w:space="0" w:color="auto"/>
            </w:tcBorders>
            <w:shd w:val="clear" w:color="auto" w:fill="auto"/>
            <w:noWrap/>
            <w:vAlign w:val="center"/>
          </w:tcPr>
          <w:p w14:paraId="666ADF1D"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35</w:t>
            </w:r>
          </w:p>
        </w:tc>
        <w:tc>
          <w:tcPr>
            <w:tcW w:w="1170" w:type="dxa"/>
            <w:tcBorders>
              <w:top w:val="nil"/>
              <w:left w:val="nil"/>
              <w:bottom w:val="single" w:sz="4" w:space="0" w:color="auto"/>
              <w:right w:val="single" w:sz="4" w:space="0" w:color="auto"/>
            </w:tcBorders>
            <w:shd w:val="clear" w:color="auto" w:fill="auto"/>
            <w:noWrap/>
            <w:vAlign w:val="center"/>
          </w:tcPr>
          <w:p w14:paraId="2CFE591E"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35</w:t>
            </w:r>
          </w:p>
        </w:tc>
        <w:tc>
          <w:tcPr>
            <w:tcW w:w="1169" w:type="dxa"/>
            <w:tcBorders>
              <w:top w:val="nil"/>
              <w:left w:val="nil"/>
              <w:bottom w:val="single" w:sz="4" w:space="0" w:color="auto"/>
              <w:right w:val="single" w:sz="4" w:space="0" w:color="auto"/>
            </w:tcBorders>
            <w:shd w:val="clear" w:color="auto" w:fill="auto"/>
            <w:noWrap/>
            <w:vAlign w:val="center"/>
          </w:tcPr>
          <w:p w14:paraId="34AD97DC" w14:textId="77777777" w:rsidR="00C03DD1" w:rsidRPr="00930651"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35</w:t>
            </w:r>
          </w:p>
        </w:tc>
        <w:tc>
          <w:tcPr>
            <w:tcW w:w="1170" w:type="dxa"/>
            <w:tcBorders>
              <w:top w:val="nil"/>
              <w:left w:val="nil"/>
              <w:bottom w:val="single" w:sz="4" w:space="0" w:color="auto"/>
              <w:right w:val="single" w:sz="4" w:space="0" w:color="auto"/>
            </w:tcBorders>
            <w:shd w:val="clear" w:color="auto" w:fill="auto"/>
            <w:noWrap/>
            <w:vAlign w:val="center"/>
          </w:tcPr>
          <w:p w14:paraId="02A7A319"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105</w:t>
            </w:r>
          </w:p>
        </w:tc>
      </w:tr>
      <w:tr w:rsidR="00A6664E" w:rsidRPr="00930651" w14:paraId="131E80FA"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5908CD16" w14:textId="77777777" w:rsidR="00A6664E" w:rsidRPr="00930651" w:rsidRDefault="00A6664E" w:rsidP="00A217FF">
            <w:pPr>
              <w:ind w:left="0" w:firstLine="0"/>
              <w:rPr>
                <w:rFonts w:asciiTheme="minorHAnsi" w:eastAsia="Times New Roman" w:hAnsiTheme="minorHAnsi" w:cs="Arial"/>
                <w:sz w:val="20"/>
                <w:szCs w:val="20"/>
              </w:rPr>
            </w:pPr>
            <w:r w:rsidRPr="00930651">
              <w:rPr>
                <w:rFonts w:asciiTheme="minorHAnsi" w:hAnsiTheme="minorHAnsi"/>
                <w:sz w:val="20"/>
              </w:rPr>
              <w:t>Déplacement du Président du GEST</w:t>
            </w:r>
          </w:p>
        </w:tc>
        <w:tc>
          <w:tcPr>
            <w:tcW w:w="1169" w:type="dxa"/>
            <w:tcBorders>
              <w:top w:val="nil"/>
              <w:left w:val="nil"/>
              <w:bottom w:val="single" w:sz="4" w:space="0" w:color="auto"/>
              <w:right w:val="single" w:sz="4" w:space="0" w:color="auto"/>
            </w:tcBorders>
            <w:shd w:val="clear" w:color="auto" w:fill="auto"/>
            <w:noWrap/>
            <w:vAlign w:val="center"/>
          </w:tcPr>
          <w:p w14:paraId="41B0A054"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w:t>
            </w:r>
          </w:p>
        </w:tc>
        <w:tc>
          <w:tcPr>
            <w:tcW w:w="1170" w:type="dxa"/>
            <w:tcBorders>
              <w:top w:val="nil"/>
              <w:left w:val="nil"/>
              <w:bottom w:val="single" w:sz="4" w:space="0" w:color="auto"/>
              <w:right w:val="single" w:sz="4" w:space="0" w:color="auto"/>
            </w:tcBorders>
            <w:shd w:val="clear" w:color="auto" w:fill="auto"/>
            <w:noWrap/>
            <w:vAlign w:val="center"/>
          </w:tcPr>
          <w:p w14:paraId="3003A077"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w:t>
            </w:r>
          </w:p>
        </w:tc>
        <w:tc>
          <w:tcPr>
            <w:tcW w:w="1169" w:type="dxa"/>
            <w:tcBorders>
              <w:top w:val="nil"/>
              <w:left w:val="nil"/>
              <w:bottom w:val="single" w:sz="4" w:space="0" w:color="auto"/>
              <w:right w:val="single" w:sz="4" w:space="0" w:color="auto"/>
            </w:tcBorders>
            <w:shd w:val="clear" w:color="auto" w:fill="auto"/>
            <w:noWrap/>
            <w:vAlign w:val="center"/>
          </w:tcPr>
          <w:p w14:paraId="162FC8EE" w14:textId="77777777" w:rsidR="00A6664E" w:rsidRPr="00930651" w:rsidDel="00A6664E"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w:t>
            </w:r>
          </w:p>
        </w:tc>
        <w:tc>
          <w:tcPr>
            <w:tcW w:w="1170" w:type="dxa"/>
            <w:tcBorders>
              <w:top w:val="nil"/>
              <w:left w:val="nil"/>
              <w:bottom w:val="single" w:sz="4" w:space="0" w:color="auto"/>
              <w:right w:val="single" w:sz="4" w:space="0" w:color="auto"/>
            </w:tcBorders>
            <w:shd w:val="clear" w:color="auto" w:fill="auto"/>
            <w:noWrap/>
            <w:vAlign w:val="center"/>
          </w:tcPr>
          <w:p w14:paraId="423C01D1"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15</w:t>
            </w:r>
          </w:p>
        </w:tc>
      </w:tr>
      <w:tr w:rsidR="00C03DD1" w:rsidRPr="00930651" w14:paraId="16539353"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1446A654"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Réunions du GEST</w:t>
            </w:r>
          </w:p>
        </w:tc>
        <w:tc>
          <w:tcPr>
            <w:tcW w:w="1169" w:type="dxa"/>
            <w:tcBorders>
              <w:top w:val="nil"/>
              <w:left w:val="nil"/>
              <w:bottom w:val="single" w:sz="4" w:space="0" w:color="auto"/>
              <w:right w:val="single" w:sz="4" w:space="0" w:color="auto"/>
            </w:tcBorders>
            <w:shd w:val="clear" w:color="auto" w:fill="auto"/>
            <w:noWrap/>
            <w:vAlign w:val="center"/>
          </w:tcPr>
          <w:p w14:paraId="75679E22"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50</w:t>
            </w:r>
          </w:p>
        </w:tc>
        <w:tc>
          <w:tcPr>
            <w:tcW w:w="1170" w:type="dxa"/>
            <w:tcBorders>
              <w:top w:val="nil"/>
              <w:left w:val="nil"/>
              <w:bottom w:val="single" w:sz="4" w:space="0" w:color="auto"/>
              <w:right w:val="single" w:sz="4" w:space="0" w:color="auto"/>
            </w:tcBorders>
            <w:shd w:val="clear" w:color="auto" w:fill="auto"/>
            <w:noWrap/>
            <w:vAlign w:val="center"/>
          </w:tcPr>
          <w:p w14:paraId="232A7258"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50</w:t>
            </w:r>
          </w:p>
        </w:tc>
        <w:tc>
          <w:tcPr>
            <w:tcW w:w="1169" w:type="dxa"/>
            <w:tcBorders>
              <w:top w:val="nil"/>
              <w:left w:val="nil"/>
              <w:bottom w:val="single" w:sz="4" w:space="0" w:color="auto"/>
              <w:right w:val="single" w:sz="4" w:space="0" w:color="auto"/>
            </w:tcBorders>
            <w:shd w:val="clear" w:color="auto" w:fill="auto"/>
            <w:noWrap/>
            <w:vAlign w:val="center"/>
          </w:tcPr>
          <w:p w14:paraId="2E715457"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50</w:t>
            </w:r>
          </w:p>
        </w:tc>
        <w:tc>
          <w:tcPr>
            <w:tcW w:w="1170" w:type="dxa"/>
            <w:tcBorders>
              <w:top w:val="nil"/>
              <w:left w:val="nil"/>
              <w:bottom w:val="single" w:sz="4" w:space="0" w:color="auto"/>
              <w:right w:val="single" w:sz="4" w:space="0" w:color="auto"/>
            </w:tcBorders>
            <w:shd w:val="clear" w:color="auto" w:fill="auto"/>
            <w:noWrap/>
            <w:vAlign w:val="center"/>
          </w:tcPr>
          <w:p w14:paraId="4CBD5430"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150</w:t>
            </w:r>
          </w:p>
        </w:tc>
      </w:tr>
      <w:tr w:rsidR="00C03DD1" w:rsidRPr="00930651" w14:paraId="38A93E85"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1F47A17C" w14:textId="0B3640AD"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Service d</w:t>
            </w:r>
            <w:r w:rsidR="00101E52">
              <w:rPr>
                <w:rFonts w:asciiTheme="minorHAnsi" w:hAnsiTheme="minorHAnsi"/>
                <w:sz w:val="20"/>
              </w:rPr>
              <w:t>’</w:t>
            </w:r>
            <w:r w:rsidRPr="00930651">
              <w:rPr>
                <w:rFonts w:asciiTheme="minorHAnsi" w:hAnsiTheme="minorHAnsi"/>
                <w:sz w:val="20"/>
              </w:rPr>
              <w:t>information sur les Sites Ramsar (entretien et développement)</w:t>
            </w:r>
          </w:p>
        </w:tc>
        <w:tc>
          <w:tcPr>
            <w:tcW w:w="1169" w:type="dxa"/>
            <w:tcBorders>
              <w:top w:val="nil"/>
              <w:left w:val="nil"/>
              <w:bottom w:val="single" w:sz="4" w:space="0" w:color="auto"/>
              <w:right w:val="single" w:sz="4" w:space="0" w:color="auto"/>
            </w:tcBorders>
            <w:shd w:val="clear" w:color="auto" w:fill="auto"/>
            <w:noWrap/>
            <w:vAlign w:val="center"/>
          </w:tcPr>
          <w:p w14:paraId="1A0ACCB8"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80</w:t>
            </w:r>
          </w:p>
        </w:tc>
        <w:tc>
          <w:tcPr>
            <w:tcW w:w="1170" w:type="dxa"/>
            <w:tcBorders>
              <w:top w:val="nil"/>
              <w:left w:val="nil"/>
              <w:bottom w:val="single" w:sz="4" w:space="0" w:color="auto"/>
              <w:right w:val="single" w:sz="4" w:space="0" w:color="auto"/>
            </w:tcBorders>
            <w:shd w:val="clear" w:color="auto" w:fill="auto"/>
            <w:noWrap/>
            <w:vAlign w:val="center"/>
          </w:tcPr>
          <w:p w14:paraId="2B5C6AF0"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c>
          <w:tcPr>
            <w:tcW w:w="1169" w:type="dxa"/>
            <w:tcBorders>
              <w:top w:val="nil"/>
              <w:left w:val="nil"/>
              <w:bottom w:val="single" w:sz="4" w:space="0" w:color="auto"/>
              <w:right w:val="single" w:sz="4" w:space="0" w:color="auto"/>
            </w:tcBorders>
            <w:shd w:val="clear" w:color="auto" w:fill="auto"/>
            <w:noWrap/>
            <w:vAlign w:val="center"/>
          </w:tcPr>
          <w:p w14:paraId="137F4697" w14:textId="77777777" w:rsidR="00C03DD1" w:rsidRPr="00930651"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60</w:t>
            </w:r>
          </w:p>
        </w:tc>
        <w:tc>
          <w:tcPr>
            <w:tcW w:w="1170" w:type="dxa"/>
            <w:tcBorders>
              <w:top w:val="nil"/>
              <w:left w:val="nil"/>
              <w:bottom w:val="single" w:sz="4" w:space="0" w:color="auto"/>
              <w:right w:val="single" w:sz="4" w:space="0" w:color="auto"/>
            </w:tcBorders>
            <w:shd w:val="clear" w:color="auto" w:fill="auto"/>
            <w:noWrap/>
            <w:vAlign w:val="center"/>
          </w:tcPr>
          <w:p w14:paraId="14C3DAB0" w14:textId="77777777" w:rsidR="00C03DD1" w:rsidRPr="00930651"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200</w:t>
            </w:r>
          </w:p>
        </w:tc>
      </w:tr>
      <w:tr w:rsidR="00A6664E" w:rsidRPr="00930651" w14:paraId="095DE18A"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4FD05114" w14:textId="77777777" w:rsidR="00A6664E" w:rsidRPr="00930651" w:rsidRDefault="00A6664E" w:rsidP="00A217FF">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69" w:type="dxa"/>
            <w:tcBorders>
              <w:top w:val="nil"/>
              <w:left w:val="nil"/>
              <w:bottom w:val="single" w:sz="4" w:space="0" w:color="auto"/>
              <w:right w:val="single" w:sz="4" w:space="0" w:color="auto"/>
            </w:tcBorders>
            <w:shd w:val="clear" w:color="auto" w:fill="auto"/>
            <w:noWrap/>
            <w:vAlign w:val="center"/>
          </w:tcPr>
          <w:p w14:paraId="05C3412A"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18</w:t>
            </w:r>
          </w:p>
        </w:tc>
        <w:tc>
          <w:tcPr>
            <w:tcW w:w="1170" w:type="dxa"/>
            <w:tcBorders>
              <w:top w:val="nil"/>
              <w:left w:val="nil"/>
              <w:bottom w:val="single" w:sz="4" w:space="0" w:color="auto"/>
              <w:right w:val="single" w:sz="4" w:space="0" w:color="auto"/>
            </w:tcBorders>
            <w:shd w:val="clear" w:color="auto" w:fill="auto"/>
            <w:noWrap/>
            <w:vAlign w:val="center"/>
          </w:tcPr>
          <w:p w14:paraId="2EA79404"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18</w:t>
            </w:r>
          </w:p>
        </w:tc>
        <w:tc>
          <w:tcPr>
            <w:tcW w:w="1169" w:type="dxa"/>
            <w:tcBorders>
              <w:top w:val="nil"/>
              <w:left w:val="nil"/>
              <w:bottom w:val="single" w:sz="4" w:space="0" w:color="auto"/>
              <w:right w:val="single" w:sz="4" w:space="0" w:color="auto"/>
            </w:tcBorders>
            <w:shd w:val="clear" w:color="auto" w:fill="auto"/>
            <w:noWrap/>
            <w:vAlign w:val="center"/>
          </w:tcPr>
          <w:p w14:paraId="6DE63A49" w14:textId="77777777" w:rsidR="00A6664E" w:rsidRPr="00930651" w:rsidDel="00A6664E" w:rsidRDefault="00A6664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18</w:t>
            </w:r>
          </w:p>
        </w:tc>
        <w:tc>
          <w:tcPr>
            <w:tcW w:w="1170" w:type="dxa"/>
            <w:tcBorders>
              <w:top w:val="nil"/>
              <w:left w:val="nil"/>
              <w:bottom w:val="single" w:sz="4" w:space="0" w:color="auto"/>
              <w:right w:val="single" w:sz="4" w:space="0" w:color="auto"/>
            </w:tcBorders>
            <w:shd w:val="clear" w:color="auto" w:fill="auto"/>
            <w:noWrap/>
            <w:vAlign w:val="center"/>
          </w:tcPr>
          <w:p w14:paraId="345704BF" w14:textId="77777777" w:rsidR="00A6664E" w:rsidRPr="00930651" w:rsidDel="00A6664E" w:rsidRDefault="00A6664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54</w:t>
            </w:r>
          </w:p>
        </w:tc>
      </w:tr>
      <w:tr w:rsidR="00C03DD1" w:rsidRPr="00930651" w14:paraId="4ECDF4E8"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tcPr>
          <w:p w14:paraId="71A22FEA" w14:textId="77777777" w:rsidR="00C03DD1" w:rsidRPr="00930651" w:rsidRDefault="00A217FF" w:rsidP="00A217FF">
            <w:pPr>
              <w:ind w:left="0" w:firstLine="0"/>
              <w:rPr>
                <w:rFonts w:asciiTheme="minorHAnsi" w:eastAsia="Times New Roman" w:hAnsiTheme="minorHAnsi" w:cs="Arial"/>
                <w:b/>
                <w:bCs/>
                <w:sz w:val="20"/>
                <w:szCs w:val="20"/>
              </w:rPr>
            </w:pPr>
            <w:r w:rsidRPr="00930651">
              <w:rPr>
                <w:rFonts w:asciiTheme="minorHAnsi" w:hAnsiTheme="minorHAnsi"/>
                <w:b/>
                <w:sz w:val="20"/>
              </w:rPr>
              <w:t>G. Administration</w:t>
            </w:r>
          </w:p>
        </w:tc>
        <w:tc>
          <w:tcPr>
            <w:tcW w:w="1169" w:type="dxa"/>
            <w:tcBorders>
              <w:top w:val="nil"/>
              <w:left w:val="nil"/>
              <w:bottom w:val="single" w:sz="4" w:space="0" w:color="auto"/>
              <w:right w:val="single" w:sz="4" w:space="0" w:color="auto"/>
            </w:tcBorders>
            <w:shd w:val="clear" w:color="000000" w:fill="C4D79B"/>
            <w:noWrap/>
            <w:vAlign w:val="center"/>
          </w:tcPr>
          <w:p w14:paraId="76151A77" w14:textId="77777777" w:rsidR="00C03DD1" w:rsidRPr="00930651" w:rsidRDefault="002452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474</w:t>
            </w:r>
          </w:p>
        </w:tc>
        <w:tc>
          <w:tcPr>
            <w:tcW w:w="1170" w:type="dxa"/>
            <w:tcBorders>
              <w:top w:val="nil"/>
              <w:left w:val="nil"/>
              <w:bottom w:val="single" w:sz="4" w:space="0" w:color="auto"/>
              <w:right w:val="single" w:sz="4" w:space="0" w:color="auto"/>
            </w:tcBorders>
            <w:shd w:val="clear" w:color="000000" w:fill="C4D79B"/>
            <w:noWrap/>
            <w:vAlign w:val="center"/>
          </w:tcPr>
          <w:p w14:paraId="22A54E2E" w14:textId="77777777" w:rsidR="00C03DD1" w:rsidRPr="00930651" w:rsidRDefault="002452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478</w:t>
            </w:r>
          </w:p>
        </w:tc>
        <w:tc>
          <w:tcPr>
            <w:tcW w:w="1169" w:type="dxa"/>
            <w:tcBorders>
              <w:top w:val="nil"/>
              <w:left w:val="nil"/>
              <w:bottom w:val="single" w:sz="4" w:space="0" w:color="auto"/>
              <w:right w:val="single" w:sz="4" w:space="0" w:color="auto"/>
            </w:tcBorders>
            <w:shd w:val="clear" w:color="000000" w:fill="C4D79B"/>
            <w:noWrap/>
            <w:vAlign w:val="center"/>
          </w:tcPr>
          <w:p w14:paraId="3AB4F36F" w14:textId="77777777" w:rsidR="00C03DD1" w:rsidRPr="00930651" w:rsidRDefault="0024521E" w:rsidP="008F481B">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478</w:t>
            </w:r>
          </w:p>
        </w:tc>
        <w:tc>
          <w:tcPr>
            <w:tcW w:w="1170" w:type="dxa"/>
            <w:tcBorders>
              <w:top w:val="nil"/>
              <w:left w:val="nil"/>
              <w:bottom w:val="single" w:sz="4" w:space="0" w:color="auto"/>
              <w:right w:val="single" w:sz="4" w:space="0" w:color="auto"/>
            </w:tcBorders>
            <w:shd w:val="clear" w:color="000000" w:fill="C4D79B"/>
            <w:noWrap/>
            <w:vAlign w:val="center"/>
          </w:tcPr>
          <w:p w14:paraId="4AEBB00E" w14:textId="77777777" w:rsidR="00C03DD1" w:rsidRPr="00930651" w:rsidRDefault="00A6664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1 430</w:t>
            </w:r>
          </w:p>
        </w:tc>
      </w:tr>
      <w:tr w:rsidR="00C03DD1" w:rsidRPr="00930651" w14:paraId="4AE6C655"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4E3950BB"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tcPr>
          <w:p w14:paraId="07DAF7B8"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331</w:t>
            </w:r>
          </w:p>
        </w:tc>
        <w:tc>
          <w:tcPr>
            <w:tcW w:w="1170" w:type="dxa"/>
            <w:tcBorders>
              <w:top w:val="nil"/>
              <w:left w:val="nil"/>
              <w:bottom w:val="single" w:sz="4" w:space="0" w:color="auto"/>
              <w:right w:val="single" w:sz="4" w:space="0" w:color="auto"/>
            </w:tcBorders>
            <w:shd w:val="clear" w:color="auto" w:fill="auto"/>
            <w:noWrap/>
            <w:vAlign w:val="center"/>
          </w:tcPr>
          <w:p w14:paraId="765E02E4"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331</w:t>
            </w:r>
          </w:p>
        </w:tc>
        <w:tc>
          <w:tcPr>
            <w:tcW w:w="1169" w:type="dxa"/>
            <w:tcBorders>
              <w:top w:val="nil"/>
              <w:left w:val="nil"/>
              <w:bottom w:val="single" w:sz="4" w:space="0" w:color="auto"/>
              <w:right w:val="single" w:sz="4" w:space="0" w:color="auto"/>
            </w:tcBorders>
            <w:shd w:val="clear" w:color="auto" w:fill="auto"/>
            <w:noWrap/>
            <w:vAlign w:val="center"/>
          </w:tcPr>
          <w:p w14:paraId="0FA1D5C0" w14:textId="77777777" w:rsidR="00C03DD1" w:rsidRPr="00930651" w:rsidRDefault="002452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331</w:t>
            </w:r>
          </w:p>
        </w:tc>
        <w:tc>
          <w:tcPr>
            <w:tcW w:w="1170" w:type="dxa"/>
            <w:tcBorders>
              <w:top w:val="nil"/>
              <w:left w:val="nil"/>
              <w:bottom w:val="single" w:sz="4" w:space="0" w:color="auto"/>
              <w:right w:val="single" w:sz="4" w:space="0" w:color="auto"/>
            </w:tcBorders>
            <w:shd w:val="clear" w:color="auto" w:fill="auto"/>
            <w:noWrap/>
            <w:vAlign w:val="center"/>
          </w:tcPr>
          <w:p w14:paraId="4E91D009"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993</w:t>
            </w:r>
          </w:p>
        </w:tc>
      </w:tr>
      <w:tr w:rsidR="00C03DD1" w:rsidRPr="00930651" w14:paraId="54EB1C9F"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12537549" w14:textId="77777777" w:rsidR="00C03DD1" w:rsidRPr="00930651" w:rsidRDefault="00EB3CA7" w:rsidP="00A217FF">
            <w:pPr>
              <w:ind w:left="0" w:firstLine="0"/>
              <w:rPr>
                <w:rFonts w:asciiTheme="minorHAnsi" w:eastAsia="Times New Roman" w:hAnsiTheme="minorHAnsi" w:cs="Arial"/>
                <w:sz w:val="20"/>
                <w:szCs w:val="20"/>
              </w:rPr>
            </w:pPr>
            <w:r w:rsidRPr="00930651">
              <w:rPr>
                <w:rFonts w:asciiTheme="minorHAnsi" w:hAnsiTheme="minorHAnsi"/>
                <w:sz w:val="20"/>
              </w:rPr>
              <w:t>Recrutement et indemnités de départ</w:t>
            </w:r>
          </w:p>
        </w:tc>
        <w:tc>
          <w:tcPr>
            <w:tcW w:w="1169" w:type="dxa"/>
            <w:tcBorders>
              <w:top w:val="nil"/>
              <w:left w:val="nil"/>
              <w:bottom w:val="single" w:sz="4" w:space="0" w:color="auto"/>
              <w:right w:val="single" w:sz="4" w:space="0" w:color="auto"/>
            </w:tcBorders>
            <w:shd w:val="clear" w:color="auto" w:fill="auto"/>
            <w:noWrap/>
            <w:vAlign w:val="center"/>
          </w:tcPr>
          <w:p w14:paraId="26C73329"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48</w:t>
            </w:r>
          </w:p>
        </w:tc>
        <w:tc>
          <w:tcPr>
            <w:tcW w:w="1170" w:type="dxa"/>
            <w:tcBorders>
              <w:top w:val="nil"/>
              <w:left w:val="nil"/>
              <w:bottom w:val="single" w:sz="4" w:space="0" w:color="auto"/>
              <w:right w:val="single" w:sz="4" w:space="0" w:color="auto"/>
            </w:tcBorders>
            <w:shd w:val="clear" w:color="auto" w:fill="auto"/>
            <w:noWrap/>
            <w:vAlign w:val="center"/>
          </w:tcPr>
          <w:p w14:paraId="430263DE"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52</w:t>
            </w:r>
          </w:p>
        </w:tc>
        <w:tc>
          <w:tcPr>
            <w:tcW w:w="1169" w:type="dxa"/>
            <w:tcBorders>
              <w:top w:val="nil"/>
              <w:left w:val="nil"/>
              <w:bottom w:val="single" w:sz="4" w:space="0" w:color="auto"/>
              <w:right w:val="single" w:sz="4" w:space="0" w:color="auto"/>
            </w:tcBorders>
            <w:shd w:val="clear" w:color="auto" w:fill="auto"/>
            <w:noWrap/>
            <w:vAlign w:val="center"/>
          </w:tcPr>
          <w:p w14:paraId="4DBE096C" w14:textId="77777777" w:rsidR="00C03DD1" w:rsidRPr="00930651" w:rsidRDefault="002452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52</w:t>
            </w:r>
          </w:p>
        </w:tc>
        <w:tc>
          <w:tcPr>
            <w:tcW w:w="1170" w:type="dxa"/>
            <w:tcBorders>
              <w:top w:val="nil"/>
              <w:left w:val="nil"/>
              <w:bottom w:val="single" w:sz="4" w:space="0" w:color="auto"/>
              <w:right w:val="single" w:sz="4" w:space="0" w:color="auto"/>
            </w:tcBorders>
            <w:shd w:val="clear" w:color="auto" w:fill="auto"/>
            <w:noWrap/>
            <w:vAlign w:val="center"/>
          </w:tcPr>
          <w:p w14:paraId="0E7C62E8" w14:textId="77777777" w:rsidR="00C03DD1" w:rsidRPr="00930651" w:rsidRDefault="002452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152</w:t>
            </w:r>
          </w:p>
        </w:tc>
      </w:tr>
      <w:tr w:rsidR="00C03DD1" w:rsidRPr="00930651" w14:paraId="7DC03A95"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5AB5DE65" w14:textId="3EDC44D4" w:rsidR="00C03DD1" w:rsidRPr="00930651" w:rsidRDefault="00EB3CA7" w:rsidP="00A217FF">
            <w:pPr>
              <w:ind w:left="0" w:firstLine="0"/>
              <w:rPr>
                <w:rFonts w:asciiTheme="minorHAnsi" w:eastAsia="Times New Roman" w:hAnsiTheme="minorHAnsi" w:cs="Arial"/>
                <w:sz w:val="20"/>
                <w:szCs w:val="20"/>
              </w:rPr>
            </w:pPr>
            <w:r w:rsidRPr="00930651">
              <w:rPr>
                <w:rFonts w:asciiTheme="minorHAnsi" w:hAnsiTheme="minorHAnsi"/>
                <w:sz w:val="20"/>
              </w:rPr>
              <w:t>Équipements/Fournitures de bureau</w:t>
            </w:r>
          </w:p>
        </w:tc>
        <w:tc>
          <w:tcPr>
            <w:tcW w:w="1169" w:type="dxa"/>
            <w:tcBorders>
              <w:top w:val="nil"/>
              <w:left w:val="nil"/>
              <w:bottom w:val="single" w:sz="4" w:space="0" w:color="auto"/>
              <w:right w:val="single" w:sz="4" w:space="0" w:color="auto"/>
            </w:tcBorders>
            <w:shd w:val="clear" w:color="auto" w:fill="auto"/>
            <w:noWrap/>
            <w:vAlign w:val="center"/>
          </w:tcPr>
          <w:p w14:paraId="0E21B258"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95</w:t>
            </w:r>
          </w:p>
        </w:tc>
        <w:tc>
          <w:tcPr>
            <w:tcW w:w="1170" w:type="dxa"/>
            <w:tcBorders>
              <w:top w:val="nil"/>
              <w:left w:val="nil"/>
              <w:bottom w:val="single" w:sz="4" w:space="0" w:color="auto"/>
              <w:right w:val="single" w:sz="4" w:space="0" w:color="auto"/>
            </w:tcBorders>
            <w:shd w:val="clear" w:color="auto" w:fill="auto"/>
            <w:noWrap/>
            <w:vAlign w:val="center"/>
          </w:tcPr>
          <w:p w14:paraId="3DC391CA"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95</w:t>
            </w:r>
          </w:p>
        </w:tc>
        <w:tc>
          <w:tcPr>
            <w:tcW w:w="1169" w:type="dxa"/>
            <w:tcBorders>
              <w:top w:val="nil"/>
              <w:left w:val="nil"/>
              <w:bottom w:val="single" w:sz="4" w:space="0" w:color="auto"/>
              <w:right w:val="single" w:sz="4" w:space="0" w:color="auto"/>
            </w:tcBorders>
            <w:shd w:val="clear" w:color="auto" w:fill="auto"/>
            <w:noWrap/>
            <w:vAlign w:val="center"/>
          </w:tcPr>
          <w:p w14:paraId="12BCD897" w14:textId="77777777" w:rsidR="00C03DD1" w:rsidRPr="00930651" w:rsidRDefault="0024521E" w:rsidP="00E44F1E">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95</w:t>
            </w:r>
          </w:p>
        </w:tc>
        <w:tc>
          <w:tcPr>
            <w:tcW w:w="1170" w:type="dxa"/>
            <w:tcBorders>
              <w:top w:val="nil"/>
              <w:left w:val="nil"/>
              <w:bottom w:val="single" w:sz="4" w:space="0" w:color="auto"/>
              <w:right w:val="single" w:sz="4" w:space="0" w:color="auto"/>
            </w:tcBorders>
            <w:shd w:val="clear" w:color="auto" w:fill="auto"/>
            <w:noWrap/>
            <w:vAlign w:val="center"/>
          </w:tcPr>
          <w:p w14:paraId="71CDC30A" w14:textId="77777777" w:rsidR="00C03DD1" w:rsidRPr="00930651" w:rsidRDefault="0024521E" w:rsidP="00E44F1E">
            <w:pPr>
              <w:ind w:left="0" w:firstLine="0"/>
              <w:jc w:val="right"/>
              <w:rPr>
                <w:rFonts w:asciiTheme="minorHAnsi" w:eastAsia="Times New Roman" w:hAnsiTheme="minorHAnsi" w:cs="Arial"/>
                <w:sz w:val="20"/>
                <w:szCs w:val="20"/>
              </w:rPr>
            </w:pPr>
            <w:r w:rsidRPr="00930651">
              <w:rPr>
                <w:rFonts w:asciiTheme="minorHAnsi" w:hAnsiTheme="minorHAnsi"/>
                <w:sz w:val="20"/>
              </w:rPr>
              <w:t>285</w:t>
            </w:r>
          </w:p>
        </w:tc>
      </w:tr>
      <w:tr w:rsidR="00C03DD1" w:rsidRPr="00930651" w14:paraId="3535C619"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52947252" w14:textId="77777777" w:rsidR="00C03DD1" w:rsidRPr="00930651" w:rsidRDefault="00EB3CA7" w:rsidP="00A217FF">
            <w:pPr>
              <w:ind w:left="0" w:firstLine="0"/>
              <w:rPr>
                <w:rFonts w:asciiTheme="minorHAnsi" w:eastAsia="Times New Roman" w:hAnsiTheme="minorHAnsi" w:cs="Arial"/>
                <w:sz w:val="20"/>
                <w:szCs w:val="20"/>
              </w:rPr>
            </w:pPr>
            <w:r w:rsidRPr="00930651">
              <w:rPr>
                <w:rFonts w:asciiTheme="minorHAnsi" w:hAnsiTheme="minorHAnsi"/>
                <w:sz w:val="20"/>
              </w:rPr>
              <w:t>Planification et renforcement des capacités</w:t>
            </w:r>
          </w:p>
        </w:tc>
        <w:tc>
          <w:tcPr>
            <w:tcW w:w="1169" w:type="dxa"/>
            <w:tcBorders>
              <w:top w:val="nil"/>
              <w:left w:val="nil"/>
              <w:bottom w:val="single" w:sz="4" w:space="0" w:color="auto"/>
              <w:right w:val="single" w:sz="4" w:space="0" w:color="auto"/>
            </w:tcBorders>
            <w:shd w:val="clear" w:color="auto" w:fill="auto"/>
            <w:noWrap/>
            <w:vAlign w:val="center"/>
          </w:tcPr>
          <w:p w14:paraId="23F287F0"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0</w:t>
            </w:r>
          </w:p>
        </w:tc>
        <w:tc>
          <w:tcPr>
            <w:tcW w:w="1170" w:type="dxa"/>
            <w:tcBorders>
              <w:top w:val="nil"/>
              <w:left w:val="nil"/>
              <w:bottom w:val="single" w:sz="4" w:space="0" w:color="auto"/>
              <w:right w:val="single" w:sz="4" w:space="0" w:color="auto"/>
            </w:tcBorders>
            <w:shd w:val="clear" w:color="auto" w:fill="auto"/>
            <w:noWrap/>
            <w:vAlign w:val="center"/>
          </w:tcPr>
          <w:p w14:paraId="2A55B4FE" w14:textId="77777777" w:rsidR="00C03DD1" w:rsidRPr="00930651" w:rsidRDefault="00C03DD1" w:rsidP="00DA6C88">
            <w:pPr>
              <w:ind w:left="0" w:firstLine="0"/>
              <w:jc w:val="right"/>
              <w:rPr>
                <w:rFonts w:asciiTheme="minorHAnsi" w:eastAsia="Times New Roman" w:hAnsiTheme="minorHAnsi" w:cs="Arial"/>
                <w:sz w:val="20"/>
                <w:szCs w:val="20"/>
              </w:rPr>
            </w:pPr>
            <w:r w:rsidRPr="00930651">
              <w:rPr>
                <w:rFonts w:asciiTheme="minorHAnsi" w:hAnsiTheme="minorHAnsi"/>
                <w:sz w:val="20"/>
              </w:rPr>
              <w:t> 0</w:t>
            </w:r>
          </w:p>
        </w:tc>
        <w:tc>
          <w:tcPr>
            <w:tcW w:w="1169" w:type="dxa"/>
            <w:tcBorders>
              <w:top w:val="nil"/>
              <w:left w:val="nil"/>
              <w:bottom w:val="single" w:sz="4" w:space="0" w:color="auto"/>
              <w:right w:val="single" w:sz="4" w:space="0" w:color="auto"/>
            </w:tcBorders>
            <w:shd w:val="clear" w:color="auto" w:fill="auto"/>
            <w:noWrap/>
            <w:vAlign w:val="center"/>
          </w:tcPr>
          <w:p w14:paraId="350D2D98" w14:textId="77777777" w:rsidR="00C03DD1" w:rsidRPr="00930651" w:rsidRDefault="00E44F1E" w:rsidP="00DA6C88">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tcPr>
          <w:p w14:paraId="559AF855"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0</w:t>
            </w:r>
          </w:p>
        </w:tc>
      </w:tr>
      <w:tr w:rsidR="00C03DD1" w:rsidRPr="00930651" w14:paraId="6635189B"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tcPr>
          <w:p w14:paraId="6AFD722A" w14:textId="77777777" w:rsidR="00C03DD1" w:rsidRPr="00930651" w:rsidRDefault="00C03DD1" w:rsidP="00A217FF">
            <w:pPr>
              <w:ind w:left="0" w:firstLine="0"/>
              <w:rPr>
                <w:rFonts w:asciiTheme="minorHAnsi" w:eastAsia="Times New Roman" w:hAnsiTheme="minorHAnsi" w:cs="Arial"/>
                <w:b/>
                <w:bCs/>
                <w:sz w:val="20"/>
                <w:szCs w:val="20"/>
              </w:rPr>
            </w:pPr>
            <w:r w:rsidRPr="00930651">
              <w:rPr>
                <w:rFonts w:asciiTheme="minorHAnsi" w:hAnsiTheme="minorHAnsi"/>
                <w:b/>
                <w:sz w:val="20"/>
              </w:rPr>
              <w:t>H. Services au Comité permanent</w:t>
            </w:r>
          </w:p>
        </w:tc>
        <w:tc>
          <w:tcPr>
            <w:tcW w:w="1169" w:type="dxa"/>
            <w:tcBorders>
              <w:top w:val="nil"/>
              <w:left w:val="nil"/>
              <w:bottom w:val="single" w:sz="4" w:space="0" w:color="auto"/>
              <w:right w:val="single" w:sz="4" w:space="0" w:color="auto"/>
            </w:tcBorders>
            <w:shd w:val="clear" w:color="000000" w:fill="C4D79B"/>
            <w:noWrap/>
            <w:vAlign w:val="center"/>
          </w:tcPr>
          <w:p w14:paraId="1811A13B" w14:textId="77777777" w:rsidR="00C03DD1" w:rsidRPr="00930651" w:rsidRDefault="00C03DD1"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150</w:t>
            </w:r>
          </w:p>
        </w:tc>
        <w:tc>
          <w:tcPr>
            <w:tcW w:w="1170" w:type="dxa"/>
            <w:tcBorders>
              <w:top w:val="nil"/>
              <w:left w:val="nil"/>
              <w:bottom w:val="single" w:sz="4" w:space="0" w:color="auto"/>
              <w:right w:val="single" w:sz="4" w:space="0" w:color="auto"/>
            </w:tcBorders>
            <w:shd w:val="clear" w:color="000000" w:fill="C4D79B"/>
            <w:noWrap/>
            <w:vAlign w:val="center"/>
          </w:tcPr>
          <w:p w14:paraId="77632487" w14:textId="77777777" w:rsidR="00C03DD1" w:rsidRPr="00930651" w:rsidRDefault="00C03DD1"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150</w:t>
            </w:r>
          </w:p>
        </w:tc>
        <w:tc>
          <w:tcPr>
            <w:tcW w:w="1169" w:type="dxa"/>
            <w:tcBorders>
              <w:top w:val="nil"/>
              <w:left w:val="nil"/>
              <w:bottom w:val="single" w:sz="4" w:space="0" w:color="auto"/>
              <w:right w:val="single" w:sz="4" w:space="0" w:color="auto"/>
            </w:tcBorders>
            <w:shd w:val="clear" w:color="000000" w:fill="C4D79B"/>
            <w:noWrap/>
            <w:vAlign w:val="center"/>
          </w:tcPr>
          <w:p w14:paraId="317D55EA" w14:textId="77777777" w:rsidR="00C03DD1" w:rsidRPr="00930651" w:rsidRDefault="00C03DD1"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150</w:t>
            </w:r>
          </w:p>
        </w:tc>
        <w:tc>
          <w:tcPr>
            <w:tcW w:w="1170" w:type="dxa"/>
            <w:tcBorders>
              <w:top w:val="nil"/>
              <w:left w:val="nil"/>
              <w:bottom w:val="single" w:sz="4" w:space="0" w:color="auto"/>
              <w:right w:val="single" w:sz="4" w:space="0" w:color="auto"/>
            </w:tcBorders>
            <w:shd w:val="clear" w:color="000000" w:fill="C4D79B"/>
            <w:noWrap/>
            <w:vAlign w:val="center"/>
          </w:tcPr>
          <w:p w14:paraId="3055CA0D" w14:textId="77777777" w:rsidR="00C03DD1" w:rsidRPr="00930651" w:rsidRDefault="00C03DD1"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450</w:t>
            </w:r>
          </w:p>
        </w:tc>
      </w:tr>
      <w:tr w:rsidR="00C03DD1" w:rsidRPr="00930651" w14:paraId="6EE9A720"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1DFDE1E1"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Appui aux délégués du Comité permanent</w:t>
            </w:r>
          </w:p>
        </w:tc>
        <w:tc>
          <w:tcPr>
            <w:tcW w:w="1169" w:type="dxa"/>
            <w:tcBorders>
              <w:top w:val="nil"/>
              <w:left w:val="nil"/>
              <w:bottom w:val="single" w:sz="4" w:space="0" w:color="auto"/>
              <w:right w:val="single" w:sz="4" w:space="0" w:color="auto"/>
            </w:tcBorders>
            <w:shd w:val="clear" w:color="auto" w:fill="auto"/>
            <w:noWrap/>
            <w:vAlign w:val="center"/>
          </w:tcPr>
          <w:p w14:paraId="2FCF39F9"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c>
          <w:tcPr>
            <w:tcW w:w="1170" w:type="dxa"/>
            <w:tcBorders>
              <w:top w:val="nil"/>
              <w:left w:val="nil"/>
              <w:bottom w:val="single" w:sz="4" w:space="0" w:color="auto"/>
              <w:right w:val="single" w:sz="4" w:space="0" w:color="auto"/>
            </w:tcBorders>
            <w:shd w:val="clear" w:color="auto" w:fill="auto"/>
            <w:noWrap/>
            <w:vAlign w:val="center"/>
          </w:tcPr>
          <w:p w14:paraId="3BEFD901"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c>
          <w:tcPr>
            <w:tcW w:w="1169" w:type="dxa"/>
            <w:tcBorders>
              <w:top w:val="nil"/>
              <w:left w:val="nil"/>
              <w:bottom w:val="single" w:sz="4" w:space="0" w:color="auto"/>
              <w:right w:val="single" w:sz="4" w:space="0" w:color="auto"/>
            </w:tcBorders>
            <w:shd w:val="clear" w:color="auto" w:fill="auto"/>
            <w:noWrap/>
            <w:vAlign w:val="center"/>
          </w:tcPr>
          <w:p w14:paraId="7B64C324"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45</w:t>
            </w:r>
          </w:p>
        </w:tc>
        <w:tc>
          <w:tcPr>
            <w:tcW w:w="1170" w:type="dxa"/>
            <w:tcBorders>
              <w:top w:val="nil"/>
              <w:left w:val="nil"/>
              <w:bottom w:val="single" w:sz="4" w:space="0" w:color="auto"/>
              <w:right w:val="single" w:sz="4" w:space="0" w:color="auto"/>
            </w:tcBorders>
            <w:shd w:val="clear" w:color="auto" w:fill="auto"/>
            <w:noWrap/>
            <w:vAlign w:val="center"/>
          </w:tcPr>
          <w:p w14:paraId="639F3CBA"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135</w:t>
            </w:r>
          </w:p>
        </w:tc>
      </w:tr>
      <w:tr w:rsidR="00C03DD1" w:rsidRPr="00930651" w14:paraId="130D2503"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14BD649F"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Réunions du Comité permanent</w:t>
            </w:r>
          </w:p>
        </w:tc>
        <w:tc>
          <w:tcPr>
            <w:tcW w:w="1169" w:type="dxa"/>
            <w:tcBorders>
              <w:top w:val="nil"/>
              <w:left w:val="nil"/>
              <w:bottom w:val="single" w:sz="4" w:space="0" w:color="auto"/>
              <w:right w:val="single" w:sz="4" w:space="0" w:color="auto"/>
            </w:tcBorders>
            <w:shd w:val="clear" w:color="auto" w:fill="auto"/>
            <w:noWrap/>
            <w:vAlign w:val="center"/>
          </w:tcPr>
          <w:p w14:paraId="40C9F41D"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10</w:t>
            </w:r>
          </w:p>
        </w:tc>
        <w:tc>
          <w:tcPr>
            <w:tcW w:w="1170" w:type="dxa"/>
            <w:tcBorders>
              <w:top w:val="nil"/>
              <w:left w:val="nil"/>
              <w:bottom w:val="single" w:sz="4" w:space="0" w:color="auto"/>
              <w:right w:val="single" w:sz="4" w:space="0" w:color="auto"/>
            </w:tcBorders>
            <w:shd w:val="clear" w:color="auto" w:fill="auto"/>
            <w:noWrap/>
            <w:vAlign w:val="center"/>
          </w:tcPr>
          <w:p w14:paraId="1EA6D9E6"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10</w:t>
            </w:r>
          </w:p>
        </w:tc>
        <w:tc>
          <w:tcPr>
            <w:tcW w:w="1169" w:type="dxa"/>
            <w:tcBorders>
              <w:top w:val="nil"/>
              <w:left w:val="nil"/>
              <w:bottom w:val="single" w:sz="4" w:space="0" w:color="auto"/>
              <w:right w:val="single" w:sz="4" w:space="0" w:color="auto"/>
            </w:tcBorders>
            <w:shd w:val="clear" w:color="auto" w:fill="auto"/>
            <w:noWrap/>
            <w:vAlign w:val="center"/>
          </w:tcPr>
          <w:p w14:paraId="02020C79"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10</w:t>
            </w:r>
          </w:p>
        </w:tc>
        <w:tc>
          <w:tcPr>
            <w:tcW w:w="1170" w:type="dxa"/>
            <w:tcBorders>
              <w:top w:val="nil"/>
              <w:left w:val="nil"/>
              <w:bottom w:val="single" w:sz="4" w:space="0" w:color="auto"/>
              <w:right w:val="single" w:sz="4" w:space="0" w:color="auto"/>
            </w:tcBorders>
            <w:shd w:val="clear" w:color="auto" w:fill="auto"/>
            <w:noWrap/>
            <w:vAlign w:val="center"/>
          </w:tcPr>
          <w:p w14:paraId="23A52F1D"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r>
      <w:tr w:rsidR="00C03DD1" w:rsidRPr="00930651" w14:paraId="7B0087E9"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7A51946A"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Services de traduction pour le Comité permanent</w:t>
            </w:r>
          </w:p>
        </w:tc>
        <w:tc>
          <w:tcPr>
            <w:tcW w:w="1169" w:type="dxa"/>
            <w:tcBorders>
              <w:top w:val="nil"/>
              <w:left w:val="nil"/>
              <w:bottom w:val="single" w:sz="4" w:space="0" w:color="auto"/>
              <w:right w:val="single" w:sz="4" w:space="0" w:color="auto"/>
            </w:tcBorders>
            <w:shd w:val="clear" w:color="auto" w:fill="auto"/>
            <w:noWrap/>
            <w:vAlign w:val="center"/>
          </w:tcPr>
          <w:p w14:paraId="26B7ACC8"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c>
          <w:tcPr>
            <w:tcW w:w="1170" w:type="dxa"/>
            <w:tcBorders>
              <w:top w:val="nil"/>
              <w:left w:val="nil"/>
              <w:bottom w:val="single" w:sz="4" w:space="0" w:color="auto"/>
              <w:right w:val="single" w:sz="4" w:space="0" w:color="auto"/>
            </w:tcBorders>
            <w:shd w:val="clear" w:color="auto" w:fill="auto"/>
            <w:noWrap/>
            <w:vAlign w:val="center"/>
          </w:tcPr>
          <w:p w14:paraId="6F6C3B50"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c>
          <w:tcPr>
            <w:tcW w:w="1169" w:type="dxa"/>
            <w:tcBorders>
              <w:top w:val="nil"/>
              <w:left w:val="nil"/>
              <w:bottom w:val="single" w:sz="4" w:space="0" w:color="auto"/>
              <w:right w:val="single" w:sz="4" w:space="0" w:color="auto"/>
            </w:tcBorders>
            <w:shd w:val="clear" w:color="auto" w:fill="auto"/>
            <w:noWrap/>
            <w:vAlign w:val="center"/>
          </w:tcPr>
          <w:p w14:paraId="262C50EB"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60</w:t>
            </w:r>
          </w:p>
        </w:tc>
        <w:tc>
          <w:tcPr>
            <w:tcW w:w="1170" w:type="dxa"/>
            <w:tcBorders>
              <w:top w:val="nil"/>
              <w:left w:val="nil"/>
              <w:bottom w:val="single" w:sz="4" w:space="0" w:color="auto"/>
              <w:right w:val="single" w:sz="4" w:space="0" w:color="auto"/>
            </w:tcBorders>
            <w:shd w:val="clear" w:color="auto" w:fill="auto"/>
            <w:noWrap/>
            <w:vAlign w:val="center"/>
          </w:tcPr>
          <w:p w14:paraId="0D290DBB"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180</w:t>
            </w:r>
          </w:p>
        </w:tc>
      </w:tr>
      <w:tr w:rsidR="00C03DD1" w:rsidRPr="00930651" w14:paraId="2B44DF47"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5E6AF2B3" w14:textId="4ED380A9"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Services d</w:t>
            </w:r>
            <w:r w:rsidR="00101E52">
              <w:rPr>
                <w:rFonts w:asciiTheme="minorHAnsi" w:hAnsiTheme="minorHAnsi"/>
                <w:sz w:val="20"/>
              </w:rPr>
              <w:t>’</w:t>
            </w:r>
            <w:r w:rsidRPr="00930651">
              <w:rPr>
                <w:rFonts w:asciiTheme="minorHAnsi" w:hAnsiTheme="minorHAnsi"/>
                <w:sz w:val="20"/>
              </w:rPr>
              <w:t>interprétation simultanée lors des réunions du Comité permanent</w:t>
            </w:r>
          </w:p>
        </w:tc>
        <w:tc>
          <w:tcPr>
            <w:tcW w:w="1169" w:type="dxa"/>
            <w:tcBorders>
              <w:top w:val="nil"/>
              <w:left w:val="nil"/>
              <w:bottom w:val="single" w:sz="4" w:space="0" w:color="auto"/>
              <w:right w:val="single" w:sz="4" w:space="0" w:color="auto"/>
            </w:tcBorders>
            <w:shd w:val="clear" w:color="auto" w:fill="auto"/>
            <w:noWrap/>
            <w:vAlign w:val="center"/>
          </w:tcPr>
          <w:p w14:paraId="47ED9D03"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35</w:t>
            </w:r>
          </w:p>
        </w:tc>
        <w:tc>
          <w:tcPr>
            <w:tcW w:w="1170" w:type="dxa"/>
            <w:tcBorders>
              <w:top w:val="nil"/>
              <w:left w:val="nil"/>
              <w:bottom w:val="single" w:sz="4" w:space="0" w:color="auto"/>
              <w:right w:val="single" w:sz="4" w:space="0" w:color="auto"/>
            </w:tcBorders>
            <w:shd w:val="clear" w:color="auto" w:fill="auto"/>
            <w:noWrap/>
            <w:vAlign w:val="center"/>
          </w:tcPr>
          <w:p w14:paraId="01AD49B8"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35</w:t>
            </w:r>
          </w:p>
        </w:tc>
        <w:tc>
          <w:tcPr>
            <w:tcW w:w="1169" w:type="dxa"/>
            <w:tcBorders>
              <w:top w:val="nil"/>
              <w:left w:val="nil"/>
              <w:bottom w:val="single" w:sz="4" w:space="0" w:color="auto"/>
              <w:right w:val="single" w:sz="4" w:space="0" w:color="auto"/>
            </w:tcBorders>
            <w:shd w:val="clear" w:color="auto" w:fill="auto"/>
            <w:noWrap/>
            <w:vAlign w:val="center"/>
          </w:tcPr>
          <w:p w14:paraId="6FF1D236" w14:textId="77777777" w:rsidR="00C03DD1" w:rsidRPr="00930651" w:rsidRDefault="00C03DD1"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35</w:t>
            </w:r>
          </w:p>
        </w:tc>
        <w:tc>
          <w:tcPr>
            <w:tcW w:w="1170" w:type="dxa"/>
            <w:tcBorders>
              <w:top w:val="nil"/>
              <w:left w:val="nil"/>
              <w:bottom w:val="single" w:sz="4" w:space="0" w:color="auto"/>
              <w:right w:val="single" w:sz="4" w:space="0" w:color="auto"/>
            </w:tcBorders>
            <w:shd w:val="clear" w:color="auto" w:fill="auto"/>
            <w:noWrap/>
            <w:vAlign w:val="center"/>
          </w:tcPr>
          <w:p w14:paraId="2B1A4E91" w14:textId="77777777" w:rsidR="00C03DD1" w:rsidRPr="00930651" w:rsidRDefault="00C03DD1"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105</w:t>
            </w:r>
          </w:p>
        </w:tc>
      </w:tr>
      <w:tr w:rsidR="00C03DD1" w:rsidRPr="00930651" w14:paraId="4C8497F8" w14:textId="77777777" w:rsidTr="008F4A6B">
        <w:tc>
          <w:tcPr>
            <w:tcW w:w="4673" w:type="dxa"/>
            <w:tcBorders>
              <w:top w:val="nil"/>
              <w:left w:val="single" w:sz="4" w:space="0" w:color="auto"/>
              <w:bottom w:val="single" w:sz="4" w:space="0" w:color="auto"/>
              <w:right w:val="single" w:sz="4" w:space="0" w:color="auto"/>
            </w:tcBorders>
            <w:shd w:val="clear" w:color="000000" w:fill="C4D79B"/>
            <w:vAlign w:val="center"/>
          </w:tcPr>
          <w:p w14:paraId="0C366F07" w14:textId="2C51470C" w:rsidR="00C03DD1" w:rsidRPr="00930651" w:rsidRDefault="00A217FF" w:rsidP="00A217FF">
            <w:pPr>
              <w:ind w:left="0" w:firstLine="0"/>
              <w:rPr>
                <w:rFonts w:asciiTheme="minorHAnsi" w:eastAsia="Times New Roman" w:hAnsiTheme="minorHAnsi" w:cs="Arial"/>
                <w:b/>
                <w:bCs/>
                <w:sz w:val="20"/>
                <w:szCs w:val="20"/>
              </w:rPr>
            </w:pPr>
            <w:r w:rsidRPr="00930651">
              <w:rPr>
                <w:rFonts w:asciiTheme="minorHAnsi" w:hAnsiTheme="minorHAnsi"/>
                <w:b/>
                <w:sz w:val="20"/>
              </w:rPr>
              <w:t>I. Coûts des services administratifs de l</w:t>
            </w:r>
            <w:r w:rsidR="00101E52">
              <w:rPr>
                <w:rFonts w:asciiTheme="minorHAnsi" w:hAnsiTheme="minorHAnsi"/>
                <w:b/>
                <w:sz w:val="20"/>
              </w:rPr>
              <w:t>’</w:t>
            </w:r>
            <w:r w:rsidRPr="00930651">
              <w:rPr>
                <w:rFonts w:asciiTheme="minorHAnsi" w:hAnsiTheme="minorHAnsi"/>
                <w:b/>
                <w:sz w:val="20"/>
              </w:rPr>
              <w:t>UICN (maximum)</w:t>
            </w:r>
          </w:p>
        </w:tc>
        <w:tc>
          <w:tcPr>
            <w:tcW w:w="1169" w:type="dxa"/>
            <w:tcBorders>
              <w:top w:val="nil"/>
              <w:left w:val="nil"/>
              <w:bottom w:val="single" w:sz="4" w:space="0" w:color="auto"/>
              <w:right w:val="single" w:sz="4" w:space="0" w:color="auto"/>
            </w:tcBorders>
            <w:shd w:val="clear" w:color="000000" w:fill="C4D79B"/>
            <w:noWrap/>
            <w:vAlign w:val="center"/>
          </w:tcPr>
          <w:p w14:paraId="1F4E16EB" w14:textId="77777777" w:rsidR="00C03DD1" w:rsidRPr="00930651" w:rsidRDefault="00E44F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70" w:type="dxa"/>
            <w:tcBorders>
              <w:top w:val="nil"/>
              <w:left w:val="nil"/>
              <w:bottom w:val="single" w:sz="4" w:space="0" w:color="auto"/>
              <w:right w:val="single" w:sz="4" w:space="0" w:color="auto"/>
            </w:tcBorders>
            <w:shd w:val="clear" w:color="000000" w:fill="C4D79B"/>
            <w:noWrap/>
            <w:vAlign w:val="center"/>
          </w:tcPr>
          <w:p w14:paraId="11D1F1C4" w14:textId="77777777" w:rsidR="00C03DD1" w:rsidRPr="00930651" w:rsidRDefault="00E44F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69" w:type="dxa"/>
            <w:tcBorders>
              <w:top w:val="nil"/>
              <w:left w:val="nil"/>
              <w:bottom w:val="single" w:sz="4" w:space="0" w:color="auto"/>
              <w:right w:val="single" w:sz="4" w:space="0" w:color="auto"/>
            </w:tcBorders>
            <w:shd w:val="clear" w:color="000000" w:fill="C4D79B"/>
            <w:noWrap/>
            <w:vAlign w:val="center"/>
          </w:tcPr>
          <w:p w14:paraId="3E34AF1D" w14:textId="77777777" w:rsidR="00C03DD1" w:rsidRPr="00930651" w:rsidRDefault="00E44F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70" w:type="dxa"/>
            <w:tcBorders>
              <w:top w:val="nil"/>
              <w:left w:val="nil"/>
              <w:bottom w:val="single" w:sz="4" w:space="0" w:color="auto"/>
              <w:right w:val="single" w:sz="4" w:space="0" w:color="auto"/>
            </w:tcBorders>
            <w:shd w:val="clear" w:color="000000" w:fill="C4D79B"/>
            <w:noWrap/>
            <w:vAlign w:val="center"/>
          </w:tcPr>
          <w:p w14:paraId="062ECD3F" w14:textId="77777777" w:rsidR="00C03DD1" w:rsidRPr="00930651" w:rsidRDefault="00E44F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1 623</w:t>
            </w:r>
          </w:p>
        </w:tc>
      </w:tr>
      <w:tr w:rsidR="00C03DD1" w:rsidRPr="00930651" w14:paraId="241CEB35"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15C6D3C5" w14:textId="77777777" w:rsidR="00C03DD1" w:rsidRPr="00930651" w:rsidRDefault="00C03DD1" w:rsidP="00A61FC0">
            <w:pPr>
              <w:ind w:left="0" w:firstLine="0"/>
              <w:rPr>
                <w:rFonts w:asciiTheme="minorHAnsi" w:eastAsia="Times New Roman" w:hAnsiTheme="minorHAnsi" w:cs="Arial"/>
                <w:sz w:val="20"/>
                <w:szCs w:val="20"/>
              </w:rPr>
            </w:pPr>
            <w:r w:rsidRPr="00930651">
              <w:rPr>
                <w:rFonts w:asciiTheme="minorHAnsi" w:hAnsiTheme="minorHAnsi"/>
                <w:sz w:val="20"/>
              </w:rPr>
              <w:t>Administration, ressources humaines, services financiers &amp; informatiques</w:t>
            </w:r>
          </w:p>
        </w:tc>
        <w:tc>
          <w:tcPr>
            <w:tcW w:w="1169" w:type="dxa"/>
            <w:tcBorders>
              <w:top w:val="nil"/>
              <w:left w:val="nil"/>
              <w:bottom w:val="single" w:sz="4" w:space="0" w:color="auto"/>
              <w:right w:val="single" w:sz="4" w:space="0" w:color="auto"/>
            </w:tcBorders>
            <w:shd w:val="clear" w:color="auto" w:fill="auto"/>
            <w:noWrap/>
            <w:vAlign w:val="center"/>
          </w:tcPr>
          <w:p w14:paraId="07B6FBC5" w14:textId="77777777" w:rsidR="00C03DD1"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541</w:t>
            </w:r>
          </w:p>
        </w:tc>
        <w:tc>
          <w:tcPr>
            <w:tcW w:w="1170" w:type="dxa"/>
            <w:tcBorders>
              <w:top w:val="nil"/>
              <w:left w:val="nil"/>
              <w:bottom w:val="single" w:sz="4" w:space="0" w:color="auto"/>
              <w:right w:val="single" w:sz="4" w:space="0" w:color="auto"/>
            </w:tcBorders>
            <w:shd w:val="clear" w:color="auto" w:fill="auto"/>
            <w:noWrap/>
            <w:vAlign w:val="center"/>
          </w:tcPr>
          <w:p w14:paraId="11E567D2" w14:textId="77777777" w:rsidR="00C03DD1"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541</w:t>
            </w:r>
          </w:p>
        </w:tc>
        <w:tc>
          <w:tcPr>
            <w:tcW w:w="1169" w:type="dxa"/>
            <w:tcBorders>
              <w:top w:val="nil"/>
              <w:left w:val="nil"/>
              <w:bottom w:val="single" w:sz="4" w:space="0" w:color="auto"/>
              <w:right w:val="single" w:sz="4" w:space="0" w:color="auto"/>
            </w:tcBorders>
            <w:shd w:val="clear" w:color="auto" w:fill="auto"/>
            <w:noWrap/>
            <w:vAlign w:val="center"/>
          </w:tcPr>
          <w:p w14:paraId="28CCA00F" w14:textId="77777777" w:rsidR="00C03DD1" w:rsidRPr="00930651" w:rsidRDefault="00E44F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541</w:t>
            </w:r>
          </w:p>
        </w:tc>
        <w:tc>
          <w:tcPr>
            <w:tcW w:w="1170" w:type="dxa"/>
            <w:tcBorders>
              <w:top w:val="nil"/>
              <w:left w:val="nil"/>
              <w:bottom w:val="single" w:sz="4" w:space="0" w:color="auto"/>
              <w:right w:val="single" w:sz="4" w:space="0" w:color="auto"/>
            </w:tcBorders>
            <w:shd w:val="clear" w:color="auto" w:fill="auto"/>
            <w:noWrap/>
            <w:vAlign w:val="center"/>
          </w:tcPr>
          <w:p w14:paraId="4D251ED7" w14:textId="77777777" w:rsidR="00C03DD1"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1 623</w:t>
            </w:r>
          </w:p>
        </w:tc>
      </w:tr>
      <w:tr w:rsidR="00C03DD1" w:rsidRPr="00930651" w14:paraId="290E449F" w14:textId="77777777" w:rsidTr="008F4A6B">
        <w:tc>
          <w:tcPr>
            <w:tcW w:w="4673"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04782693" w14:textId="77777777" w:rsidR="00C03DD1" w:rsidRPr="00930651" w:rsidRDefault="00A217FF" w:rsidP="00A217FF">
            <w:pPr>
              <w:ind w:left="0" w:firstLine="0"/>
              <w:rPr>
                <w:rFonts w:asciiTheme="minorHAnsi" w:eastAsia="Times New Roman" w:hAnsiTheme="minorHAnsi" w:cs="Arial"/>
                <w:b/>
                <w:bCs/>
                <w:sz w:val="20"/>
                <w:szCs w:val="20"/>
              </w:rPr>
            </w:pPr>
            <w:r w:rsidRPr="00930651">
              <w:rPr>
                <w:rFonts w:asciiTheme="minorHAnsi" w:hAnsiTheme="minorHAnsi"/>
                <w:b/>
                <w:sz w:val="20"/>
              </w:rPr>
              <w:lastRenderedPageBreak/>
              <w:t>J. Divers – Fonds de réserve</w:t>
            </w:r>
          </w:p>
        </w:tc>
        <w:tc>
          <w:tcPr>
            <w:tcW w:w="1169" w:type="dxa"/>
            <w:tcBorders>
              <w:top w:val="single" w:sz="4" w:space="0" w:color="auto"/>
              <w:left w:val="nil"/>
              <w:bottom w:val="single" w:sz="4" w:space="0" w:color="auto"/>
              <w:right w:val="single" w:sz="4" w:space="0" w:color="auto"/>
            </w:tcBorders>
            <w:shd w:val="clear" w:color="000000" w:fill="C4D79B"/>
            <w:noWrap/>
            <w:vAlign w:val="center"/>
          </w:tcPr>
          <w:p w14:paraId="106C9279" w14:textId="77777777" w:rsidR="00C03DD1" w:rsidRPr="00930651" w:rsidRDefault="00E44F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70" w:type="dxa"/>
            <w:tcBorders>
              <w:top w:val="single" w:sz="4" w:space="0" w:color="auto"/>
              <w:left w:val="nil"/>
              <w:bottom w:val="single" w:sz="4" w:space="0" w:color="auto"/>
              <w:right w:val="single" w:sz="4" w:space="0" w:color="auto"/>
            </w:tcBorders>
            <w:shd w:val="clear" w:color="000000" w:fill="C4D79B"/>
            <w:noWrap/>
            <w:vAlign w:val="center"/>
          </w:tcPr>
          <w:p w14:paraId="303BE0DC" w14:textId="77777777" w:rsidR="00C03DD1" w:rsidRPr="00930651" w:rsidRDefault="00635E05"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69" w:type="dxa"/>
            <w:tcBorders>
              <w:top w:val="single" w:sz="4" w:space="0" w:color="auto"/>
              <w:left w:val="nil"/>
              <w:bottom w:val="single" w:sz="4" w:space="0" w:color="auto"/>
              <w:right w:val="single" w:sz="4" w:space="0" w:color="auto"/>
            </w:tcBorders>
            <w:shd w:val="clear" w:color="000000" w:fill="C4D79B"/>
            <w:noWrap/>
            <w:vAlign w:val="center"/>
          </w:tcPr>
          <w:p w14:paraId="042E148B" w14:textId="77777777" w:rsidR="00C03DD1" w:rsidRPr="00930651" w:rsidRDefault="00E44F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70" w:type="dxa"/>
            <w:tcBorders>
              <w:top w:val="single" w:sz="4" w:space="0" w:color="auto"/>
              <w:left w:val="nil"/>
              <w:bottom w:val="single" w:sz="4" w:space="0" w:color="auto"/>
              <w:right w:val="single" w:sz="4" w:space="0" w:color="auto"/>
            </w:tcBorders>
            <w:shd w:val="clear" w:color="000000" w:fill="C4D79B"/>
            <w:noWrap/>
            <w:vAlign w:val="center"/>
          </w:tcPr>
          <w:p w14:paraId="76D6C9F2" w14:textId="77777777" w:rsidR="00C03DD1" w:rsidRPr="00930651" w:rsidRDefault="00E44F1E" w:rsidP="00A217F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327</w:t>
            </w:r>
          </w:p>
        </w:tc>
      </w:tr>
      <w:tr w:rsidR="00C03DD1" w:rsidRPr="00930651" w14:paraId="1DBFC5D1"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236B5D68" w14:textId="77777777" w:rsidR="00C03DD1" w:rsidRPr="00930651" w:rsidRDefault="00E44F1E" w:rsidP="00A217FF">
            <w:pPr>
              <w:ind w:left="0" w:firstLine="0"/>
              <w:rPr>
                <w:rFonts w:asciiTheme="minorHAnsi" w:eastAsia="Times New Roman" w:hAnsiTheme="minorHAnsi" w:cs="Arial"/>
                <w:sz w:val="20"/>
                <w:szCs w:val="20"/>
              </w:rPr>
            </w:pPr>
            <w:r w:rsidRPr="00930651">
              <w:rPr>
                <w:rFonts w:asciiTheme="minorHAnsi" w:hAnsiTheme="minorHAnsi"/>
                <w:sz w:val="20"/>
              </w:rPr>
              <w:t>Provisions pour le personnel</w:t>
            </w:r>
          </w:p>
        </w:tc>
        <w:tc>
          <w:tcPr>
            <w:tcW w:w="1169" w:type="dxa"/>
            <w:tcBorders>
              <w:top w:val="nil"/>
              <w:left w:val="nil"/>
              <w:bottom w:val="single" w:sz="4" w:space="0" w:color="auto"/>
              <w:right w:val="single" w:sz="4" w:space="0" w:color="auto"/>
            </w:tcBorders>
            <w:shd w:val="clear" w:color="auto" w:fill="auto"/>
            <w:noWrap/>
            <w:vAlign w:val="center"/>
          </w:tcPr>
          <w:p w14:paraId="68EB29DB" w14:textId="77777777" w:rsidR="00C03DD1"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20</w:t>
            </w:r>
          </w:p>
        </w:tc>
        <w:tc>
          <w:tcPr>
            <w:tcW w:w="1170" w:type="dxa"/>
            <w:tcBorders>
              <w:top w:val="nil"/>
              <w:left w:val="nil"/>
              <w:bottom w:val="single" w:sz="4" w:space="0" w:color="auto"/>
              <w:right w:val="single" w:sz="4" w:space="0" w:color="auto"/>
            </w:tcBorders>
            <w:shd w:val="clear" w:color="auto" w:fill="auto"/>
            <w:noWrap/>
            <w:vAlign w:val="center"/>
          </w:tcPr>
          <w:p w14:paraId="20B1B6EA" w14:textId="77777777" w:rsidR="00C03DD1"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20</w:t>
            </w:r>
          </w:p>
        </w:tc>
        <w:tc>
          <w:tcPr>
            <w:tcW w:w="1169" w:type="dxa"/>
            <w:tcBorders>
              <w:top w:val="nil"/>
              <w:left w:val="nil"/>
              <w:bottom w:val="single" w:sz="4" w:space="0" w:color="auto"/>
              <w:right w:val="single" w:sz="4" w:space="0" w:color="auto"/>
            </w:tcBorders>
            <w:shd w:val="clear" w:color="auto" w:fill="auto"/>
            <w:noWrap/>
            <w:vAlign w:val="center"/>
          </w:tcPr>
          <w:p w14:paraId="5CC2E840" w14:textId="77777777" w:rsidR="00C03DD1" w:rsidRPr="00930651" w:rsidRDefault="00E44F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20</w:t>
            </w:r>
          </w:p>
        </w:tc>
        <w:tc>
          <w:tcPr>
            <w:tcW w:w="1170" w:type="dxa"/>
            <w:tcBorders>
              <w:top w:val="nil"/>
              <w:left w:val="nil"/>
              <w:bottom w:val="single" w:sz="4" w:space="0" w:color="auto"/>
              <w:right w:val="single" w:sz="4" w:space="0" w:color="auto"/>
            </w:tcBorders>
            <w:shd w:val="clear" w:color="auto" w:fill="auto"/>
            <w:noWrap/>
            <w:vAlign w:val="center"/>
          </w:tcPr>
          <w:p w14:paraId="3C54D6C3" w14:textId="77777777" w:rsidR="00C03DD1"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r>
      <w:tr w:rsidR="00E44F1E" w:rsidRPr="00930651" w14:paraId="37075CBC"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6114A7A2" w14:textId="77777777" w:rsidR="00E44F1E" w:rsidRPr="00930651" w:rsidRDefault="00E44F1E" w:rsidP="00696039">
            <w:pPr>
              <w:ind w:left="0" w:firstLine="0"/>
              <w:rPr>
                <w:rFonts w:asciiTheme="minorHAnsi" w:eastAsia="Times New Roman" w:hAnsiTheme="minorHAnsi" w:cs="Arial"/>
                <w:sz w:val="20"/>
                <w:szCs w:val="20"/>
              </w:rPr>
            </w:pPr>
            <w:r w:rsidRPr="00930651">
              <w:rPr>
                <w:rFonts w:asciiTheme="minorHAnsi" w:hAnsiTheme="minorHAnsi"/>
                <w:sz w:val="20"/>
              </w:rPr>
              <w:t>Provisions pour contributions impayées</w:t>
            </w:r>
          </w:p>
        </w:tc>
        <w:tc>
          <w:tcPr>
            <w:tcW w:w="1169" w:type="dxa"/>
            <w:tcBorders>
              <w:top w:val="nil"/>
              <w:left w:val="nil"/>
              <w:bottom w:val="single" w:sz="4" w:space="0" w:color="auto"/>
              <w:right w:val="single" w:sz="4" w:space="0" w:color="auto"/>
            </w:tcBorders>
            <w:shd w:val="clear" w:color="auto" w:fill="auto"/>
            <w:noWrap/>
            <w:vAlign w:val="center"/>
          </w:tcPr>
          <w:p w14:paraId="706FE158" w14:textId="77777777" w:rsidR="00E44F1E"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70" w:type="dxa"/>
            <w:tcBorders>
              <w:top w:val="nil"/>
              <w:left w:val="nil"/>
              <w:bottom w:val="single" w:sz="4" w:space="0" w:color="auto"/>
              <w:right w:val="single" w:sz="4" w:space="0" w:color="auto"/>
            </w:tcBorders>
            <w:shd w:val="clear" w:color="auto" w:fill="auto"/>
            <w:noWrap/>
            <w:vAlign w:val="center"/>
          </w:tcPr>
          <w:p w14:paraId="0F24D19A" w14:textId="77777777" w:rsidR="00E44F1E"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69" w:type="dxa"/>
            <w:tcBorders>
              <w:top w:val="nil"/>
              <w:left w:val="nil"/>
              <w:bottom w:val="single" w:sz="4" w:space="0" w:color="auto"/>
              <w:right w:val="single" w:sz="4" w:space="0" w:color="auto"/>
            </w:tcBorders>
            <w:shd w:val="clear" w:color="auto" w:fill="auto"/>
            <w:noWrap/>
            <w:vAlign w:val="center"/>
          </w:tcPr>
          <w:p w14:paraId="1289B253" w14:textId="77777777" w:rsidR="00E44F1E" w:rsidRPr="00930651" w:rsidRDefault="00E44F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30</w:t>
            </w:r>
          </w:p>
        </w:tc>
        <w:tc>
          <w:tcPr>
            <w:tcW w:w="1170" w:type="dxa"/>
            <w:tcBorders>
              <w:top w:val="nil"/>
              <w:left w:val="nil"/>
              <w:bottom w:val="single" w:sz="4" w:space="0" w:color="auto"/>
              <w:right w:val="single" w:sz="4" w:space="0" w:color="auto"/>
            </w:tcBorders>
            <w:shd w:val="clear" w:color="auto" w:fill="auto"/>
            <w:noWrap/>
            <w:vAlign w:val="center"/>
          </w:tcPr>
          <w:p w14:paraId="478AE887" w14:textId="77777777" w:rsidR="00E44F1E"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90</w:t>
            </w:r>
          </w:p>
        </w:tc>
      </w:tr>
      <w:tr w:rsidR="00C03DD1" w:rsidRPr="00930651" w14:paraId="6A433A01" w14:textId="77777777" w:rsidTr="008F4A6B">
        <w:tc>
          <w:tcPr>
            <w:tcW w:w="4673" w:type="dxa"/>
            <w:tcBorders>
              <w:top w:val="single" w:sz="4" w:space="0" w:color="auto"/>
              <w:left w:val="single" w:sz="4" w:space="0" w:color="auto"/>
              <w:bottom w:val="nil"/>
              <w:right w:val="single" w:sz="4" w:space="0" w:color="auto"/>
            </w:tcBorders>
            <w:shd w:val="clear" w:color="auto" w:fill="auto"/>
            <w:noWrap/>
            <w:vAlign w:val="center"/>
          </w:tcPr>
          <w:p w14:paraId="307D5C09" w14:textId="77777777" w:rsidR="00C03DD1" w:rsidRPr="00930651" w:rsidRDefault="00C03DD1" w:rsidP="00A217FF">
            <w:pPr>
              <w:ind w:left="0" w:firstLine="0"/>
              <w:rPr>
                <w:rFonts w:asciiTheme="minorHAnsi" w:eastAsia="Times New Roman" w:hAnsiTheme="minorHAnsi" w:cs="Arial"/>
                <w:sz w:val="20"/>
                <w:szCs w:val="20"/>
              </w:rPr>
            </w:pPr>
            <w:r w:rsidRPr="00930651">
              <w:rPr>
                <w:rFonts w:asciiTheme="minorHAnsi" w:hAnsiTheme="minorHAnsi"/>
                <w:sz w:val="20"/>
              </w:rPr>
              <w:t>Services juridiques</w:t>
            </w:r>
          </w:p>
        </w:tc>
        <w:tc>
          <w:tcPr>
            <w:tcW w:w="1169" w:type="dxa"/>
            <w:tcBorders>
              <w:top w:val="nil"/>
              <w:left w:val="nil"/>
              <w:bottom w:val="single" w:sz="4" w:space="0" w:color="auto"/>
              <w:right w:val="single" w:sz="4" w:space="0" w:color="auto"/>
            </w:tcBorders>
            <w:shd w:val="clear" w:color="auto" w:fill="auto"/>
            <w:noWrap/>
            <w:vAlign w:val="center"/>
          </w:tcPr>
          <w:p w14:paraId="54408089" w14:textId="77777777" w:rsidR="00C03DD1" w:rsidRPr="00930651" w:rsidRDefault="00E44F1E"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59</w:t>
            </w:r>
          </w:p>
        </w:tc>
        <w:tc>
          <w:tcPr>
            <w:tcW w:w="1170" w:type="dxa"/>
            <w:tcBorders>
              <w:top w:val="nil"/>
              <w:left w:val="nil"/>
              <w:bottom w:val="single" w:sz="4" w:space="0" w:color="auto"/>
              <w:right w:val="single" w:sz="4" w:space="0" w:color="auto"/>
            </w:tcBorders>
            <w:shd w:val="clear" w:color="auto" w:fill="auto"/>
            <w:noWrap/>
            <w:vAlign w:val="center"/>
          </w:tcPr>
          <w:p w14:paraId="498FFB9C" w14:textId="77777777" w:rsidR="00C03DD1" w:rsidRPr="00930651" w:rsidRDefault="001F3C9F" w:rsidP="00A217FF">
            <w:pPr>
              <w:ind w:left="0" w:firstLine="0"/>
              <w:jc w:val="right"/>
              <w:rPr>
                <w:rFonts w:asciiTheme="minorHAnsi" w:eastAsia="Times New Roman" w:hAnsiTheme="minorHAnsi" w:cs="Arial"/>
                <w:sz w:val="20"/>
                <w:szCs w:val="20"/>
              </w:rPr>
            </w:pPr>
            <w:r w:rsidRPr="00930651">
              <w:rPr>
                <w:rFonts w:asciiTheme="minorHAnsi" w:hAnsiTheme="minorHAnsi"/>
                <w:sz w:val="20"/>
              </w:rPr>
              <w:t>59</w:t>
            </w:r>
          </w:p>
        </w:tc>
        <w:tc>
          <w:tcPr>
            <w:tcW w:w="1169" w:type="dxa"/>
            <w:tcBorders>
              <w:top w:val="single" w:sz="4" w:space="0" w:color="auto"/>
              <w:left w:val="nil"/>
              <w:bottom w:val="nil"/>
              <w:right w:val="single" w:sz="4" w:space="0" w:color="auto"/>
            </w:tcBorders>
            <w:shd w:val="clear" w:color="auto" w:fill="auto"/>
            <w:noWrap/>
            <w:vAlign w:val="center"/>
          </w:tcPr>
          <w:p w14:paraId="33B46278" w14:textId="77777777" w:rsidR="00C03DD1" w:rsidRPr="00930651" w:rsidRDefault="00E44F1E" w:rsidP="00A217FF">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59</w:t>
            </w:r>
          </w:p>
        </w:tc>
        <w:tc>
          <w:tcPr>
            <w:tcW w:w="1170" w:type="dxa"/>
            <w:tcBorders>
              <w:top w:val="nil"/>
              <w:left w:val="nil"/>
              <w:bottom w:val="single" w:sz="4" w:space="0" w:color="auto"/>
              <w:right w:val="single" w:sz="4" w:space="0" w:color="auto"/>
            </w:tcBorders>
            <w:shd w:val="clear" w:color="auto" w:fill="auto"/>
            <w:noWrap/>
            <w:vAlign w:val="center"/>
          </w:tcPr>
          <w:p w14:paraId="2A32646C" w14:textId="77777777" w:rsidR="00C03DD1" w:rsidRPr="00930651" w:rsidRDefault="001F3C9F" w:rsidP="00A217FF">
            <w:pPr>
              <w:ind w:left="0" w:firstLine="0"/>
              <w:jc w:val="right"/>
              <w:rPr>
                <w:rFonts w:asciiTheme="minorHAnsi" w:eastAsia="Times New Roman" w:hAnsiTheme="minorHAnsi" w:cs="Arial"/>
                <w:sz w:val="20"/>
                <w:szCs w:val="20"/>
              </w:rPr>
            </w:pPr>
            <w:r w:rsidRPr="00930651">
              <w:rPr>
                <w:rFonts w:asciiTheme="minorHAnsi" w:hAnsiTheme="minorHAnsi"/>
                <w:sz w:val="20"/>
              </w:rPr>
              <w:t>177</w:t>
            </w:r>
          </w:p>
        </w:tc>
      </w:tr>
      <w:tr w:rsidR="00C03DD1" w:rsidRPr="00930651" w14:paraId="44F646D1" w14:textId="77777777" w:rsidTr="008F4A6B">
        <w:tc>
          <w:tcPr>
            <w:tcW w:w="4673"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015301A" w14:textId="77777777" w:rsidR="00C03DD1" w:rsidRPr="00930651" w:rsidRDefault="00C03DD1" w:rsidP="00A217FF">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MONTANT TOTAL DES DÉPENSES</w:t>
            </w:r>
          </w:p>
        </w:tc>
        <w:tc>
          <w:tcPr>
            <w:tcW w:w="1169" w:type="dxa"/>
            <w:tcBorders>
              <w:top w:val="single" w:sz="4" w:space="0" w:color="auto"/>
              <w:left w:val="nil"/>
              <w:bottom w:val="single" w:sz="4" w:space="0" w:color="auto"/>
              <w:right w:val="single" w:sz="4" w:space="0" w:color="auto"/>
            </w:tcBorders>
            <w:shd w:val="clear" w:color="000000" w:fill="C4D79B"/>
            <w:noWrap/>
            <w:vAlign w:val="center"/>
          </w:tcPr>
          <w:p w14:paraId="37E312F6" w14:textId="77777777" w:rsidR="00C03DD1" w:rsidRPr="00930651" w:rsidRDefault="00C03DD1" w:rsidP="00A217FF">
            <w:pPr>
              <w:ind w:left="0" w:firstLine="0"/>
              <w:jc w:val="right"/>
              <w:rPr>
                <w:rFonts w:asciiTheme="minorHAnsi" w:eastAsia="Times New Roman" w:hAnsiTheme="minorHAnsi" w:cs="Arial"/>
                <w:b/>
                <w:bCs/>
                <w:color w:val="000000"/>
              </w:rPr>
            </w:pPr>
            <w:r w:rsidRPr="00930651">
              <w:rPr>
                <w:rFonts w:asciiTheme="minorHAnsi" w:hAnsiTheme="minorHAnsi"/>
                <w:b/>
                <w:color w:val="000000"/>
              </w:rPr>
              <w:t>5 081</w:t>
            </w:r>
          </w:p>
        </w:tc>
        <w:tc>
          <w:tcPr>
            <w:tcW w:w="1170" w:type="dxa"/>
            <w:tcBorders>
              <w:top w:val="single" w:sz="4" w:space="0" w:color="auto"/>
              <w:left w:val="nil"/>
              <w:bottom w:val="single" w:sz="4" w:space="0" w:color="auto"/>
              <w:right w:val="single" w:sz="4" w:space="0" w:color="auto"/>
            </w:tcBorders>
            <w:shd w:val="clear" w:color="000000" w:fill="C4D79B"/>
            <w:noWrap/>
            <w:vAlign w:val="center"/>
          </w:tcPr>
          <w:p w14:paraId="1D5B4614" w14:textId="77777777" w:rsidR="00C03DD1" w:rsidRPr="00930651" w:rsidRDefault="00C03DD1" w:rsidP="00A217FF">
            <w:pPr>
              <w:ind w:left="0" w:firstLine="0"/>
              <w:jc w:val="right"/>
              <w:rPr>
                <w:rFonts w:asciiTheme="minorHAnsi" w:eastAsia="Times New Roman" w:hAnsiTheme="minorHAnsi" w:cs="Arial"/>
                <w:b/>
                <w:bCs/>
                <w:color w:val="000000"/>
              </w:rPr>
            </w:pPr>
            <w:r w:rsidRPr="00930651">
              <w:rPr>
                <w:rFonts w:asciiTheme="minorHAnsi" w:hAnsiTheme="minorHAnsi"/>
                <w:b/>
                <w:color w:val="000000"/>
              </w:rPr>
              <w:t>5 081</w:t>
            </w:r>
          </w:p>
        </w:tc>
        <w:tc>
          <w:tcPr>
            <w:tcW w:w="1169" w:type="dxa"/>
            <w:tcBorders>
              <w:top w:val="single" w:sz="4" w:space="0" w:color="auto"/>
              <w:left w:val="nil"/>
              <w:bottom w:val="single" w:sz="4" w:space="0" w:color="auto"/>
              <w:right w:val="single" w:sz="4" w:space="0" w:color="auto"/>
            </w:tcBorders>
            <w:shd w:val="clear" w:color="000000" w:fill="C4D79B"/>
            <w:noWrap/>
            <w:vAlign w:val="center"/>
          </w:tcPr>
          <w:p w14:paraId="519C3785" w14:textId="77777777" w:rsidR="00C03DD1" w:rsidRPr="00930651" w:rsidRDefault="00C03DD1" w:rsidP="00A217FF">
            <w:pPr>
              <w:ind w:left="0" w:firstLine="0"/>
              <w:jc w:val="right"/>
              <w:rPr>
                <w:rFonts w:asciiTheme="minorHAnsi" w:eastAsia="Times New Roman" w:hAnsiTheme="minorHAnsi" w:cs="Arial"/>
                <w:b/>
                <w:bCs/>
                <w:color w:val="000000"/>
              </w:rPr>
            </w:pPr>
            <w:r w:rsidRPr="00930651">
              <w:rPr>
                <w:rFonts w:asciiTheme="minorHAnsi" w:hAnsiTheme="minorHAnsi"/>
                <w:b/>
                <w:color w:val="000000"/>
              </w:rPr>
              <w:t>5 081</w:t>
            </w:r>
          </w:p>
        </w:tc>
        <w:tc>
          <w:tcPr>
            <w:tcW w:w="1170" w:type="dxa"/>
            <w:tcBorders>
              <w:top w:val="nil"/>
              <w:left w:val="nil"/>
              <w:bottom w:val="single" w:sz="4" w:space="0" w:color="auto"/>
              <w:right w:val="single" w:sz="4" w:space="0" w:color="auto"/>
            </w:tcBorders>
            <w:shd w:val="clear" w:color="000000" w:fill="C4D79B"/>
            <w:noWrap/>
            <w:vAlign w:val="center"/>
          </w:tcPr>
          <w:p w14:paraId="710AC361" w14:textId="77777777" w:rsidR="00C03DD1" w:rsidRPr="00930651" w:rsidRDefault="00C03DD1" w:rsidP="00A217FF">
            <w:pPr>
              <w:ind w:left="0" w:firstLine="0"/>
              <w:jc w:val="right"/>
              <w:rPr>
                <w:rFonts w:asciiTheme="minorHAnsi" w:eastAsia="Times New Roman" w:hAnsiTheme="minorHAnsi" w:cs="Arial"/>
                <w:b/>
                <w:bCs/>
                <w:color w:val="000000"/>
              </w:rPr>
            </w:pPr>
            <w:r w:rsidRPr="00930651">
              <w:rPr>
                <w:rFonts w:asciiTheme="minorHAnsi" w:hAnsiTheme="minorHAnsi"/>
                <w:b/>
                <w:color w:val="000000"/>
              </w:rPr>
              <w:t>15 243</w:t>
            </w:r>
          </w:p>
        </w:tc>
      </w:tr>
    </w:tbl>
    <w:p w14:paraId="37078D07" w14:textId="77777777" w:rsidR="00024026" w:rsidRPr="00930651" w:rsidRDefault="00024026" w:rsidP="002D28C5">
      <w:pPr>
        <w:rPr>
          <w:rFonts w:cs="Arial"/>
          <w:b/>
        </w:rPr>
      </w:pPr>
    </w:p>
    <w:p w14:paraId="78487F48" w14:textId="77777777" w:rsidR="003D403B" w:rsidRDefault="003D403B">
      <w:pPr>
        <w:rPr>
          <w:b/>
          <w:bCs/>
        </w:rPr>
      </w:pPr>
      <w:r>
        <w:rPr>
          <w:b/>
          <w:bCs/>
        </w:rPr>
        <w:br w:type="page"/>
      </w:r>
    </w:p>
    <w:p w14:paraId="37BA1BDC" w14:textId="1FC8E010" w:rsidR="00C72A9C" w:rsidRPr="00930651" w:rsidRDefault="00C72A9C" w:rsidP="002D28C5">
      <w:pPr>
        <w:rPr>
          <w:rFonts w:cs="Arial"/>
          <w:b/>
        </w:rPr>
      </w:pPr>
      <w:r w:rsidRPr="00930651">
        <w:rPr>
          <w:b/>
          <w:bCs/>
        </w:rPr>
        <w:lastRenderedPageBreak/>
        <w:t>Sc</w:t>
      </w:r>
      <w:r w:rsidR="00BD2743">
        <w:rPr>
          <w:b/>
          <w:bCs/>
        </w:rPr>
        <w:t>é</w:t>
      </w:r>
      <w:r w:rsidRPr="00930651">
        <w:rPr>
          <w:b/>
          <w:bCs/>
        </w:rPr>
        <w:t>nario B, 2,8 % d</w:t>
      </w:r>
      <w:r w:rsidR="00101E52">
        <w:rPr>
          <w:b/>
          <w:bCs/>
        </w:rPr>
        <w:t>’</w:t>
      </w:r>
      <w:r w:rsidRPr="00930651">
        <w:rPr>
          <w:b/>
          <w:bCs/>
        </w:rPr>
        <w:t>augmentation par rapport à la période triennale 2019-2021</w:t>
      </w:r>
    </w:p>
    <w:tbl>
      <w:tblPr>
        <w:tblW w:w="9356" w:type="dxa"/>
        <w:tblInd w:w="-147" w:type="dxa"/>
        <w:tblLayout w:type="fixed"/>
        <w:tblLook w:val="04A0" w:firstRow="1" w:lastRow="0" w:firstColumn="1" w:lastColumn="0" w:noHBand="0" w:noVBand="1"/>
      </w:tblPr>
      <w:tblGrid>
        <w:gridCol w:w="4678"/>
        <w:gridCol w:w="1169"/>
        <w:gridCol w:w="1170"/>
        <w:gridCol w:w="1169"/>
        <w:gridCol w:w="1170"/>
      </w:tblGrid>
      <w:tr w:rsidR="002D28C5" w:rsidRPr="003D403B" w14:paraId="2A3311F7" w14:textId="77777777" w:rsidTr="008F4A6B">
        <w:tc>
          <w:tcPr>
            <w:tcW w:w="4678"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79CBAA59" w14:textId="10E7200A" w:rsidR="002D28C5" w:rsidRPr="003D403B" w:rsidRDefault="002D28C5" w:rsidP="004E4C83">
            <w:pPr>
              <w:ind w:left="0" w:firstLine="0"/>
              <w:rPr>
                <w:rFonts w:eastAsia="Times New Roman" w:cs="Arial"/>
                <w:b/>
                <w:bCs/>
                <w:color w:val="1F497D"/>
                <w:sz w:val="20"/>
                <w:szCs w:val="20"/>
              </w:rPr>
            </w:pPr>
            <w:r w:rsidRPr="003D403B">
              <w:rPr>
                <w:b/>
                <w:color w:val="1F497D"/>
                <w:sz w:val="20"/>
                <w:szCs w:val="20"/>
              </w:rPr>
              <w:t>2,8 % d</w:t>
            </w:r>
            <w:r w:rsidR="00101E52" w:rsidRPr="003D403B">
              <w:rPr>
                <w:b/>
                <w:color w:val="1F497D"/>
                <w:sz w:val="20"/>
                <w:szCs w:val="20"/>
              </w:rPr>
              <w:t>’</w:t>
            </w:r>
            <w:r w:rsidRPr="003D403B">
              <w:rPr>
                <w:b/>
                <w:color w:val="1F497D"/>
                <w:sz w:val="20"/>
                <w:szCs w:val="20"/>
              </w:rPr>
              <w:t>augmentation, budget proposé 2023-2025</w:t>
            </w:r>
            <w:r w:rsidR="003D403B">
              <w:rPr>
                <w:b/>
                <w:color w:val="1F497D"/>
                <w:sz w:val="20"/>
                <w:szCs w:val="20"/>
              </w:rPr>
              <w:br/>
            </w:r>
            <w:r w:rsidR="003D403B" w:rsidRPr="003D403B">
              <w:rPr>
                <w:rFonts w:asciiTheme="minorHAnsi" w:hAnsiTheme="minorHAnsi"/>
                <w:b/>
                <w:color w:val="1F497D"/>
                <w:sz w:val="20"/>
                <w:szCs w:val="20"/>
              </w:rPr>
              <w:t>en milliers de CHF</w:t>
            </w:r>
          </w:p>
        </w:tc>
        <w:tc>
          <w:tcPr>
            <w:tcW w:w="1169" w:type="dxa"/>
            <w:tcBorders>
              <w:top w:val="single" w:sz="4" w:space="0" w:color="auto"/>
              <w:left w:val="nil"/>
              <w:bottom w:val="single" w:sz="4" w:space="0" w:color="auto"/>
              <w:right w:val="single" w:sz="4" w:space="0" w:color="auto"/>
            </w:tcBorders>
            <w:shd w:val="clear" w:color="000000" w:fill="EBF1DE"/>
            <w:vAlign w:val="center"/>
            <w:hideMark/>
          </w:tcPr>
          <w:p w14:paraId="155319F6" w14:textId="77777777" w:rsidR="002D28C5" w:rsidRPr="003D403B" w:rsidRDefault="002D28C5" w:rsidP="00D57BC7">
            <w:pPr>
              <w:ind w:left="0" w:firstLine="0"/>
              <w:jc w:val="center"/>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Budget 2023</w:t>
            </w:r>
          </w:p>
        </w:tc>
        <w:tc>
          <w:tcPr>
            <w:tcW w:w="1170" w:type="dxa"/>
            <w:tcBorders>
              <w:top w:val="single" w:sz="4" w:space="0" w:color="auto"/>
              <w:left w:val="nil"/>
              <w:bottom w:val="single" w:sz="4" w:space="0" w:color="auto"/>
              <w:right w:val="single" w:sz="4" w:space="0" w:color="auto"/>
            </w:tcBorders>
            <w:shd w:val="clear" w:color="000000" w:fill="EBF1DE"/>
            <w:vAlign w:val="center"/>
            <w:hideMark/>
          </w:tcPr>
          <w:p w14:paraId="3017AF23" w14:textId="77777777" w:rsidR="002D28C5" w:rsidRPr="003D403B" w:rsidRDefault="002D28C5" w:rsidP="00A26E01">
            <w:pPr>
              <w:ind w:left="0" w:firstLine="0"/>
              <w:jc w:val="center"/>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Budget 2024</w:t>
            </w:r>
          </w:p>
        </w:tc>
        <w:tc>
          <w:tcPr>
            <w:tcW w:w="1169" w:type="dxa"/>
            <w:tcBorders>
              <w:top w:val="single" w:sz="4" w:space="0" w:color="auto"/>
              <w:left w:val="nil"/>
              <w:bottom w:val="single" w:sz="4" w:space="0" w:color="auto"/>
              <w:right w:val="single" w:sz="4" w:space="0" w:color="auto"/>
            </w:tcBorders>
            <w:shd w:val="clear" w:color="000000" w:fill="EBF1DE"/>
            <w:vAlign w:val="center"/>
            <w:hideMark/>
          </w:tcPr>
          <w:p w14:paraId="17A6911B" w14:textId="77777777" w:rsidR="002D28C5" w:rsidRPr="003D403B" w:rsidRDefault="002D28C5" w:rsidP="004E4C83">
            <w:pPr>
              <w:ind w:left="0" w:firstLine="0"/>
              <w:jc w:val="center"/>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Budget 2025</w:t>
            </w:r>
          </w:p>
        </w:tc>
        <w:tc>
          <w:tcPr>
            <w:tcW w:w="1170" w:type="dxa"/>
            <w:tcBorders>
              <w:top w:val="single" w:sz="4" w:space="0" w:color="auto"/>
              <w:left w:val="nil"/>
              <w:bottom w:val="single" w:sz="4" w:space="0" w:color="auto"/>
              <w:right w:val="single" w:sz="4" w:space="0" w:color="auto"/>
            </w:tcBorders>
            <w:shd w:val="clear" w:color="000000" w:fill="EBF1DE"/>
            <w:vAlign w:val="center"/>
            <w:hideMark/>
          </w:tcPr>
          <w:p w14:paraId="6C1985E8" w14:textId="77777777" w:rsidR="002D28C5" w:rsidRPr="003D403B" w:rsidRDefault="002D28C5" w:rsidP="00DC0EBF">
            <w:pPr>
              <w:ind w:left="0" w:firstLine="0"/>
              <w:jc w:val="center"/>
              <w:rPr>
                <w:rFonts w:asciiTheme="minorHAnsi" w:eastAsia="Times New Roman" w:hAnsiTheme="minorHAnsi" w:cs="Arial"/>
                <w:b/>
                <w:bCs/>
                <w:color w:val="1F497D"/>
                <w:sz w:val="20"/>
                <w:szCs w:val="20"/>
              </w:rPr>
            </w:pPr>
            <w:r w:rsidRPr="003D403B">
              <w:rPr>
                <w:rFonts w:asciiTheme="minorHAnsi" w:hAnsiTheme="minorHAnsi"/>
                <w:b/>
                <w:color w:val="1F497D"/>
                <w:sz w:val="20"/>
                <w:szCs w:val="20"/>
              </w:rPr>
              <w:t>Total Budget 2023-2025</w:t>
            </w:r>
          </w:p>
        </w:tc>
      </w:tr>
      <w:tr w:rsidR="002D28C5" w:rsidRPr="00930651" w14:paraId="20D3D6C7" w14:textId="77777777" w:rsidTr="008F4A6B">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4550F" w14:textId="77777777" w:rsidR="002D28C5" w:rsidRPr="00930651" w:rsidRDefault="002D28C5" w:rsidP="00A26E01">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REVENUS</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03A020CE"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1173815"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62CF4EC6"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60DF744"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 </w:t>
            </w:r>
          </w:p>
        </w:tc>
      </w:tr>
      <w:tr w:rsidR="002D28C5" w:rsidRPr="00930651" w14:paraId="6E2A368C"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79E3596B"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Contributions des Parties contractantes</w:t>
            </w:r>
          </w:p>
        </w:tc>
        <w:tc>
          <w:tcPr>
            <w:tcW w:w="1169" w:type="dxa"/>
            <w:tcBorders>
              <w:top w:val="nil"/>
              <w:left w:val="nil"/>
              <w:bottom w:val="single" w:sz="4" w:space="0" w:color="auto"/>
              <w:right w:val="single" w:sz="4" w:space="0" w:color="auto"/>
            </w:tcBorders>
            <w:shd w:val="clear" w:color="auto" w:fill="auto"/>
            <w:noWrap/>
            <w:vAlign w:val="center"/>
            <w:hideMark/>
          </w:tcPr>
          <w:p w14:paraId="21EA68DE" w14:textId="77777777" w:rsidR="002D28C5" w:rsidRPr="00930651" w:rsidRDefault="00DD4C66" w:rsidP="00A26E01">
            <w:pPr>
              <w:ind w:left="0" w:firstLine="0"/>
              <w:jc w:val="right"/>
              <w:rPr>
                <w:rFonts w:eastAsia="Times New Roman" w:cs="Arial"/>
                <w:sz w:val="20"/>
                <w:szCs w:val="20"/>
              </w:rPr>
            </w:pPr>
            <w:r w:rsidRPr="00930651">
              <w:rPr>
                <w:sz w:val="20"/>
              </w:rPr>
              <w:t>3 878</w:t>
            </w:r>
          </w:p>
        </w:tc>
        <w:tc>
          <w:tcPr>
            <w:tcW w:w="1170" w:type="dxa"/>
            <w:tcBorders>
              <w:top w:val="nil"/>
              <w:left w:val="nil"/>
              <w:bottom w:val="single" w:sz="4" w:space="0" w:color="auto"/>
              <w:right w:val="single" w:sz="4" w:space="0" w:color="auto"/>
            </w:tcBorders>
            <w:shd w:val="clear" w:color="auto" w:fill="auto"/>
            <w:noWrap/>
            <w:vAlign w:val="center"/>
            <w:hideMark/>
          </w:tcPr>
          <w:p w14:paraId="38C5BE07" w14:textId="77777777" w:rsidR="002D28C5" w:rsidRPr="00930651" w:rsidRDefault="00DD4C66" w:rsidP="00A26E01">
            <w:pPr>
              <w:ind w:left="0" w:firstLine="0"/>
              <w:jc w:val="right"/>
              <w:rPr>
                <w:rFonts w:eastAsia="Times New Roman" w:cs="Arial"/>
                <w:sz w:val="20"/>
                <w:szCs w:val="20"/>
              </w:rPr>
            </w:pPr>
            <w:r w:rsidRPr="00930651">
              <w:rPr>
                <w:sz w:val="20"/>
              </w:rPr>
              <w:t>3 878</w:t>
            </w:r>
          </w:p>
        </w:tc>
        <w:tc>
          <w:tcPr>
            <w:tcW w:w="1169" w:type="dxa"/>
            <w:tcBorders>
              <w:top w:val="nil"/>
              <w:left w:val="nil"/>
              <w:bottom w:val="single" w:sz="4" w:space="0" w:color="auto"/>
              <w:right w:val="single" w:sz="4" w:space="0" w:color="auto"/>
            </w:tcBorders>
            <w:shd w:val="clear" w:color="auto" w:fill="auto"/>
            <w:noWrap/>
            <w:vAlign w:val="center"/>
            <w:hideMark/>
          </w:tcPr>
          <w:p w14:paraId="1517E0EC" w14:textId="77777777" w:rsidR="002D28C5" w:rsidRPr="00930651" w:rsidRDefault="00DD4C66" w:rsidP="00A26E01">
            <w:pPr>
              <w:ind w:left="0" w:firstLine="0"/>
              <w:jc w:val="right"/>
              <w:rPr>
                <w:rFonts w:eastAsia="Times New Roman" w:cs="Arial"/>
                <w:color w:val="000000"/>
                <w:sz w:val="20"/>
                <w:szCs w:val="20"/>
              </w:rPr>
            </w:pPr>
            <w:r w:rsidRPr="00930651">
              <w:rPr>
                <w:color w:val="000000"/>
                <w:sz w:val="20"/>
              </w:rPr>
              <w:t>3 878</w:t>
            </w:r>
          </w:p>
        </w:tc>
        <w:tc>
          <w:tcPr>
            <w:tcW w:w="1170" w:type="dxa"/>
            <w:tcBorders>
              <w:top w:val="nil"/>
              <w:left w:val="nil"/>
              <w:bottom w:val="single" w:sz="4" w:space="0" w:color="auto"/>
              <w:right w:val="single" w:sz="4" w:space="0" w:color="auto"/>
            </w:tcBorders>
            <w:shd w:val="clear" w:color="auto" w:fill="auto"/>
            <w:noWrap/>
            <w:vAlign w:val="center"/>
            <w:hideMark/>
          </w:tcPr>
          <w:p w14:paraId="501C710F" w14:textId="77777777" w:rsidR="002D28C5" w:rsidRPr="00930651" w:rsidRDefault="00DD4C66" w:rsidP="008F481B">
            <w:pPr>
              <w:ind w:left="0" w:firstLine="0"/>
              <w:jc w:val="right"/>
              <w:rPr>
                <w:rFonts w:eastAsia="Times New Roman" w:cs="Arial"/>
                <w:sz w:val="20"/>
                <w:szCs w:val="20"/>
              </w:rPr>
            </w:pPr>
            <w:r w:rsidRPr="00930651">
              <w:rPr>
                <w:sz w:val="20"/>
              </w:rPr>
              <w:t>11 634</w:t>
            </w:r>
          </w:p>
        </w:tc>
      </w:tr>
      <w:tr w:rsidR="002D28C5" w:rsidRPr="00930651" w14:paraId="4143724A"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647B7A7D"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Contributions volontaires</w:t>
            </w:r>
          </w:p>
        </w:tc>
        <w:tc>
          <w:tcPr>
            <w:tcW w:w="1169" w:type="dxa"/>
            <w:tcBorders>
              <w:top w:val="nil"/>
              <w:left w:val="nil"/>
              <w:bottom w:val="single" w:sz="4" w:space="0" w:color="auto"/>
              <w:right w:val="single" w:sz="4" w:space="0" w:color="auto"/>
            </w:tcBorders>
            <w:shd w:val="clear" w:color="auto" w:fill="auto"/>
            <w:noWrap/>
            <w:vAlign w:val="center"/>
            <w:hideMark/>
          </w:tcPr>
          <w:p w14:paraId="70170152" w14:textId="77777777" w:rsidR="002D28C5" w:rsidRPr="00930651" w:rsidRDefault="00D57BC7" w:rsidP="00A26E01">
            <w:pPr>
              <w:ind w:left="0" w:firstLine="0"/>
              <w:jc w:val="right"/>
              <w:rPr>
                <w:rFonts w:eastAsia="Times New Roman" w:cs="Arial"/>
                <w:sz w:val="20"/>
                <w:szCs w:val="20"/>
              </w:rPr>
            </w:pPr>
            <w:r w:rsidRPr="00930651">
              <w:rPr>
                <w:sz w:val="20"/>
              </w:rPr>
              <w:t>1 094</w:t>
            </w:r>
          </w:p>
        </w:tc>
        <w:tc>
          <w:tcPr>
            <w:tcW w:w="1170" w:type="dxa"/>
            <w:tcBorders>
              <w:top w:val="nil"/>
              <w:left w:val="nil"/>
              <w:bottom w:val="single" w:sz="4" w:space="0" w:color="auto"/>
              <w:right w:val="single" w:sz="4" w:space="0" w:color="auto"/>
            </w:tcBorders>
            <w:shd w:val="clear" w:color="auto" w:fill="auto"/>
            <w:noWrap/>
            <w:vAlign w:val="center"/>
            <w:hideMark/>
          </w:tcPr>
          <w:p w14:paraId="3D9AA6EB" w14:textId="77777777" w:rsidR="002D28C5" w:rsidRPr="00930651" w:rsidRDefault="00D57BC7" w:rsidP="00A26E01">
            <w:pPr>
              <w:ind w:left="0" w:firstLine="0"/>
              <w:jc w:val="right"/>
              <w:rPr>
                <w:rFonts w:eastAsia="Times New Roman" w:cs="Arial"/>
                <w:sz w:val="20"/>
                <w:szCs w:val="20"/>
              </w:rPr>
            </w:pPr>
            <w:r w:rsidRPr="00930651">
              <w:rPr>
                <w:sz w:val="20"/>
              </w:rPr>
              <w:t>1 094</w:t>
            </w:r>
          </w:p>
        </w:tc>
        <w:tc>
          <w:tcPr>
            <w:tcW w:w="1169" w:type="dxa"/>
            <w:tcBorders>
              <w:top w:val="nil"/>
              <w:left w:val="nil"/>
              <w:bottom w:val="single" w:sz="4" w:space="0" w:color="auto"/>
              <w:right w:val="single" w:sz="4" w:space="0" w:color="auto"/>
            </w:tcBorders>
            <w:shd w:val="clear" w:color="auto" w:fill="auto"/>
            <w:noWrap/>
            <w:vAlign w:val="center"/>
            <w:hideMark/>
          </w:tcPr>
          <w:p w14:paraId="71025039" w14:textId="77777777" w:rsidR="002D28C5" w:rsidRPr="00930651" w:rsidRDefault="00D57BC7" w:rsidP="00A26E01">
            <w:pPr>
              <w:ind w:left="0" w:firstLine="0"/>
              <w:jc w:val="right"/>
              <w:rPr>
                <w:rFonts w:eastAsia="Times New Roman" w:cs="Arial"/>
                <w:color w:val="000000"/>
                <w:sz w:val="20"/>
                <w:szCs w:val="20"/>
              </w:rPr>
            </w:pPr>
            <w:r w:rsidRPr="00930651">
              <w:rPr>
                <w:color w:val="000000"/>
                <w:sz w:val="20"/>
              </w:rPr>
              <w:t>1 094</w:t>
            </w:r>
          </w:p>
        </w:tc>
        <w:tc>
          <w:tcPr>
            <w:tcW w:w="1170" w:type="dxa"/>
            <w:tcBorders>
              <w:top w:val="nil"/>
              <w:left w:val="nil"/>
              <w:bottom w:val="single" w:sz="4" w:space="0" w:color="auto"/>
              <w:right w:val="single" w:sz="4" w:space="0" w:color="auto"/>
            </w:tcBorders>
            <w:shd w:val="clear" w:color="auto" w:fill="auto"/>
            <w:noWrap/>
            <w:vAlign w:val="center"/>
            <w:hideMark/>
          </w:tcPr>
          <w:p w14:paraId="00CC8629" w14:textId="77777777" w:rsidR="002D28C5" w:rsidRPr="00930651" w:rsidRDefault="00D57BC7" w:rsidP="00A26E01">
            <w:pPr>
              <w:ind w:left="0" w:firstLine="0"/>
              <w:jc w:val="right"/>
              <w:rPr>
                <w:rFonts w:eastAsia="Times New Roman" w:cs="Arial"/>
                <w:sz w:val="20"/>
                <w:szCs w:val="20"/>
              </w:rPr>
            </w:pPr>
            <w:r w:rsidRPr="00930651">
              <w:rPr>
                <w:sz w:val="20"/>
              </w:rPr>
              <w:t>3 282</w:t>
            </w:r>
          </w:p>
        </w:tc>
      </w:tr>
      <w:tr w:rsidR="002D28C5" w:rsidRPr="00930651" w14:paraId="085AE5AA"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53845ED8"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Impôts</w:t>
            </w:r>
          </w:p>
        </w:tc>
        <w:tc>
          <w:tcPr>
            <w:tcW w:w="1169" w:type="dxa"/>
            <w:tcBorders>
              <w:top w:val="nil"/>
              <w:left w:val="nil"/>
              <w:bottom w:val="single" w:sz="4" w:space="0" w:color="auto"/>
              <w:right w:val="single" w:sz="4" w:space="0" w:color="auto"/>
            </w:tcBorders>
            <w:shd w:val="clear" w:color="auto" w:fill="auto"/>
            <w:noWrap/>
            <w:vAlign w:val="center"/>
            <w:hideMark/>
          </w:tcPr>
          <w:p w14:paraId="1837613C" w14:textId="77777777" w:rsidR="002D28C5" w:rsidRPr="00930651" w:rsidRDefault="002D28C5" w:rsidP="00A26E01">
            <w:pPr>
              <w:ind w:left="0" w:firstLine="0"/>
              <w:jc w:val="right"/>
              <w:rPr>
                <w:rFonts w:eastAsia="Times New Roman" w:cs="Arial"/>
                <w:sz w:val="20"/>
                <w:szCs w:val="20"/>
              </w:rPr>
            </w:pPr>
            <w:r w:rsidRPr="00930651">
              <w:rPr>
                <w:sz w:val="20"/>
              </w:rPr>
              <w:t>243</w:t>
            </w:r>
          </w:p>
        </w:tc>
        <w:tc>
          <w:tcPr>
            <w:tcW w:w="1170" w:type="dxa"/>
            <w:tcBorders>
              <w:top w:val="nil"/>
              <w:left w:val="nil"/>
              <w:bottom w:val="single" w:sz="4" w:space="0" w:color="auto"/>
              <w:right w:val="single" w:sz="4" w:space="0" w:color="auto"/>
            </w:tcBorders>
            <w:shd w:val="clear" w:color="auto" w:fill="auto"/>
            <w:noWrap/>
            <w:vAlign w:val="center"/>
            <w:hideMark/>
          </w:tcPr>
          <w:p w14:paraId="1F99E954" w14:textId="77777777" w:rsidR="002D28C5" w:rsidRPr="00930651" w:rsidRDefault="002D28C5" w:rsidP="00A26E01">
            <w:pPr>
              <w:ind w:left="0" w:firstLine="0"/>
              <w:jc w:val="right"/>
              <w:rPr>
                <w:rFonts w:eastAsia="Times New Roman" w:cs="Arial"/>
                <w:sz w:val="20"/>
                <w:szCs w:val="20"/>
              </w:rPr>
            </w:pPr>
            <w:r w:rsidRPr="00930651">
              <w:rPr>
                <w:sz w:val="20"/>
              </w:rPr>
              <w:t>243</w:t>
            </w:r>
          </w:p>
        </w:tc>
        <w:tc>
          <w:tcPr>
            <w:tcW w:w="1169" w:type="dxa"/>
            <w:tcBorders>
              <w:top w:val="nil"/>
              <w:left w:val="nil"/>
              <w:bottom w:val="single" w:sz="4" w:space="0" w:color="auto"/>
              <w:right w:val="single" w:sz="4" w:space="0" w:color="auto"/>
            </w:tcBorders>
            <w:shd w:val="clear" w:color="auto" w:fill="auto"/>
            <w:noWrap/>
            <w:vAlign w:val="center"/>
            <w:hideMark/>
          </w:tcPr>
          <w:p w14:paraId="6E990DA2" w14:textId="77777777" w:rsidR="002D28C5" w:rsidRPr="00930651" w:rsidRDefault="002D28C5" w:rsidP="00A26E01">
            <w:pPr>
              <w:ind w:left="0" w:firstLine="0"/>
              <w:jc w:val="right"/>
              <w:rPr>
                <w:rFonts w:eastAsia="Times New Roman" w:cs="Arial"/>
                <w:color w:val="000000"/>
                <w:sz w:val="20"/>
                <w:szCs w:val="20"/>
              </w:rPr>
            </w:pPr>
            <w:r w:rsidRPr="00930651">
              <w:rPr>
                <w:color w:val="000000"/>
                <w:sz w:val="20"/>
              </w:rPr>
              <w:t>243</w:t>
            </w:r>
          </w:p>
        </w:tc>
        <w:tc>
          <w:tcPr>
            <w:tcW w:w="1170" w:type="dxa"/>
            <w:tcBorders>
              <w:top w:val="nil"/>
              <w:left w:val="nil"/>
              <w:bottom w:val="single" w:sz="4" w:space="0" w:color="auto"/>
              <w:right w:val="single" w:sz="4" w:space="0" w:color="auto"/>
            </w:tcBorders>
            <w:shd w:val="clear" w:color="auto" w:fill="auto"/>
            <w:noWrap/>
            <w:vAlign w:val="center"/>
            <w:hideMark/>
          </w:tcPr>
          <w:p w14:paraId="00AD030E" w14:textId="77777777" w:rsidR="002D28C5" w:rsidRPr="00930651" w:rsidRDefault="002D28C5" w:rsidP="00A26E01">
            <w:pPr>
              <w:ind w:left="0" w:firstLine="0"/>
              <w:jc w:val="right"/>
              <w:rPr>
                <w:rFonts w:eastAsia="Times New Roman" w:cs="Arial"/>
                <w:sz w:val="20"/>
                <w:szCs w:val="20"/>
              </w:rPr>
            </w:pPr>
            <w:r w:rsidRPr="00930651">
              <w:rPr>
                <w:sz w:val="20"/>
              </w:rPr>
              <w:t>729</w:t>
            </w:r>
          </w:p>
        </w:tc>
      </w:tr>
      <w:tr w:rsidR="002D28C5" w:rsidRPr="00930651" w14:paraId="3F1E68C6" w14:textId="77777777" w:rsidTr="008F4A6B">
        <w:tc>
          <w:tcPr>
            <w:tcW w:w="4678" w:type="dxa"/>
            <w:tcBorders>
              <w:top w:val="nil"/>
              <w:left w:val="single" w:sz="4" w:space="0" w:color="auto"/>
              <w:bottom w:val="nil"/>
              <w:right w:val="single" w:sz="4" w:space="0" w:color="auto"/>
            </w:tcBorders>
            <w:shd w:val="clear" w:color="auto" w:fill="auto"/>
            <w:noWrap/>
            <w:vAlign w:val="center"/>
            <w:hideMark/>
          </w:tcPr>
          <w:p w14:paraId="2229595E" w14:textId="56B7557B"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Revenus d</w:t>
            </w:r>
            <w:r w:rsidR="00101E52">
              <w:rPr>
                <w:rFonts w:asciiTheme="minorHAnsi" w:hAnsiTheme="minorHAnsi"/>
                <w:color w:val="000000"/>
                <w:sz w:val="20"/>
              </w:rPr>
              <w:t>’</w:t>
            </w:r>
            <w:r w:rsidRPr="00930651">
              <w:rPr>
                <w:rFonts w:asciiTheme="minorHAnsi" w:hAnsiTheme="minorHAnsi"/>
                <w:color w:val="000000"/>
                <w:sz w:val="20"/>
              </w:rPr>
              <w:t>intérêts</w:t>
            </w:r>
          </w:p>
        </w:tc>
        <w:tc>
          <w:tcPr>
            <w:tcW w:w="1169" w:type="dxa"/>
            <w:tcBorders>
              <w:top w:val="nil"/>
              <w:left w:val="nil"/>
              <w:bottom w:val="single" w:sz="4" w:space="0" w:color="auto"/>
              <w:right w:val="single" w:sz="4" w:space="0" w:color="auto"/>
            </w:tcBorders>
            <w:shd w:val="clear" w:color="auto" w:fill="auto"/>
            <w:noWrap/>
            <w:vAlign w:val="center"/>
            <w:hideMark/>
          </w:tcPr>
          <w:p w14:paraId="27562961" w14:textId="77777777" w:rsidR="002D28C5" w:rsidRPr="00930651" w:rsidRDefault="002D28C5" w:rsidP="00DC0EBF">
            <w:pPr>
              <w:ind w:left="0" w:firstLine="0"/>
              <w:jc w:val="right"/>
              <w:rPr>
                <w:rFonts w:eastAsia="Times New Roman" w:cs="Arial"/>
                <w:sz w:val="20"/>
                <w:szCs w:val="20"/>
              </w:rPr>
            </w:pPr>
            <w:r w:rsidRPr="00930651">
              <w:rPr>
                <w:sz w:val="20"/>
              </w:rPr>
              <w:t>12</w:t>
            </w:r>
          </w:p>
        </w:tc>
        <w:tc>
          <w:tcPr>
            <w:tcW w:w="1170" w:type="dxa"/>
            <w:tcBorders>
              <w:top w:val="nil"/>
              <w:left w:val="nil"/>
              <w:bottom w:val="single" w:sz="4" w:space="0" w:color="auto"/>
              <w:right w:val="single" w:sz="4" w:space="0" w:color="auto"/>
            </w:tcBorders>
            <w:shd w:val="clear" w:color="auto" w:fill="auto"/>
            <w:noWrap/>
            <w:vAlign w:val="center"/>
            <w:hideMark/>
          </w:tcPr>
          <w:p w14:paraId="2F7E2F3D" w14:textId="77777777" w:rsidR="002D28C5" w:rsidRPr="00930651" w:rsidRDefault="00D57BC7" w:rsidP="00A26E01">
            <w:pPr>
              <w:ind w:left="0" w:firstLine="0"/>
              <w:jc w:val="right"/>
              <w:rPr>
                <w:rFonts w:eastAsia="Times New Roman" w:cs="Arial"/>
                <w:sz w:val="20"/>
                <w:szCs w:val="20"/>
              </w:rPr>
            </w:pPr>
            <w:r w:rsidRPr="00930651">
              <w:rPr>
                <w:sz w:val="20"/>
              </w:rPr>
              <w:t>12</w:t>
            </w:r>
          </w:p>
        </w:tc>
        <w:tc>
          <w:tcPr>
            <w:tcW w:w="1169" w:type="dxa"/>
            <w:tcBorders>
              <w:top w:val="nil"/>
              <w:left w:val="nil"/>
              <w:bottom w:val="single" w:sz="4" w:space="0" w:color="auto"/>
              <w:right w:val="single" w:sz="4" w:space="0" w:color="auto"/>
            </w:tcBorders>
            <w:shd w:val="clear" w:color="auto" w:fill="auto"/>
            <w:noWrap/>
            <w:vAlign w:val="center"/>
            <w:hideMark/>
          </w:tcPr>
          <w:p w14:paraId="16E713D0" w14:textId="77777777" w:rsidR="002D28C5" w:rsidRPr="00930651" w:rsidRDefault="00D57BC7" w:rsidP="00A26E01">
            <w:pPr>
              <w:ind w:left="0" w:firstLine="0"/>
              <w:jc w:val="right"/>
              <w:rPr>
                <w:rFonts w:eastAsia="Times New Roman" w:cs="Arial"/>
                <w:color w:val="000000"/>
                <w:sz w:val="20"/>
                <w:szCs w:val="20"/>
              </w:rPr>
            </w:pPr>
            <w:r w:rsidRPr="00930651">
              <w:rPr>
                <w:color w:val="000000"/>
                <w:sz w:val="20"/>
              </w:rPr>
              <w:t>12</w:t>
            </w:r>
          </w:p>
        </w:tc>
        <w:tc>
          <w:tcPr>
            <w:tcW w:w="1170" w:type="dxa"/>
            <w:tcBorders>
              <w:top w:val="nil"/>
              <w:left w:val="nil"/>
              <w:bottom w:val="single" w:sz="4" w:space="0" w:color="auto"/>
              <w:right w:val="single" w:sz="4" w:space="0" w:color="auto"/>
            </w:tcBorders>
            <w:shd w:val="clear" w:color="auto" w:fill="auto"/>
            <w:noWrap/>
            <w:vAlign w:val="center"/>
            <w:hideMark/>
          </w:tcPr>
          <w:p w14:paraId="39EFC9D3" w14:textId="77777777" w:rsidR="002D28C5" w:rsidRPr="00930651" w:rsidRDefault="00D57BC7" w:rsidP="00A26E01">
            <w:pPr>
              <w:ind w:left="0" w:firstLine="0"/>
              <w:jc w:val="right"/>
              <w:rPr>
                <w:rFonts w:eastAsia="Times New Roman" w:cs="Arial"/>
                <w:sz w:val="20"/>
                <w:szCs w:val="20"/>
              </w:rPr>
            </w:pPr>
            <w:r w:rsidRPr="00930651">
              <w:rPr>
                <w:sz w:val="20"/>
              </w:rPr>
              <w:t>36</w:t>
            </w:r>
          </w:p>
        </w:tc>
      </w:tr>
      <w:tr w:rsidR="002D28C5" w:rsidRPr="00930651" w14:paraId="6A83404B" w14:textId="77777777" w:rsidTr="008F4A6B">
        <w:tc>
          <w:tcPr>
            <w:tcW w:w="467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CA6503F" w14:textId="77777777" w:rsidR="002D28C5" w:rsidRPr="00930651" w:rsidRDefault="002D28C5" w:rsidP="00A26E01">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TOTAL DES REVENUS</w:t>
            </w:r>
          </w:p>
        </w:tc>
        <w:tc>
          <w:tcPr>
            <w:tcW w:w="1169" w:type="dxa"/>
            <w:tcBorders>
              <w:top w:val="single" w:sz="4" w:space="0" w:color="auto"/>
              <w:left w:val="nil"/>
              <w:bottom w:val="single" w:sz="4" w:space="0" w:color="auto"/>
              <w:right w:val="single" w:sz="4" w:space="0" w:color="auto"/>
            </w:tcBorders>
            <w:shd w:val="clear" w:color="000000" w:fill="C4D79B"/>
            <w:noWrap/>
            <w:vAlign w:val="center"/>
            <w:hideMark/>
          </w:tcPr>
          <w:p w14:paraId="63612BF8" w14:textId="77777777" w:rsidR="002D28C5" w:rsidRPr="00930651" w:rsidRDefault="00CB2EC4" w:rsidP="00DC0EBF">
            <w:pPr>
              <w:ind w:left="0" w:firstLine="0"/>
              <w:jc w:val="right"/>
              <w:rPr>
                <w:rFonts w:eastAsia="Times New Roman" w:cs="Arial"/>
                <w:b/>
                <w:bCs/>
                <w:color w:val="000000"/>
              </w:rPr>
            </w:pPr>
            <w:r w:rsidRPr="00930651">
              <w:rPr>
                <w:b/>
                <w:color w:val="000000"/>
              </w:rPr>
              <w:t>5 227</w:t>
            </w:r>
          </w:p>
        </w:tc>
        <w:tc>
          <w:tcPr>
            <w:tcW w:w="1170" w:type="dxa"/>
            <w:tcBorders>
              <w:top w:val="single" w:sz="4" w:space="0" w:color="auto"/>
              <w:left w:val="nil"/>
              <w:bottom w:val="single" w:sz="4" w:space="0" w:color="auto"/>
              <w:right w:val="single" w:sz="4" w:space="0" w:color="auto"/>
            </w:tcBorders>
            <w:shd w:val="clear" w:color="000000" w:fill="C4D79B"/>
            <w:noWrap/>
            <w:vAlign w:val="center"/>
            <w:hideMark/>
          </w:tcPr>
          <w:p w14:paraId="21E0B3F2" w14:textId="77777777" w:rsidR="002D28C5" w:rsidRPr="00930651" w:rsidRDefault="00CB2EC4" w:rsidP="00227C59">
            <w:pPr>
              <w:ind w:left="0" w:firstLine="0"/>
              <w:jc w:val="right"/>
              <w:rPr>
                <w:rFonts w:eastAsia="Times New Roman" w:cs="Arial"/>
                <w:b/>
                <w:bCs/>
                <w:color w:val="000000"/>
              </w:rPr>
            </w:pPr>
            <w:r w:rsidRPr="00930651">
              <w:rPr>
                <w:b/>
                <w:color w:val="000000"/>
              </w:rPr>
              <w:t>5 227</w:t>
            </w:r>
          </w:p>
        </w:tc>
        <w:tc>
          <w:tcPr>
            <w:tcW w:w="1169" w:type="dxa"/>
            <w:tcBorders>
              <w:top w:val="single" w:sz="4" w:space="0" w:color="auto"/>
              <w:left w:val="nil"/>
              <w:bottom w:val="single" w:sz="4" w:space="0" w:color="auto"/>
              <w:right w:val="single" w:sz="4" w:space="0" w:color="auto"/>
            </w:tcBorders>
            <w:shd w:val="clear" w:color="000000" w:fill="C4D79B"/>
            <w:noWrap/>
            <w:vAlign w:val="center"/>
            <w:hideMark/>
          </w:tcPr>
          <w:p w14:paraId="4463FF24" w14:textId="77777777" w:rsidR="002D28C5" w:rsidRPr="00930651" w:rsidRDefault="00CB2EC4" w:rsidP="009A141C">
            <w:pPr>
              <w:ind w:left="0" w:firstLine="0"/>
              <w:jc w:val="right"/>
              <w:rPr>
                <w:rFonts w:eastAsia="Times New Roman" w:cs="Arial"/>
                <w:b/>
                <w:bCs/>
                <w:color w:val="000000"/>
              </w:rPr>
            </w:pPr>
            <w:r w:rsidRPr="00930651">
              <w:rPr>
                <w:b/>
                <w:color w:val="000000"/>
              </w:rPr>
              <w:t>5 227</w:t>
            </w:r>
          </w:p>
        </w:tc>
        <w:tc>
          <w:tcPr>
            <w:tcW w:w="1170" w:type="dxa"/>
            <w:tcBorders>
              <w:top w:val="single" w:sz="4" w:space="0" w:color="auto"/>
              <w:left w:val="nil"/>
              <w:bottom w:val="single" w:sz="4" w:space="0" w:color="auto"/>
              <w:right w:val="single" w:sz="4" w:space="0" w:color="auto"/>
            </w:tcBorders>
            <w:shd w:val="clear" w:color="000000" w:fill="C4D79B"/>
            <w:noWrap/>
            <w:vAlign w:val="center"/>
            <w:hideMark/>
          </w:tcPr>
          <w:p w14:paraId="4B3FD2B5" w14:textId="77777777" w:rsidR="002D28C5" w:rsidRPr="00930651" w:rsidRDefault="00CB2EC4" w:rsidP="008F481B">
            <w:pPr>
              <w:ind w:left="0" w:firstLine="0"/>
              <w:jc w:val="right"/>
              <w:rPr>
                <w:rFonts w:eastAsia="Times New Roman" w:cs="Arial"/>
                <w:b/>
                <w:bCs/>
                <w:color w:val="000000"/>
              </w:rPr>
            </w:pPr>
            <w:r w:rsidRPr="00930651">
              <w:rPr>
                <w:b/>
                <w:color w:val="000000"/>
              </w:rPr>
              <w:t>15 681</w:t>
            </w:r>
          </w:p>
        </w:tc>
      </w:tr>
      <w:tr w:rsidR="002D28C5" w:rsidRPr="00930651" w14:paraId="4FF71B4B" w14:textId="77777777" w:rsidTr="008F4A6B">
        <w:trPr>
          <w:trHeight w:val="389"/>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8467595" w14:textId="77777777" w:rsidR="002D28C5" w:rsidRPr="00930651" w:rsidRDefault="002D28C5" w:rsidP="00A26E01">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DÉPENSES</w:t>
            </w:r>
          </w:p>
        </w:tc>
        <w:tc>
          <w:tcPr>
            <w:tcW w:w="1169" w:type="dxa"/>
            <w:tcBorders>
              <w:top w:val="nil"/>
              <w:left w:val="nil"/>
              <w:bottom w:val="single" w:sz="4" w:space="0" w:color="auto"/>
              <w:right w:val="single" w:sz="4" w:space="0" w:color="auto"/>
            </w:tcBorders>
            <w:shd w:val="clear" w:color="auto" w:fill="auto"/>
            <w:noWrap/>
            <w:vAlign w:val="bottom"/>
            <w:hideMark/>
          </w:tcPr>
          <w:p w14:paraId="5219A407"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CB684A6"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69" w:type="dxa"/>
            <w:tcBorders>
              <w:top w:val="nil"/>
              <w:left w:val="nil"/>
              <w:bottom w:val="single" w:sz="4" w:space="0" w:color="auto"/>
              <w:right w:val="single" w:sz="4" w:space="0" w:color="auto"/>
            </w:tcBorders>
            <w:shd w:val="clear" w:color="auto" w:fill="auto"/>
            <w:noWrap/>
            <w:vAlign w:val="bottom"/>
            <w:hideMark/>
          </w:tcPr>
          <w:p w14:paraId="410BA18E"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641A8D6"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 </w:t>
            </w:r>
          </w:p>
        </w:tc>
      </w:tr>
      <w:tr w:rsidR="002D28C5" w:rsidRPr="00930651" w14:paraId="029EF692" w14:textId="77777777" w:rsidTr="008F4A6B">
        <w:tc>
          <w:tcPr>
            <w:tcW w:w="4678" w:type="dxa"/>
            <w:tcBorders>
              <w:top w:val="nil"/>
              <w:left w:val="single" w:sz="4" w:space="0" w:color="auto"/>
              <w:bottom w:val="single" w:sz="4" w:space="0" w:color="auto"/>
              <w:right w:val="single" w:sz="4" w:space="0" w:color="auto"/>
            </w:tcBorders>
            <w:shd w:val="clear" w:color="000000" w:fill="C4D79B"/>
            <w:noWrap/>
            <w:vAlign w:val="center"/>
            <w:hideMark/>
          </w:tcPr>
          <w:p w14:paraId="55DEE855" w14:textId="77777777" w:rsidR="002D28C5" w:rsidRPr="00930651" w:rsidRDefault="002D28C5" w:rsidP="00A26E01">
            <w:pPr>
              <w:ind w:left="0" w:firstLine="0"/>
              <w:rPr>
                <w:rFonts w:asciiTheme="minorHAnsi" w:eastAsia="Times New Roman" w:hAnsiTheme="minorHAnsi" w:cs="Arial"/>
                <w:b/>
                <w:bCs/>
                <w:color w:val="000000"/>
                <w:sz w:val="20"/>
                <w:szCs w:val="20"/>
              </w:rPr>
            </w:pPr>
            <w:r w:rsidRPr="00930651">
              <w:rPr>
                <w:rFonts w:asciiTheme="minorHAnsi" w:hAnsiTheme="minorHAnsi"/>
                <w:b/>
                <w:color w:val="000000"/>
                <w:sz w:val="20"/>
              </w:rPr>
              <w:t>A. Cadres supérieurs du Secrétariat &amp; Gouvernance</w:t>
            </w:r>
          </w:p>
        </w:tc>
        <w:tc>
          <w:tcPr>
            <w:tcW w:w="1169" w:type="dxa"/>
            <w:tcBorders>
              <w:top w:val="nil"/>
              <w:left w:val="nil"/>
              <w:bottom w:val="single" w:sz="4" w:space="0" w:color="auto"/>
              <w:right w:val="single" w:sz="4" w:space="0" w:color="auto"/>
            </w:tcBorders>
            <w:shd w:val="clear" w:color="000000" w:fill="C4D79B"/>
            <w:noWrap/>
            <w:vAlign w:val="center"/>
            <w:hideMark/>
          </w:tcPr>
          <w:p w14:paraId="6383E7C8"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1 064</w:t>
            </w:r>
          </w:p>
        </w:tc>
        <w:tc>
          <w:tcPr>
            <w:tcW w:w="1170" w:type="dxa"/>
            <w:tcBorders>
              <w:top w:val="nil"/>
              <w:left w:val="nil"/>
              <w:bottom w:val="single" w:sz="4" w:space="0" w:color="auto"/>
              <w:right w:val="single" w:sz="4" w:space="0" w:color="auto"/>
            </w:tcBorders>
            <w:shd w:val="clear" w:color="000000" w:fill="C4D79B"/>
            <w:noWrap/>
            <w:vAlign w:val="center"/>
            <w:hideMark/>
          </w:tcPr>
          <w:p w14:paraId="565FDADE"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1 087</w:t>
            </w:r>
          </w:p>
        </w:tc>
        <w:tc>
          <w:tcPr>
            <w:tcW w:w="1169" w:type="dxa"/>
            <w:tcBorders>
              <w:top w:val="nil"/>
              <w:left w:val="nil"/>
              <w:bottom w:val="single" w:sz="4" w:space="0" w:color="auto"/>
              <w:right w:val="single" w:sz="4" w:space="0" w:color="auto"/>
            </w:tcBorders>
            <w:shd w:val="clear" w:color="000000" w:fill="C4D79B"/>
            <w:noWrap/>
            <w:vAlign w:val="center"/>
            <w:hideMark/>
          </w:tcPr>
          <w:p w14:paraId="365C501D"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1 091</w:t>
            </w:r>
          </w:p>
        </w:tc>
        <w:tc>
          <w:tcPr>
            <w:tcW w:w="1170" w:type="dxa"/>
            <w:tcBorders>
              <w:top w:val="nil"/>
              <w:left w:val="nil"/>
              <w:bottom w:val="single" w:sz="4" w:space="0" w:color="auto"/>
              <w:right w:val="single" w:sz="4" w:space="0" w:color="auto"/>
            </w:tcBorders>
            <w:shd w:val="clear" w:color="000000" w:fill="C4D79B"/>
            <w:noWrap/>
            <w:vAlign w:val="center"/>
            <w:hideMark/>
          </w:tcPr>
          <w:p w14:paraId="0E7A3DBB" w14:textId="77777777" w:rsidR="002D28C5" w:rsidRPr="00930651" w:rsidRDefault="00D57BC7">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3 242</w:t>
            </w:r>
          </w:p>
        </w:tc>
      </w:tr>
      <w:tr w:rsidR="002D28C5" w:rsidRPr="00930651" w14:paraId="1B2B8C4D"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2765E508"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hideMark/>
          </w:tcPr>
          <w:p w14:paraId="0B101AE9"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1 019</w:t>
            </w:r>
          </w:p>
        </w:tc>
        <w:tc>
          <w:tcPr>
            <w:tcW w:w="1170" w:type="dxa"/>
            <w:tcBorders>
              <w:top w:val="nil"/>
              <w:left w:val="nil"/>
              <w:bottom w:val="single" w:sz="4" w:space="0" w:color="auto"/>
              <w:right w:val="single" w:sz="4" w:space="0" w:color="auto"/>
            </w:tcBorders>
            <w:shd w:val="clear" w:color="auto" w:fill="auto"/>
            <w:noWrap/>
            <w:vAlign w:val="center"/>
            <w:hideMark/>
          </w:tcPr>
          <w:p w14:paraId="03E50D34"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1 042</w:t>
            </w:r>
          </w:p>
        </w:tc>
        <w:tc>
          <w:tcPr>
            <w:tcW w:w="1169" w:type="dxa"/>
            <w:tcBorders>
              <w:top w:val="nil"/>
              <w:left w:val="nil"/>
              <w:bottom w:val="single" w:sz="4" w:space="0" w:color="auto"/>
              <w:right w:val="single" w:sz="4" w:space="0" w:color="auto"/>
            </w:tcBorders>
            <w:shd w:val="clear" w:color="auto" w:fill="auto"/>
            <w:noWrap/>
            <w:vAlign w:val="center"/>
            <w:hideMark/>
          </w:tcPr>
          <w:p w14:paraId="05382BFB" w14:textId="77777777" w:rsidR="002D28C5" w:rsidRPr="00930651" w:rsidRDefault="00D57BC7"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1 046</w:t>
            </w:r>
          </w:p>
        </w:tc>
        <w:tc>
          <w:tcPr>
            <w:tcW w:w="1170" w:type="dxa"/>
            <w:tcBorders>
              <w:top w:val="nil"/>
              <w:left w:val="nil"/>
              <w:bottom w:val="single" w:sz="4" w:space="0" w:color="auto"/>
              <w:right w:val="single" w:sz="4" w:space="0" w:color="auto"/>
            </w:tcBorders>
            <w:shd w:val="clear" w:color="auto" w:fill="auto"/>
            <w:noWrap/>
            <w:vAlign w:val="center"/>
            <w:hideMark/>
          </w:tcPr>
          <w:p w14:paraId="56FBF67A" w14:textId="77777777" w:rsidR="002D28C5" w:rsidRPr="00930651" w:rsidRDefault="00D57BC7">
            <w:pPr>
              <w:ind w:left="0" w:firstLine="0"/>
              <w:jc w:val="right"/>
              <w:rPr>
                <w:rFonts w:asciiTheme="minorHAnsi" w:eastAsia="Times New Roman" w:hAnsiTheme="minorHAnsi" w:cs="Arial"/>
                <w:sz w:val="20"/>
                <w:szCs w:val="20"/>
              </w:rPr>
            </w:pPr>
            <w:r w:rsidRPr="00930651">
              <w:rPr>
                <w:rFonts w:asciiTheme="minorHAnsi" w:hAnsiTheme="minorHAnsi"/>
                <w:sz w:val="20"/>
              </w:rPr>
              <w:t>3 107</w:t>
            </w:r>
          </w:p>
        </w:tc>
      </w:tr>
      <w:tr w:rsidR="002D28C5" w:rsidRPr="00930651" w14:paraId="41380F50"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70B2219D" w14:textId="77777777" w:rsidR="002D28C5" w:rsidRPr="00930651" w:rsidRDefault="00D57BC7" w:rsidP="00A26E01">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69" w:type="dxa"/>
            <w:tcBorders>
              <w:top w:val="nil"/>
              <w:left w:val="nil"/>
              <w:bottom w:val="single" w:sz="4" w:space="0" w:color="auto"/>
              <w:right w:val="single" w:sz="4" w:space="0" w:color="auto"/>
            </w:tcBorders>
            <w:shd w:val="clear" w:color="auto" w:fill="auto"/>
            <w:noWrap/>
            <w:vAlign w:val="center"/>
            <w:hideMark/>
          </w:tcPr>
          <w:p w14:paraId="7CC07459"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c>
          <w:tcPr>
            <w:tcW w:w="1170" w:type="dxa"/>
            <w:tcBorders>
              <w:top w:val="nil"/>
              <w:left w:val="nil"/>
              <w:bottom w:val="single" w:sz="4" w:space="0" w:color="auto"/>
              <w:right w:val="single" w:sz="4" w:space="0" w:color="auto"/>
            </w:tcBorders>
            <w:shd w:val="clear" w:color="auto" w:fill="auto"/>
            <w:noWrap/>
            <w:vAlign w:val="center"/>
            <w:hideMark/>
          </w:tcPr>
          <w:p w14:paraId="7E3C8552"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c>
          <w:tcPr>
            <w:tcW w:w="1169" w:type="dxa"/>
            <w:tcBorders>
              <w:top w:val="nil"/>
              <w:left w:val="nil"/>
              <w:bottom w:val="single" w:sz="4" w:space="0" w:color="auto"/>
              <w:right w:val="single" w:sz="4" w:space="0" w:color="auto"/>
            </w:tcBorders>
            <w:shd w:val="clear" w:color="auto" w:fill="auto"/>
            <w:noWrap/>
            <w:vAlign w:val="center"/>
            <w:hideMark/>
          </w:tcPr>
          <w:p w14:paraId="72D398E4" w14:textId="77777777" w:rsidR="002D28C5" w:rsidRPr="00930651" w:rsidRDefault="00D57BC7"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45</w:t>
            </w:r>
          </w:p>
        </w:tc>
        <w:tc>
          <w:tcPr>
            <w:tcW w:w="1170" w:type="dxa"/>
            <w:tcBorders>
              <w:top w:val="nil"/>
              <w:left w:val="nil"/>
              <w:bottom w:val="single" w:sz="4" w:space="0" w:color="auto"/>
              <w:right w:val="single" w:sz="4" w:space="0" w:color="auto"/>
            </w:tcBorders>
            <w:shd w:val="clear" w:color="auto" w:fill="auto"/>
            <w:noWrap/>
            <w:vAlign w:val="center"/>
            <w:hideMark/>
          </w:tcPr>
          <w:p w14:paraId="3A9D57A4"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135</w:t>
            </w:r>
          </w:p>
        </w:tc>
      </w:tr>
      <w:tr w:rsidR="002D28C5" w:rsidRPr="00930651" w14:paraId="702ED8E7" w14:textId="77777777" w:rsidTr="008F4A6B">
        <w:tc>
          <w:tcPr>
            <w:tcW w:w="4678" w:type="dxa"/>
            <w:tcBorders>
              <w:top w:val="nil"/>
              <w:left w:val="single" w:sz="4" w:space="0" w:color="auto"/>
              <w:bottom w:val="single" w:sz="4" w:space="0" w:color="auto"/>
              <w:right w:val="single" w:sz="4" w:space="0" w:color="auto"/>
            </w:tcBorders>
            <w:shd w:val="clear" w:color="000000" w:fill="C4D79B"/>
            <w:noWrap/>
            <w:vAlign w:val="center"/>
            <w:hideMark/>
          </w:tcPr>
          <w:p w14:paraId="1EB036A6"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B. Mobilisation des ressources et sensibilisation</w:t>
            </w:r>
          </w:p>
        </w:tc>
        <w:tc>
          <w:tcPr>
            <w:tcW w:w="1169" w:type="dxa"/>
            <w:tcBorders>
              <w:top w:val="nil"/>
              <w:left w:val="nil"/>
              <w:bottom w:val="single" w:sz="4" w:space="0" w:color="auto"/>
              <w:right w:val="single" w:sz="4" w:space="0" w:color="auto"/>
            </w:tcBorders>
            <w:shd w:val="clear" w:color="000000" w:fill="C4D79B"/>
            <w:noWrap/>
            <w:vAlign w:val="center"/>
            <w:hideMark/>
          </w:tcPr>
          <w:p w14:paraId="692D35D3" w14:textId="77777777" w:rsidR="002D28C5" w:rsidRPr="00930651" w:rsidRDefault="00452DF8"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556</w:t>
            </w:r>
          </w:p>
        </w:tc>
        <w:tc>
          <w:tcPr>
            <w:tcW w:w="1170" w:type="dxa"/>
            <w:tcBorders>
              <w:top w:val="nil"/>
              <w:left w:val="nil"/>
              <w:bottom w:val="single" w:sz="4" w:space="0" w:color="auto"/>
              <w:right w:val="single" w:sz="4" w:space="0" w:color="auto"/>
            </w:tcBorders>
            <w:shd w:val="clear" w:color="000000" w:fill="C4D79B"/>
            <w:noWrap/>
            <w:vAlign w:val="center"/>
            <w:hideMark/>
          </w:tcPr>
          <w:p w14:paraId="0676D059" w14:textId="77777777" w:rsidR="002D28C5" w:rsidRPr="00930651" w:rsidRDefault="00452DF8" w:rsidP="003932B5">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560</w:t>
            </w:r>
          </w:p>
        </w:tc>
        <w:tc>
          <w:tcPr>
            <w:tcW w:w="1169" w:type="dxa"/>
            <w:tcBorders>
              <w:top w:val="nil"/>
              <w:left w:val="nil"/>
              <w:bottom w:val="single" w:sz="4" w:space="0" w:color="auto"/>
              <w:right w:val="single" w:sz="4" w:space="0" w:color="auto"/>
            </w:tcBorders>
            <w:shd w:val="clear" w:color="000000" w:fill="C4D79B"/>
            <w:noWrap/>
            <w:vAlign w:val="center"/>
            <w:hideMark/>
          </w:tcPr>
          <w:p w14:paraId="1723A101" w14:textId="77777777" w:rsidR="002D28C5" w:rsidRPr="00930651" w:rsidRDefault="00452DF8"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563</w:t>
            </w:r>
          </w:p>
        </w:tc>
        <w:tc>
          <w:tcPr>
            <w:tcW w:w="1170" w:type="dxa"/>
            <w:tcBorders>
              <w:top w:val="nil"/>
              <w:left w:val="nil"/>
              <w:bottom w:val="single" w:sz="4" w:space="0" w:color="auto"/>
              <w:right w:val="single" w:sz="4" w:space="0" w:color="auto"/>
            </w:tcBorders>
            <w:shd w:val="clear" w:color="000000" w:fill="C4D79B"/>
            <w:noWrap/>
            <w:vAlign w:val="center"/>
            <w:hideMark/>
          </w:tcPr>
          <w:p w14:paraId="4CE45F75"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1 679</w:t>
            </w:r>
          </w:p>
        </w:tc>
      </w:tr>
      <w:tr w:rsidR="002D28C5" w:rsidRPr="00930651" w14:paraId="32025433"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5044081C"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hideMark/>
          </w:tcPr>
          <w:p w14:paraId="5CF7ED1E" w14:textId="77777777" w:rsidR="002D28C5" w:rsidRPr="00930651" w:rsidRDefault="00452DF8"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355</w:t>
            </w:r>
          </w:p>
        </w:tc>
        <w:tc>
          <w:tcPr>
            <w:tcW w:w="1170" w:type="dxa"/>
            <w:tcBorders>
              <w:top w:val="nil"/>
              <w:left w:val="nil"/>
              <w:bottom w:val="single" w:sz="4" w:space="0" w:color="auto"/>
              <w:right w:val="single" w:sz="4" w:space="0" w:color="auto"/>
            </w:tcBorders>
            <w:shd w:val="clear" w:color="auto" w:fill="auto"/>
            <w:noWrap/>
            <w:vAlign w:val="center"/>
            <w:hideMark/>
          </w:tcPr>
          <w:p w14:paraId="2E5074A9"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359</w:t>
            </w:r>
          </w:p>
        </w:tc>
        <w:tc>
          <w:tcPr>
            <w:tcW w:w="1169" w:type="dxa"/>
            <w:tcBorders>
              <w:top w:val="nil"/>
              <w:left w:val="nil"/>
              <w:bottom w:val="single" w:sz="4" w:space="0" w:color="auto"/>
              <w:right w:val="single" w:sz="4" w:space="0" w:color="auto"/>
            </w:tcBorders>
            <w:shd w:val="clear" w:color="auto" w:fill="auto"/>
            <w:noWrap/>
            <w:vAlign w:val="center"/>
            <w:hideMark/>
          </w:tcPr>
          <w:p w14:paraId="5F984C49" w14:textId="1E161518" w:rsidR="002D28C5" w:rsidRPr="00930651" w:rsidRDefault="0072554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w:t>
            </w:r>
            <w:r w:rsidR="00D57BC7" w:rsidRPr="00930651">
              <w:rPr>
                <w:rFonts w:asciiTheme="minorHAnsi" w:hAnsiTheme="minorHAnsi"/>
                <w:color w:val="000000"/>
                <w:sz w:val="20"/>
              </w:rPr>
              <w:t>62</w:t>
            </w:r>
          </w:p>
        </w:tc>
        <w:tc>
          <w:tcPr>
            <w:tcW w:w="1170" w:type="dxa"/>
            <w:tcBorders>
              <w:top w:val="nil"/>
              <w:left w:val="nil"/>
              <w:bottom w:val="single" w:sz="4" w:space="0" w:color="auto"/>
              <w:right w:val="single" w:sz="4" w:space="0" w:color="auto"/>
            </w:tcBorders>
            <w:shd w:val="clear" w:color="auto" w:fill="auto"/>
            <w:noWrap/>
            <w:vAlign w:val="center"/>
            <w:hideMark/>
          </w:tcPr>
          <w:p w14:paraId="70B38500" w14:textId="77777777" w:rsidR="002D28C5" w:rsidRPr="00930651" w:rsidRDefault="00D57BC7">
            <w:pPr>
              <w:ind w:left="0" w:firstLine="0"/>
              <w:jc w:val="right"/>
              <w:rPr>
                <w:rFonts w:asciiTheme="minorHAnsi" w:eastAsia="Times New Roman" w:hAnsiTheme="minorHAnsi" w:cs="Arial"/>
                <w:sz w:val="20"/>
                <w:szCs w:val="20"/>
              </w:rPr>
            </w:pPr>
            <w:r w:rsidRPr="00930651">
              <w:rPr>
                <w:rFonts w:asciiTheme="minorHAnsi" w:hAnsiTheme="minorHAnsi"/>
                <w:sz w:val="20"/>
              </w:rPr>
              <w:t>1 076</w:t>
            </w:r>
          </w:p>
        </w:tc>
      </w:tr>
      <w:tr w:rsidR="002D28C5" w:rsidRPr="00930651" w14:paraId="13AF7F69"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1E650477"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Programme de CESP</w:t>
            </w:r>
          </w:p>
        </w:tc>
        <w:tc>
          <w:tcPr>
            <w:tcW w:w="1169" w:type="dxa"/>
            <w:tcBorders>
              <w:top w:val="nil"/>
              <w:left w:val="nil"/>
              <w:bottom w:val="single" w:sz="4" w:space="0" w:color="auto"/>
              <w:right w:val="single" w:sz="4" w:space="0" w:color="auto"/>
            </w:tcBorders>
            <w:shd w:val="clear" w:color="auto" w:fill="auto"/>
            <w:noWrap/>
            <w:vAlign w:val="center"/>
            <w:hideMark/>
          </w:tcPr>
          <w:p w14:paraId="24691E33"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70" w:type="dxa"/>
            <w:tcBorders>
              <w:top w:val="nil"/>
              <w:left w:val="nil"/>
              <w:bottom w:val="single" w:sz="4" w:space="0" w:color="auto"/>
              <w:right w:val="single" w:sz="4" w:space="0" w:color="auto"/>
            </w:tcBorders>
            <w:shd w:val="clear" w:color="auto" w:fill="auto"/>
            <w:noWrap/>
            <w:vAlign w:val="center"/>
            <w:hideMark/>
          </w:tcPr>
          <w:p w14:paraId="6FB8639D"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69" w:type="dxa"/>
            <w:tcBorders>
              <w:top w:val="nil"/>
              <w:left w:val="nil"/>
              <w:bottom w:val="single" w:sz="4" w:space="0" w:color="auto"/>
              <w:right w:val="single" w:sz="4" w:space="0" w:color="auto"/>
            </w:tcBorders>
            <w:shd w:val="clear" w:color="auto" w:fill="auto"/>
            <w:noWrap/>
            <w:vAlign w:val="center"/>
            <w:hideMark/>
          </w:tcPr>
          <w:p w14:paraId="0FD27D1E" w14:textId="77777777" w:rsidR="002D28C5" w:rsidRPr="00930651" w:rsidRDefault="002D28C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30</w:t>
            </w:r>
          </w:p>
        </w:tc>
        <w:tc>
          <w:tcPr>
            <w:tcW w:w="1170" w:type="dxa"/>
            <w:tcBorders>
              <w:top w:val="nil"/>
              <w:left w:val="nil"/>
              <w:bottom w:val="single" w:sz="4" w:space="0" w:color="auto"/>
              <w:right w:val="single" w:sz="4" w:space="0" w:color="auto"/>
            </w:tcBorders>
            <w:shd w:val="clear" w:color="auto" w:fill="auto"/>
            <w:noWrap/>
            <w:vAlign w:val="center"/>
            <w:hideMark/>
          </w:tcPr>
          <w:p w14:paraId="19169DC6"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90</w:t>
            </w:r>
          </w:p>
        </w:tc>
      </w:tr>
      <w:tr w:rsidR="002D28C5" w:rsidRPr="00930651" w14:paraId="42F993B6"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4EB7A7C0"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Communications, traductions, publications et rapports</w:t>
            </w:r>
          </w:p>
        </w:tc>
        <w:tc>
          <w:tcPr>
            <w:tcW w:w="1169" w:type="dxa"/>
            <w:tcBorders>
              <w:top w:val="nil"/>
              <w:left w:val="nil"/>
              <w:bottom w:val="single" w:sz="4" w:space="0" w:color="auto"/>
              <w:right w:val="single" w:sz="4" w:space="0" w:color="auto"/>
            </w:tcBorders>
            <w:shd w:val="clear" w:color="auto" w:fill="auto"/>
            <w:noWrap/>
            <w:vAlign w:val="center"/>
            <w:hideMark/>
          </w:tcPr>
          <w:p w14:paraId="76AB4AF6"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2467B3E2"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396CA9F6" w14:textId="77777777" w:rsidR="002D28C5" w:rsidRPr="00930651" w:rsidRDefault="002D28C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8C11970"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300</w:t>
            </w:r>
          </w:p>
        </w:tc>
      </w:tr>
      <w:tr w:rsidR="002D28C5" w:rsidRPr="00930651" w14:paraId="294A94B2"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7BA48587"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Appui et développement du Web/TI</w:t>
            </w:r>
          </w:p>
        </w:tc>
        <w:tc>
          <w:tcPr>
            <w:tcW w:w="1169" w:type="dxa"/>
            <w:tcBorders>
              <w:top w:val="nil"/>
              <w:left w:val="nil"/>
              <w:bottom w:val="single" w:sz="4" w:space="0" w:color="auto"/>
              <w:right w:val="single" w:sz="4" w:space="0" w:color="auto"/>
            </w:tcBorders>
            <w:shd w:val="clear" w:color="auto" w:fill="auto"/>
            <w:noWrap/>
            <w:vAlign w:val="center"/>
            <w:hideMark/>
          </w:tcPr>
          <w:p w14:paraId="71A39921"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56</w:t>
            </w:r>
          </w:p>
        </w:tc>
        <w:tc>
          <w:tcPr>
            <w:tcW w:w="1170" w:type="dxa"/>
            <w:tcBorders>
              <w:top w:val="nil"/>
              <w:left w:val="nil"/>
              <w:bottom w:val="single" w:sz="4" w:space="0" w:color="auto"/>
              <w:right w:val="single" w:sz="4" w:space="0" w:color="auto"/>
            </w:tcBorders>
            <w:shd w:val="clear" w:color="auto" w:fill="auto"/>
            <w:noWrap/>
            <w:vAlign w:val="center"/>
            <w:hideMark/>
          </w:tcPr>
          <w:p w14:paraId="2C368864" w14:textId="77777777" w:rsidR="002D28C5" w:rsidRPr="00930651" w:rsidRDefault="00452DF8"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56</w:t>
            </w:r>
          </w:p>
        </w:tc>
        <w:tc>
          <w:tcPr>
            <w:tcW w:w="1169" w:type="dxa"/>
            <w:tcBorders>
              <w:top w:val="nil"/>
              <w:left w:val="nil"/>
              <w:bottom w:val="single" w:sz="4" w:space="0" w:color="auto"/>
              <w:right w:val="single" w:sz="4" w:space="0" w:color="auto"/>
            </w:tcBorders>
            <w:shd w:val="clear" w:color="auto" w:fill="auto"/>
            <w:noWrap/>
            <w:vAlign w:val="center"/>
            <w:hideMark/>
          </w:tcPr>
          <w:p w14:paraId="431B327A" w14:textId="77777777" w:rsidR="002D28C5" w:rsidRPr="00930651" w:rsidRDefault="00A22E7B"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56</w:t>
            </w:r>
          </w:p>
        </w:tc>
        <w:tc>
          <w:tcPr>
            <w:tcW w:w="1170" w:type="dxa"/>
            <w:tcBorders>
              <w:top w:val="nil"/>
              <w:left w:val="nil"/>
              <w:bottom w:val="single" w:sz="4" w:space="0" w:color="auto"/>
              <w:right w:val="single" w:sz="4" w:space="0" w:color="auto"/>
            </w:tcBorders>
            <w:shd w:val="clear" w:color="auto" w:fill="auto"/>
            <w:noWrap/>
            <w:vAlign w:val="center"/>
            <w:hideMark/>
          </w:tcPr>
          <w:p w14:paraId="056C5D79" w14:textId="77777777" w:rsidR="002D28C5" w:rsidRPr="00930651" w:rsidRDefault="00452DF8">
            <w:pPr>
              <w:ind w:left="0" w:firstLine="0"/>
              <w:jc w:val="right"/>
              <w:rPr>
                <w:rFonts w:asciiTheme="minorHAnsi" w:eastAsia="Times New Roman" w:hAnsiTheme="minorHAnsi" w:cs="Arial"/>
                <w:sz w:val="20"/>
                <w:szCs w:val="20"/>
              </w:rPr>
            </w:pPr>
            <w:r w:rsidRPr="00930651">
              <w:rPr>
                <w:rFonts w:asciiTheme="minorHAnsi" w:hAnsiTheme="minorHAnsi"/>
                <w:sz w:val="20"/>
              </w:rPr>
              <w:t>168</w:t>
            </w:r>
          </w:p>
        </w:tc>
      </w:tr>
      <w:tr w:rsidR="00D57BC7" w:rsidRPr="00930651" w14:paraId="17F81D02"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tcPr>
          <w:p w14:paraId="2D372ACF" w14:textId="77777777" w:rsidR="00D57BC7" w:rsidRPr="00930651" w:rsidRDefault="00D57BC7" w:rsidP="00A26E01">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69" w:type="dxa"/>
            <w:tcBorders>
              <w:top w:val="nil"/>
              <w:left w:val="nil"/>
              <w:bottom w:val="single" w:sz="4" w:space="0" w:color="auto"/>
              <w:right w:val="single" w:sz="4" w:space="0" w:color="auto"/>
            </w:tcBorders>
            <w:shd w:val="clear" w:color="auto" w:fill="auto"/>
            <w:noWrap/>
            <w:vAlign w:val="center"/>
          </w:tcPr>
          <w:p w14:paraId="38721F3E" w14:textId="77777777" w:rsidR="00D57BC7" w:rsidRPr="00930651" w:rsidDel="00D57BC7"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15</w:t>
            </w:r>
          </w:p>
        </w:tc>
        <w:tc>
          <w:tcPr>
            <w:tcW w:w="1170" w:type="dxa"/>
            <w:tcBorders>
              <w:top w:val="nil"/>
              <w:left w:val="nil"/>
              <w:bottom w:val="single" w:sz="4" w:space="0" w:color="auto"/>
              <w:right w:val="single" w:sz="4" w:space="0" w:color="auto"/>
            </w:tcBorders>
            <w:shd w:val="clear" w:color="auto" w:fill="auto"/>
            <w:noWrap/>
            <w:vAlign w:val="center"/>
          </w:tcPr>
          <w:p w14:paraId="0D255169" w14:textId="77777777" w:rsidR="00D57BC7" w:rsidRPr="00930651" w:rsidDel="00D57BC7"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15</w:t>
            </w:r>
          </w:p>
        </w:tc>
        <w:tc>
          <w:tcPr>
            <w:tcW w:w="1169" w:type="dxa"/>
            <w:tcBorders>
              <w:top w:val="nil"/>
              <w:left w:val="nil"/>
              <w:bottom w:val="single" w:sz="4" w:space="0" w:color="auto"/>
              <w:right w:val="single" w:sz="4" w:space="0" w:color="auto"/>
            </w:tcBorders>
            <w:shd w:val="clear" w:color="auto" w:fill="auto"/>
            <w:noWrap/>
            <w:vAlign w:val="center"/>
          </w:tcPr>
          <w:p w14:paraId="6BB0F259" w14:textId="77777777" w:rsidR="00D57BC7" w:rsidRPr="00930651" w:rsidDel="00D57BC7" w:rsidRDefault="00D57BC7"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15</w:t>
            </w:r>
          </w:p>
        </w:tc>
        <w:tc>
          <w:tcPr>
            <w:tcW w:w="1170" w:type="dxa"/>
            <w:tcBorders>
              <w:top w:val="nil"/>
              <w:left w:val="nil"/>
              <w:bottom w:val="single" w:sz="4" w:space="0" w:color="auto"/>
              <w:right w:val="single" w:sz="4" w:space="0" w:color="auto"/>
            </w:tcBorders>
            <w:shd w:val="clear" w:color="auto" w:fill="auto"/>
            <w:noWrap/>
            <w:vAlign w:val="center"/>
          </w:tcPr>
          <w:p w14:paraId="7E4E2BED" w14:textId="77777777" w:rsidR="00D57BC7" w:rsidRPr="00930651" w:rsidDel="00D57BC7"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r>
      <w:tr w:rsidR="002D28C5" w:rsidRPr="00930651" w14:paraId="3BC7B8FF" w14:textId="77777777" w:rsidTr="008F4A6B">
        <w:tc>
          <w:tcPr>
            <w:tcW w:w="4678" w:type="dxa"/>
            <w:tcBorders>
              <w:top w:val="nil"/>
              <w:left w:val="single" w:sz="4" w:space="0" w:color="auto"/>
              <w:bottom w:val="single" w:sz="4" w:space="0" w:color="auto"/>
              <w:right w:val="single" w:sz="4" w:space="0" w:color="auto"/>
            </w:tcBorders>
            <w:shd w:val="clear" w:color="000000" w:fill="C4D79B"/>
            <w:noWrap/>
            <w:vAlign w:val="center"/>
            <w:hideMark/>
          </w:tcPr>
          <w:p w14:paraId="247D9D96"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C. Appui et conseils aux régions</w:t>
            </w:r>
          </w:p>
        </w:tc>
        <w:tc>
          <w:tcPr>
            <w:tcW w:w="1169" w:type="dxa"/>
            <w:tcBorders>
              <w:top w:val="nil"/>
              <w:left w:val="nil"/>
              <w:bottom w:val="single" w:sz="4" w:space="0" w:color="auto"/>
              <w:right w:val="single" w:sz="4" w:space="0" w:color="auto"/>
            </w:tcBorders>
            <w:shd w:val="clear" w:color="000000" w:fill="C4D79B"/>
            <w:noWrap/>
            <w:vAlign w:val="center"/>
            <w:hideMark/>
          </w:tcPr>
          <w:p w14:paraId="02133E64"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1 331</w:t>
            </w:r>
          </w:p>
        </w:tc>
        <w:tc>
          <w:tcPr>
            <w:tcW w:w="1170" w:type="dxa"/>
            <w:tcBorders>
              <w:top w:val="nil"/>
              <w:left w:val="nil"/>
              <w:bottom w:val="single" w:sz="4" w:space="0" w:color="auto"/>
              <w:right w:val="single" w:sz="4" w:space="0" w:color="auto"/>
            </w:tcBorders>
            <w:shd w:val="clear" w:color="000000" w:fill="C4D79B"/>
            <w:noWrap/>
            <w:vAlign w:val="center"/>
            <w:hideMark/>
          </w:tcPr>
          <w:p w14:paraId="374D2CF7"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1 350</w:t>
            </w:r>
          </w:p>
        </w:tc>
        <w:tc>
          <w:tcPr>
            <w:tcW w:w="1169" w:type="dxa"/>
            <w:tcBorders>
              <w:top w:val="nil"/>
              <w:left w:val="nil"/>
              <w:bottom w:val="single" w:sz="4" w:space="0" w:color="auto"/>
              <w:right w:val="single" w:sz="4" w:space="0" w:color="auto"/>
            </w:tcBorders>
            <w:shd w:val="clear" w:color="000000" w:fill="C4D79B"/>
            <w:noWrap/>
            <w:vAlign w:val="center"/>
            <w:hideMark/>
          </w:tcPr>
          <w:p w14:paraId="26C2C0C6"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1 364</w:t>
            </w:r>
          </w:p>
        </w:tc>
        <w:tc>
          <w:tcPr>
            <w:tcW w:w="1170" w:type="dxa"/>
            <w:tcBorders>
              <w:top w:val="nil"/>
              <w:left w:val="nil"/>
              <w:bottom w:val="single" w:sz="4" w:space="0" w:color="auto"/>
              <w:right w:val="single" w:sz="4" w:space="0" w:color="auto"/>
            </w:tcBorders>
            <w:shd w:val="clear" w:color="000000" w:fill="C4D79B"/>
            <w:noWrap/>
            <w:vAlign w:val="center"/>
            <w:hideMark/>
          </w:tcPr>
          <w:p w14:paraId="186A2986" w14:textId="77777777" w:rsidR="002D28C5" w:rsidRPr="00930651" w:rsidRDefault="00452DF8">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4 045</w:t>
            </w:r>
          </w:p>
        </w:tc>
      </w:tr>
      <w:tr w:rsidR="002D28C5" w:rsidRPr="00930651" w14:paraId="0EE659C3"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7810D4C4"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hideMark/>
          </w:tcPr>
          <w:p w14:paraId="38BF6401"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1 254</w:t>
            </w:r>
          </w:p>
        </w:tc>
        <w:tc>
          <w:tcPr>
            <w:tcW w:w="1170" w:type="dxa"/>
            <w:tcBorders>
              <w:top w:val="nil"/>
              <w:left w:val="nil"/>
              <w:bottom w:val="single" w:sz="4" w:space="0" w:color="auto"/>
              <w:right w:val="single" w:sz="4" w:space="0" w:color="auto"/>
            </w:tcBorders>
            <w:shd w:val="clear" w:color="auto" w:fill="auto"/>
            <w:noWrap/>
            <w:vAlign w:val="center"/>
            <w:hideMark/>
          </w:tcPr>
          <w:p w14:paraId="216C5D7F"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1 273</w:t>
            </w:r>
          </w:p>
        </w:tc>
        <w:tc>
          <w:tcPr>
            <w:tcW w:w="1169" w:type="dxa"/>
            <w:tcBorders>
              <w:top w:val="nil"/>
              <w:left w:val="nil"/>
              <w:bottom w:val="single" w:sz="4" w:space="0" w:color="auto"/>
              <w:right w:val="single" w:sz="4" w:space="0" w:color="auto"/>
            </w:tcBorders>
            <w:shd w:val="clear" w:color="auto" w:fill="auto"/>
            <w:noWrap/>
            <w:vAlign w:val="center"/>
            <w:hideMark/>
          </w:tcPr>
          <w:p w14:paraId="554B9086" w14:textId="77777777" w:rsidR="002D28C5" w:rsidRPr="00930651" w:rsidRDefault="00D57BC7"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1 287</w:t>
            </w:r>
          </w:p>
        </w:tc>
        <w:tc>
          <w:tcPr>
            <w:tcW w:w="1170" w:type="dxa"/>
            <w:tcBorders>
              <w:top w:val="nil"/>
              <w:left w:val="nil"/>
              <w:bottom w:val="single" w:sz="4" w:space="0" w:color="auto"/>
              <w:right w:val="single" w:sz="4" w:space="0" w:color="auto"/>
            </w:tcBorders>
            <w:shd w:val="clear" w:color="auto" w:fill="auto"/>
            <w:noWrap/>
            <w:vAlign w:val="center"/>
            <w:hideMark/>
          </w:tcPr>
          <w:p w14:paraId="4EF45825" w14:textId="77777777" w:rsidR="002D28C5" w:rsidRPr="00930651" w:rsidRDefault="00D57BC7">
            <w:pPr>
              <w:ind w:left="0" w:firstLine="0"/>
              <w:jc w:val="right"/>
              <w:rPr>
                <w:rFonts w:asciiTheme="minorHAnsi" w:eastAsia="Times New Roman" w:hAnsiTheme="minorHAnsi" w:cs="Arial"/>
                <w:sz w:val="20"/>
                <w:szCs w:val="20"/>
              </w:rPr>
            </w:pPr>
            <w:r w:rsidRPr="00930651">
              <w:rPr>
                <w:rFonts w:asciiTheme="minorHAnsi" w:hAnsiTheme="minorHAnsi"/>
                <w:sz w:val="20"/>
              </w:rPr>
              <w:t>3 814</w:t>
            </w:r>
          </w:p>
        </w:tc>
      </w:tr>
      <w:tr w:rsidR="002D28C5" w:rsidRPr="00930651" w14:paraId="09B55D05"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360E4AE8" w14:textId="77777777" w:rsidR="002D28C5" w:rsidRPr="00930651" w:rsidRDefault="00D57BC7" w:rsidP="00A26E01">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69" w:type="dxa"/>
            <w:tcBorders>
              <w:top w:val="nil"/>
              <w:left w:val="nil"/>
              <w:bottom w:val="single" w:sz="4" w:space="0" w:color="auto"/>
              <w:right w:val="single" w:sz="4" w:space="0" w:color="auto"/>
            </w:tcBorders>
            <w:shd w:val="clear" w:color="auto" w:fill="auto"/>
            <w:noWrap/>
            <w:vAlign w:val="center"/>
            <w:hideMark/>
          </w:tcPr>
          <w:p w14:paraId="5D5C818B"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77</w:t>
            </w:r>
          </w:p>
        </w:tc>
        <w:tc>
          <w:tcPr>
            <w:tcW w:w="1170" w:type="dxa"/>
            <w:tcBorders>
              <w:top w:val="nil"/>
              <w:left w:val="nil"/>
              <w:bottom w:val="single" w:sz="4" w:space="0" w:color="auto"/>
              <w:right w:val="single" w:sz="4" w:space="0" w:color="auto"/>
            </w:tcBorders>
            <w:shd w:val="clear" w:color="auto" w:fill="auto"/>
            <w:noWrap/>
            <w:vAlign w:val="center"/>
            <w:hideMark/>
          </w:tcPr>
          <w:p w14:paraId="40E2947A"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77</w:t>
            </w:r>
          </w:p>
        </w:tc>
        <w:tc>
          <w:tcPr>
            <w:tcW w:w="1169" w:type="dxa"/>
            <w:tcBorders>
              <w:top w:val="nil"/>
              <w:left w:val="nil"/>
              <w:bottom w:val="single" w:sz="4" w:space="0" w:color="auto"/>
              <w:right w:val="single" w:sz="4" w:space="0" w:color="auto"/>
            </w:tcBorders>
            <w:shd w:val="clear" w:color="auto" w:fill="auto"/>
            <w:noWrap/>
            <w:vAlign w:val="center"/>
            <w:hideMark/>
          </w:tcPr>
          <w:p w14:paraId="4F66E423" w14:textId="77777777" w:rsidR="002D28C5" w:rsidRPr="00930651" w:rsidRDefault="00D57BC7"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77</w:t>
            </w:r>
          </w:p>
        </w:tc>
        <w:tc>
          <w:tcPr>
            <w:tcW w:w="1170" w:type="dxa"/>
            <w:tcBorders>
              <w:top w:val="nil"/>
              <w:left w:val="nil"/>
              <w:bottom w:val="single" w:sz="4" w:space="0" w:color="auto"/>
              <w:right w:val="single" w:sz="4" w:space="0" w:color="auto"/>
            </w:tcBorders>
            <w:shd w:val="clear" w:color="auto" w:fill="auto"/>
            <w:noWrap/>
            <w:vAlign w:val="center"/>
            <w:hideMark/>
          </w:tcPr>
          <w:p w14:paraId="394AE80F"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231</w:t>
            </w:r>
          </w:p>
        </w:tc>
      </w:tr>
      <w:tr w:rsidR="002D28C5" w:rsidRPr="00930651" w14:paraId="1968DFAC" w14:textId="77777777" w:rsidTr="008F4A6B">
        <w:tc>
          <w:tcPr>
            <w:tcW w:w="4678" w:type="dxa"/>
            <w:tcBorders>
              <w:top w:val="nil"/>
              <w:left w:val="single" w:sz="4" w:space="0" w:color="auto"/>
              <w:bottom w:val="single" w:sz="4" w:space="0" w:color="auto"/>
              <w:right w:val="single" w:sz="4" w:space="0" w:color="auto"/>
            </w:tcBorders>
            <w:shd w:val="clear" w:color="000000" w:fill="C4D79B"/>
            <w:noWrap/>
            <w:vAlign w:val="center"/>
            <w:hideMark/>
          </w:tcPr>
          <w:p w14:paraId="0DBE4CEE"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D. Appui aux Initiatives régionales</w:t>
            </w:r>
          </w:p>
        </w:tc>
        <w:tc>
          <w:tcPr>
            <w:tcW w:w="1169" w:type="dxa"/>
            <w:tcBorders>
              <w:top w:val="nil"/>
              <w:left w:val="nil"/>
              <w:bottom w:val="single" w:sz="4" w:space="0" w:color="auto"/>
              <w:right w:val="single" w:sz="4" w:space="0" w:color="auto"/>
            </w:tcBorders>
            <w:shd w:val="clear" w:color="000000" w:fill="C4D79B"/>
            <w:noWrap/>
            <w:vAlign w:val="center"/>
            <w:hideMark/>
          </w:tcPr>
          <w:p w14:paraId="5899FE35"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70" w:type="dxa"/>
            <w:tcBorders>
              <w:top w:val="nil"/>
              <w:left w:val="nil"/>
              <w:bottom w:val="single" w:sz="4" w:space="0" w:color="auto"/>
              <w:right w:val="single" w:sz="4" w:space="0" w:color="auto"/>
            </w:tcBorders>
            <w:shd w:val="clear" w:color="000000" w:fill="C4D79B"/>
            <w:noWrap/>
            <w:vAlign w:val="center"/>
            <w:hideMark/>
          </w:tcPr>
          <w:p w14:paraId="26BA167D"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69" w:type="dxa"/>
            <w:tcBorders>
              <w:top w:val="nil"/>
              <w:left w:val="nil"/>
              <w:bottom w:val="single" w:sz="4" w:space="0" w:color="auto"/>
              <w:right w:val="single" w:sz="4" w:space="0" w:color="auto"/>
            </w:tcBorders>
            <w:shd w:val="clear" w:color="000000" w:fill="C4D79B"/>
            <w:noWrap/>
            <w:vAlign w:val="center"/>
            <w:hideMark/>
          </w:tcPr>
          <w:p w14:paraId="4BFD8E14"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70" w:type="dxa"/>
            <w:tcBorders>
              <w:top w:val="nil"/>
              <w:left w:val="nil"/>
              <w:bottom w:val="single" w:sz="4" w:space="0" w:color="auto"/>
              <w:right w:val="single" w:sz="4" w:space="0" w:color="auto"/>
            </w:tcBorders>
            <w:shd w:val="clear" w:color="000000" w:fill="C4D79B"/>
            <w:noWrap/>
            <w:vAlign w:val="center"/>
            <w:hideMark/>
          </w:tcPr>
          <w:p w14:paraId="594078D8" w14:textId="77777777" w:rsidR="002D28C5" w:rsidRPr="00930651" w:rsidRDefault="00D57BC7"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300</w:t>
            </w:r>
          </w:p>
        </w:tc>
      </w:tr>
      <w:tr w:rsidR="002D28C5" w:rsidRPr="00930651" w14:paraId="7B3ED983"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67597DDB" w14:textId="77777777" w:rsidR="002D28C5" w:rsidRPr="00930651" w:rsidRDefault="002D28C5" w:rsidP="00CE4746">
            <w:pPr>
              <w:ind w:left="0" w:firstLine="0"/>
              <w:rPr>
                <w:rFonts w:asciiTheme="minorHAnsi" w:eastAsia="Times New Roman" w:hAnsiTheme="minorHAnsi" w:cs="Arial"/>
                <w:sz w:val="20"/>
                <w:szCs w:val="20"/>
              </w:rPr>
            </w:pPr>
            <w:r w:rsidRPr="00930651">
              <w:rPr>
                <w:rFonts w:asciiTheme="minorHAnsi" w:hAnsiTheme="minorHAnsi"/>
                <w:sz w:val="20"/>
              </w:rPr>
              <w:t>Réseaux et centres régionaux</w:t>
            </w:r>
          </w:p>
        </w:tc>
        <w:tc>
          <w:tcPr>
            <w:tcW w:w="1169" w:type="dxa"/>
            <w:tcBorders>
              <w:top w:val="nil"/>
              <w:left w:val="nil"/>
              <w:bottom w:val="single" w:sz="4" w:space="0" w:color="auto"/>
              <w:right w:val="single" w:sz="4" w:space="0" w:color="auto"/>
            </w:tcBorders>
            <w:shd w:val="clear" w:color="auto" w:fill="auto"/>
            <w:noWrap/>
            <w:vAlign w:val="center"/>
            <w:hideMark/>
          </w:tcPr>
          <w:p w14:paraId="6F3E397C"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1303EB6"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72E29EE9" w14:textId="77777777" w:rsidR="002D28C5" w:rsidRPr="00930651" w:rsidRDefault="00D57BC7"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AF745D4" w14:textId="77777777" w:rsidR="002D28C5" w:rsidRPr="00930651" w:rsidRDefault="00D57BC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300</w:t>
            </w:r>
          </w:p>
        </w:tc>
      </w:tr>
      <w:tr w:rsidR="002D28C5" w:rsidRPr="00930651" w14:paraId="24B394CA" w14:textId="77777777" w:rsidTr="008F4A6B">
        <w:tc>
          <w:tcPr>
            <w:tcW w:w="4678" w:type="dxa"/>
            <w:tcBorders>
              <w:top w:val="nil"/>
              <w:left w:val="single" w:sz="4" w:space="0" w:color="auto"/>
              <w:bottom w:val="single" w:sz="4" w:space="0" w:color="auto"/>
              <w:right w:val="single" w:sz="4" w:space="0" w:color="auto"/>
            </w:tcBorders>
            <w:shd w:val="clear" w:color="000000" w:fill="C4D79B"/>
            <w:noWrap/>
            <w:vAlign w:val="center"/>
            <w:hideMark/>
          </w:tcPr>
          <w:p w14:paraId="352B6E67"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E. Sciences et Politiques</w:t>
            </w:r>
          </w:p>
        </w:tc>
        <w:tc>
          <w:tcPr>
            <w:tcW w:w="1169" w:type="dxa"/>
            <w:tcBorders>
              <w:top w:val="nil"/>
              <w:left w:val="nil"/>
              <w:bottom w:val="single" w:sz="4" w:space="0" w:color="auto"/>
              <w:right w:val="single" w:sz="4" w:space="0" w:color="auto"/>
            </w:tcBorders>
            <w:shd w:val="clear" w:color="000000" w:fill="C4D79B"/>
            <w:noWrap/>
            <w:vAlign w:val="center"/>
            <w:hideMark/>
          </w:tcPr>
          <w:p w14:paraId="5E3729FA" w14:textId="77777777" w:rsidR="002D28C5" w:rsidRPr="00930651" w:rsidRDefault="00452DF8" w:rsidP="00A26E01">
            <w:pPr>
              <w:ind w:left="0" w:firstLine="0"/>
              <w:jc w:val="right"/>
              <w:rPr>
                <w:rFonts w:eastAsia="Times New Roman" w:cs="Arial"/>
                <w:b/>
                <w:bCs/>
                <w:color w:val="000000"/>
                <w:sz w:val="20"/>
                <w:szCs w:val="20"/>
              </w:rPr>
            </w:pPr>
            <w:r w:rsidRPr="00930651">
              <w:rPr>
                <w:b/>
                <w:color w:val="000000"/>
                <w:sz w:val="20"/>
              </w:rPr>
              <w:t>850</w:t>
            </w:r>
          </w:p>
        </w:tc>
        <w:tc>
          <w:tcPr>
            <w:tcW w:w="1170" w:type="dxa"/>
            <w:tcBorders>
              <w:top w:val="nil"/>
              <w:left w:val="nil"/>
              <w:bottom w:val="single" w:sz="4" w:space="0" w:color="auto"/>
              <w:right w:val="single" w:sz="4" w:space="0" w:color="auto"/>
            </w:tcBorders>
            <w:shd w:val="clear" w:color="000000" w:fill="C4D79B"/>
            <w:noWrap/>
            <w:vAlign w:val="center"/>
            <w:hideMark/>
          </w:tcPr>
          <w:p w14:paraId="05523D61" w14:textId="77777777" w:rsidR="002D28C5" w:rsidRPr="00930651" w:rsidRDefault="00452DF8" w:rsidP="00A26E01">
            <w:pPr>
              <w:ind w:left="0" w:firstLine="0"/>
              <w:jc w:val="right"/>
              <w:rPr>
                <w:rFonts w:eastAsia="Times New Roman" w:cs="Arial"/>
                <w:b/>
                <w:bCs/>
                <w:color w:val="000000"/>
                <w:sz w:val="20"/>
                <w:szCs w:val="20"/>
              </w:rPr>
            </w:pPr>
            <w:r w:rsidRPr="00930651">
              <w:rPr>
                <w:b/>
                <w:color w:val="000000"/>
                <w:sz w:val="20"/>
              </w:rPr>
              <w:t>834</w:t>
            </w:r>
          </w:p>
        </w:tc>
        <w:tc>
          <w:tcPr>
            <w:tcW w:w="1169" w:type="dxa"/>
            <w:tcBorders>
              <w:top w:val="nil"/>
              <w:left w:val="nil"/>
              <w:bottom w:val="single" w:sz="4" w:space="0" w:color="auto"/>
              <w:right w:val="single" w:sz="4" w:space="0" w:color="auto"/>
            </w:tcBorders>
            <w:shd w:val="clear" w:color="000000" w:fill="C4D79B"/>
            <w:noWrap/>
            <w:vAlign w:val="center"/>
            <w:hideMark/>
          </w:tcPr>
          <w:p w14:paraId="3F0978BF" w14:textId="77777777" w:rsidR="002D28C5" w:rsidRPr="00930651" w:rsidRDefault="00452DF8" w:rsidP="00A26E01">
            <w:pPr>
              <w:ind w:left="0" w:firstLine="0"/>
              <w:jc w:val="right"/>
              <w:rPr>
                <w:rFonts w:eastAsia="Times New Roman" w:cs="Arial"/>
                <w:b/>
                <w:bCs/>
                <w:color w:val="000000"/>
                <w:sz w:val="20"/>
                <w:szCs w:val="20"/>
              </w:rPr>
            </w:pPr>
            <w:r w:rsidRPr="00930651">
              <w:rPr>
                <w:b/>
                <w:color w:val="000000"/>
                <w:sz w:val="20"/>
              </w:rPr>
              <w:t>843</w:t>
            </w:r>
          </w:p>
        </w:tc>
        <w:tc>
          <w:tcPr>
            <w:tcW w:w="1170" w:type="dxa"/>
            <w:tcBorders>
              <w:top w:val="nil"/>
              <w:left w:val="nil"/>
              <w:bottom w:val="single" w:sz="4" w:space="0" w:color="auto"/>
              <w:right w:val="single" w:sz="4" w:space="0" w:color="auto"/>
            </w:tcBorders>
            <w:shd w:val="clear" w:color="000000" w:fill="C4D79B"/>
            <w:noWrap/>
            <w:vAlign w:val="center"/>
            <w:hideMark/>
          </w:tcPr>
          <w:p w14:paraId="696A0E4D" w14:textId="77777777" w:rsidR="002D28C5" w:rsidRPr="00930651" w:rsidRDefault="00D57BC7" w:rsidP="00A26E01">
            <w:pPr>
              <w:ind w:left="0" w:firstLine="0"/>
              <w:jc w:val="right"/>
              <w:rPr>
                <w:rFonts w:eastAsia="Times New Roman" w:cs="Arial"/>
                <w:b/>
                <w:bCs/>
                <w:color w:val="000000"/>
                <w:sz w:val="20"/>
                <w:szCs w:val="20"/>
              </w:rPr>
            </w:pPr>
            <w:r w:rsidRPr="00930651">
              <w:rPr>
                <w:b/>
                <w:color w:val="000000"/>
                <w:sz w:val="20"/>
              </w:rPr>
              <w:t>2 527</w:t>
            </w:r>
          </w:p>
        </w:tc>
      </w:tr>
      <w:tr w:rsidR="002D28C5" w:rsidRPr="00930651" w14:paraId="3291252A"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185FC3AE"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hideMark/>
          </w:tcPr>
          <w:p w14:paraId="2CE2A9D4" w14:textId="77777777" w:rsidR="002D28C5" w:rsidRPr="00930651" w:rsidRDefault="00452DF8" w:rsidP="00A26E01">
            <w:pPr>
              <w:ind w:left="0" w:firstLine="0"/>
              <w:jc w:val="right"/>
              <w:rPr>
                <w:rFonts w:eastAsia="Times New Roman" w:cs="Arial"/>
                <w:sz w:val="20"/>
                <w:szCs w:val="20"/>
              </w:rPr>
            </w:pPr>
            <w:r w:rsidRPr="00930651">
              <w:rPr>
                <w:sz w:val="20"/>
              </w:rPr>
              <w:t>657</w:t>
            </w:r>
          </w:p>
        </w:tc>
        <w:tc>
          <w:tcPr>
            <w:tcW w:w="1170" w:type="dxa"/>
            <w:tcBorders>
              <w:top w:val="nil"/>
              <w:left w:val="nil"/>
              <w:bottom w:val="single" w:sz="4" w:space="0" w:color="auto"/>
              <w:right w:val="single" w:sz="4" w:space="0" w:color="auto"/>
            </w:tcBorders>
            <w:shd w:val="clear" w:color="auto" w:fill="auto"/>
            <w:noWrap/>
            <w:vAlign w:val="center"/>
            <w:hideMark/>
          </w:tcPr>
          <w:p w14:paraId="0E99E5A9" w14:textId="77777777" w:rsidR="002D28C5" w:rsidRPr="00930651" w:rsidRDefault="00452DF8" w:rsidP="00A26E01">
            <w:pPr>
              <w:ind w:left="0" w:firstLine="0"/>
              <w:jc w:val="right"/>
              <w:rPr>
                <w:rFonts w:eastAsia="Times New Roman" w:cs="Arial"/>
                <w:sz w:val="20"/>
                <w:szCs w:val="20"/>
              </w:rPr>
            </w:pPr>
            <w:r w:rsidRPr="00930651">
              <w:rPr>
                <w:sz w:val="20"/>
              </w:rPr>
              <w:t>661</w:t>
            </w:r>
          </w:p>
        </w:tc>
        <w:tc>
          <w:tcPr>
            <w:tcW w:w="1169" w:type="dxa"/>
            <w:tcBorders>
              <w:top w:val="nil"/>
              <w:left w:val="nil"/>
              <w:bottom w:val="single" w:sz="4" w:space="0" w:color="auto"/>
              <w:right w:val="single" w:sz="4" w:space="0" w:color="auto"/>
            </w:tcBorders>
            <w:shd w:val="clear" w:color="auto" w:fill="auto"/>
            <w:noWrap/>
            <w:vAlign w:val="center"/>
            <w:hideMark/>
          </w:tcPr>
          <w:p w14:paraId="410C4E59" w14:textId="77777777" w:rsidR="002D28C5" w:rsidRPr="00930651" w:rsidRDefault="00452DF8" w:rsidP="00A26E01">
            <w:pPr>
              <w:ind w:left="0" w:firstLine="0"/>
              <w:jc w:val="right"/>
              <w:rPr>
                <w:rFonts w:eastAsia="Times New Roman" w:cs="Arial"/>
                <w:sz w:val="20"/>
                <w:szCs w:val="20"/>
              </w:rPr>
            </w:pPr>
            <w:r w:rsidRPr="00930651">
              <w:rPr>
                <w:sz w:val="20"/>
              </w:rPr>
              <w:t>670</w:t>
            </w:r>
          </w:p>
        </w:tc>
        <w:tc>
          <w:tcPr>
            <w:tcW w:w="1170" w:type="dxa"/>
            <w:tcBorders>
              <w:top w:val="nil"/>
              <w:left w:val="nil"/>
              <w:bottom w:val="single" w:sz="4" w:space="0" w:color="auto"/>
              <w:right w:val="single" w:sz="4" w:space="0" w:color="auto"/>
            </w:tcBorders>
            <w:shd w:val="clear" w:color="auto" w:fill="auto"/>
            <w:noWrap/>
            <w:vAlign w:val="center"/>
            <w:hideMark/>
          </w:tcPr>
          <w:p w14:paraId="102690E4" w14:textId="77777777" w:rsidR="002D28C5" w:rsidRPr="00930651" w:rsidRDefault="00D57BC7" w:rsidP="00A26E01">
            <w:pPr>
              <w:ind w:left="0" w:firstLine="0"/>
              <w:jc w:val="right"/>
              <w:rPr>
                <w:rFonts w:eastAsia="Times New Roman" w:cs="Arial"/>
                <w:sz w:val="20"/>
                <w:szCs w:val="20"/>
              </w:rPr>
            </w:pPr>
            <w:r w:rsidRPr="00930651">
              <w:rPr>
                <w:sz w:val="20"/>
              </w:rPr>
              <w:t>1 988</w:t>
            </w:r>
          </w:p>
        </w:tc>
      </w:tr>
      <w:tr w:rsidR="002D28C5" w:rsidRPr="00930651" w14:paraId="20453AE4"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054B87CA"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Mise en œuvre du programme du GEST</w:t>
            </w:r>
          </w:p>
        </w:tc>
        <w:tc>
          <w:tcPr>
            <w:tcW w:w="1169" w:type="dxa"/>
            <w:tcBorders>
              <w:top w:val="nil"/>
              <w:left w:val="nil"/>
              <w:bottom w:val="single" w:sz="4" w:space="0" w:color="auto"/>
              <w:right w:val="single" w:sz="4" w:space="0" w:color="auto"/>
            </w:tcBorders>
            <w:shd w:val="clear" w:color="auto" w:fill="auto"/>
            <w:noWrap/>
            <w:vAlign w:val="center"/>
            <w:hideMark/>
          </w:tcPr>
          <w:p w14:paraId="3DA50775" w14:textId="77777777" w:rsidR="002D28C5" w:rsidRPr="00930651" w:rsidRDefault="00D57BC7" w:rsidP="00A26E01">
            <w:pPr>
              <w:ind w:left="0" w:firstLine="0"/>
              <w:jc w:val="right"/>
              <w:rPr>
                <w:rFonts w:eastAsia="Times New Roman" w:cs="Arial"/>
                <w:sz w:val="20"/>
                <w:szCs w:val="20"/>
              </w:rPr>
            </w:pPr>
            <w:r w:rsidRPr="00930651">
              <w:rPr>
                <w:sz w:val="2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7F1BDA62" w14:textId="77777777" w:rsidR="002D28C5" w:rsidRPr="00930651" w:rsidRDefault="00D57BC7" w:rsidP="00A26E01">
            <w:pPr>
              <w:ind w:left="0" w:firstLine="0"/>
              <w:jc w:val="right"/>
              <w:rPr>
                <w:rFonts w:eastAsia="Times New Roman" w:cs="Arial"/>
                <w:sz w:val="20"/>
                <w:szCs w:val="20"/>
              </w:rPr>
            </w:pPr>
            <w:r w:rsidRPr="00930651">
              <w:rPr>
                <w:sz w:val="20"/>
              </w:rPr>
              <w:t>40</w:t>
            </w:r>
          </w:p>
        </w:tc>
        <w:tc>
          <w:tcPr>
            <w:tcW w:w="1169" w:type="dxa"/>
            <w:tcBorders>
              <w:top w:val="nil"/>
              <w:left w:val="nil"/>
              <w:bottom w:val="single" w:sz="4" w:space="0" w:color="auto"/>
              <w:right w:val="single" w:sz="4" w:space="0" w:color="auto"/>
            </w:tcBorders>
            <w:shd w:val="clear" w:color="auto" w:fill="auto"/>
            <w:noWrap/>
            <w:vAlign w:val="center"/>
            <w:hideMark/>
          </w:tcPr>
          <w:p w14:paraId="6A95DB5C" w14:textId="77777777" w:rsidR="002D28C5" w:rsidRPr="00930651" w:rsidRDefault="00D57BC7" w:rsidP="00A26E01">
            <w:pPr>
              <w:ind w:left="0" w:firstLine="0"/>
              <w:jc w:val="right"/>
              <w:rPr>
                <w:rFonts w:eastAsia="Times New Roman" w:cs="Arial"/>
                <w:sz w:val="20"/>
                <w:szCs w:val="20"/>
              </w:rPr>
            </w:pPr>
            <w:r w:rsidRPr="00930651">
              <w:rPr>
                <w:sz w:val="2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120D38B5" w14:textId="77777777" w:rsidR="002D28C5" w:rsidRPr="00930651" w:rsidRDefault="00D57BC7" w:rsidP="00A26E01">
            <w:pPr>
              <w:ind w:left="0" w:firstLine="0"/>
              <w:jc w:val="right"/>
              <w:rPr>
                <w:rFonts w:eastAsia="Times New Roman" w:cs="Arial"/>
                <w:sz w:val="20"/>
                <w:szCs w:val="20"/>
              </w:rPr>
            </w:pPr>
            <w:r w:rsidRPr="00930651">
              <w:rPr>
                <w:sz w:val="20"/>
              </w:rPr>
              <w:t>120</w:t>
            </w:r>
          </w:p>
        </w:tc>
      </w:tr>
      <w:tr w:rsidR="00D57BC7" w:rsidRPr="00930651" w14:paraId="7B4C1149"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tcPr>
          <w:p w14:paraId="1AF10D14" w14:textId="77777777" w:rsidR="00D57BC7" w:rsidRPr="00930651" w:rsidRDefault="00D57BC7" w:rsidP="00A26E01">
            <w:pPr>
              <w:ind w:left="0" w:firstLine="0"/>
              <w:rPr>
                <w:rFonts w:asciiTheme="minorHAnsi" w:eastAsia="Times New Roman" w:hAnsiTheme="minorHAnsi" w:cs="Arial"/>
                <w:sz w:val="20"/>
                <w:szCs w:val="20"/>
              </w:rPr>
            </w:pPr>
            <w:r w:rsidRPr="00930651">
              <w:rPr>
                <w:rFonts w:asciiTheme="minorHAnsi" w:hAnsiTheme="minorHAnsi"/>
                <w:sz w:val="20"/>
              </w:rPr>
              <w:t>Déplacement du Président du GEST</w:t>
            </w:r>
          </w:p>
        </w:tc>
        <w:tc>
          <w:tcPr>
            <w:tcW w:w="1169" w:type="dxa"/>
            <w:tcBorders>
              <w:top w:val="nil"/>
              <w:left w:val="nil"/>
              <w:bottom w:val="single" w:sz="4" w:space="0" w:color="auto"/>
              <w:right w:val="single" w:sz="4" w:space="0" w:color="auto"/>
            </w:tcBorders>
            <w:shd w:val="clear" w:color="auto" w:fill="auto"/>
            <w:noWrap/>
            <w:vAlign w:val="center"/>
          </w:tcPr>
          <w:p w14:paraId="2C8F8059" w14:textId="77777777" w:rsidR="00D57BC7" w:rsidRPr="00930651" w:rsidDel="00D57BC7" w:rsidRDefault="00DD4C66" w:rsidP="00A26E01">
            <w:pPr>
              <w:ind w:left="0" w:firstLine="0"/>
              <w:jc w:val="right"/>
              <w:rPr>
                <w:rFonts w:eastAsia="Times New Roman" w:cs="Arial"/>
                <w:sz w:val="20"/>
                <w:szCs w:val="20"/>
              </w:rPr>
            </w:pPr>
            <w:r w:rsidRPr="00930651">
              <w:rPr>
                <w:sz w:val="20"/>
              </w:rPr>
              <w:t>5</w:t>
            </w:r>
          </w:p>
        </w:tc>
        <w:tc>
          <w:tcPr>
            <w:tcW w:w="1170" w:type="dxa"/>
            <w:tcBorders>
              <w:top w:val="nil"/>
              <w:left w:val="nil"/>
              <w:bottom w:val="single" w:sz="4" w:space="0" w:color="auto"/>
              <w:right w:val="single" w:sz="4" w:space="0" w:color="auto"/>
            </w:tcBorders>
            <w:shd w:val="clear" w:color="auto" w:fill="auto"/>
            <w:noWrap/>
            <w:vAlign w:val="center"/>
          </w:tcPr>
          <w:p w14:paraId="183BA622" w14:textId="77777777" w:rsidR="00D57BC7" w:rsidRPr="00930651" w:rsidDel="00D57BC7" w:rsidRDefault="00DD4C66" w:rsidP="00A26E01">
            <w:pPr>
              <w:ind w:left="0" w:firstLine="0"/>
              <w:jc w:val="right"/>
              <w:rPr>
                <w:rFonts w:eastAsia="Times New Roman" w:cs="Arial"/>
                <w:sz w:val="20"/>
                <w:szCs w:val="20"/>
              </w:rPr>
            </w:pPr>
            <w:r w:rsidRPr="00930651">
              <w:rPr>
                <w:sz w:val="20"/>
              </w:rPr>
              <w:t>5</w:t>
            </w:r>
          </w:p>
        </w:tc>
        <w:tc>
          <w:tcPr>
            <w:tcW w:w="1169" w:type="dxa"/>
            <w:tcBorders>
              <w:top w:val="nil"/>
              <w:left w:val="nil"/>
              <w:bottom w:val="single" w:sz="4" w:space="0" w:color="auto"/>
              <w:right w:val="single" w:sz="4" w:space="0" w:color="auto"/>
            </w:tcBorders>
            <w:shd w:val="clear" w:color="auto" w:fill="auto"/>
            <w:noWrap/>
            <w:vAlign w:val="center"/>
          </w:tcPr>
          <w:p w14:paraId="43612AFC" w14:textId="77777777" w:rsidR="00D57BC7" w:rsidRPr="00930651" w:rsidDel="00D57BC7" w:rsidRDefault="00DD4C66" w:rsidP="00A26E01">
            <w:pPr>
              <w:ind w:left="0" w:firstLine="0"/>
              <w:jc w:val="right"/>
              <w:rPr>
                <w:rFonts w:eastAsia="Times New Roman" w:cs="Arial"/>
                <w:sz w:val="20"/>
                <w:szCs w:val="20"/>
              </w:rPr>
            </w:pPr>
            <w:r w:rsidRPr="00930651">
              <w:rPr>
                <w:sz w:val="20"/>
              </w:rPr>
              <w:t>5</w:t>
            </w:r>
          </w:p>
        </w:tc>
        <w:tc>
          <w:tcPr>
            <w:tcW w:w="1170" w:type="dxa"/>
            <w:tcBorders>
              <w:top w:val="nil"/>
              <w:left w:val="nil"/>
              <w:bottom w:val="single" w:sz="4" w:space="0" w:color="auto"/>
              <w:right w:val="single" w:sz="4" w:space="0" w:color="auto"/>
            </w:tcBorders>
            <w:shd w:val="clear" w:color="auto" w:fill="auto"/>
            <w:noWrap/>
            <w:vAlign w:val="center"/>
          </w:tcPr>
          <w:p w14:paraId="01BAEE13" w14:textId="77777777" w:rsidR="00D57BC7" w:rsidRPr="00930651" w:rsidDel="00D57BC7" w:rsidRDefault="00DD4C66" w:rsidP="00A26E01">
            <w:pPr>
              <w:ind w:left="0" w:firstLine="0"/>
              <w:jc w:val="right"/>
              <w:rPr>
                <w:rFonts w:eastAsia="Times New Roman" w:cs="Arial"/>
                <w:sz w:val="20"/>
                <w:szCs w:val="20"/>
              </w:rPr>
            </w:pPr>
            <w:r w:rsidRPr="00930651">
              <w:rPr>
                <w:sz w:val="20"/>
              </w:rPr>
              <w:t>15</w:t>
            </w:r>
          </w:p>
        </w:tc>
      </w:tr>
      <w:tr w:rsidR="002D28C5" w:rsidRPr="00930651" w14:paraId="2096B8BD"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30401B2E"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Réunions du GEST</w:t>
            </w:r>
          </w:p>
        </w:tc>
        <w:tc>
          <w:tcPr>
            <w:tcW w:w="1169" w:type="dxa"/>
            <w:tcBorders>
              <w:top w:val="nil"/>
              <w:left w:val="nil"/>
              <w:bottom w:val="single" w:sz="4" w:space="0" w:color="auto"/>
              <w:right w:val="single" w:sz="4" w:space="0" w:color="auto"/>
            </w:tcBorders>
            <w:shd w:val="clear" w:color="auto" w:fill="auto"/>
            <w:noWrap/>
            <w:vAlign w:val="center"/>
            <w:hideMark/>
          </w:tcPr>
          <w:p w14:paraId="265F6F48" w14:textId="77777777" w:rsidR="002D28C5" w:rsidRPr="00930651" w:rsidRDefault="002D28C5" w:rsidP="00A26E01">
            <w:pPr>
              <w:ind w:left="0" w:firstLine="0"/>
              <w:jc w:val="right"/>
              <w:rPr>
                <w:rFonts w:eastAsia="Times New Roman" w:cs="Arial"/>
                <w:sz w:val="20"/>
                <w:szCs w:val="20"/>
              </w:rPr>
            </w:pPr>
            <w:r w:rsidRPr="00930651">
              <w:rPr>
                <w:sz w:val="20"/>
              </w:rPr>
              <w:t>50</w:t>
            </w:r>
          </w:p>
        </w:tc>
        <w:tc>
          <w:tcPr>
            <w:tcW w:w="1170" w:type="dxa"/>
            <w:tcBorders>
              <w:top w:val="nil"/>
              <w:left w:val="nil"/>
              <w:bottom w:val="single" w:sz="4" w:space="0" w:color="auto"/>
              <w:right w:val="single" w:sz="4" w:space="0" w:color="auto"/>
            </w:tcBorders>
            <w:shd w:val="clear" w:color="auto" w:fill="auto"/>
            <w:noWrap/>
            <w:vAlign w:val="center"/>
            <w:hideMark/>
          </w:tcPr>
          <w:p w14:paraId="363CE025" w14:textId="77777777" w:rsidR="002D28C5" w:rsidRPr="00930651" w:rsidRDefault="002D28C5" w:rsidP="00A26E01">
            <w:pPr>
              <w:ind w:left="0" w:firstLine="0"/>
              <w:jc w:val="right"/>
              <w:rPr>
                <w:rFonts w:eastAsia="Times New Roman" w:cs="Arial"/>
                <w:sz w:val="20"/>
                <w:szCs w:val="20"/>
              </w:rPr>
            </w:pPr>
            <w:r w:rsidRPr="00930651">
              <w:rPr>
                <w:sz w:val="20"/>
              </w:rPr>
              <w:t>50</w:t>
            </w:r>
          </w:p>
        </w:tc>
        <w:tc>
          <w:tcPr>
            <w:tcW w:w="1169" w:type="dxa"/>
            <w:tcBorders>
              <w:top w:val="nil"/>
              <w:left w:val="nil"/>
              <w:bottom w:val="single" w:sz="4" w:space="0" w:color="auto"/>
              <w:right w:val="single" w:sz="4" w:space="0" w:color="auto"/>
            </w:tcBorders>
            <w:shd w:val="clear" w:color="auto" w:fill="auto"/>
            <w:noWrap/>
            <w:vAlign w:val="center"/>
            <w:hideMark/>
          </w:tcPr>
          <w:p w14:paraId="586FADC0" w14:textId="77777777" w:rsidR="002D28C5" w:rsidRPr="00930651" w:rsidRDefault="002D28C5" w:rsidP="00A26E01">
            <w:pPr>
              <w:ind w:left="0" w:firstLine="0"/>
              <w:jc w:val="right"/>
              <w:rPr>
                <w:rFonts w:eastAsia="Times New Roman" w:cs="Arial"/>
                <w:sz w:val="20"/>
                <w:szCs w:val="20"/>
              </w:rPr>
            </w:pPr>
            <w:r w:rsidRPr="00930651">
              <w:rPr>
                <w:sz w:val="20"/>
              </w:rPr>
              <w:t>50</w:t>
            </w:r>
          </w:p>
        </w:tc>
        <w:tc>
          <w:tcPr>
            <w:tcW w:w="1170" w:type="dxa"/>
            <w:tcBorders>
              <w:top w:val="nil"/>
              <w:left w:val="nil"/>
              <w:bottom w:val="single" w:sz="4" w:space="0" w:color="auto"/>
              <w:right w:val="single" w:sz="4" w:space="0" w:color="auto"/>
            </w:tcBorders>
            <w:shd w:val="clear" w:color="auto" w:fill="auto"/>
            <w:noWrap/>
            <w:vAlign w:val="center"/>
            <w:hideMark/>
          </w:tcPr>
          <w:p w14:paraId="4F699570" w14:textId="77777777" w:rsidR="002D28C5" w:rsidRPr="00930651" w:rsidRDefault="002D28C5" w:rsidP="00A26E01">
            <w:pPr>
              <w:ind w:left="0" w:firstLine="0"/>
              <w:jc w:val="right"/>
              <w:rPr>
                <w:rFonts w:eastAsia="Times New Roman" w:cs="Arial"/>
                <w:sz w:val="20"/>
                <w:szCs w:val="20"/>
              </w:rPr>
            </w:pPr>
            <w:r w:rsidRPr="00930651">
              <w:rPr>
                <w:sz w:val="20"/>
              </w:rPr>
              <w:t>150</w:t>
            </w:r>
          </w:p>
        </w:tc>
      </w:tr>
      <w:tr w:rsidR="002D28C5" w:rsidRPr="00930651" w14:paraId="46E0BA30"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5139F656" w14:textId="76E35433"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Service d</w:t>
            </w:r>
            <w:r w:rsidR="00101E52">
              <w:rPr>
                <w:rFonts w:asciiTheme="minorHAnsi" w:hAnsiTheme="minorHAnsi"/>
                <w:sz w:val="20"/>
              </w:rPr>
              <w:t>’</w:t>
            </w:r>
            <w:r w:rsidRPr="00930651">
              <w:rPr>
                <w:rFonts w:asciiTheme="minorHAnsi" w:hAnsiTheme="minorHAnsi"/>
                <w:sz w:val="20"/>
              </w:rPr>
              <w:t>information sur les Sites Ramsar (entretien et développement)</w:t>
            </w:r>
          </w:p>
        </w:tc>
        <w:tc>
          <w:tcPr>
            <w:tcW w:w="1169" w:type="dxa"/>
            <w:tcBorders>
              <w:top w:val="nil"/>
              <w:left w:val="nil"/>
              <w:bottom w:val="single" w:sz="4" w:space="0" w:color="auto"/>
              <w:right w:val="single" w:sz="4" w:space="0" w:color="auto"/>
            </w:tcBorders>
            <w:shd w:val="clear" w:color="auto" w:fill="auto"/>
            <w:noWrap/>
            <w:vAlign w:val="center"/>
            <w:hideMark/>
          </w:tcPr>
          <w:p w14:paraId="37AC2C9E" w14:textId="77777777" w:rsidR="002D28C5" w:rsidRPr="00930651" w:rsidRDefault="00DD4C66" w:rsidP="00A26E01">
            <w:pPr>
              <w:ind w:left="0" w:firstLine="0"/>
              <w:jc w:val="right"/>
              <w:rPr>
                <w:rFonts w:eastAsia="Times New Roman" w:cs="Arial"/>
                <w:sz w:val="20"/>
                <w:szCs w:val="20"/>
              </w:rPr>
            </w:pPr>
            <w:r w:rsidRPr="00930651">
              <w:rPr>
                <w:sz w:val="20"/>
              </w:rPr>
              <w:t>80</w:t>
            </w:r>
          </w:p>
        </w:tc>
        <w:tc>
          <w:tcPr>
            <w:tcW w:w="1170" w:type="dxa"/>
            <w:tcBorders>
              <w:top w:val="nil"/>
              <w:left w:val="nil"/>
              <w:bottom w:val="single" w:sz="4" w:space="0" w:color="auto"/>
              <w:right w:val="single" w:sz="4" w:space="0" w:color="auto"/>
            </w:tcBorders>
            <w:shd w:val="clear" w:color="auto" w:fill="auto"/>
            <w:noWrap/>
            <w:vAlign w:val="center"/>
            <w:hideMark/>
          </w:tcPr>
          <w:p w14:paraId="63386809" w14:textId="77777777" w:rsidR="002D28C5" w:rsidRPr="00930651" w:rsidRDefault="00DD4C66" w:rsidP="00A26E01">
            <w:pPr>
              <w:ind w:left="0" w:firstLine="0"/>
              <w:jc w:val="right"/>
              <w:rPr>
                <w:rFonts w:eastAsia="Times New Roman" w:cs="Arial"/>
                <w:sz w:val="20"/>
                <w:szCs w:val="20"/>
              </w:rPr>
            </w:pPr>
            <w:r w:rsidRPr="00930651">
              <w:rPr>
                <w:sz w:val="20"/>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5FC1BC8" w14:textId="77777777" w:rsidR="002D28C5" w:rsidRPr="00930651" w:rsidRDefault="00DD4C66" w:rsidP="00A26E01">
            <w:pPr>
              <w:ind w:left="0" w:firstLine="0"/>
              <w:jc w:val="right"/>
              <w:rPr>
                <w:rFonts w:eastAsia="Times New Roman" w:cs="Arial"/>
                <w:sz w:val="20"/>
                <w:szCs w:val="20"/>
              </w:rPr>
            </w:pPr>
            <w:r w:rsidRPr="00930651">
              <w:rPr>
                <w:sz w:val="2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33C27A75" w14:textId="77777777" w:rsidR="002D28C5" w:rsidRPr="00930651" w:rsidRDefault="00DD4C66" w:rsidP="00A26E01">
            <w:pPr>
              <w:ind w:left="0" w:firstLine="0"/>
              <w:jc w:val="right"/>
              <w:rPr>
                <w:rFonts w:eastAsia="Times New Roman" w:cs="Arial"/>
                <w:sz w:val="20"/>
                <w:szCs w:val="20"/>
              </w:rPr>
            </w:pPr>
            <w:r w:rsidRPr="00930651">
              <w:rPr>
                <w:sz w:val="20"/>
              </w:rPr>
              <w:t>200</w:t>
            </w:r>
          </w:p>
        </w:tc>
      </w:tr>
      <w:tr w:rsidR="008F481B" w:rsidRPr="00930651" w14:paraId="7C56B0E2"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tcPr>
          <w:p w14:paraId="36539B8E" w14:textId="77777777" w:rsidR="008F481B" w:rsidRPr="00930651" w:rsidRDefault="008F481B" w:rsidP="00A26E01">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69" w:type="dxa"/>
            <w:tcBorders>
              <w:top w:val="nil"/>
              <w:left w:val="nil"/>
              <w:bottom w:val="single" w:sz="4" w:space="0" w:color="auto"/>
              <w:right w:val="single" w:sz="4" w:space="0" w:color="auto"/>
            </w:tcBorders>
            <w:shd w:val="clear" w:color="auto" w:fill="auto"/>
            <w:noWrap/>
            <w:vAlign w:val="center"/>
          </w:tcPr>
          <w:p w14:paraId="40836171" w14:textId="77777777" w:rsidR="008F481B" w:rsidRPr="00930651" w:rsidDel="00DD4C66" w:rsidRDefault="008F481B" w:rsidP="00A26E01">
            <w:pPr>
              <w:ind w:left="0" w:firstLine="0"/>
              <w:jc w:val="right"/>
              <w:rPr>
                <w:rFonts w:eastAsia="Times New Roman" w:cs="Arial"/>
                <w:sz w:val="20"/>
                <w:szCs w:val="20"/>
              </w:rPr>
            </w:pPr>
            <w:r w:rsidRPr="00930651">
              <w:rPr>
                <w:sz w:val="20"/>
              </w:rPr>
              <w:t>18</w:t>
            </w:r>
          </w:p>
        </w:tc>
        <w:tc>
          <w:tcPr>
            <w:tcW w:w="1170" w:type="dxa"/>
            <w:tcBorders>
              <w:top w:val="nil"/>
              <w:left w:val="nil"/>
              <w:bottom w:val="single" w:sz="4" w:space="0" w:color="auto"/>
              <w:right w:val="single" w:sz="4" w:space="0" w:color="auto"/>
            </w:tcBorders>
            <w:shd w:val="clear" w:color="auto" w:fill="auto"/>
            <w:noWrap/>
            <w:vAlign w:val="center"/>
          </w:tcPr>
          <w:p w14:paraId="0B3DF123" w14:textId="77777777" w:rsidR="008F481B" w:rsidRPr="00930651" w:rsidDel="00DD4C66" w:rsidRDefault="008F481B" w:rsidP="00A26E01">
            <w:pPr>
              <w:ind w:left="0" w:firstLine="0"/>
              <w:jc w:val="right"/>
              <w:rPr>
                <w:rFonts w:eastAsia="Times New Roman" w:cs="Arial"/>
                <w:sz w:val="20"/>
                <w:szCs w:val="20"/>
              </w:rPr>
            </w:pPr>
            <w:r w:rsidRPr="00930651">
              <w:rPr>
                <w:sz w:val="20"/>
              </w:rPr>
              <w:t>18</w:t>
            </w:r>
          </w:p>
        </w:tc>
        <w:tc>
          <w:tcPr>
            <w:tcW w:w="1169" w:type="dxa"/>
            <w:tcBorders>
              <w:top w:val="nil"/>
              <w:left w:val="nil"/>
              <w:bottom w:val="single" w:sz="4" w:space="0" w:color="auto"/>
              <w:right w:val="single" w:sz="4" w:space="0" w:color="auto"/>
            </w:tcBorders>
            <w:shd w:val="clear" w:color="auto" w:fill="auto"/>
            <w:noWrap/>
            <w:vAlign w:val="center"/>
          </w:tcPr>
          <w:p w14:paraId="62589152" w14:textId="77777777" w:rsidR="008F481B" w:rsidRPr="00930651" w:rsidDel="00DD4C66" w:rsidRDefault="008F481B" w:rsidP="00A26E01">
            <w:pPr>
              <w:ind w:left="0" w:firstLine="0"/>
              <w:jc w:val="right"/>
              <w:rPr>
                <w:rFonts w:eastAsia="Times New Roman" w:cs="Arial"/>
                <w:sz w:val="20"/>
                <w:szCs w:val="20"/>
              </w:rPr>
            </w:pPr>
            <w:r w:rsidRPr="00930651">
              <w:rPr>
                <w:sz w:val="20"/>
              </w:rPr>
              <w:t>18</w:t>
            </w:r>
          </w:p>
        </w:tc>
        <w:tc>
          <w:tcPr>
            <w:tcW w:w="1170" w:type="dxa"/>
            <w:tcBorders>
              <w:top w:val="nil"/>
              <w:left w:val="nil"/>
              <w:bottom w:val="single" w:sz="4" w:space="0" w:color="auto"/>
              <w:right w:val="single" w:sz="4" w:space="0" w:color="auto"/>
            </w:tcBorders>
            <w:shd w:val="clear" w:color="auto" w:fill="auto"/>
            <w:noWrap/>
            <w:vAlign w:val="center"/>
          </w:tcPr>
          <w:p w14:paraId="7ACBED2C" w14:textId="77777777" w:rsidR="008F481B" w:rsidRPr="00930651" w:rsidDel="00DD4C66" w:rsidRDefault="008F481B" w:rsidP="00A26E01">
            <w:pPr>
              <w:ind w:left="0" w:firstLine="0"/>
              <w:jc w:val="right"/>
              <w:rPr>
                <w:rFonts w:eastAsia="Times New Roman" w:cs="Arial"/>
                <w:sz w:val="20"/>
                <w:szCs w:val="20"/>
              </w:rPr>
            </w:pPr>
            <w:r w:rsidRPr="00930651">
              <w:rPr>
                <w:sz w:val="20"/>
              </w:rPr>
              <w:t>54</w:t>
            </w:r>
          </w:p>
        </w:tc>
      </w:tr>
      <w:tr w:rsidR="002D28C5" w:rsidRPr="00930651" w14:paraId="70E56F97" w14:textId="77777777" w:rsidTr="008F4A6B">
        <w:tc>
          <w:tcPr>
            <w:tcW w:w="4678" w:type="dxa"/>
            <w:tcBorders>
              <w:top w:val="nil"/>
              <w:left w:val="single" w:sz="4" w:space="0" w:color="auto"/>
              <w:bottom w:val="single" w:sz="4" w:space="0" w:color="auto"/>
              <w:right w:val="single" w:sz="4" w:space="0" w:color="auto"/>
            </w:tcBorders>
            <w:shd w:val="clear" w:color="000000" w:fill="C4D79B"/>
            <w:noWrap/>
            <w:vAlign w:val="center"/>
            <w:hideMark/>
          </w:tcPr>
          <w:p w14:paraId="24CCD0B4"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G. Administration</w:t>
            </w:r>
          </w:p>
        </w:tc>
        <w:tc>
          <w:tcPr>
            <w:tcW w:w="1169" w:type="dxa"/>
            <w:tcBorders>
              <w:top w:val="nil"/>
              <w:left w:val="nil"/>
              <w:bottom w:val="single" w:sz="4" w:space="0" w:color="auto"/>
              <w:right w:val="single" w:sz="4" w:space="0" w:color="auto"/>
            </w:tcBorders>
            <w:shd w:val="clear" w:color="000000" w:fill="C4D79B"/>
            <w:noWrap/>
            <w:vAlign w:val="center"/>
            <w:hideMark/>
          </w:tcPr>
          <w:p w14:paraId="606F53F1" w14:textId="77777777" w:rsidR="002D28C5" w:rsidRPr="00930651" w:rsidRDefault="00452DF8" w:rsidP="00A26E01">
            <w:pPr>
              <w:ind w:left="0" w:firstLine="0"/>
              <w:jc w:val="right"/>
              <w:rPr>
                <w:rFonts w:eastAsia="Times New Roman" w:cs="Arial"/>
                <w:b/>
                <w:bCs/>
                <w:color w:val="000000"/>
                <w:sz w:val="20"/>
                <w:szCs w:val="20"/>
              </w:rPr>
            </w:pPr>
            <w:r w:rsidRPr="00930651">
              <w:rPr>
                <w:b/>
                <w:color w:val="000000"/>
                <w:sz w:val="20"/>
              </w:rPr>
              <w:t>526</w:t>
            </w:r>
          </w:p>
        </w:tc>
        <w:tc>
          <w:tcPr>
            <w:tcW w:w="1170" w:type="dxa"/>
            <w:tcBorders>
              <w:top w:val="nil"/>
              <w:left w:val="nil"/>
              <w:bottom w:val="single" w:sz="4" w:space="0" w:color="auto"/>
              <w:right w:val="single" w:sz="4" w:space="0" w:color="auto"/>
            </w:tcBorders>
            <w:shd w:val="clear" w:color="000000" w:fill="C4D79B"/>
            <w:noWrap/>
            <w:vAlign w:val="center"/>
            <w:hideMark/>
          </w:tcPr>
          <w:p w14:paraId="29F43A7D" w14:textId="77777777" w:rsidR="002D28C5" w:rsidRPr="00930651" w:rsidRDefault="00452DF8" w:rsidP="00145BDD">
            <w:pPr>
              <w:ind w:left="0" w:firstLine="0"/>
              <w:jc w:val="right"/>
              <w:rPr>
                <w:rFonts w:eastAsia="Times New Roman" w:cs="Arial"/>
                <w:b/>
                <w:bCs/>
                <w:color w:val="000000"/>
                <w:sz w:val="20"/>
                <w:szCs w:val="20"/>
              </w:rPr>
            </w:pPr>
            <w:r w:rsidRPr="00930651">
              <w:rPr>
                <w:b/>
                <w:color w:val="000000"/>
                <w:sz w:val="20"/>
              </w:rPr>
              <w:t>496</w:t>
            </w:r>
          </w:p>
        </w:tc>
        <w:tc>
          <w:tcPr>
            <w:tcW w:w="1169" w:type="dxa"/>
            <w:tcBorders>
              <w:top w:val="nil"/>
              <w:left w:val="nil"/>
              <w:bottom w:val="single" w:sz="4" w:space="0" w:color="auto"/>
              <w:right w:val="single" w:sz="4" w:space="0" w:color="auto"/>
            </w:tcBorders>
            <w:shd w:val="clear" w:color="000000" w:fill="C4D79B"/>
            <w:noWrap/>
            <w:vAlign w:val="center"/>
            <w:hideMark/>
          </w:tcPr>
          <w:p w14:paraId="1974A381" w14:textId="77777777" w:rsidR="002D28C5" w:rsidRPr="00930651" w:rsidRDefault="00452DF8" w:rsidP="00A26E01">
            <w:pPr>
              <w:ind w:left="0" w:firstLine="0"/>
              <w:jc w:val="right"/>
              <w:rPr>
                <w:rFonts w:eastAsia="Times New Roman" w:cs="Arial"/>
                <w:b/>
                <w:bCs/>
                <w:color w:val="000000"/>
                <w:sz w:val="20"/>
                <w:szCs w:val="20"/>
              </w:rPr>
            </w:pPr>
            <w:r w:rsidRPr="00930651">
              <w:rPr>
                <w:b/>
                <w:color w:val="000000"/>
                <w:sz w:val="20"/>
              </w:rPr>
              <w:t>466</w:t>
            </w:r>
          </w:p>
        </w:tc>
        <w:tc>
          <w:tcPr>
            <w:tcW w:w="1170" w:type="dxa"/>
            <w:tcBorders>
              <w:top w:val="nil"/>
              <w:left w:val="nil"/>
              <w:bottom w:val="single" w:sz="4" w:space="0" w:color="auto"/>
              <w:right w:val="single" w:sz="4" w:space="0" w:color="auto"/>
            </w:tcBorders>
            <w:shd w:val="clear" w:color="000000" w:fill="C4D79B"/>
            <w:noWrap/>
            <w:vAlign w:val="center"/>
            <w:hideMark/>
          </w:tcPr>
          <w:p w14:paraId="2AB15A64" w14:textId="77777777" w:rsidR="002D28C5" w:rsidRPr="00930651" w:rsidRDefault="00145BDD" w:rsidP="00A26E01">
            <w:pPr>
              <w:ind w:left="0" w:firstLine="0"/>
              <w:jc w:val="right"/>
              <w:rPr>
                <w:rFonts w:eastAsia="Times New Roman" w:cs="Arial"/>
                <w:b/>
                <w:bCs/>
                <w:color w:val="000000"/>
                <w:sz w:val="20"/>
                <w:szCs w:val="20"/>
              </w:rPr>
            </w:pPr>
            <w:r w:rsidRPr="00930651">
              <w:rPr>
                <w:b/>
                <w:color w:val="000000"/>
                <w:sz w:val="20"/>
              </w:rPr>
              <w:t>1 488</w:t>
            </w:r>
          </w:p>
        </w:tc>
      </w:tr>
      <w:tr w:rsidR="002D28C5" w:rsidRPr="00930651" w14:paraId="0DE2C086"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2CF6D5B7"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69" w:type="dxa"/>
            <w:tcBorders>
              <w:top w:val="nil"/>
              <w:left w:val="nil"/>
              <w:bottom w:val="single" w:sz="4" w:space="0" w:color="auto"/>
              <w:right w:val="single" w:sz="4" w:space="0" w:color="auto"/>
            </w:tcBorders>
            <w:shd w:val="clear" w:color="auto" w:fill="auto"/>
            <w:noWrap/>
            <w:vAlign w:val="center"/>
            <w:hideMark/>
          </w:tcPr>
          <w:p w14:paraId="147189A7" w14:textId="77777777" w:rsidR="002D28C5" w:rsidRPr="00930651" w:rsidRDefault="00452DF8" w:rsidP="00A26E01">
            <w:pPr>
              <w:ind w:left="0" w:firstLine="0"/>
              <w:jc w:val="right"/>
              <w:rPr>
                <w:rFonts w:eastAsia="Times New Roman" w:cs="Arial"/>
                <w:sz w:val="20"/>
                <w:szCs w:val="20"/>
              </w:rPr>
            </w:pPr>
            <w:r w:rsidRPr="00930651">
              <w:rPr>
                <w:sz w:val="20"/>
              </w:rPr>
              <w:t>335</w:t>
            </w:r>
          </w:p>
        </w:tc>
        <w:tc>
          <w:tcPr>
            <w:tcW w:w="1170" w:type="dxa"/>
            <w:tcBorders>
              <w:top w:val="nil"/>
              <w:left w:val="nil"/>
              <w:bottom w:val="single" w:sz="4" w:space="0" w:color="auto"/>
              <w:right w:val="single" w:sz="4" w:space="0" w:color="auto"/>
            </w:tcBorders>
            <w:shd w:val="clear" w:color="auto" w:fill="auto"/>
            <w:noWrap/>
            <w:vAlign w:val="center"/>
            <w:hideMark/>
          </w:tcPr>
          <w:p w14:paraId="62BA79AC" w14:textId="77777777" w:rsidR="002D28C5" w:rsidRPr="00930651" w:rsidRDefault="00452DF8" w:rsidP="00A26E01">
            <w:pPr>
              <w:ind w:left="0" w:firstLine="0"/>
              <w:jc w:val="right"/>
              <w:rPr>
                <w:rFonts w:eastAsia="Times New Roman" w:cs="Arial"/>
                <w:sz w:val="20"/>
                <w:szCs w:val="20"/>
              </w:rPr>
            </w:pPr>
            <w:r w:rsidRPr="00930651">
              <w:rPr>
                <w:sz w:val="20"/>
              </w:rPr>
              <w:t>338</w:t>
            </w:r>
          </w:p>
        </w:tc>
        <w:tc>
          <w:tcPr>
            <w:tcW w:w="1169" w:type="dxa"/>
            <w:tcBorders>
              <w:top w:val="nil"/>
              <w:left w:val="nil"/>
              <w:bottom w:val="single" w:sz="4" w:space="0" w:color="auto"/>
              <w:right w:val="single" w:sz="4" w:space="0" w:color="auto"/>
            </w:tcBorders>
            <w:shd w:val="clear" w:color="auto" w:fill="auto"/>
            <w:noWrap/>
            <w:vAlign w:val="center"/>
            <w:hideMark/>
          </w:tcPr>
          <w:p w14:paraId="26DAA98E" w14:textId="77777777" w:rsidR="002D28C5" w:rsidRPr="00930651" w:rsidRDefault="00452DF8">
            <w:pPr>
              <w:ind w:left="0" w:firstLine="0"/>
              <w:jc w:val="right"/>
              <w:rPr>
                <w:rFonts w:eastAsia="Times New Roman" w:cs="Arial"/>
                <w:sz w:val="20"/>
                <w:szCs w:val="20"/>
              </w:rPr>
            </w:pPr>
            <w:r w:rsidRPr="00930651">
              <w:rPr>
                <w:sz w:val="20"/>
              </w:rPr>
              <w:t>341</w:t>
            </w:r>
          </w:p>
        </w:tc>
        <w:tc>
          <w:tcPr>
            <w:tcW w:w="1170" w:type="dxa"/>
            <w:tcBorders>
              <w:top w:val="nil"/>
              <w:left w:val="nil"/>
              <w:bottom w:val="single" w:sz="4" w:space="0" w:color="auto"/>
              <w:right w:val="single" w:sz="4" w:space="0" w:color="auto"/>
            </w:tcBorders>
            <w:shd w:val="clear" w:color="auto" w:fill="auto"/>
            <w:noWrap/>
            <w:vAlign w:val="center"/>
            <w:hideMark/>
          </w:tcPr>
          <w:p w14:paraId="2DA77FE8" w14:textId="77777777" w:rsidR="002D28C5" w:rsidRPr="00930651" w:rsidRDefault="00DD4C66" w:rsidP="00A26E01">
            <w:pPr>
              <w:ind w:left="0" w:firstLine="0"/>
              <w:jc w:val="right"/>
              <w:rPr>
                <w:rFonts w:eastAsia="Times New Roman" w:cs="Arial"/>
                <w:sz w:val="20"/>
                <w:szCs w:val="20"/>
              </w:rPr>
            </w:pPr>
            <w:r w:rsidRPr="00930651">
              <w:rPr>
                <w:sz w:val="20"/>
              </w:rPr>
              <w:t>1 014</w:t>
            </w:r>
          </w:p>
        </w:tc>
      </w:tr>
      <w:tr w:rsidR="002D28C5" w:rsidRPr="00930651" w14:paraId="74561309"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4F0094F8"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Recrutement et indemnités de départ</w:t>
            </w:r>
          </w:p>
        </w:tc>
        <w:tc>
          <w:tcPr>
            <w:tcW w:w="1169" w:type="dxa"/>
            <w:tcBorders>
              <w:top w:val="nil"/>
              <w:left w:val="nil"/>
              <w:bottom w:val="single" w:sz="4" w:space="0" w:color="auto"/>
              <w:right w:val="single" w:sz="4" w:space="0" w:color="auto"/>
            </w:tcBorders>
            <w:shd w:val="clear" w:color="auto" w:fill="auto"/>
            <w:noWrap/>
            <w:vAlign w:val="center"/>
            <w:hideMark/>
          </w:tcPr>
          <w:p w14:paraId="645FC216" w14:textId="77777777" w:rsidR="002D28C5" w:rsidRPr="00930651" w:rsidRDefault="00452DF8" w:rsidP="00A26E01">
            <w:pPr>
              <w:ind w:left="0" w:firstLine="0"/>
              <w:jc w:val="right"/>
              <w:rPr>
                <w:rFonts w:eastAsia="Times New Roman" w:cs="Arial"/>
                <w:sz w:val="20"/>
                <w:szCs w:val="20"/>
              </w:rPr>
            </w:pPr>
            <w:r w:rsidRPr="00930651">
              <w:rPr>
                <w:sz w:val="20"/>
              </w:rPr>
              <w:t>85</w:t>
            </w:r>
          </w:p>
        </w:tc>
        <w:tc>
          <w:tcPr>
            <w:tcW w:w="1170" w:type="dxa"/>
            <w:tcBorders>
              <w:top w:val="nil"/>
              <w:left w:val="nil"/>
              <w:bottom w:val="single" w:sz="4" w:space="0" w:color="auto"/>
              <w:right w:val="single" w:sz="4" w:space="0" w:color="auto"/>
            </w:tcBorders>
            <w:shd w:val="clear" w:color="auto" w:fill="auto"/>
            <w:noWrap/>
            <w:vAlign w:val="center"/>
            <w:hideMark/>
          </w:tcPr>
          <w:p w14:paraId="48A5B795" w14:textId="77777777" w:rsidR="002D28C5" w:rsidRPr="00930651" w:rsidRDefault="00452DF8" w:rsidP="00A26E01">
            <w:pPr>
              <w:ind w:left="0" w:firstLine="0"/>
              <w:jc w:val="right"/>
              <w:rPr>
                <w:rFonts w:eastAsia="Times New Roman" w:cs="Arial"/>
                <w:sz w:val="20"/>
                <w:szCs w:val="20"/>
              </w:rPr>
            </w:pPr>
            <w:r w:rsidRPr="00930651">
              <w:rPr>
                <w:sz w:val="20"/>
              </w:rPr>
              <w:t>52</w:t>
            </w:r>
          </w:p>
        </w:tc>
        <w:tc>
          <w:tcPr>
            <w:tcW w:w="1169" w:type="dxa"/>
            <w:tcBorders>
              <w:top w:val="nil"/>
              <w:left w:val="nil"/>
              <w:bottom w:val="single" w:sz="4" w:space="0" w:color="auto"/>
              <w:right w:val="single" w:sz="4" w:space="0" w:color="auto"/>
            </w:tcBorders>
            <w:shd w:val="clear" w:color="auto" w:fill="auto"/>
            <w:noWrap/>
            <w:vAlign w:val="center"/>
            <w:hideMark/>
          </w:tcPr>
          <w:p w14:paraId="1880B70F" w14:textId="77777777" w:rsidR="002D28C5" w:rsidRPr="00930651" w:rsidRDefault="00452DF8" w:rsidP="00A26E01">
            <w:pPr>
              <w:ind w:left="0" w:firstLine="0"/>
              <w:jc w:val="right"/>
              <w:rPr>
                <w:rFonts w:eastAsia="Times New Roman" w:cs="Arial"/>
                <w:sz w:val="20"/>
                <w:szCs w:val="20"/>
              </w:rPr>
            </w:pPr>
            <w:r w:rsidRPr="00930651">
              <w:rPr>
                <w:sz w:val="20"/>
              </w:rPr>
              <w:t>19</w:t>
            </w:r>
          </w:p>
        </w:tc>
        <w:tc>
          <w:tcPr>
            <w:tcW w:w="1170" w:type="dxa"/>
            <w:tcBorders>
              <w:top w:val="nil"/>
              <w:left w:val="nil"/>
              <w:bottom w:val="single" w:sz="4" w:space="0" w:color="auto"/>
              <w:right w:val="single" w:sz="4" w:space="0" w:color="auto"/>
            </w:tcBorders>
            <w:shd w:val="clear" w:color="auto" w:fill="auto"/>
            <w:noWrap/>
            <w:vAlign w:val="center"/>
            <w:hideMark/>
          </w:tcPr>
          <w:p w14:paraId="1CFB6B74" w14:textId="77777777" w:rsidR="002D28C5" w:rsidRPr="00930651" w:rsidRDefault="00452DF8" w:rsidP="00A26E01">
            <w:pPr>
              <w:ind w:left="0" w:firstLine="0"/>
              <w:jc w:val="right"/>
              <w:rPr>
                <w:rFonts w:eastAsia="Times New Roman" w:cs="Arial"/>
                <w:sz w:val="20"/>
                <w:szCs w:val="20"/>
              </w:rPr>
            </w:pPr>
            <w:r w:rsidRPr="00930651">
              <w:rPr>
                <w:sz w:val="20"/>
              </w:rPr>
              <w:t>156</w:t>
            </w:r>
          </w:p>
        </w:tc>
      </w:tr>
      <w:tr w:rsidR="002D28C5" w:rsidRPr="00930651" w14:paraId="0FF70A63"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25252E91" w14:textId="5285C07C" w:rsidR="002D28C5" w:rsidRPr="00930651" w:rsidRDefault="00DD4C66" w:rsidP="00DC0EBF">
            <w:pPr>
              <w:ind w:left="0" w:firstLine="0"/>
              <w:rPr>
                <w:rFonts w:asciiTheme="minorHAnsi" w:eastAsia="Times New Roman" w:hAnsiTheme="minorHAnsi" w:cs="Arial"/>
                <w:sz w:val="20"/>
                <w:szCs w:val="20"/>
              </w:rPr>
            </w:pPr>
            <w:r w:rsidRPr="00930651">
              <w:rPr>
                <w:rFonts w:asciiTheme="minorHAnsi" w:hAnsiTheme="minorHAnsi"/>
                <w:sz w:val="20"/>
              </w:rPr>
              <w:t>Équipements/Fournitures de bureau</w:t>
            </w:r>
          </w:p>
        </w:tc>
        <w:tc>
          <w:tcPr>
            <w:tcW w:w="1169" w:type="dxa"/>
            <w:tcBorders>
              <w:top w:val="nil"/>
              <w:left w:val="nil"/>
              <w:bottom w:val="single" w:sz="4" w:space="0" w:color="auto"/>
              <w:right w:val="single" w:sz="4" w:space="0" w:color="auto"/>
            </w:tcBorders>
            <w:shd w:val="clear" w:color="auto" w:fill="auto"/>
            <w:noWrap/>
            <w:vAlign w:val="center"/>
            <w:hideMark/>
          </w:tcPr>
          <w:p w14:paraId="1E78328A" w14:textId="77777777" w:rsidR="002D28C5" w:rsidRPr="00930651" w:rsidRDefault="002D28C5" w:rsidP="00A26E01">
            <w:pPr>
              <w:ind w:left="0" w:firstLine="0"/>
              <w:jc w:val="right"/>
              <w:rPr>
                <w:rFonts w:eastAsia="Times New Roman" w:cs="Arial"/>
                <w:sz w:val="20"/>
                <w:szCs w:val="20"/>
              </w:rPr>
            </w:pPr>
            <w:r w:rsidRPr="00930651">
              <w:rPr>
                <w:sz w:val="20"/>
              </w:rPr>
              <w:t>95</w:t>
            </w:r>
          </w:p>
        </w:tc>
        <w:tc>
          <w:tcPr>
            <w:tcW w:w="1170" w:type="dxa"/>
            <w:tcBorders>
              <w:top w:val="nil"/>
              <w:left w:val="nil"/>
              <w:bottom w:val="single" w:sz="4" w:space="0" w:color="auto"/>
              <w:right w:val="single" w:sz="4" w:space="0" w:color="auto"/>
            </w:tcBorders>
            <w:shd w:val="clear" w:color="auto" w:fill="auto"/>
            <w:noWrap/>
            <w:vAlign w:val="center"/>
            <w:hideMark/>
          </w:tcPr>
          <w:p w14:paraId="0437A503" w14:textId="77777777" w:rsidR="002D28C5" w:rsidRPr="00930651" w:rsidRDefault="002D28C5" w:rsidP="00A26E01">
            <w:pPr>
              <w:ind w:left="0" w:firstLine="0"/>
              <w:jc w:val="right"/>
              <w:rPr>
                <w:rFonts w:eastAsia="Times New Roman" w:cs="Arial"/>
                <w:sz w:val="20"/>
                <w:szCs w:val="20"/>
              </w:rPr>
            </w:pPr>
            <w:r w:rsidRPr="00930651">
              <w:rPr>
                <w:sz w:val="20"/>
              </w:rPr>
              <w:t>95</w:t>
            </w:r>
          </w:p>
        </w:tc>
        <w:tc>
          <w:tcPr>
            <w:tcW w:w="1169" w:type="dxa"/>
            <w:tcBorders>
              <w:top w:val="nil"/>
              <w:left w:val="nil"/>
              <w:bottom w:val="single" w:sz="4" w:space="0" w:color="auto"/>
              <w:right w:val="single" w:sz="4" w:space="0" w:color="auto"/>
            </w:tcBorders>
            <w:shd w:val="clear" w:color="auto" w:fill="auto"/>
            <w:noWrap/>
            <w:vAlign w:val="center"/>
            <w:hideMark/>
          </w:tcPr>
          <w:p w14:paraId="65C22580" w14:textId="77777777" w:rsidR="002D28C5" w:rsidRPr="00930651" w:rsidRDefault="00452DF8" w:rsidP="00A26E01">
            <w:pPr>
              <w:ind w:left="0" w:firstLine="0"/>
              <w:jc w:val="right"/>
              <w:rPr>
                <w:rFonts w:eastAsia="Times New Roman" w:cs="Arial"/>
                <w:sz w:val="20"/>
                <w:szCs w:val="20"/>
              </w:rPr>
            </w:pPr>
            <w:r w:rsidRPr="00930651">
              <w:rPr>
                <w:sz w:val="20"/>
              </w:rPr>
              <w:t>95</w:t>
            </w:r>
          </w:p>
        </w:tc>
        <w:tc>
          <w:tcPr>
            <w:tcW w:w="1170" w:type="dxa"/>
            <w:tcBorders>
              <w:top w:val="nil"/>
              <w:left w:val="nil"/>
              <w:bottom w:val="single" w:sz="4" w:space="0" w:color="auto"/>
              <w:right w:val="single" w:sz="4" w:space="0" w:color="auto"/>
            </w:tcBorders>
            <w:shd w:val="clear" w:color="auto" w:fill="auto"/>
            <w:noWrap/>
            <w:vAlign w:val="center"/>
            <w:hideMark/>
          </w:tcPr>
          <w:p w14:paraId="64258F4B" w14:textId="77777777" w:rsidR="002D28C5" w:rsidRPr="00930651" w:rsidRDefault="00452DF8" w:rsidP="00A26E01">
            <w:pPr>
              <w:ind w:left="0" w:firstLine="0"/>
              <w:jc w:val="right"/>
              <w:rPr>
                <w:rFonts w:eastAsia="Times New Roman" w:cs="Arial"/>
                <w:sz w:val="20"/>
                <w:szCs w:val="20"/>
              </w:rPr>
            </w:pPr>
            <w:r w:rsidRPr="00930651">
              <w:rPr>
                <w:sz w:val="20"/>
              </w:rPr>
              <w:t>285</w:t>
            </w:r>
          </w:p>
        </w:tc>
      </w:tr>
      <w:tr w:rsidR="002D28C5" w:rsidRPr="00930651" w14:paraId="24E5E504"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13563F26"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Planification et renforcement des capacités</w:t>
            </w:r>
          </w:p>
        </w:tc>
        <w:tc>
          <w:tcPr>
            <w:tcW w:w="1169" w:type="dxa"/>
            <w:tcBorders>
              <w:top w:val="nil"/>
              <w:left w:val="nil"/>
              <w:bottom w:val="single" w:sz="4" w:space="0" w:color="auto"/>
              <w:right w:val="single" w:sz="4" w:space="0" w:color="auto"/>
            </w:tcBorders>
            <w:shd w:val="clear" w:color="auto" w:fill="auto"/>
            <w:noWrap/>
            <w:vAlign w:val="center"/>
            <w:hideMark/>
          </w:tcPr>
          <w:p w14:paraId="6EC15DB5" w14:textId="77777777" w:rsidR="002D28C5" w:rsidRPr="00930651" w:rsidRDefault="00DD4C66" w:rsidP="00A26E01">
            <w:pPr>
              <w:ind w:left="0" w:firstLine="0"/>
              <w:jc w:val="right"/>
              <w:rPr>
                <w:rFonts w:eastAsia="Times New Roman" w:cs="Arial"/>
                <w:sz w:val="20"/>
                <w:szCs w:val="20"/>
              </w:rPr>
            </w:pPr>
            <w:r w:rsidRPr="00930651">
              <w:rPr>
                <w:sz w:val="20"/>
              </w:rPr>
              <w:t>11</w:t>
            </w:r>
          </w:p>
        </w:tc>
        <w:tc>
          <w:tcPr>
            <w:tcW w:w="1170" w:type="dxa"/>
            <w:tcBorders>
              <w:top w:val="nil"/>
              <w:left w:val="nil"/>
              <w:bottom w:val="single" w:sz="4" w:space="0" w:color="auto"/>
              <w:right w:val="single" w:sz="4" w:space="0" w:color="auto"/>
            </w:tcBorders>
            <w:shd w:val="clear" w:color="auto" w:fill="auto"/>
            <w:noWrap/>
            <w:vAlign w:val="center"/>
            <w:hideMark/>
          </w:tcPr>
          <w:p w14:paraId="0B34DED8" w14:textId="77777777" w:rsidR="002D28C5" w:rsidRPr="00930651" w:rsidRDefault="00DD4C66" w:rsidP="00A26E01">
            <w:pPr>
              <w:ind w:left="0" w:firstLine="0"/>
              <w:jc w:val="right"/>
              <w:rPr>
                <w:rFonts w:eastAsia="Times New Roman" w:cs="Arial"/>
                <w:sz w:val="20"/>
                <w:szCs w:val="20"/>
              </w:rPr>
            </w:pPr>
            <w:r w:rsidRPr="00930651">
              <w:rPr>
                <w:sz w:val="20"/>
              </w:rPr>
              <w:t>11</w:t>
            </w:r>
          </w:p>
        </w:tc>
        <w:tc>
          <w:tcPr>
            <w:tcW w:w="1169" w:type="dxa"/>
            <w:tcBorders>
              <w:top w:val="nil"/>
              <w:left w:val="nil"/>
              <w:bottom w:val="single" w:sz="4" w:space="0" w:color="auto"/>
              <w:right w:val="single" w:sz="4" w:space="0" w:color="auto"/>
            </w:tcBorders>
            <w:shd w:val="clear" w:color="auto" w:fill="auto"/>
            <w:noWrap/>
            <w:vAlign w:val="center"/>
            <w:hideMark/>
          </w:tcPr>
          <w:p w14:paraId="0655C223" w14:textId="77777777" w:rsidR="002D28C5" w:rsidRPr="00930651" w:rsidRDefault="00DD4C66" w:rsidP="00A26E01">
            <w:pPr>
              <w:ind w:left="0" w:firstLine="0"/>
              <w:jc w:val="right"/>
              <w:rPr>
                <w:rFonts w:eastAsia="Times New Roman" w:cs="Arial"/>
                <w:sz w:val="20"/>
                <w:szCs w:val="20"/>
              </w:rPr>
            </w:pPr>
            <w:r w:rsidRPr="00930651">
              <w:rPr>
                <w:sz w:val="20"/>
              </w:rPr>
              <w:t>11</w:t>
            </w:r>
          </w:p>
        </w:tc>
        <w:tc>
          <w:tcPr>
            <w:tcW w:w="1170" w:type="dxa"/>
            <w:tcBorders>
              <w:top w:val="nil"/>
              <w:left w:val="nil"/>
              <w:bottom w:val="single" w:sz="4" w:space="0" w:color="auto"/>
              <w:right w:val="single" w:sz="4" w:space="0" w:color="auto"/>
            </w:tcBorders>
            <w:shd w:val="clear" w:color="auto" w:fill="auto"/>
            <w:noWrap/>
            <w:vAlign w:val="center"/>
            <w:hideMark/>
          </w:tcPr>
          <w:p w14:paraId="23057F00" w14:textId="77777777" w:rsidR="002D28C5" w:rsidRPr="00930651" w:rsidRDefault="00DD4C66" w:rsidP="00A26E01">
            <w:pPr>
              <w:ind w:left="0" w:firstLine="0"/>
              <w:jc w:val="right"/>
              <w:rPr>
                <w:rFonts w:eastAsia="Times New Roman" w:cs="Arial"/>
                <w:sz w:val="20"/>
                <w:szCs w:val="20"/>
              </w:rPr>
            </w:pPr>
            <w:r w:rsidRPr="00930651">
              <w:rPr>
                <w:sz w:val="20"/>
              </w:rPr>
              <w:t>33</w:t>
            </w:r>
          </w:p>
        </w:tc>
      </w:tr>
      <w:tr w:rsidR="002D28C5" w:rsidRPr="00930651" w14:paraId="4C308BE8" w14:textId="77777777" w:rsidTr="008F4A6B">
        <w:tc>
          <w:tcPr>
            <w:tcW w:w="4678" w:type="dxa"/>
            <w:tcBorders>
              <w:top w:val="nil"/>
              <w:left w:val="single" w:sz="4" w:space="0" w:color="auto"/>
              <w:bottom w:val="single" w:sz="4" w:space="0" w:color="auto"/>
              <w:right w:val="single" w:sz="4" w:space="0" w:color="auto"/>
            </w:tcBorders>
            <w:shd w:val="clear" w:color="000000" w:fill="C4D79B"/>
            <w:noWrap/>
            <w:vAlign w:val="center"/>
            <w:hideMark/>
          </w:tcPr>
          <w:p w14:paraId="228F7EE8"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H. Services au Comité permanent</w:t>
            </w:r>
          </w:p>
        </w:tc>
        <w:tc>
          <w:tcPr>
            <w:tcW w:w="1169" w:type="dxa"/>
            <w:tcBorders>
              <w:top w:val="nil"/>
              <w:left w:val="nil"/>
              <w:bottom w:val="single" w:sz="4" w:space="0" w:color="auto"/>
              <w:right w:val="single" w:sz="4" w:space="0" w:color="auto"/>
            </w:tcBorders>
            <w:shd w:val="clear" w:color="000000" w:fill="C4D79B"/>
            <w:noWrap/>
            <w:vAlign w:val="center"/>
            <w:hideMark/>
          </w:tcPr>
          <w:p w14:paraId="76044373"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150</w:t>
            </w:r>
          </w:p>
        </w:tc>
        <w:tc>
          <w:tcPr>
            <w:tcW w:w="1170" w:type="dxa"/>
            <w:tcBorders>
              <w:top w:val="nil"/>
              <w:left w:val="nil"/>
              <w:bottom w:val="single" w:sz="4" w:space="0" w:color="auto"/>
              <w:right w:val="single" w:sz="4" w:space="0" w:color="auto"/>
            </w:tcBorders>
            <w:shd w:val="clear" w:color="000000" w:fill="C4D79B"/>
            <w:noWrap/>
            <w:vAlign w:val="center"/>
            <w:hideMark/>
          </w:tcPr>
          <w:p w14:paraId="1C9C8352"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150</w:t>
            </w:r>
          </w:p>
        </w:tc>
        <w:tc>
          <w:tcPr>
            <w:tcW w:w="1169" w:type="dxa"/>
            <w:tcBorders>
              <w:top w:val="nil"/>
              <w:left w:val="nil"/>
              <w:bottom w:val="single" w:sz="4" w:space="0" w:color="auto"/>
              <w:right w:val="single" w:sz="4" w:space="0" w:color="auto"/>
            </w:tcBorders>
            <w:shd w:val="clear" w:color="000000" w:fill="C4D79B"/>
            <w:noWrap/>
            <w:vAlign w:val="center"/>
            <w:hideMark/>
          </w:tcPr>
          <w:p w14:paraId="3B66B409"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150</w:t>
            </w:r>
          </w:p>
        </w:tc>
        <w:tc>
          <w:tcPr>
            <w:tcW w:w="1170" w:type="dxa"/>
            <w:tcBorders>
              <w:top w:val="nil"/>
              <w:left w:val="nil"/>
              <w:bottom w:val="single" w:sz="4" w:space="0" w:color="auto"/>
              <w:right w:val="single" w:sz="4" w:space="0" w:color="auto"/>
            </w:tcBorders>
            <w:shd w:val="clear" w:color="000000" w:fill="C4D79B"/>
            <w:noWrap/>
            <w:vAlign w:val="center"/>
            <w:hideMark/>
          </w:tcPr>
          <w:p w14:paraId="6E158F8A"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450</w:t>
            </w:r>
          </w:p>
        </w:tc>
      </w:tr>
      <w:tr w:rsidR="002D28C5" w:rsidRPr="00930651" w14:paraId="408E4060"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7D7416F9"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Appui aux délégués du Comité permanent</w:t>
            </w:r>
          </w:p>
        </w:tc>
        <w:tc>
          <w:tcPr>
            <w:tcW w:w="1169" w:type="dxa"/>
            <w:tcBorders>
              <w:top w:val="nil"/>
              <w:left w:val="nil"/>
              <w:bottom w:val="single" w:sz="4" w:space="0" w:color="auto"/>
              <w:right w:val="single" w:sz="4" w:space="0" w:color="auto"/>
            </w:tcBorders>
            <w:shd w:val="clear" w:color="auto" w:fill="auto"/>
            <w:noWrap/>
            <w:vAlign w:val="center"/>
            <w:hideMark/>
          </w:tcPr>
          <w:p w14:paraId="69A24A89"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c>
          <w:tcPr>
            <w:tcW w:w="1170" w:type="dxa"/>
            <w:tcBorders>
              <w:top w:val="nil"/>
              <w:left w:val="nil"/>
              <w:bottom w:val="single" w:sz="4" w:space="0" w:color="auto"/>
              <w:right w:val="single" w:sz="4" w:space="0" w:color="auto"/>
            </w:tcBorders>
            <w:shd w:val="clear" w:color="auto" w:fill="auto"/>
            <w:noWrap/>
            <w:vAlign w:val="center"/>
            <w:hideMark/>
          </w:tcPr>
          <w:p w14:paraId="1212622F"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c>
          <w:tcPr>
            <w:tcW w:w="1169" w:type="dxa"/>
            <w:tcBorders>
              <w:top w:val="nil"/>
              <w:left w:val="nil"/>
              <w:bottom w:val="single" w:sz="4" w:space="0" w:color="auto"/>
              <w:right w:val="single" w:sz="4" w:space="0" w:color="auto"/>
            </w:tcBorders>
            <w:shd w:val="clear" w:color="auto" w:fill="auto"/>
            <w:noWrap/>
            <w:vAlign w:val="center"/>
            <w:hideMark/>
          </w:tcPr>
          <w:p w14:paraId="664D5494" w14:textId="77777777" w:rsidR="002D28C5" w:rsidRPr="00930651" w:rsidRDefault="002D28C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45</w:t>
            </w:r>
          </w:p>
        </w:tc>
        <w:tc>
          <w:tcPr>
            <w:tcW w:w="1170" w:type="dxa"/>
            <w:tcBorders>
              <w:top w:val="nil"/>
              <w:left w:val="nil"/>
              <w:bottom w:val="single" w:sz="4" w:space="0" w:color="auto"/>
              <w:right w:val="single" w:sz="4" w:space="0" w:color="auto"/>
            </w:tcBorders>
            <w:shd w:val="clear" w:color="auto" w:fill="auto"/>
            <w:noWrap/>
            <w:vAlign w:val="center"/>
            <w:hideMark/>
          </w:tcPr>
          <w:p w14:paraId="3FB291C0"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135</w:t>
            </w:r>
          </w:p>
        </w:tc>
      </w:tr>
      <w:tr w:rsidR="002D28C5" w:rsidRPr="00930651" w14:paraId="467643B5"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2C48839C"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Réunions du Comité permanent</w:t>
            </w:r>
          </w:p>
        </w:tc>
        <w:tc>
          <w:tcPr>
            <w:tcW w:w="1169" w:type="dxa"/>
            <w:tcBorders>
              <w:top w:val="nil"/>
              <w:left w:val="nil"/>
              <w:bottom w:val="single" w:sz="4" w:space="0" w:color="auto"/>
              <w:right w:val="single" w:sz="4" w:space="0" w:color="auto"/>
            </w:tcBorders>
            <w:shd w:val="clear" w:color="auto" w:fill="auto"/>
            <w:noWrap/>
            <w:vAlign w:val="center"/>
            <w:hideMark/>
          </w:tcPr>
          <w:p w14:paraId="74EDBE40"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w:t>
            </w:r>
          </w:p>
        </w:tc>
        <w:tc>
          <w:tcPr>
            <w:tcW w:w="1170" w:type="dxa"/>
            <w:tcBorders>
              <w:top w:val="nil"/>
              <w:left w:val="nil"/>
              <w:bottom w:val="single" w:sz="4" w:space="0" w:color="auto"/>
              <w:right w:val="single" w:sz="4" w:space="0" w:color="auto"/>
            </w:tcBorders>
            <w:shd w:val="clear" w:color="auto" w:fill="auto"/>
            <w:noWrap/>
            <w:vAlign w:val="center"/>
            <w:hideMark/>
          </w:tcPr>
          <w:p w14:paraId="5FA8A17F"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w:t>
            </w:r>
          </w:p>
        </w:tc>
        <w:tc>
          <w:tcPr>
            <w:tcW w:w="1169" w:type="dxa"/>
            <w:tcBorders>
              <w:top w:val="nil"/>
              <w:left w:val="nil"/>
              <w:bottom w:val="single" w:sz="4" w:space="0" w:color="auto"/>
              <w:right w:val="single" w:sz="4" w:space="0" w:color="auto"/>
            </w:tcBorders>
            <w:shd w:val="clear" w:color="auto" w:fill="auto"/>
            <w:noWrap/>
            <w:vAlign w:val="center"/>
            <w:hideMark/>
          </w:tcPr>
          <w:p w14:paraId="634875E7" w14:textId="77777777" w:rsidR="002D28C5" w:rsidRPr="00930651" w:rsidRDefault="002D28C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10</w:t>
            </w:r>
          </w:p>
        </w:tc>
        <w:tc>
          <w:tcPr>
            <w:tcW w:w="1170" w:type="dxa"/>
            <w:tcBorders>
              <w:top w:val="nil"/>
              <w:left w:val="nil"/>
              <w:bottom w:val="single" w:sz="4" w:space="0" w:color="auto"/>
              <w:right w:val="single" w:sz="4" w:space="0" w:color="auto"/>
            </w:tcBorders>
            <w:shd w:val="clear" w:color="auto" w:fill="auto"/>
            <w:noWrap/>
            <w:vAlign w:val="center"/>
            <w:hideMark/>
          </w:tcPr>
          <w:p w14:paraId="6DE006EA"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r>
      <w:tr w:rsidR="002D28C5" w:rsidRPr="00930651" w14:paraId="210C60B2"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4210449B" w14:textId="77777777" w:rsidR="002D28C5" w:rsidRPr="00930651" w:rsidRDefault="00D6132D" w:rsidP="00A26E01">
            <w:pPr>
              <w:ind w:left="0" w:firstLine="0"/>
              <w:rPr>
                <w:rFonts w:asciiTheme="minorHAnsi" w:eastAsia="Times New Roman" w:hAnsiTheme="minorHAnsi" w:cs="Arial"/>
                <w:sz w:val="20"/>
                <w:szCs w:val="20"/>
              </w:rPr>
            </w:pPr>
            <w:r w:rsidRPr="00930651">
              <w:rPr>
                <w:rFonts w:asciiTheme="minorHAnsi" w:hAnsiTheme="minorHAnsi"/>
                <w:sz w:val="20"/>
              </w:rPr>
              <w:t>Services de traduction pour le Comité permanent</w:t>
            </w:r>
          </w:p>
        </w:tc>
        <w:tc>
          <w:tcPr>
            <w:tcW w:w="1169" w:type="dxa"/>
            <w:tcBorders>
              <w:top w:val="nil"/>
              <w:left w:val="nil"/>
              <w:bottom w:val="single" w:sz="4" w:space="0" w:color="auto"/>
              <w:right w:val="single" w:sz="4" w:space="0" w:color="auto"/>
            </w:tcBorders>
            <w:shd w:val="clear" w:color="auto" w:fill="auto"/>
            <w:noWrap/>
            <w:vAlign w:val="center"/>
            <w:hideMark/>
          </w:tcPr>
          <w:p w14:paraId="0524BD96"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6D89DDB6"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c>
          <w:tcPr>
            <w:tcW w:w="1169" w:type="dxa"/>
            <w:tcBorders>
              <w:top w:val="nil"/>
              <w:left w:val="nil"/>
              <w:bottom w:val="single" w:sz="4" w:space="0" w:color="auto"/>
              <w:right w:val="single" w:sz="4" w:space="0" w:color="auto"/>
            </w:tcBorders>
            <w:shd w:val="clear" w:color="auto" w:fill="auto"/>
            <w:noWrap/>
            <w:vAlign w:val="center"/>
            <w:hideMark/>
          </w:tcPr>
          <w:p w14:paraId="5D0B6E20" w14:textId="77777777" w:rsidR="002D28C5" w:rsidRPr="00930651" w:rsidRDefault="002D28C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1A8CA7C1"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180</w:t>
            </w:r>
          </w:p>
        </w:tc>
      </w:tr>
      <w:tr w:rsidR="002D28C5" w:rsidRPr="00930651" w14:paraId="4C032E5F"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72E64E60" w14:textId="5A1FCF83"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Services d</w:t>
            </w:r>
            <w:r w:rsidR="00101E52">
              <w:rPr>
                <w:rFonts w:asciiTheme="minorHAnsi" w:hAnsiTheme="minorHAnsi"/>
                <w:sz w:val="20"/>
              </w:rPr>
              <w:t>’</w:t>
            </w:r>
            <w:r w:rsidRPr="00930651">
              <w:rPr>
                <w:rFonts w:asciiTheme="minorHAnsi" w:hAnsiTheme="minorHAnsi"/>
                <w:sz w:val="20"/>
              </w:rPr>
              <w:t>interprétation simultanée lors des réunions du Comité permanent</w:t>
            </w:r>
          </w:p>
        </w:tc>
        <w:tc>
          <w:tcPr>
            <w:tcW w:w="1169" w:type="dxa"/>
            <w:tcBorders>
              <w:top w:val="nil"/>
              <w:left w:val="nil"/>
              <w:bottom w:val="single" w:sz="4" w:space="0" w:color="auto"/>
              <w:right w:val="single" w:sz="4" w:space="0" w:color="auto"/>
            </w:tcBorders>
            <w:shd w:val="clear" w:color="auto" w:fill="auto"/>
            <w:noWrap/>
            <w:vAlign w:val="center"/>
            <w:hideMark/>
          </w:tcPr>
          <w:p w14:paraId="08599E2F"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35</w:t>
            </w:r>
          </w:p>
        </w:tc>
        <w:tc>
          <w:tcPr>
            <w:tcW w:w="1170" w:type="dxa"/>
            <w:tcBorders>
              <w:top w:val="nil"/>
              <w:left w:val="nil"/>
              <w:bottom w:val="single" w:sz="4" w:space="0" w:color="auto"/>
              <w:right w:val="single" w:sz="4" w:space="0" w:color="auto"/>
            </w:tcBorders>
            <w:shd w:val="clear" w:color="auto" w:fill="auto"/>
            <w:noWrap/>
            <w:vAlign w:val="center"/>
            <w:hideMark/>
          </w:tcPr>
          <w:p w14:paraId="7116145D"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35</w:t>
            </w:r>
          </w:p>
        </w:tc>
        <w:tc>
          <w:tcPr>
            <w:tcW w:w="1169" w:type="dxa"/>
            <w:tcBorders>
              <w:top w:val="nil"/>
              <w:left w:val="nil"/>
              <w:bottom w:val="single" w:sz="4" w:space="0" w:color="auto"/>
              <w:right w:val="single" w:sz="4" w:space="0" w:color="auto"/>
            </w:tcBorders>
            <w:shd w:val="clear" w:color="auto" w:fill="auto"/>
            <w:noWrap/>
            <w:vAlign w:val="center"/>
            <w:hideMark/>
          </w:tcPr>
          <w:p w14:paraId="771822D3" w14:textId="77777777" w:rsidR="002D28C5" w:rsidRPr="00930651" w:rsidRDefault="002D28C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35</w:t>
            </w:r>
          </w:p>
        </w:tc>
        <w:tc>
          <w:tcPr>
            <w:tcW w:w="1170" w:type="dxa"/>
            <w:tcBorders>
              <w:top w:val="nil"/>
              <w:left w:val="nil"/>
              <w:bottom w:val="single" w:sz="4" w:space="0" w:color="auto"/>
              <w:right w:val="single" w:sz="4" w:space="0" w:color="auto"/>
            </w:tcBorders>
            <w:shd w:val="clear" w:color="auto" w:fill="auto"/>
            <w:noWrap/>
            <w:vAlign w:val="center"/>
            <w:hideMark/>
          </w:tcPr>
          <w:p w14:paraId="73FD0058"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105</w:t>
            </w:r>
          </w:p>
        </w:tc>
      </w:tr>
      <w:tr w:rsidR="002D28C5" w:rsidRPr="00930651" w14:paraId="0496BBBF" w14:textId="77777777" w:rsidTr="008F4A6B">
        <w:tc>
          <w:tcPr>
            <w:tcW w:w="4678" w:type="dxa"/>
            <w:tcBorders>
              <w:top w:val="nil"/>
              <w:left w:val="single" w:sz="4" w:space="0" w:color="auto"/>
              <w:bottom w:val="single" w:sz="4" w:space="0" w:color="auto"/>
              <w:right w:val="single" w:sz="4" w:space="0" w:color="auto"/>
            </w:tcBorders>
            <w:shd w:val="clear" w:color="000000" w:fill="C4D79B"/>
            <w:vAlign w:val="center"/>
            <w:hideMark/>
          </w:tcPr>
          <w:p w14:paraId="3116DCD6" w14:textId="7920964F"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I. Coûts des services administratifs de l</w:t>
            </w:r>
            <w:r w:rsidR="00101E52">
              <w:rPr>
                <w:rFonts w:asciiTheme="minorHAnsi" w:hAnsiTheme="minorHAnsi"/>
                <w:b/>
                <w:sz w:val="20"/>
              </w:rPr>
              <w:t>’</w:t>
            </w:r>
            <w:r w:rsidRPr="00930651">
              <w:rPr>
                <w:rFonts w:asciiTheme="minorHAnsi" w:hAnsiTheme="minorHAnsi"/>
                <w:b/>
                <w:sz w:val="20"/>
              </w:rPr>
              <w:t>UICN (maximum)</w:t>
            </w:r>
          </w:p>
        </w:tc>
        <w:tc>
          <w:tcPr>
            <w:tcW w:w="1169" w:type="dxa"/>
            <w:tcBorders>
              <w:top w:val="nil"/>
              <w:left w:val="nil"/>
              <w:bottom w:val="single" w:sz="4" w:space="0" w:color="auto"/>
              <w:right w:val="single" w:sz="4" w:space="0" w:color="auto"/>
            </w:tcBorders>
            <w:shd w:val="clear" w:color="000000" w:fill="C4D79B"/>
            <w:noWrap/>
            <w:vAlign w:val="center"/>
            <w:hideMark/>
          </w:tcPr>
          <w:p w14:paraId="5522CDEA" w14:textId="77777777" w:rsidR="002D28C5" w:rsidRPr="00930651" w:rsidRDefault="00DD4C66"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70" w:type="dxa"/>
            <w:tcBorders>
              <w:top w:val="nil"/>
              <w:left w:val="nil"/>
              <w:bottom w:val="single" w:sz="4" w:space="0" w:color="auto"/>
              <w:right w:val="single" w:sz="4" w:space="0" w:color="auto"/>
            </w:tcBorders>
            <w:shd w:val="clear" w:color="000000" w:fill="C4D79B"/>
            <w:noWrap/>
            <w:vAlign w:val="center"/>
            <w:hideMark/>
          </w:tcPr>
          <w:p w14:paraId="3342717C" w14:textId="77777777" w:rsidR="002D28C5" w:rsidRPr="00930651" w:rsidRDefault="00DD4C66"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69" w:type="dxa"/>
            <w:tcBorders>
              <w:top w:val="nil"/>
              <w:left w:val="nil"/>
              <w:bottom w:val="single" w:sz="4" w:space="0" w:color="auto"/>
              <w:right w:val="single" w:sz="4" w:space="0" w:color="auto"/>
            </w:tcBorders>
            <w:shd w:val="clear" w:color="000000" w:fill="C4D79B"/>
            <w:noWrap/>
            <w:vAlign w:val="center"/>
            <w:hideMark/>
          </w:tcPr>
          <w:p w14:paraId="170875F8" w14:textId="77777777" w:rsidR="002D28C5" w:rsidRPr="00930651" w:rsidRDefault="00DD4C66"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70" w:type="dxa"/>
            <w:tcBorders>
              <w:top w:val="nil"/>
              <w:left w:val="nil"/>
              <w:bottom w:val="single" w:sz="4" w:space="0" w:color="auto"/>
              <w:right w:val="single" w:sz="4" w:space="0" w:color="auto"/>
            </w:tcBorders>
            <w:shd w:val="clear" w:color="000000" w:fill="C4D79B"/>
            <w:noWrap/>
            <w:vAlign w:val="center"/>
            <w:hideMark/>
          </w:tcPr>
          <w:p w14:paraId="3AA26F5B" w14:textId="77777777" w:rsidR="002D28C5" w:rsidRPr="00930651" w:rsidRDefault="00DD4C66"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1 623</w:t>
            </w:r>
          </w:p>
        </w:tc>
      </w:tr>
      <w:tr w:rsidR="002D28C5" w:rsidRPr="00930651" w14:paraId="209DA454"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25AD3F04" w14:textId="77777777" w:rsidR="002D28C5" w:rsidRPr="00930651" w:rsidRDefault="002D28C5" w:rsidP="00D6132D">
            <w:pPr>
              <w:ind w:left="0" w:firstLine="0"/>
              <w:rPr>
                <w:rFonts w:asciiTheme="minorHAnsi" w:eastAsia="Times New Roman" w:hAnsiTheme="minorHAnsi" w:cs="Arial"/>
                <w:sz w:val="20"/>
                <w:szCs w:val="20"/>
              </w:rPr>
            </w:pPr>
            <w:r w:rsidRPr="00930651">
              <w:rPr>
                <w:rFonts w:asciiTheme="minorHAnsi" w:hAnsiTheme="minorHAnsi"/>
                <w:sz w:val="20"/>
              </w:rPr>
              <w:t>Administration, ressources humaines, services financiers &amp; informatiques</w:t>
            </w:r>
          </w:p>
        </w:tc>
        <w:tc>
          <w:tcPr>
            <w:tcW w:w="1169" w:type="dxa"/>
            <w:tcBorders>
              <w:top w:val="nil"/>
              <w:left w:val="nil"/>
              <w:bottom w:val="single" w:sz="4" w:space="0" w:color="auto"/>
              <w:right w:val="single" w:sz="4" w:space="0" w:color="auto"/>
            </w:tcBorders>
            <w:shd w:val="clear" w:color="auto" w:fill="auto"/>
            <w:noWrap/>
            <w:vAlign w:val="center"/>
            <w:hideMark/>
          </w:tcPr>
          <w:p w14:paraId="025751E0" w14:textId="77777777" w:rsidR="002D28C5"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541</w:t>
            </w:r>
          </w:p>
        </w:tc>
        <w:tc>
          <w:tcPr>
            <w:tcW w:w="1170" w:type="dxa"/>
            <w:tcBorders>
              <w:top w:val="nil"/>
              <w:left w:val="nil"/>
              <w:bottom w:val="single" w:sz="4" w:space="0" w:color="auto"/>
              <w:right w:val="single" w:sz="4" w:space="0" w:color="auto"/>
            </w:tcBorders>
            <w:shd w:val="clear" w:color="auto" w:fill="auto"/>
            <w:noWrap/>
            <w:vAlign w:val="center"/>
            <w:hideMark/>
          </w:tcPr>
          <w:p w14:paraId="6AECB48C" w14:textId="77777777" w:rsidR="002D28C5"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541</w:t>
            </w:r>
          </w:p>
        </w:tc>
        <w:tc>
          <w:tcPr>
            <w:tcW w:w="1169" w:type="dxa"/>
            <w:tcBorders>
              <w:top w:val="nil"/>
              <w:left w:val="nil"/>
              <w:bottom w:val="single" w:sz="4" w:space="0" w:color="auto"/>
              <w:right w:val="single" w:sz="4" w:space="0" w:color="auto"/>
            </w:tcBorders>
            <w:shd w:val="clear" w:color="auto" w:fill="auto"/>
            <w:noWrap/>
            <w:vAlign w:val="center"/>
            <w:hideMark/>
          </w:tcPr>
          <w:p w14:paraId="15D74537" w14:textId="77777777" w:rsidR="002D28C5" w:rsidRPr="00930651" w:rsidRDefault="00DD4C66"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541</w:t>
            </w:r>
          </w:p>
        </w:tc>
        <w:tc>
          <w:tcPr>
            <w:tcW w:w="1170" w:type="dxa"/>
            <w:tcBorders>
              <w:top w:val="nil"/>
              <w:left w:val="nil"/>
              <w:bottom w:val="single" w:sz="4" w:space="0" w:color="auto"/>
              <w:right w:val="single" w:sz="4" w:space="0" w:color="auto"/>
            </w:tcBorders>
            <w:shd w:val="clear" w:color="auto" w:fill="auto"/>
            <w:noWrap/>
            <w:vAlign w:val="center"/>
            <w:hideMark/>
          </w:tcPr>
          <w:p w14:paraId="7E871E2D" w14:textId="77777777" w:rsidR="002D28C5"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1 623</w:t>
            </w:r>
          </w:p>
        </w:tc>
      </w:tr>
      <w:tr w:rsidR="002D28C5" w:rsidRPr="00930651" w14:paraId="58ED698D" w14:textId="77777777" w:rsidTr="008F4A6B">
        <w:tc>
          <w:tcPr>
            <w:tcW w:w="4678" w:type="dxa"/>
            <w:tcBorders>
              <w:top w:val="nil"/>
              <w:left w:val="single" w:sz="4" w:space="0" w:color="auto"/>
              <w:bottom w:val="single" w:sz="4" w:space="0" w:color="auto"/>
              <w:right w:val="single" w:sz="4" w:space="0" w:color="auto"/>
            </w:tcBorders>
            <w:shd w:val="clear" w:color="000000" w:fill="C4D79B"/>
            <w:noWrap/>
            <w:vAlign w:val="center"/>
            <w:hideMark/>
          </w:tcPr>
          <w:p w14:paraId="5AB5E748"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J. Divers – Fonds de réserve</w:t>
            </w:r>
          </w:p>
        </w:tc>
        <w:tc>
          <w:tcPr>
            <w:tcW w:w="1169" w:type="dxa"/>
            <w:tcBorders>
              <w:top w:val="nil"/>
              <w:left w:val="nil"/>
              <w:bottom w:val="single" w:sz="4" w:space="0" w:color="auto"/>
              <w:right w:val="single" w:sz="4" w:space="0" w:color="auto"/>
            </w:tcBorders>
            <w:shd w:val="clear" w:color="000000" w:fill="C4D79B"/>
            <w:noWrap/>
            <w:vAlign w:val="center"/>
            <w:hideMark/>
          </w:tcPr>
          <w:p w14:paraId="0F769AEA" w14:textId="77777777" w:rsidR="002D28C5" w:rsidRPr="00930651" w:rsidRDefault="00DD4C66"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70" w:type="dxa"/>
            <w:tcBorders>
              <w:top w:val="nil"/>
              <w:left w:val="nil"/>
              <w:bottom w:val="single" w:sz="4" w:space="0" w:color="auto"/>
              <w:right w:val="single" w:sz="4" w:space="0" w:color="auto"/>
            </w:tcBorders>
            <w:shd w:val="clear" w:color="000000" w:fill="C4D79B"/>
            <w:noWrap/>
            <w:vAlign w:val="center"/>
            <w:hideMark/>
          </w:tcPr>
          <w:p w14:paraId="5421A9BF" w14:textId="77777777" w:rsidR="002D28C5" w:rsidRPr="00930651" w:rsidRDefault="00635E0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69" w:type="dxa"/>
            <w:tcBorders>
              <w:top w:val="nil"/>
              <w:left w:val="nil"/>
              <w:bottom w:val="single" w:sz="4" w:space="0" w:color="auto"/>
              <w:right w:val="single" w:sz="4" w:space="0" w:color="auto"/>
            </w:tcBorders>
            <w:shd w:val="clear" w:color="000000" w:fill="C4D79B"/>
            <w:noWrap/>
            <w:vAlign w:val="center"/>
            <w:hideMark/>
          </w:tcPr>
          <w:p w14:paraId="2A79DAB5" w14:textId="77777777" w:rsidR="002D28C5" w:rsidRPr="00930651" w:rsidRDefault="00DD4C66"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70" w:type="dxa"/>
            <w:tcBorders>
              <w:top w:val="nil"/>
              <w:left w:val="nil"/>
              <w:bottom w:val="single" w:sz="4" w:space="0" w:color="auto"/>
              <w:right w:val="single" w:sz="4" w:space="0" w:color="auto"/>
            </w:tcBorders>
            <w:shd w:val="clear" w:color="000000" w:fill="C4D79B"/>
            <w:noWrap/>
            <w:vAlign w:val="center"/>
            <w:hideMark/>
          </w:tcPr>
          <w:p w14:paraId="1FC80ED3" w14:textId="77777777" w:rsidR="002D28C5" w:rsidRPr="00930651" w:rsidRDefault="00635E0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327</w:t>
            </w:r>
          </w:p>
        </w:tc>
      </w:tr>
      <w:tr w:rsidR="002D28C5" w:rsidRPr="00930651" w14:paraId="3592B04B"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26F72934" w14:textId="77777777" w:rsidR="002D28C5" w:rsidRPr="00930651" w:rsidRDefault="00DD4C66" w:rsidP="00A26E01">
            <w:pPr>
              <w:ind w:left="0" w:firstLine="0"/>
              <w:rPr>
                <w:rFonts w:asciiTheme="minorHAnsi" w:eastAsia="Times New Roman" w:hAnsiTheme="minorHAnsi" w:cs="Arial"/>
                <w:sz w:val="20"/>
                <w:szCs w:val="20"/>
              </w:rPr>
            </w:pPr>
            <w:r w:rsidRPr="00930651">
              <w:rPr>
                <w:rFonts w:asciiTheme="minorHAnsi" w:hAnsiTheme="minorHAnsi"/>
                <w:sz w:val="20"/>
              </w:rPr>
              <w:t>Provisions pour le personnel</w:t>
            </w:r>
          </w:p>
        </w:tc>
        <w:tc>
          <w:tcPr>
            <w:tcW w:w="1169" w:type="dxa"/>
            <w:tcBorders>
              <w:top w:val="nil"/>
              <w:left w:val="nil"/>
              <w:bottom w:val="single" w:sz="4" w:space="0" w:color="auto"/>
              <w:right w:val="single" w:sz="4" w:space="0" w:color="auto"/>
            </w:tcBorders>
            <w:shd w:val="clear" w:color="auto" w:fill="auto"/>
            <w:noWrap/>
            <w:vAlign w:val="center"/>
            <w:hideMark/>
          </w:tcPr>
          <w:p w14:paraId="72F487B4" w14:textId="77777777" w:rsidR="002D28C5"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A070019" w14:textId="77777777" w:rsidR="002D28C5"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20</w:t>
            </w:r>
          </w:p>
        </w:tc>
        <w:tc>
          <w:tcPr>
            <w:tcW w:w="1169" w:type="dxa"/>
            <w:tcBorders>
              <w:top w:val="nil"/>
              <w:left w:val="nil"/>
              <w:bottom w:val="single" w:sz="4" w:space="0" w:color="auto"/>
              <w:right w:val="single" w:sz="4" w:space="0" w:color="auto"/>
            </w:tcBorders>
            <w:shd w:val="clear" w:color="auto" w:fill="auto"/>
            <w:noWrap/>
            <w:vAlign w:val="center"/>
            <w:hideMark/>
          </w:tcPr>
          <w:p w14:paraId="699B94B9" w14:textId="77777777" w:rsidR="002D28C5" w:rsidRPr="00930651" w:rsidRDefault="00DD4C66"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20</w:t>
            </w:r>
          </w:p>
        </w:tc>
        <w:tc>
          <w:tcPr>
            <w:tcW w:w="1170" w:type="dxa"/>
            <w:tcBorders>
              <w:top w:val="nil"/>
              <w:left w:val="nil"/>
              <w:bottom w:val="single" w:sz="4" w:space="0" w:color="auto"/>
              <w:right w:val="single" w:sz="4" w:space="0" w:color="auto"/>
            </w:tcBorders>
            <w:shd w:val="clear" w:color="auto" w:fill="auto"/>
            <w:noWrap/>
            <w:vAlign w:val="center"/>
            <w:hideMark/>
          </w:tcPr>
          <w:p w14:paraId="10A56EA7" w14:textId="77777777" w:rsidR="002D28C5"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r>
      <w:tr w:rsidR="00DD4C66" w:rsidRPr="00930651" w14:paraId="0BA9AC1E" w14:textId="77777777" w:rsidTr="008F4A6B">
        <w:tc>
          <w:tcPr>
            <w:tcW w:w="4678" w:type="dxa"/>
            <w:tcBorders>
              <w:top w:val="nil"/>
              <w:left w:val="single" w:sz="4" w:space="0" w:color="auto"/>
              <w:bottom w:val="single" w:sz="4" w:space="0" w:color="auto"/>
              <w:right w:val="single" w:sz="4" w:space="0" w:color="auto"/>
            </w:tcBorders>
            <w:shd w:val="clear" w:color="auto" w:fill="auto"/>
            <w:noWrap/>
            <w:vAlign w:val="center"/>
          </w:tcPr>
          <w:p w14:paraId="57820CDA" w14:textId="77777777" w:rsidR="00DD4C66" w:rsidRPr="00930651" w:rsidRDefault="00DD4C66" w:rsidP="00A26E01">
            <w:pPr>
              <w:ind w:left="0" w:firstLine="0"/>
              <w:rPr>
                <w:rFonts w:asciiTheme="minorHAnsi" w:eastAsia="Times New Roman" w:hAnsiTheme="minorHAnsi" w:cs="Arial"/>
                <w:sz w:val="20"/>
                <w:szCs w:val="20"/>
              </w:rPr>
            </w:pPr>
            <w:r w:rsidRPr="00930651">
              <w:rPr>
                <w:rFonts w:asciiTheme="minorHAnsi" w:hAnsiTheme="minorHAnsi"/>
                <w:sz w:val="20"/>
              </w:rPr>
              <w:t>Provisions pour contributions impayées</w:t>
            </w:r>
          </w:p>
        </w:tc>
        <w:tc>
          <w:tcPr>
            <w:tcW w:w="1169" w:type="dxa"/>
            <w:tcBorders>
              <w:top w:val="nil"/>
              <w:left w:val="nil"/>
              <w:bottom w:val="single" w:sz="4" w:space="0" w:color="auto"/>
              <w:right w:val="single" w:sz="4" w:space="0" w:color="auto"/>
            </w:tcBorders>
            <w:shd w:val="clear" w:color="auto" w:fill="auto"/>
            <w:noWrap/>
            <w:vAlign w:val="center"/>
          </w:tcPr>
          <w:p w14:paraId="3333FEB5" w14:textId="77777777" w:rsidR="00DD4C66"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70" w:type="dxa"/>
            <w:tcBorders>
              <w:top w:val="nil"/>
              <w:left w:val="nil"/>
              <w:bottom w:val="single" w:sz="4" w:space="0" w:color="auto"/>
              <w:right w:val="single" w:sz="4" w:space="0" w:color="auto"/>
            </w:tcBorders>
            <w:shd w:val="clear" w:color="auto" w:fill="auto"/>
            <w:noWrap/>
            <w:vAlign w:val="center"/>
          </w:tcPr>
          <w:p w14:paraId="6CBF34BA" w14:textId="77777777" w:rsidR="00DD4C66"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69" w:type="dxa"/>
            <w:tcBorders>
              <w:top w:val="nil"/>
              <w:left w:val="nil"/>
              <w:bottom w:val="single" w:sz="4" w:space="0" w:color="auto"/>
              <w:right w:val="single" w:sz="4" w:space="0" w:color="auto"/>
            </w:tcBorders>
            <w:shd w:val="clear" w:color="auto" w:fill="auto"/>
            <w:noWrap/>
            <w:vAlign w:val="center"/>
          </w:tcPr>
          <w:p w14:paraId="7E56AEA4" w14:textId="77777777" w:rsidR="00DD4C66" w:rsidRPr="00930651" w:rsidRDefault="00DD4C66"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30</w:t>
            </w:r>
          </w:p>
        </w:tc>
        <w:tc>
          <w:tcPr>
            <w:tcW w:w="1170" w:type="dxa"/>
            <w:tcBorders>
              <w:top w:val="nil"/>
              <w:left w:val="nil"/>
              <w:bottom w:val="single" w:sz="4" w:space="0" w:color="auto"/>
              <w:right w:val="single" w:sz="4" w:space="0" w:color="auto"/>
            </w:tcBorders>
            <w:shd w:val="clear" w:color="auto" w:fill="auto"/>
            <w:noWrap/>
            <w:vAlign w:val="center"/>
          </w:tcPr>
          <w:p w14:paraId="5E76B925" w14:textId="77777777" w:rsidR="00DD4C66"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90</w:t>
            </w:r>
          </w:p>
        </w:tc>
      </w:tr>
      <w:tr w:rsidR="002D28C5" w:rsidRPr="00930651" w14:paraId="11703E0A" w14:textId="77777777" w:rsidTr="008F4A6B">
        <w:tc>
          <w:tcPr>
            <w:tcW w:w="4678" w:type="dxa"/>
            <w:tcBorders>
              <w:top w:val="single" w:sz="4" w:space="0" w:color="auto"/>
              <w:left w:val="single" w:sz="4" w:space="0" w:color="auto"/>
              <w:bottom w:val="nil"/>
              <w:right w:val="single" w:sz="4" w:space="0" w:color="auto"/>
            </w:tcBorders>
            <w:shd w:val="clear" w:color="auto" w:fill="auto"/>
            <w:noWrap/>
            <w:vAlign w:val="center"/>
            <w:hideMark/>
          </w:tcPr>
          <w:p w14:paraId="073CAF0D"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Services juridiques</w:t>
            </w:r>
          </w:p>
        </w:tc>
        <w:tc>
          <w:tcPr>
            <w:tcW w:w="1169" w:type="dxa"/>
            <w:tcBorders>
              <w:top w:val="nil"/>
              <w:left w:val="nil"/>
              <w:bottom w:val="single" w:sz="4" w:space="0" w:color="auto"/>
              <w:right w:val="single" w:sz="4" w:space="0" w:color="auto"/>
            </w:tcBorders>
            <w:shd w:val="clear" w:color="auto" w:fill="auto"/>
            <w:noWrap/>
            <w:vAlign w:val="center"/>
            <w:hideMark/>
          </w:tcPr>
          <w:p w14:paraId="3E144962" w14:textId="77777777" w:rsidR="002D28C5"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59</w:t>
            </w:r>
          </w:p>
        </w:tc>
        <w:tc>
          <w:tcPr>
            <w:tcW w:w="1170" w:type="dxa"/>
            <w:tcBorders>
              <w:top w:val="nil"/>
              <w:left w:val="nil"/>
              <w:bottom w:val="single" w:sz="4" w:space="0" w:color="auto"/>
              <w:right w:val="single" w:sz="4" w:space="0" w:color="auto"/>
            </w:tcBorders>
            <w:shd w:val="clear" w:color="auto" w:fill="auto"/>
            <w:noWrap/>
            <w:vAlign w:val="center"/>
            <w:hideMark/>
          </w:tcPr>
          <w:p w14:paraId="2B500F44" w14:textId="77777777" w:rsidR="002D28C5" w:rsidRPr="00930651" w:rsidRDefault="00635E0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59</w:t>
            </w:r>
          </w:p>
        </w:tc>
        <w:tc>
          <w:tcPr>
            <w:tcW w:w="1169" w:type="dxa"/>
            <w:tcBorders>
              <w:top w:val="single" w:sz="4" w:space="0" w:color="auto"/>
              <w:left w:val="nil"/>
              <w:bottom w:val="nil"/>
              <w:right w:val="single" w:sz="4" w:space="0" w:color="auto"/>
            </w:tcBorders>
            <w:shd w:val="clear" w:color="auto" w:fill="auto"/>
            <w:noWrap/>
            <w:vAlign w:val="center"/>
            <w:hideMark/>
          </w:tcPr>
          <w:p w14:paraId="3966754D" w14:textId="77777777" w:rsidR="002D28C5" w:rsidRPr="00930651" w:rsidRDefault="00DD4C66"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59</w:t>
            </w:r>
          </w:p>
        </w:tc>
        <w:tc>
          <w:tcPr>
            <w:tcW w:w="1170" w:type="dxa"/>
            <w:tcBorders>
              <w:top w:val="nil"/>
              <w:left w:val="nil"/>
              <w:bottom w:val="single" w:sz="4" w:space="0" w:color="auto"/>
              <w:right w:val="single" w:sz="4" w:space="0" w:color="auto"/>
            </w:tcBorders>
            <w:shd w:val="clear" w:color="auto" w:fill="auto"/>
            <w:noWrap/>
            <w:vAlign w:val="center"/>
            <w:hideMark/>
          </w:tcPr>
          <w:p w14:paraId="2AAEDD65" w14:textId="77777777" w:rsidR="002D28C5" w:rsidRPr="00930651" w:rsidRDefault="00DD4C66"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177</w:t>
            </w:r>
          </w:p>
        </w:tc>
      </w:tr>
      <w:tr w:rsidR="002D28C5" w:rsidRPr="00930651" w14:paraId="03D54316" w14:textId="77777777" w:rsidTr="008F4A6B">
        <w:tc>
          <w:tcPr>
            <w:tcW w:w="467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A08D103" w14:textId="77777777" w:rsidR="002D28C5" w:rsidRPr="00930651" w:rsidRDefault="002D28C5" w:rsidP="00A26E01">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MONTANT TOTAL DES DÉPENSES</w:t>
            </w:r>
          </w:p>
        </w:tc>
        <w:tc>
          <w:tcPr>
            <w:tcW w:w="1169" w:type="dxa"/>
            <w:tcBorders>
              <w:top w:val="single" w:sz="4" w:space="0" w:color="auto"/>
              <w:left w:val="nil"/>
              <w:bottom w:val="single" w:sz="4" w:space="0" w:color="auto"/>
              <w:right w:val="single" w:sz="4" w:space="0" w:color="auto"/>
            </w:tcBorders>
            <w:shd w:val="clear" w:color="000000" w:fill="C4D79B"/>
            <w:noWrap/>
            <w:vAlign w:val="center"/>
            <w:hideMark/>
          </w:tcPr>
          <w:p w14:paraId="5F472F96" w14:textId="77777777" w:rsidR="002D28C5" w:rsidRPr="00930651" w:rsidRDefault="00DD4C66" w:rsidP="00A26E01">
            <w:pPr>
              <w:ind w:left="0" w:firstLine="0"/>
              <w:jc w:val="right"/>
              <w:rPr>
                <w:rFonts w:eastAsia="Times New Roman" w:cs="Arial"/>
                <w:b/>
                <w:bCs/>
                <w:color w:val="000000"/>
              </w:rPr>
            </w:pPr>
            <w:r w:rsidRPr="00930651">
              <w:rPr>
                <w:b/>
                <w:color w:val="000000"/>
              </w:rPr>
              <w:t>5 227</w:t>
            </w:r>
          </w:p>
        </w:tc>
        <w:tc>
          <w:tcPr>
            <w:tcW w:w="1170" w:type="dxa"/>
            <w:tcBorders>
              <w:top w:val="single" w:sz="4" w:space="0" w:color="auto"/>
              <w:left w:val="nil"/>
              <w:bottom w:val="single" w:sz="4" w:space="0" w:color="auto"/>
              <w:right w:val="single" w:sz="4" w:space="0" w:color="auto"/>
            </w:tcBorders>
            <w:shd w:val="clear" w:color="000000" w:fill="C4D79B"/>
            <w:noWrap/>
            <w:vAlign w:val="center"/>
            <w:hideMark/>
          </w:tcPr>
          <w:p w14:paraId="48F982FB" w14:textId="77777777" w:rsidR="002D28C5" w:rsidRPr="00930651" w:rsidRDefault="00DD4C66" w:rsidP="00A26E01">
            <w:pPr>
              <w:ind w:left="0" w:firstLine="0"/>
              <w:jc w:val="right"/>
              <w:rPr>
                <w:rFonts w:eastAsia="Times New Roman" w:cs="Arial"/>
                <w:b/>
                <w:bCs/>
                <w:color w:val="000000"/>
              </w:rPr>
            </w:pPr>
            <w:r w:rsidRPr="00930651">
              <w:rPr>
                <w:b/>
                <w:color w:val="000000"/>
              </w:rPr>
              <w:t>5 227</w:t>
            </w:r>
          </w:p>
        </w:tc>
        <w:tc>
          <w:tcPr>
            <w:tcW w:w="1169" w:type="dxa"/>
            <w:tcBorders>
              <w:top w:val="single" w:sz="4" w:space="0" w:color="auto"/>
              <w:left w:val="nil"/>
              <w:bottom w:val="single" w:sz="4" w:space="0" w:color="auto"/>
              <w:right w:val="single" w:sz="4" w:space="0" w:color="auto"/>
            </w:tcBorders>
            <w:shd w:val="clear" w:color="000000" w:fill="C4D79B"/>
            <w:noWrap/>
            <w:vAlign w:val="center"/>
            <w:hideMark/>
          </w:tcPr>
          <w:p w14:paraId="2722A9D5" w14:textId="77777777" w:rsidR="002D28C5" w:rsidRPr="00930651" w:rsidRDefault="00DD4C66" w:rsidP="00A26E01">
            <w:pPr>
              <w:ind w:left="0" w:firstLine="0"/>
              <w:jc w:val="right"/>
              <w:rPr>
                <w:rFonts w:eastAsia="Times New Roman" w:cs="Arial"/>
                <w:b/>
                <w:bCs/>
                <w:color w:val="000000"/>
              </w:rPr>
            </w:pPr>
            <w:r w:rsidRPr="00930651">
              <w:rPr>
                <w:b/>
                <w:color w:val="000000"/>
              </w:rPr>
              <w:t>5 227</w:t>
            </w:r>
          </w:p>
        </w:tc>
        <w:tc>
          <w:tcPr>
            <w:tcW w:w="1170" w:type="dxa"/>
            <w:tcBorders>
              <w:top w:val="nil"/>
              <w:left w:val="nil"/>
              <w:bottom w:val="single" w:sz="4" w:space="0" w:color="auto"/>
              <w:right w:val="single" w:sz="4" w:space="0" w:color="auto"/>
            </w:tcBorders>
            <w:shd w:val="clear" w:color="000000" w:fill="C4D79B"/>
            <w:noWrap/>
            <w:vAlign w:val="center"/>
            <w:hideMark/>
          </w:tcPr>
          <w:p w14:paraId="77DA1144" w14:textId="77777777" w:rsidR="002D28C5" w:rsidRPr="00930651" w:rsidRDefault="00DD4C66">
            <w:pPr>
              <w:ind w:left="0" w:firstLine="0"/>
              <w:jc w:val="right"/>
              <w:rPr>
                <w:rFonts w:eastAsia="Times New Roman" w:cs="Arial"/>
                <w:b/>
                <w:bCs/>
                <w:color w:val="000000"/>
              </w:rPr>
            </w:pPr>
            <w:r w:rsidRPr="00930651">
              <w:rPr>
                <w:b/>
                <w:color w:val="000000"/>
              </w:rPr>
              <w:t>15 681</w:t>
            </w:r>
          </w:p>
        </w:tc>
      </w:tr>
    </w:tbl>
    <w:p w14:paraId="277B4D54" w14:textId="77777777" w:rsidR="00ED2630" w:rsidRPr="00930651" w:rsidRDefault="00ED2630" w:rsidP="002D28C5">
      <w:pPr>
        <w:rPr>
          <w:rFonts w:cs="Arial"/>
          <w:b/>
        </w:rPr>
      </w:pPr>
    </w:p>
    <w:p w14:paraId="49AD7335" w14:textId="35DCD8A2" w:rsidR="00C03DD1" w:rsidRPr="00930651" w:rsidRDefault="00C03DD1" w:rsidP="00DA6C88">
      <w:pPr>
        <w:ind w:left="0" w:firstLine="0"/>
        <w:rPr>
          <w:rFonts w:cs="Arial"/>
          <w:b/>
        </w:rPr>
      </w:pPr>
      <w:r w:rsidRPr="00930651">
        <w:rPr>
          <w:b/>
        </w:rPr>
        <w:lastRenderedPageBreak/>
        <w:t>Scénario C, 4,2 % d</w:t>
      </w:r>
      <w:r w:rsidR="00101E52">
        <w:rPr>
          <w:b/>
        </w:rPr>
        <w:t>’</w:t>
      </w:r>
      <w:r w:rsidRPr="00930651">
        <w:rPr>
          <w:b/>
        </w:rPr>
        <w:t>augmentation par rapport à la période triennale 2019-2021</w:t>
      </w:r>
    </w:p>
    <w:tbl>
      <w:tblPr>
        <w:tblW w:w="9356" w:type="dxa"/>
        <w:tblInd w:w="-147" w:type="dxa"/>
        <w:tblLayout w:type="fixed"/>
        <w:tblLook w:val="04A0" w:firstRow="1" w:lastRow="0" w:firstColumn="1" w:lastColumn="0" w:noHBand="0" w:noVBand="1"/>
      </w:tblPr>
      <w:tblGrid>
        <w:gridCol w:w="4673"/>
        <w:gridCol w:w="1170"/>
        <w:gridCol w:w="1171"/>
        <w:gridCol w:w="1171"/>
        <w:gridCol w:w="1171"/>
      </w:tblGrid>
      <w:tr w:rsidR="002D28C5" w:rsidRPr="00930651" w14:paraId="63175B45" w14:textId="77777777" w:rsidTr="008F4A6B">
        <w:tc>
          <w:tcPr>
            <w:tcW w:w="4673"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1E298BA7" w14:textId="1C6FC0CD" w:rsidR="002D28C5" w:rsidRPr="00F8401A" w:rsidRDefault="002D28C5" w:rsidP="00DC0EBF">
            <w:pPr>
              <w:ind w:left="0" w:firstLine="0"/>
              <w:rPr>
                <w:rFonts w:eastAsia="Times New Roman" w:cs="Arial"/>
                <w:b/>
                <w:bCs/>
                <w:color w:val="1F497D"/>
                <w:sz w:val="20"/>
                <w:szCs w:val="20"/>
              </w:rPr>
            </w:pPr>
            <w:r w:rsidRPr="00F8401A">
              <w:rPr>
                <w:b/>
                <w:color w:val="1F497D"/>
                <w:sz w:val="20"/>
                <w:szCs w:val="20"/>
              </w:rPr>
              <w:t>4,2 % d</w:t>
            </w:r>
            <w:r w:rsidR="00101E52" w:rsidRPr="00F8401A">
              <w:rPr>
                <w:b/>
                <w:color w:val="1F497D"/>
                <w:sz w:val="20"/>
                <w:szCs w:val="20"/>
              </w:rPr>
              <w:t>’</w:t>
            </w:r>
            <w:r w:rsidRPr="00F8401A">
              <w:rPr>
                <w:b/>
                <w:color w:val="1F497D"/>
                <w:sz w:val="20"/>
                <w:szCs w:val="20"/>
              </w:rPr>
              <w:t>augmentation, budget proposé 2023-2025</w:t>
            </w:r>
            <w:r w:rsidR="00F8401A">
              <w:rPr>
                <w:b/>
                <w:color w:val="1F497D"/>
                <w:sz w:val="20"/>
                <w:szCs w:val="20"/>
              </w:rPr>
              <w:t xml:space="preserve"> </w:t>
            </w:r>
            <w:r w:rsidR="00F8401A">
              <w:rPr>
                <w:b/>
                <w:color w:val="1F497D"/>
                <w:sz w:val="20"/>
                <w:szCs w:val="20"/>
              </w:rPr>
              <w:br/>
            </w:r>
            <w:r w:rsidR="00F8401A" w:rsidRPr="00F8401A">
              <w:rPr>
                <w:rFonts w:asciiTheme="minorHAnsi" w:hAnsiTheme="minorHAnsi"/>
                <w:b/>
                <w:color w:val="1F497D"/>
                <w:sz w:val="20"/>
                <w:szCs w:val="20"/>
              </w:rPr>
              <w:t>en milliers de CHF</w:t>
            </w:r>
          </w:p>
        </w:tc>
        <w:tc>
          <w:tcPr>
            <w:tcW w:w="1170" w:type="dxa"/>
            <w:tcBorders>
              <w:top w:val="single" w:sz="4" w:space="0" w:color="auto"/>
              <w:left w:val="nil"/>
              <w:bottom w:val="single" w:sz="4" w:space="0" w:color="auto"/>
              <w:right w:val="single" w:sz="4" w:space="0" w:color="auto"/>
            </w:tcBorders>
            <w:shd w:val="clear" w:color="000000" w:fill="EBF1DE"/>
            <w:vAlign w:val="center"/>
            <w:hideMark/>
          </w:tcPr>
          <w:p w14:paraId="3ADF3F83" w14:textId="77777777" w:rsidR="002D28C5" w:rsidRPr="00930651" w:rsidRDefault="002D28C5" w:rsidP="00C2135F">
            <w:pPr>
              <w:ind w:left="0" w:firstLine="0"/>
              <w:jc w:val="center"/>
              <w:rPr>
                <w:rFonts w:asciiTheme="minorHAnsi" w:eastAsia="Times New Roman" w:hAnsiTheme="minorHAnsi" w:cs="Arial"/>
                <w:b/>
                <w:bCs/>
                <w:color w:val="1F497D"/>
                <w:sz w:val="20"/>
                <w:szCs w:val="20"/>
              </w:rPr>
            </w:pPr>
            <w:r w:rsidRPr="00930651">
              <w:rPr>
                <w:rFonts w:asciiTheme="minorHAnsi" w:hAnsiTheme="minorHAnsi"/>
                <w:b/>
                <w:color w:val="1F497D"/>
                <w:sz w:val="20"/>
              </w:rPr>
              <w:t>Budget 2023</w:t>
            </w:r>
          </w:p>
        </w:tc>
        <w:tc>
          <w:tcPr>
            <w:tcW w:w="1171" w:type="dxa"/>
            <w:tcBorders>
              <w:top w:val="single" w:sz="4" w:space="0" w:color="auto"/>
              <w:left w:val="nil"/>
              <w:bottom w:val="single" w:sz="4" w:space="0" w:color="auto"/>
              <w:right w:val="single" w:sz="4" w:space="0" w:color="auto"/>
            </w:tcBorders>
            <w:shd w:val="clear" w:color="000000" w:fill="EBF1DE"/>
            <w:vAlign w:val="center"/>
            <w:hideMark/>
          </w:tcPr>
          <w:p w14:paraId="2194671F" w14:textId="77777777" w:rsidR="002D28C5" w:rsidRPr="00930651" w:rsidRDefault="002D28C5" w:rsidP="00A26E01">
            <w:pPr>
              <w:ind w:left="0" w:firstLine="0"/>
              <w:jc w:val="center"/>
              <w:rPr>
                <w:rFonts w:asciiTheme="minorHAnsi" w:eastAsia="Times New Roman" w:hAnsiTheme="minorHAnsi" w:cs="Arial"/>
                <w:b/>
                <w:bCs/>
                <w:color w:val="1F497D"/>
                <w:sz w:val="20"/>
                <w:szCs w:val="20"/>
              </w:rPr>
            </w:pPr>
            <w:r w:rsidRPr="00930651">
              <w:rPr>
                <w:rFonts w:asciiTheme="minorHAnsi" w:hAnsiTheme="minorHAnsi"/>
                <w:b/>
                <w:color w:val="1F497D"/>
                <w:sz w:val="20"/>
              </w:rPr>
              <w:t>Budget 2024</w:t>
            </w:r>
          </w:p>
        </w:tc>
        <w:tc>
          <w:tcPr>
            <w:tcW w:w="1171" w:type="dxa"/>
            <w:tcBorders>
              <w:top w:val="single" w:sz="4" w:space="0" w:color="auto"/>
              <w:left w:val="nil"/>
              <w:bottom w:val="single" w:sz="4" w:space="0" w:color="auto"/>
              <w:right w:val="single" w:sz="4" w:space="0" w:color="auto"/>
            </w:tcBorders>
            <w:shd w:val="clear" w:color="000000" w:fill="EBF1DE"/>
            <w:vAlign w:val="center"/>
            <w:hideMark/>
          </w:tcPr>
          <w:p w14:paraId="5544E4A1" w14:textId="77777777" w:rsidR="002D28C5" w:rsidRPr="00930651" w:rsidRDefault="002D28C5" w:rsidP="00A26E01">
            <w:pPr>
              <w:ind w:left="0" w:firstLine="0"/>
              <w:jc w:val="center"/>
              <w:rPr>
                <w:rFonts w:asciiTheme="minorHAnsi" w:eastAsia="Times New Roman" w:hAnsiTheme="minorHAnsi" w:cs="Arial"/>
                <w:b/>
                <w:bCs/>
                <w:color w:val="1F497D"/>
                <w:sz w:val="20"/>
                <w:szCs w:val="20"/>
              </w:rPr>
            </w:pPr>
            <w:r w:rsidRPr="00930651">
              <w:rPr>
                <w:rFonts w:asciiTheme="minorHAnsi" w:hAnsiTheme="minorHAnsi"/>
                <w:b/>
                <w:color w:val="1F497D"/>
                <w:sz w:val="20"/>
              </w:rPr>
              <w:t>Budget 2025</w:t>
            </w:r>
          </w:p>
        </w:tc>
        <w:tc>
          <w:tcPr>
            <w:tcW w:w="1171" w:type="dxa"/>
            <w:tcBorders>
              <w:top w:val="single" w:sz="4" w:space="0" w:color="auto"/>
              <w:left w:val="nil"/>
              <w:bottom w:val="single" w:sz="4" w:space="0" w:color="auto"/>
              <w:right w:val="single" w:sz="4" w:space="0" w:color="auto"/>
            </w:tcBorders>
            <w:shd w:val="clear" w:color="000000" w:fill="EBF1DE"/>
            <w:vAlign w:val="center"/>
            <w:hideMark/>
          </w:tcPr>
          <w:p w14:paraId="4F03E28F" w14:textId="77777777" w:rsidR="002D28C5" w:rsidRPr="00930651" w:rsidRDefault="002D28C5" w:rsidP="00DC0EBF">
            <w:pPr>
              <w:ind w:left="0" w:firstLine="0"/>
              <w:jc w:val="center"/>
              <w:rPr>
                <w:rFonts w:asciiTheme="minorHAnsi" w:eastAsia="Times New Roman" w:hAnsiTheme="minorHAnsi" w:cs="Arial"/>
                <w:b/>
                <w:bCs/>
                <w:color w:val="1F497D"/>
                <w:sz w:val="20"/>
                <w:szCs w:val="20"/>
              </w:rPr>
            </w:pPr>
            <w:r w:rsidRPr="00930651">
              <w:rPr>
                <w:rFonts w:asciiTheme="minorHAnsi" w:hAnsiTheme="minorHAnsi"/>
                <w:b/>
                <w:color w:val="1F497D"/>
                <w:sz w:val="20"/>
              </w:rPr>
              <w:t>Total Budget 2023-2025</w:t>
            </w:r>
          </w:p>
        </w:tc>
      </w:tr>
      <w:tr w:rsidR="002D28C5" w:rsidRPr="00930651" w14:paraId="6C15638F" w14:textId="77777777" w:rsidTr="008F4A6B">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4C4D0" w14:textId="77777777" w:rsidR="002D28C5" w:rsidRPr="00930651" w:rsidRDefault="002D28C5" w:rsidP="00A26E01">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REVENUS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7EF5BCC"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14:paraId="24A15AE2"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14:paraId="5D28454D" w14:textId="77777777" w:rsidR="002D28C5" w:rsidRPr="00930651" w:rsidRDefault="002D28C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 </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14:paraId="6CF77376"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 </w:t>
            </w:r>
          </w:p>
        </w:tc>
      </w:tr>
      <w:tr w:rsidR="002D28C5" w:rsidRPr="00930651" w14:paraId="1ECFA139"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B996228"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Contributions des Parties contractantes</w:t>
            </w:r>
          </w:p>
        </w:tc>
        <w:tc>
          <w:tcPr>
            <w:tcW w:w="1170" w:type="dxa"/>
            <w:tcBorders>
              <w:top w:val="nil"/>
              <w:left w:val="nil"/>
              <w:bottom w:val="single" w:sz="4" w:space="0" w:color="auto"/>
              <w:right w:val="single" w:sz="4" w:space="0" w:color="auto"/>
            </w:tcBorders>
            <w:shd w:val="clear" w:color="auto" w:fill="auto"/>
            <w:noWrap/>
            <w:vAlign w:val="center"/>
            <w:hideMark/>
          </w:tcPr>
          <w:p w14:paraId="16576017" w14:textId="77777777" w:rsidR="002D28C5" w:rsidRPr="00930651" w:rsidRDefault="00012800" w:rsidP="00A26E01">
            <w:pPr>
              <w:ind w:left="0" w:firstLine="0"/>
              <w:jc w:val="right"/>
              <w:rPr>
                <w:rFonts w:eastAsia="Times New Roman" w:cs="Arial"/>
                <w:sz w:val="20"/>
                <w:szCs w:val="20"/>
              </w:rPr>
            </w:pPr>
            <w:r w:rsidRPr="00930651">
              <w:rPr>
                <w:sz w:val="20"/>
              </w:rPr>
              <w:t>3 878</w:t>
            </w:r>
          </w:p>
        </w:tc>
        <w:tc>
          <w:tcPr>
            <w:tcW w:w="1171" w:type="dxa"/>
            <w:tcBorders>
              <w:top w:val="nil"/>
              <w:left w:val="nil"/>
              <w:bottom w:val="single" w:sz="4" w:space="0" w:color="auto"/>
              <w:right w:val="single" w:sz="4" w:space="0" w:color="auto"/>
            </w:tcBorders>
            <w:shd w:val="clear" w:color="auto" w:fill="auto"/>
            <w:noWrap/>
            <w:vAlign w:val="center"/>
            <w:hideMark/>
          </w:tcPr>
          <w:p w14:paraId="310E17BE" w14:textId="77777777" w:rsidR="002D28C5" w:rsidRPr="00930651" w:rsidRDefault="00DC0EBF" w:rsidP="00A26E01">
            <w:pPr>
              <w:ind w:left="0" w:firstLine="0"/>
              <w:jc w:val="right"/>
              <w:rPr>
                <w:rFonts w:eastAsia="Times New Roman" w:cs="Arial"/>
                <w:sz w:val="20"/>
                <w:szCs w:val="20"/>
              </w:rPr>
            </w:pPr>
            <w:r w:rsidRPr="00930651">
              <w:rPr>
                <w:sz w:val="20"/>
              </w:rPr>
              <w:t>3 878</w:t>
            </w:r>
          </w:p>
        </w:tc>
        <w:tc>
          <w:tcPr>
            <w:tcW w:w="1171" w:type="dxa"/>
            <w:tcBorders>
              <w:top w:val="nil"/>
              <w:left w:val="nil"/>
              <w:bottom w:val="single" w:sz="4" w:space="0" w:color="auto"/>
              <w:right w:val="single" w:sz="4" w:space="0" w:color="auto"/>
            </w:tcBorders>
            <w:shd w:val="clear" w:color="auto" w:fill="auto"/>
            <w:noWrap/>
            <w:vAlign w:val="center"/>
            <w:hideMark/>
          </w:tcPr>
          <w:p w14:paraId="04B18F25" w14:textId="77777777" w:rsidR="002D28C5" w:rsidRPr="00930651" w:rsidRDefault="00DC0EBF" w:rsidP="00C2135F">
            <w:pPr>
              <w:ind w:left="0" w:firstLine="0"/>
              <w:jc w:val="right"/>
              <w:rPr>
                <w:rFonts w:eastAsia="Times New Roman" w:cs="Arial"/>
                <w:sz w:val="20"/>
                <w:szCs w:val="20"/>
              </w:rPr>
            </w:pPr>
            <w:r w:rsidRPr="00930651">
              <w:rPr>
                <w:sz w:val="20"/>
              </w:rPr>
              <w:t>4 090</w:t>
            </w:r>
          </w:p>
        </w:tc>
        <w:tc>
          <w:tcPr>
            <w:tcW w:w="1171" w:type="dxa"/>
            <w:tcBorders>
              <w:top w:val="nil"/>
              <w:left w:val="nil"/>
              <w:bottom w:val="single" w:sz="4" w:space="0" w:color="auto"/>
              <w:right w:val="single" w:sz="4" w:space="0" w:color="auto"/>
            </w:tcBorders>
            <w:shd w:val="clear" w:color="auto" w:fill="auto"/>
            <w:noWrap/>
            <w:vAlign w:val="center"/>
            <w:hideMark/>
          </w:tcPr>
          <w:p w14:paraId="2ACD3DFB" w14:textId="77777777" w:rsidR="002D28C5" w:rsidRPr="00930651" w:rsidRDefault="00DC0EBF">
            <w:pPr>
              <w:ind w:left="0" w:firstLine="0"/>
              <w:jc w:val="right"/>
              <w:rPr>
                <w:rFonts w:eastAsia="Times New Roman" w:cs="Arial"/>
                <w:sz w:val="20"/>
                <w:szCs w:val="20"/>
              </w:rPr>
            </w:pPr>
            <w:r w:rsidRPr="00930651">
              <w:rPr>
                <w:sz w:val="20"/>
              </w:rPr>
              <w:t>11 846</w:t>
            </w:r>
          </w:p>
        </w:tc>
      </w:tr>
      <w:tr w:rsidR="002D28C5" w:rsidRPr="00930651" w14:paraId="7C888B4D"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E68D5C9"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Contributions volontaires</w:t>
            </w:r>
          </w:p>
        </w:tc>
        <w:tc>
          <w:tcPr>
            <w:tcW w:w="1170" w:type="dxa"/>
            <w:tcBorders>
              <w:top w:val="nil"/>
              <w:left w:val="nil"/>
              <w:bottom w:val="single" w:sz="4" w:space="0" w:color="auto"/>
              <w:right w:val="single" w:sz="4" w:space="0" w:color="auto"/>
            </w:tcBorders>
            <w:shd w:val="clear" w:color="auto" w:fill="auto"/>
            <w:noWrap/>
            <w:vAlign w:val="center"/>
            <w:hideMark/>
          </w:tcPr>
          <w:p w14:paraId="36DE3DD6" w14:textId="77777777" w:rsidR="002D28C5" w:rsidRPr="00930651" w:rsidRDefault="00DC0EBF" w:rsidP="00A26E01">
            <w:pPr>
              <w:ind w:left="0" w:firstLine="0"/>
              <w:jc w:val="right"/>
              <w:rPr>
                <w:rFonts w:eastAsia="Times New Roman" w:cs="Arial"/>
                <w:sz w:val="20"/>
                <w:szCs w:val="20"/>
              </w:rPr>
            </w:pPr>
            <w:r w:rsidRPr="00930651">
              <w:rPr>
                <w:sz w:val="20"/>
              </w:rPr>
              <w:t>1 094</w:t>
            </w:r>
          </w:p>
        </w:tc>
        <w:tc>
          <w:tcPr>
            <w:tcW w:w="1171" w:type="dxa"/>
            <w:tcBorders>
              <w:top w:val="nil"/>
              <w:left w:val="nil"/>
              <w:bottom w:val="single" w:sz="4" w:space="0" w:color="auto"/>
              <w:right w:val="single" w:sz="4" w:space="0" w:color="auto"/>
            </w:tcBorders>
            <w:shd w:val="clear" w:color="auto" w:fill="auto"/>
            <w:noWrap/>
            <w:vAlign w:val="center"/>
            <w:hideMark/>
          </w:tcPr>
          <w:p w14:paraId="06F70EF7" w14:textId="77777777" w:rsidR="002D28C5" w:rsidRPr="00930651" w:rsidRDefault="00C2135F" w:rsidP="00A26E01">
            <w:pPr>
              <w:ind w:left="0" w:firstLine="0"/>
              <w:jc w:val="right"/>
              <w:rPr>
                <w:rFonts w:eastAsia="Times New Roman" w:cs="Arial"/>
                <w:sz w:val="20"/>
                <w:szCs w:val="20"/>
              </w:rPr>
            </w:pPr>
            <w:r w:rsidRPr="00930651">
              <w:rPr>
                <w:sz w:val="20"/>
              </w:rPr>
              <w:t>1 094</w:t>
            </w:r>
          </w:p>
        </w:tc>
        <w:tc>
          <w:tcPr>
            <w:tcW w:w="1171" w:type="dxa"/>
            <w:tcBorders>
              <w:top w:val="nil"/>
              <w:left w:val="nil"/>
              <w:bottom w:val="single" w:sz="4" w:space="0" w:color="auto"/>
              <w:right w:val="single" w:sz="4" w:space="0" w:color="auto"/>
            </w:tcBorders>
            <w:shd w:val="clear" w:color="auto" w:fill="auto"/>
            <w:noWrap/>
            <w:vAlign w:val="center"/>
            <w:hideMark/>
          </w:tcPr>
          <w:p w14:paraId="4F05D380" w14:textId="77777777" w:rsidR="002D28C5" w:rsidRPr="00930651" w:rsidRDefault="00C2135F" w:rsidP="001B1F55">
            <w:pPr>
              <w:ind w:left="0" w:firstLine="0"/>
              <w:jc w:val="right"/>
              <w:rPr>
                <w:rFonts w:eastAsia="Times New Roman" w:cs="Arial"/>
                <w:sz w:val="20"/>
                <w:szCs w:val="20"/>
              </w:rPr>
            </w:pPr>
            <w:r w:rsidRPr="00930651">
              <w:rPr>
                <w:sz w:val="20"/>
              </w:rPr>
              <w:t>1 118</w:t>
            </w:r>
          </w:p>
        </w:tc>
        <w:tc>
          <w:tcPr>
            <w:tcW w:w="1171" w:type="dxa"/>
            <w:tcBorders>
              <w:top w:val="nil"/>
              <w:left w:val="nil"/>
              <w:bottom w:val="single" w:sz="4" w:space="0" w:color="auto"/>
              <w:right w:val="single" w:sz="4" w:space="0" w:color="auto"/>
            </w:tcBorders>
            <w:shd w:val="clear" w:color="auto" w:fill="auto"/>
            <w:noWrap/>
            <w:vAlign w:val="center"/>
            <w:hideMark/>
          </w:tcPr>
          <w:p w14:paraId="2D8FB110" w14:textId="77777777" w:rsidR="002D28C5" w:rsidRPr="00930651" w:rsidRDefault="00C2135F" w:rsidP="00A26E01">
            <w:pPr>
              <w:ind w:left="0" w:firstLine="0"/>
              <w:jc w:val="right"/>
              <w:rPr>
                <w:rFonts w:eastAsia="Times New Roman" w:cs="Arial"/>
                <w:sz w:val="20"/>
                <w:szCs w:val="20"/>
              </w:rPr>
            </w:pPr>
            <w:r w:rsidRPr="00930651">
              <w:rPr>
                <w:sz w:val="20"/>
              </w:rPr>
              <w:t>3 306</w:t>
            </w:r>
          </w:p>
        </w:tc>
      </w:tr>
      <w:tr w:rsidR="002D28C5" w:rsidRPr="00930651" w14:paraId="46C0D1A5"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D54F6AC" w14:textId="77777777"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Impôts</w:t>
            </w:r>
          </w:p>
        </w:tc>
        <w:tc>
          <w:tcPr>
            <w:tcW w:w="1170" w:type="dxa"/>
            <w:tcBorders>
              <w:top w:val="nil"/>
              <w:left w:val="nil"/>
              <w:bottom w:val="single" w:sz="4" w:space="0" w:color="auto"/>
              <w:right w:val="single" w:sz="4" w:space="0" w:color="auto"/>
            </w:tcBorders>
            <w:shd w:val="clear" w:color="auto" w:fill="auto"/>
            <w:noWrap/>
            <w:vAlign w:val="center"/>
            <w:hideMark/>
          </w:tcPr>
          <w:p w14:paraId="5F87D4F6" w14:textId="77777777" w:rsidR="002D28C5" w:rsidRPr="00930651" w:rsidRDefault="002D28C5" w:rsidP="00A26E01">
            <w:pPr>
              <w:ind w:left="0" w:firstLine="0"/>
              <w:jc w:val="right"/>
              <w:rPr>
                <w:rFonts w:eastAsia="Times New Roman" w:cs="Arial"/>
                <w:sz w:val="20"/>
                <w:szCs w:val="20"/>
              </w:rPr>
            </w:pPr>
            <w:r w:rsidRPr="00930651">
              <w:rPr>
                <w:sz w:val="20"/>
              </w:rPr>
              <w:t>243</w:t>
            </w:r>
          </w:p>
        </w:tc>
        <w:tc>
          <w:tcPr>
            <w:tcW w:w="1171" w:type="dxa"/>
            <w:tcBorders>
              <w:top w:val="nil"/>
              <w:left w:val="nil"/>
              <w:bottom w:val="single" w:sz="4" w:space="0" w:color="auto"/>
              <w:right w:val="single" w:sz="4" w:space="0" w:color="auto"/>
            </w:tcBorders>
            <w:shd w:val="clear" w:color="auto" w:fill="auto"/>
            <w:noWrap/>
            <w:vAlign w:val="center"/>
            <w:hideMark/>
          </w:tcPr>
          <w:p w14:paraId="7901CF35" w14:textId="77777777" w:rsidR="002D28C5" w:rsidRPr="00930651" w:rsidRDefault="002D28C5" w:rsidP="00A26E01">
            <w:pPr>
              <w:ind w:left="0" w:firstLine="0"/>
              <w:jc w:val="right"/>
              <w:rPr>
                <w:rFonts w:eastAsia="Times New Roman" w:cs="Arial"/>
                <w:sz w:val="20"/>
                <w:szCs w:val="20"/>
              </w:rPr>
            </w:pPr>
            <w:r w:rsidRPr="00930651">
              <w:rPr>
                <w:sz w:val="20"/>
              </w:rPr>
              <w:t>243</w:t>
            </w:r>
          </w:p>
        </w:tc>
        <w:tc>
          <w:tcPr>
            <w:tcW w:w="1171" w:type="dxa"/>
            <w:tcBorders>
              <w:top w:val="nil"/>
              <w:left w:val="nil"/>
              <w:bottom w:val="single" w:sz="4" w:space="0" w:color="auto"/>
              <w:right w:val="single" w:sz="4" w:space="0" w:color="auto"/>
            </w:tcBorders>
            <w:shd w:val="clear" w:color="auto" w:fill="auto"/>
            <w:noWrap/>
            <w:vAlign w:val="center"/>
            <w:hideMark/>
          </w:tcPr>
          <w:p w14:paraId="55772F65" w14:textId="77777777" w:rsidR="002D28C5" w:rsidRPr="00930651" w:rsidRDefault="002D28C5" w:rsidP="00A26E01">
            <w:pPr>
              <w:ind w:left="0" w:firstLine="0"/>
              <w:jc w:val="right"/>
              <w:rPr>
                <w:rFonts w:eastAsia="Times New Roman" w:cs="Arial"/>
                <w:color w:val="000000"/>
                <w:sz w:val="20"/>
                <w:szCs w:val="20"/>
              </w:rPr>
            </w:pPr>
            <w:r w:rsidRPr="00930651">
              <w:rPr>
                <w:color w:val="000000"/>
                <w:sz w:val="20"/>
              </w:rPr>
              <w:t>243</w:t>
            </w:r>
          </w:p>
        </w:tc>
        <w:tc>
          <w:tcPr>
            <w:tcW w:w="1171" w:type="dxa"/>
            <w:tcBorders>
              <w:top w:val="nil"/>
              <w:left w:val="nil"/>
              <w:bottom w:val="single" w:sz="4" w:space="0" w:color="auto"/>
              <w:right w:val="single" w:sz="4" w:space="0" w:color="auto"/>
            </w:tcBorders>
            <w:shd w:val="clear" w:color="auto" w:fill="auto"/>
            <w:noWrap/>
            <w:vAlign w:val="center"/>
            <w:hideMark/>
          </w:tcPr>
          <w:p w14:paraId="58621B5E" w14:textId="77777777" w:rsidR="002D28C5" w:rsidRPr="00930651" w:rsidRDefault="002D28C5" w:rsidP="00A26E01">
            <w:pPr>
              <w:ind w:left="0" w:firstLine="0"/>
              <w:jc w:val="right"/>
              <w:rPr>
                <w:rFonts w:eastAsia="Times New Roman" w:cs="Arial"/>
                <w:sz w:val="20"/>
                <w:szCs w:val="20"/>
              </w:rPr>
            </w:pPr>
            <w:r w:rsidRPr="00930651">
              <w:rPr>
                <w:sz w:val="20"/>
              </w:rPr>
              <w:t>729</w:t>
            </w:r>
          </w:p>
        </w:tc>
      </w:tr>
      <w:tr w:rsidR="002D28C5" w:rsidRPr="00930651" w14:paraId="430BC5E5" w14:textId="77777777" w:rsidTr="008F4A6B">
        <w:tc>
          <w:tcPr>
            <w:tcW w:w="4673" w:type="dxa"/>
            <w:tcBorders>
              <w:top w:val="nil"/>
              <w:left w:val="single" w:sz="4" w:space="0" w:color="auto"/>
              <w:bottom w:val="nil"/>
              <w:right w:val="single" w:sz="4" w:space="0" w:color="auto"/>
            </w:tcBorders>
            <w:shd w:val="clear" w:color="auto" w:fill="auto"/>
            <w:noWrap/>
            <w:vAlign w:val="center"/>
            <w:hideMark/>
          </w:tcPr>
          <w:p w14:paraId="6E378161" w14:textId="20FB1188" w:rsidR="002D28C5" w:rsidRPr="00930651" w:rsidRDefault="002D28C5"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Revenus d</w:t>
            </w:r>
            <w:r w:rsidR="00101E52">
              <w:rPr>
                <w:rFonts w:asciiTheme="minorHAnsi" w:hAnsiTheme="minorHAnsi"/>
                <w:color w:val="000000"/>
                <w:sz w:val="20"/>
              </w:rPr>
              <w:t>’</w:t>
            </w:r>
            <w:r w:rsidRPr="00930651">
              <w:rPr>
                <w:rFonts w:asciiTheme="minorHAnsi" w:hAnsiTheme="minorHAnsi"/>
                <w:color w:val="000000"/>
                <w:sz w:val="20"/>
              </w:rPr>
              <w:t>intérêts</w:t>
            </w:r>
          </w:p>
        </w:tc>
        <w:tc>
          <w:tcPr>
            <w:tcW w:w="1170" w:type="dxa"/>
            <w:tcBorders>
              <w:top w:val="nil"/>
              <w:left w:val="nil"/>
              <w:bottom w:val="single" w:sz="4" w:space="0" w:color="auto"/>
              <w:right w:val="single" w:sz="4" w:space="0" w:color="auto"/>
            </w:tcBorders>
            <w:shd w:val="clear" w:color="auto" w:fill="auto"/>
            <w:noWrap/>
            <w:vAlign w:val="center"/>
            <w:hideMark/>
          </w:tcPr>
          <w:p w14:paraId="626B494B" w14:textId="77777777" w:rsidR="002D28C5" w:rsidRPr="00930651" w:rsidRDefault="00C2135F" w:rsidP="00C2135F">
            <w:pPr>
              <w:ind w:left="0" w:firstLine="0"/>
              <w:jc w:val="right"/>
              <w:rPr>
                <w:rFonts w:eastAsia="Times New Roman" w:cs="Arial"/>
                <w:sz w:val="20"/>
                <w:szCs w:val="20"/>
              </w:rPr>
            </w:pPr>
            <w:r w:rsidRPr="00930651">
              <w:rPr>
                <w:sz w:val="20"/>
              </w:rPr>
              <w:t>12</w:t>
            </w:r>
          </w:p>
        </w:tc>
        <w:tc>
          <w:tcPr>
            <w:tcW w:w="1171" w:type="dxa"/>
            <w:tcBorders>
              <w:top w:val="nil"/>
              <w:left w:val="nil"/>
              <w:bottom w:val="single" w:sz="4" w:space="0" w:color="auto"/>
              <w:right w:val="single" w:sz="4" w:space="0" w:color="auto"/>
            </w:tcBorders>
            <w:shd w:val="clear" w:color="auto" w:fill="auto"/>
            <w:noWrap/>
            <w:vAlign w:val="center"/>
            <w:hideMark/>
          </w:tcPr>
          <w:p w14:paraId="48E7A12E" w14:textId="77777777" w:rsidR="002D28C5" w:rsidRPr="00930651" w:rsidRDefault="00C2135F" w:rsidP="00A26E01">
            <w:pPr>
              <w:ind w:left="0" w:firstLine="0"/>
              <w:jc w:val="right"/>
              <w:rPr>
                <w:rFonts w:eastAsia="Times New Roman" w:cs="Arial"/>
                <w:sz w:val="20"/>
                <w:szCs w:val="20"/>
              </w:rPr>
            </w:pPr>
            <w:r w:rsidRPr="00930651">
              <w:rPr>
                <w:sz w:val="20"/>
              </w:rPr>
              <w:t>12</w:t>
            </w:r>
          </w:p>
        </w:tc>
        <w:tc>
          <w:tcPr>
            <w:tcW w:w="1171" w:type="dxa"/>
            <w:tcBorders>
              <w:top w:val="nil"/>
              <w:left w:val="nil"/>
              <w:bottom w:val="single" w:sz="4" w:space="0" w:color="auto"/>
              <w:right w:val="single" w:sz="4" w:space="0" w:color="auto"/>
            </w:tcBorders>
            <w:shd w:val="clear" w:color="auto" w:fill="auto"/>
            <w:noWrap/>
            <w:vAlign w:val="center"/>
            <w:hideMark/>
          </w:tcPr>
          <w:p w14:paraId="791F40DE" w14:textId="77777777" w:rsidR="002D28C5" w:rsidRPr="00930651" w:rsidRDefault="00C2135F" w:rsidP="00A26E01">
            <w:pPr>
              <w:ind w:left="0" w:firstLine="0"/>
              <w:jc w:val="right"/>
              <w:rPr>
                <w:rFonts w:eastAsia="Times New Roman" w:cs="Arial"/>
                <w:color w:val="000000"/>
                <w:sz w:val="20"/>
                <w:szCs w:val="20"/>
              </w:rPr>
            </w:pPr>
            <w:r w:rsidRPr="00930651">
              <w:rPr>
                <w:color w:val="000000"/>
                <w:sz w:val="20"/>
              </w:rPr>
              <w:t>12</w:t>
            </w:r>
          </w:p>
        </w:tc>
        <w:tc>
          <w:tcPr>
            <w:tcW w:w="1171" w:type="dxa"/>
            <w:tcBorders>
              <w:top w:val="nil"/>
              <w:left w:val="nil"/>
              <w:bottom w:val="single" w:sz="4" w:space="0" w:color="auto"/>
              <w:right w:val="single" w:sz="4" w:space="0" w:color="auto"/>
            </w:tcBorders>
            <w:shd w:val="clear" w:color="auto" w:fill="auto"/>
            <w:noWrap/>
            <w:vAlign w:val="center"/>
            <w:hideMark/>
          </w:tcPr>
          <w:p w14:paraId="3F0878B6" w14:textId="77777777" w:rsidR="002D28C5" w:rsidRPr="00930651" w:rsidRDefault="00C2135F" w:rsidP="00A26E01">
            <w:pPr>
              <w:ind w:left="0" w:firstLine="0"/>
              <w:jc w:val="right"/>
              <w:rPr>
                <w:rFonts w:eastAsia="Times New Roman" w:cs="Arial"/>
                <w:sz w:val="20"/>
                <w:szCs w:val="20"/>
              </w:rPr>
            </w:pPr>
            <w:r w:rsidRPr="00930651">
              <w:rPr>
                <w:sz w:val="20"/>
              </w:rPr>
              <w:t>36</w:t>
            </w:r>
          </w:p>
        </w:tc>
      </w:tr>
      <w:tr w:rsidR="002D28C5" w:rsidRPr="00930651" w14:paraId="78CBABE6" w14:textId="77777777" w:rsidTr="008F4A6B">
        <w:tc>
          <w:tcPr>
            <w:tcW w:w="467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5B3AB9F" w14:textId="77777777" w:rsidR="002D28C5" w:rsidRPr="00930651" w:rsidRDefault="002D28C5" w:rsidP="00A26E01">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TOTAL DES REVENUS</w:t>
            </w:r>
          </w:p>
        </w:tc>
        <w:tc>
          <w:tcPr>
            <w:tcW w:w="1170" w:type="dxa"/>
            <w:tcBorders>
              <w:top w:val="single" w:sz="4" w:space="0" w:color="auto"/>
              <w:left w:val="nil"/>
              <w:bottom w:val="single" w:sz="4" w:space="0" w:color="auto"/>
              <w:right w:val="single" w:sz="4" w:space="0" w:color="auto"/>
            </w:tcBorders>
            <w:shd w:val="clear" w:color="000000" w:fill="C4D79B"/>
            <w:noWrap/>
            <w:vAlign w:val="center"/>
            <w:hideMark/>
          </w:tcPr>
          <w:p w14:paraId="48CBCCE6" w14:textId="77777777" w:rsidR="002D28C5" w:rsidRPr="00930651" w:rsidRDefault="002D28C5" w:rsidP="00C2135F">
            <w:pPr>
              <w:ind w:left="0" w:firstLine="0"/>
              <w:jc w:val="right"/>
              <w:rPr>
                <w:rFonts w:eastAsia="Times New Roman" w:cs="Arial"/>
                <w:b/>
                <w:bCs/>
                <w:color w:val="000000"/>
              </w:rPr>
            </w:pPr>
            <w:r w:rsidRPr="00930651">
              <w:rPr>
                <w:b/>
                <w:color w:val="000000"/>
              </w:rPr>
              <w:t>5 227</w:t>
            </w:r>
          </w:p>
        </w:tc>
        <w:tc>
          <w:tcPr>
            <w:tcW w:w="1171" w:type="dxa"/>
            <w:tcBorders>
              <w:top w:val="single" w:sz="4" w:space="0" w:color="auto"/>
              <w:left w:val="nil"/>
              <w:bottom w:val="single" w:sz="4" w:space="0" w:color="auto"/>
              <w:right w:val="single" w:sz="4" w:space="0" w:color="auto"/>
            </w:tcBorders>
            <w:shd w:val="clear" w:color="000000" w:fill="C4D79B"/>
            <w:noWrap/>
            <w:vAlign w:val="center"/>
            <w:hideMark/>
          </w:tcPr>
          <w:p w14:paraId="4D808119" w14:textId="77777777" w:rsidR="002D28C5" w:rsidRPr="00930651" w:rsidRDefault="002D28C5" w:rsidP="00C2135F">
            <w:pPr>
              <w:ind w:left="0" w:firstLine="0"/>
              <w:jc w:val="right"/>
              <w:rPr>
                <w:rFonts w:eastAsia="Times New Roman" w:cs="Arial"/>
                <w:b/>
                <w:bCs/>
                <w:color w:val="000000"/>
              </w:rPr>
            </w:pPr>
            <w:r w:rsidRPr="00930651">
              <w:rPr>
                <w:b/>
                <w:color w:val="000000"/>
              </w:rPr>
              <w:t>5 227</w:t>
            </w:r>
          </w:p>
        </w:tc>
        <w:tc>
          <w:tcPr>
            <w:tcW w:w="1171" w:type="dxa"/>
            <w:tcBorders>
              <w:top w:val="single" w:sz="4" w:space="0" w:color="auto"/>
              <w:left w:val="nil"/>
              <w:bottom w:val="single" w:sz="4" w:space="0" w:color="auto"/>
              <w:right w:val="single" w:sz="4" w:space="0" w:color="auto"/>
            </w:tcBorders>
            <w:shd w:val="clear" w:color="000000" w:fill="C4D79B"/>
            <w:noWrap/>
            <w:vAlign w:val="center"/>
            <w:hideMark/>
          </w:tcPr>
          <w:p w14:paraId="55E58B59" w14:textId="77777777" w:rsidR="002D28C5" w:rsidRPr="00930651" w:rsidRDefault="002D28C5" w:rsidP="00C2135F">
            <w:pPr>
              <w:ind w:left="0" w:firstLine="0"/>
              <w:jc w:val="right"/>
              <w:rPr>
                <w:rFonts w:eastAsia="Times New Roman" w:cs="Arial"/>
                <w:b/>
                <w:bCs/>
                <w:color w:val="000000"/>
              </w:rPr>
            </w:pPr>
            <w:r w:rsidRPr="00930651">
              <w:rPr>
                <w:b/>
                <w:color w:val="000000"/>
              </w:rPr>
              <w:t>5 463</w:t>
            </w:r>
          </w:p>
        </w:tc>
        <w:tc>
          <w:tcPr>
            <w:tcW w:w="1171" w:type="dxa"/>
            <w:tcBorders>
              <w:top w:val="single" w:sz="4" w:space="0" w:color="auto"/>
              <w:left w:val="nil"/>
              <w:bottom w:val="single" w:sz="4" w:space="0" w:color="auto"/>
              <w:right w:val="single" w:sz="4" w:space="0" w:color="auto"/>
            </w:tcBorders>
            <w:shd w:val="clear" w:color="000000" w:fill="C4D79B"/>
            <w:noWrap/>
            <w:vAlign w:val="center"/>
            <w:hideMark/>
          </w:tcPr>
          <w:p w14:paraId="621FCB6B" w14:textId="77777777" w:rsidR="002D28C5" w:rsidRPr="00930651" w:rsidRDefault="00C2135F">
            <w:pPr>
              <w:ind w:left="0" w:firstLine="0"/>
              <w:jc w:val="right"/>
              <w:rPr>
                <w:rFonts w:eastAsia="Times New Roman" w:cs="Arial"/>
                <w:b/>
                <w:bCs/>
                <w:color w:val="000000"/>
              </w:rPr>
            </w:pPr>
            <w:r w:rsidRPr="00930651">
              <w:rPr>
                <w:b/>
                <w:color w:val="000000"/>
              </w:rPr>
              <w:t>15 917</w:t>
            </w:r>
          </w:p>
        </w:tc>
      </w:tr>
      <w:tr w:rsidR="00ED2630" w:rsidRPr="00930651" w14:paraId="66EF76C3" w14:textId="77777777" w:rsidTr="008F4A6B">
        <w:trPr>
          <w:trHeight w:val="34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88E8334" w14:textId="77777777" w:rsidR="00ED2630" w:rsidRPr="00930651" w:rsidRDefault="00ED2630" w:rsidP="00A26E01">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DÉPENSES</w:t>
            </w:r>
          </w:p>
        </w:tc>
        <w:tc>
          <w:tcPr>
            <w:tcW w:w="1170" w:type="dxa"/>
            <w:tcBorders>
              <w:top w:val="nil"/>
              <w:left w:val="nil"/>
              <w:bottom w:val="single" w:sz="4" w:space="0" w:color="auto"/>
              <w:right w:val="single" w:sz="4" w:space="0" w:color="auto"/>
            </w:tcBorders>
            <w:shd w:val="clear" w:color="auto" w:fill="auto"/>
            <w:noWrap/>
            <w:vAlign w:val="bottom"/>
            <w:hideMark/>
          </w:tcPr>
          <w:p w14:paraId="4E4C240D" w14:textId="77777777" w:rsidR="00ED2630" w:rsidRPr="00930651" w:rsidRDefault="00ED2630"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5A0FEF79" w14:textId="77777777" w:rsidR="00ED2630" w:rsidRPr="00930651" w:rsidRDefault="00ED2630"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3062CC40" w14:textId="77777777" w:rsidR="00ED2630" w:rsidRPr="00930651" w:rsidRDefault="00ED2630" w:rsidP="00A26E01">
            <w:pPr>
              <w:ind w:left="0" w:firstLine="0"/>
              <w:rPr>
                <w:rFonts w:asciiTheme="minorHAnsi" w:eastAsia="Times New Roman" w:hAnsiTheme="minorHAnsi" w:cs="Arial"/>
                <w:color w:val="000000"/>
                <w:sz w:val="20"/>
                <w:szCs w:val="20"/>
              </w:rPr>
            </w:pPr>
            <w:r w:rsidRPr="00930651">
              <w:rPr>
                <w:rFonts w:asciiTheme="minorHAnsi" w:hAnsiTheme="minorHAnsi"/>
                <w:color w:val="000000"/>
                <w:sz w:val="20"/>
              </w:rPr>
              <w:t> </w:t>
            </w:r>
          </w:p>
        </w:tc>
        <w:tc>
          <w:tcPr>
            <w:tcW w:w="1171" w:type="dxa"/>
            <w:tcBorders>
              <w:top w:val="nil"/>
              <w:left w:val="nil"/>
              <w:bottom w:val="single" w:sz="4" w:space="0" w:color="auto"/>
              <w:right w:val="single" w:sz="4" w:space="0" w:color="auto"/>
            </w:tcBorders>
            <w:shd w:val="clear" w:color="auto" w:fill="auto"/>
            <w:noWrap/>
            <w:vAlign w:val="bottom"/>
            <w:hideMark/>
          </w:tcPr>
          <w:p w14:paraId="59427E2D" w14:textId="77777777" w:rsidR="00ED2630" w:rsidRPr="00930651" w:rsidRDefault="00ED2630" w:rsidP="00A26E01">
            <w:pPr>
              <w:ind w:left="0" w:firstLine="0"/>
              <w:rPr>
                <w:rFonts w:asciiTheme="minorHAnsi" w:eastAsia="Times New Roman" w:hAnsiTheme="minorHAnsi" w:cs="Arial"/>
                <w:b/>
                <w:bCs/>
                <w:sz w:val="20"/>
                <w:szCs w:val="20"/>
              </w:rPr>
            </w:pPr>
            <w:r w:rsidRPr="00930651">
              <w:rPr>
                <w:rFonts w:asciiTheme="minorHAnsi" w:hAnsiTheme="minorHAnsi"/>
                <w:b/>
                <w:sz w:val="20"/>
              </w:rPr>
              <w:t> </w:t>
            </w:r>
          </w:p>
        </w:tc>
      </w:tr>
      <w:tr w:rsidR="002D28C5" w:rsidRPr="00930651" w14:paraId="17434D78"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hideMark/>
          </w:tcPr>
          <w:p w14:paraId="0BABFEB2" w14:textId="77777777" w:rsidR="002D28C5" w:rsidRPr="00930651" w:rsidRDefault="002D28C5" w:rsidP="00A26E01">
            <w:pPr>
              <w:ind w:left="0" w:firstLine="0"/>
              <w:rPr>
                <w:rFonts w:asciiTheme="minorHAnsi" w:eastAsia="Times New Roman" w:hAnsiTheme="minorHAnsi" w:cs="Arial"/>
                <w:b/>
                <w:bCs/>
                <w:color w:val="000000"/>
                <w:sz w:val="20"/>
                <w:szCs w:val="20"/>
              </w:rPr>
            </w:pPr>
            <w:r w:rsidRPr="00930651">
              <w:rPr>
                <w:rFonts w:asciiTheme="minorHAnsi" w:hAnsiTheme="minorHAnsi"/>
                <w:b/>
                <w:color w:val="000000"/>
                <w:sz w:val="20"/>
              </w:rPr>
              <w:t>A. Cadres supérieurs du Secrétariat &amp; Gouvernance</w:t>
            </w:r>
          </w:p>
        </w:tc>
        <w:tc>
          <w:tcPr>
            <w:tcW w:w="1170" w:type="dxa"/>
            <w:tcBorders>
              <w:top w:val="nil"/>
              <w:left w:val="nil"/>
              <w:bottom w:val="single" w:sz="4" w:space="0" w:color="auto"/>
              <w:right w:val="single" w:sz="4" w:space="0" w:color="auto"/>
            </w:tcBorders>
            <w:shd w:val="clear" w:color="000000" w:fill="C4D79B"/>
            <w:noWrap/>
            <w:vAlign w:val="center"/>
            <w:hideMark/>
          </w:tcPr>
          <w:p w14:paraId="60569CB2"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1 064</w:t>
            </w:r>
          </w:p>
        </w:tc>
        <w:tc>
          <w:tcPr>
            <w:tcW w:w="1171" w:type="dxa"/>
            <w:tcBorders>
              <w:top w:val="nil"/>
              <w:left w:val="nil"/>
              <w:bottom w:val="single" w:sz="4" w:space="0" w:color="auto"/>
              <w:right w:val="single" w:sz="4" w:space="0" w:color="auto"/>
            </w:tcBorders>
            <w:shd w:val="clear" w:color="000000" w:fill="C4D79B"/>
            <w:noWrap/>
            <w:vAlign w:val="center"/>
            <w:hideMark/>
          </w:tcPr>
          <w:p w14:paraId="75C6550B"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1 087</w:t>
            </w:r>
          </w:p>
        </w:tc>
        <w:tc>
          <w:tcPr>
            <w:tcW w:w="1171" w:type="dxa"/>
            <w:tcBorders>
              <w:top w:val="nil"/>
              <w:left w:val="nil"/>
              <w:bottom w:val="single" w:sz="4" w:space="0" w:color="auto"/>
              <w:right w:val="single" w:sz="4" w:space="0" w:color="auto"/>
            </w:tcBorders>
            <w:shd w:val="clear" w:color="000000" w:fill="C4D79B"/>
            <w:noWrap/>
            <w:vAlign w:val="center"/>
            <w:hideMark/>
          </w:tcPr>
          <w:p w14:paraId="54B974EA"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1 091</w:t>
            </w:r>
          </w:p>
        </w:tc>
        <w:tc>
          <w:tcPr>
            <w:tcW w:w="1171" w:type="dxa"/>
            <w:tcBorders>
              <w:top w:val="nil"/>
              <w:left w:val="nil"/>
              <w:bottom w:val="single" w:sz="4" w:space="0" w:color="auto"/>
              <w:right w:val="single" w:sz="4" w:space="0" w:color="auto"/>
            </w:tcBorders>
            <w:shd w:val="clear" w:color="000000" w:fill="C4D79B"/>
            <w:noWrap/>
            <w:vAlign w:val="center"/>
            <w:hideMark/>
          </w:tcPr>
          <w:p w14:paraId="69C720D4" w14:textId="77777777" w:rsidR="002D28C5" w:rsidRPr="00930651" w:rsidRDefault="00C2135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3 242</w:t>
            </w:r>
          </w:p>
        </w:tc>
      </w:tr>
      <w:tr w:rsidR="002D28C5" w:rsidRPr="00930651" w14:paraId="6F51E3A4"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BFFB004"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70" w:type="dxa"/>
            <w:tcBorders>
              <w:top w:val="nil"/>
              <w:left w:val="nil"/>
              <w:bottom w:val="single" w:sz="4" w:space="0" w:color="auto"/>
              <w:right w:val="single" w:sz="4" w:space="0" w:color="auto"/>
            </w:tcBorders>
            <w:shd w:val="clear" w:color="auto" w:fill="auto"/>
            <w:noWrap/>
            <w:vAlign w:val="center"/>
            <w:hideMark/>
          </w:tcPr>
          <w:p w14:paraId="6B103E80"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1 019</w:t>
            </w:r>
          </w:p>
        </w:tc>
        <w:tc>
          <w:tcPr>
            <w:tcW w:w="1171" w:type="dxa"/>
            <w:tcBorders>
              <w:top w:val="nil"/>
              <w:left w:val="nil"/>
              <w:bottom w:val="single" w:sz="4" w:space="0" w:color="auto"/>
              <w:right w:val="single" w:sz="4" w:space="0" w:color="auto"/>
            </w:tcBorders>
            <w:shd w:val="clear" w:color="auto" w:fill="auto"/>
            <w:noWrap/>
            <w:vAlign w:val="center"/>
            <w:hideMark/>
          </w:tcPr>
          <w:p w14:paraId="693AA56A"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1 042</w:t>
            </w:r>
          </w:p>
        </w:tc>
        <w:tc>
          <w:tcPr>
            <w:tcW w:w="1171" w:type="dxa"/>
            <w:tcBorders>
              <w:top w:val="nil"/>
              <w:left w:val="nil"/>
              <w:bottom w:val="single" w:sz="4" w:space="0" w:color="auto"/>
              <w:right w:val="single" w:sz="4" w:space="0" w:color="auto"/>
            </w:tcBorders>
            <w:shd w:val="clear" w:color="auto" w:fill="auto"/>
            <w:noWrap/>
            <w:vAlign w:val="center"/>
            <w:hideMark/>
          </w:tcPr>
          <w:p w14:paraId="09E8C986" w14:textId="77777777" w:rsidR="002D28C5" w:rsidRPr="00930651" w:rsidRDefault="00C2135F"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1 046</w:t>
            </w:r>
          </w:p>
        </w:tc>
        <w:tc>
          <w:tcPr>
            <w:tcW w:w="1171" w:type="dxa"/>
            <w:tcBorders>
              <w:top w:val="nil"/>
              <w:left w:val="nil"/>
              <w:bottom w:val="single" w:sz="4" w:space="0" w:color="auto"/>
              <w:right w:val="single" w:sz="4" w:space="0" w:color="auto"/>
            </w:tcBorders>
            <w:shd w:val="clear" w:color="auto" w:fill="auto"/>
            <w:noWrap/>
            <w:vAlign w:val="center"/>
            <w:hideMark/>
          </w:tcPr>
          <w:p w14:paraId="4287D061" w14:textId="77777777" w:rsidR="002D28C5" w:rsidRPr="00930651" w:rsidRDefault="00C2135F">
            <w:pPr>
              <w:ind w:left="0" w:firstLine="0"/>
              <w:jc w:val="right"/>
              <w:rPr>
                <w:rFonts w:asciiTheme="minorHAnsi" w:eastAsia="Times New Roman" w:hAnsiTheme="minorHAnsi" w:cs="Arial"/>
                <w:sz w:val="20"/>
                <w:szCs w:val="20"/>
              </w:rPr>
            </w:pPr>
            <w:r w:rsidRPr="00930651">
              <w:rPr>
                <w:rFonts w:asciiTheme="minorHAnsi" w:hAnsiTheme="minorHAnsi"/>
                <w:sz w:val="20"/>
              </w:rPr>
              <w:t>3 107</w:t>
            </w:r>
          </w:p>
        </w:tc>
      </w:tr>
      <w:tr w:rsidR="002D28C5" w:rsidRPr="00930651" w14:paraId="4F056561"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396F294" w14:textId="77777777" w:rsidR="002D28C5" w:rsidRPr="00930651" w:rsidRDefault="00C2135F" w:rsidP="00A26E01">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70" w:type="dxa"/>
            <w:tcBorders>
              <w:top w:val="nil"/>
              <w:left w:val="nil"/>
              <w:bottom w:val="single" w:sz="4" w:space="0" w:color="auto"/>
              <w:right w:val="single" w:sz="4" w:space="0" w:color="auto"/>
            </w:tcBorders>
            <w:shd w:val="clear" w:color="auto" w:fill="auto"/>
            <w:noWrap/>
            <w:vAlign w:val="center"/>
            <w:hideMark/>
          </w:tcPr>
          <w:p w14:paraId="40E4F61A"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c>
          <w:tcPr>
            <w:tcW w:w="1171" w:type="dxa"/>
            <w:tcBorders>
              <w:top w:val="nil"/>
              <w:left w:val="nil"/>
              <w:bottom w:val="single" w:sz="4" w:space="0" w:color="auto"/>
              <w:right w:val="single" w:sz="4" w:space="0" w:color="auto"/>
            </w:tcBorders>
            <w:shd w:val="clear" w:color="auto" w:fill="auto"/>
            <w:noWrap/>
            <w:vAlign w:val="center"/>
            <w:hideMark/>
          </w:tcPr>
          <w:p w14:paraId="2AC21139"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c>
          <w:tcPr>
            <w:tcW w:w="1171" w:type="dxa"/>
            <w:tcBorders>
              <w:top w:val="nil"/>
              <w:left w:val="nil"/>
              <w:bottom w:val="single" w:sz="4" w:space="0" w:color="auto"/>
              <w:right w:val="single" w:sz="4" w:space="0" w:color="auto"/>
            </w:tcBorders>
            <w:shd w:val="clear" w:color="auto" w:fill="auto"/>
            <w:noWrap/>
            <w:vAlign w:val="center"/>
            <w:hideMark/>
          </w:tcPr>
          <w:p w14:paraId="721B8003" w14:textId="77777777" w:rsidR="002D28C5" w:rsidRPr="00930651" w:rsidRDefault="00C2135F"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45</w:t>
            </w:r>
          </w:p>
        </w:tc>
        <w:tc>
          <w:tcPr>
            <w:tcW w:w="1171" w:type="dxa"/>
            <w:tcBorders>
              <w:top w:val="nil"/>
              <w:left w:val="nil"/>
              <w:bottom w:val="single" w:sz="4" w:space="0" w:color="auto"/>
              <w:right w:val="single" w:sz="4" w:space="0" w:color="auto"/>
            </w:tcBorders>
            <w:shd w:val="clear" w:color="auto" w:fill="auto"/>
            <w:noWrap/>
            <w:vAlign w:val="center"/>
            <w:hideMark/>
          </w:tcPr>
          <w:p w14:paraId="240AD7CC"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135</w:t>
            </w:r>
          </w:p>
        </w:tc>
      </w:tr>
      <w:tr w:rsidR="002D28C5" w:rsidRPr="00930651" w14:paraId="3CF160C8"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hideMark/>
          </w:tcPr>
          <w:p w14:paraId="1D0F23E4"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B. Mobilisation des ressources et sensibilisation</w:t>
            </w:r>
          </w:p>
        </w:tc>
        <w:tc>
          <w:tcPr>
            <w:tcW w:w="1170" w:type="dxa"/>
            <w:tcBorders>
              <w:top w:val="nil"/>
              <w:left w:val="nil"/>
              <w:bottom w:val="single" w:sz="4" w:space="0" w:color="auto"/>
              <w:right w:val="single" w:sz="4" w:space="0" w:color="auto"/>
            </w:tcBorders>
            <w:shd w:val="clear" w:color="000000" w:fill="C4D79B"/>
            <w:noWrap/>
            <w:vAlign w:val="center"/>
            <w:hideMark/>
          </w:tcPr>
          <w:p w14:paraId="68E099A6" w14:textId="77777777" w:rsidR="002D28C5" w:rsidRPr="00930651" w:rsidRDefault="00635E0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556</w:t>
            </w:r>
          </w:p>
        </w:tc>
        <w:tc>
          <w:tcPr>
            <w:tcW w:w="1171" w:type="dxa"/>
            <w:tcBorders>
              <w:top w:val="nil"/>
              <w:left w:val="nil"/>
              <w:bottom w:val="single" w:sz="4" w:space="0" w:color="auto"/>
              <w:right w:val="single" w:sz="4" w:space="0" w:color="auto"/>
            </w:tcBorders>
            <w:shd w:val="clear" w:color="000000" w:fill="C4D79B"/>
            <w:noWrap/>
            <w:vAlign w:val="center"/>
            <w:hideMark/>
          </w:tcPr>
          <w:p w14:paraId="0B735B83" w14:textId="77777777" w:rsidR="002D28C5" w:rsidRPr="00930651" w:rsidRDefault="00635E05" w:rsidP="003932B5">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560</w:t>
            </w:r>
          </w:p>
        </w:tc>
        <w:tc>
          <w:tcPr>
            <w:tcW w:w="1171" w:type="dxa"/>
            <w:tcBorders>
              <w:top w:val="nil"/>
              <w:left w:val="nil"/>
              <w:bottom w:val="single" w:sz="4" w:space="0" w:color="auto"/>
              <w:right w:val="single" w:sz="4" w:space="0" w:color="auto"/>
            </w:tcBorders>
            <w:shd w:val="clear" w:color="000000" w:fill="C4D79B"/>
            <w:noWrap/>
            <w:vAlign w:val="center"/>
            <w:hideMark/>
          </w:tcPr>
          <w:p w14:paraId="638A5AC6" w14:textId="77777777" w:rsidR="002D28C5" w:rsidRPr="00930651" w:rsidRDefault="00635E05"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563</w:t>
            </w:r>
          </w:p>
        </w:tc>
        <w:tc>
          <w:tcPr>
            <w:tcW w:w="1171" w:type="dxa"/>
            <w:tcBorders>
              <w:top w:val="nil"/>
              <w:left w:val="nil"/>
              <w:bottom w:val="single" w:sz="4" w:space="0" w:color="auto"/>
              <w:right w:val="single" w:sz="4" w:space="0" w:color="auto"/>
            </w:tcBorders>
            <w:shd w:val="clear" w:color="000000" w:fill="C4D79B"/>
            <w:noWrap/>
            <w:vAlign w:val="center"/>
            <w:hideMark/>
          </w:tcPr>
          <w:p w14:paraId="4DC941E2" w14:textId="77777777" w:rsidR="002D28C5" w:rsidRPr="00930651" w:rsidRDefault="00C2135F">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1 679</w:t>
            </w:r>
          </w:p>
        </w:tc>
      </w:tr>
      <w:tr w:rsidR="002D28C5" w:rsidRPr="00930651" w14:paraId="34F88FF8"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31A9ECB"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70" w:type="dxa"/>
            <w:tcBorders>
              <w:top w:val="nil"/>
              <w:left w:val="nil"/>
              <w:bottom w:val="single" w:sz="4" w:space="0" w:color="auto"/>
              <w:right w:val="single" w:sz="4" w:space="0" w:color="auto"/>
            </w:tcBorders>
            <w:shd w:val="clear" w:color="auto" w:fill="auto"/>
            <w:noWrap/>
            <w:vAlign w:val="center"/>
            <w:hideMark/>
          </w:tcPr>
          <w:p w14:paraId="7F4A85D1" w14:textId="77777777" w:rsidR="002D28C5" w:rsidRPr="00930651" w:rsidRDefault="00635E0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355</w:t>
            </w:r>
          </w:p>
        </w:tc>
        <w:tc>
          <w:tcPr>
            <w:tcW w:w="1171" w:type="dxa"/>
            <w:tcBorders>
              <w:top w:val="nil"/>
              <w:left w:val="nil"/>
              <w:bottom w:val="single" w:sz="4" w:space="0" w:color="auto"/>
              <w:right w:val="single" w:sz="4" w:space="0" w:color="auto"/>
            </w:tcBorders>
            <w:shd w:val="clear" w:color="auto" w:fill="auto"/>
            <w:noWrap/>
            <w:vAlign w:val="center"/>
            <w:hideMark/>
          </w:tcPr>
          <w:p w14:paraId="68FCAC58" w14:textId="77777777" w:rsidR="002D28C5" w:rsidRPr="00930651" w:rsidRDefault="00635E0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359</w:t>
            </w:r>
          </w:p>
        </w:tc>
        <w:tc>
          <w:tcPr>
            <w:tcW w:w="1171" w:type="dxa"/>
            <w:tcBorders>
              <w:top w:val="nil"/>
              <w:left w:val="nil"/>
              <w:bottom w:val="single" w:sz="4" w:space="0" w:color="auto"/>
              <w:right w:val="single" w:sz="4" w:space="0" w:color="auto"/>
            </w:tcBorders>
            <w:shd w:val="clear" w:color="auto" w:fill="auto"/>
            <w:noWrap/>
            <w:vAlign w:val="center"/>
            <w:hideMark/>
          </w:tcPr>
          <w:p w14:paraId="406C8AE7" w14:textId="77777777" w:rsidR="002D28C5" w:rsidRPr="00930651" w:rsidRDefault="00635E0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362</w:t>
            </w:r>
          </w:p>
        </w:tc>
        <w:tc>
          <w:tcPr>
            <w:tcW w:w="1171" w:type="dxa"/>
            <w:tcBorders>
              <w:top w:val="nil"/>
              <w:left w:val="nil"/>
              <w:bottom w:val="single" w:sz="4" w:space="0" w:color="auto"/>
              <w:right w:val="single" w:sz="4" w:space="0" w:color="auto"/>
            </w:tcBorders>
            <w:shd w:val="clear" w:color="auto" w:fill="auto"/>
            <w:noWrap/>
            <w:vAlign w:val="center"/>
            <w:hideMark/>
          </w:tcPr>
          <w:p w14:paraId="1F199F14" w14:textId="77777777" w:rsidR="002D28C5" w:rsidRPr="00930651" w:rsidRDefault="00C2135F">
            <w:pPr>
              <w:ind w:left="0" w:firstLine="0"/>
              <w:jc w:val="right"/>
              <w:rPr>
                <w:rFonts w:asciiTheme="minorHAnsi" w:eastAsia="Times New Roman" w:hAnsiTheme="minorHAnsi" w:cs="Arial"/>
                <w:sz w:val="20"/>
                <w:szCs w:val="20"/>
              </w:rPr>
            </w:pPr>
            <w:r w:rsidRPr="00930651">
              <w:rPr>
                <w:rFonts w:asciiTheme="minorHAnsi" w:hAnsiTheme="minorHAnsi"/>
                <w:sz w:val="20"/>
              </w:rPr>
              <w:t>1 076</w:t>
            </w:r>
          </w:p>
        </w:tc>
      </w:tr>
      <w:tr w:rsidR="002D28C5" w:rsidRPr="00930651" w14:paraId="11D87DBC"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EB7DE6E"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Programme de CESP</w:t>
            </w:r>
          </w:p>
        </w:tc>
        <w:tc>
          <w:tcPr>
            <w:tcW w:w="1170" w:type="dxa"/>
            <w:tcBorders>
              <w:top w:val="nil"/>
              <w:left w:val="nil"/>
              <w:bottom w:val="single" w:sz="4" w:space="0" w:color="auto"/>
              <w:right w:val="single" w:sz="4" w:space="0" w:color="auto"/>
            </w:tcBorders>
            <w:shd w:val="clear" w:color="auto" w:fill="auto"/>
            <w:noWrap/>
            <w:vAlign w:val="center"/>
            <w:hideMark/>
          </w:tcPr>
          <w:p w14:paraId="2EDD0AC9"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71" w:type="dxa"/>
            <w:tcBorders>
              <w:top w:val="nil"/>
              <w:left w:val="nil"/>
              <w:bottom w:val="single" w:sz="4" w:space="0" w:color="auto"/>
              <w:right w:val="single" w:sz="4" w:space="0" w:color="auto"/>
            </w:tcBorders>
            <w:shd w:val="clear" w:color="auto" w:fill="auto"/>
            <w:noWrap/>
            <w:vAlign w:val="center"/>
            <w:hideMark/>
          </w:tcPr>
          <w:p w14:paraId="70F39F47"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71" w:type="dxa"/>
            <w:tcBorders>
              <w:top w:val="nil"/>
              <w:left w:val="nil"/>
              <w:bottom w:val="single" w:sz="4" w:space="0" w:color="auto"/>
              <w:right w:val="single" w:sz="4" w:space="0" w:color="auto"/>
            </w:tcBorders>
            <w:shd w:val="clear" w:color="auto" w:fill="auto"/>
            <w:noWrap/>
            <w:vAlign w:val="center"/>
            <w:hideMark/>
          </w:tcPr>
          <w:p w14:paraId="4D3253F7" w14:textId="77777777" w:rsidR="002D28C5" w:rsidRPr="00930651" w:rsidRDefault="002D28C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30</w:t>
            </w:r>
          </w:p>
        </w:tc>
        <w:tc>
          <w:tcPr>
            <w:tcW w:w="1171" w:type="dxa"/>
            <w:tcBorders>
              <w:top w:val="nil"/>
              <w:left w:val="nil"/>
              <w:bottom w:val="single" w:sz="4" w:space="0" w:color="auto"/>
              <w:right w:val="single" w:sz="4" w:space="0" w:color="auto"/>
            </w:tcBorders>
            <w:shd w:val="clear" w:color="auto" w:fill="auto"/>
            <w:noWrap/>
            <w:vAlign w:val="center"/>
            <w:hideMark/>
          </w:tcPr>
          <w:p w14:paraId="1ECBF73C"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90</w:t>
            </w:r>
          </w:p>
        </w:tc>
      </w:tr>
      <w:tr w:rsidR="002D28C5" w:rsidRPr="00930651" w14:paraId="502F5F12"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95C4CF8"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Communications, traductions, publications et rapports</w:t>
            </w:r>
          </w:p>
        </w:tc>
        <w:tc>
          <w:tcPr>
            <w:tcW w:w="1170" w:type="dxa"/>
            <w:tcBorders>
              <w:top w:val="nil"/>
              <w:left w:val="nil"/>
              <w:bottom w:val="single" w:sz="4" w:space="0" w:color="auto"/>
              <w:right w:val="single" w:sz="4" w:space="0" w:color="auto"/>
            </w:tcBorders>
            <w:shd w:val="clear" w:color="auto" w:fill="auto"/>
            <w:noWrap/>
            <w:vAlign w:val="center"/>
            <w:hideMark/>
          </w:tcPr>
          <w:p w14:paraId="25019E5C"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71" w:type="dxa"/>
            <w:tcBorders>
              <w:top w:val="nil"/>
              <w:left w:val="nil"/>
              <w:bottom w:val="single" w:sz="4" w:space="0" w:color="auto"/>
              <w:right w:val="single" w:sz="4" w:space="0" w:color="auto"/>
            </w:tcBorders>
            <w:shd w:val="clear" w:color="auto" w:fill="auto"/>
            <w:noWrap/>
            <w:vAlign w:val="center"/>
            <w:hideMark/>
          </w:tcPr>
          <w:p w14:paraId="4A250836"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71" w:type="dxa"/>
            <w:tcBorders>
              <w:top w:val="nil"/>
              <w:left w:val="nil"/>
              <w:bottom w:val="single" w:sz="4" w:space="0" w:color="auto"/>
              <w:right w:val="single" w:sz="4" w:space="0" w:color="auto"/>
            </w:tcBorders>
            <w:shd w:val="clear" w:color="auto" w:fill="auto"/>
            <w:noWrap/>
            <w:vAlign w:val="center"/>
            <w:hideMark/>
          </w:tcPr>
          <w:p w14:paraId="09B8E2D3" w14:textId="77777777" w:rsidR="002D28C5" w:rsidRPr="00930651" w:rsidRDefault="002D28C5"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100</w:t>
            </w:r>
          </w:p>
        </w:tc>
        <w:tc>
          <w:tcPr>
            <w:tcW w:w="1171" w:type="dxa"/>
            <w:tcBorders>
              <w:top w:val="nil"/>
              <w:left w:val="nil"/>
              <w:bottom w:val="single" w:sz="4" w:space="0" w:color="auto"/>
              <w:right w:val="single" w:sz="4" w:space="0" w:color="auto"/>
            </w:tcBorders>
            <w:shd w:val="clear" w:color="auto" w:fill="auto"/>
            <w:noWrap/>
            <w:vAlign w:val="center"/>
            <w:hideMark/>
          </w:tcPr>
          <w:p w14:paraId="14E27F03" w14:textId="77777777" w:rsidR="002D28C5" w:rsidRPr="00930651" w:rsidRDefault="002D28C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300</w:t>
            </w:r>
          </w:p>
        </w:tc>
      </w:tr>
      <w:tr w:rsidR="002D28C5" w:rsidRPr="00930651" w14:paraId="2CD5337A"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45F0C3B"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Appui et développement du Web/TI</w:t>
            </w:r>
          </w:p>
        </w:tc>
        <w:tc>
          <w:tcPr>
            <w:tcW w:w="1170" w:type="dxa"/>
            <w:tcBorders>
              <w:top w:val="nil"/>
              <w:left w:val="nil"/>
              <w:bottom w:val="single" w:sz="4" w:space="0" w:color="auto"/>
              <w:right w:val="single" w:sz="4" w:space="0" w:color="auto"/>
            </w:tcBorders>
            <w:shd w:val="clear" w:color="auto" w:fill="auto"/>
            <w:noWrap/>
            <w:vAlign w:val="center"/>
            <w:hideMark/>
          </w:tcPr>
          <w:p w14:paraId="0D651358"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56</w:t>
            </w:r>
          </w:p>
        </w:tc>
        <w:tc>
          <w:tcPr>
            <w:tcW w:w="1171" w:type="dxa"/>
            <w:tcBorders>
              <w:top w:val="nil"/>
              <w:left w:val="nil"/>
              <w:bottom w:val="single" w:sz="4" w:space="0" w:color="auto"/>
              <w:right w:val="single" w:sz="4" w:space="0" w:color="auto"/>
            </w:tcBorders>
            <w:shd w:val="clear" w:color="auto" w:fill="auto"/>
            <w:noWrap/>
            <w:vAlign w:val="center"/>
            <w:hideMark/>
          </w:tcPr>
          <w:p w14:paraId="79A3DD9F" w14:textId="77777777" w:rsidR="002D28C5" w:rsidRPr="00930651" w:rsidRDefault="00635E0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56</w:t>
            </w:r>
          </w:p>
        </w:tc>
        <w:tc>
          <w:tcPr>
            <w:tcW w:w="1171" w:type="dxa"/>
            <w:tcBorders>
              <w:top w:val="nil"/>
              <w:left w:val="nil"/>
              <w:bottom w:val="single" w:sz="4" w:space="0" w:color="auto"/>
              <w:right w:val="single" w:sz="4" w:space="0" w:color="auto"/>
            </w:tcBorders>
            <w:shd w:val="clear" w:color="auto" w:fill="auto"/>
            <w:noWrap/>
            <w:vAlign w:val="center"/>
            <w:hideMark/>
          </w:tcPr>
          <w:p w14:paraId="1E7A27FB" w14:textId="77777777" w:rsidR="002D28C5" w:rsidRPr="00930651" w:rsidRDefault="007B7B47"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56</w:t>
            </w:r>
          </w:p>
        </w:tc>
        <w:tc>
          <w:tcPr>
            <w:tcW w:w="1171" w:type="dxa"/>
            <w:tcBorders>
              <w:top w:val="nil"/>
              <w:left w:val="nil"/>
              <w:bottom w:val="single" w:sz="4" w:space="0" w:color="auto"/>
              <w:right w:val="single" w:sz="4" w:space="0" w:color="auto"/>
            </w:tcBorders>
            <w:shd w:val="clear" w:color="auto" w:fill="auto"/>
            <w:noWrap/>
            <w:vAlign w:val="center"/>
            <w:hideMark/>
          </w:tcPr>
          <w:p w14:paraId="4F5C8E8A" w14:textId="77777777" w:rsidR="002D28C5" w:rsidRPr="00930651" w:rsidRDefault="00635E05">
            <w:pPr>
              <w:ind w:left="0" w:firstLine="0"/>
              <w:jc w:val="right"/>
              <w:rPr>
                <w:rFonts w:asciiTheme="minorHAnsi" w:eastAsia="Times New Roman" w:hAnsiTheme="minorHAnsi" w:cs="Arial"/>
                <w:sz w:val="20"/>
                <w:szCs w:val="20"/>
              </w:rPr>
            </w:pPr>
            <w:r w:rsidRPr="00930651">
              <w:rPr>
                <w:rFonts w:asciiTheme="minorHAnsi" w:hAnsiTheme="minorHAnsi"/>
                <w:sz w:val="20"/>
              </w:rPr>
              <w:t>168</w:t>
            </w:r>
          </w:p>
        </w:tc>
      </w:tr>
      <w:tr w:rsidR="00C2135F" w:rsidRPr="00930651" w14:paraId="2F9DB1F8"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0A24A604" w14:textId="77777777" w:rsidR="00C2135F" w:rsidRPr="00930651" w:rsidRDefault="00C2135F" w:rsidP="00A26E01">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70" w:type="dxa"/>
            <w:tcBorders>
              <w:top w:val="nil"/>
              <w:left w:val="nil"/>
              <w:bottom w:val="single" w:sz="4" w:space="0" w:color="auto"/>
              <w:right w:val="single" w:sz="4" w:space="0" w:color="auto"/>
            </w:tcBorders>
            <w:shd w:val="clear" w:color="auto" w:fill="auto"/>
            <w:noWrap/>
            <w:vAlign w:val="center"/>
          </w:tcPr>
          <w:p w14:paraId="3B01A100" w14:textId="77777777" w:rsidR="00C2135F" w:rsidRPr="00930651" w:rsidDel="00C2135F"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15</w:t>
            </w:r>
          </w:p>
        </w:tc>
        <w:tc>
          <w:tcPr>
            <w:tcW w:w="1171" w:type="dxa"/>
            <w:tcBorders>
              <w:top w:val="nil"/>
              <w:left w:val="nil"/>
              <w:bottom w:val="single" w:sz="4" w:space="0" w:color="auto"/>
              <w:right w:val="single" w:sz="4" w:space="0" w:color="auto"/>
            </w:tcBorders>
            <w:shd w:val="clear" w:color="auto" w:fill="auto"/>
            <w:noWrap/>
            <w:vAlign w:val="center"/>
          </w:tcPr>
          <w:p w14:paraId="488A43A8" w14:textId="77777777" w:rsidR="00C2135F" w:rsidRPr="00930651" w:rsidDel="00C2135F"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15</w:t>
            </w:r>
          </w:p>
        </w:tc>
        <w:tc>
          <w:tcPr>
            <w:tcW w:w="1171" w:type="dxa"/>
            <w:tcBorders>
              <w:top w:val="nil"/>
              <w:left w:val="nil"/>
              <w:bottom w:val="single" w:sz="4" w:space="0" w:color="auto"/>
              <w:right w:val="single" w:sz="4" w:space="0" w:color="auto"/>
            </w:tcBorders>
            <w:shd w:val="clear" w:color="auto" w:fill="auto"/>
            <w:noWrap/>
            <w:vAlign w:val="center"/>
          </w:tcPr>
          <w:p w14:paraId="7B5268E2" w14:textId="77777777" w:rsidR="00C2135F" w:rsidRPr="00930651" w:rsidDel="00C2135F" w:rsidRDefault="00C2135F"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15</w:t>
            </w:r>
          </w:p>
        </w:tc>
        <w:tc>
          <w:tcPr>
            <w:tcW w:w="1171" w:type="dxa"/>
            <w:tcBorders>
              <w:top w:val="nil"/>
              <w:left w:val="nil"/>
              <w:bottom w:val="single" w:sz="4" w:space="0" w:color="auto"/>
              <w:right w:val="single" w:sz="4" w:space="0" w:color="auto"/>
            </w:tcBorders>
            <w:shd w:val="clear" w:color="auto" w:fill="auto"/>
            <w:noWrap/>
            <w:vAlign w:val="center"/>
          </w:tcPr>
          <w:p w14:paraId="238E92AD" w14:textId="77777777" w:rsidR="00C2135F" w:rsidRPr="00930651" w:rsidDel="00C2135F"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45</w:t>
            </w:r>
          </w:p>
        </w:tc>
      </w:tr>
      <w:tr w:rsidR="002D28C5" w:rsidRPr="00930651" w14:paraId="17FFAA1C"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hideMark/>
          </w:tcPr>
          <w:p w14:paraId="4FC136A2"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C. Appui et conseils aux régions</w:t>
            </w:r>
          </w:p>
        </w:tc>
        <w:tc>
          <w:tcPr>
            <w:tcW w:w="1170" w:type="dxa"/>
            <w:tcBorders>
              <w:top w:val="nil"/>
              <w:left w:val="nil"/>
              <w:bottom w:val="single" w:sz="4" w:space="0" w:color="auto"/>
              <w:right w:val="single" w:sz="4" w:space="0" w:color="auto"/>
            </w:tcBorders>
            <w:shd w:val="clear" w:color="000000" w:fill="C4D79B"/>
            <w:noWrap/>
            <w:vAlign w:val="center"/>
            <w:hideMark/>
          </w:tcPr>
          <w:p w14:paraId="4259BFE4"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1 331</w:t>
            </w:r>
          </w:p>
        </w:tc>
        <w:tc>
          <w:tcPr>
            <w:tcW w:w="1171" w:type="dxa"/>
            <w:tcBorders>
              <w:top w:val="nil"/>
              <w:left w:val="nil"/>
              <w:bottom w:val="single" w:sz="4" w:space="0" w:color="auto"/>
              <w:right w:val="single" w:sz="4" w:space="0" w:color="auto"/>
            </w:tcBorders>
            <w:shd w:val="clear" w:color="000000" w:fill="C4D79B"/>
            <w:noWrap/>
            <w:vAlign w:val="center"/>
            <w:hideMark/>
          </w:tcPr>
          <w:p w14:paraId="08235BE8"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1 350</w:t>
            </w:r>
          </w:p>
        </w:tc>
        <w:tc>
          <w:tcPr>
            <w:tcW w:w="1171" w:type="dxa"/>
            <w:tcBorders>
              <w:top w:val="nil"/>
              <w:left w:val="nil"/>
              <w:bottom w:val="single" w:sz="4" w:space="0" w:color="auto"/>
              <w:right w:val="single" w:sz="4" w:space="0" w:color="auto"/>
            </w:tcBorders>
            <w:shd w:val="clear" w:color="000000" w:fill="C4D79B"/>
            <w:noWrap/>
            <w:vAlign w:val="center"/>
            <w:hideMark/>
          </w:tcPr>
          <w:p w14:paraId="4F899119"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1 364</w:t>
            </w:r>
          </w:p>
        </w:tc>
        <w:tc>
          <w:tcPr>
            <w:tcW w:w="1171" w:type="dxa"/>
            <w:tcBorders>
              <w:top w:val="nil"/>
              <w:left w:val="nil"/>
              <w:bottom w:val="single" w:sz="4" w:space="0" w:color="auto"/>
              <w:right w:val="single" w:sz="4" w:space="0" w:color="auto"/>
            </w:tcBorders>
            <w:shd w:val="clear" w:color="000000" w:fill="C4D79B"/>
            <w:noWrap/>
            <w:vAlign w:val="center"/>
            <w:hideMark/>
          </w:tcPr>
          <w:p w14:paraId="6B90404D" w14:textId="77777777" w:rsidR="002D28C5" w:rsidRPr="00930651" w:rsidRDefault="00635E05">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4 045</w:t>
            </w:r>
          </w:p>
        </w:tc>
      </w:tr>
      <w:tr w:rsidR="002D28C5" w:rsidRPr="00930651" w14:paraId="3F285770"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62DA972"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70" w:type="dxa"/>
            <w:tcBorders>
              <w:top w:val="nil"/>
              <w:left w:val="nil"/>
              <w:bottom w:val="single" w:sz="4" w:space="0" w:color="auto"/>
              <w:right w:val="single" w:sz="4" w:space="0" w:color="auto"/>
            </w:tcBorders>
            <w:shd w:val="clear" w:color="auto" w:fill="auto"/>
            <w:noWrap/>
            <w:vAlign w:val="center"/>
            <w:hideMark/>
          </w:tcPr>
          <w:p w14:paraId="60CA59DF"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1 254</w:t>
            </w:r>
          </w:p>
        </w:tc>
        <w:tc>
          <w:tcPr>
            <w:tcW w:w="1171" w:type="dxa"/>
            <w:tcBorders>
              <w:top w:val="nil"/>
              <w:left w:val="nil"/>
              <w:bottom w:val="single" w:sz="4" w:space="0" w:color="auto"/>
              <w:right w:val="single" w:sz="4" w:space="0" w:color="auto"/>
            </w:tcBorders>
            <w:shd w:val="clear" w:color="auto" w:fill="auto"/>
            <w:noWrap/>
            <w:vAlign w:val="center"/>
            <w:hideMark/>
          </w:tcPr>
          <w:p w14:paraId="4DE6A996"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1 273</w:t>
            </w:r>
          </w:p>
        </w:tc>
        <w:tc>
          <w:tcPr>
            <w:tcW w:w="1171" w:type="dxa"/>
            <w:tcBorders>
              <w:top w:val="nil"/>
              <w:left w:val="nil"/>
              <w:bottom w:val="single" w:sz="4" w:space="0" w:color="auto"/>
              <w:right w:val="single" w:sz="4" w:space="0" w:color="auto"/>
            </w:tcBorders>
            <w:shd w:val="clear" w:color="auto" w:fill="auto"/>
            <w:noWrap/>
            <w:vAlign w:val="center"/>
            <w:hideMark/>
          </w:tcPr>
          <w:p w14:paraId="2504B6B6" w14:textId="77777777" w:rsidR="002D28C5" w:rsidRPr="00930651" w:rsidRDefault="00C2135F"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1 287</w:t>
            </w:r>
          </w:p>
        </w:tc>
        <w:tc>
          <w:tcPr>
            <w:tcW w:w="1171" w:type="dxa"/>
            <w:tcBorders>
              <w:top w:val="nil"/>
              <w:left w:val="nil"/>
              <w:bottom w:val="single" w:sz="4" w:space="0" w:color="auto"/>
              <w:right w:val="single" w:sz="4" w:space="0" w:color="auto"/>
            </w:tcBorders>
            <w:shd w:val="clear" w:color="auto" w:fill="auto"/>
            <w:noWrap/>
            <w:vAlign w:val="center"/>
            <w:hideMark/>
          </w:tcPr>
          <w:p w14:paraId="40E22814" w14:textId="77777777" w:rsidR="002D28C5" w:rsidRPr="00930651" w:rsidRDefault="00C2135F">
            <w:pPr>
              <w:ind w:left="0" w:firstLine="0"/>
              <w:jc w:val="right"/>
              <w:rPr>
                <w:rFonts w:asciiTheme="minorHAnsi" w:eastAsia="Times New Roman" w:hAnsiTheme="minorHAnsi" w:cs="Arial"/>
                <w:sz w:val="20"/>
                <w:szCs w:val="20"/>
              </w:rPr>
            </w:pPr>
            <w:r w:rsidRPr="00930651">
              <w:rPr>
                <w:rFonts w:asciiTheme="minorHAnsi" w:hAnsiTheme="minorHAnsi"/>
                <w:sz w:val="20"/>
              </w:rPr>
              <w:t>3 814</w:t>
            </w:r>
          </w:p>
        </w:tc>
      </w:tr>
      <w:tr w:rsidR="002D28C5" w:rsidRPr="00930651" w14:paraId="173C9FF6"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9AF4B2B" w14:textId="77777777" w:rsidR="002D28C5" w:rsidRPr="00930651" w:rsidRDefault="00C2135F" w:rsidP="00A26E01">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70" w:type="dxa"/>
            <w:tcBorders>
              <w:top w:val="nil"/>
              <w:left w:val="nil"/>
              <w:bottom w:val="single" w:sz="4" w:space="0" w:color="auto"/>
              <w:right w:val="single" w:sz="4" w:space="0" w:color="auto"/>
            </w:tcBorders>
            <w:shd w:val="clear" w:color="auto" w:fill="auto"/>
            <w:noWrap/>
            <w:vAlign w:val="center"/>
            <w:hideMark/>
          </w:tcPr>
          <w:p w14:paraId="24E35E2E"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77</w:t>
            </w:r>
          </w:p>
        </w:tc>
        <w:tc>
          <w:tcPr>
            <w:tcW w:w="1171" w:type="dxa"/>
            <w:tcBorders>
              <w:top w:val="nil"/>
              <w:left w:val="nil"/>
              <w:bottom w:val="single" w:sz="4" w:space="0" w:color="auto"/>
              <w:right w:val="single" w:sz="4" w:space="0" w:color="auto"/>
            </w:tcBorders>
            <w:shd w:val="clear" w:color="auto" w:fill="auto"/>
            <w:noWrap/>
            <w:vAlign w:val="center"/>
            <w:hideMark/>
          </w:tcPr>
          <w:p w14:paraId="41A0CEF9"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77</w:t>
            </w:r>
          </w:p>
        </w:tc>
        <w:tc>
          <w:tcPr>
            <w:tcW w:w="1171" w:type="dxa"/>
            <w:tcBorders>
              <w:top w:val="nil"/>
              <w:left w:val="nil"/>
              <w:bottom w:val="single" w:sz="4" w:space="0" w:color="auto"/>
              <w:right w:val="single" w:sz="4" w:space="0" w:color="auto"/>
            </w:tcBorders>
            <w:shd w:val="clear" w:color="auto" w:fill="auto"/>
            <w:noWrap/>
            <w:vAlign w:val="center"/>
            <w:hideMark/>
          </w:tcPr>
          <w:p w14:paraId="5130EC24" w14:textId="77777777" w:rsidR="002D28C5" w:rsidRPr="00930651" w:rsidRDefault="00C2135F"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77</w:t>
            </w:r>
          </w:p>
        </w:tc>
        <w:tc>
          <w:tcPr>
            <w:tcW w:w="1171" w:type="dxa"/>
            <w:tcBorders>
              <w:top w:val="nil"/>
              <w:left w:val="nil"/>
              <w:bottom w:val="single" w:sz="4" w:space="0" w:color="auto"/>
              <w:right w:val="single" w:sz="4" w:space="0" w:color="auto"/>
            </w:tcBorders>
            <w:shd w:val="clear" w:color="auto" w:fill="auto"/>
            <w:noWrap/>
            <w:vAlign w:val="center"/>
            <w:hideMark/>
          </w:tcPr>
          <w:p w14:paraId="5CDFF812"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231</w:t>
            </w:r>
          </w:p>
        </w:tc>
      </w:tr>
      <w:tr w:rsidR="002D28C5" w:rsidRPr="00930651" w14:paraId="7933E65D"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hideMark/>
          </w:tcPr>
          <w:p w14:paraId="0BD1568B"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D. Appui aux Initiatives régionales</w:t>
            </w:r>
          </w:p>
        </w:tc>
        <w:tc>
          <w:tcPr>
            <w:tcW w:w="1170" w:type="dxa"/>
            <w:tcBorders>
              <w:top w:val="nil"/>
              <w:left w:val="nil"/>
              <w:bottom w:val="single" w:sz="4" w:space="0" w:color="auto"/>
              <w:right w:val="single" w:sz="4" w:space="0" w:color="auto"/>
            </w:tcBorders>
            <w:shd w:val="clear" w:color="000000" w:fill="C4D79B"/>
            <w:noWrap/>
            <w:vAlign w:val="center"/>
            <w:hideMark/>
          </w:tcPr>
          <w:p w14:paraId="78F1D27B"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71" w:type="dxa"/>
            <w:tcBorders>
              <w:top w:val="nil"/>
              <w:left w:val="nil"/>
              <w:bottom w:val="single" w:sz="4" w:space="0" w:color="auto"/>
              <w:right w:val="single" w:sz="4" w:space="0" w:color="auto"/>
            </w:tcBorders>
            <w:shd w:val="clear" w:color="000000" w:fill="C4D79B"/>
            <w:noWrap/>
            <w:vAlign w:val="center"/>
            <w:hideMark/>
          </w:tcPr>
          <w:p w14:paraId="7024BD87"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71" w:type="dxa"/>
            <w:tcBorders>
              <w:top w:val="nil"/>
              <w:left w:val="nil"/>
              <w:bottom w:val="single" w:sz="4" w:space="0" w:color="auto"/>
              <w:right w:val="single" w:sz="4" w:space="0" w:color="auto"/>
            </w:tcBorders>
            <w:shd w:val="clear" w:color="000000" w:fill="C4D79B"/>
            <w:noWrap/>
            <w:vAlign w:val="center"/>
            <w:hideMark/>
          </w:tcPr>
          <w:p w14:paraId="4C87E631"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100</w:t>
            </w:r>
          </w:p>
        </w:tc>
        <w:tc>
          <w:tcPr>
            <w:tcW w:w="1171" w:type="dxa"/>
            <w:tcBorders>
              <w:top w:val="nil"/>
              <w:left w:val="nil"/>
              <w:bottom w:val="single" w:sz="4" w:space="0" w:color="auto"/>
              <w:right w:val="single" w:sz="4" w:space="0" w:color="auto"/>
            </w:tcBorders>
            <w:shd w:val="clear" w:color="000000" w:fill="C4D79B"/>
            <w:noWrap/>
            <w:vAlign w:val="center"/>
            <w:hideMark/>
          </w:tcPr>
          <w:p w14:paraId="1496D346" w14:textId="77777777" w:rsidR="002D28C5" w:rsidRPr="00930651" w:rsidRDefault="00C2135F"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300</w:t>
            </w:r>
          </w:p>
        </w:tc>
      </w:tr>
      <w:tr w:rsidR="002D28C5" w:rsidRPr="00930651" w14:paraId="7E1D5314"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1977FE" w14:textId="77777777" w:rsidR="002D28C5" w:rsidRPr="00930651" w:rsidRDefault="002D28C5" w:rsidP="00ED1CB9">
            <w:pPr>
              <w:ind w:left="0" w:firstLine="0"/>
              <w:rPr>
                <w:rFonts w:asciiTheme="minorHAnsi" w:eastAsia="Times New Roman" w:hAnsiTheme="minorHAnsi" w:cs="Arial"/>
                <w:sz w:val="20"/>
                <w:szCs w:val="20"/>
              </w:rPr>
            </w:pPr>
            <w:r w:rsidRPr="00930651">
              <w:rPr>
                <w:rFonts w:asciiTheme="minorHAnsi" w:hAnsiTheme="minorHAnsi"/>
                <w:sz w:val="20"/>
              </w:rPr>
              <w:t>Réseaux et centres régionaux</w:t>
            </w:r>
          </w:p>
        </w:tc>
        <w:tc>
          <w:tcPr>
            <w:tcW w:w="1170" w:type="dxa"/>
            <w:tcBorders>
              <w:top w:val="nil"/>
              <w:left w:val="nil"/>
              <w:bottom w:val="single" w:sz="4" w:space="0" w:color="auto"/>
              <w:right w:val="single" w:sz="4" w:space="0" w:color="auto"/>
            </w:tcBorders>
            <w:shd w:val="clear" w:color="auto" w:fill="auto"/>
            <w:noWrap/>
            <w:vAlign w:val="center"/>
            <w:hideMark/>
          </w:tcPr>
          <w:p w14:paraId="071D2F02"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71" w:type="dxa"/>
            <w:tcBorders>
              <w:top w:val="nil"/>
              <w:left w:val="nil"/>
              <w:bottom w:val="single" w:sz="4" w:space="0" w:color="auto"/>
              <w:right w:val="single" w:sz="4" w:space="0" w:color="auto"/>
            </w:tcBorders>
            <w:shd w:val="clear" w:color="auto" w:fill="auto"/>
            <w:noWrap/>
            <w:vAlign w:val="center"/>
            <w:hideMark/>
          </w:tcPr>
          <w:p w14:paraId="05A10A24"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100</w:t>
            </w:r>
          </w:p>
        </w:tc>
        <w:tc>
          <w:tcPr>
            <w:tcW w:w="1171" w:type="dxa"/>
            <w:tcBorders>
              <w:top w:val="nil"/>
              <w:left w:val="nil"/>
              <w:bottom w:val="single" w:sz="4" w:space="0" w:color="auto"/>
              <w:right w:val="single" w:sz="4" w:space="0" w:color="auto"/>
            </w:tcBorders>
            <w:shd w:val="clear" w:color="auto" w:fill="auto"/>
            <w:noWrap/>
            <w:vAlign w:val="center"/>
            <w:hideMark/>
          </w:tcPr>
          <w:p w14:paraId="0E0EB337" w14:textId="77777777" w:rsidR="002D28C5" w:rsidRPr="00930651" w:rsidRDefault="00C2135F"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100</w:t>
            </w:r>
          </w:p>
        </w:tc>
        <w:tc>
          <w:tcPr>
            <w:tcW w:w="1171" w:type="dxa"/>
            <w:tcBorders>
              <w:top w:val="nil"/>
              <w:left w:val="nil"/>
              <w:bottom w:val="single" w:sz="4" w:space="0" w:color="auto"/>
              <w:right w:val="single" w:sz="4" w:space="0" w:color="auto"/>
            </w:tcBorders>
            <w:shd w:val="clear" w:color="auto" w:fill="auto"/>
            <w:noWrap/>
            <w:vAlign w:val="center"/>
            <w:hideMark/>
          </w:tcPr>
          <w:p w14:paraId="64FDF7EE" w14:textId="77777777" w:rsidR="002D28C5" w:rsidRPr="00930651" w:rsidRDefault="00C2135F"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300</w:t>
            </w:r>
          </w:p>
        </w:tc>
      </w:tr>
      <w:tr w:rsidR="002D28C5" w:rsidRPr="00930651" w14:paraId="79C59E47"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hideMark/>
          </w:tcPr>
          <w:p w14:paraId="46091C81"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E. Sciences et Politiques</w:t>
            </w:r>
          </w:p>
        </w:tc>
        <w:tc>
          <w:tcPr>
            <w:tcW w:w="1170" w:type="dxa"/>
            <w:tcBorders>
              <w:top w:val="nil"/>
              <w:left w:val="nil"/>
              <w:bottom w:val="single" w:sz="4" w:space="0" w:color="auto"/>
              <w:right w:val="single" w:sz="4" w:space="0" w:color="auto"/>
            </w:tcBorders>
            <w:shd w:val="clear" w:color="000000" w:fill="C4D79B"/>
            <w:noWrap/>
            <w:vAlign w:val="center"/>
            <w:hideMark/>
          </w:tcPr>
          <w:p w14:paraId="66974C9D" w14:textId="77777777" w:rsidR="002D28C5" w:rsidRPr="00930651" w:rsidRDefault="00635E05" w:rsidP="00A26E01">
            <w:pPr>
              <w:ind w:left="0" w:firstLine="0"/>
              <w:jc w:val="right"/>
              <w:rPr>
                <w:rFonts w:eastAsia="Times New Roman" w:cs="Arial"/>
                <w:b/>
                <w:bCs/>
                <w:color w:val="000000"/>
                <w:sz w:val="20"/>
                <w:szCs w:val="20"/>
              </w:rPr>
            </w:pPr>
            <w:r w:rsidRPr="00930651">
              <w:rPr>
                <w:b/>
                <w:color w:val="000000"/>
                <w:sz w:val="20"/>
              </w:rPr>
              <w:t>850</w:t>
            </w:r>
          </w:p>
        </w:tc>
        <w:tc>
          <w:tcPr>
            <w:tcW w:w="1171" w:type="dxa"/>
            <w:tcBorders>
              <w:top w:val="nil"/>
              <w:left w:val="nil"/>
              <w:bottom w:val="single" w:sz="4" w:space="0" w:color="auto"/>
              <w:right w:val="single" w:sz="4" w:space="0" w:color="auto"/>
            </w:tcBorders>
            <w:shd w:val="clear" w:color="000000" w:fill="C4D79B"/>
            <w:noWrap/>
            <w:vAlign w:val="center"/>
            <w:hideMark/>
          </w:tcPr>
          <w:p w14:paraId="55631560" w14:textId="77777777" w:rsidR="002D28C5" w:rsidRPr="00930651" w:rsidRDefault="00635E05" w:rsidP="00A26E01">
            <w:pPr>
              <w:ind w:left="0" w:firstLine="0"/>
              <w:jc w:val="right"/>
              <w:rPr>
                <w:rFonts w:eastAsia="Times New Roman" w:cs="Arial"/>
                <w:b/>
                <w:bCs/>
                <w:color w:val="000000"/>
                <w:sz w:val="20"/>
                <w:szCs w:val="20"/>
              </w:rPr>
            </w:pPr>
            <w:r w:rsidRPr="00930651">
              <w:rPr>
                <w:b/>
                <w:color w:val="000000"/>
                <w:sz w:val="20"/>
              </w:rPr>
              <w:t>834</w:t>
            </w:r>
          </w:p>
        </w:tc>
        <w:tc>
          <w:tcPr>
            <w:tcW w:w="1171" w:type="dxa"/>
            <w:tcBorders>
              <w:top w:val="nil"/>
              <w:left w:val="nil"/>
              <w:bottom w:val="single" w:sz="4" w:space="0" w:color="auto"/>
              <w:right w:val="single" w:sz="4" w:space="0" w:color="auto"/>
            </w:tcBorders>
            <w:shd w:val="clear" w:color="000000" w:fill="C4D79B"/>
            <w:noWrap/>
            <w:vAlign w:val="center"/>
            <w:hideMark/>
          </w:tcPr>
          <w:p w14:paraId="5537E4C2" w14:textId="77777777" w:rsidR="002D28C5" w:rsidRPr="00930651" w:rsidRDefault="007B7B47" w:rsidP="00A26E01">
            <w:pPr>
              <w:ind w:left="0" w:firstLine="0"/>
              <w:jc w:val="right"/>
              <w:rPr>
                <w:rFonts w:eastAsia="Times New Roman" w:cs="Arial"/>
                <w:b/>
                <w:bCs/>
                <w:color w:val="000000"/>
                <w:sz w:val="20"/>
                <w:szCs w:val="20"/>
              </w:rPr>
            </w:pPr>
            <w:r w:rsidRPr="00930651">
              <w:rPr>
                <w:b/>
                <w:color w:val="000000"/>
                <w:sz w:val="20"/>
              </w:rPr>
              <w:t>843</w:t>
            </w:r>
          </w:p>
        </w:tc>
        <w:tc>
          <w:tcPr>
            <w:tcW w:w="1171" w:type="dxa"/>
            <w:tcBorders>
              <w:top w:val="nil"/>
              <w:left w:val="nil"/>
              <w:bottom w:val="single" w:sz="4" w:space="0" w:color="auto"/>
              <w:right w:val="single" w:sz="4" w:space="0" w:color="auto"/>
            </w:tcBorders>
            <w:shd w:val="clear" w:color="000000" w:fill="C4D79B"/>
            <w:noWrap/>
            <w:vAlign w:val="center"/>
            <w:hideMark/>
          </w:tcPr>
          <w:p w14:paraId="5C4FBAFF" w14:textId="77777777" w:rsidR="002D28C5" w:rsidRPr="00930651" w:rsidRDefault="00C2135F" w:rsidP="00A26E01">
            <w:pPr>
              <w:ind w:left="0" w:firstLine="0"/>
              <w:jc w:val="right"/>
              <w:rPr>
                <w:rFonts w:eastAsia="Times New Roman" w:cs="Arial"/>
                <w:b/>
                <w:bCs/>
                <w:color w:val="000000"/>
                <w:sz w:val="20"/>
                <w:szCs w:val="20"/>
              </w:rPr>
            </w:pPr>
            <w:r w:rsidRPr="00930651">
              <w:rPr>
                <w:b/>
                <w:color w:val="000000"/>
                <w:sz w:val="20"/>
              </w:rPr>
              <w:t>2 527</w:t>
            </w:r>
          </w:p>
        </w:tc>
      </w:tr>
      <w:tr w:rsidR="002D28C5" w:rsidRPr="00930651" w14:paraId="663CAC3F"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55FB3C"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70" w:type="dxa"/>
            <w:tcBorders>
              <w:top w:val="nil"/>
              <w:left w:val="nil"/>
              <w:bottom w:val="single" w:sz="4" w:space="0" w:color="auto"/>
              <w:right w:val="single" w:sz="4" w:space="0" w:color="auto"/>
            </w:tcBorders>
            <w:shd w:val="clear" w:color="auto" w:fill="auto"/>
            <w:noWrap/>
            <w:vAlign w:val="center"/>
            <w:hideMark/>
          </w:tcPr>
          <w:p w14:paraId="569406EF" w14:textId="77777777" w:rsidR="002D28C5" w:rsidRPr="00930651" w:rsidRDefault="00635E05" w:rsidP="00A26E01">
            <w:pPr>
              <w:ind w:left="0" w:firstLine="0"/>
              <w:jc w:val="right"/>
              <w:rPr>
                <w:rFonts w:eastAsia="Times New Roman" w:cs="Arial"/>
                <w:sz w:val="20"/>
                <w:szCs w:val="20"/>
              </w:rPr>
            </w:pPr>
            <w:r w:rsidRPr="00930651">
              <w:rPr>
                <w:sz w:val="20"/>
              </w:rPr>
              <w:t>657</w:t>
            </w:r>
          </w:p>
        </w:tc>
        <w:tc>
          <w:tcPr>
            <w:tcW w:w="1171" w:type="dxa"/>
            <w:tcBorders>
              <w:top w:val="nil"/>
              <w:left w:val="nil"/>
              <w:bottom w:val="single" w:sz="4" w:space="0" w:color="auto"/>
              <w:right w:val="single" w:sz="4" w:space="0" w:color="auto"/>
            </w:tcBorders>
            <w:shd w:val="clear" w:color="auto" w:fill="auto"/>
            <w:noWrap/>
            <w:vAlign w:val="center"/>
            <w:hideMark/>
          </w:tcPr>
          <w:p w14:paraId="07DAEC60" w14:textId="77777777" w:rsidR="002D28C5" w:rsidRPr="00930651" w:rsidRDefault="00635E05" w:rsidP="00A26E01">
            <w:pPr>
              <w:ind w:left="0" w:firstLine="0"/>
              <w:jc w:val="right"/>
              <w:rPr>
                <w:rFonts w:eastAsia="Times New Roman" w:cs="Arial"/>
                <w:sz w:val="20"/>
                <w:szCs w:val="20"/>
              </w:rPr>
            </w:pPr>
            <w:r w:rsidRPr="00930651">
              <w:rPr>
                <w:sz w:val="20"/>
              </w:rPr>
              <w:t>661</w:t>
            </w:r>
          </w:p>
        </w:tc>
        <w:tc>
          <w:tcPr>
            <w:tcW w:w="1171" w:type="dxa"/>
            <w:tcBorders>
              <w:top w:val="nil"/>
              <w:left w:val="nil"/>
              <w:bottom w:val="single" w:sz="4" w:space="0" w:color="auto"/>
              <w:right w:val="single" w:sz="4" w:space="0" w:color="auto"/>
            </w:tcBorders>
            <w:shd w:val="clear" w:color="auto" w:fill="auto"/>
            <w:noWrap/>
            <w:vAlign w:val="center"/>
            <w:hideMark/>
          </w:tcPr>
          <w:p w14:paraId="74AAC16A" w14:textId="77777777" w:rsidR="002D28C5" w:rsidRPr="00930651" w:rsidRDefault="00635E05" w:rsidP="00A26E01">
            <w:pPr>
              <w:ind w:left="0" w:firstLine="0"/>
              <w:jc w:val="right"/>
              <w:rPr>
                <w:rFonts w:eastAsia="Times New Roman" w:cs="Arial"/>
                <w:sz w:val="20"/>
                <w:szCs w:val="20"/>
              </w:rPr>
            </w:pPr>
            <w:r w:rsidRPr="00930651">
              <w:rPr>
                <w:sz w:val="20"/>
              </w:rPr>
              <w:t>670</w:t>
            </w:r>
          </w:p>
        </w:tc>
        <w:tc>
          <w:tcPr>
            <w:tcW w:w="1171" w:type="dxa"/>
            <w:tcBorders>
              <w:top w:val="nil"/>
              <w:left w:val="nil"/>
              <w:bottom w:val="single" w:sz="4" w:space="0" w:color="auto"/>
              <w:right w:val="single" w:sz="4" w:space="0" w:color="auto"/>
            </w:tcBorders>
            <w:shd w:val="clear" w:color="auto" w:fill="auto"/>
            <w:noWrap/>
            <w:vAlign w:val="center"/>
            <w:hideMark/>
          </w:tcPr>
          <w:p w14:paraId="55CAF598" w14:textId="77777777" w:rsidR="002D28C5" w:rsidRPr="00930651" w:rsidRDefault="00C2135F" w:rsidP="00A26E01">
            <w:pPr>
              <w:ind w:left="0" w:firstLine="0"/>
              <w:jc w:val="right"/>
              <w:rPr>
                <w:rFonts w:eastAsia="Times New Roman" w:cs="Arial"/>
                <w:sz w:val="20"/>
                <w:szCs w:val="20"/>
              </w:rPr>
            </w:pPr>
            <w:r w:rsidRPr="00930651">
              <w:rPr>
                <w:sz w:val="20"/>
              </w:rPr>
              <w:t>1 988</w:t>
            </w:r>
          </w:p>
        </w:tc>
      </w:tr>
      <w:tr w:rsidR="002D28C5" w:rsidRPr="00930651" w14:paraId="743C20B7"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0A8D988"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Mise en œuvre du programme du GEST</w:t>
            </w:r>
          </w:p>
        </w:tc>
        <w:tc>
          <w:tcPr>
            <w:tcW w:w="1170" w:type="dxa"/>
            <w:tcBorders>
              <w:top w:val="nil"/>
              <w:left w:val="nil"/>
              <w:bottom w:val="single" w:sz="4" w:space="0" w:color="auto"/>
              <w:right w:val="single" w:sz="4" w:space="0" w:color="auto"/>
            </w:tcBorders>
            <w:shd w:val="clear" w:color="auto" w:fill="auto"/>
            <w:noWrap/>
            <w:vAlign w:val="center"/>
            <w:hideMark/>
          </w:tcPr>
          <w:p w14:paraId="28AE1EC8" w14:textId="77777777" w:rsidR="002D28C5" w:rsidRPr="00930651" w:rsidRDefault="00C2135F" w:rsidP="00A26E01">
            <w:pPr>
              <w:ind w:left="0" w:firstLine="0"/>
              <w:jc w:val="right"/>
              <w:rPr>
                <w:rFonts w:eastAsia="Times New Roman" w:cs="Arial"/>
                <w:sz w:val="20"/>
                <w:szCs w:val="20"/>
              </w:rPr>
            </w:pPr>
            <w:r w:rsidRPr="00930651">
              <w:rPr>
                <w:sz w:val="20"/>
              </w:rPr>
              <w:t>40</w:t>
            </w:r>
          </w:p>
        </w:tc>
        <w:tc>
          <w:tcPr>
            <w:tcW w:w="1171" w:type="dxa"/>
            <w:tcBorders>
              <w:top w:val="nil"/>
              <w:left w:val="nil"/>
              <w:bottom w:val="single" w:sz="4" w:space="0" w:color="auto"/>
              <w:right w:val="single" w:sz="4" w:space="0" w:color="auto"/>
            </w:tcBorders>
            <w:shd w:val="clear" w:color="auto" w:fill="auto"/>
            <w:noWrap/>
            <w:vAlign w:val="center"/>
            <w:hideMark/>
          </w:tcPr>
          <w:p w14:paraId="3ADFB978" w14:textId="77777777" w:rsidR="002D28C5" w:rsidRPr="00930651" w:rsidRDefault="00C2135F" w:rsidP="00A26E01">
            <w:pPr>
              <w:ind w:left="0" w:firstLine="0"/>
              <w:jc w:val="right"/>
              <w:rPr>
                <w:rFonts w:eastAsia="Times New Roman" w:cs="Arial"/>
                <w:sz w:val="20"/>
                <w:szCs w:val="20"/>
              </w:rPr>
            </w:pPr>
            <w:r w:rsidRPr="00930651">
              <w:rPr>
                <w:sz w:val="20"/>
              </w:rPr>
              <w:t>40</w:t>
            </w:r>
          </w:p>
        </w:tc>
        <w:tc>
          <w:tcPr>
            <w:tcW w:w="1171" w:type="dxa"/>
            <w:tcBorders>
              <w:top w:val="nil"/>
              <w:left w:val="nil"/>
              <w:bottom w:val="single" w:sz="4" w:space="0" w:color="auto"/>
              <w:right w:val="single" w:sz="4" w:space="0" w:color="auto"/>
            </w:tcBorders>
            <w:shd w:val="clear" w:color="auto" w:fill="auto"/>
            <w:noWrap/>
            <w:vAlign w:val="center"/>
            <w:hideMark/>
          </w:tcPr>
          <w:p w14:paraId="33DB1021" w14:textId="77777777" w:rsidR="002D28C5" w:rsidRPr="00930651" w:rsidRDefault="00C2135F" w:rsidP="00A26E01">
            <w:pPr>
              <w:ind w:left="0" w:firstLine="0"/>
              <w:jc w:val="right"/>
              <w:rPr>
                <w:rFonts w:eastAsia="Times New Roman" w:cs="Arial"/>
                <w:sz w:val="20"/>
                <w:szCs w:val="20"/>
              </w:rPr>
            </w:pPr>
            <w:r w:rsidRPr="00930651">
              <w:rPr>
                <w:sz w:val="20"/>
              </w:rPr>
              <w:t>40</w:t>
            </w:r>
          </w:p>
        </w:tc>
        <w:tc>
          <w:tcPr>
            <w:tcW w:w="1171" w:type="dxa"/>
            <w:tcBorders>
              <w:top w:val="nil"/>
              <w:left w:val="nil"/>
              <w:bottom w:val="single" w:sz="4" w:space="0" w:color="auto"/>
              <w:right w:val="single" w:sz="4" w:space="0" w:color="auto"/>
            </w:tcBorders>
            <w:shd w:val="clear" w:color="auto" w:fill="auto"/>
            <w:noWrap/>
            <w:vAlign w:val="center"/>
            <w:hideMark/>
          </w:tcPr>
          <w:p w14:paraId="76068C2A" w14:textId="77777777" w:rsidR="002D28C5" w:rsidRPr="00930651" w:rsidRDefault="00C2135F" w:rsidP="00A26E01">
            <w:pPr>
              <w:ind w:left="0" w:firstLine="0"/>
              <w:jc w:val="right"/>
              <w:rPr>
                <w:rFonts w:eastAsia="Times New Roman" w:cs="Arial"/>
                <w:sz w:val="20"/>
                <w:szCs w:val="20"/>
              </w:rPr>
            </w:pPr>
            <w:r w:rsidRPr="00930651">
              <w:rPr>
                <w:sz w:val="20"/>
              </w:rPr>
              <w:t>120</w:t>
            </w:r>
          </w:p>
        </w:tc>
      </w:tr>
      <w:tr w:rsidR="00C2135F" w:rsidRPr="00930651" w14:paraId="77CF2F03"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41BFF741" w14:textId="77777777" w:rsidR="00C2135F" w:rsidRPr="00930651" w:rsidRDefault="00C2135F" w:rsidP="00A26E01">
            <w:pPr>
              <w:ind w:left="0" w:firstLine="0"/>
              <w:rPr>
                <w:rFonts w:asciiTheme="minorHAnsi" w:eastAsia="Times New Roman" w:hAnsiTheme="minorHAnsi" w:cs="Arial"/>
                <w:sz w:val="20"/>
                <w:szCs w:val="20"/>
              </w:rPr>
            </w:pPr>
            <w:r w:rsidRPr="00930651">
              <w:rPr>
                <w:rFonts w:asciiTheme="minorHAnsi" w:hAnsiTheme="minorHAnsi"/>
                <w:sz w:val="20"/>
              </w:rPr>
              <w:t>Déplacement du Président du GEST</w:t>
            </w:r>
          </w:p>
        </w:tc>
        <w:tc>
          <w:tcPr>
            <w:tcW w:w="1170" w:type="dxa"/>
            <w:tcBorders>
              <w:top w:val="nil"/>
              <w:left w:val="nil"/>
              <w:bottom w:val="single" w:sz="4" w:space="0" w:color="auto"/>
              <w:right w:val="single" w:sz="4" w:space="0" w:color="auto"/>
            </w:tcBorders>
            <w:shd w:val="clear" w:color="auto" w:fill="auto"/>
            <w:noWrap/>
            <w:vAlign w:val="center"/>
          </w:tcPr>
          <w:p w14:paraId="7C7D4C4E" w14:textId="77777777" w:rsidR="00C2135F" w:rsidRPr="00930651" w:rsidDel="00C2135F" w:rsidRDefault="00C2135F" w:rsidP="00A26E01">
            <w:pPr>
              <w:ind w:left="0" w:firstLine="0"/>
              <w:jc w:val="right"/>
              <w:rPr>
                <w:rFonts w:eastAsia="Times New Roman" w:cs="Arial"/>
                <w:sz w:val="20"/>
                <w:szCs w:val="20"/>
              </w:rPr>
            </w:pPr>
            <w:r w:rsidRPr="00930651">
              <w:rPr>
                <w:sz w:val="20"/>
              </w:rPr>
              <w:t>5</w:t>
            </w:r>
          </w:p>
        </w:tc>
        <w:tc>
          <w:tcPr>
            <w:tcW w:w="1171" w:type="dxa"/>
            <w:tcBorders>
              <w:top w:val="nil"/>
              <w:left w:val="nil"/>
              <w:bottom w:val="single" w:sz="4" w:space="0" w:color="auto"/>
              <w:right w:val="single" w:sz="4" w:space="0" w:color="auto"/>
            </w:tcBorders>
            <w:shd w:val="clear" w:color="auto" w:fill="auto"/>
            <w:noWrap/>
            <w:vAlign w:val="center"/>
          </w:tcPr>
          <w:p w14:paraId="6DE5486A" w14:textId="77777777" w:rsidR="00C2135F" w:rsidRPr="00930651" w:rsidDel="00C2135F" w:rsidRDefault="00C2135F" w:rsidP="00A26E01">
            <w:pPr>
              <w:ind w:left="0" w:firstLine="0"/>
              <w:jc w:val="right"/>
              <w:rPr>
                <w:rFonts w:eastAsia="Times New Roman" w:cs="Arial"/>
                <w:sz w:val="20"/>
                <w:szCs w:val="20"/>
              </w:rPr>
            </w:pPr>
            <w:r w:rsidRPr="00930651">
              <w:rPr>
                <w:sz w:val="20"/>
              </w:rPr>
              <w:t>5</w:t>
            </w:r>
          </w:p>
        </w:tc>
        <w:tc>
          <w:tcPr>
            <w:tcW w:w="1171" w:type="dxa"/>
            <w:tcBorders>
              <w:top w:val="nil"/>
              <w:left w:val="nil"/>
              <w:bottom w:val="single" w:sz="4" w:space="0" w:color="auto"/>
              <w:right w:val="single" w:sz="4" w:space="0" w:color="auto"/>
            </w:tcBorders>
            <w:shd w:val="clear" w:color="auto" w:fill="auto"/>
            <w:noWrap/>
            <w:vAlign w:val="center"/>
          </w:tcPr>
          <w:p w14:paraId="101802EC" w14:textId="77777777" w:rsidR="00C2135F" w:rsidRPr="00930651" w:rsidDel="00C2135F" w:rsidRDefault="00C2135F" w:rsidP="00A26E01">
            <w:pPr>
              <w:ind w:left="0" w:firstLine="0"/>
              <w:jc w:val="right"/>
              <w:rPr>
                <w:rFonts w:eastAsia="Times New Roman" w:cs="Arial"/>
                <w:sz w:val="20"/>
                <w:szCs w:val="20"/>
              </w:rPr>
            </w:pPr>
            <w:r w:rsidRPr="00930651">
              <w:rPr>
                <w:sz w:val="20"/>
              </w:rPr>
              <w:t>5</w:t>
            </w:r>
          </w:p>
        </w:tc>
        <w:tc>
          <w:tcPr>
            <w:tcW w:w="1171" w:type="dxa"/>
            <w:tcBorders>
              <w:top w:val="nil"/>
              <w:left w:val="nil"/>
              <w:bottom w:val="single" w:sz="4" w:space="0" w:color="auto"/>
              <w:right w:val="single" w:sz="4" w:space="0" w:color="auto"/>
            </w:tcBorders>
            <w:shd w:val="clear" w:color="auto" w:fill="auto"/>
            <w:noWrap/>
            <w:vAlign w:val="center"/>
          </w:tcPr>
          <w:p w14:paraId="0434C751" w14:textId="77777777" w:rsidR="00C2135F" w:rsidRPr="00930651" w:rsidDel="00C2135F" w:rsidRDefault="00C2135F" w:rsidP="00A26E01">
            <w:pPr>
              <w:ind w:left="0" w:firstLine="0"/>
              <w:jc w:val="right"/>
              <w:rPr>
                <w:rFonts w:eastAsia="Times New Roman" w:cs="Arial"/>
                <w:sz w:val="20"/>
                <w:szCs w:val="20"/>
              </w:rPr>
            </w:pPr>
            <w:r w:rsidRPr="00930651">
              <w:rPr>
                <w:sz w:val="20"/>
              </w:rPr>
              <w:t>15</w:t>
            </w:r>
          </w:p>
        </w:tc>
      </w:tr>
      <w:tr w:rsidR="002D28C5" w:rsidRPr="00930651" w14:paraId="056C3A35"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24B75F5"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Réunions du GEST</w:t>
            </w:r>
          </w:p>
        </w:tc>
        <w:tc>
          <w:tcPr>
            <w:tcW w:w="1170" w:type="dxa"/>
            <w:tcBorders>
              <w:top w:val="nil"/>
              <w:left w:val="nil"/>
              <w:bottom w:val="single" w:sz="4" w:space="0" w:color="auto"/>
              <w:right w:val="single" w:sz="4" w:space="0" w:color="auto"/>
            </w:tcBorders>
            <w:shd w:val="clear" w:color="auto" w:fill="auto"/>
            <w:noWrap/>
            <w:vAlign w:val="center"/>
            <w:hideMark/>
          </w:tcPr>
          <w:p w14:paraId="03F91931" w14:textId="77777777" w:rsidR="002D28C5" w:rsidRPr="00930651" w:rsidRDefault="002D28C5" w:rsidP="00A26E01">
            <w:pPr>
              <w:ind w:left="0" w:firstLine="0"/>
              <w:jc w:val="right"/>
              <w:rPr>
                <w:rFonts w:eastAsia="Times New Roman" w:cs="Arial"/>
                <w:sz w:val="20"/>
                <w:szCs w:val="20"/>
              </w:rPr>
            </w:pPr>
            <w:r w:rsidRPr="00930651">
              <w:rPr>
                <w:sz w:val="2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06481078" w14:textId="77777777" w:rsidR="002D28C5" w:rsidRPr="00930651" w:rsidRDefault="002D28C5" w:rsidP="00A26E01">
            <w:pPr>
              <w:ind w:left="0" w:firstLine="0"/>
              <w:jc w:val="right"/>
              <w:rPr>
                <w:rFonts w:eastAsia="Times New Roman" w:cs="Arial"/>
                <w:sz w:val="20"/>
                <w:szCs w:val="20"/>
              </w:rPr>
            </w:pPr>
            <w:r w:rsidRPr="00930651">
              <w:rPr>
                <w:sz w:val="2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15AC90C1" w14:textId="77777777" w:rsidR="002D28C5" w:rsidRPr="00930651" w:rsidRDefault="002D28C5" w:rsidP="00A26E01">
            <w:pPr>
              <w:ind w:left="0" w:firstLine="0"/>
              <w:jc w:val="right"/>
              <w:rPr>
                <w:rFonts w:eastAsia="Times New Roman" w:cs="Arial"/>
                <w:sz w:val="20"/>
                <w:szCs w:val="20"/>
              </w:rPr>
            </w:pPr>
            <w:r w:rsidRPr="00930651">
              <w:rPr>
                <w:sz w:val="2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183A08B1" w14:textId="77777777" w:rsidR="002D28C5" w:rsidRPr="00930651" w:rsidRDefault="002D28C5" w:rsidP="00A26E01">
            <w:pPr>
              <w:ind w:left="0" w:firstLine="0"/>
              <w:jc w:val="right"/>
              <w:rPr>
                <w:rFonts w:eastAsia="Times New Roman" w:cs="Arial"/>
                <w:sz w:val="20"/>
                <w:szCs w:val="20"/>
              </w:rPr>
            </w:pPr>
            <w:r w:rsidRPr="00930651">
              <w:rPr>
                <w:sz w:val="20"/>
              </w:rPr>
              <w:t>150</w:t>
            </w:r>
          </w:p>
        </w:tc>
      </w:tr>
      <w:tr w:rsidR="002D28C5" w:rsidRPr="00930651" w14:paraId="48308AD0"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401B6CE" w14:textId="4FBB628E"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Service d</w:t>
            </w:r>
            <w:r w:rsidR="00101E52">
              <w:rPr>
                <w:rFonts w:asciiTheme="minorHAnsi" w:hAnsiTheme="minorHAnsi"/>
                <w:sz w:val="20"/>
              </w:rPr>
              <w:t>’</w:t>
            </w:r>
            <w:r w:rsidRPr="00930651">
              <w:rPr>
                <w:rFonts w:asciiTheme="minorHAnsi" w:hAnsiTheme="minorHAnsi"/>
                <w:sz w:val="20"/>
              </w:rPr>
              <w:t>information sur les Sites Ramsar (entretien et développement)</w:t>
            </w:r>
          </w:p>
        </w:tc>
        <w:tc>
          <w:tcPr>
            <w:tcW w:w="1170" w:type="dxa"/>
            <w:tcBorders>
              <w:top w:val="nil"/>
              <w:left w:val="nil"/>
              <w:bottom w:val="single" w:sz="4" w:space="0" w:color="auto"/>
              <w:right w:val="single" w:sz="4" w:space="0" w:color="auto"/>
            </w:tcBorders>
            <w:shd w:val="clear" w:color="auto" w:fill="auto"/>
            <w:noWrap/>
            <w:vAlign w:val="center"/>
            <w:hideMark/>
          </w:tcPr>
          <w:p w14:paraId="70CED579" w14:textId="77777777" w:rsidR="002D28C5" w:rsidRPr="00930651" w:rsidRDefault="00C2135F" w:rsidP="00A26E01">
            <w:pPr>
              <w:ind w:left="0" w:firstLine="0"/>
              <w:jc w:val="right"/>
              <w:rPr>
                <w:rFonts w:eastAsia="Times New Roman" w:cs="Arial"/>
                <w:sz w:val="20"/>
                <w:szCs w:val="20"/>
              </w:rPr>
            </w:pPr>
            <w:r w:rsidRPr="00930651">
              <w:rPr>
                <w:sz w:val="20"/>
              </w:rPr>
              <w:t>80</w:t>
            </w:r>
          </w:p>
        </w:tc>
        <w:tc>
          <w:tcPr>
            <w:tcW w:w="1171" w:type="dxa"/>
            <w:tcBorders>
              <w:top w:val="nil"/>
              <w:left w:val="nil"/>
              <w:bottom w:val="single" w:sz="4" w:space="0" w:color="auto"/>
              <w:right w:val="single" w:sz="4" w:space="0" w:color="auto"/>
            </w:tcBorders>
            <w:shd w:val="clear" w:color="auto" w:fill="auto"/>
            <w:noWrap/>
            <w:vAlign w:val="center"/>
            <w:hideMark/>
          </w:tcPr>
          <w:p w14:paraId="49E07E97" w14:textId="77777777" w:rsidR="002D28C5" w:rsidRPr="00930651" w:rsidRDefault="00C2135F" w:rsidP="00A26E01">
            <w:pPr>
              <w:ind w:left="0" w:firstLine="0"/>
              <w:jc w:val="right"/>
              <w:rPr>
                <w:rFonts w:eastAsia="Times New Roman" w:cs="Arial"/>
                <w:sz w:val="20"/>
                <w:szCs w:val="20"/>
              </w:rPr>
            </w:pPr>
            <w:r w:rsidRPr="00930651">
              <w:rPr>
                <w:sz w:val="20"/>
              </w:rPr>
              <w:t>60</w:t>
            </w:r>
          </w:p>
        </w:tc>
        <w:tc>
          <w:tcPr>
            <w:tcW w:w="1171" w:type="dxa"/>
            <w:tcBorders>
              <w:top w:val="nil"/>
              <w:left w:val="nil"/>
              <w:bottom w:val="single" w:sz="4" w:space="0" w:color="auto"/>
              <w:right w:val="single" w:sz="4" w:space="0" w:color="auto"/>
            </w:tcBorders>
            <w:shd w:val="clear" w:color="auto" w:fill="auto"/>
            <w:noWrap/>
            <w:vAlign w:val="center"/>
            <w:hideMark/>
          </w:tcPr>
          <w:p w14:paraId="4465359B" w14:textId="77777777" w:rsidR="002D28C5" w:rsidRPr="00930651" w:rsidRDefault="00C2135F" w:rsidP="00A26E01">
            <w:pPr>
              <w:ind w:left="0" w:firstLine="0"/>
              <w:jc w:val="right"/>
              <w:rPr>
                <w:rFonts w:eastAsia="Times New Roman" w:cs="Arial"/>
                <w:sz w:val="20"/>
                <w:szCs w:val="20"/>
              </w:rPr>
            </w:pPr>
            <w:r w:rsidRPr="00930651">
              <w:rPr>
                <w:sz w:val="20"/>
              </w:rPr>
              <w:t>60</w:t>
            </w:r>
          </w:p>
        </w:tc>
        <w:tc>
          <w:tcPr>
            <w:tcW w:w="1171" w:type="dxa"/>
            <w:tcBorders>
              <w:top w:val="nil"/>
              <w:left w:val="nil"/>
              <w:bottom w:val="single" w:sz="4" w:space="0" w:color="auto"/>
              <w:right w:val="single" w:sz="4" w:space="0" w:color="auto"/>
            </w:tcBorders>
            <w:shd w:val="clear" w:color="auto" w:fill="auto"/>
            <w:noWrap/>
            <w:vAlign w:val="center"/>
            <w:hideMark/>
          </w:tcPr>
          <w:p w14:paraId="79C65179" w14:textId="77777777" w:rsidR="002D28C5" w:rsidRPr="00930651" w:rsidRDefault="00C2135F" w:rsidP="00A26E01">
            <w:pPr>
              <w:ind w:left="0" w:firstLine="0"/>
              <w:jc w:val="right"/>
              <w:rPr>
                <w:rFonts w:eastAsia="Times New Roman" w:cs="Arial"/>
                <w:sz w:val="20"/>
                <w:szCs w:val="20"/>
              </w:rPr>
            </w:pPr>
            <w:r w:rsidRPr="00930651">
              <w:rPr>
                <w:sz w:val="20"/>
              </w:rPr>
              <w:t>200</w:t>
            </w:r>
          </w:p>
        </w:tc>
      </w:tr>
      <w:tr w:rsidR="00C2135F" w:rsidRPr="00930651" w14:paraId="0D28773E"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094A3125" w14:textId="77777777" w:rsidR="00C2135F" w:rsidRPr="00930651" w:rsidRDefault="00C2135F" w:rsidP="00A26E01">
            <w:pPr>
              <w:ind w:left="0" w:firstLine="0"/>
              <w:rPr>
                <w:rFonts w:asciiTheme="minorHAnsi" w:eastAsia="Times New Roman" w:hAnsiTheme="minorHAnsi" w:cs="Arial"/>
                <w:sz w:val="20"/>
                <w:szCs w:val="20"/>
              </w:rPr>
            </w:pPr>
            <w:r w:rsidRPr="00930651">
              <w:rPr>
                <w:rFonts w:asciiTheme="minorHAnsi" w:hAnsiTheme="minorHAnsi"/>
                <w:sz w:val="20"/>
              </w:rPr>
              <w:t>Voyages</w:t>
            </w:r>
          </w:p>
        </w:tc>
        <w:tc>
          <w:tcPr>
            <w:tcW w:w="1170" w:type="dxa"/>
            <w:tcBorders>
              <w:top w:val="nil"/>
              <w:left w:val="nil"/>
              <w:bottom w:val="single" w:sz="4" w:space="0" w:color="auto"/>
              <w:right w:val="single" w:sz="4" w:space="0" w:color="auto"/>
            </w:tcBorders>
            <w:shd w:val="clear" w:color="auto" w:fill="auto"/>
            <w:noWrap/>
            <w:vAlign w:val="center"/>
          </w:tcPr>
          <w:p w14:paraId="7E4C1B46" w14:textId="77777777" w:rsidR="00C2135F" w:rsidRPr="00930651" w:rsidDel="00C2135F" w:rsidRDefault="00C2135F" w:rsidP="00A26E01">
            <w:pPr>
              <w:ind w:left="0" w:firstLine="0"/>
              <w:jc w:val="right"/>
              <w:rPr>
                <w:rFonts w:eastAsia="Times New Roman" w:cs="Arial"/>
                <w:sz w:val="20"/>
                <w:szCs w:val="20"/>
              </w:rPr>
            </w:pPr>
            <w:r w:rsidRPr="00930651">
              <w:rPr>
                <w:sz w:val="20"/>
              </w:rPr>
              <w:t>18</w:t>
            </w:r>
          </w:p>
        </w:tc>
        <w:tc>
          <w:tcPr>
            <w:tcW w:w="1171" w:type="dxa"/>
            <w:tcBorders>
              <w:top w:val="nil"/>
              <w:left w:val="nil"/>
              <w:bottom w:val="single" w:sz="4" w:space="0" w:color="auto"/>
              <w:right w:val="single" w:sz="4" w:space="0" w:color="auto"/>
            </w:tcBorders>
            <w:shd w:val="clear" w:color="auto" w:fill="auto"/>
            <w:noWrap/>
            <w:vAlign w:val="center"/>
          </w:tcPr>
          <w:p w14:paraId="48BF4D88" w14:textId="77777777" w:rsidR="00C2135F" w:rsidRPr="00930651" w:rsidDel="00C2135F" w:rsidRDefault="00C2135F" w:rsidP="00A26E01">
            <w:pPr>
              <w:ind w:left="0" w:firstLine="0"/>
              <w:jc w:val="right"/>
              <w:rPr>
                <w:rFonts w:eastAsia="Times New Roman" w:cs="Arial"/>
                <w:sz w:val="20"/>
                <w:szCs w:val="20"/>
              </w:rPr>
            </w:pPr>
            <w:r w:rsidRPr="00930651">
              <w:rPr>
                <w:sz w:val="20"/>
              </w:rPr>
              <w:t>18</w:t>
            </w:r>
          </w:p>
        </w:tc>
        <w:tc>
          <w:tcPr>
            <w:tcW w:w="1171" w:type="dxa"/>
            <w:tcBorders>
              <w:top w:val="nil"/>
              <w:left w:val="nil"/>
              <w:bottom w:val="single" w:sz="4" w:space="0" w:color="auto"/>
              <w:right w:val="single" w:sz="4" w:space="0" w:color="auto"/>
            </w:tcBorders>
            <w:shd w:val="clear" w:color="auto" w:fill="auto"/>
            <w:noWrap/>
            <w:vAlign w:val="center"/>
          </w:tcPr>
          <w:p w14:paraId="6E0E330B" w14:textId="77777777" w:rsidR="00C2135F" w:rsidRPr="00930651" w:rsidDel="00C2135F" w:rsidRDefault="00C2135F" w:rsidP="00A26E01">
            <w:pPr>
              <w:ind w:left="0" w:firstLine="0"/>
              <w:jc w:val="right"/>
              <w:rPr>
                <w:rFonts w:eastAsia="Times New Roman" w:cs="Arial"/>
                <w:sz w:val="20"/>
                <w:szCs w:val="20"/>
              </w:rPr>
            </w:pPr>
            <w:r w:rsidRPr="00930651">
              <w:rPr>
                <w:sz w:val="20"/>
              </w:rPr>
              <w:t>18</w:t>
            </w:r>
          </w:p>
        </w:tc>
        <w:tc>
          <w:tcPr>
            <w:tcW w:w="1171" w:type="dxa"/>
            <w:tcBorders>
              <w:top w:val="nil"/>
              <w:left w:val="nil"/>
              <w:bottom w:val="single" w:sz="4" w:space="0" w:color="auto"/>
              <w:right w:val="single" w:sz="4" w:space="0" w:color="auto"/>
            </w:tcBorders>
            <w:shd w:val="clear" w:color="auto" w:fill="auto"/>
            <w:noWrap/>
            <w:vAlign w:val="center"/>
          </w:tcPr>
          <w:p w14:paraId="31C928A1" w14:textId="77777777" w:rsidR="00C2135F" w:rsidRPr="00930651" w:rsidDel="00C2135F" w:rsidRDefault="00C2135F" w:rsidP="00A26E01">
            <w:pPr>
              <w:ind w:left="0" w:firstLine="0"/>
              <w:jc w:val="right"/>
              <w:rPr>
                <w:rFonts w:eastAsia="Times New Roman" w:cs="Arial"/>
                <w:sz w:val="20"/>
                <w:szCs w:val="20"/>
              </w:rPr>
            </w:pPr>
            <w:r w:rsidRPr="00930651">
              <w:rPr>
                <w:sz w:val="20"/>
              </w:rPr>
              <w:t>54</w:t>
            </w:r>
          </w:p>
        </w:tc>
      </w:tr>
      <w:tr w:rsidR="002D28C5" w:rsidRPr="00930651" w14:paraId="5C50EB96"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hideMark/>
          </w:tcPr>
          <w:p w14:paraId="64733553"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G. Administration</w:t>
            </w:r>
          </w:p>
        </w:tc>
        <w:tc>
          <w:tcPr>
            <w:tcW w:w="1170" w:type="dxa"/>
            <w:tcBorders>
              <w:top w:val="nil"/>
              <w:left w:val="nil"/>
              <w:bottom w:val="single" w:sz="4" w:space="0" w:color="auto"/>
              <w:right w:val="single" w:sz="4" w:space="0" w:color="auto"/>
            </w:tcBorders>
            <w:shd w:val="clear" w:color="000000" w:fill="C4D79B"/>
            <w:noWrap/>
            <w:vAlign w:val="center"/>
            <w:hideMark/>
          </w:tcPr>
          <w:p w14:paraId="32D1AD03" w14:textId="77777777" w:rsidR="002D28C5" w:rsidRPr="00930651" w:rsidRDefault="00635E05" w:rsidP="00A26E01">
            <w:pPr>
              <w:ind w:left="0" w:firstLine="0"/>
              <w:jc w:val="right"/>
              <w:rPr>
                <w:rFonts w:eastAsia="Times New Roman" w:cs="Arial"/>
                <w:b/>
                <w:bCs/>
                <w:color w:val="000000"/>
                <w:sz w:val="20"/>
                <w:szCs w:val="20"/>
              </w:rPr>
            </w:pPr>
            <w:r w:rsidRPr="00930651">
              <w:rPr>
                <w:b/>
                <w:color w:val="000000"/>
                <w:sz w:val="20"/>
              </w:rPr>
              <w:t>526</w:t>
            </w:r>
          </w:p>
        </w:tc>
        <w:tc>
          <w:tcPr>
            <w:tcW w:w="1171" w:type="dxa"/>
            <w:tcBorders>
              <w:top w:val="nil"/>
              <w:left w:val="nil"/>
              <w:bottom w:val="single" w:sz="4" w:space="0" w:color="auto"/>
              <w:right w:val="single" w:sz="4" w:space="0" w:color="auto"/>
            </w:tcBorders>
            <w:shd w:val="clear" w:color="000000" w:fill="C4D79B"/>
            <w:noWrap/>
            <w:vAlign w:val="center"/>
            <w:hideMark/>
          </w:tcPr>
          <w:p w14:paraId="30E7093C" w14:textId="77777777" w:rsidR="002D28C5" w:rsidRPr="00930651" w:rsidRDefault="00635E05" w:rsidP="00A26E01">
            <w:pPr>
              <w:ind w:left="0" w:firstLine="0"/>
              <w:jc w:val="right"/>
              <w:rPr>
                <w:rFonts w:eastAsia="Times New Roman" w:cs="Arial"/>
                <w:b/>
                <w:bCs/>
                <w:color w:val="000000"/>
                <w:sz w:val="20"/>
                <w:szCs w:val="20"/>
              </w:rPr>
            </w:pPr>
            <w:r w:rsidRPr="00930651">
              <w:rPr>
                <w:b/>
                <w:color w:val="000000"/>
                <w:sz w:val="20"/>
              </w:rPr>
              <w:t>496</w:t>
            </w:r>
          </w:p>
        </w:tc>
        <w:tc>
          <w:tcPr>
            <w:tcW w:w="1171" w:type="dxa"/>
            <w:tcBorders>
              <w:top w:val="nil"/>
              <w:left w:val="nil"/>
              <w:bottom w:val="single" w:sz="4" w:space="0" w:color="auto"/>
              <w:right w:val="single" w:sz="4" w:space="0" w:color="auto"/>
            </w:tcBorders>
            <w:shd w:val="clear" w:color="000000" w:fill="C4D79B"/>
            <w:noWrap/>
            <w:vAlign w:val="center"/>
            <w:hideMark/>
          </w:tcPr>
          <w:p w14:paraId="2A59FEAB" w14:textId="77777777" w:rsidR="002D28C5" w:rsidRPr="00930651" w:rsidRDefault="00635E05" w:rsidP="00A26E01">
            <w:pPr>
              <w:ind w:left="0" w:firstLine="0"/>
              <w:jc w:val="right"/>
              <w:rPr>
                <w:rFonts w:eastAsia="Times New Roman" w:cs="Arial"/>
                <w:b/>
                <w:bCs/>
                <w:color w:val="000000"/>
                <w:sz w:val="20"/>
                <w:szCs w:val="20"/>
              </w:rPr>
            </w:pPr>
            <w:r w:rsidRPr="00930651">
              <w:rPr>
                <w:b/>
                <w:color w:val="000000"/>
                <w:sz w:val="20"/>
              </w:rPr>
              <w:t>466</w:t>
            </w:r>
          </w:p>
        </w:tc>
        <w:tc>
          <w:tcPr>
            <w:tcW w:w="1171" w:type="dxa"/>
            <w:tcBorders>
              <w:top w:val="nil"/>
              <w:left w:val="nil"/>
              <w:bottom w:val="single" w:sz="4" w:space="0" w:color="auto"/>
              <w:right w:val="single" w:sz="4" w:space="0" w:color="auto"/>
            </w:tcBorders>
            <w:shd w:val="clear" w:color="000000" w:fill="C4D79B"/>
            <w:noWrap/>
            <w:vAlign w:val="center"/>
            <w:hideMark/>
          </w:tcPr>
          <w:p w14:paraId="598B9E9E" w14:textId="77777777" w:rsidR="002D28C5" w:rsidRPr="00930651" w:rsidRDefault="00C2135F" w:rsidP="00A26E01">
            <w:pPr>
              <w:ind w:left="0" w:firstLine="0"/>
              <w:jc w:val="right"/>
              <w:rPr>
                <w:rFonts w:eastAsia="Times New Roman" w:cs="Arial"/>
                <w:b/>
                <w:bCs/>
                <w:color w:val="000000"/>
                <w:sz w:val="20"/>
                <w:szCs w:val="20"/>
              </w:rPr>
            </w:pPr>
            <w:r w:rsidRPr="00930651">
              <w:rPr>
                <w:b/>
                <w:color w:val="000000"/>
                <w:sz w:val="20"/>
              </w:rPr>
              <w:t>1 488</w:t>
            </w:r>
          </w:p>
        </w:tc>
      </w:tr>
      <w:tr w:rsidR="002D28C5" w:rsidRPr="00930651" w14:paraId="39671FC0"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76AD1AE"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Salaires, charges sociales et autres prestations</w:t>
            </w:r>
          </w:p>
        </w:tc>
        <w:tc>
          <w:tcPr>
            <w:tcW w:w="1170" w:type="dxa"/>
            <w:tcBorders>
              <w:top w:val="nil"/>
              <w:left w:val="nil"/>
              <w:bottom w:val="single" w:sz="4" w:space="0" w:color="auto"/>
              <w:right w:val="single" w:sz="4" w:space="0" w:color="auto"/>
            </w:tcBorders>
            <w:shd w:val="clear" w:color="auto" w:fill="auto"/>
            <w:noWrap/>
            <w:vAlign w:val="center"/>
            <w:hideMark/>
          </w:tcPr>
          <w:p w14:paraId="47FAC12C" w14:textId="77777777" w:rsidR="002D28C5" w:rsidRPr="00930651" w:rsidRDefault="00635E05" w:rsidP="00A26E01">
            <w:pPr>
              <w:ind w:left="0" w:firstLine="0"/>
              <w:jc w:val="right"/>
              <w:rPr>
                <w:rFonts w:eastAsia="Times New Roman" w:cs="Arial"/>
                <w:sz w:val="20"/>
                <w:szCs w:val="20"/>
              </w:rPr>
            </w:pPr>
            <w:r w:rsidRPr="00930651">
              <w:rPr>
                <w:sz w:val="20"/>
              </w:rPr>
              <w:t>335</w:t>
            </w:r>
          </w:p>
        </w:tc>
        <w:tc>
          <w:tcPr>
            <w:tcW w:w="1171" w:type="dxa"/>
            <w:tcBorders>
              <w:top w:val="nil"/>
              <w:left w:val="nil"/>
              <w:bottom w:val="single" w:sz="4" w:space="0" w:color="auto"/>
              <w:right w:val="single" w:sz="4" w:space="0" w:color="auto"/>
            </w:tcBorders>
            <w:shd w:val="clear" w:color="auto" w:fill="auto"/>
            <w:noWrap/>
            <w:vAlign w:val="center"/>
            <w:hideMark/>
          </w:tcPr>
          <w:p w14:paraId="79D1A154" w14:textId="77777777" w:rsidR="002D28C5" w:rsidRPr="00930651" w:rsidRDefault="00635E05">
            <w:pPr>
              <w:ind w:left="0" w:firstLine="0"/>
              <w:jc w:val="right"/>
              <w:rPr>
                <w:rFonts w:eastAsia="Times New Roman" w:cs="Arial"/>
                <w:sz w:val="20"/>
                <w:szCs w:val="20"/>
              </w:rPr>
            </w:pPr>
            <w:r w:rsidRPr="00930651">
              <w:rPr>
                <w:sz w:val="20"/>
              </w:rPr>
              <w:t>338</w:t>
            </w:r>
          </w:p>
        </w:tc>
        <w:tc>
          <w:tcPr>
            <w:tcW w:w="1171" w:type="dxa"/>
            <w:tcBorders>
              <w:top w:val="nil"/>
              <w:left w:val="nil"/>
              <w:bottom w:val="single" w:sz="4" w:space="0" w:color="auto"/>
              <w:right w:val="single" w:sz="4" w:space="0" w:color="auto"/>
            </w:tcBorders>
            <w:shd w:val="clear" w:color="auto" w:fill="auto"/>
            <w:noWrap/>
            <w:vAlign w:val="center"/>
            <w:hideMark/>
          </w:tcPr>
          <w:p w14:paraId="7A270661" w14:textId="77777777" w:rsidR="002D28C5" w:rsidRPr="00930651" w:rsidRDefault="00635E05">
            <w:pPr>
              <w:ind w:left="0" w:firstLine="0"/>
              <w:jc w:val="right"/>
              <w:rPr>
                <w:rFonts w:eastAsia="Times New Roman" w:cs="Arial"/>
                <w:sz w:val="20"/>
                <w:szCs w:val="20"/>
              </w:rPr>
            </w:pPr>
            <w:r w:rsidRPr="00930651">
              <w:rPr>
                <w:sz w:val="20"/>
              </w:rPr>
              <w:t>341</w:t>
            </w:r>
          </w:p>
        </w:tc>
        <w:tc>
          <w:tcPr>
            <w:tcW w:w="1171" w:type="dxa"/>
            <w:tcBorders>
              <w:top w:val="nil"/>
              <w:left w:val="nil"/>
              <w:bottom w:val="single" w:sz="4" w:space="0" w:color="auto"/>
              <w:right w:val="single" w:sz="4" w:space="0" w:color="auto"/>
            </w:tcBorders>
            <w:shd w:val="clear" w:color="auto" w:fill="auto"/>
            <w:noWrap/>
            <w:vAlign w:val="center"/>
            <w:hideMark/>
          </w:tcPr>
          <w:p w14:paraId="462CA29C" w14:textId="77777777" w:rsidR="002D28C5" w:rsidRPr="00930651" w:rsidRDefault="00C2135F" w:rsidP="00A26E01">
            <w:pPr>
              <w:ind w:left="0" w:firstLine="0"/>
              <w:jc w:val="right"/>
              <w:rPr>
                <w:rFonts w:eastAsia="Times New Roman" w:cs="Arial"/>
                <w:sz w:val="20"/>
                <w:szCs w:val="20"/>
              </w:rPr>
            </w:pPr>
            <w:r w:rsidRPr="00930651">
              <w:rPr>
                <w:sz w:val="20"/>
              </w:rPr>
              <w:t>1 014</w:t>
            </w:r>
          </w:p>
        </w:tc>
      </w:tr>
      <w:tr w:rsidR="002D28C5" w:rsidRPr="00930651" w14:paraId="0E55C3F0"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439E3DD"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Recrutement et indemnités de départ</w:t>
            </w:r>
          </w:p>
        </w:tc>
        <w:tc>
          <w:tcPr>
            <w:tcW w:w="1170" w:type="dxa"/>
            <w:tcBorders>
              <w:top w:val="nil"/>
              <w:left w:val="nil"/>
              <w:bottom w:val="single" w:sz="4" w:space="0" w:color="auto"/>
              <w:right w:val="single" w:sz="4" w:space="0" w:color="auto"/>
            </w:tcBorders>
            <w:shd w:val="clear" w:color="auto" w:fill="auto"/>
            <w:noWrap/>
            <w:vAlign w:val="center"/>
            <w:hideMark/>
          </w:tcPr>
          <w:p w14:paraId="7BE76A53" w14:textId="77777777" w:rsidR="002D28C5" w:rsidRPr="00930651" w:rsidRDefault="00635E05" w:rsidP="00A26E01">
            <w:pPr>
              <w:ind w:left="0" w:firstLine="0"/>
              <w:jc w:val="right"/>
              <w:rPr>
                <w:rFonts w:eastAsia="Times New Roman" w:cs="Arial"/>
                <w:sz w:val="20"/>
                <w:szCs w:val="20"/>
              </w:rPr>
            </w:pPr>
            <w:r w:rsidRPr="00930651">
              <w:rPr>
                <w:sz w:val="20"/>
              </w:rPr>
              <w:t>85</w:t>
            </w:r>
          </w:p>
        </w:tc>
        <w:tc>
          <w:tcPr>
            <w:tcW w:w="1171" w:type="dxa"/>
            <w:tcBorders>
              <w:top w:val="nil"/>
              <w:left w:val="nil"/>
              <w:bottom w:val="single" w:sz="4" w:space="0" w:color="auto"/>
              <w:right w:val="single" w:sz="4" w:space="0" w:color="auto"/>
            </w:tcBorders>
            <w:shd w:val="clear" w:color="auto" w:fill="auto"/>
            <w:noWrap/>
            <w:vAlign w:val="center"/>
            <w:hideMark/>
          </w:tcPr>
          <w:p w14:paraId="77E6F892" w14:textId="77777777" w:rsidR="002D28C5" w:rsidRPr="00930651" w:rsidRDefault="00635E05" w:rsidP="00A26E01">
            <w:pPr>
              <w:ind w:left="0" w:firstLine="0"/>
              <w:jc w:val="right"/>
              <w:rPr>
                <w:rFonts w:eastAsia="Times New Roman" w:cs="Arial"/>
                <w:sz w:val="20"/>
                <w:szCs w:val="20"/>
              </w:rPr>
            </w:pPr>
            <w:r w:rsidRPr="00930651">
              <w:rPr>
                <w:sz w:val="20"/>
              </w:rPr>
              <w:t>52</w:t>
            </w:r>
          </w:p>
        </w:tc>
        <w:tc>
          <w:tcPr>
            <w:tcW w:w="1171" w:type="dxa"/>
            <w:tcBorders>
              <w:top w:val="nil"/>
              <w:left w:val="nil"/>
              <w:bottom w:val="single" w:sz="4" w:space="0" w:color="auto"/>
              <w:right w:val="single" w:sz="4" w:space="0" w:color="auto"/>
            </w:tcBorders>
            <w:shd w:val="clear" w:color="auto" w:fill="auto"/>
            <w:noWrap/>
            <w:vAlign w:val="center"/>
            <w:hideMark/>
          </w:tcPr>
          <w:p w14:paraId="72DAF425" w14:textId="77777777" w:rsidR="002D28C5" w:rsidRPr="00930651" w:rsidRDefault="00635E05" w:rsidP="00A26E01">
            <w:pPr>
              <w:ind w:left="0" w:firstLine="0"/>
              <w:jc w:val="right"/>
              <w:rPr>
                <w:rFonts w:eastAsia="Times New Roman" w:cs="Arial"/>
                <w:sz w:val="20"/>
                <w:szCs w:val="20"/>
              </w:rPr>
            </w:pPr>
            <w:r w:rsidRPr="00930651">
              <w:rPr>
                <w:sz w:val="20"/>
              </w:rPr>
              <w:t>19</w:t>
            </w:r>
          </w:p>
        </w:tc>
        <w:tc>
          <w:tcPr>
            <w:tcW w:w="1171" w:type="dxa"/>
            <w:tcBorders>
              <w:top w:val="nil"/>
              <w:left w:val="nil"/>
              <w:bottom w:val="single" w:sz="4" w:space="0" w:color="auto"/>
              <w:right w:val="single" w:sz="4" w:space="0" w:color="auto"/>
            </w:tcBorders>
            <w:shd w:val="clear" w:color="auto" w:fill="auto"/>
            <w:noWrap/>
            <w:vAlign w:val="center"/>
            <w:hideMark/>
          </w:tcPr>
          <w:p w14:paraId="54D51A10" w14:textId="77777777" w:rsidR="002D28C5" w:rsidRPr="00930651" w:rsidRDefault="00635E05" w:rsidP="00A26E01">
            <w:pPr>
              <w:ind w:left="0" w:firstLine="0"/>
              <w:jc w:val="right"/>
              <w:rPr>
                <w:rFonts w:eastAsia="Times New Roman" w:cs="Arial"/>
                <w:sz w:val="20"/>
                <w:szCs w:val="20"/>
              </w:rPr>
            </w:pPr>
            <w:r w:rsidRPr="00930651">
              <w:rPr>
                <w:sz w:val="20"/>
              </w:rPr>
              <w:t>156</w:t>
            </w:r>
          </w:p>
        </w:tc>
      </w:tr>
      <w:tr w:rsidR="002D28C5" w:rsidRPr="00930651" w14:paraId="6216171C"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B4A85CA" w14:textId="70362A9D" w:rsidR="002D28C5" w:rsidRPr="00930651" w:rsidRDefault="00814B59" w:rsidP="00A26E01">
            <w:pPr>
              <w:ind w:left="0" w:firstLine="0"/>
              <w:rPr>
                <w:rFonts w:asciiTheme="minorHAnsi" w:eastAsia="Times New Roman" w:hAnsiTheme="minorHAnsi" w:cs="Arial"/>
                <w:sz w:val="20"/>
                <w:szCs w:val="20"/>
              </w:rPr>
            </w:pPr>
            <w:r w:rsidRPr="00930651">
              <w:rPr>
                <w:rFonts w:asciiTheme="minorHAnsi" w:hAnsiTheme="minorHAnsi"/>
                <w:sz w:val="20"/>
              </w:rPr>
              <w:t>Équipements/Fournitures de bureau</w:t>
            </w:r>
          </w:p>
        </w:tc>
        <w:tc>
          <w:tcPr>
            <w:tcW w:w="1170" w:type="dxa"/>
            <w:tcBorders>
              <w:top w:val="nil"/>
              <w:left w:val="nil"/>
              <w:bottom w:val="single" w:sz="4" w:space="0" w:color="auto"/>
              <w:right w:val="single" w:sz="4" w:space="0" w:color="auto"/>
            </w:tcBorders>
            <w:shd w:val="clear" w:color="auto" w:fill="auto"/>
            <w:noWrap/>
            <w:vAlign w:val="center"/>
            <w:hideMark/>
          </w:tcPr>
          <w:p w14:paraId="44FB4151" w14:textId="77777777" w:rsidR="002D28C5" w:rsidRPr="00930651" w:rsidRDefault="002D28C5" w:rsidP="00A26E01">
            <w:pPr>
              <w:ind w:left="0" w:firstLine="0"/>
              <w:jc w:val="right"/>
              <w:rPr>
                <w:rFonts w:eastAsia="Times New Roman" w:cs="Arial"/>
                <w:sz w:val="20"/>
                <w:szCs w:val="20"/>
              </w:rPr>
            </w:pPr>
            <w:r w:rsidRPr="00930651">
              <w:rPr>
                <w:sz w:val="20"/>
              </w:rPr>
              <w:t>95</w:t>
            </w:r>
          </w:p>
        </w:tc>
        <w:tc>
          <w:tcPr>
            <w:tcW w:w="1171" w:type="dxa"/>
            <w:tcBorders>
              <w:top w:val="nil"/>
              <w:left w:val="nil"/>
              <w:bottom w:val="single" w:sz="4" w:space="0" w:color="auto"/>
              <w:right w:val="single" w:sz="4" w:space="0" w:color="auto"/>
            </w:tcBorders>
            <w:shd w:val="clear" w:color="auto" w:fill="auto"/>
            <w:noWrap/>
            <w:vAlign w:val="center"/>
            <w:hideMark/>
          </w:tcPr>
          <w:p w14:paraId="76059D55" w14:textId="77777777" w:rsidR="002D28C5" w:rsidRPr="00930651" w:rsidRDefault="002D28C5" w:rsidP="00A26E01">
            <w:pPr>
              <w:ind w:left="0" w:firstLine="0"/>
              <w:jc w:val="right"/>
              <w:rPr>
                <w:rFonts w:eastAsia="Times New Roman" w:cs="Arial"/>
                <w:sz w:val="20"/>
                <w:szCs w:val="20"/>
              </w:rPr>
            </w:pPr>
            <w:r w:rsidRPr="00930651">
              <w:rPr>
                <w:sz w:val="20"/>
              </w:rPr>
              <w:t>95</w:t>
            </w:r>
          </w:p>
        </w:tc>
        <w:tc>
          <w:tcPr>
            <w:tcW w:w="1171" w:type="dxa"/>
            <w:tcBorders>
              <w:top w:val="nil"/>
              <w:left w:val="nil"/>
              <w:bottom w:val="single" w:sz="4" w:space="0" w:color="auto"/>
              <w:right w:val="single" w:sz="4" w:space="0" w:color="auto"/>
            </w:tcBorders>
            <w:shd w:val="clear" w:color="auto" w:fill="auto"/>
            <w:noWrap/>
            <w:vAlign w:val="center"/>
            <w:hideMark/>
          </w:tcPr>
          <w:p w14:paraId="5071CF12" w14:textId="77777777" w:rsidR="002D28C5" w:rsidRPr="00930651" w:rsidRDefault="00635E05" w:rsidP="00A26E01">
            <w:pPr>
              <w:ind w:left="0" w:firstLine="0"/>
              <w:jc w:val="right"/>
              <w:rPr>
                <w:rFonts w:eastAsia="Times New Roman" w:cs="Arial"/>
                <w:sz w:val="20"/>
                <w:szCs w:val="20"/>
              </w:rPr>
            </w:pPr>
            <w:r w:rsidRPr="00930651">
              <w:rPr>
                <w:sz w:val="20"/>
              </w:rPr>
              <w:t>95</w:t>
            </w:r>
          </w:p>
        </w:tc>
        <w:tc>
          <w:tcPr>
            <w:tcW w:w="1171" w:type="dxa"/>
            <w:tcBorders>
              <w:top w:val="nil"/>
              <w:left w:val="nil"/>
              <w:bottom w:val="single" w:sz="4" w:space="0" w:color="auto"/>
              <w:right w:val="single" w:sz="4" w:space="0" w:color="auto"/>
            </w:tcBorders>
            <w:shd w:val="clear" w:color="auto" w:fill="auto"/>
            <w:noWrap/>
            <w:vAlign w:val="center"/>
            <w:hideMark/>
          </w:tcPr>
          <w:p w14:paraId="3921D5DB" w14:textId="77777777" w:rsidR="002D28C5" w:rsidRPr="00930651" w:rsidRDefault="00635E05" w:rsidP="00A26E01">
            <w:pPr>
              <w:ind w:left="0" w:firstLine="0"/>
              <w:jc w:val="right"/>
              <w:rPr>
                <w:rFonts w:eastAsia="Times New Roman" w:cs="Arial"/>
                <w:sz w:val="20"/>
                <w:szCs w:val="20"/>
              </w:rPr>
            </w:pPr>
            <w:r w:rsidRPr="00930651">
              <w:rPr>
                <w:sz w:val="20"/>
              </w:rPr>
              <w:t>285</w:t>
            </w:r>
          </w:p>
        </w:tc>
      </w:tr>
      <w:tr w:rsidR="002D28C5" w:rsidRPr="00930651" w14:paraId="11E8DE30"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481843D"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Planification et renforcement des capacités</w:t>
            </w:r>
          </w:p>
        </w:tc>
        <w:tc>
          <w:tcPr>
            <w:tcW w:w="1170" w:type="dxa"/>
            <w:tcBorders>
              <w:top w:val="nil"/>
              <w:left w:val="nil"/>
              <w:bottom w:val="single" w:sz="4" w:space="0" w:color="auto"/>
              <w:right w:val="single" w:sz="4" w:space="0" w:color="auto"/>
            </w:tcBorders>
            <w:shd w:val="clear" w:color="auto" w:fill="auto"/>
            <w:noWrap/>
            <w:vAlign w:val="center"/>
            <w:hideMark/>
          </w:tcPr>
          <w:p w14:paraId="77BABD52" w14:textId="77777777" w:rsidR="002D28C5" w:rsidRPr="00930651" w:rsidRDefault="00814B59" w:rsidP="00A26E01">
            <w:pPr>
              <w:ind w:left="0" w:firstLine="0"/>
              <w:jc w:val="right"/>
              <w:rPr>
                <w:rFonts w:eastAsia="Times New Roman" w:cs="Arial"/>
                <w:sz w:val="20"/>
                <w:szCs w:val="20"/>
              </w:rPr>
            </w:pPr>
            <w:r w:rsidRPr="00930651">
              <w:rPr>
                <w:sz w:val="20"/>
              </w:rPr>
              <w:t>11</w:t>
            </w:r>
          </w:p>
        </w:tc>
        <w:tc>
          <w:tcPr>
            <w:tcW w:w="1171" w:type="dxa"/>
            <w:tcBorders>
              <w:top w:val="nil"/>
              <w:left w:val="nil"/>
              <w:bottom w:val="single" w:sz="4" w:space="0" w:color="auto"/>
              <w:right w:val="single" w:sz="4" w:space="0" w:color="auto"/>
            </w:tcBorders>
            <w:shd w:val="clear" w:color="auto" w:fill="auto"/>
            <w:noWrap/>
            <w:vAlign w:val="center"/>
            <w:hideMark/>
          </w:tcPr>
          <w:p w14:paraId="51FDF696" w14:textId="77777777" w:rsidR="002D28C5" w:rsidRPr="00930651" w:rsidRDefault="00814B59" w:rsidP="00A26E01">
            <w:pPr>
              <w:ind w:left="0" w:firstLine="0"/>
              <w:jc w:val="right"/>
              <w:rPr>
                <w:rFonts w:eastAsia="Times New Roman" w:cs="Arial"/>
                <w:sz w:val="20"/>
                <w:szCs w:val="20"/>
              </w:rPr>
            </w:pPr>
            <w:r w:rsidRPr="00930651">
              <w:rPr>
                <w:sz w:val="20"/>
              </w:rPr>
              <w:t>11</w:t>
            </w:r>
          </w:p>
        </w:tc>
        <w:tc>
          <w:tcPr>
            <w:tcW w:w="1171" w:type="dxa"/>
            <w:tcBorders>
              <w:top w:val="nil"/>
              <w:left w:val="nil"/>
              <w:bottom w:val="single" w:sz="4" w:space="0" w:color="auto"/>
              <w:right w:val="single" w:sz="4" w:space="0" w:color="auto"/>
            </w:tcBorders>
            <w:shd w:val="clear" w:color="auto" w:fill="auto"/>
            <w:noWrap/>
            <w:vAlign w:val="center"/>
            <w:hideMark/>
          </w:tcPr>
          <w:p w14:paraId="16E9C5D1" w14:textId="77777777" w:rsidR="002D28C5" w:rsidRPr="00930651" w:rsidRDefault="00814B59" w:rsidP="00A26E01">
            <w:pPr>
              <w:ind w:left="0" w:firstLine="0"/>
              <w:jc w:val="right"/>
              <w:rPr>
                <w:rFonts w:eastAsia="Times New Roman" w:cs="Arial"/>
                <w:sz w:val="20"/>
                <w:szCs w:val="20"/>
              </w:rPr>
            </w:pPr>
            <w:r w:rsidRPr="00930651">
              <w:rPr>
                <w:sz w:val="20"/>
              </w:rPr>
              <w:t>11</w:t>
            </w:r>
          </w:p>
        </w:tc>
        <w:tc>
          <w:tcPr>
            <w:tcW w:w="1171" w:type="dxa"/>
            <w:tcBorders>
              <w:top w:val="nil"/>
              <w:left w:val="nil"/>
              <w:bottom w:val="single" w:sz="4" w:space="0" w:color="auto"/>
              <w:right w:val="single" w:sz="4" w:space="0" w:color="auto"/>
            </w:tcBorders>
            <w:shd w:val="clear" w:color="auto" w:fill="auto"/>
            <w:noWrap/>
            <w:vAlign w:val="center"/>
            <w:hideMark/>
          </w:tcPr>
          <w:p w14:paraId="215696EE" w14:textId="77777777" w:rsidR="002D28C5" w:rsidRPr="00930651" w:rsidRDefault="00814B59" w:rsidP="00A26E01">
            <w:pPr>
              <w:ind w:left="0" w:firstLine="0"/>
              <w:jc w:val="right"/>
              <w:rPr>
                <w:rFonts w:eastAsia="Times New Roman" w:cs="Arial"/>
                <w:sz w:val="20"/>
                <w:szCs w:val="20"/>
              </w:rPr>
            </w:pPr>
            <w:r w:rsidRPr="00930651">
              <w:rPr>
                <w:sz w:val="20"/>
              </w:rPr>
              <w:t>33</w:t>
            </w:r>
          </w:p>
        </w:tc>
      </w:tr>
      <w:tr w:rsidR="002D28C5" w:rsidRPr="00930651" w14:paraId="0E620752"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hideMark/>
          </w:tcPr>
          <w:p w14:paraId="2DA093FB"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H. Services au Comité permanent</w:t>
            </w:r>
          </w:p>
        </w:tc>
        <w:tc>
          <w:tcPr>
            <w:tcW w:w="1170" w:type="dxa"/>
            <w:tcBorders>
              <w:top w:val="nil"/>
              <w:left w:val="nil"/>
              <w:bottom w:val="single" w:sz="4" w:space="0" w:color="auto"/>
              <w:right w:val="single" w:sz="4" w:space="0" w:color="auto"/>
            </w:tcBorders>
            <w:shd w:val="clear" w:color="000000" w:fill="C4D79B"/>
            <w:noWrap/>
            <w:vAlign w:val="center"/>
            <w:hideMark/>
          </w:tcPr>
          <w:p w14:paraId="0459D509" w14:textId="77777777" w:rsidR="002D28C5" w:rsidRPr="00930651" w:rsidRDefault="002D28C5" w:rsidP="00A26E01">
            <w:pPr>
              <w:ind w:left="0" w:firstLine="0"/>
              <w:jc w:val="right"/>
              <w:rPr>
                <w:rFonts w:eastAsia="Times New Roman" w:cs="Arial"/>
                <w:b/>
                <w:bCs/>
                <w:color w:val="000000"/>
                <w:sz w:val="20"/>
                <w:szCs w:val="20"/>
              </w:rPr>
            </w:pPr>
            <w:r w:rsidRPr="00930651">
              <w:rPr>
                <w:b/>
                <w:color w:val="000000"/>
                <w:sz w:val="20"/>
              </w:rPr>
              <w:t>150</w:t>
            </w:r>
          </w:p>
        </w:tc>
        <w:tc>
          <w:tcPr>
            <w:tcW w:w="1171" w:type="dxa"/>
            <w:tcBorders>
              <w:top w:val="nil"/>
              <w:left w:val="nil"/>
              <w:bottom w:val="single" w:sz="4" w:space="0" w:color="auto"/>
              <w:right w:val="single" w:sz="4" w:space="0" w:color="auto"/>
            </w:tcBorders>
            <w:shd w:val="clear" w:color="000000" w:fill="C4D79B"/>
            <w:noWrap/>
            <w:vAlign w:val="center"/>
            <w:hideMark/>
          </w:tcPr>
          <w:p w14:paraId="054E6D60" w14:textId="77777777" w:rsidR="002D28C5" w:rsidRPr="00930651" w:rsidRDefault="002D28C5" w:rsidP="00A26E01">
            <w:pPr>
              <w:ind w:left="0" w:firstLine="0"/>
              <w:jc w:val="right"/>
              <w:rPr>
                <w:rFonts w:eastAsia="Times New Roman" w:cs="Arial"/>
                <w:b/>
                <w:bCs/>
                <w:color w:val="000000"/>
                <w:sz w:val="20"/>
                <w:szCs w:val="20"/>
              </w:rPr>
            </w:pPr>
            <w:r w:rsidRPr="00930651">
              <w:rPr>
                <w:b/>
                <w:color w:val="000000"/>
                <w:sz w:val="20"/>
              </w:rPr>
              <w:t>150</w:t>
            </w:r>
          </w:p>
        </w:tc>
        <w:tc>
          <w:tcPr>
            <w:tcW w:w="1171" w:type="dxa"/>
            <w:tcBorders>
              <w:top w:val="nil"/>
              <w:left w:val="nil"/>
              <w:bottom w:val="single" w:sz="4" w:space="0" w:color="auto"/>
              <w:right w:val="single" w:sz="4" w:space="0" w:color="auto"/>
            </w:tcBorders>
            <w:shd w:val="clear" w:color="000000" w:fill="C4D79B"/>
            <w:noWrap/>
            <w:vAlign w:val="center"/>
            <w:hideMark/>
          </w:tcPr>
          <w:p w14:paraId="2CC6AAB5" w14:textId="77777777" w:rsidR="002D28C5" w:rsidRPr="00930651" w:rsidRDefault="002D28C5" w:rsidP="00A26E01">
            <w:pPr>
              <w:ind w:left="0" w:firstLine="0"/>
              <w:jc w:val="right"/>
              <w:rPr>
                <w:rFonts w:eastAsia="Times New Roman" w:cs="Arial"/>
                <w:b/>
                <w:bCs/>
                <w:color w:val="000000"/>
                <w:sz w:val="20"/>
                <w:szCs w:val="20"/>
              </w:rPr>
            </w:pPr>
            <w:r w:rsidRPr="00930651">
              <w:rPr>
                <w:b/>
                <w:color w:val="000000"/>
                <w:sz w:val="20"/>
              </w:rPr>
              <w:t>386</w:t>
            </w:r>
          </w:p>
        </w:tc>
        <w:tc>
          <w:tcPr>
            <w:tcW w:w="1171" w:type="dxa"/>
            <w:tcBorders>
              <w:top w:val="nil"/>
              <w:left w:val="nil"/>
              <w:bottom w:val="single" w:sz="4" w:space="0" w:color="auto"/>
              <w:right w:val="single" w:sz="4" w:space="0" w:color="auto"/>
            </w:tcBorders>
            <w:shd w:val="clear" w:color="000000" w:fill="C4D79B"/>
            <w:noWrap/>
            <w:vAlign w:val="center"/>
            <w:hideMark/>
          </w:tcPr>
          <w:p w14:paraId="5C8FA962" w14:textId="77777777" w:rsidR="002D28C5" w:rsidRPr="00930651" w:rsidRDefault="002D28C5" w:rsidP="00A26E01">
            <w:pPr>
              <w:ind w:left="0" w:firstLine="0"/>
              <w:jc w:val="right"/>
              <w:rPr>
                <w:rFonts w:eastAsia="Times New Roman" w:cs="Arial"/>
                <w:b/>
                <w:bCs/>
                <w:color w:val="000000"/>
                <w:sz w:val="20"/>
                <w:szCs w:val="20"/>
              </w:rPr>
            </w:pPr>
            <w:r w:rsidRPr="00930651">
              <w:rPr>
                <w:b/>
                <w:color w:val="000000"/>
                <w:sz w:val="20"/>
              </w:rPr>
              <w:t>686</w:t>
            </w:r>
          </w:p>
        </w:tc>
      </w:tr>
      <w:tr w:rsidR="002D28C5" w:rsidRPr="00930651" w14:paraId="30BD54B6"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1BF8BC9"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Appui aux délégués du Comité permanent</w:t>
            </w:r>
          </w:p>
        </w:tc>
        <w:tc>
          <w:tcPr>
            <w:tcW w:w="1170" w:type="dxa"/>
            <w:tcBorders>
              <w:top w:val="nil"/>
              <w:left w:val="nil"/>
              <w:bottom w:val="single" w:sz="4" w:space="0" w:color="auto"/>
              <w:right w:val="single" w:sz="4" w:space="0" w:color="auto"/>
            </w:tcBorders>
            <w:shd w:val="clear" w:color="auto" w:fill="auto"/>
            <w:noWrap/>
            <w:vAlign w:val="center"/>
            <w:hideMark/>
          </w:tcPr>
          <w:p w14:paraId="0C62844D" w14:textId="77777777" w:rsidR="002D28C5" w:rsidRPr="00930651" w:rsidRDefault="002D28C5" w:rsidP="00A26E01">
            <w:pPr>
              <w:ind w:left="0" w:firstLine="0"/>
              <w:jc w:val="right"/>
              <w:rPr>
                <w:rFonts w:eastAsia="Times New Roman" w:cs="Arial"/>
                <w:sz w:val="20"/>
                <w:szCs w:val="20"/>
              </w:rPr>
            </w:pPr>
            <w:r w:rsidRPr="00930651">
              <w:rPr>
                <w:sz w:val="20"/>
              </w:rPr>
              <w:t>45</w:t>
            </w:r>
          </w:p>
        </w:tc>
        <w:tc>
          <w:tcPr>
            <w:tcW w:w="1171" w:type="dxa"/>
            <w:tcBorders>
              <w:top w:val="nil"/>
              <w:left w:val="nil"/>
              <w:bottom w:val="single" w:sz="4" w:space="0" w:color="auto"/>
              <w:right w:val="single" w:sz="4" w:space="0" w:color="auto"/>
            </w:tcBorders>
            <w:shd w:val="clear" w:color="auto" w:fill="auto"/>
            <w:noWrap/>
            <w:vAlign w:val="center"/>
            <w:hideMark/>
          </w:tcPr>
          <w:p w14:paraId="3A7A2F20" w14:textId="77777777" w:rsidR="002D28C5" w:rsidRPr="00930651" w:rsidRDefault="002D28C5" w:rsidP="00A26E01">
            <w:pPr>
              <w:ind w:left="0" w:firstLine="0"/>
              <w:jc w:val="right"/>
              <w:rPr>
                <w:rFonts w:eastAsia="Times New Roman" w:cs="Arial"/>
                <w:sz w:val="20"/>
                <w:szCs w:val="20"/>
              </w:rPr>
            </w:pPr>
            <w:r w:rsidRPr="00930651">
              <w:rPr>
                <w:sz w:val="20"/>
              </w:rPr>
              <w:t>45</w:t>
            </w:r>
          </w:p>
        </w:tc>
        <w:tc>
          <w:tcPr>
            <w:tcW w:w="1171" w:type="dxa"/>
            <w:tcBorders>
              <w:top w:val="nil"/>
              <w:left w:val="nil"/>
              <w:bottom w:val="single" w:sz="4" w:space="0" w:color="auto"/>
              <w:right w:val="single" w:sz="4" w:space="0" w:color="auto"/>
            </w:tcBorders>
            <w:shd w:val="clear" w:color="auto" w:fill="auto"/>
            <w:noWrap/>
            <w:vAlign w:val="center"/>
            <w:hideMark/>
          </w:tcPr>
          <w:p w14:paraId="7C6EBE74" w14:textId="77777777" w:rsidR="002D28C5" w:rsidRPr="00930651" w:rsidRDefault="002D28C5" w:rsidP="00A26E01">
            <w:pPr>
              <w:ind w:left="0" w:firstLine="0"/>
              <w:jc w:val="right"/>
              <w:rPr>
                <w:rFonts w:eastAsia="Times New Roman" w:cs="Arial"/>
                <w:sz w:val="20"/>
                <w:szCs w:val="20"/>
              </w:rPr>
            </w:pPr>
            <w:r w:rsidRPr="00930651">
              <w:rPr>
                <w:sz w:val="20"/>
              </w:rPr>
              <w:t>45</w:t>
            </w:r>
          </w:p>
        </w:tc>
        <w:tc>
          <w:tcPr>
            <w:tcW w:w="1171" w:type="dxa"/>
            <w:tcBorders>
              <w:top w:val="nil"/>
              <w:left w:val="nil"/>
              <w:bottom w:val="single" w:sz="4" w:space="0" w:color="auto"/>
              <w:right w:val="single" w:sz="4" w:space="0" w:color="auto"/>
            </w:tcBorders>
            <w:shd w:val="clear" w:color="auto" w:fill="auto"/>
            <w:noWrap/>
            <w:vAlign w:val="center"/>
            <w:hideMark/>
          </w:tcPr>
          <w:p w14:paraId="3F8D748E" w14:textId="77777777" w:rsidR="002D28C5" w:rsidRPr="00930651" w:rsidRDefault="002D28C5" w:rsidP="00A26E01">
            <w:pPr>
              <w:ind w:left="0" w:firstLine="0"/>
              <w:jc w:val="right"/>
              <w:rPr>
                <w:rFonts w:eastAsia="Times New Roman" w:cs="Arial"/>
                <w:sz w:val="20"/>
                <w:szCs w:val="20"/>
              </w:rPr>
            </w:pPr>
            <w:r w:rsidRPr="00930651">
              <w:rPr>
                <w:sz w:val="20"/>
              </w:rPr>
              <w:t>135</w:t>
            </w:r>
          </w:p>
        </w:tc>
      </w:tr>
      <w:tr w:rsidR="002D28C5" w:rsidRPr="00930651" w14:paraId="38E17F8D"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A679DE2"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Réunions du Comité permanent</w:t>
            </w:r>
          </w:p>
        </w:tc>
        <w:tc>
          <w:tcPr>
            <w:tcW w:w="1170" w:type="dxa"/>
            <w:tcBorders>
              <w:top w:val="nil"/>
              <w:left w:val="nil"/>
              <w:bottom w:val="single" w:sz="4" w:space="0" w:color="auto"/>
              <w:right w:val="single" w:sz="4" w:space="0" w:color="auto"/>
            </w:tcBorders>
            <w:shd w:val="clear" w:color="auto" w:fill="auto"/>
            <w:noWrap/>
            <w:vAlign w:val="center"/>
            <w:hideMark/>
          </w:tcPr>
          <w:p w14:paraId="2420EA27" w14:textId="77777777" w:rsidR="002D28C5" w:rsidRPr="00930651" w:rsidRDefault="002D28C5" w:rsidP="00A26E01">
            <w:pPr>
              <w:ind w:left="0" w:firstLine="0"/>
              <w:jc w:val="right"/>
              <w:rPr>
                <w:rFonts w:eastAsia="Times New Roman" w:cs="Arial"/>
                <w:sz w:val="20"/>
                <w:szCs w:val="20"/>
              </w:rPr>
            </w:pPr>
            <w:r w:rsidRPr="00930651">
              <w:rPr>
                <w:sz w:val="20"/>
              </w:rPr>
              <w:t>10</w:t>
            </w:r>
          </w:p>
        </w:tc>
        <w:tc>
          <w:tcPr>
            <w:tcW w:w="1171" w:type="dxa"/>
            <w:tcBorders>
              <w:top w:val="nil"/>
              <w:left w:val="nil"/>
              <w:bottom w:val="single" w:sz="4" w:space="0" w:color="auto"/>
              <w:right w:val="single" w:sz="4" w:space="0" w:color="auto"/>
            </w:tcBorders>
            <w:shd w:val="clear" w:color="auto" w:fill="auto"/>
            <w:noWrap/>
            <w:vAlign w:val="center"/>
            <w:hideMark/>
          </w:tcPr>
          <w:p w14:paraId="1DC3A819" w14:textId="77777777" w:rsidR="002D28C5" w:rsidRPr="00930651" w:rsidRDefault="002D28C5" w:rsidP="00A26E01">
            <w:pPr>
              <w:ind w:left="0" w:firstLine="0"/>
              <w:jc w:val="right"/>
              <w:rPr>
                <w:rFonts w:eastAsia="Times New Roman" w:cs="Arial"/>
                <w:sz w:val="20"/>
                <w:szCs w:val="20"/>
              </w:rPr>
            </w:pPr>
            <w:r w:rsidRPr="00930651">
              <w:rPr>
                <w:sz w:val="20"/>
              </w:rPr>
              <w:t>10</w:t>
            </w:r>
          </w:p>
        </w:tc>
        <w:tc>
          <w:tcPr>
            <w:tcW w:w="1171" w:type="dxa"/>
            <w:tcBorders>
              <w:top w:val="nil"/>
              <w:left w:val="nil"/>
              <w:bottom w:val="single" w:sz="4" w:space="0" w:color="auto"/>
              <w:right w:val="single" w:sz="4" w:space="0" w:color="auto"/>
            </w:tcBorders>
            <w:shd w:val="clear" w:color="auto" w:fill="auto"/>
            <w:noWrap/>
            <w:vAlign w:val="center"/>
            <w:hideMark/>
          </w:tcPr>
          <w:p w14:paraId="761476F5" w14:textId="77777777" w:rsidR="002D28C5" w:rsidRPr="00930651" w:rsidRDefault="002D28C5" w:rsidP="00A26E01">
            <w:pPr>
              <w:ind w:left="0" w:firstLine="0"/>
              <w:jc w:val="right"/>
              <w:rPr>
                <w:rFonts w:eastAsia="Times New Roman" w:cs="Arial"/>
                <w:sz w:val="20"/>
                <w:szCs w:val="20"/>
              </w:rPr>
            </w:pPr>
            <w:r w:rsidRPr="00930651">
              <w:rPr>
                <w:sz w:val="20"/>
              </w:rPr>
              <w:t>10</w:t>
            </w:r>
          </w:p>
        </w:tc>
        <w:tc>
          <w:tcPr>
            <w:tcW w:w="1171" w:type="dxa"/>
            <w:tcBorders>
              <w:top w:val="nil"/>
              <w:left w:val="nil"/>
              <w:bottom w:val="single" w:sz="4" w:space="0" w:color="auto"/>
              <w:right w:val="single" w:sz="4" w:space="0" w:color="auto"/>
            </w:tcBorders>
            <w:shd w:val="clear" w:color="auto" w:fill="auto"/>
            <w:noWrap/>
            <w:vAlign w:val="center"/>
            <w:hideMark/>
          </w:tcPr>
          <w:p w14:paraId="0A2497D5" w14:textId="77777777" w:rsidR="002D28C5" w:rsidRPr="00930651" w:rsidRDefault="002D28C5" w:rsidP="00A26E01">
            <w:pPr>
              <w:ind w:left="0" w:firstLine="0"/>
              <w:jc w:val="right"/>
              <w:rPr>
                <w:rFonts w:eastAsia="Times New Roman" w:cs="Arial"/>
                <w:sz w:val="20"/>
                <w:szCs w:val="20"/>
              </w:rPr>
            </w:pPr>
            <w:r w:rsidRPr="00930651">
              <w:rPr>
                <w:sz w:val="20"/>
              </w:rPr>
              <w:t>30</w:t>
            </w:r>
          </w:p>
        </w:tc>
      </w:tr>
      <w:tr w:rsidR="002D28C5" w:rsidRPr="00930651" w14:paraId="49C9EA85"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DE70E67" w14:textId="77777777" w:rsidR="002D28C5" w:rsidRPr="00930651" w:rsidRDefault="00ED1CB9" w:rsidP="00A26E01">
            <w:pPr>
              <w:ind w:left="0" w:firstLine="0"/>
              <w:rPr>
                <w:rFonts w:asciiTheme="minorHAnsi" w:eastAsia="Times New Roman" w:hAnsiTheme="minorHAnsi" w:cs="Arial"/>
                <w:sz w:val="20"/>
                <w:szCs w:val="20"/>
              </w:rPr>
            </w:pPr>
            <w:r w:rsidRPr="00930651">
              <w:rPr>
                <w:rFonts w:asciiTheme="minorHAnsi" w:hAnsiTheme="minorHAnsi"/>
                <w:sz w:val="20"/>
              </w:rPr>
              <w:t>Services de traduction pour le Comité permanent</w:t>
            </w:r>
          </w:p>
        </w:tc>
        <w:tc>
          <w:tcPr>
            <w:tcW w:w="1170" w:type="dxa"/>
            <w:tcBorders>
              <w:top w:val="nil"/>
              <w:left w:val="nil"/>
              <w:bottom w:val="single" w:sz="4" w:space="0" w:color="auto"/>
              <w:right w:val="single" w:sz="4" w:space="0" w:color="auto"/>
            </w:tcBorders>
            <w:shd w:val="clear" w:color="auto" w:fill="auto"/>
            <w:noWrap/>
            <w:vAlign w:val="center"/>
            <w:hideMark/>
          </w:tcPr>
          <w:p w14:paraId="64205883" w14:textId="77777777" w:rsidR="002D28C5" w:rsidRPr="00930651" w:rsidRDefault="002D28C5" w:rsidP="00A26E01">
            <w:pPr>
              <w:ind w:left="0" w:firstLine="0"/>
              <w:jc w:val="right"/>
              <w:rPr>
                <w:rFonts w:eastAsia="Times New Roman" w:cs="Arial"/>
                <w:sz w:val="20"/>
                <w:szCs w:val="20"/>
              </w:rPr>
            </w:pPr>
            <w:r w:rsidRPr="00930651">
              <w:rPr>
                <w:sz w:val="20"/>
              </w:rPr>
              <w:t>60</w:t>
            </w:r>
          </w:p>
        </w:tc>
        <w:tc>
          <w:tcPr>
            <w:tcW w:w="1171" w:type="dxa"/>
            <w:tcBorders>
              <w:top w:val="nil"/>
              <w:left w:val="nil"/>
              <w:bottom w:val="single" w:sz="4" w:space="0" w:color="auto"/>
              <w:right w:val="single" w:sz="4" w:space="0" w:color="auto"/>
            </w:tcBorders>
            <w:shd w:val="clear" w:color="auto" w:fill="auto"/>
            <w:noWrap/>
            <w:vAlign w:val="center"/>
            <w:hideMark/>
          </w:tcPr>
          <w:p w14:paraId="47F0844A" w14:textId="77777777" w:rsidR="002D28C5" w:rsidRPr="00930651" w:rsidRDefault="002D28C5" w:rsidP="00A26E01">
            <w:pPr>
              <w:ind w:left="0" w:firstLine="0"/>
              <w:jc w:val="right"/>
              <w:rPr>
                <w:rFonts w:eastAsia="Times New Roman" w:cs="Arial"/>
                <w:sz w:val="20"/>
                <w:szCs w:val="20"/>
              </w:rPr>
            </w:pPr>
            <w:r w:rsidRPr="00930651">
              <w:rPr>
                <w:sz w:val="20"/>
              </w:rPr>
              <w:t>60</w:t>
            </w:r>
          </w:p>
        </w:tc>
        <w:tc>
          <w:tcPr>
            <w:tcW w:w="1171" w:type="dxa"/>
            <w:tcBorders>
              <w:top w:val="nil"/>
              <w:left w:val="nil"/>
              <w:bottom w:val="single" w:sz="4" w:space="0" w:color="auto"/>
              <w:right w:val="single" w:sz="4" w:space="0" w:color="auto"/>
            </w:tcBorders>
            <w:shd w:val="clear" w:color="auto" w:fill="auto"/>
            <w:noWrap/>
            <w:vAlign w:val="center"/>
            <w:hideMark/>
          </w:tcPr>
          <w:p w14:paraId="710FD788" w14:textId="77777777" w:rsidR="002D28C5" w:rsidRPr="00930651" w:rsidRDefault="002D28C5" w:rsidP="00A26E01">
            <w:pPr>
              <w:ind w:left="0" w:firstLine="0"/>
              <w:jc w:val="right"/>
              <w:rPr>
                <w:rFonts w:eastAsia="Times New Roman" w:cs="Arial"/>
                <w:sz w:val="20"/>
                <w:szCs w:val="20"/>
              </w:rPr>
            </w:pPr>
            <w:r w:rsidRPr="00930651">
              <w:rPr>
                <w:sz w:val="20"/>
              </w:rPr>
              <w:t>60</w:t>
            </w:r>
          </w:p>
        </w:tc>
        <w:tc>
          <w:tcPr>
            <w:tcW w:w="1171" w:type="dxa"/>
            <w:tcBorders>
              <w:top w:val="nil"/>
              <w:left w:val="nil"/>
              <w:bottom w:val="single" w:sz="4" w:space="0" w:color="auto"/>
              <w:right w:val="single" w:sz="4" w:space="0" w:color="auto"/>
            </w:tcBorders>
            <w:shd w:val="clear" w:color="auto" w:fill="auto"/>
            <w:noWrap/>
            <w:vAlign w:val="center"/>
            <w:hideMark/>
          </w:tcPr>
          <w:p w14:paraId="07CC75A5" w14:textId="77777777" w:rsidR="002D28C5" w:rsidRPr="00930651" w:rsidRDefault="002D28C5" w:rsidP="00A26E01">
            <w:pPr>
              <w:ind w:left="0" w:firstLine="0"/>
              <w:jc w:val="right"/>
              <w:rPr>
                <w:rFonts w:eastAsia="Times New Roman" w:cs="Arial"/>
                <w:sz w:val="20"/>
                <w:szCs w:val="20"/>
              </w:rPr>
            </w:pPr>
            <w:r w:rsidRPr="00930651">
              <w:rPr>
                <w:sz w:val="20"/>
              </w:rPr>
              <w:t>180</w:t>
            </w:r>
          </w:p>
        </w:tc>
      </w:tr>
      <w:tr w:rsidR="002D28C5" w:rsidRPr="00930651" w14:paraId="13A238AB"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236D744" w14:textId="19C5D509"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Services d</w:t>
            </w:r>
            <w:r w:rsidR="00101E52">
              <w:rPr>
                <w:rFonts w:asciiTheme="minorHAnsi" w:hAnsiTheme="minorHAnsi"/>
                <w:sz w:val="20"/>
              </w:rPr>
              <w:t>’</w:t>
            </w:r>
            <w:r w:rsidRPr="00930651">
              <w:rPr>
                <w:rFonts w:asciiTheme="minorHAnsi" w:hAnsiTheme="minorHAnsi"/>
                <w:sz w:val="20"/>
              </w:rPr>
              <w:t>interprétation simultanée lors des réunions du Comité permanent</w:t>
            </w:r>
          </w:p>
        </w:tc>
        <w:tc>
          <w:tcPr>
            <w:tcW w:w="1170" w:type="dxa"/>
            <w:tcBorders>
              <w:top w:val="nil"/>
              <w:left w:val="nil"/>
              <w:bottom w:val="single" w:sz="4" w:space="0" w:color="auto"/>
              <w:right w:val="single" w:sz="4" w:space="0" w:color="auto"/>
            </w:tcBorders>
            <w:shd w:val="clear" w:color="auto" w:fill="auto"/>
            <w:noWrap/>
            <w:vAlign w:val="center"/>
            <w:hideMark/>
          </w:tcPr>
          <w:p w14:paraId="6CED3B92" w14:textId="77777777" w:rsidR="002D28C5" w:rsidRPr="00930651" w:rsidRDefault="002D28C5" w:rsidP="00A26E01">
            <w:pPr>
              <w:ind w:left="0" w:firstLine="0"/>
              <w:jc w:val="right"/>
              <w:rPr>
                <w:rFonts w:eastAsia="Times New Roman" w:cs="Arial"/>
                <w:sz w:val="20"/>
                <w:szCs w:val="20"/>
              </w:rPr>
            </w:pPr>
            <w:r w:rsidRPr="00930651">
              <w:rPr>
                <w:sz w:val="20"/>
              </w:rPr>
              <w:t>35</w:t>
            </w:r>
          </w:p>
        </w:tc>
        <w:tc>
          <w:tcPr>
            <w:tcW w:w="1171" w:type="dxa"/>
            <w:tcBorders>
              <w:top w:val="nil"/>
              <w:left w:val="nil"/>
              <w:bottom w:val="single" w:sz="4" w:space="0" w:color="auto"/>
              <w:right w:val="single" w:sz="4" w:space="0" w:color="auto"/>
            </w:tcBorders>
            <w:shd w:val="clear" w:color="auto" w:fill="auto"/>
            <w:noWrap/>
            <w:vAlign w:val="center"/>
            <w:hideMark/>
          </w:tcPr>
          <w:p w14:paraId="64133125" w14:textId="77777777" w:rsidR="002D28C5" w:rsidRPr="00930651" w:rsidRDefault="002D28C5" w:rsidP="00A26E01">
            <w:pPr>
              <w:ind w:left="0" w:firstLine="0"/>
              <w:jc w:val="right"/>
              <w:rPr>
                <w:rFonts w:eastAsia="Times New Roman" w:cs="Arial"/>
                <w:sz w:val="20"/>
                <w:szCs w:val="20"/>
              </w:rPr>
            </w:pPr>
            <w:r w:rsidRPr="00930651">
              <w:rPr>
                <w:sz w:val="20"/>
              </w:rPr>
              <w:t>35</w:t>
            </w:r>
          </w:p>
        </w:tc>
        <w:tc>
          <w:tcPr>
            <w:tcW w:w="1171" w:type="dxa"/>
            <w:tcBorders>
              <w:top w:val="nil"/>
              <w:left w:val="nil"/>
              <w:bottom w:val="single" w:sz="4" w:space="0" w:color="auto"/>
              <w:right w:val="single" w:sz="4" w:space="0" w:color="auto"/>
            </w:tcBorders>
            <w:shd w:val="clear" w:color="auto" w:fill="auto"/>
            <w:noWrap/>
            <w:vAlign w:val="center"/>
            <w:hideMark/>
          </w:tcPr>
          <w:p w14:paraId="4F5141DD" w14:textId="77777777" w:rsidR="002D28C5" w:rsidRPr="00930651" w:rsidRDefault="002D28C5" w:rsidP="00A26E01">
            <w:pPr>
              <w:ind w:left="0" w:firstLine="0"/>
              <w:jc w:val="right"/>
              <w:rPr>
                <w:rFonts w:eastAsia="Times New Roman" w:cs="Arial"/>
                <w:sz w:val="20"/>
                <w:szCs w:val="20"/>
              </w:rPr>
            </w:pPr>
            <w:r w:rsidRPr="00930651">
              <w:rPr>
                <w:sz w:val="20"/>
              </w:rPr>
              <w:t>35</w:t>
            </w:r>
          </w:p>
        </w:tc>
        <w:tc>
          <w:tcPr>
            <w:tcW w:w="1171" w:type="dxa"/>
            <w:tcBorders>
              <w:top w:val="nil"/>
              <w:left w:val="nil"/>
              <w:bottom w:val="single" w:sz="4" w:space="0" w:color="auto"/>
              <w:right w:val="single" w:sz="4" w:space="0" w:color="auto"/>
            </w:tcBorders>
            <w:shd w:val="clear" w:color="auto" w:fill="auto"/>
            <w:noWrap/>
            <w:vAlign w:val="center"/>
            <w:hideMark/>
          </w:tcPr>
          <w:p w14:paraId="7B58AAED" w14:textId="77777777" w:rsidR="002D28C5" w:rsidRPr="00930651" w:rsidRDefault="002D28C5" w:rsidP="00A26E01">
            <w:pPr>
              <w:ind w:left="0" w:firstLine="0"/>
              <w:jc w:val="right"/>
              <w:rPr>
                <w:rFonts w:eastAsia="Times New Roman" w:cs="Arial"/>
                <w:sz w:val="20"/>
                <w:szCs w:val="20"/>
              </w:rPr>
            </w:pPr>
            <w:r w:rsidRPr="00930651">
              <w:rPr>
                <w:sz w:val="20"/>
              </w:rPr>
              <w:t>105</w:t>
            </w:r>
          </w:p>
        </w:tc>
      </w:tr>
      <w:tr w:rsidR="002D28C5" w:rsidRPr="00930651" w14:paraId="19711C90"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5164A142" w14:textId="77777777" w:rsidR="002D28C5" w:rsidRPr="00930651" w:rsidRDefault="002D28C5" w:rsidP="002D28C5">
            <w:pPr>
              <w:ind w:left="0" w:firstLine="0"/>
              <w:rPr>
                <w:rFonts w:asciiTheme="minorHAnsi" w:eastAsia="Times New Roman" w:hAnsiTheme="minorHAnsi" w:cs="Arial"/>
                <w:sz w:val="20"/>
                <w:szCs w:val="20"/>
              </w:rPr>
            </w:pPr>
            <w:r w:rsidRPr="00930651">
              <w:rPr>
                <w:rFonts w:asciiTheme="minorHAnsi" w:hAnsiTheme="minorHAnsi"/>
                <w:sz w:val="20"/>
              </w:rPr>
              <w:t>Conférence des Parties contractantes</w:t>
            </w:r>
          </w:p>
        </w:tc>
        <w:tc>
          <w:tcPr>
            <w:tcW w:w="1170" w:type="dxa"/>
            <w:tcBorders>
              <w:top w:val="nil"/>
              <w:left w:val="nil"/>
              <w:bottom w:val="single" w:sz="4" w:space="0" w:color="auto"/>
              <w:right w:val="single" w:sz="4" w:space="0" w:color="auto"/>
            </w:tcBorders>
            <w:shd w:val="clear" w:color="auto" w:fill="auto"/>
            <w:noWrap/>
            <w:vAlign w:val="center"/>
          </w:tcPr>
          <w:p w14:paraId="1C8B301A" w14:textId="77777777" w:rsidR="002D28C5" w:rsidRPr="00930651" w:rsidRDefault="002D28C5" w:rsidP="00A26E01">
            <w:pPr>
              <w:ind w:left="0" w:firstLine="0"/>
              <w:jc w:val="right"/>
              <w:rPr>
                <w:rFonts w:eastAsia="Times New Roman" w:cs="Arial"/>
                <w:sz w:val="20"/>
                <w:szCs w:val="20"/>
              </w:rPr>
            </w:pPr>
            <w:r w:rsidRPr="00930651">
              <w:rPr>
                <w:sz w:val="20"/>
              </w:rPr>
              <w:t>0</w:t>
            </w:r>
          </w:p>
        </w:tc>
        <w:tc>
          <w:tcPr>
            <w:tcW w:w="1171" w:type="dxa"/>
            <w:tcBorders>
              <w:top w:val="nil"/>
              <w:left w:val="nil"/>
              <w:bottom w:val="single" w:sz="4" w:space="0" w:color="auto"/>
              <w:right w:val="single" w:sz="4" w:space="0" w:color="auto"/>
            </w:tcBorders>
            <w:shd w:val="clear" w:color="auto" w:fill="auto"/>
            <w:noWrap/>
            <w:vAlign w:val="center"/>
          </w:tcPr>
          <w:p w14:paraId="22C12818" w14:textId="77777777" w:rsidR="002D28C5" w:rsidRPr="00930651" w:rsidRDefault="002D28C5" w:rsidP="00A26E01">
            <w:pPr>
              <w:ind w:left="0" w:firstLine="0"/>
              <w:jc w:val="right"/>
              <w:rPr>
                <w:rFonts w:eastAsia="Times New Roman" w:cs="Arial"/>
                <w:sz w:val="20"/>
                <w:szCs w:val="20"/>
              </w:rPr>
            </w:pPr>
            <w:r w:rsidRPr="00930651">
              <w:rPr>
                <w:sz w:val="20"/>
              </w:rPr>
              <w:t>0</w:t>
            </w:r>
          </w:p>
        </w:tc>
        <w:tc>
          <w:tcPr>
            <w:tcW w:w="1171" w:type="dxa"/>
            <w:tcBorders>
              <w:top w:val="nil"/>
              <w:left w:val="nil"/>
              <w:bottom w:val="single" w:sz="4" w:space="0" w:color="auto"/>
              <w:right w:val="single" w:sz="4" w:space="0" w:color="auto"/>
            </w:tcBorders>
            <w:shd w:val="clear" w:color="auto" w:fill="auto"/>
            <w:noWrap/>
            <w:vAlign w:val="center"/>
          </w:tcPr>
          <w:p w14:paraId="672BE19B" w14:textId="77777777" w:rsidR="002D28C5" w:rsidRPr="00930651" w:rsidRDefault="002D28C5" w:rsidP="00A26E01">
            <w:pPr>
              <w:ind w:left="0" w:firstLine="0"/>
              <w:jc w:val="right"/>
              <w:rPr>
                <w:rFonts w:eastAsia="Times New Roman" w:cs="Arial"/>
                <w:sz w:val="20"/>
                <w:szCs w:val="20"/>
              </w:rPr>
            </w:pPr>
            <w:r w:rsidRPr="00930651">
              <w:rPr>
                <w:sz w:val="20"/>
              </w:rPr>
              <w:t>236</w:t>
            </w:r>
          </w:p>
        </w:tc>
        <w:tc>
          <w:tcPr>
            <w:tcW w:w="1171" w:type="dxa"/>
            <w:tcBorders>
              <w:top w:val="nil"/>
              <w:left w:val="nil"/>
              <w:bottom w:val="single" w:sz="4" w:space="0" w:color="auto"/>
              <w:right w:val="single" w:sz="4" w:space="0" w:color="auto"/>
            </w:tcBorders>
            <w:shd w:val="clear" w:color="auto" w:fill="auto"/>
            <w:noWrap/>
            <w:vAlign w:val="center"/>
          </w:tcPr>
          <w:p w14:paraId="197ADCB0" w14:textId="77777777" w:rsidR="002D28C5" w:rsidRPr="00930651" w:rsidRDefault="002D28C5" w:rsidP="00A26E01">
            <w:pPr>
              <w:ind w:left="0" w:firstLine="0"/>
              <w:jc w:val="right"/>
              <w:rPr>
                <w:rFonts w:eastAsia="Times New Roman" w:cs="Arial"/>
                <w:sz w:val="20"/>
                <w:szCs w:val="20"/>
              </w:rPr>
            </w:pPr>
            <w:r w:rsidRPr="00930651">
              <w:rPr>
                <w:sz w:val="20"/>
              </w:rPr>
              <w:t>236</w:t>
            </w:r>
          </w:p>
        </w:tc>
      </w:tr>
      <w:tr w:rsidR="002D28C5" w:rsidRPr="00930651" w14:paraId="16427F93" w14:textId="77777777" w:rsidTr="008F4A6B">
        <w:tc>
          <w:tcPr>
            <w:tcW w:w="4673" w:type="dxa"/>
            <w:tcBorders>
              <w:top w:val="nil"/>
              <w:left w:val="single" w:sz="4" w:space="0" w:color="auto"/>
              <w:bottom w:val="single" w:sz="4" w:space="0" w:color="auto"/>
              <w:right w:val="single" w:sz="4" w:space="0" w:color="auto"/>
            </w:tcBorders>
            <w:shd w:val="clear" w:color="000000" w:fill="C4D79B"/>
            <w:vAlign w:val="center"/>
            <w:hideMark/>
          </w:tcPr>
          <w:p w14:paraId="236184E0" w14:textId="3CD190D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I. Coûts des services administratifs de l</w:t>
            </w:r>
            <w:r w:rsidR="00101E52">
              <w:rPr>
                <w:rFonts w:asciiTheme="minorHAnsi" w:hAnsiTheme="minorHAnsi"/>
                <w:b/>
                <w:sz w:val="20"/>
              </w:rPr>
              <w:t>’</w:t>
            </w:r>
            <w:r w:rsidRPr="00930651">
              <w:rPr>
                <w:rFonts w:asciiTheme="minorHAnsi" w:hAnsiTheme="minorHAnsi"/>
                <w:b/>
                <w:sz w:val="20"/>
              </w:rPr>
              <w:t>UICN (maximum)</w:t>
            </w:r>
          </w:p>
        </w:tc>
        <w:tc>
          <w:tcPr>
            <w:tcW w:w="1170" w:type="dxa"/>
            <w:tcBorders>
              <w:top w:val="nil"/>
              <w:left w:val="nil"/>
              <w:bottom w:val="single" w:sz="4" w:space="0" w:color="auto"/>
              <w:right w:val="single" w:sz="4" w:space="0" w:color="auto"/>
            </w:tcBorders>
            <w:shd w:val="clear" w:color="000000" w:fill="C4D79B"/>
            <w:noWrap/>
            <w:vAlign w:val="center"/>
            <w:hideMark/>
          </w:tcPr>
          <w:p w14:paraId="6F334091" w14:textId="77777777" w:rsidR="002D28C5" w:rsidRPr="00930651" w:rsidRDefault="00814B59"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71" w:type="dxa"/>
            <w:tcBorders>
              <w:top w:val="nil"/>
              <w:left w:val="nil"/>
              <w:bottom w:val="single" w:sz="4" w:space="0" w:color="auto"/>
              <w:right w:val="single" w:sz="4" w:space="0" w:color="auto"/>
            </w:tcBorders>
            <w:shd w:val="clear" w:color="000000" w:fill="C4D79B"/>
            <w:noWrap/>
            <w:vAlign w:val="center"/>
            <w:hideMark/>
          </w:tcPr>
          <w:p w14:paraId="1C40E78D" w14:textId="77777777" w:rsidR="002D28C5" w:rsidRPr="00930651" w:rsidRDefault="00814B59"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71" w:type="dxa"/>
            <w:tcBorders>
              <w:top w:val="nil"/>
              <w:left w:val="nil"/>
              <w:bottom w:val="single" w:sz="4" w:space="0" w:color="auto"/>
              <w:right w:val="single" w:sz="4" w:space="0" w:color="auto"/>
            </w:tcBorders>
            <w:shd w:val="clear" w:color="000000" w:fill="C4D79B"/>
            <w:noWrap/>
            <w:vAlign w:val="center"/>
            <w:hideMark/>
          </w:tcPr>
          <w:p w14:paraId="00FFBCDB" w14:textId="77777777" w:rsidR="002D28C5" w:rsidRPr="00930651" w:rsidRDefault="00814B59"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541</w:t>
            </w:r>
          </w:p>
        </w:tc>
        <w:tc>
          <w:tcPr>
            <w:tcW w:w="1171" w:type="dxa"/>
            <w:tcBorders>
              <w:top w:val="nil"/>
              <w:left w:val="nil"/>
              <w:bottom w:val="single" w:sz="4" w:space="0" w:color="auto"/>
              <w:right w:val="single" w:sz="4" w:space="0" w:color="auto"/>
            </w:tcBorders>
            <w:shd w:val="clear" w:color="000000" w:fill="C4D79B"/>
            <w:noWrap/>
            <w:vAlign w:val="center"/>
            <w:hideMark/>
          </w:tcPr>
          <w:p w14:paraId="6DFCCC9C" w14:textId="77777777" w:rsidR="002D28C5" w:rsidRPr="00930651" w:rsidRDefault="001B1F55" w:rsidP="001B1F55">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1 623</w:t>
            </w:r>
          </w:p>
        </w:tc>
      </w:tr>
      <w:tr w:rsidR="002D28C5" w:rsidRPr="00930651" w14:paraId="51432C12"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024F602" w14:textId="77777777" w:rsidR="002D28C5" w:rsidRPr="00930651" w:rsidRDefault="002D28C5" w:rsidP="00ED1CB9">
            <w:pPr>
              <w:ind w:left="0" w:firstLine="0"/>
              <w:rPr>
                <w:rFonts w:asciiTheme="minorHAnsi" w:eastAsia="Times New Roman" w:hAnsiTheme="minorHAnsi" w:cs="Arial"/>
                <w:sz w:val="20"/>
                <w:szCs w:val="20"/>
              </w:rPr>
            </w:pPr>
            <w:r w:rsidRPr="00930651">
              <w:rPr>
                <w:rFonts w:asciiTheme="minorHAnsi" w:hAnsiTheme="minorHAnsi"/>
                <w:sz w:val="20"/>
              </w:rPr>
              <w:t>Administration, ressources humaines, services financiers &amp; informatiques</w:t>
            </w:r>
          </w:p>
        </w:tc>
        <w:tc>
          <w:tcPr>
            <w:tcW w:w="1170" w:type="dxa"/>
            <w:tcBorders>
              <w:top w:val="nil"/>
              <w:left w:val="nil"/>
              <w:bottom w:val="single" w:sz="4" w:space="0" w:color="auto"/>
              <w:right w:val="single" w:sz="4" w:space="0" w:color="auto"/>
            </w:tcBorders>
            <w:shd w:val="clear" w:color="auto" w:fill="auto"/>
            <w:noWrap/>
            <w:vAlign w:val="center"/>
            <w:hideMark/>
          </w:tcPr>
          <w:p w14:paraId="74FE68C4" w14:textId="77777777" w:rsidR="002D28C5" w:rsidRPr="00930651"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541</w:t>
            </w:r>
          </w:p>
        </w:tc>
        <w:tc>
          <w:tcPr>
            <w:tcW w:w="1171" w:type="dxa"/>
            <w:tcBorders>
              <w:top w:val="nil"/>
              <w:left w:val="nil"/>
              <w:bottom w:val="single" w:sz="4" w:space="0" w:color="auto"/>
              <w:right w:val="single" w:sz="4" w:space="0" w:color="auto"/>
            </w:tcBorders>
            <w:shd w:val="clear" w:color="auto" w:fill="auto"/>
            <w:noWrap/>
            <w:vAlign w:val="center"/>
            <w:hideMark/>
          </w:tcPr>
          <w:p w14:paraId="5F061053" w14:textId="77777777" w:rsidR="002D28C5" w:rsidRPr="00930651"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541</w:t>
            </w:r>
          </w:p>
        </w:tc>
        <w:tc>
          <w:tcPr>
            <w:tcW w:w="1171" w:type="dxa"/>
            <w:tcBorders>
              <w:top w:val="nil"/>
              <w:left w:val="nil"/>
              <w:bottom w:val="single" w:sz="4" w:space="0" w:color="auto"/>
              <w:right w:val="single" w:sz="4" w:space="0" w:color="auto"/>
            </w:tcBorders>
            <w:shd w:val="clear" w:color="auto" w:fill="auto"/>
            <w:noWrap/>
            <w:vAlign w:val="center"/>
            <w:hideMark/>
          </w:tcPr>
          <w:p w14:paraId="06AD3A5D" w14:textId="77777777" w:rsidR="002D28C5" w:rsidRPr="00930651" w:rsidRDefault="00814B59"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541</w:t>
            </w:r>
          </w:p>
        </w:tc>
        <w:tc>
          <w:tcPr>
            <w:tcW w:w="1171" w:type="dxa"/>
            <w:tcBorders>
              <w:top w:val="nil"/>
              <w:left w:val="nil"/>
              <w:bottom w:val="single" w:sz="4" w:space="0" w:color="auto"/>
              <w:right w:val="single" w:sz="4" w:space="0" w:color="auto"/>
            </w:tcBorders>
            <w:shd w:val="clear" w:color="auto" w:fill="auto"/>
            <w:noWrap/>
            <w:vAlign w:val="center"/>
            <w:hideMark/>
          </w:tcPr>
          <w:p w14:paraId="3EA4BF14" w14:textId="77777777" w:rsidR="002D28C5" w:rsidRPr="00930651"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1 623</w:t>
            </w:r>
          </w:p>
        </w:tc>
      </w:tr>
      <w:tr w:rsidR="002D28C5" w:rsidRPr="00930651" w14:paraId="7377E97A" w14:textId="77777777" w:rsidTr="008F4A6B">
        <w:tc>
          <w:tcPr>
            <w:tcW w:w="4673" w:type="dxa"/>
            <w:tcBorders>
              <w:top w:val="nil"/>
              <w:left w:val="single" w:sz="4" w:space="0" w:color="auto"/>
              <w:bottom w:val="single" w:sz="4" w:space="0" w:color="auto"/>
              <w:right w:val="single" w:sz="4" w:space="0" w:color="auto"/>
            </w:tcBorders>
            <w:shd w:val="clear" w:color="000000" w:fill="C4D79B"/>
            <w:noWrap/>
            <w:vAlign w:val="center"/>
            <w:hideMark/>
          </w:tcPr>
          <w:p w14:paraId="18FE8529" w14:textId="77777777" w:rsidR="002D28C5" w:rsidRPr="00930651" w:rsidRDefault="002D28C5" w:rsidP="00A26E01">
            <w:pPr>
              <w:ind w:left="0" w:firstLine="0"/>
              <w:rPr>
                <w:rFonts w:asciiTheme="minorHAnsi" w:eastAsia="Times New Roman" w:hAnsiTheme="minorHAnsi" w:cs="Arial"/>
                <w:b/>
                <w:bCs/>
                <w:sz w:val="20"/>
                <w:szCs w:val="20"/>
              </w:rPr>
            </w:pPr>
            <w:r w:rsidRPr="00930651">
              <w:rPr>
                <w:rFonts w:asciiTheme="minorHAnsi" w:hAnsiTheme="minorHAnsi"/>
                <w:b/>
                <w:sz w:val="20"/>
              </w:rPr>
              <w:t>J. Divers – Fonds de réserve</w:t>
            </w:r>
          </w:p>
        </w:tc>
        <w:tc>
          <w:tcPr>
            <w:tcW w:w="1170" w:type="dxa"/>
            <w:tcBorders>
              <w:top w:val="nil"/>
              <w:left w:val="nil"/>
              <w:bottom w:val="single" w:sz="4" w:space="0" w:color="auto"/>
              <w:right w:val="single" w:sz="4" w:space="0" w:color="auto"/>
            </w:tcBorders>
            <w:shd w:val="clear" w:color="000000" w:fill="C4D79B"/>
            <w:noWrap/>
            <w:vAlign w:val="center"/>
            <w:hideMark/>
          </w:tcPr>
          <w:p w14:paraId="77472878" w14:textId="77777777" w:rsidR="002D28C5" w:rsidRPr="00930651" w:rsidRDefault="00814B59"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71" w:type="dxa"/>
            <w:tcBorders>
              <w:top w:val="nil"/>
              <w:left w:val="nil"/>
              <w:bottom w:val="single" w:sz="4" w:space="0" w:color="auto"/>
              <w:right w:val="single" w:sz="4" w:space="0" w:color="auto"/>
            </w:tcBorders>
            <w:shd w:val="clear" w:color="000000" w:fill="C4D79B"/>
            <w:noWrap/>
            <w:vAlign w:val="center"/>
            <w:hideMark/>
          </w:tcPr>
          <w:p w14:paraId="7FE874BB" w14:textId="77777777" w:rsidR="002D28C5" w:rsidRPr="00930651" w:rsidRDefault="00814B59"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71" w:type="dxa"/>
            <w:tcBorders>
              <w:top w:val="nil"/>
              <w:left w:val="nil"/>
              <w:bottom w:val="single" w:sz="4" w:space="0" w:color="auto"/>
              <w:right w:val="single" w:sz="4" w:space="0" w:color="auto"/>
            </w:tcBorders>
            <w:shd w:val="clear" w:color="000000" w:fill="C4D79B"/>
            <w:noWrap/>
            <w:vAlign w:val="center"/>
            <w:hideMark/>
          </w:tcPr>
          <w:p w14:paraId="13D334EE" w14:textId="77777777" w:rsidR="002D28C5" w:rsidRPr="00930651" w:rsidRDefault="00814B59" w:rsidP="00A26E01">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109</w:t>
            </w:r>
          </w:p>
        </w:tc>
        <w:tc>
          <w:tcPr>
            <w:tcW w:w="1171" w:type="dxa"/>
            <w:tcBorders>
              <w:top w:val="nil"/>
              <w:left w:val="nil"/>
              <w:bottom w:val="single" w:sz="4" w:space="0" w:color="auto"/>
              <w:right w:val="single" w:sz="4" w:space="0" w:color="auto"/>
            </w:tcBorders>
            <w:shd w:val="clear" w:color="000000" w:fill="C4D79B"/>
            <w:noWrap/>
            <w:vAlign w:val="center"/>
            <w:hideMark/>
          </w:tcPr>
          <w:p w14:paraId="28A23FD7" w14:textId="375AB263" w:rsidR="002D28C5" w:rsidRPr="00930651" w:rsidRDefault="00814B59" w:rsidP="00725547">
            <w:pPr>
              <w:ind w:left="0" w:firstLine="0"/>
              <w:jc w:val="right"/>
              <w:rPr>
                <w:rFonts w:asciiTheme="minorHAnsi" w:eastAsia="Times New Roman" w:hAnsiTheme="minorHAnsi" w:cs="Arial"/>
                <w:b/>
                <w:bCs/>
                <w:color w:val="000000"/>
                <w:sz w:val="20"/>
                <w:szCs w:val="20"/>
              </w:rPr>
            </w:pPr>
            <w:r w:rsidRPr="00930651">
              <w:rPr>
                <w:rFonts w:asciiTheme="minorHAnsi" w:hAnsiTheme="minorHAnsi"/>
                <w:b/>
                <w:color w:val="000000"/>
                <w:sz w:val="20"/>
              </w:rPr>
              <w:t>32</w:t>
            </w:r>
            <w:r w:rsidR="00725547">
              <w:rPr>
                <w:rFonts w:asciiTheme="minorHAnsi" w:hAnsiTheme="minorHAnsi"/>
                <w:b/>
                <w:color w:val="000000"/>
                <w:sz w:val="20"/>
              </w:rPr>
              <w:t>7</w:t>
            </w:r>
          </w:p>
        </w:tc>
      </w:tr>
      <w:tr w:rsidR="002D28C5" w:rsidRPr="00930651" w14:paraId="7A82939D"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A44ED5F" w14:textId="77777777" w:rsidR="002D28C5" w:rsidRPr="00930651" w:rsidRDefault="00814B59" w:rsidP="00A26E01">
            <w:pPr>
              <w:ind w:left="0" w:firstLine="0"/>
              <w:rPr>
                <w:rFonts w:asciiTheme="minorHAnsi" w:eastAsia="Times New Roman" w:hAnsiTheme="minorHAnsi" w:cs="Arial"/>
                <w:sz w:val="20"/>
                <w:szCs w:val="20"/>
              </w:rPr>
            </w:pPr>
            <w:r w:rsidRPr="00930651">
              <w:rPr>
                <w:rFonts w:asciiTheme="minorHAnsi" w:hAnsiTheme="minorHAnsi"/>
                <w:sz w:val="20"/>
              </w:rPr>
              <w:t>Provisions pour le personnel</w:t>
            </w:r>
          </w:p>
        </w:tc>
        <w:tc>
          <w:tcPr>
            <w:tcW w:w="1170" w:type="dxa"/>
            <w:tcBorders>
              <w:top w:val="nil"/>
              <w:left w:val="nil"/>
              <w:bottom w:val="single" w:sz="4" w:space="0" w:color="auto"/>
              <w:right w:val="single" w:sz="4" w:space="0" w:color="auto"/>
            </w:tcBorders>
            <w:shd w:val="clear" w:color="auto" w:fill="auto"/>
            <w:noWrap/>
            <w:vAlign w:val="center"/>
            <w:hideMark/>
          </w:tcPr>
          <w:p w14:paraId="21533FB0" w14:textId="77777777" w:rsidR="002D28C5" w:rsidRPr="00930651" w:rsidRDefault="007B7B47" w:rsidP="00A26E01">
            <w:pPr>
              <w:ind w:left="0" w:firstLine="0"/>
              <w:jc w:val="right"/>
              <w:rPr>
                <w:rFonts w:asciiTheme="minorHAnsi" w:eastAsia="Times New Roman" w:hAnsiTheme="minorHAnsi" w:cs="Arial"/>
                <w:sz w:val="20"/>
                <w:szCs w:val="20"/>
              </w:rPr>
            </w:pPr>
            <w:r w:rsidRPr="00930651">
              <w:rPr>
                <w:rFonts w:asciiTheme="minorHAnsi" w:hAnsiTheme="minorHAnsi"/>
                <w:sz w:val="20"/>
              </w:rPr>
              <w:t>20</w:t>
            </w:r>
          </w:p>
        </w:tc>
        <w:tc>
          <w:tcPr>
            <w:tcW w:w="1171" w:type="dxa"/>
            <w:tcBorders>
              <w:top w:val="nil"/>
              <w:left w:val="nil"/>
              <w:bottom w:val="single" w:sz="4" w:space="0" w:color="auto"/>
              <w:right w:val="single" w:sz="4" w:space="0" w:color="auto"/>
            </w:tcBorders>
            <w:shd w:val="clear" w:color="auto" w:fill="auto"/>
            <w:noWrap/>
            <w:vAlign w:val="center"/>
            <w:hideMark/>
          </w:tcPr>
          <w:p w14:paraId="11BF052D" w14:textId="77777777" w:rsidR="002D28C5" w:rsidRPr="00930651"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20</w:t>
            </w:r>
          </w:p>
        </w:tc>
        <w:tc>
          <w:tcPr>
            <w:tcW w:w="1171" w:type="dxa"/>
            <w:tcBorders>
              <w:top w:val="nil"/>
              <w:left w:val="nil"/>
              <w:bottom w:val="single" w:sz="4" w:space="0" w:color="auto"/>
              <w:right w:val="single" w:sz="4" w:space="0" w:color="auto"/>
            </w:tcBorders>
            <w:shd w:val="clear" w:color="auto" w:fill="auto"/>
            <w:noWrap/>
            <w:vAlign w:val="center"/>
            <w:hideMark/>
          </w:tcPr>
          <w:p w14:paraId="683658B3" w14:textId="77777777" w:rsidR="002D28C5" w:rsidRPr="00930651" w:rsidRDefault="00814B59"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20</w:t>
            </w:r>
          </w:p>
        </w:tc>
        <w:tc>
          <w:tcPr>
            <w:tcW w:w="1171" w:type="dxa"/>
            <w:tcBorders>
              <w:top w:val="nil"/>
              <w:left w:val="nil"/>
              <w:bottom w:val="single" w:sz="4" w:space="0" w:color="auto"/>
              <w:right w:val="single" w:sz="4" w:space="0" w:color="auto"/>
            </w:tcBorders>
            <w:shd w:val="clear" w:color="auto" w:fill="auto"/>
            <w:noWrap/>
            <w:vAlign w:val="center"/>
            <w:hideMark/>
          </w:tcPr>
          <w:p w14:paraId="07F5C491" w14:textId="77777777" w:rsidR="002D28C5" w:rsidRPr="00930651"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60</w:t>
            </w:r>
          </w:p>
        </w:tc>
      </w:tr>
      <w:tr w:rsidR="00814B59" w:rsidRPr="00930651" w14:paraId="562A404B" w14:textId="77777777" w:rsidTr="008F4A6B">
        <w:tc>
          <w:tcPr>
            <w:tcW w:w="4673" w:type="dxa"/>
            <w:tcBorders>
              <w:top w:val="nil"/>
              <w:left w:val="single" w:sz="4" w:space="0" w:color="auto"/>
              <w:bottom w:val="single" w:sz="4" w:space="0" w:color="auto"/>
              <w:right w:val="single" w:sz="4" w:space="0" w:color="auto"/>
            </w:tcBorders>
            <w:shd w:val="clear" w:color="auto" w:fill="auto"/>
            <w:noWrap/>
            <w:vAlign w:val="center"/>
          </w:tcPr>
          <w:p w14:paraId="7E65DCED" w14:textId="77777777" w:rsidR="00814B59" w:rsidRPr="00930651" w:rsidRDefault="00814B59" w:rsidP="00A26E01">
            <w:pPr>
              <w:ind w:left="0" w:firstLine="0"/>
              <w:rPr>
                <w:rFonts w:asciiTheme="minorHAnsi" w:eastAsia="Times New Roman" w:hAnsiTheme="minorHAnsi" w:cs="Arial"/>
                <w:sz w:val="20"/>
                <w:szCs w:val="20"/>
              </w:rPr>
            </w:pPr>
            <w:r w:rsidRPr="00930651">
              <w:rPr>
                <w:rFonts w:asciiTheme="minorHAnsi" w:hAnsiTheme="minorHAnsi"/>
                <w:sz w:val="20"/>
              </w:rPr>
              <w:t>Provisions pour contributions impayées</w:t>
            </w:r>
          </w:p>
        </w:tc>
        <w:tc>
          <w:tcPr>
            <w:tcW w:w="1170" w:type="dxa"/>
            <w:tcBorders>
              <w:top w:val="nil"/>
              <w:left w:val="nil"/>
              <w:bottom w:val="single" w:sz="4" w:space="0" w:color="auto"/>
              <w:right w:val="single" w:sz="4" w:space="0" w:color="auto"/>
            </w:tcBorders>
            <w:shd w:val="clear" w:color="auto" w:fill="auto"/>
            <w:noWrap/>
            <w:vAlign w:val="center"/>
          </w:tcPr>
          <w:p w14:paraId="24D969B5" w14:textId="77777777" w:rsidR="00814B59" w:rsidRPr="00930651" w:rsidDel="00814B59"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71" w:type="dxa"/>
            <w:tcBorders>
              <w:top w:val="nil"/>
              <w:left w:val="nil"/>
              <w:bottom w:val="single" w:sz="4" w:space="0" w:color="auto"/>
              <w:right w:val="single" w:sz="4" w:space="0" w:color="auto"/>
            </w:tcBorders>
            <w:shd w:val="clear" w:color="auto" w:fill="auto"/>
            <w:noWrap/>
            <w:vAlign w:val="center"/>
          </w:tcPr>
          <w:p w14:paraId="43B9171A" w14:textId="77777777" w:rsidR="00814B59" w:rsidRPr="00930651" w:rsidDel="00814B59"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30</w:t>
            </w:r>
          </w:p>
        </w:tc>
        <w:tc>
          <w:tcPr>
            <w:tcW w:w="1171" w:type="dxa"/>
            <w:tcBorders>
              <w:top w:val="nil"/>
              <w:left w:val="nil"/>
              <w:bottom w:val="single" w:sz="4" w:space="0" w:color="auto"/>
              <w:right w:val="single" w:sz="4" w:space="0" w:color="auto"/>
            </w:tcBorders>
            <w:shd w:val="clear" w:color="auto" w:fill="auto"/>
            <w:noWrap/>
            <w:vAlign w:val="center"/>
          </w:tcPr>
          <w:p w14:paraId="2EB80BD3" w14:textId="77777777" w:rsidR="00814B59" w:rsidRPr="00930651" w:rsidDel="00814B59" w:rsidRDefault="00814B59"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30</w:t>
            </w:r>
          </w:p>
        </w:tc>
        <w:tc>
          <w:tcPr>
            <w:tcW w:w="1171" w:type="dxa"/>
            <w:tcBorders>
              <w:top w:val="nil"/>
              <w:left w:val="nil"/>
              <w:bottom w:val="single" w:sz="4" w:space="0" w:color="auto"/>
              <w:right w:val="single" w:sz="4" w:space="0" w:color="auto"/>
            </w:tcBorders>
            <w:shd w:val="clear" w:color="auto" w:fill="auto"/>
            <w:noWrap/>
            <w:vAlign w:val="center"/>
          </w:tcPr>
          <w:p w14:paraId="65AA6D26" w14:textId="77777777" w:rsidR="00814B59" w:rsidRPr="00930651" w:rsidDel="00814B59"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90</w:t>
            </w:r>
          </w:p>
        </w:tc>
      </w:tr>
      <w:tr w:rsidR="002D28C5" w:rsidRPr="00930651" w14:paraId="4258A55B" w14:textId="77777777" w:rsidTr="008F4A6B">
        <w:tc>
          <w:tcPr>
            <w:tcW w:w="4673" w:type="dxa"/>
            <w:tcBorders>
              <w:top w:val="single" w:sz="4" w:space="0" w:color="auto"/>
              <w:left w:val="single" w:sz="4" w:space="0" w:color="auto"/>
              <w:bottom w:val="nil"/>
              <w:right w:val="single" w:sz="4" w:space="0" w:color="auto"/>
            </w:tcBorders>
            <w:shd w:val="clear" w:color="auto" w:fill="auto"/>
            <w:noWrap/>
            <w:vAlign w:val="center"/>
            <w:hideMark/>
          </w:tcPr>
          <w:p w14:paraId="2DF14FE5" w14:textId="77777777" w:rsidR="002D28C5" w:rsidRPr="00930651" w:rsidRDefault="002D28C5" w:rsidP="00A26E01">
            <w:pPr>
              <w:ind w:left="0" w:firstLine="0"/>
              <w:rPr>
                <w:rFonts w:asciiTheme="minorHAnsi" w:eastAsia="Times New Roman" w:hAnsiTheme="minorHAnsi" w:cs="Arial"/>
                <w:sz w:val="20"/>
                <w:szCs w:val="20"/>
              </w:rPr>
            </w:pPr>
            <w:r w:rsidRPr="00930651">
              <w:rPr>
                <w:rFonts w:asciiTheme="minorHAnsi" w:hAnsiTheme="minorHAnsi"/>
                <w:sz w:val="20"/>
              </w:rPr>
              <w:t>Services juridiques</w:t>
            </w:r>
          </w:p>
        </w:tc>
        <w:tc>
          <w:tcPr>
            <w:tcW w:w="1170" w:type="dxa"/>
            <w:tcBorders>
              <w:top w:val="nil"/>
              <w:left w:val="nil"/>
              <w:bottom w:val="single" w:sz="4" w:space="0" w:color="auto"/>
              <w:right w:val="single" w:sz="4" w:space="0" w:color="auto"/>
            </w:tcBorders>
            <w:shd w:val="clear" w:color="auto" w:fill="auto"/>
            <w:noWrap/>
            <w:vAlign w:val="center"/>
            <w:hideMark/>
          </w:tcPr>
          <w:p w14:paraId="1D92C515" w14:textId="77777777" w:rsidR="002D28C5" w:rsidRPr="00930651" w:rsidRDefault="00814B59"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59</w:t>
            </w:r>
          </w:p>
        </w:tc>
        <w:tc>
          <w:tcPr>
            <w:tcW w:w="1171" w:type="dxa"/>
            <w:tcBorders>
              <w:top w:val="nil"/>
              <w:left w:val="nil"/>
              <w:bottom w:val="single" w:sz="4" w:space="0" w:color="auto"/>
              <w:right w:val="single" w:sz="4" w:space="0" w:color="auto"/>
            </w:tcBorders>
            <w:shd w:val="clear" w:color="auto" w:fill="auto"/>
            <w:noWrap/>
            <w:vAlign w:val="center"/>
            <w:hideMark/>
          </w:tcPr>
          <w:p w14:paraId="229F75A5" w14:textId="77777777" w:rsidR="002D28C5" w:rsidRPr="00930651" w:rsidRDefault="00635E0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59</w:t>
            </w:r>
          </w:p>
        </w:tc>
        <w:tc>
          <w:tcPr>
            <w:tcW w:w="1171" w:type="dxa"/>
            <w:tcBorders>
              <w:top w:val="single" w:sz="4" w:space="0" w:color="auto"/>
              <w:left w:val="nil"/>
              <w:bottom w:val="nil"/>
              <w:right w:val="single" w:sz="4" w:space="0" w:color="auto"/>
            </w:tcBorders>
            <w:shd w:val="clear" w:color="auto" w:fill="auto"/>
            <w:noWrap/>
            <w:vAlign w:val="center"/>
            <w:hideMark/>
          </w:tcPr>
          <w:p w14:paraId="5A710B90" w14:textId="77777777" w:rsidR="002D28C5" w:rsidRPr="00930651" w:rsidRDefault="00814B59" w:rsidP="00A26E01">
            <w:pPr>
              <w:ind w:left="0" w:firstLine="0"/>
              <w:jc w:val="right"/>
              <w:rPr>
                <w:rFonts w:asciiTheme="minorHAnsi" w:eastAsia="Times New Roman" w:hAnsiTheme="minorHAnsi" w:cs="Arial"/>
                <w:color w:val="000000"/>
                <w:sz w:val="20"/>
                <w:szCs w:val="20"/>
              </w:rPr>
            </w:pPr>
            <w:r w:rsidRPr="00930651">
              <w:rPr>
                <w:rFonts w:asciiTheme="minorHAnsi" w:hAnsiTheme="minorHAnsi"/>
                <w:color w:val="000000"/>
                <w:sz w:val="20"/>
              </w:rPr>
              <w:t>59</w:t>
            </w:r>
          </w:p>
        </w:tc>
        <w:tc>
          <w:tcPr>
            <w:tcW w:w="1171" w:type="dxa"/>
            <w:tcBorders>
              <w:top w:val="nil"/>
              <w:left w:val="nil"/>
              <w:bottom w:val="single" w:sz="4" w:space="0" w:color="auto"/>
              <w:right w:val="single" w:sz="4" w:space="0" w:color="auto"/>
            </w:tcBorders>
            <w:shd w:val="clear" w:color="auto" w:fill="auto"/>
            <w:noWrap/>
            <w:vAlign w:val="center"/>
            <w:hideMark/>
          </w:tcPr>
          <w:p w14:paraId="3DD57E3C" w14:textId="77777777" w:rsidR="002D28C5" w:rsidRPr="00930651" w:rsidRDefault="00635E05" w:rsidP="00A26E01">
            <w:pPr>
              <w:ind w:left="0" w:firstLine="0"/>
              <w:jc w:val="right"/>
              <w:rPr>
                <w:rFonts w:asciiTheme="minorHAnsi" w:eastAsia="Times New Roman" w:hAnsiTheme="minorHAnsi" w:cs="Arial"/>
                <w:sz w:val="20"/>
                <w:szCs w:val="20"/>
              </w:rPr>
            </w:pPr>
            <w:r w:rsidRPr="00930651">
              <w:rPr>
                <w:rFonts w:asciiTheme="minorHAnsi" w:hAnsiTheme="minorHAnsi"/>
                <w:sz w:val="20"/>
              </w:rPr>
              <w:t>177</w:t>
            </w:r>
          </w:p>
        </w:tc>
      </w:tr>
      <w:tr w:rsidR="002D28C5" w:rsidRPr="00930651" w14:paraId="75972D12" w14:textId="77777777" w:rsidTr="008F4A6B">
        <w:tc>
          <w:tcPr>
            <w:tcW w:w="467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DCC5A91" w14:textId="77777777" w:rsidR="002D28C5" w:rsidRPr="00930651" w:rsidRDefault="002D28C5" w:rsidP="00A26E01">
            <w:pPr>
              <w:ind w:left="0" w:firstLine="0"/>
              <w:rPr>
                <w:rFonts w:asciiTheme="minorHAnsi" w:eastAsia="Times New Roman" w:hAnsiTheme="minorHAnsi" w:cs="Arial"/>
                <w:b/>
                <w:bCs/>
                <w:color w:val="1F497D"/>
                <w:sz w:val="20"/>
                <w:szCs w:val="20"/>
              </w:rPr>
            </w:pPr>
            <w:r w:rsidRPr="00930651">
              <w:rPr>
                <w:rFonts w:asciiTheme="minorHAnsi" w:hAnsiTheme="minorHAnsi"/>
                <w:b/>
                <w:color w:val="1F497D"/>
                <w:sz w:val="20"/>
              </w:rPr>
              <w:t>MONTANT TOTAL DES DÉPENSES</w:t>
            </w:r>
          </w:p>
        </w:tc>
        <w:tc>
          <w:tcPr>
            <w:tcW w:w="1170" w:type="dxa"/>
            <w:tcBorders>
              <w:top w:val="single" w:sz="4" w:space="0" w:color="auto"/>
              <w:left w:val="nil"/>
              <w:bottom w:val="single" w:sz="4" w:space="0" w:color="auto"/>
              <w:right w:val="single" w:sz="4" w:space="0" w:color="auto"/>
            </w:tcBorders>
            <w:shd w:val="clear" w:color="000000" w:fill="C4D79B"/>
            <w:noWrap/>
            <w:vAlign w:val="center"/>
            <w:hideMark/>
          </w:tcPr>
          <w:p w14:paraId="03BB4399" w14:textId="77777777" w:rsidR="002D28C5" w:rsidRPr="00930651" w:rsidRDefault="00814B59" w:rsidP="00A26E01">
            <w:pPr>
              <w:ind w:left="0" w:firstLine="0"/>
              <w:jc w:val="right"/>
              <w:rPr>
                <w:rFonts w:eastAsia="Times New Roman" w:cs="Arial"/>
                <w:b/>
                <w:bCs/>
                <w:color w:val="000000"/>
              </w:rPr>
            </w:pPr>
            <w:r w:rsidRPr="00930651">
              <w:rPr>
                <w:b/>
                <w:color w:val="000000"/>
              </w:rPr>
              <w:t>5 227</w:t>
            </w:r>
          </w:p>
        </w:tc>
        <w:tc>
          <w:tcPr>
            <w:tcW w:w="1171" w:type="dxa"/>
            <w:tcBorders>
              <w:top w:val="single" w:sz="4" w:space="0" w:color="auto"/>
              <w:left w:val="nil"/>
              <w:bottom w:val="single" w:sz="4" w:space="0" w:color="auto"/>
              <w:right w:val="single" w:sz="4" w:space="0" w:color="auto"/>
            </w:tcBorders>
            <w:shd w:val="clear" w:color="000000" w:fill="C4D79B"/>
            <w:noWrap/>
            <w:vAlign w:val="center"/>
            <w:hideMark/>
          </w:tcPr>
          <w:p w14:paraId="421CECAB" w14:textId="77777777" w:rsidR="002D28C5" w:rsidRPr="00930651" w:rsidRDefault="00814B59" w:rsidP="00A26E01">
            <w:pPr>
              <w:ind w:left="0" w:firstLine="0"/>
              <w:jc w:val="right"/>
              <w:rPr>
                <w:rFonts w:eastAsia="Times New Roman" w:cs="Arial"/>
                <w:b/>
                <w:bCs/>
                <w:color w:val="000000"/>
              </w:rPr>
            </w:pPr>
            <w:r w:rsidRPr="00930651">
              <w:rPr>
                <w:b/>
                <w:color w:val="000000"/>
              </w:rPr>
              <w:t>5 227</w:t>
            </w:r>
          </w:p>
        </w:tc>
        <w:tc>
          <w:tcPr>
            <w:tcW w:w="1171" w:type="dxa"/>
            <w:tcBorders>
              <w:top w:val="single" w:sz="4" w:space="0" w:color="auto"/>
              <w:left w:val="nil"/>
              <w:bottom w:val="single" w:sz="4" w:space="0" w:color="auto"/>
              <w:right w:val="single" w:sz="4" w:space="0" w:color="auto"/>
            </w:tcBorders>
            <w:shd w:val="clear" w:color="000000" w:fill="C4D79B"/>
            <w:noWrap/>
            <w:vAlign w:val="center"/>
            <w:hideMark/>
          </w:tcPr>
          <w:p w14:paraId="6AB03CC7" w14:textId="77777777" w:rsidR="002D28C5" w:rsidRPr="00930651" w:rsidRDefault="00814B59">
            <w:pPr>
              <w:ind w:left="0" w:firstLine="0"/>
              <w:jc w:val="right"/>
              <w:rPr>
                <w:rFonts w:eastAsia="Times New Roman" w:cs="Arial"/>
                <w:b/>
                <w:bCs/>
                <w:color w:val="000000"/>
              </w:rPr>
            </w:pPr>
            <w:r w:rsidRPr="00930651">
              <w:rPr>
                <w:b/>
                <w:color w:val="000000"/>
              </w:rPr>
              <w:t>5 463</w:t>
            </w:r>
          </w:p>
        </w:tc>
        <w:tc>
          <w:tcPr>
            <w:tcW w:w="1171" w:type="dxa"/>
            <w:tcBorders>
              <w:top w:val="nil"/>
              <w:left w:val="nil"/>
              <w:bottom w:val="single" w:sz="4" w:space="0" w:color="auto"/>
              <w:right w:val="single" w:sz="4" w:space="0" w:color="auto"/>
            </w:tcBorders>
            <w:shd w:val="clear" w:color="000000" w:fill="C4D79B"/>
            <w:noWrap/>
            <w:vAlign w:val="center"/>
            <w:hideMark/>
          </w:tcPr>
          <w:p w14:paraId="06188446" w14:textId="77777777" w:rsidR="002D28C5" w:rsidRPr="00930651" w:rsidRDefault="00814B59">
            <w:pPr>
              <w:ind w:left="0" w:firstLine="0"/>
              <w:jc w:val="right"/>
              <w:rPr>
                <w:rFonts w:eastAsia="Times New Roman" w:cs="Arial"/>
                <w:b/>
                <w:bCs/>
                <w:color w:val="000000"/>
              </w:rPr>
            </w:pPr>
            <w:r w:rsidRPr="00930651">
              <w:rPr>
                <w:b/>
                <w:color w:val="000000"/>
              </w:rPr>
              <w:t>15 917</w:t>
            </w:r>
          </w:p>
        </w:tc>
      </w:tr>
    </w:tbl>
    <w:p w14:paraId="44D2E530" w14:textId="4814C6BA" w:rsidR="00FE49DA" w:rsidRPr="00930651" w:rsidRDefault="00FE49DA" w:rsidP="00FE49DA">
      <w:pPr>
        <w:pStyle w:val="ListParagraph"/>
        <w:ind w:left="0" w:firstLine="0"/>
        <w:contextualSpacing w:val="0"/>
        <w:rPr>
          <w:rFonts w:cs="Arial"/>
          <w:b/>
          <w:sz w:val="24"/>
          <w:szCs w:val="24"/>
        </w:rPr>
      </w:pPr>
      <w:r w:rsidRPr="00930651">
        <w:rPr>
          <w:b/>
          <w:sz w:val="24"/>
        </w:rPr>
        <w:lastRenderedPageBreak/>
        <w:t xml:space="preserve">Annexe 2 </w:t>
      </w:r>
    </w:p>
    <w:p w14:paraId="69AF3A1A" w14:textId="7CA8E041" w:rsidR="00464F8A" w:rsidRPr="00930651" w:rsidRDefault="00464F8A" w:rsidP="00464F8A">
      <w:pPr>
        <w:tabs>
          <w:tab w:val="left" w:pos="5467"/>
          <w:tab w:val="left" w:pos="6616"/>
          <w:tab w:val="left" w:pos="7639"/>
        </w:tabs>
        <w:rPr>
          <w:rFonts w:cstheme="minorHAnsi"/>
          <w:b/>
          <w:bCs/>
          <w:sz w:val="24"/>
          <w:szCs w:val="24"/>
        </w:rPr>
      </w:pPr>
      <w:r w:rsidRPr="00930651">
        <w:rPr>
          <w:b/>
          <w:sz w:val="24"/>
        </w:rPr>
        <w:t>Contributions estimées des Parties contractantes au budget administratif pour 2023-2025</w:t>
      </w:r>
      <w:r w:rsidR="006B29E4">
        <w:rPr>
          <w:rStyle w:val="FootnoteReference"/>
          <w:b/>
          <w:sz w:val="24"/>
        </w:rPr>
        <w:footnoteReference w:id="4"/>
      </w:r>
    </w:p>
    <w:p w14:paraId="0254E538" w14:textId="77777777" w:rsidR="00464F8A" w:rsidRPr="00930651" w:rsidRDefault="00464F8A" w:rsidP="00EA22B9">
      <w:pPr>
        <w:ind w:left="0" w:firstLine="0"/>
      </w:pPr>
    </w:p>
    <w:tbl>
      <w:tblPr>
        <w:tblW w:w="10065" w:type="dxa"/>
        <w:tblInd w:w="-572" w:type="dxa"/>
        <w:tblLayout w:type="fixed"/>
        <w:tblCellMar>
          <w:left w:w="57" w:type="dxa"/>
          <w:right w:w="57" w:type="dxa"/>
        </w:tblCellMar>
        <w:tblLook w:val="04A0" w:firstRow="1" w:lastRow="0" w:firstColumn="1" w:lastColumn="0" w:noHBand="0" w:noVBand="1"/>
      </w:tblPr>
      <w:tblGrid>
        <w:gridCol w:w="2664"/>
        <w:gridCol w:w="1134"/>
        <w:gridCol w:w="1022"/>
        <w:gridCol w:w="1311"/>
        <w:gridCol w:w="1311"/>
        <w:gridCol w:w="1311"/>
        <w:gridCol w:w="1312"/>
      </w:tblGrid>
      <w:tr w:rsidR="006B29E4" w:rsidRPr="006B29E4" w14:paraId="5C4AA766" w14:textId="77777777" w:rsidTr="00A31639">
        <w:trPr>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EA4CCB" w14:textId="77777777" w:rsidR="001E3C24" w:rsidRPr="006B29E4" w:rsidRDefault="001E3C24" w:rsidP="001E3C24">
            <w:pPr>
              <w:ind w:left="0" w:firstLine="0"/>
              <w:jc w:val="center"/>
              <w:rPr>
                <w:rFonts w:asciiTheme="minorHAnsi" w:eastAsia="Times New Roman" w:hAnsiTheme="minorHAnsi" w:cs="Arial"/>
                <w:b/>
                <w:bCs/>
                <w:sz w:val="20"/>
                <w:szCs w:val="20"/>
              </w:rPr>
            </w:pPr>
            <w:r w:rsidRPr="006B29E4">
              <w:rPr>
                <w:rFonts w:asciiTheme="minorHAnsi" w:hAnsiTheme="minorHAnsi"/>
                <w:b/>
                <w:sz w:val="20"/>
              </w:rPr>
              <w:t xml:space="preserve">Partie contractante </w:t>
            </w:r>
            <w:r w:rsidRPr="006B29E4">
              <w:rPr>
                <w:rFonts w:asciiTheme="minorHAnsi" w:hAnsiTheme="minorHAnsi"/>
                <w:b/>
                <w:sz w:val="20"/>
              </w:rPr>
              <w:br/>
              <w:t>(membre au 1</w:t>
            </w:r>
            <w:r w:rsidRPr="006B29E4">
              <w:rPr>
                <w:rFonts w:asciiTheme="minorHAnsi" w:hAnsiTheme="minorHAnsi"/>
                <w:b/>
                <w:sz w:val="20"/>
                <w:vertAlign w:val="superscript"/>
              </w:rPr>
              <w:t>er</w:t>
            </w:r>
            <w:r w:rsidRPr="006B29E4">
              <w:rPr>
                <w:rFonts w:asciiTheme="minorHAnsi" w:hAnsiTheme="minorHAnsi"/>
                <w:b/>
                <w:sz w:val="20"/>
              </w:rPr>
              <w:t> janvier 2022)</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090CB1B" w14:textId="77777777" w:rsidR="001E3C24" w:rsidRPr="006B29E4" w:rsidRDefault="001E3C24" w:rsidP="001E3C24">
            <w:pPr>
              <w:ind w:left="0" w:firstLine="0"/>
              <w:jc w:val="center"/>
              <w:rPr>
                <w:rFonts w:asciiTheme="minorHAnsi" w:eastAsia="Times New Roman" w:hAnsiTheme="minorHAnsi" w:cs="Arial"/>
                <w:b/>
                <w:bCs/>
                <w:sz w:val="20"/>
                <w:szCs w:val="20"/>
              </w:rPr>
            </w:pPr>
            <w:r w:rsidRPr="006B29E4">
              <w:rPr>
                <w:rFonts w:asciiTheme="minorHAnsi" w:hAnsiTheme="minorHAnsi"/>
                <w:b/>
                <w:sz w:val="20"/>
              </w:rPr>
              <w:t>Barème ONU 2022-2024*</w:t>
            </w:r>
          </w:p>
        </w:tc>
        <w:tc>
          <w:tcPr>
            <w:tcW w:w="102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DCCC6F6" w14:textId="77777777" w:rsidR="001E3C24" w:rsidRPr="006B29E4" w:rsidRDefault="001E3C24" w:rsidP="001E3C24">
            <w:pPr>
              <w:ind w:left="0" w:firstLine="0"/>
              <w:jc w:val="center"/>
              <w:rPr>
                <w:rFonts w:asciiTheme="minorHAnsi" w:eastAsia="Times New Roman" w:hAnsiTheme="minorHAnsi" w:cs="Arial"/>
                <w:b/>
                <w:bCs/>
                <w:sz w:val="20"/>
                <w:szCs w:val="20"/>
              </w:rPr>
            </w:pPr>
            <w:r w:rsidRPr="006B29E4">
              <w:rPr>
                <w:rFonts w:asciiTheme="minorHAnsi" w:hAnsiTheme="minorHAnsi"/>
                <w:b/>
                <w:sz w:val="20"/>
              </w:rPr>
              <w:t xml:space="preserve">% Ramsar total </w:t>
            </w:r>
          </w:p>
        </w:tc>
        <w:tc>
          <w:tcPr>
            <w:tcW w:w="1311"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EFA394E" w14:textId="2933FAE6" w:rsidR="001E3C24" w:rsidRPr="006B29E4" w:rsidRDefault="001E3C24" w:rsidP="001E3C24">
            <w:pPr>
              <w:ind w:left="0" w:firstLine="0"/>
              <w:jc w:val="center"/>
              <w:rPr>
                <w:rFonts w:asciiTheme="minorHAnsi" w:hAnsiTheme="minorHAnsi"/>
                <w:b/>
                <w:sz w:val="20"/>
              </w:rPr>
            </w:pPr>
            <w:r w:rsidRPr="006B29E4">
              <w:rPr>
                <w:rFonts w:asciiTheme="minorHAnsi" w:hAnsiTheme="minorHAnsi"/>
                <w:b/>
                <w:sz w:val="20"/>
              </w:rPr>
              <w:t>Contribution annuelle 2019-2021</w:t>
            </w:r>
          </w:p>
        </w:tc>
        <w:tc>
          <w:tcPr>
            <w:tcW w:w="1311"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33F9CAD2" w14:textId="03FC2AF5" w:rsidR="001E3C24" w:rsidRPr="006B29E4" w:rsidRDefault="001E3C24" w:rsidP="001E3C24">
            <w:pPr>
              <w:ind w:left="0" w:firstLine="0"/>
              <w:jc w:val="center"/>
              <w:rPr>
                <w:rFonts w:asciiTheme="minorHAnsi" w:eastAsia="Times New Roman" w:hAnsiTheme="minorHAnsi" w:cs="Arial"/>
                <w:b/>
                <w:bCs/>
                <w:sz w:val="20"/>
                <w:szCs w:val="20"/>
              </w:rPr>
            </w:pPr>
            <w:r w:rsidRPr="006B29E4">
              <w:rPr>
                <w:rFonts w:asciiTheme="minorHAnsi" w:hAnsiTheme="minorHAnsi"/>
                <w:b/>
                <w:sz w:val="20"/>
              </w:rPr>
              <w:t>Contribution annuelle estimée 2023-2025</w:t>
            </w:r>
            <w:r w:rsidRPr="006B29E4">
              <w:rPr>
                <w:rFonts w:asciiTheme="minorHAnsi" w:hAnsiTheme="minorHAnsi"/>
                <w:b/>
                <w:sz w:val="20"/>
              </w:rPr>
              <w:br/>
              <w:t>Scénario A</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10E6B315" w14:textId="77777777" w:rsidR="001E3C24" w:rsidRPr="006B29E4" w:rsidRDefault="001E3C24" w:rsidP="001E3C24">
            <w:pPr>
              <w:ind w:left="0" w:firstLine="0"/>
              <w:jc w:val="center"/>
              <w:rPr>
                <w:rFonts w:asciiTheme="minorHAnsi" w:eastAsia="Times New Roman" w:hAnsiTheme="minorHAnsi" w:cs="Arial"/>
                <w:b/>
                <w:bCs/>
                <w:sz w:val="20"/>
                <w:szCs w:val="20"/>
              </w:rPr>
            </w:pPr>
            <w:r w:rsidRPr="006B29E4">
              <w:rPr>
                <w:rFonts w:asciiTheme="minorHAnsi" w:hAnsiTheme="minorHAnsi"/>
                <w:b/>
                <w:sz w:val="20"/>
              </w:rPr>
              <w:t>Contribution annuelle estimée 2023-2025</w:t>
            </w:r>
            <w:r w:rsidRPr="006B29E4">
              <w:rPr>
                <w:rFonts w:asciiTheme="minorHAnsi" w:hAnsiTheme="minorHAnsi"/>
                <w:b/>
                <w:sz w:val="20"/>
              </w:rPr>
              <w:br/>
              <w:t>Scénario B</w:t>
            </w:r>
          </w:p>
        </w:tc>
        <w:tc>
          <w:tcPr>
            <w:tcW w:w="1312" w:type="dxa"/>
            <w:tcBorders>
              <w:top w:val="single" w:sz="4" w:space="0" w:color="auto"/>
              <w:left w:val="nil"/>
              <w:bottom w:val="single" w:sz="4" w:space="0" w:color="auto"/>
              <w:right w:val="single" w:sz="4" w:space="0" w:color="auto"/>
            </w:tcBorders>
            <w:shd w:val="clear" w:color="000000" w:fill="EBF1DE"/>
            <w:vAlign w:val="center"/>
            <w:hideMark/>
          </w:tcPr>
          <w:p w14:paraId="7D70E978" w14:textId="23F74E54" w:rsidR="001E3C24" w:rsidRPr="006B29E4" w:rsidRDefault="001E3C24" w:rsidP="001E3C24">
            <w:pPr>
              <w:ind w:left="0" w:firstLine="0"/>
              <w:jc w:val="center"/>
              <w:rPr>
                <w:rFonts w:asciiTheme="minorHAnsi" w:eastAsia="Times New Roman" w:hAnsiTheme="minorHAnsi" w:cs="Arial"/>
                <w:b/>
                <w:bCs/>
                <w:sz w:val="20"/>
                <w:szCs w:val="20"/>
              </w:rPr>
            </w:pPr>
            <w:r w:rsidRPr="006B29E4">
              <w:rPr>
                <w:rFonts w:asciiTheme="minorHAnsi" w:hAnsiTheme="minorHAnsi"/>
                <w:b/>
                <w:sz w:val="20"/>
              </w:rPr>
              <w:t>Contribution annuelle estimée 2025</w:t>
            </w:r>
            <w:r w:rsidRPr="006B29E4">
              <w:rPr>
                <w:rFonts w:asciiTheme="minorHAnsi" w:hAnsiTheme="minorHAnsi"/>
                <w:b/>
                <w:sz w:val="20"/>
              </w:rPr>
              <w:br/>
              <w:t>Scénario C</w:t>
            </w:r>
            <w:r w:rsidR="00A31639">
              <w:rPr>
                <w:rFonts w:asciiTheme="minorHAnsi" w:hAnsiTheme="minorHAnsi"/>
                <w:b/>
                <w:sz w:val="20"/>
              </w:rPr>
              <w:t>***</w:t>
            </w:r>
          </w:p>
        </w:tc>
      </w:tr>
      <w:tr w:rsidR="006B29E4" w:rsidRPr="006B29E4" w14:paraId="1A3BCC4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3798F24" w14:textId="77777777" w:rsidR="001E3C24" w:rsidRPr="006B29E4" w:rsidRDefault="001E3C24" w:rsidP="00A31639">
            <w:pPr>
              <w:ind w:left="0" w:firstLine="0"/>
              <w:rPr>
                <w:rFonts w:asciiTheme="minorHAnsi" w:eastAsia="Times New Roman" w:hAnsiTheme="minorHAnsi" w:cstheme="minorHAnsi"/>
                <w:sz w:val="20"/>
                <w:szCs w:val="20"/>
              </w:rPr>
            </w:pPr>
            <w:r w:rsidRPr="006B29E4">
              <w:rPr>
                <w:rFonts w:asciiTheme="minorHAnsi" w:hAnsiTheme="minorHAnsi"/>
                <w:sz w:val="20"/>
              </w:rPr>
              <w:t>Afrique du Sud</w:t>
            </w:r>
          </w:p>
        </w:tc>
        <w:tc>
          <w:tcPr>
            <w:tcW w:w="1134" w:type="dxa"/>
            <w:tcBorders>
              <w:top w:val="nil"/>
              <w:left w:val="nil"/>
              <w:bottom w:val="single" w:sz="4" w:space="0" w:color="auto"/>
              <w:right w:val="single" w:sz="4" w:space="0" w:color="auto"/>
            </w:tcBorders>
            <w:shd w:val="clear" w:color="auto" w:fill="auto"/>
            <w:noWrap/>
          </w:tcPr>
          <w:p w14:paraId="19754B2C"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0,244</w:t>
            </w:r>
          </w:p>
        </w:tc>
        <w:tc>
          <w:tcPr>
            <w:tcW w:w="1022" w:type="dxa"/>
            <w:tcBorders>
              <w:top w:val="nil"/>
              <w:left w:val="nil"/>
              <w:bottom w:val="single" w:sz="4" w:space="0" w:color="auto"/>
              <w:right w:val="single" w:sz="4" w:space="0" w:color="auto"/>
            </w:tcBorders>
            <w:shd w:val="clear" w:color="auto" w:fill="auto"/>
            <w:noWrap/>
          </w:tcPr>
          <w:p w14:paraId="43D18A76"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0,250 %</w:t>
            </w:r>
          </w:p>
        </w:tc>
        <w:tc>
          <w:tcPr>
            <w:tcW w:w="1311" w:type="dxa"/>
            <w:tcBorders>
              <w:top w:val="single" w:sz="4" w:space="0" w:color="auto"/>
              <w:left w:val="nil"/>
              <w:bottom w:val="single" w:sz="4" w:space="0" w:color="auto"/>
              <w:right w:val="single" w:sz="4" w:space="0" w:color="auto"/>
            </w:tcBorders>
          </w:tcPr>
          <w:p w14:paraId="58B9A28A" w14:textId="77777777" w:rsidR="001E3C24" w:rsidRPr="006B29E4" w:rsidRDefault="001E3C24" w:rsidP="00A31639">
            <w:pPr>
              <w:ind w:left="0" w:firstLine="0"/>
              <w:jc w:val="right"/>
              <w:rPr>
                <w:rFonts w:asciiTheme="minorHAnsi" w:hAnsiTheme="minorHAnsi"/>
                <w:sz w:val="20"/>
              </w:rPr>
            </w:pPr>
            <w:r w:rsidRPr="006B29E4">
              <w:rPr>
                <w:rFonts w:asciiTheme="minorHAnsi" w:hAnsiTheme="minorHAnsi"/>
                <w:sz w:val="20"/>
              </w:rPr>
              <w:t>13 313</w:t>
            </w:r>
          </w:p>
        </w:tc>
        <w:tc>
          <w:tcPr>
            <w:tcW w:w="1311" w:type="dxa"/>
            <w:tcBorders>
              <w:top w:val="nil"/>
              <w:left w:val="single" w:sz="4" w:space="0" w:color="auto"/>
              <w:bottom w:val="single" w:sz="4" w:space="0" w:color="auto"/>
              <w:right w:val="single" w:sz="4" w:space="0" w:color="auto"/>
            </w:tcBorders>
            <w:shd w:val="clear" w:color="auto" w:fill="auto"/>
            <w:noWrap/>
          </w:tcPr>
          <w:p w14:paraId="649D6185"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11 947</w:t>
            </w:r>
          </w:p>
        </w:tc>
        <w:tc>
          <w:tcPr>
            <w:tcW w:w="1311" w:type="dxa"/>
            <w:tcBorders>
              <w:top w:val="nil"/>
              <w:left w:val="nil"/>
              <w:bottom w:val="single" w:sz="4" w:space="0" w:color="auto"/>
              <w:right w:val="single" w:sz="4" w:space="0" w:color="auto"/>
            </w:tcBorders>
            <w:shd w:val="clear" w:color="auto" w:fill="auto"/>
            <w:noWrap/>
          </w:tcPr>
          <w:p w14:paraId="04B31FE9"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12 267</w:t>
            </w:r>
          </w:p>
        </w:tc>
        <w:tc>
          <w:tcPr>
            <w:tcW w:w="1312" w:type="dxa"/>
            <w:tcBorders>
              <w:top w:val="nil"/>
              <w:left w:val="nil"/>
              <w:bottom w:val="single" w:sz="4" w:space="0" w:color="auto"/>
              <w:right w:val="single" w:sz="4" w:space="0" w:color="auto"/>
            </w:tcBorders>
            <w:shd w:val="clear" w:color="auto" w:fill="auto"/>
            <w:noWrap/>
          </w:tcPr>
          <w:p w14:paraId="66DBD308"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12 862</w:t>
            </w:r>
          </w:p>
        </w:tc>
      </w:tr>
      <w:tr w:rsidR="006B29E4" w:rsidRPr="006B29E4" w14:paraId="63692C3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BF0ED11" w14:textId="77777777" w:rsidR="001E3C24" w:rsidRPr="006B29E4" w:rsidRDefault="001E3C24" w:rsidP="00A31639">
            <w:pPr>
              <w:ind w:left="0" w:firstLine="0"/>
              <w:rPr>
                <w:rFonts w:asciiTheme="minorHAnsi" w:eastAsia="Times New Roman" w:hAnsiTheme="minorHAnsi" w:cstheme="minorHAnsi"/>
                <w:sz w:val="20"/>
                <w:szCs w:val="20"/>
              </w:rPr>
            </w:pPr>
            <w:r w:rsidRPr="006B29E4">
              <w:rPr>
                <w:rFonts w:asciiTheme="minorHAnsi" w:hAnsiTheme="minorHAnsi"/>
                <w:sz w:val="20"/>
              </w:rPr>
              <w:t>Albanie</w:t>
            </w:r>
          </w:p>
        </w:tc>
        <w:tc>
          <w:tcPr>
            <w:tcW w:w="1134" w:type="dxa"/>
            <w:tcBorders>
              <w:top w:val="nil"/>
              <w:left w:val="nil"/>
              <w:bottom w:val="single" w:sz="4" w:space="0" w:color="auto"/>
              <w:right w:val="single" w:sz="4" w:space="0" w:color="auto"/>
            </w:tcBorders>
            <w:shd w:val="clear" w:color="auto" w:fill="auto"/>
            <w:noWrap/>
          </w:tcPr>
          <w:p w14:paraId="54C37D5E"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0,008</w:t>
            </w:r>
          </w:p>
        </w:tc>
        <w:tc>
          <w:tcPr>
            <w:tcW w:w="1022" w:type="dxa"/>
            <w:tcBorders>
              <w:top w:val="nil"/>
              <w:left w:val="nil"/>
              <w:bottom w:val="single" w:sz="4" w:space="0" w:color="auto"/>
              <w:right w:val="single" w:sz="4" w:space="0" w:color="auto"/>
            </w:tcBorders>
            <w:shd w:val="clear" w:color="auto" w:fill="auto"/>
            <w:noWrap/>
          </w:tcPr>
          <w:p w14:paraId="6AAD50F8"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0,008 %</w:t>
            </w:r>
          </w:p>
        </w:tc>
        <w:tc>
          <w:tcPr>
            <w:tcW w:w="1311" w:type="dxa"/>
            <w:tcBorders>
              <w:top w:val="single" w:sz="4" w:space="0" w:color="auto"/>
              <w:left w:val="nil"/>
              <w:bottom w:val="single" w:sz="4" w:space="0" w:color="auto"/>
              <w:right w:val="single" w:sz="4" w:space="0" w:color="auto"/>
            </w:tcBorders>
          </w:tcPr>
          <w:p w14:paraId="1608216C" w14:textId="77777777" w:rsidR="001E3C24" w:rsidRPr="006B29E4" w:rsidRDefault="001E3C24"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0F6F237"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CB71AD9"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78DBBC5"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03423D3D"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FB0DEC2"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Algérie</w:t>
            </w:r>
          </w:p>
        </w:tc>
        <w:tc>
          <w:tcPr>
            <w:tcW w:w="1134" w:type="dxa"/>
            <w:tcBorders>
              <w:top w:val="nil"/>
              <w:left w:val="nil"/>
              <w:bottom w:val="single" w:sz="4" w:space="0" w:color="auto"/>
              <w:right w:val="single" w:sz="4" w:space="0" w:color="auto"/>
            </w:tcBorders>
            <w:shd w:val="clear" w:color="auto" w:fill="auto"/>
            <w:noWrap/>
          </w:tcPr>
          <w:p w14:paraId="3F5EB6A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0,109</w:t>
            </w:r>
          </w:p>
        </w:tc>
        <w:tc>
          <w:tcPr>
            <w:tcW w:w="1022" w:type="dxa"/>
            <w:tcBorders>
              <w:top w:val="nil"/>
              <w:left w:val="nil"/>
              <w:bottom w:val="single" w:sz="4" w:space="0" w:color="auto"/>
              <w:right w:val="single" w:sz="4" w:space="0" w:color="auto"/>
            </w:tcBorders>
            <w:shd w:val="clear" w:color="auto" w:fill="auto"/>
            <w:noWrap/>
          </w:tcPr>
          <w:p w14:paraId="2F92206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0,112 %</w:t>
            </w:r>
          </w:p>
        </w:tc>
        <w:tc>
          <w:tcPr>
            <w:tcW w:w="1311" w:type="dxa"/>
            <w:tcBorders>
              <w:top w:val="single" w:sz="4" w:space="0" w:color="auto"/>
              <w:left w:val="nil"/>
              <w:bottom w:val="single" w:sz="4" w:space="0" w:color="auto"/>
              <w:right w:val="single" w:sz="4" w:space="0" w:color="auto"/>
            </w:tcBorders>
          </w:tcPr>
          <w:p w14:paraId="6AEF38E1" w14:textId="3C3B9ED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6 755</w:t>
            </w:r>
          </w:p>
        </w:tc>
        <w:tc>
          <w:tcPr>
            <w:tcW w:w="1311" w:type="dxa"/>
            <w:tcBorders>
              <w:top w:val="nil"/>
              <w:left w:val="single" w:sz="4" w:space="0" w:color="auto"/>
              <w:bottom w:val="single" w:sz="4" w:space="0" w:color="auto"/>
              <w:right w:val="single" w:sz="4" w:space="0" w:color="auto"/>
            </w:tcBorders>
            <w:shd w:val="clear" w:color="auto" w:fill="auto"/>
            <w:noWrap/>
          </w:tcPr>
          <w:p w14:paraId="13F0D872" w14:textId="2CB01D8B"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5 337</w:t>
            </w:r>
          </w:p>
        </w:tc>
        <w:tc>
          <w:tcPr>
            <w:tcW w:w="1311" w:type="dxa"/>
            <w:tcBorders>
              <w:top w:val="nil"/>
              <w:left w:val="nil"/>
              <w:bottom w:val="single" w:sz="4" w:space="0" w:color="auto"/>
              <w:right w:val="single" w:sz="4" w:space="0" w:color="auto"/>
            </w:tcBorders>
            <w:shd w:val="clear" w:color="auto" w:fill="auto"/>
            <w:noWrap/>
          </w:tcPr>
          <w:p w14:paraId="19AC518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5 480</w:t>
            </w:r>
          </w:p>
        </w:tc>
        <w:tc>
          <w:tcPr>
            <w:tcW w:w="1312" w:type="dxa"/>
            <w:tcBorders>
              <w:top w:val="nil"/>
              <w:left w:val="nil"/>
              <w:bottom w:val="single" w:sz="4" w:space="0" w:color="auto"/>
              <w:right w:val="single" w:sz="4" w:space="0" w:color="auto"/>
            </w:tcBorders>
            <w:shd w:val="clear" w:color="auto" w:fill="auto"/>
            <w:noWrap/>
          </w:tcPr>
          <w:p w14:paraId="02C05FC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5 746</w:t>
            </w:r>
          </w:p>
        </w:tc>
      </w:tr>
      <w:tr w:rsidR="006B29E4" w:rsidRPr="006B29E4" w14:paraId="5E4271F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413313C" w14:textId="77777777" w:rsidR="001E3C24" w:rsidRPr="006B29E4" w:rsidRDefault="001E3C24" w:rsidP="00A31639">
            <w:pPr>
              <w:ind w:left="0" w:firstLine="0"/>
              <w:rPr>
                <w:rFonts w:asciiTheme="minorHAnsi" w:eastAsia="Times New Roman" w:hAnsiTheme="minorHAnsi" w:cstheme="minorHAnsi"/>
                <w:sz w:val="20"/>
                <w:szCs w:val="20"/>
              </w:rPr>
            </w:pPr>
            <w:r w:rsidRPr="006B29E4">
              <w:rPr>
                <w:rFonts w:asciiTheme="minorHAnsi" w:hAnsiTheme="minorHAnsi"/>
                <w:sz w:val="20"/>
              </w:rPr>
              <w:t>Allemagne</w:t>
            </w:r>
          </w:p>
        </w:tc>
        <w:tc>
          <w:tcPr>
            <w:tcW w:w="1134" w:type="dxa"/>
            <w:tcBorders>
              <w:top w:val="nil"/>
              <w:left w:val="nil"/>
              <w:bottom w:val="single" w:sz="4" w:space="0" w:color="auto"/>
              <w:right w:val="single" w:sz="4" w:space="0" w:color="auto"/>
            </w:tcBorders>
            <w:shd w:val="clear" w:color="auto" w:fill="auto"/>
            <w:noWrap/>
          </w:tcPr>
          <w:p w14:paraId="1F54B592"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6,111</w:t>
            </w:r>
          </w:p>
        </w:tc>
        <w:tc>
          <w:tcPr>
            <w:tcW w:w="1022" w:type="dxa"/>
            <w:tcBorders>
              <w:top w:val="nil"/>
              <w:left w:val="nil"/>
              <w:bottom w:val="single" w:sz="4" w:space="0" w:color="auto"/>
              <w:right w:val="single" w:sz="4" w:space="0" w:color="auto"/>
            </w:tcBorders>
            <w:shd w:val="clear" w:color="auto" w:fill="auto"/>
            <w:noWrap/>
          </w:tcPr>
          <w:p w14:paraId="0FC675BD"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6,274 %</w:t>
            </w:r>
          </w:p>
        </w:tc>
        <w:tc>
          <w:tcPr>
            <w:tcW w:w="1311" w:type="dxa"/>
            <w:tcBorders>
              <w:top w:val="single" w:sz="4" w:space="0" w:color="auto"/>
              <w:left w:val="nil"/>
              <w:bottom w:val="single" w:sz="4" w:space="0" w:color="auto"/>
              <w:right w:val="single" w:sz="4" w:space="0" w:color="auto"/>
            </w:tcBorders>
          </w:tcPr>
          <w:p w14:paraId="4B9F8304" w14:textId="77777777" w:rsidR="001E3C24" w:rsidRPr="006B29E4" w:rsidRDefault="001E3C24" w:rsidP="00A31639">
            <w:pPr>
              <w:ind w:left="0" w:firstLine="0"/>
              <w:jc w:val="right"/>
              <w:rPr>
                <w:rFonts w:asciiTheme="minorHAnsi" w:hAnsiTheme="minorHAnsi"/>
                <w:sz w:val="20"/>
              </w:rPr>
            </w:pPr>
            <w:r w:rsidRPr="006B29E4">
              <w:rPr>
                <w:rFonts w:asciiTheme="minorHAnsi" w:hAnsiTheme="minorHAnsi"/>
                <w:sz w:val="20"/>
              </w:rPr>
              <w:t>298 081</w:t>
            </w:r>
          </w:p>
        </w:tc>
        <w:tc>
          <w:tcPr>
            <w:tcW w:w="1311" w:type="dxa"/>
            <w:tcBorders>
              <w:top w:val="nil"/>
              <w:left w:val="single" w:sz="4" w:space="0" w:color="auto"/>
              <w:bottom w:val="single" w:sz="4" w:space="0" w:color="auto"/>
              <w:right w:val="single" w:sz="4" w:space="0" w:color="auto"/>
            </w:tcBorders>
            <w:shd w:val="clear" w:color="auto" w:fill="auto"/>
            <w:noWrap/>
          </w:tcPr>
          <w:p w14:paraId="41720280"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299 212</w:t>
            </w:r>
          </w:p>
        </w:tc>
        <w:tc>
          <w:tcPr>
            <w:tcW w:w="1311" w:type="dxa"/>
            <w:tcBorders>
              <w:top w:val="nil"/>
              <w:left w:val="nil"/>
              <w:bottom w:val="single" w:sz="4" w:space="0" w:color="auto"/>
              <w:right w:val="single" w:sz="4" w:space="0" w:color="auto"/>
            </w:tcBorders>
            <w:shd w:val="clear" w:color="auto" w:fill="auto"/>
            <w:noWrap/>
          </w:tcPr>
          <w:p w14:paraId="4DD6BE5E"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307 231</w:t>
            </w:r>
          </w:p>
        </w:tc>
        <w:tc>
          <w:tcPr>
            <w:tcW w:w="1312" w:type="dxa"/>
            <w:tcBorders>
              <w:top w:val="nil"/>
              <w:left w:val="nil"/>
              <w:bottom w:val="single" w:sz="4" w:space="0" w:color="auto"/>
              <w:right w:val="single" w:sz="4" w:space="0" w:color="auto"/>
            </w:tcBorders>
            <w:shd w:val="clear" w:color="auto" w:fill="auto"/>
            <w:noWrap/>
          </w:tcPr>
          <w:p w14:paraId="4251FC22"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322 134</w:t>
            </w:r>
          </w:p>
        </w:tc>
      </w:tr>
      <w:tr w:rsidR="006B29E4" w:rsidRPr="006B29E4" w14:paraId="2AA10AD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F33FF70"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Andorre</w:t>
            </w:r>
          </w:p>
        </w:tc>
        <w:tc>
          <w:tcPr>
            <w:tcW w:w="1134" w:type="dxa"/>
            <w:tcBorders>
              <w:top w:val="nil"/>
              <w:left w:val="nil"/>
              <w:bottom w:val="single" w:sz="4" w:space="0" w:color="auto"/>
              <w:right w:val="single" w:sz="4" w:space="0" w:color="auto"/>
            </w:tcBorders>
            <w:shd w:val="clear" w:color="auto" w:fill="auto"/>
            <w:noWrap/>
          </w:tcPr>
          <w:p w14:paraId="28DB40F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w:t>
            </w:r>
          </w:p>
        </w:tc>
        <w:tc>
          <w:tcPr>
            <w:tcW w:w="1022" w:type="dxa"/>
            <w:tcBorders>
              <w:top w:val="nil"/>
              <w:left w:val="nil"/>
              <w:bottom w:val="single" w:sz="4" w:space="0" w:color="auto"/>
              <w:right w:val="single" w:sz="4" w:space="0" w:color="auto"/>
            </w:tcBorders>
            <w:shd w:val="clear" w:color="auto" w:fill="auto"/>
            <w:noWrap/>
          </w:tcPr>
          <w:p w14:paraId="7E57DC9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0,005 %</w:t>
            </w:r>
          </w:p>
        </w:tc>
        <w:tc>
          <w:tcPr>
            <w:tcW w:w="1311" w:type="dxa"/>
            <w:tcBorders>
              <w:top w:val="single" w:sz="4" w:space="0" w:color="auto"/>
              <w:left w:val="nil"/>
              <w:bottom w:val="single" w:sz="4" w:space="0" w:color="auto"/>
              <w:right w:val="single" w:sz="4" w:space="0" w:color="auto"/>
            </w:tcBorders>
          </w:tcPr>
          <w:p w14:paraId="3FF5168C" w14:textId="564947B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BB70BD7" w14:textId="3394DE8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84DEF6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0E51F8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A19FFF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F296172"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Angola</w:t>
            </w:r>
          </w:p>
        </w:tc>
        <w:tc>
          <w:tcPr>
            <w:tcW w:w="1134" w:type="dxa"/>
            <w:tcBorders>
              <w:top w:val="nil"/>
              <w:left w:val="nil"/>
              <w:bottom w:val="single" w:sz="4" w:space="0" w:color="auto"/>
              <w:right w:val="single" w:sz="4" w:space="0" w:color="auto"/>
            </w:tcBorders>
            <w:shd w:val="clear" w:color="auto" w:fill="auto"/>
            <w:noWrap/>
          </w:tcPr>
          <w:p w14:paraId="718C4AF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2E25165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0C1D8B28" w14:textId="545023DF"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0</w:t>
            </w:r>
          </w:p>
        </w:tc>
        <w:tc>
          <w:tcPr>
            <w:tcW w:w="1311" w:type="dxa"/>
            <w:tcBorders>
              <w:top w:val="nil"/>
              <w:left w:val="single" w:sz="4" w:space="0" w:color="auto"/>
              <w:bottom w:val="single" w:sz="4" w:space="0" w:color="auto"/>
              <w:right w:val="single" w:sz="4" w:space="0" w:color="auto"/>
            </w:tcBorders>
            <w:shd w:val="clear" w:color="auto" w:fill="auto"/>
            <w:noWrap/>
          </w:tcPr>
          <w:p w14:paraId="5FD6C006" w14:textId="69B0F93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4C919DC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95E3E2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5A3E134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7CB37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Antigua-et-Barbuda</w:t>
            </w:r>
          </w:p>
        </w:tc>
        <w:tc>
          <w:tcPr>
            <w:tcW w:w="1134" w:type="dxa"/>
            <w:tcBorders>
              <w:top w:val="nil"/>
              <w:left w:val="nil"/>
              <w:bottom w:val="single" w:sz="4" w:space="0" w:color="auto"/>
              <w:right w:val="single" w:sz="4" w:space="0" w:color="auto"/>
            </w:tcBorders>
            <w:shd w:val="clear" w:color="auto" w:fill="auto"/>
            <w:noWrap/>
          </w:tcPr>
          <w:p w14:paraId="44FEB4A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7A662AC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3CE7447D" w14:textId="217D024C"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C83537B" w14:textId="1FF11F6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5266B0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DE4C11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2E9EED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A75FD89"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Argentine</w:t>
            </w:r>
          </w:p>
        </w:tc>
        <w:tc>
          <w:tcPr>
            <w:tcW w:w="1134" w:type="dxa"/>
            <w:tcBorders>
              <w:top w:val="nil"/>
              <w:left w:val="nil"/>
              <w:bottom w:val="single" w:sz="4" w:space="0" w:color="auto"/>
              <w:right w:val="single" w:sz="4" w:space="0" w:color="auto"/>
            </w:tcBorders>
            <w:shd w:val="clear" w:color="auto" w:fill="auto"/>
            <w:noWrap/>
          </w:tcPr>
          <w:p w14:paraId="3B8C1E7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0,719</w:t>
            </w:r>
          </w:p>
        </w:tc>
        <w:tc>
          <w:tcPr>
            <w:tcW w:w="1022" w:type="dxa"/>
            <w:tcBorders>
              <w:top w:val="nil"/>
              <w:left w:val="nil"/>
              <w:bottom w:val="single" w:sz="4" w:space="0" w:color="auto"/>
              <w:right w:val="single" w:sz="4" w:space="0" w:color="auto"/>
            </w:tcBorders>
            <w:shd w:val="clear" w:color="auto" w:fill="auto"/>
            <w:noWrap/>
          </w:tcPr>
          <w:p w14:paraId="097A008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0,738 %</w:t>
            </w:r>
          </w:p>
        </w:tc>
        <w:tc>
          <w:tcPr>
            <w:tcW w:w="1311" w:type="dxa"/>
            <w:tcBorders>
              <w:top w:val="single" w:sz="4" w:space="0" w:color="auto"/>
              <w:left w:val="nil"/>
              <w:bottom w:val="single" w:sz="4" w:space="0" w:color="auto"/>
              <w:right w:val="single" w:sz="4" w:space="0" w:color="auto"/>
            </w:tcBorders>
          </w:tcPr>
          <w:p w14:paraId="6F78F94D" w14:textId="53CDE0BF"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44 786</w:t>
            </w:r>
          </w:p>
        </w:tc>
        <w:tc>
          <w:tcPr>
            <w:tcW w:w="1311" w:type="dxa"/>
            <w:tcBorders>
              <w:top w:val="nil"/>
              <w:left w:val="single" w:sz="4" w:space="0" w:color="auto"/>
              <w:bottom w:val="single" w:sz="4" w:space="0" w:color="auto"/>
              <w:right w:val="single" w:sz="4" w:space="0" w:color="auto"/>
            </w:tcBorders>
            <w:shd w:val="clear" w:color="auto" w:fill="auto"/>
            <w:noWrap/>
          </w:tcPr>
          <w:p w14:paraId="2872ABC2" w14:textId="5835300E"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35 204</w:t>
            </w:r>
          </w:p>
        </w:tc>
        <w:tc>
          <w:tcPr>
            <w:tcW w:w="1311" w:type="dxa"/>
            <w:tcBorders>
              <w:top w:val="nil"/>
              <w:left w:val="nil"/>
              <w:bottom w:val="single" w:sz="4" w:space="0" w:color="auto"/>
              <w:right w:val="single" w:sz="4" w:space="0" w:color="auto"/>
            </w:tcBorders>
            <w:shd w:val="clear" w:color="auto" w:fill="auto"/>
            <w:noWrap/>
          </w:tcPr>
          <w:p w14:paraId="5234093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36 148</w:t>
            </w:r>
          </w:p>
        </w:tc>
        <w:tc>
          <w:tcPr>
            <w:tcW w:w="1312" w:type="dxa"/>
            <w:tcBorders>
              <w:top w:val="nil"/>
              <w:left w:val="nil"/>
              <w:bottom w:val="single" w:sz="4" w:space="0" w:color="auto"/>
              <w:right w:val="single" w:sz="4" w:space="0" w:color="auto"/>
            </w:tcBorders>
            <w:shd w:val="clear" w:color="auto" w:fill="auto"/>
            <w:noWrap/>
          </w:tcPr>
          <w:p w14:paraId="315277B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37 901</w:t>
            </w:r>
          </w:p>
        </w:tc>
      </w:tr>
      <w:tr w:rsidR="006B29E4" w:rsidRPr="006B29E4" w14:paraId="7C32784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37C3035"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Arménie</w:t>
            </w:r>
          </w:p>
        </w:tc>
        <w:tc>
          <w:tcPr>
            <w:tcW w:w="1134" w:type="dxa"/>
            <w:tcBorders>
              <w:top w:val="nil"/>
              <w:left w:val="nil"/>
              <w:bottom w:val="single" w:sz="4" w:space="0" w:color="auto"/>
              <w:right w:val="single" w:sz="4" w:space="0" w:color="auto"/>
            </w:tcBorders>
            <w:shd w:val="clear" w:color="auto" w:fill="auto"/>
            <w:noWrap/>
          </w:tcPr>
          <w:p w14:paraId="1E52180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0,007</w:t>
            </w:r>
          </w:p>
        </w:tc>
        <w:tc>
          <w:tcPr>
            <w:tcW w:w="1022" w:type="dxa"/>
            <w:tcBorders>
              <w:top w:val="nil"/>
              <w:left w:val="nil"/>
              <w:bottom w:val="single" w:sz="4" w:space="0" w:color="auto"/>
              <w:right w:val="single" w:sz="4" w:space="0" w:color="auto"/>
            </w:tcBorders>
            <w:shd w:val="clear" w:color="auto" w:fill="auto"/>
            <w:noWrap/>
          </w:tcPr>
          <w:p w14:paraId="4E7095E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0,007 %</w:t>
            </w:r>
          </w:p>
        </w:tc>
        <w:tc>
          <w:tcPr>
            <w:tcW w:w="1311" w:type="dxa"/>
            <w:tcBorders>
              <w:top w:val="single" w:sz="4" w:space="0" w:color="auto"/>
              <w:left w:val="nil"/>
              <w:bottom w:val="single" w:sz="4" w:space="0" w:color="auto"/>
              <w:right w:val="single" w:sz="4" w:space="0" w:color="auto"/>
            </w:tcBorders>
          </w:tcPr>
          <w:p w14:paraId="31141815" w14:textId="1C33CFA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03415E3" w14:textId="0012E34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938842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8337C9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E5C315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73CDBB7"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Australie</w:t>
            </w:r>
          </w:p>
        </w:tc>
        <w:tc>
          <w:tcPr>
            <w:tcW w:w="1134" w:type="dxa"/>
            <w:tcBorders>
              <w:top w:val="nil"/>
              <w:left w:val="nil"/>
              <w:bottom w:val="single" w:sz="4" w:space="0" w:color="auto"/>
              <w:right w:val="single" w:sz="4" w:space="0" w:color="auto"/>
            </w:tcBorders>
            <w:shd w:val="clear" w:color="auto" w:fill="auto"/>
            <w:noWrap/>
          </w:tcPr>
          <w:p w14:paraId="34C5BDA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2,111</w:t>
            </w:r>
          </w:p>
        </w:tc>
        <w:tc>
          <w:tcPr>
            <w:tcW w:w="1022" w:type="dxa"/>
            <w:tcBorders>
              <w:top w:val="nil"/>
              <w:left w:val="nil"/>
              <w:bottom w:val="single" w:sz="4" w:space="0" w:color="auto"/>
              <w:right w:val="single" w:sz="4" w:space="0" w:color="auto"/>
            </w:tcBorders>
            <w:shd w:val="clear" w:color="auto" w:fill="auto"/>
            <w:noWrap/>
          </w:tcPr>
          <w:p w14:paraId="2109255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2,167 %</w:t>
            </w:r>
          </w:p>
        </w:tc>
        <w:tc>
          <w:tcPr>
            <w:tcW w:w="1311" w:type="dxa"/>
            <w:tcBorders>
              <w:top w:val="single" w:sz="4" w:space="0" w:color="auto"/>
              <w:left w:val="nil"/>
              <w:bottom w:val="single" w:sz="4" w:space="0" w:color="auto"/>
              <w:right w:val="single" w:sz="4" w:space="0" w:color="auto"/>
            </w:tcBorders>
          </w:tcPr>
          <w:p w14:paraId="15A92F62" w14:textId="0AB1684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108 171</w:t>
            </w:r>
          </w:p>
        </w:tc>
        <w:tc>
          <w:tcPr>
            <w:tcW w:w="1311" w:type="dxa"/>
            <w:tcBorders>
              <w:top w:val="nil"/>
              <w:left w:val="single" w:sz="4" w:space="0" w:color="auto"/>
              <w:bottom w:val="single" w:sz="4" w:space="0" w:color="auto"/>
              <w:right w:val="single" w:sz="4" w:space="0" w:color="auto"/>
            </w:tcBorders>
            <w:shd w:val="clear" w:color="auto" w:fill="auto"/>
            <w:noWrap/>
          </w:tcPr>
          <w:p w14:paraId="76E9DECE" w14:textId="2D24E76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103 361</w:t>
            </w:r>
          </w:p>
        </w:tc>
        <w:tc>
          <w:tcPr>
            <w:tcW w:w="1311" w:type="dxa"/>
            <w:tcBorders>
              <w:top w:val="nil"/>
              <w:left w:val="nil"/>
              <w:bottom w:val="single" w:sz="4" w:space="0" w:color="auto"/>
              <w:right w:val="single" w:sz="4" w:space="0" w:color="auto"/>
            </w:tcBorders>
            <w:shd w:val="clear" w:color="auto" w:fill="auto"/>
            <w:noWrap/>
          </w:tcPr>
          <w:p w14:paraId="0515762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106 131</w:t>
            </w:r>
          </w:p>
        </w:tc>
        <w:tc>
          <w:tcPr>
            <w:tcW w:w="1312" w:type="dxa"/>
            <w:tcBorders>
              <w:top w:val="nil"/>
              <w:left w:val="nil"/>
              <w:bottom w:val="single" w:sz="4" w:space="0" w:color="auto"/>
              <w:right w:val="single" w:sz="4" w:space="0" w:color="auto"/>
            </w:tcBorders>
            <w:shd w:val="clear" w:color="auto" w:fill="auto"/>
            <w:noWrap/>
          </w:tcPr>
          <w:p w14:paraId="23619C0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111 279</w:t>
            </w:r>
          </w:p>
        </w:tc>
      </w:tr>
      <w:tr w:rsidR="006B29E4" w:rsidRPr="006B29E4" w14:paraId="472CC88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1DF11B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Autriche</w:t>
            </w:r>
          </w:p>
        </w:tc>
        <w:tc>
          <w:tcPr>
            <w:tcW w:w="1134" w:type="dxa"/>
            <w:tcBorders>
              <w:top w:val="nil"/>
              <w:left w:val="nil"/>
              <w:bottom w:val="single" w:sz="4" w:space="0" w:color="auto"/>
              <w:right w:val="single" w:sz="4" w:space="0" w:color="auto"/>
            </w:tcBorders>
            <w:shd w:val="clear" w:color="auto" w:fill="auto"/>
            <w:noWrap/>
          </w:tcPr>
          <w:p w14:paraId="55B8157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0,679</w:t>
            </w:r>
          </w:p>
        </w:tc>
        <w:tc>
          <w:tcPr>
            <w:tcW w:w="1022" w:type="dxa"/>
            <w:tcBorders>
              <w:top w:val="nil"/>
              <w:left w:val="nil"/>
              <w:bottom w:val="single" w:sz="4" w:space="0" w:color="auto"/>
              <w:right w:val="single" w:sz="4" w:space="0" w:color="auto"/>
            </w:tcBorders>
            <w:shd w:val="clear" w:color="auto" w:fill="auto"/>
            <w:noWrap/>
          </w:tcPr>
          <w:p w14:paraId="121C4A9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0,697 %</w:t>
            </w:r>
          </w:p>
        </w:tc>
        <w:tc>
          <w:tcPr>
            <w:tcW w:w="1311" w:type="dxa"/>
            <w:tcBorders>
              <w:top w:val="single" w:sz="4" w:space="0" w:color="auto"/>
              <w:left w:val="nil"/>
              <w:bottom w:val="single" w:sz="4" w:space="0" w:color="auto"/>
              <w:right w:val="single" w:sz="4" w:space="0" w:color="auto"/>
            </w:tcBorders>
          </w:tcPr>
          <w:p w14:paraId="7EA835A9" w14:textId="52FAFB6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33 136</w:t>
            </w:r>
          </w:p>
        </w:tc>
        <w:tc>
          <w:tcPr>
            <w:tcW w:w="1311" w:type="dxa"/>
            <w:tcBorders>
              <w:top w:val="nil"/>
              <w:left w:val="single" w:sz="4" w:space="0" w:color="auto"/>
              <w:bottom w:val="single" w:sz="4" w:space="0" w:color="auto"/>
              <w:right w:val="single" w:sz="4" w:space="0" w:color="auto"/>
            </w:tcBorders>
            <w:shd w:val="clear" w:color="auto" w:fill="auto"/>
            <w:noWrap/>
          </w:tcPr>
          <w:p w14:paraId="6266BDA6" w14:textId="40A96202"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33 246</w:t>
            </w:r>
          </w:p>
        </w:tc>
        <w:tc>
          <w:tcPr>
            <w:tcW w:w="1311" w:type="dxa"/>
            <w:tcBorders>
              <w:top w:val="nil"/>
              <w:left w:val="nil"/>
              <w:bottom w:val="single" w:sz="4" w:space="0" w:color="auto"/>
              <w:right w:val="single" w:sz="4" w:space="0" w:color="auto"/>
            </w:tcBorders>
            <w:shd w:val="clear" w:color="auto" w:fill="auto"/>
            <w:noWrap/>
          </w:tcPr>
          <w:p w14:paraId="1A8682F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34 137</w:t>
            </w:r>
          </w:p>
        </w:tc>
        <w:tc>
          <w:tcPr>
            <w:tcW w:w="1312" w:type="dxa"/>
            <w:tcBorders>
              <w:top w:val="nil"/>
              <w:left w:val="nil"/>
              <w:bottom w:val="single" w:sz="4" w:space="0" w:color="auto"/>
              <w:right w:val="single" w:sz="4" w:space="0" w:color="auto"/>
            </w:tcBorders>
            <w:shd w:val="clear" w:color="auto" w:fill="auto"/>
            <w:noWrap/>
          </w:tcPr>
          <w:p w14:paraId="355BFD2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35 793</w:t>
            </w:r>
          </w:p>
        </w:tc>
      </w:tr>
      <w:tr w:rsidR="006B29E4" w:rsidRPr="006B29E4" w14:paraId="14995C0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C14CEC3"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Azerbaïdjan</w:t>
            </w:r>
          </w:p>
        </w:tc>
        <w:tc>
          <w:tcPr>
            <w:tcW w:w="1134" w:type="dxa"/>
            <w:tcBorders>
              <w:top w:val="nil"/>
              <w:left w:val="nil"/>
              <w:bottom w:val="single" w:sz="4" w:space="0" w:color="auto"/>
              <w:right w:val="single" w:sz="4" w:space="0" w:color="auto"/>
            </w:tcBorders>
            <w:shd w:val="clear" w:color="auto" w:fill="auto"/>
            <w:noWrap/>
          </w:tcPr>
          <w:p w14:paraId="654CD6C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0,030</w:t>
            </w:r>
          </w:p>
        </w:tc>
        <w:tc>
          <w:tcPr>
            <w:tcW w:w="1022" w:type="dxa"/>
            <w:tcBorders>
              <w:top w:val="nil"/>
              <w:left w:val="nil"/>
              <w:bottom w:val="single" w:sz="4" w:space="0" w:color="auto"/>
              <w:right w:val="single" w:sz="4" w:space="0" w:color="auto"/>
            </w:tcBorders>
            <w:shd w:val="clear" w:color="auto" w:fill="auto"/>
            <w:noWrap/>
          </w:tcPr>
          <w:p w14:paraId="4FD82BC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0,031 %</w:t>
            </w:r>
          </w:p>
        </w:tc>
        <w:tc>
          <w:tcPr>
            <w:tcW w:w="1311" w:type="dxa"/>
            <w:tcBorders>
              <w:top w:val="single" w:sz="4" w:space="0" w:color="auto"/>
              <w:left w:val="nil"/>
              <w:bottom w:val="single" w:sz="4" w:space="0" w:color="auto"/>
              <w:right w:val="single" w:sz="4" w:space="0" w:color="auto"/>
            </w:tcBorders>
          </w:tcPr>
          <w:p w14:paraId="5221DF85" w14:textId="018BAFC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2 398</w:t>
            </w:r>
          </w:p>
        </w:tc>
        <w:tc>
          <w:tcPr>
            <w:tcW w:w="1311" w:type="dxa"/>
            <w:tcBorders>
              <w:top w:val="nil"/>
              <w:left w:val="single" w:sz="4" w:space="0" w:color="auto"/>
              <w:bottom w:val="single" w:sz="4" w:space="0" w:color="auto"/>
              <w:right w:val="single" w:sz="4" w:space="0" w:color="auto"/>
            </w:tcBorders>
            <w:shd w:val="clear" w:color="auto" w:fill="auto"/>
            <w:noWrap/>
          </w:tcPr>
          <w:p w14:paraId="3314D7A0" w14:textId="4FC0708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1 469</w:t>
            </w:r>
          </w:p>
        </w:tc>
        <w:tc>
          <w:tcPr>
            <w:tcW w:w="1311" w:type="dxa"/>
            <w:tcBorders>
              <w:top w:val="nil"/>
              <w:left w:val="nil"/>
              <w:bottom w:val="single" w:sz="4" w:space="0" w:color="auto"/>
              <w:right w:val="single" w:sz="4" w:space="0" w:color="auto"/>
            </w:tcBorders>
            <w:shd w:val="clear" w:color="auto" w:fill="auto"/>
            <w:noWrap/>
          </w:tcPr>
          <w:p w14:paraId="41A0D68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1 508</w:t>
            </w:r>
          </w:p>
        </w:tc>
        <w:tc>
          <w:tcPr>
            <w:tcW w:w="1312" w:type="dxa"/>
            <w:tcBorders>
              <w:top w:val="nil"/>
              <w:left w:val="nil"/>
              <w:bottom w:val="single" w:sz="4" w:space="0" w:color="auto"/>
              <w:right w:val="single" w:sz="4" w:space="0" w:color="auto"/>
            </w:tcBorders>
            <w:shd w:val="clear" w:color="auto" w:fill="auto"/>
            <w:noWrap/>
          </w:tcPr>
          <w:p w14:paraId="5253359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1 581</w:t>
            </w:r>
          </w:p>
        </w:tc>
      </w:tr>
      <w:tr w:rsidR="006B29E4" w:rsidRPr="006B29E4" w14:paraId="004ABCE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A6BCBB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Bahamas</w:t>
            </w:r>
          </w:p>
        </w:tc>
        <w:tc>
          <w:tcPr>
            <w:tcW w:w="1134" w:type="dxa"/>
            <w:tcBorders>
              <w:top w:val="nil"/>
              <w:left w:val="nil"/>
              <w:bottom w:val="single" w:sz="4" w:space="0" w:color="auto"/>
              <w:right w:val="single" w:sz="4" w:space="0" w:color="auto"/>
            </w:tcBorders>
            <w:shd w:val="clear" w:color="auto" w:fill="auto"/>
            <w:noWrap/>
          </w:tcPr>
          <w:p w14:paraId="7473D3A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0,019</w:t>
            </w:r>
          </w:p>
        </w:tc>
        <w:tc>
          <w:tcPr>
            <w:tcW w:w="1022" w:type="dxa"/>
            <w:tcBorders>
              <w:top w:val="nil"/>
              <w:left w:val="nil"/>
              <w:bottom w:val="single" w:sz="4" w:space="0" w:color="auto"/>
              <w:right w:val="single" w:sz="4" w:space="0" w:color="auto"/>
            </w:tcBorders>
            <w:shd w:val="clear" w:color="auto" w:fill="auto"/>
            <w:noWrap/>
          </w:tcPr>
          <w:p w14:paraId="1A8C484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0,020 %</w:t>
            </w:r>
          </w:p>
        </w:tc>
        <w:tc>
          <w:tcPr>
            <w:tcW w:w="1311" w:type="dxa"/>
            <w:tcBorders>
              <w:top w:val="single" w:sz="4" w:space="0" w:color="auto"/>
              <w:left w:val="nil"/>
              <w:bottom w:val="single" w:sz="4" w:space="0" w:color="auto"/>
              <w:right w:val="single" w:sz="4" w:space="0" w:color="auto"/>
            </w:tcBorders>
          </w:tcPr>
          <w:p w14:paraId="3647C847" w14:textId="66E34DD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2BE6B25" w14:textId="4E528DA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E21349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AEC8AD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1 002</w:t>
            </w:r>
          </w:p>
        </w:tc>
      </w:tr>
      <w:tr w:rsidR="006B29E4" w:rsidRPr="006B29E4" w14:paraId="6335386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E3D229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Bahreïn</w:t>
            </w:r>
          </w:p>
        </w:tc>
        <w:tc>
          <w:tcPr>
            <w:tcW w:w="1134" w:type="dxa"/>
            <w:tcBorders>
              <w:top w:val="nil"/>
              <w:left w:val="nil"/>
              <w:bottom w:val="single" w:sz="4" w:space="0" w:color="auto"/>
              <w:right w:val="single" w:sz="4" w:space="0" w:color="auto"/>
            </w:tcBorders>
            <w:shd w:val="clear" w:color="auto" w:fill="auto"/>
            <w:noWrap/>
          </w:tcPr>
          <w:p w14:paraId="1A64B15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0,054</w:t>
            </w:r>
          </w:p>
        </w:tc>
        <w:tc>
          <w:tcPr>
            <w:tcW w:w="1022" w:type="dxa"/>
            <w:tcBorders>
              <w:top w:val="nil"/>
              <w:left w:val="nil"/>
              <w:bottom w:val="single" w:sz="4" w:space="0" w:color="auto"/>
              <w:right w:val="single" w:sz="4" w:space="0" w:color="auto"/>
            </w:tcBorders>
            <w:shd w:val="clear" w:color="auto" w:fill="auto"/>
            <w:noWrap/>
          </w:tcPr>
          <w:p w14:paraId="23F3CDC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0,055 %</w:t>
            </w:r>
          </w:p>
        </w:tc>
        <w:tc>
          <w:tcPr>
            <w:tcW w:w="1311" w:type="dxa"/>
            <w:tcBorders>
              <w:top w:val="single" w:sz="4" w:space="0" w:color="auto"/>
              <w:left w:val="nil"/>
              <w:bottom w:val="single" w:sz="4" w:space="0" w:color="auto"/>
              <w:right w:val="single" w:sz="4" w:space="0" w:color="auto"/>
            </w:tcBorders>
          </w:tcPr>
          <w:p w14:paraId="4245A049" w14:textId="392D33A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2 447</w:t>
            </w:r>
          </w:p>
        </w:tc>
        <w:tc>
          <w:tcPr>
            <w:tcW w:w="1311" w:type="dxa"/>
            <w:tcBorders>
              <w:top w:val="nil"/>
              <w:left w:val="single" w:sz="4" w:space="0" w:color="auto"/>
              <w:bottom w:val="single" w:sz="4" w:space="0" w:color="auto"/>
              <w:right w:val="single" w:sz="4" w:space="0" w:color="auto"/>
            </w:tcBorders>
            <w:shd w:val="clear" w:color="auto" w:fill="auto"/>
            <w:noWrap/>
          </w:tcPr>
          <w:p w14:paraId="5B29A168" w14:textId="42BA897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2 644</w:t>
            </w:r>
          </w:p>
        </w:tc>
        <w:tc>
          <w:tcPr>
            <w:tcW w:w="1311" w:type="dxa"/>
            <w:tcBorders>
              <w:top w:val="nil"/>
              <w:left w:val="nil"/>
              <w:bottom w:val="single" w:sz="4" w:space="0" w:color="auto"/>
              <w:right w:val="single" w:sz="4" w:space="0" w:color="auto"/>
            </w:tcBorders>
            <w:shd w:val="clear" w:color="auto" w:fill="auto"/>
            <w:noWrap/>
          </w:tcPr>
          <w:p w14:paraId="6721FE6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2 715</w:t>
            </w:r>
          </w:p>
        </w:tc>
        <w:tc>
          <w:tcPr>
            <w:tcW w:w="1312" w:type="dxa"/>
            <w:tcBorders>
              <w:top w:val="nil"/>
              <w:left w:val="nil"/>
              <w:bottom w:val="single" w:sz="4" w:space="0" w:color="auto"/>
              <w:right w:val="single" w:sz="4" w:space="0" w:color="auto"/>
            </w:tcBorders>
            <w:shd w:val="clear" w:color="auto" w:fill="auto"/>
            <w:noWrap/>
          </w:tcPr>
          <w:p w14:paraId="1E28A2C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2 847</w:t>
            </w:r>
          </w:p>
        </w:tc>
      </w:tr>
      <w:tr w:rsidR="006B29E4" w:rsidRPr="006B29E4" w14:paraId="0806FB3D"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BC0BE6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Bangladesh</w:t>
            </w:r>
          </w:p>
        </w:tc>
        <w:tc>
          <w:tcPr>
            <w:tcW w:w="1134" w:type="dxa"/>
            <w:tcBorders>
              <w:top w:val="nil"/>
              <w:left w:val="nil"/>
              <w:bottom w:val="single" w:sz="4" w:space="0" w:color="auto"/>
              <w:right w:val="single" w:sz="4" w:space="0" w:color="auto"/>
            </w:tcBorders>
            <w:shd w:val="clear" w:color="auto" w:fill="auto"/>
            <w:noWrap/>
          </w:tcPr>
          <w:p w14:paraId="7C543A3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464B66C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49F023D2" w14:textId="1624569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5B24BFD" w14:textId="307C95D5"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419FA2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39DC04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782759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EE0F90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Barbade</w:t>
            </w:r>
          </w:p>
        </w:tc>
        <w:tc>
          <w:tcPr>
            <w:tcW w:w="1134" w:type="dxa"/>
            <w:tcBorders>
              <w:top w:val="nil"/>
              <w:left w:val="nil"/>
              <w:bottom w:val="single" w:sz="4" w:space="0" w:color="auto"/>
              <w:right w:val="single" w:sz="4" w:space="0" w:color="auto"/>
            </w:tcBorders>
            <w:shd w:val="clear" w:color="auto" w:fill="auto"/>
            <w:noWrap/>
          </w:tcPr>
          <w:p w14:paraId="67BD446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0,008</w:t>
            </w:r>
          </w:p>
        </w:tc>
        <w:tc>
          <w:tcPr>
            <w:tcW w:w="1022" w:type="dxa"/>
            <w:tcBorders>
              <w:top w:val="nil"/>
              <w:left w:val="nil"/>
              <w:bottom w:val="single" w:sz="4" w:space="0" w:color="auto"/>
              <w:right w:val="single" w:sz="4" w:space="0" w:color="auto"/>
            </w:tcBorders>
            <w:shd w:val="clear" w:color="auto" w:fill="auto"/>
            <w:noWrap/>
          </w:tcPr>
          <w:p w14:paraId="62F6D1C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0,008 %</w:t>
            </w:r>
          </w:p>
        </w:tc>
        <w:tc>
          <w:tcPr>
            <w:tcW w:w="1311" w:type="dxa"/>
            <w:tcBorders>
              <w:top w:val="single" w:sz="4" w:space="0" w:color="auto"/>
              <w:left w:val="nil"/>
              <w:bottom w:val="single" w:sz="4" w:space="0" w:color="auto"/>
              <w:right w:val="single" w:sz="4" w:space="0" w:color="auto"/>
            </w:tcBorders>
          </w:tcPr>
          <w:p w14:paraId="004764DB" w14:textId="0B1B3B39"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1D9AFE2" w14:textId="5582CE5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73D319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51A53CE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1896174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2E5622A"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Bélarus</w:t>
            </w:r>
          </w:p>
        </w:tc>
        <w:tc>
          <w:tcPr>
            <w:tcW w:w="1134" w:type="dxa"/>
            <w:tcBorders>
              <w:top w:val="nil"/>
              <w:left w:val="nil"/>
              <w:bottom w:val="single" w:sz="4" w:space="0" w:color="auto"/>
              <w:right w:val="single" w:sz="4" w:space="0" w:color="auto"/>
            </w:tcBorders>
            <w:shd w:val="clear" w:color="auto" w:fill="auto"/>
            <w:noWrap/>
          </w:tcPr>
          <w:p w14:paraId="44F3D65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0,041</w:t>
            </w:r>
          </w:p>
        </w:tc>
        <w:tc>
          <w:tcPr>
            <w:tcW w:w="1022" w:type="dxa"/>
            <w:tcBorders>
              <w:top w:val="nil"/>
              <w:left w:val="nil"/>
              <w:bottom w:val="single" w:sz="4" w:space="0" w:color="auto"/>
              <w:right w:val="single" w:sz="4" w:space="0" w:color="auto"/>
            </w:tcBorders>
            <w:shd w:val="clear" w:color="auto" w:fill="auto"/>
            <w:noWrap/>
          </w:tcPr>
          <w:p w14:paraId="59720BA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0,042 %</w:t>
            </w:r>
          </w:p>
        </w:tc>
        <w:tc>
          <w:tcPr>
            <w:tcW w:w="1311" w:type="dxa"/>
            <w:tcBorders>
              <w:top w:val="single" w:sz="4" w:space="0" w:color="auto"/>
              <w:left w:val="nil"/>
              <w:bottom w:val="single" w:sz="4" w:space="0" w:color="auto"/>
              <w:right w:val="single" w:sz="4" w:space="0" w:color="auto"/>
            </w:tcBorders>
          </w:tcPr>
          <w:p w14:paraId="478CE50B" w14:textId="2EBBB50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2 398</w:t>
            </w:r>
          </w:p>
        </w:tc>
        <w:tc>
          <w:tcPr>
            <w:tcW w:w="1311" w:type="dxa"/>
            <w:tcBorders>
              <w:top w:val="nil"/>
              <w:left w:val="single" w:sz="4" w:space="0" w:color="auto"/>
              <w:bottom w:val="single" w:sz="4" w:space="0" w:color="auto"/>
              <w:right w:val="single" w:sz="4" w:space="0" w:color="auto"/>
            </w:tcBorders>
            <w:shd w:val="clear" w:color="auto" w:fill="auto"/>
            <w:noWrap/>
          </w:tcPr>
          <w:p w14:paraId="0736469D" w14:textId="53186A79"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2 007</w:t>
            </w:r>
          </w:p>
        </w:tc>
        <w:tc>
          <w:tcPr>
            <w:tcW w:w="1311" w:type="dxa"/>
            <w:tcBorders>
              <w:top w:val="nil"/>
              <w:left w:val="nil"/>
              <w:bottom w:val="single" w:sz="4" w:space="0" w:color="auto"/>
              <w:right w:val="single" w:sz="4" w:space="0" w:color="auto"/>
            </w:tcBorders>
            <w:shd w:val="clear" w:color="auto" w:fill="auto"/>
            <w:noWrap/>
          </w:tcPr>
          <w:p w14:paraId="483F9DF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2 061</w:t>
            </w:r>
          </w:p>
        </w:tc>
        <w:tc>
          <w:tcPr>
            <w:tcW w:w="1312" w:type="dxa"/>
            <w:tcBorders>
              <w:top w:val="nil"/>
              <w:left w:val="nil"/>
              <w:bottom w:val="single" w:sz="4" w:space="0" w:color="auto"/>
              <w:right w:val="single" w:sz="4" w:space="0" w:color="auto"/>
            </w:tcBorders>
            <w:shd w:val="clear" w:color="auto" w:fill="auto"/>
            <w:noWrap/>
          </w:tcPr>
          <w:p w14:paraId="4B9B2D7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2 161</w:t>
            </w:r>
          </w:p>
        </w:tc>
      </w:tr>
      <w:tr w:rsidR="006B29E4" w:rsidRPr="006B29E4" w14:paraId="4B91C58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1072EF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Belgique</w:t>
            </w:r>
          </w:p>
        </w:tc>
        <w:tc>
          <w:tcPr>
            <w:tcW w:w="1134" w:type="dxa"/>
            <w:tcBorders>
              <w:top w:val="nil"/>
              <w:left w:val="nil"/>
              <w:bottom w:val="single" w:sz="4" w:space="0" w:color="auto"/>
              <w:right w:val="single" w:sz="4" w:space="0" w:color="auto"/>
            </w:tcBorders>
            <w:shd w:val="clear" w:color="auto" w:fill="auto"/>
            <w:noWrap/>
          </w:tcPr>
          <w:p w14:paraId="1BA2B55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0,828</w:t>
            </w:r>
          </w:p>
        </w:tc>
        <w:tc>
          <w:tcPr>
            <w:tcW w:w="1022" w:type="dxa"/>
            <w:tcBorders>
              <w:top w:val="nil"/>
              <w:left w:val="nil"/>
              <w:bottom w:val="single" w:sz="4" w:space="0" w:color="auto"/>
              <w:right w:val="single" w:sz="4" w:space="0" w:color="auto"/>
            </w:tcBorders>
            <w:shd w:val="clear" w:color="auto" w:fill="auto"/>
            <w:noWrap/>
          </w:tcPr>
          <w:p w14:paraId="4C12C59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0,850 %</w:t>
            </w:r>
          </w:p>
        </w:tc>
        <w:tc>
          <w:tcPr>
            <w:tcW w:w="1311" w:type="dxa"/>
            <w:tcBorders>
              <w:top w:val="single" w:sz="4" w:space="0" w:color="auto"/>
              <w:left w:val="nil"/>
              <w:bottom w:val="single" w:sz="4" w:space="0" w:color="auto"/>
              <w:right w:val="single" w:sz="4" w:space="0" w:color="auto"/>
            </w:tcBorders>
          </w:tcPr>
          <w:p w14:paraId="2418921F" w14:textId="721D882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40 185</w:t>
            </w:r>
          </w:p>
        </w:tc>
        <w:tc>
          <w:tcPr>
            <w:tcW w:w="1311" w:type="dxa"/>
            <w:tcBorders>
              <w:top w:val="nil"/>
              <w:left w:val="single" w:sz="4" w:space="0" w:color="auto"/>
              <w:bottom w:val="single" w:sz="4" w:space="0" w:color="auto"/>
              <w:right w:val="single" w:sz="4" w:space="0" w:color="auto"/>
            </w:tcBorders>
            <w:shd w:val="clear" w:color="auto" w:fill="auto"/>
            <w:noWrap/>
          </w:tcPr>
          <w:p w14:paraId="0733BBB4" w14:textId="68F94E55"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40 541</w:t>
            </w:r>
          </w:p>
        </w:tc>
        <w:tc>
          <w:tcPr>
            <w:tcW w:w="1311" w:type="dxa"/>
            <w:tcBorders>
              <w:top w:val="nil"/>
              <w:left w:val="nil"/>
              <w:bottom w:val="single" w:sz="4" w:space="0" w:color="auto"/>
              <w:right w:val="single" w:sz="4" w:space="0" w:color="auto"/>
            </w:tcBorders>
            <w:shd w:val="clear" w:color="auto" w:fill="auto"/>
            <w:noWrap/>
          </w:tcPr>
          <w:p w14:paraId="66B4AD8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41 628</w:t>
            </w:r>
          </w:p>
        </w:tc>
        <w:tc>
          <w:tcPr>
            <w:tcW w:w="1312" w:type="dxa"/>
            <w:tcBorders>
              <w:top w:val="nil"/>
              <w:left w:val="nil"/>
              <w:bottom w:val="single" w:sz="4" w:space="0" w:color="auto"/>
              <w:right w:val="single" w:sz="4" w:space="0" w:color="auto"/>
            </w:tcBorders>
            <w:shd w:val="clear" w:color="auto" w:fill="auto"/>
            <w:noWrap/>
          </w:tcPr>
          <w:p w14:paraId="3C72C6C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43 647</w:t>
            </w:r>
          </w:p>
        </w:tc>
      </w:tr>
      <w:tr w:rsidR="006B29E4" w:rsidRPr="006B29E4" w14:paraId="7964A8B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253A23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Belize</w:t>
            </w:r>
          </w:p>
        </w:tc>
        <w:tc>
          <w:tcPr>
            <w:tcW w:w="1134" w:type="dxa"/>
            <w:tcBorders>
              <w:top w:val="nil"/>
              <w:left w:val="nil"/>
              <w:bottom w:val="single" w:sz="4" w:space="0" w:color="auto"/>
              <w:right w:val="single" w:sz="4" w:space="0" w:color="auto"/>
            </w:tcBorders>
            <w:shd w:val="clear" w:color="auto" w:fill="auto"/>
            <w:noWrap/>
          </w:tcPr>
          <w:p w14:paraId="4D82C71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2D1D60A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71DC18CF" w14:textId="71FDA84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B12AF14" w14:textId="6DA44E2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6D3711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28A7B0D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CCF090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5AAA53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Bénin</w:t>
            </w:r>
          </w:p>
        </w:tc>
        <w:tc>
          <w:tcPr>
            <w:tcW w:w="1134" w:type="dxa"/>
            <w:tcBorders>
              <w:top w:val="nil"/>
              <w:left w:val="nil"/>
              <w:bottom w:val="single" w:sz="4" w:space="0" w:color="auto"/>
              <w:right w:val="single" w:sz="4" w:space="0" w:color="auto"/>
            </w:tcBorders>
            <w:shd w:val="clear" w:color="auto" w:fill="auto"/>
            <w:noWrap/>
          </w:tcPr>
          <w:p w14:paraId="1E9021B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w:t>
            </w:r>
          </w:p>
        </w:tc>
        <w:tc>
          <w:tcPr>
            <w:tcW w:w="1022" w:type="dxa"/>
            <w:tcBorders>
              <w:top w:val="nil"/>
              <w:left w:val="nil"/>
              <w:bottom w:val="single" w:sz="4" w:space="0" w:color="auto"/>
              <w:right w:val="single" w:sz="4" w:space="0" w:color="auto"/>
            </w:tcBorders>
            <w:shd w:val="clear" w:color="auto" w:fill="auto"/>
            <w:noWrap/>
          </w:tcPr>
          <w:p w14:paraId="1A6B40C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0,005 %</w:t>
            </w:r>
          </w:p>
        </w:tc>
        <w:tc>
          <w:tcPr>
            <w:tcW w:w="1311" w:type="dxa"/>
            <w:tcBorders>
              <w:top w:val="single" w:sz="4" w:space="0" w:color="auto"/>
              <w:left w:val="nil"/>
              <w:bottom w:val="single" w:sz="4" w:space="0" w:color="auto"/>
              <w:right w:val="single" w:sz="4" w:space="0" w:color="auto"/>
            </w:tcBorders>
          </w:tcPr>
          <w:p w14:paraId="4B5F6C9F" w14:textId="2B2E3AF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FA1DCF4" w14:textId="4B541810"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FA6465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8E67A2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6F559FE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D9B000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Bhoutan</w:t>
            </w:r>
          </w:p>
        </w:tc>
        <w:tc>
          <w:tcPr>
            <w:tcW w:w="1134" w:type="dxa"/>
            <w:tcBorders>
              <w:top w:val="nil"/>
              <w:left w:val="nil"/>
              <w:bottom w:val="single" w:sz="4" w:space="0" w:color="auto"/>
              <w:right w:val="single" w:sz="4" w:space="0" w:color="auto"/>
            </w:tcBorders>
            <w:shd w:val="clear" w:color="auto" w:fill="auto"/>
            <w:noWrap/>
          </w:tcPr>
          <w:p w14:paraId="2E5CF15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3EA2BC6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1BE6C07A" w14:textId="2798B0A2"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4222DDC" w14:textId="5483C1F4"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E46091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FD8A69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0DD510D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E591E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Bolivie (État plurinational de)</w:t>
            </w:r>
          </w:p>
        </w:tc>
        <w:tc>
          <w:tcPr>
            <w:tcW w:w="1134" w:type="dxa"/>
            <w:tcBorders>
              <w:top w:val="nil"/>
              <w:left w:val="nil"/>
              <w:bottom w:val="single" w:sz="4" w:space="0" w:color="auto"/>
              <w:right w:val="single" w:sz="4" w:space="0" w:color="auto"/>
            </w:tcBorders>
            <w:shd w:val="clear" w:color="auto" w:fill="auto"/>
            <w:noWrap/>
          </w:tcPr>
          <w:p w14:paraId="7C1C25E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0,019</w:t>
            </w:r>
          </w:p>
        </w:tc>
        <w:tc>
          <w:tcPr>
            <w:tcW w:w="1022" w:type="dxa"/>
            <w:tcBorders>
              <w:top w:val="nil"/>
              <w:left w:val="nil"/>
              <w:bottom w:val="single" w:sz="4" w:space="0" w:color="auto"/>
              <w:right w:val="single" w:sz="4" w:space="0" w:color="auto"/>
            </w:tcBorders>
            <w:shd w:val="clear" w:color="auto" w:fill="auto"/>
            <w:noWrap/>
          </w:tcPr>
          <w:p w14:paraId="5EE73C4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0,020 %</w:t>
            </w:r>
          </w:p>
        </w:tc>
        <w:tc>
          <w:tcPr>
            <w:tcW w:w="1311" w:type="dxa"/>
            <w:tcBorders>
              <w:top w:val="single" w:sz="4" w:space="0" w:color="auto"/>
              <w:left w:val="nil"/>
              <w:bottom w:val="single" w:sz="4" w:space="0" w:color="auto"/>
              <w:right w:val="single" w:sz="4" w:space="0" w:color="auto"/>
            </w:tcBorders>
          </w:tcPr>
          <w:p w14:paraId="136D2958" w14:textId="27BCF259"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68013C19" w14:textId="727C02D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26B7B0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05B7D4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1 002</w:t>
            </w:r>
          </w:p>
        </w:tc>
      </w:tr>
      <w:tr w:rsidR="006B29E4" w:rsidRPr="006B29E4" w14:paraId="503E175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1F48D15"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Bosnie-Herzégovine</w:t>
            </w:r>
          </w:p>
        </w:tc>
        <w:tc>
          <w:tcPr>
            <w:tcW w:w="1134" w:type="dxa"/>
            <w:tcBorders>
              <w:top w:val="nil"/>
              <w:left w:val="nil"/>
              <w:bottom w:val="single" w:sz="4" w:space="0" w:color="auto"/>
              <w:right w:val="single" w:sz="4" w:space="0" w:color="auto"/>
            </w:tcBorders>
            <w:shd w:val="clear" w:color="auto" w:fill="auto"/>
            <w:noWrap/>
          </w:tcPr>
          <w:p w14:paraId="5DD52B3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0,012</w:t>
            </w:r>
          </w:p>
        </w:tc>
        <w:tc>
          <w:tcPr>
            <w:tcW w:w="1022" w:type="dxa"/>
            <w:tcBorders>
              <w:top w:val="nil"/>
              <w:left w:val="nil"/>
              <w:bottom w:val="single" w:sz="4" w:space="0" w:color="auto"/>
              <w:right w:val="single" w:sz="4" w:space="0" w:color="auto"/>
            </w:tcBorders>
            <w:shd w:val="clear" w:color="auto" w:fill="auto"/>
            <w:noWrap/>
          </w:tcPr>
          <w:p w14:paraId="55E75C2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0,012 %</w:t>
            </w:r>
          </w:p>
        </w:tc>
        <w:tc>
          <w:tcPr>
            <w:tcW w:w="1311" w:type="dxa"/>
            <w:tcBorders>
              <w:top w:val="single" w:sz="4" w:space="0" w:color="auto"/>
              <w:left w:val="nil"/>
              <w:bottom w:val="single" w:sz="4" w:space="0" w:color="auto"/>
              <w:right w:val="single" w:sz="4" w:space="0" w:color="auto"/>
            </w:tcBorders>
          </w:tcPr>
          <w:p w14:paraId="3B0C0542" w14:textId="16A9FC5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7C74472" w14:textId="7C99A675"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299A20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AEAC85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1A132D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911A95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Botswana</w:t>
            </w:r>
          </w:p>
        </w:tc>
        <w:tc>
          <w:tcPr>
            <w:tcW w:w="1134" w:type="dxa"/>
            <w:tcBorders>
              <w:top w:val="nil"/>
              <w:left w:val="nil"/>
              <w:bottom w:val="single" w:sz="4" w:space="0" w:color="auto"/>
              <w:right w:val="single" w:sz="4" w:space="0" w:color="auto"/>
            </w:tcBorders>
            <w:shd w:val="clear" w:color="auto" w:fill="auto"/>
            <w:noWrap/>
          </w:tcPr>
          <w:p w14:paraId="359A2E7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0,015</w:t>
            </w:r>
          </w:p>
        </w:tc>
        <w:tc>
          <w:tcPr>
            <w:tcW w:w="1022" w:type="dxa"/>
            <w:tcBorders>
              <w:top w:val="nil"/>
              <w:left w:val="nil"/>
              <w:bottom w:val="single" w:sz="4" w:space="0" w:color="auto"/>
              <w:right w:val="single" w:sz="4" w:space="0" w:color="auto"/>
            </w:tcBorders>
            <w:shd w:val="clear" w:color="auto" w:fill="auto"/>
            <w:noWrap/>
          </w:tcPr>
          <w:p w14:paraId="76F49BF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0,015 %</w:t>
            </w:r>
          </w:p>
        </w:tc>
        <w:tc>
          <w:tcPr>
            <w:tcW w:w="1311" w:type="dxa"/>
            <w:tcBorders>
              <w:top w:val="single" w:sz="4" w:space="0" w:color="auto"/>
              <w:left w:val="nil"/>
              <w:bottom w:val="single" w:sz="4" w:space="0" w:color="auto"/>
              <w:right w:val="single" w:sz="4" w:space="0" w:color="auto"/>
            </w:tcBorders>
          </w:tcPr>
          <w:p w14:paraId="489B053D" w14:textId="1242CF22"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1101053" w14:textId="1A395FBE"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04EFF9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1B1247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BAD91D6"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0274AAD"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Brésil</w:t>
            </w:r>
          </w:p>
        </w:tc>
        <w:tc>
          <w:tcPr>
            <w:tcW w:w="1134" w:type="dxa"/>
            <w:tcBorders>
              <w:top w:val="nil"/>
              <w:left w:val="nil"/>
              <w:bottom w:val="single" w:sz="4" w:space="0" w:color="auto"/>
              <w:right w:val="single" w:sz="4" w:space="0" w:color="auto"/>
            </w:tcBorders>
            <w:shd w:val="clear" w:color="auto" w:fill="auto"/>
            <w:noWrap/>
          </w:tcPr>
          <w:p w14:paraId="3E68A50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2,013</w:t>
            </w:r>
          </w:p>
        </w:tc>
        <w:tc>
          <w:tcPr>
            <w:tcW w:w="1022" w:type="dxa"/>
            <w:tcBorders>
              <w:top w:val="nil"/>
              <w:left w:val="nil"/>
              <w:bottom w:val="single" w:sz="4" w:space="0" w:color="auto"/>
              <w:right w:val="single" w:sz="4" w:space="0" w:color="auto"/>
            </w:tcBorders>
            <w:shd w:val="clear" w:color="auto" w:fill="auto"/>
            <w:noWrap/>
          </w:tcPr>
          <w:p w14:paraId="4F8F5FF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2,067 %</w:t>
            </w:r>
          </w:p>
        </w:tc>
        <w:tc>
          <w:tcPr>
            <w:tcW w:w="1311" w:type="dxa"/>
            <w:tcBorders>
              <w:top w:val="single" w:sz="4" w:space="0" w:color="auto"/>
              <w:left w:val="nil"/>
              <w:bottom w:val="single" w:sz="4" w:space="0" w:color="auto"/>
              <w:right w:val="single" w:sz="4" w:space="0" w:color="auto"/>
            </w:tcBorders>
          </w:tcPr>
          <w:p w14:paraId="632C1B6E" w14:textId="2810F4F0"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144 293</w:t>
            </w:r>
          </w:p>
        </w:tc>
        <w:tc>
          <w:tcPr>
            <w:tcW w:w="1311" w:type="dxa"/>
            <w:tcBorders>
              <w:top w:val="nil"/>
              <w:left w:val="single" w:sz="4" w:space="0" w:color="auto"/>
              <w:bottom w:val="single" w:sz="4" w:space="0" w:color="auto"/>
              <w:right w:val="single" w:sz="4" w:space="0" w:color="auto"/>
            </w:tcBorders>
            <w:shd w:val="clear" w:color="auto" w:fill="auto"/>
            <w:noWrap/>
          </w:tcPr>
          <w:p w14:paraId="4A60AA6B" w14:textId="6D467F92"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98 562</w:t>
            </w:r>
          </w:p>
        </w:tc>
        <w:tc>
          <w:tcPr>
            <w:tcW w:w="1311" w:type="dxa"/>
            <w:tcBorders>
              <w:top w:val="nil"/>
              <w:left w:val="nil"/>
              <w:bottom w:val="single" w:sz="4" w:space="0" w:color="auto"/>
              <w:right w:val="single" w:sz="4" w:space="0" w:color="auto"/>
            </w:tcBorders>
            <w:shd w:val="clear" w:color="auto" w:fill="auto"/>
            <w:noWrap/>
          </w:tcPr>
          <w:p w14:paraId="7976AD1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101 204</w:t>
            </w:r>
          </w:p>
        </w:tc>
        <w:tc>
          <w:tcPr>
            <w:tcW w:w="1312" w:type="dxa"/>
            <w:tcBorders>
              <w:top w:val="nil"/>
              <w:left w:val="nil"/>
              <w:bottom w:val="single" w:sz="4" w:space="0" w:color="auto"/>
              <w:right w:val="single" w:sz="4" w:space="0" w:color="auto"/>
            </w:tcBorders>
            <w:shd w:val="clear" w:color="auto" w:fill="auto"/>
            <w:noWrap/>
          </w:tcPr>
          <w:p w14:paraId="58DB9D4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106 113</w:t>
            </w:r>
          </w:p>
        </w:tc>
      </w:tr>
      <w:tr w:rsidR="006B29E4" w:rsidRPr="006B29E4" w14:paraId="750789B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CC0A7F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Bulgarie</w:t>
            </w:r>
          </w:p>
        </w:tc>
        <w:tc>
          <w:tcPr>
            <w:tcW w:w="1134" w:type="dxa"/>
            <w:tcBorders>
              <w:top w:val="nil"/>
              <w:left w:val="nil"/>
              <w:bottom w:val="single" w:sz="4" w:space="0" w:color="auto"/>
              <w:right w:val="single" w:sz="4" w:space="0" w:color="auto"/>
            </w:tcBorders>
            <w:shd w:val="clear" w:color="auto" w:fill="auto"/>
            <w:noWrap/>
          </w:tcPr>
          <w:p w14:paraId="65F7A34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0,056</w:t>
            </w:r>
          </w:p>
        </w:tc>
        <w:tc>
          <w:tcPr>
            <w:tcW w:w="1022" w:type="dxa"/>
            <w:tcBorders>
              <w:top w:val="nil"/>
              <w:left w:val="nil"/>
              <w:bottom w:val="single" w:sz="4" w:space="0" w:color="auto"/>
              <w:right w:val="single" w:sz="4" w:space="0" w:color="auto"/>
            </w:tcBorders>
            <w:shd w:val="clear" w:color="auto" w:fill="auto"/>
            <w:noWrap/>
          </w:tcPr>
          <w:p w14:paraId="6840267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0,057 %</w:t>
            </w:r>
          </w:p>
        </w:tc>
        <w:tc>
          <w:tcPr>
            <w:tcW w:w="1311" w:type="dxa"/>
            <w:tcBorders>
              <w:top w:val="single" w:sz="4" w:space="0" w:color="auto"/>
              <w:left w:val="nil"/>
              <w:bottom w:val="single" w:sz="4" w:space="0" w:color="auto"/>
              <w:right w:val="single" w:sz="4" w:space="0" w:color="auto"/>
            </w:tcBorders>
          </w:tcPr>
          <w:p w14:paraId="672BE2A7" w14:textId="2D916DC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2 252</w:t>
            </w:r>
          </w:p>
        </w:tc>
        <w:tc>
          <w:tcPr>
            <w:tcW w:w="1311" w:type="dxa"/>
            <w:tcBorders>
              <w:top w:val="nil"/>
              <w:left w:val="single" w:sz="4" w:space="0" w:color="auto"/>
              <w:bottom w:val="single" w:sz="4" w:space="0" w:color="auto"/>
              <w:right w:val="single" w:sz="4" w:space="0" w:color="auto"/>
            </w:tcBorders>
            <w:shd w:val="clear" w:color="auto" w:fill="auto"/>
            <w:noWrap/>
          </w:tcPr>
          <w:p w14:paraId="000FD815" w14:textId="383FAA0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2 742</w:t>
            </w:r>
          </w:p>
        </w:tc>
        <w:tc>
          <w:tcPr>
            <w:tcW w:w="1311" w:type="dxa"/>
            <w:tcBorders>
              <w:top w:val="nil"/>
              <w:left w:val="nil"/>
              <w:bottom w:val="single" w:sz="4" w:space="0" w:color="auto"/>
              <w:right w:val="single" w:sz="4" w:space="0" w:color="auto"/>
            </w:tcBorders>
            <w:shd w:val="clear" w:color="auto" w:fill="auto"/>
            <w:noWrap/>
          </w:tcPr>
          <w:p w14:paraId="7AE149F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2 815</w:t>
            </w:r>
          </w:p>
        </w:tc>
        <w:tc>
          <w:tcPr>
            <w:tcW w:w="1312" w:type="dxa"/>
            <w:tcBorders>
              <w:top w:val="nil"/>
              <w:left w:val="nil"/>
              <w:bottom w:val="single" w:sz="4" w:space="0" w:color="auto"/>
              <w:right w:val="single" w:sz="4" w:space="0" w:color="auto"/>
            </w:tcBorders>
            <w:shd w:val="clear" w:color="auto" w:fill="auto"/>
            <w:noWrap/>
          </w:tcPr>
          <w:p w14:paraId="2FE036C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2 952</w:t>
            </w:r>
          </w:p>
        </w:tc>
      </w:tr>
      <w:tr w:rsidR="006B29E4" w:rsidRPr="006B29E4" w14:paraId="6CE430A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D3BD1C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Burkina Faso</w:t>
            </w:r>
          </w:p>
        </w:tc>
        <w:tc>
          <w:tcPr>
            <w:tcW w:w="1134" w:type="dxa"/>
            <w:tcBorders>
              <w:top w:val="nil"/>
              <w:left w:val="nil"/>
              <w:bottom w:val="single" w:sz="4" w:space="0" w:color="auto"/>
              <w:right w:val="single" w:sz="4" w:space="0" w:color="auto"/>
            </w:tcBorders>
            <w:shd w:val="clear" w:color="auto" w:fill="auto"/>
            <w:noWrap/>
          </w:tcPr>
          <w:p w14:paraId="3AECA3E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w:t>
            </w:r>
          </w:p>
        </w:tc>
        <w:tc>
          <w:tcPr>
            <w:tcW w:w="1022" w:type="dxa"/>
            <w:tcBorders>
              <w:top w:val="nil"/>
              <w:left w:val="nil"/>
              <w:bottom w:val="single" w:sz="4" w:space="0" w:color="auto"/>
              <w:right w:val="single" w:sz="4" w:space="0" w:color="auto"/>
            </w:tcBorders>
            <w:shd w:val="clear" w:color="auto" w:fill="auto"/>
            <w:noWrap/>
          </w:tcPr>
          <w:p w14:paraId="2357B2A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0,004 %</w:t>
            </w:r>
          </w:p>
        </w:tc>
        <w:tc>
          <w:tcPr>
            <w:tcW w:w="1311" w:type="dxa"/>
            <w:tcBorders>
              <w:top w:val="single" w:sz="4" w:space="0" w:color="auto"/>
              <w:left w:val="nil"/>
              <w:bottom w:val="single" w:sz="4" w:space="0" w:color="auto"/>
              <w:right w:val="single" w:sz="4" w:space="0" w:color="auto"/>
            </w:tcBorders>
          </w:tcPr>
          <w:p w14:paraId="1FBE38E1" w14:textId="3F2C8BC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66C6D54" w14:textId="5D54B62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8AB1B1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73BFB1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64F4B3F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92A6DED"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Burundi</w:t>
            </w:r>
          </w:p>
        </w:tc>
        <w:tc>
          <w:tcPr>
            <w:tcW w:w="1134" w:type="dxa"/>
            <w:tcBorders>
              <w:top w:val="nil"/>
              <w:left w:val="nil"/>
              <w:bottom w:val="single" w:sz="4" w:space="0" w:color="auto"/>
              <w:right w:val="single" w:sz="4" w:space="0" w:color="auto"/>
            </w:tcBorders>
            <w:shd w:val="clear" w:color="auto" w:fill="auto"/>
            <w:noWrap/>
          </w:tcPr>
          <w:p w14:paraId="3BC7E40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7E84C77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04DBCBC2" w14:textId="2AFA7AF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6E462DD" w14:textId="73BA771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42B19B4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29E578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56FEAAD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AAA2A10"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Cabo Verde</w:t>
            </w:r>
          </w:p>
        </w:tc>
        <w:tc>
          <w:tcPr>
            <w:tcW w:w="1134" w:type="dxa"/>
            <w:tcBorders>
              <w:top w:val="nil"/>
              <w:left w:val="nil"/>
              <w:bottom w:val="single" w:sz="4" w:space="0" w:color="auto"/>
              <w:right w:val="single" w:sz="4" w:space="0" w:color="auto"/>
            </w:tcBorders>
            <w:shd w:val="clear" w:color="auto" w:fill="auto"/>
            <w:noWrap/>
          </w:tcPr>
          <w:p w14:paraId="0D1C54E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12F2A28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311" w:type="dxa"/>
            <w:tcBorders>
              <w:top w:val="single" w:sz="4" w:space="0" w:color="auto"/>
              <w:left w:val="nil"/>
              <w:bottom w:val="single" w:sz="4" w:space="0" w:color="auto"/>
              <w:right w:val="single" w:sz="4" w:space="0" w:color="auto"/>
            </w:tcBorders>
          </w:tcPr>
          <w:p w14:paraId="35022DDA" w14:textId="664C991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152B346" w14:textId="32BA0825"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CB432C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80E19C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AAB15A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2ED695B"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Cambodge</w:t>
            </w:r>
          </w:p>
        </w:tc>
        <w:tc>
          <w:tcPr>
            <w:tcW w:w="1134" w:type="dxa"/>
            <w:tcBorders>
              <w:top w:val="nil"/>
              <w:left w:val="nil"/>
              <w:bottom w:val="single" w:sz="4" w:space="0" w:color="auto"/>
              <w:right w:val="single" w:sz="4" w:space="0" w:color="auto"/>
            </w:tcBorders>
            <w:shd w:val="clear" w:color="auto" w:fill="auto"/>
            <w:noWrap/>
          </w:tcPr>
          <w:p w14:paraId="68EF7AB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0,007</w:t>
            </w:r>
          </w:p>
        </w:tc>
        <w:tc>
          <w:tcPr>
            <w:tcW w:w="1022" w:type="dxa"/>
            <w:tcBorders>
              <w:top w:val="nil"/>
              <w:left w:val="nil"/>
              <w:bottom w:val="single" w:sz="4" w:space="0" w:color="auto"/>
              <w:right w:val="single" w:sz="4" w:space="0" w:color="auto"/>
            </w:tcBorders>
            <w:shd w:val="clear" w:color="auto" w:fill="auto"/>
            <w:noWrap/>
          </w:tcPr>
          <w:p w14:paraId="464369D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0,007 %</w:t>
            </w:r>
          </w:p>
        </w:tc>
        <w:tc>
          <w:tcPr>
            <w:tcW w:w="1311" w:type="dxa"/>
            <w:tcBorders>
              <w:top w:val="single" w:sz="4" w:space="0" w:color="auto"/>
              <w:left w:val="nil"/>
              <w:bottom w:val="single" w:sz="4" w:space="0" w:color="auto"/>
              <w:right w:val="single" w:sz="4" w:space="0" w:color="auto"/>
            </w:tcBorders>
          </w:tcPr>
          <w:p w14:paraId="069D6F77" w14:textId="23990F9F"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3413AA6" w14:textId="4C66DB3D"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873B35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29B403E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4CBF56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0698A6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Cameroun</w:t>
            </w:r>
          </w:p>
        </w:tc>
        <w:tc>
          <w:tcPr>
            <w:tcW w:w="1134" w:type="dxa"/>
            <w:tcBorders>
              <w:top w:val="nil"/>
              <w:left w:val="nil"/>
              <w:bottom w:val="single" w:sz="4" w:space="0" w:color="auto"/>
              <w:right w:val="single" w:sz="4" w:space="0" w:color="auto"/>
            </w:tcBorders>
            <w:shd w:val="clear" w:color="auto" w:fill="auto"/>
            <w:noWrap/>
          </w:tcPr>
          <w:p w14:paraId="3BEF147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0,013</w:t>
            </w:r>
          </w:p>
        </w:tc>
        <w:tc>
          <w:tcPr>
            <w:tcW w:w="1022" w:type="dxa"/>
            <w:tcBorders>
              <w:top w:val="nil"/>
              <w:left w:val="nil"/>
              <w:bottom w:val="single" w:sz="4" w:space="0" w:color="auto"/>
              <w:right w:val="single" w:sz="4" w:space="0" w:color="auto"/>
            </w:tcBorders>
            <w:shd w:val="clear" w:color="auto" w:fill="auto"/>
            <w:noWrap/>
          </w:tcPr>
          <w:p w14:paraId="5DF1EA6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0,013 %</w:t>
            </w:r>
          </w:p>
        </w:tc>
        <w:tc>
          <w:tcPr>
            <w:tcW w:w="1311" w:type="dxa"/>
            <w:tcBorders>
              <w:top w:val="single" w:sz="4" w:space="0" w:color="auto"/>
              <w:left w:val="nil"/>
              <w:bottom w:val="single" w:sz="4" w:space="0" w:color="auto"/>
              <w:right w:val="single" w:sz="4" w:space="0" w:color="auto"/>
            </w:tcBorders>
          </w:tcPr>
          <w:p w14:paraId="3CF2A9EC" w14:textId="41F91690"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4BA804F" w14:textId="0690F1C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1D9191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20A4384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1499C07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F9151C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Canada</w:t>
            </w:r>
          </w:p>
        </w:tc>
        <w:tc>
          <w:tcPr>
            <w:tcW w:w="1134" w:type="dxa"/>
            <w:tcBorders>
              <w:top w:val="nil"/>
              <w:left w:val="nil"/>
              <w:bottom w:val="single" w:sz="4" w:space="0" w:color="auto"/>
              <w:right w:val="single" w:sz="4" w:space="0" w:color="auto"/>
            </w:tcBorders>
            <w:shd w:val="clear" w:color="auto" w:fill="auto"/>
            <w:noWrap/>
          </w:tcPr>
          <w:p w14:paraId="44FBC47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2,628</w:t>
            </w:r>
          </w:p>
        </w:tc>
        <w:tc>
          <w:tcPr>
            <w:tcW w:w="1022" w:type="dxa"/>
            <w:tcBorders>
              <w:top w:val="nil"/>
              <w:left w:val="nil"/>
              <w:bottom w:val="single" w:sz="4" w:space="0" w:color="auto"/>
              <w:right w:val="single" w:sz="4" w:space="0" w:color="auto"/>
            </w:tcBorders>
            <w:shd w:val="clear" w:color="auto" w:fill="auto"/>
            <w:noWrap/>
          </w:tcPr>
          <w:p w14:paraId="09ADF74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2,698 %</w:t>
            </w:r>
          </w:p>
        </w:tc>
        <w:tc>
          <w:tcPr>
            <w:tcW w:w="1311" w:type="dxa"/>
            <w:tcBorders>
              <w:top w:val="single" w:sz="4" w:space="0" w:color="auto"/>
              <w:left w:val="nil"/>
              <w:bottom w:val="single" w:sz="4" w:space="0" w:color="auto"/>
              <w:right w:val="single" w:sz="4" w:space="0" w:color="auto"/>
            </w:tcBorders>
          </w:tcPr>
          <w:p w14:paraId="3DD1716B" w14:textId="0BE356F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133 818</w:t>
            </w:r>
          </w:p>
        </w:tc>
        <w:tc>
          <w:tcPr>
            <w:tcW w:w="1311" w:type="dxa"/>
            <w:tcBorders>
              <w:top w:val="nil"/>
              <w:left w:val="single" w:sz="4" w:space="0" w:color="auto"/>
              <w:bottom w:val="single" w:sz="4" w:space="0" w:color="auto"/>
              <w:right w:val="single" w:sz="4" w:space="0" w:color="auto"/>
            </w:tcBorders>
            <w:shd w:val="clear" w:color="auto" w:fill="auto"/>
            <w:noWrap/>
          </w:tcPr>
          <w:p w14:paraId="71F35E83" w14:textId="52BBC172"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128 674</w:t>
            </w:r>
          </w:p>
        </w:tc>
        <w:tc>
          <w:tcPr>
            <w:tcW w:w="1311" w:type="dxa"/>
            <w:tcBorders>
              <w:top w:val="nil"/>
              <w:left w:val="nil"/>
              <w:bottom w:val="single" w:sz="4" w:space="0" w:color="auto"/>
              <w:right w:val="single" w:sz="4" w:space="0" w:color="auto"/>
            </w:tcBorders>
            <w:shd w:val="clear" w:color="auto" w:fill="auto"/>
            <w:noWrap/>
          </w:tcPr>
          <w:p w14:paraId="207DC8F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132 123</w:t>
            </w:r>
          </w:p>
        </w:tc>
        <w:tc>
          <w:tcPr>
            <w:tcW w:w="1312" w:type="dxa"/>
            <w:tcBorders>
              <w:top w:val="nil"/>
              <w:left w:val="nil"/>
              <w:bottom w:val="single" w:sz="4" w:space="0" w:color="auto"/>
              <w:right w:val="single" w:sz="4" w:space="0" w:color="auto"/>
            </w:tcBorders>
            <w:shd w:val="clear" w:color="auto" w:fill="auto"/>
            <w:noWrap/>
          </w:tcPr>
          <w:p w14:paraId="1494866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138 532</w:t>
            </w:r>
          </w:p>
        </w:tc>
      </w:tr>
      <w:tr w:rsidR="006B29E4" w:rsidRPr="006B29E4" w14:paraId="0C5F382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AB2404"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Chili</w:t>
            </w:r>
          </w:p>
        </w:tc>
        <w:tc>
          <w:tcPr>
            <w:tcW w:w="1134" w:type="dxa"/>
            <w:tcBorders>
              <w:top w:val="nil"/>
              <w:left w:val="nil"/>
              <w:bottom w:val="single" w:sz="4" w:space="0" w:color="auto"/>
              <w:right w:val="single" w:sz="4" w:space="0" w:color="auto"/>
            </w:tcBorders>
            <w:shd w:val="clear" w:color="auto" w:fill="auto"/>
            <w:noWrap/>
          </w:tcPr>
          <w:p w14:paraId="3A918E3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0,420</w:t>
            </w:r>
          </w:p>
        </w:tc>
        <w:tc>
          <w:tcPr>
            <w:tcW w:w="1022" w:type="dxa"/>
            <w:tcBorders>
              <w:top w:val="nil"/>
              <w:left w:val="nil"/>
              <w:bottom w:val="single" w:sz="4" w:space="0" w:color="auto"/>
              <w:right w:val="single" w:sz="4" w:space="0" w:color="auto"/>
            </w:tcBorders>
            <w:shd w:val="clear" w:color="auto" w:fill="auto"/>
            <w:noWrap/>
          </w:tcPr>
          <w:p w14:paraId="7D088E0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0,431 %</w:t>
            </w:r>
          </w:p>
        </w:tc>
        <w:tc>
          <w:tcPr>
            <w:tcW w:w="1311" w:type="dxa"/>
            <w:tcBorders>
              <w:top w:val="single" w:sz="4" w:space="0" w:color="auto"/>
              <w:left w:val="nil"/>
              <w:bottom w:val="single" w:sz="4" w:space="0" w:color="auto"/>
              <w:right w:val="single" w:sz="4" w:space="0" w:color="auto"/>
            </w:tcBorders>
          </w:tcPr>
          <w:p w14:paraId="300E0EDA" w14:textId="10E526F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19 921</w:t>
            </w:r>
          </w:p>
        </w:tc>
        <w:tc>
          <w:tcPr>
            <w:tcW w:w="1311" w:type="dxa"/>
            <w:tcBorders>
              <w:top w:val="nil"/>
              <w:left w:val="single" w:sz="4" w:space="0" w:color="auto"/>
              <w:bottom w:val="single" w:sz="4" w:space="0" w:color="auto"/>
              <w:right w:val="single" w:sz="4" w:space="0" w:color="auto"/>
            </w:tcBorders>
            <w:shd w:val="clear" w:color="auto" w:fill="auto"/>
            <w:noWrap/>
          </w:tcPr>
          <w:p w14:paraId="4C3D33B3" w14:textId="10EA60E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20 564</w:t>
            </w:r>
          </w:p>
        </w:tc>
        <w:tc>
          <w:tcPr>
            <w:tcW w:w="1311" w:type="dxa"/>
            <w:tcBorders>
              <w:top w:val="nil"/>
              <w:left w:val="nil"/>
              <w:bottom w:val="single" w:sz="4" w:space="0" w:color="auto"/>
              <w:right w:val="single" w:sz="4" w:space="0" w:color="auto"/>
            </w:tcBorders>
            <w:shd w:val="clear" w:color="auto" w:fill="auto"/>
            <w:noWrap/>
          </w:tcPr>
          <w:p w14:paraId="62F54AC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21 116</w:t>
            </w:r>
          </w:p>
        </w:tc>
        <w:tc>
          <w:tcPr>
            <w:tcW w:w="1312" w:type="dxa"/>
            <w:tcBorders>
              <w:top w:val="nil"/>
              <w:left w:val="nil"/>
              <w:bottom w:val="single" w:sz="4" w:space="0" w:color="auto"/>
              <w:right w:val="single" w:sz="4" w:space="0" w:color="auto"/>
            </w:tcBorders>
            <w:shd w:val="clear" w:color="auto" w:fill="auto"/>
            <w:noWrap/>
          </w:tcPr>
          <w:p w14:paraId="774335B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22 140</w:t>
            </w:r>
          </w:p>
        </w:tc>
      </w:tr>
      <w:tr w:rsidR="006B29E4" w:rsidRPr="006B29E4" w14:paraId="703EE22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BF94E3D"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Chine</w:t>
            </w:r>
          </w:p>
        </w:tc>
        <w:tc>
          <w:tcPr>
            <w:tcW w:w="1134" w:type="dxa"/>
            <w:tcBorders>
              <w:top w:val="nil"/>
              <w:left w:val="nil"/>
              <w:bottom w:val="single" w:sz="4" w:space="0" w:color="auto"/>
              <w:right w:val="single" w:sz="4" w:space="0" w:color="auto"/>
            </w:tcBorders>
            <w:shd w:val="clear" w:color="auto" w:fill="auto"/>
            <w:noWrap/>
          </w:tcPr>
          <w:p w14:paraId="663B447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15,254</w:t>
            </w:r>
          </w:p>
        </w:tc>
        <w:tc>
          <w:tcPr>
            <w:tcW w:w="1022" w:type="dxa"/>
            <w:tcBorders>
              <w:top w:val="nil"/>
              <w:left w:val="nil"/>
              <w:bottom w:val="single" w:sz="4" w:space="0" w:color="auto"/>
              <w:right w:val="single" w:sz="4" w:space="0" w:color="auto"/>
            </w:tcBorders>
            <w:shd w:val="clear" w:color="auto" w:fill="auto"/>
            <w:noWrap/>
          </w:tcPr>
          <w:p w14:paraId="0ABF507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15,660 %</w:t>
            </w:r>
          </w:p>
        </w:tc>
        <w:tc>
          <w:tcPr>
            <w:tcW w:w="1311" w:type="dxa"/>
            <w:tcBorders>
              <w:top w:val="single" w:sz="4" w:space="0" w:color="auto"/>
              <w:left w:val="nil"/>
              <w:bottom w:val="single" w:sz="4" w:space="0" w:color="auto"/>
              <w:right w:val="single" w:sz="4" w:space="0" w:color="auto"/>
            </w:tcBorders>
          </w:tcPr>
          <w:p w14:paraId="48F6C27A" w14:textId="4215361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587 595</w:t>
            </w:r>
          </w:p>
        </w:tc>
        <w:tc>
          <w:tcPr>
            <w:tcW w:w="1311" w:type="dxa"/>
            <w:tcBorders>
              <w:top w:val="nil"/>
              <w:left w:val="single" w:sz="4" w:space="0" w:color="auto"/>
              <w:bottom w:val="single" w:sz="4" w:space="0" w:color="auto"/>
              <w:right w:val="single" w:sz="4" w:space="0" w:color="auto"/>
            </w:tcBorders>
            <w:shd w:val="clear" w:color="auto" w:fill="auto"/>
            <w:noWrap/>
          </w:tcPr>
          <w:p w14:paraId="687DE181" w14:textId="500CAAE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746 880</w:t>
            </w:r>
          </w:p>
        </w:tc>
        <w:tc>
          <w:tcPr>
            <w:tcW w:w="1311" w:type="dxa"/>
            <w:tcBorders>
              <w:top w:val="nil"/>
              <w:left w:val="nil"/>
              <w:bottom w:val="single" w:sz="4" w:space="0" w:color="auto"/>
              <w:right w:val="single" w:sz="4" w:space="0" w:color="auto"/>
            </w:tcBorders>
            <w:shd w:val="clear" w:color="auto" w:fill="auto"/>
            <w:noWrap/>
          </w:tcPr>
          <w:p w14:paraId="404105A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766 894</w:t>
            </w:r>
          </w:p>
        </w:tc>
        <w:tc>
          <w:tcPr>
            <w:tcW w:w="1312" w:type="dxa"/>
            <w:tcBorders>
              <w:top w:val="nil"/>
              <w:left w:val="nil"/>
              <w:bottom w:val="single" w:sz="4" w:space="0" w:color="auto"/>
              <w:right w:val="single" w:sz="4" w:space="0" w:color="auto"/>
            </w:tcBorders>
            <w:shd w:val="clear" w:color="auto" w:fill="auto"/>
            <w:noWrap/>
          </w:tcPr>
          <w:p w14:paraId="1981BD5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804 094</w:t>
            </w:r>
          </w:p>
        </w:tc>
      </w:tr>
      <w:tr w:rsidR="006B29E4" w:rsidRPr="006B29E4" w14:paraId="2637130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D99BAB2"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Chypre</w:t>
            </w:r>
          </w:p>
        </w:tc>
        <w:tc>
          <w:tcPr>
            <w:tcW w:w="1134" w:type="dxa"/>
            <w:tcBorders>
              <w:top w:val="nil"/>
              <w:left w:val="nil"/>
              <w:bottom w:val="single" w:sz="4" w:space="0" w:color="auto"/>
              <w:right w:val="single" w:sz="4" w:space="0" w:color="auto"/>
            </w:tcBorders>
            <w:shd w:val="clear" w:color="auto" w:fill="auto"/>
            <w:noWrap/>
          </w:tcPr>
          <w:p w14:paraId="2D9C0459"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0,036</w:t>
            </w:r>
          </w:p>
        </w:tc>
        <w:tc>
          <w:tcPr>
            <w:tcW w:w="1022" w:type="dxa"/>
            <w:tcBorders>
              <w:top w:val="nil"/>
              <w:left w:val="nil"/>
              <w:bottom w:val="single" w:sz="4" w:space="0" w:color="auto"/>
              <w:right w:val="single" w:sz="4" w:space="0" w:color="auto"/>
            </w:tcBorders>
            <w:shd w:val="clear" w:color="auto" w:fill="auto"/>
            <w:noWrap/>
          </w:tcPr>
          <w:p w14:paraId="555FA153"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0,037 %</w:t>
            </w:r>
          </w:p>
        </w:tc>
        <w:tc>
          <w:tcPr>
            <w:tcW w:w="1311" w:type="dxa"/>
            <w:tcBorders>
              <w:top w:val="single" w:sz="4" w:space="0" w:color="auto"/>
              <w:left w:val="nil"/>
              <w:bottom w:val="single" w:sz="4" w:space="0" w:color="auto"/>
              <w:right w:val="single" w:sz="4" w:space="0" w:color="auto"/>
            </w:tcBorders>
          </w:tcPr>
          <w:p w14:paraId="50BCC292"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1 762</w:t>
            </w:r>
          </w:p>
        </w:tc>
        <w:tc>
          <w:tcPr>
            <w:tcW w:w="1311" w:type="dxa"/>
            <w:tcBorders>
              <w:top w:val="nil"/>
              <w:left w:val="single" w:sz="4" w:space="0" w:color="auto"/>
              <w:bottom w:val="single" w:sz="4" w:space="0" w:color="auto"/>
              <w:right w:val="single" w:sz="4" w:space="0" w:color="auto"/>
            </w:tcBorders>
            <w:shd w:val="clear" w:color="auto" w:fill="auto"/>
            <w:noWrap/>
          </w:tcPr>
          <w:p w14:paraId="74813793"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1 763</w:t>
            </w:r>
          </w:p>
        </w:tc>
        <w:tc>
          <w:tcPr>
            <w:tcW w:w="1311" w:type="dxa"/>
            <w:tcBorders>
              <w:top w:val="nil"/>
              <w:left w:val="nil"/>
              <w:bottom w:val="single" w:sz="4" w:space="0" w:color="auto"/>
              <w:right w:val="single" w:sz="4" w:space="0" w:color="auto"/>
            </w:tcBorders>
            <w:shd w:val="clear" w:color="auto" w:fill="auto"/>
            <w:noWrap/>
          </w:tcPr>
          <w:p w14:paraId="1C3DE8C2"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1 810</w:t>
            </w:r>
          </w:p>
        </w:tc>
        <w:tc>
          <w:tcPr>
            <w:tcW w:w="1312" w:type="dxa"/>
            <w:tcBorders>
              <w:top w:val="nil"/>
              <w:left w:val="nil"/>
              <w:bottom w:val="single" w:sz="4" w:space="0" w:color="auto"/>
              <w:right w:val="single" w:sz="4" w:space="0" w:color="auto"/>
            </w:tcBorders>
            <w:shd w:val="clear" w:color="auto" w:fill="auto"/>
            <w:noWrap/>
          </w:tcPr>
          <w:p w14:paraId="0E1712C0"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1 898</w:t>
            </w:r>
          </w:p>
        </w:tc>
      </w:tr>
      <w:tr w:rsidR="006B29E4" w:rsidRPr="006B29E4" w14:paraId="2EA8E17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7763075"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Colombie</w:t>
            </w:r>
          </w:p>
        </w:tc>
        <w:tc>
          <w:tcPr>
            <w:tcW w:w="1134" w:type="dxa"/>
            <w:tcBorders>
              <w:top w:val="nil"/>
              <w:left w:val="nil"/>
              <w:bottom w:val="single" w:sz="4" w:space="0" w:color="auto"/>
              <w:right w:val="single" w:sz="4" w:space="0" w:color="auto"/>
            </w:tcBorders>
            <w:shd w:val="clear" w:color="auto" w:fill="auto"/>
            <w:noWrap/>
          </w:tcPr>
          <w:p w14:paraId="4C2DC6F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0,246</w:t>
            </w:r>
          </w:p>
        </w:tc>
        <w:tc>
          <w:tcPr>
            <w:tcW w:w="1022" w:type="dxa"/>
            <w:tcBorders>
              <w:top w:val="nil"/>
              <w:left w:val="nil"/>
              <w:bottom w:val="single" w:sz="4" w:space="0" w:color="auto"/>
              <w:right w:val="single" w:sz="4" w:space="0" w:color="auto"/>
            </w:tcBorders>
            <w:shd w:val="clear" w:color="auto" w:fill="auto"/>
            <w:noWrap/>
          </w:tcPr>
          <w:p w14:paraId="13365F4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0,253 %</w:t>
            </w:r>
          </w:p>
        </w:tc>
        <w:tc>
          <w:tcPr>
            <w:tcW w:w="1311" w:type="dxa"/>
            <w:tcBorders>
              <w:top w:val="single" w:sz="4" w:space="0" w:color="auto"/>
              <w:left w:val="nil"/>
              <w:bottom w:val="single" w:sz="4" w:space="0" w:color="auto"/>
              <w:right w:val="single" w:sz="4" w:space="0" w:color="auto"/>
            </w:tcBorders>
          </w:tcPr>
          <w:p w14:paraId="49D99D65" w14:textId="42C9C29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14 096</w:t>
            </w:r>
          </w:p>
        </w:tc>
        <w:tc>
          <w:tcPr>
            <w:tcW w:w="1311" w:type="dxa"/>
            <w:tcBorders>
              <w:top w:val="nil"/>
              <w:left w:val="single" w:sz="4" w:space="0" w:color="auto"/>
              <w:bottom w:val="single" w:sz="4" w:space="0" w:color="auto"/>
              <w:right w:val="single" w:sz="4" w:space="0" w:color="auto"/>
            </w:tcBorders>
            <w:shd w:val="clear" w:color="auto" w:fill="auto"/>
            <w:noWrap/>
          </w:tcPr>
          <w:p w14:paraId="27F2CC97" w14:textId="0FCAC18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12 045</w:t>
            </w:r>
          </w:p>
        </w:tc>
        <w:tc>
          <w:tcPr>
            <w:tcW w:w="1311" w:type="dxa"/>
            <w:tcBorders>
              <w:top w:val="nil"/>
              <w:left w:val="nil"/>
              <w:bottom w:val="single" w:sz="4" w:space="0" w:color="auto"/>
              <w:right w:val="single" w:sz="4" w:space="0" w:color="auto"/>
            </w:tcBorders>
            <w:shd w:val="clear" w:color="auto" w:fill="auto"/>
            <w:noWrap/>
          </w:tcPr>
          <w:p w14:paraId="289F788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12 368</w:t>
            </w:r>
          </w:p>
        </w:tc>
        <w:tc>
          <w:tcPr>
            <w:tcW w:w="1312" w:type="dxa"/>
            <w:tcBorders>
              <w:top w:val="nil"/>
              <w:left w:val="nil"/>
              <w:bottom w:val="single" w:sz="4" w:space="0" w:color="auto"/>
              <w:right w:val="single" w:sz="4" w:space="0" w:color="auto"/>
            </w:tcBorders>
            <w:shd w:val="clear" w:color="auto" w:fill="auto"/>
            <w:noWrap/>
          </w:tcPr>
          <w:p w14:paraId="08DE907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12 968</w:t>
            </w:r>
          </w:p>
        </w:tc>
      </w:tr>
      <w:tr w:rsidR="006B29E4" w:rsidRPr="006B29E4" w14:paraId="583ADD20" w14:textId="77777777" w:rsidTr="00517FBF">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FDE1FDF"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Comores</w:t>
            </w:r>
          </w:p>
        </w:tc>
        <w:tc>
          <w:tcPr>
            <w:tcW w:w="1134" w:type="dxa"/>
            <w:tcBorders>
              <w:top w:val="nil"/>
              <w:left w:val="nil"/>
              <w:bottom w:val="single" w:sz="4" w:space="0" w:color="auto"/>
              <w:right w:val="single" w:sz="4" w:space="0" w:color="auto"/>
            </w:tcBorders>
            <w:shd w:val="clear" w:color="auto" w:fill="auto"/>
            <w:noWrap/>
          </w:tcPr>
          <w:p w14:paraId="277963B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76F4063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61B2D883" w14:textId="513ADC5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A9EC9BE" w14:textId="1CEC8F3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8AE313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DA24DB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517FBF" w:rsidRPr="006B29E4" w14:paraId="5DE1D0BE" w14:textId="77777777" w:rsidTr="00517FBF">
        <w:trPr>
          <w:trHeight w:val="276"/>
        </w:trPr>
        <w:tc>
          <w:tcPr>
            <w:tcW w:w="10065" w:type="dxa"/>
            <w:gridSpan w:val="7"/>
            <w:tcBorders>
              <w:top w:val="single" w:sz="4" w:space="0" w:color="auto"/>
            </w:tcBorders>
            <w:shd w:val="clear" w:color="auto" w:fill="auto"/>
            <w:noWrap/>
          </w:tcPr>
          <w:p w14:paraId="20C4208C" w14:textId="77777777" w:rsidR="00517FBF" w:rsidRPr="00517FBF" w:rsidRDefault="00517FBF" w:rsidP="00A31639">
            <w:pPr>
              <w:ind w:left="0" w:firstLine="0"/>
              <w:rPr>
                <w:rFonts w:asciiTheme="minorHAnsi" w:eastAsia="Times New Roman" w:hAnsiTheme="minorHAnsi" w:cs="Arial"/>
                <w:color w:val="000000"/>
                <w:spacing w:val="-4"/>
                <w:sz w:val="20"/>
                <w:szCs w:val="20"/>
              </w:rPr>
            </w:pPr>
            <w:r w:rsidRPr="00517FBF">
              <w:rPr>
                <w:rFonts w:asciiTheme="minorHAnsi" w:hAnsiTheme="minorHAnsi"/>
                <w:color w:val="000000"/>
                <w:spacing w:val="-4"/>
                <w:sz w:val="20"/>
              </w:rPr>
              <w:t>* Conformément à la résolution A/RES/76/238 des Nations Unies, le barème révisé de l’ONU sera appliqué lorsqu’il sera publié.</w:t>
            </w:r>
          </w:p>
          <w:p w14:paraId="68C80E84" w14:textId="798917A6" w:rsidR="00517FBF" w:rsidRPr="006B29E4" w:rsidRDefault="00517FBF" w:rsidP="00517FBF">
            <w:pPr>
              <w:ind w:left="0" w:firstLine="0"/>
              <w:rPr>
                <w:rFonts w:asciiTheme="minorHAnsi" w:hAnsiTheme="minorHAnsi"/>
                <w:sz w:val="20"/>
              </w:rPr>
            </w:pPr>
            <w:r w:rsidRPr="001E3C24">
              <w:rPr>
                <w:rFonts w:asciiTheme="minorHAnsi" w:hAnsiTheme="minorHAnsi"/>
                <w:sz w:val="20"/>
              </w:rPr>
              <w:t>*** Uniquement pour 2025, 2023 et 2024 étant identiques au scénario B.</w:t>
            </w:r>
          </w:p>
        </w:tc>
      </w:tr>
      <w:tr w:rsidR="006B29E4" w:rsidRPr="006B29E4" w14:paraId="3A95779A" w14:textId="77777777" w:rsidTr="00517FBF">
        <w:trPr>
          <w:trHeight w:val="276"/>
        </w:trPr>
        <w:tc>
          <w:tcPr>
            <w:tcW w:w="2664" w:type="dxa"/>
            <w:tcBorders>
              <w:left w:val="single" w:sz="4" w:space="0" w:color="auto"/>
              <w:bottom w:val="single" w:sz="4" w:space="0" w:color="auto"/>
              <w:right w:val="single" w:sz="4" w:space="0" w:color="auto"/>
            </w:tcBorders>
            <w:shd w:val="clear" w:color="auto" w:fill="auto"/>
            <w:noWrap/>
          </w:tcPr>
          <w:p w14:paraId="6542093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lastRenderedPageBreak/>
              <w:t>Congo</w:t>
            </w:r>
          </w:p>
        </w:tc>
        <w:tc>
          <w:tcPr>
            <w:tcW w:w="1134" w:type="dxa"/>
            <w:tcBorders>
              <w:left w:val="nil"/>
              <w:bottom w:val="single" w:sz="4" w:space="0" w:color="auto"/>
              <w:right w:val="single" w:sz="4" w:space="0" w:color="auto"/>
            </w:tcBorders>
            <w:shd w:val="clear" w:color="auto" w:fill="auto"/>
            <w:noWrap/>
          </w:tcPr>
          <w:p w14:paraId="31684EB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w:t>
            </w:r>
          </w:p>
        </w:tc>
        <w:tc>
          <w:tcPr>
            <w:tcW w:w="1022" w:type="dxa"/>
            <w:tcBorders>
              <w:left w:val="nil"/>
              <w:bottom w:val="single" w:sz="4" w:space="0" w:color="auto"/>
              <w:right w:val="single" w:sz="4" w:space="0" w:color="auto"/>
            </w:tcBorders>
            <w:shd w:val="clear" w:color="auto" w:fill="auto"/>
            <w:noWrap/>
          </w:tcPr>
          <w:p w14:paraId="09A14E4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0,005 %</w:t>
            </w:r>
          </w:p>
        </w:tc>
        <w:tc>
          <w:tcPr>
            <w:tcW w:w="1311" w:type="dxa"/>
            <w:tcBorders>
              <w:left w:val="nil"/>
              <w:bottom w:val="single" w:sz="4" w:space="0" w:color="auto"/>
              <w:right w:val="single" w:sz="4" w:space="0" w:color="auto"/>
            </w:tcBorders>
          </w:tcPr>
          <w:p w14:paraId="2ED61738" w14:textId="5A23EC5E"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left w:val="single" w:sz="4" w:space="0" w:color="auto"/>
              <w:bottom w:val="single" w:sz="4" w:space="0" w:color="auto"/>
              <w:right w:val="single" w:sz="4" w:space="0" w:color="auto"/>
            </w:tcBorders>
            <w:shd w:val="clear" w:color="auto" w:fill="auto"/>
            <w:noWrap/>
          </w:tcPr>
          <w:p w14:paraId="0C44B451" w14:textId="1784C890"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left w:val="nil"/>
              <w:bottom w:val="single" w:sz="4" w:space="0" w:color="auto"/>
              <w:right w:val="single" w:sz="4" w:space="0" w:color="auto"/>
            </w:tcBorders>
            <w:shd w:val="clear" w:color="auto" w:fill="auto"/>
            <w:noWrap/>
          </w:tcPr>
          <w:p w14:paraId="42C6359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left w:val="nil"/>
              <w:bottom w:val="single" w:sz="4" w:space="0" w:color="auto"/>
              <w:right w:val="single" w:sz="4" w:space="0" w:color="auto"/>
            </w:tcBorders>
            <w:shd w:val="clear" w:color="auto" w:fill="auto"/>
            <w:noWrap/>
          </w:tcPr>
          <w:p w14:paraId="49026AC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41710F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31A0FE9"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Costa Rica</w:t>
            </w:r>
          </w:p>
        </w:tc>
        <w:tc>
          <w:tcPr>
            <w:tcW w:w="1134" w:type="dxa"/>
            <w:tcBorders>
              <w:top w:val="nil"/>
              <w:left w:val="nil"/>
              <w:bottom w:val="single" w:sz="4" w:space="0" w:color="auto"/>
              <w:right w:val="single" w:sz="4" w:space="0" w:color="auto"/>
            </w:tcBorders>
            <w:shd w:val="clear" w:color="auto" w:fill="auto"/>
            <w:noWrap/>
          </w:tcPr>
          <w:p w14:paraId="69E123A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0,069</w:t>
            </w:r>
          </w:p>
        </w:tc>
        <w:tc>
          <w:tcPr>
            <w:tcW w:w="1022" w:type="dxa"/>
            <w:tcBorders>
              <w:top w:val="nil"/>
              <w:left w:val="nil"/>
              <w:bottom w:val="single" w:sz="4" w:space="0" w:color="auto"/>
              <w:right w:val="single" w:sz="4" w:space="0" w:color="auto"/>
            </w:tcBorders>
            <w:shd w:val="clear" w:color="auto" w:fill="auto"/>
            <w:noWrap/>
          </w:tcPr>
          <w:p w14:paraId="7D20A3F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0,071 %</w:t>
            </w:r>
          </w:p>
        </w:tc>
        <w:tc>
          <w:tcPr>
            <w:tcW w:w="1311" w:type="dxa"/>
            <w:tcBorders>
              <w:top w:val="single" w:sz="4" w:space="0" w:color="auto"/>
              <w:left w:val="nil"/>
              <w:bottom w:val="single" w:sz="4" w:space="0" w:color="auto"/>
              <w:right w:val="single" w:sz="4" w:space="0" w:color="auto"/>
            </w:tcBorders>
          </w:tcPr>
          <w:p w14:paraId="17DBA8B2" w14:textId="2F2FA82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3 035</w:t>
            </w:r>
          </w:p>
        </w:tc>
        <w:tc>
          <w:tcPr>
            <w:tcW w:w="1311" w:type="dxa"/>
            <w:tcBorders>
              <w:top w:val="nil"/>
              <w:left w:val="single" w:sz="4" w:space="0" w:color="auto"/>
              <w:bottom w:val="single" w:sz="4" w:space="0" w:color="auto"/>
              <w:right w:val="single" w:sz="4" w:space="0" w:color="auto"/>
            </w:tcBorders>
            <w:shd w:val="clear" w:color="auto" w:fill="auto"/>
            <w:noWrap/>
          </w:tcPr>
          <w:p w14:paraId="68400C35" w14:textId="43823085"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3 378</w:t>
            </w:r>
          </w:p>
        </w:tc>
        <w:tc>
          <w:tcPr>
            <w:tcW w:w="1311" w:type="dxa"/>
            <w:tcBorders>
              <w:top w:val="nil"/>
              <w:left w:val="nil"/>
              <w:bottom w:val="single" w:sz="4" w:space="0" w:color="auto"/>
              <w:right w:val="single" w:sz="4" w:space="0" w:color="auto"/>
            </w:tcBorders>
            <w:shd w:val="clear" w:color="auto" w:fill="auto"/>
            <w:noWrap/>
          </w:tcPr>
          <w:p w14:paraId="7C212B4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3 469</w:t>
            </w:r>
          </w:p>
        </w:tc>
        <w:tc>
          <w:tcPr>
            <w:tcW w:w="1312" w:type="dxa"/>
            <w:tcBorders>
              <w:top w:val="nil"/>
              <w:left w:val="nil"/>
              <w:bottom w:val="single" w:sz="4" w:space="0" w:color="auto"/>
              <w:right w:val="single" w:sz="4" w:space="0" w:color="auto"/>
            </w:tcBorders>
            <w:shd w:val="clear" w:color="auto" w:fill="auto"/>
            <w:noWrap/>
          </w:tcPr>
          <w:p w14:paraId="1F868E2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3 637</w:t>
            </w:r>
          </w:p>
        </w:tc>
      </w:tr>
      <w:tr w:rsidR="006B29E4" w:rsidRPr="006B29E4" w14:paraId="2C540E6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F323E2" w14:textId="132CAFE0"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Côte d’Ivoire</w:t>
            </w:r>
          </w:p>
        </w:tc>
        <w:tc>
          <w:tcPr>
            <w:tcW w:w="1134" w:type="dxa"/>
            <w:tcBorders>
              <w:top w:val="nil"/>
              <w:left w:val="nil"/>
              <w:bottom w:val="single" w:sz="4" w:space="0" w:color="auto"/>
              <w:right w:val="single" w:sz="4" w:space="0" w:color="auto"/>
            </w:tcBorders>
            <w:shd w:val="clear" w:color="auto" w:fill="auto"/>
            <w:noWrap/>
          </w:tcPr>
          <w:p w14:paraId="41B45F8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0,022</w:t>
            </w:r>
          </w:p>
        </w:tc>
        <w:tc>
          <w:tcPr>
            <w:tcW w:w="1022" w:type="dxa"/>
            <w:tcBorders>
              <w:top w:val="nil"/>
              <w:left w:val="nil"/>
              <w:bottom w:val="single" w:sz="4" w:space="0" w:color="auto"/>
              <w:right w:val="single" w:sz="4" w:space="0" w:color="auto"/>
            </w:tcBorders>
            <w:shd w:val="clear" w:color="auto" w:fill="auto"/>
            <w:noWrap/>
          </w:tcPr>
          <w:p w14:paraId="3FC0BFD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0,023 %</w:t>
            </w:r>
          </w:p>
        </w:tc>
        <w:tc>
          <w:tcPr>
            <w:tcW w:w="1311" w:type="dxa"/>
            <w:tcBorders>
              <w:top w:val="single" w:sz="4" w:space="0" w:color="auto"/>
              <w:left w:val="nil"/>
              <w:bottom w:val="single" w:sz="4" w:space="0" w:color="auto"/>
              <w:right w:val="single" w:sz="4" w:space="0" w:color="auto"/>
            </w:tcBorders>
          </w:tcPr>
          <w:p w14:paraId="11D0DFB7" w14:textId="5253412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608D5F9E" w14:textId="4464106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1 077</w:t>
            </w:r>
          </w:p>
        </w:tc>
        <w:tc>
          <w:tcPr>
            <w:tcW w:w="1311" w:type="dxa"/>
            <w:tcBorders>
              <w:top w:val="nil"/>
              <w:left w:val="nil"/>
              <w:bottom w:val="single" w:sz="4" w:space="0" w:color="auto"/>
              <w:right w:val="single" w:sz="4" w:space="0" w:color="auto"/>
            </w:tcBorders>
            <w:shd w:val="clear" w:color="auto" w:fill="auto"/>
            <w:noWrap/>
          </w:tcPr>
          <w:p w14:paraId="2A9A248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1 106</w:t>
            </w:r>
          </w:p>
        </w:tc>
        <w:tc>
          <w:tcPr>
            <w:tcW w:w="1312" w:type="dxa"/>
            <w:tcBorders>
              <w:top w:val="nil"/>
              <w:left w:val="nil"/>
              <w:bottom w:val="single" w:sz="4" w:space="0" w:color="auto"/>
              <w:right w:val="single" w:sz="4" w:space="0" w:color="auto"/>
            </w:tcBorders>
            <w:shd w:val="clear" w:color="auto" w:fill="auto"/>
            <w:noWrap/>
          </w:tcPr>
          <w:p w14:paraId="76788A7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1 160</w:t>
            </w:r>
          </w:p>
        </w:tc>
      </w:tr>
      <w:tr w:rsidR="006B29E4" w:rsidRPr="006B29E4" w14:paraId="089635A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FB9EF6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Croatie</w:t>
            </w:r>
          </w:p>
        </w:tc>
        <w:tc>
          <w:tcPr>
            <w:tcW w:w="1134" w:type="dxa"/>
            <w:tcBorders>
              <w:top w:val="nil"/>
              <w:left w:val="nil"/>
              <w:bottom w:val="single" w:sz="4" w:space="0" w:color="auto"/>
              <w:right w:val="single" w:sz="4" w:space="0" w:color="auto"/>
            </w:tcBorders>
            <w:shd w:val="clear" w:color="auto" w:fill="auto"/>
            <w:noWrap/>
          </w:tcPr>
          <w:p w14:paraId="0B22BFD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0,091</w:t>
            </w:r>
          </w:p>
        </w:tc>
        <w:tc>
          <w:tcPr>
            <w:tcW w:w="1022" w:type="dxa"/>
            <w:tcBorders>
              <w:top w:val="nil"/>
              <w:left w:val="nil"/>
              <w:bottom w:val="single" w:sz="4" w:space="0" w:color="auto"/>
              <w:right w:val="single" w:sz="4" w:space="0" w:color="auto"/>
            </w:tcBorders>
            <w:shd w:val="clear" w:color="auto" w:fill="auto"/>
            <w:noWrap/>
          </w:tcPr>
          <w:p w14:paraId="4F25E75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0,093 %</w:t>
            </w:r>
          </w:p>
        </w:tc>
        <w:tc>
          <w:tcPr>
            <w:tcW w:w="1311" w:type="dxa"/>
            <w:tcBorders>
              <w:top w:val="single" w:sz="4" w:space="0" w:color="auto"/>
              <w:left w:val="nil"/>
              <w:bottom w:val="single" w:sz="4" w:space="0" w:color="auto"/>
              <w:right w:val="single" w:sz="4" w:space="0" w:color="auto"/>
            </w:tcBorders>
          </w:tcPr>
          <w:p w14:paraId="013194F9" w14:textId="5EF8471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3 769</w:t>
            </w:r>
          </w:p>
        </w:tc>
        <w:tc>
          <w:tcPr>
            <w:tcW w:w="1311" w:type="dxa"/>
            <w:tcBorders>
              <w:top w:val="nil"/>
              <w:left w:val="single" w:sz="4" w:space="0" w:color="auto"/>
              <w:bottom w:val="single" w:sz="4" w:space="0" w:color="auto"/>
              <w:right w:val="single" w:sz="4" w:space="0" w:color="auto"/>
            </w:tcBorders>
            <w:shd w:val="clear" w:color="auto" w:fill="auto"/>
            <w:noWrap/>
          </w:tcPr>
          <w:p w14:paraId="7C286E02" w14:textId="30A0F96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4 456</w:t>
            </w:r>
          </w:p>
        </w:tc>
        <w:tc>
          <w:tcPr>
            <w:tcW w:w="1311" w:type="dxa"/>
            <w:tcBorders>
              <w:top w:val="nil"/>
              <w:left w:val="nil"/>
              <w:bottom w:val="single" w:sz="4" w:space="0" w:color="auto"/>
              <w:right w:val="single" w:sz="4" w:space="0" w:color="auto"/>
            </w:tcBorders>
            <w:shd w:val="clear" w:color="auto" w:fill="auto"/>
            <w:noWrap/>
          </w:tcPr>
          <w:p w14:paraId="3611438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4 575</w:t>
            </w:r>
          </w:p>
        </w:tc>
        <w:tc>
          <w:tcPr>
            <w:tcW w:w="1312" w:type="dxa"/>
            <w:tcBorders>
              <w:top w:val="nil"/>
              <w:left w:val="nil"/>
              <w:bottom w:val="single" w:sz="4" w:space="0" w:color="auto"/>
              <w:right w:val="single" w:sz="4" w:space="0" w:color="auto"/>
            </w:tcBorders>
            <w:shd w:val="clear" w:color="auto" w:fill="auto"/>
            <w:noWrap/>
          </w:tcPr>
          <w:p w14:paraId="4F58752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4 797</w:t>
            </w:r>
          </w:p>
        </w:tc>
      </w:tr>
      <w:tr w:rsidR="006B29E4" w:rsidRPr="006B29E4" w14:paraId="4F1BA6F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5944479"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Cuba</w:t>
            </w:r>
          </w:p>
        </w:tc>
        <w:tc>
          <w:tcPr>
            <w:tcW w:w="1134" w:type="dxa"/>
            <w:tcBorders>
              <w:top w:val="nil"/>
              <w:left w:val="nil"/>
              <w:bottom w:val="single" w:sz="4" w:space="0" w:color="auto"/>
              <w:right w:val="single" w:sz="4" w:space="0" w:color="auto"/>
            </w:tcBorders>
            <w:shd w:val="clear" w:color="auto" w:fill="auto"/>
            <w:noWrap/>
          </w:tcPr>
          <w:p w14:paraId="2413876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0,095</w:t>
            </w:r>
          </w:p>
        </w:tc>
        <w:tc>
          <w:tcPr>
            <w:tcW w:w="1022" w:type="dxa"/>
            <w:tcBorders>
              <w:top w:val="nil"/>
              <w:left w:val="nil"/>
              <w:bottom w:val="single" w:sz="4" w:space="0" w:color="auto"/>
              <w:right w:val="single" w:sz="4" w:space="0" w:color="auto"/>
            </w:tcBorders>
            <w:shd w:val="clear" w:color="auto" w:fill="auto"/>
            <w:noWrap/>
          </w:tcPr>
          <w:p w14:paraId="1C3E9C7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0,098 %</w:t>
            </w:r>
          </w:p>
        </w:tc>
        <w:tc>
          <w:tcPr>
            <w:tcW w:w="1311" w:type="dxa"/>
            <w:tcBorders>
              <w:top w:val="single" w:sz="4" w:space="0" w:color="auto"/>
              <w:left w:val="nil"/>
              <w:bottom w:val="single" w:sz="4" w:space="0" w:color="auto"/>
              <w:right w:val="single" w:sz="4" w:space="0" w:color="auto"/>
            </w:tcBorders>
          </w:tcPr>
          <w:p w14:paraId="5CB487E1" w14:textId="75CC453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3 916</w:t>
            </w:r>
          </w:p>
        </w:tc>
        <w:tc>
          <w:tcPr>
            <w:tcW w:w="1311" w:type="dxa"/>
            <w:tcBorders>
              <w:top w:val="nil"/>
              <w:left w:val="single" w:sz="4" w:space="0" w:color="auto"/>
              <w:bottom w:val="single" w:sz="4" w:space="0" w:color="auto"/>
              <w:right w:val="single" w:sz="4" w:space="0" w:color="auto"/>
            </w:tcBorders>
            <w:shd w:val="clear" w:color="auto" w:fill="auto"/>
            <w:noWrap/>
          </w:tcPr>
          <w:p w14:paraId="29063CFB" w14:textId="1FB2093B"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4 651</w:t>
            </w:r>
          </w:p>
        </w:tc>
        <w:tc>
          <w:tcPr>
            <w:tcW w:w="1311" w:type="dxa"/>
            <w:tcBorders>
              <w:top w:val="nil"/>
              <w:left w:val="nil"/>
              <w:bottom w:val="single" w:sz="4" w:space="0" w:color="auto"/>
              <w:right w:val="single" w:sz="4" w:space="0" w:color="auto"/>
            </w:tcBorders>
            <w:shd w:val="clear" w:color="auto" w:fill="auto"/>
            <w:noWrap/>
          </w:tcPr>
          <w:p w14:paraId="6F5E2D4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4 776</w:t>
            </w:r>
          </w:p>
        </w:tc>
        <w:tc>
          <w:tcPr>
            <w:tcW w:w="1312" w:type="dxa"/>
            <w:tcBorders>
              <w:top w:val="nil"/>
              <w:left w:val="nil"/>
              <w:bottom w:val="single" w:sz="4" w:space="0" w:color="auto"/>
              <w:right w:val="single" w:sz="4" w:space="0" w:color="auto"/>
            </w:tcBorders>
            <w:shd w:val="clear" w:color="auto" w:fill="auto"/>
            <w:noWrap/>
          </w:tcPr>
          <w:p w14:paraId="0AFC745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5 008</w:t>
            </w:r>
          </w:p>
        </w:tc>
      </w:tr>
      <w:tr w:rsidR="006B29E4" w:rsidRPr="006B29E4" w14:paraId="3460A78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84170DF"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Danemark</w:t>
            </w:r>
          </w:p>
        </w:tc>
        <w:tc>
          <w:tcPr>
            <w:tcW w:w="1134" w:type="dxa"/>
            <w:tcBorders>
              <w:top w:val="nil"/>
              <w:left w:val="nil"/>
              <w:bottom w:val="single" w:sz="4" w:space="0" w:color="auto"/>
              <w:right w:val="single" w:sz="4" w:space="0" w:color="auto"/>
            </w:tcBorders>
            <w:shd w:val="clear" w:color="auto" w:fill="auto"/>
            <w:noWrap/>
          </w:tcPr>
          <w:p w14:paraId="2193E15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0,553</w:t>
            </w:r>
          </w:p>
        </w:tc>
        <w:tc>
          <w:tcPr>
            <w:tcW w:w="1022" w:type="dxa"/>
            <w:tcBorders>
              <w:top w:val="nil"/>
              <w:left w:val="nil"/>
              <w:bottom w:val="single" w:sz="4" w:space="0" w:color="auto"/>
              <w:right w:val="single" w:sz="4" w:space="0" w:color="auto"/>
            </w:tcBorders>
            <w:shd w:val="clear" w:color="auto" w:fill="auto"/>
            <w:noWrap/>
          </w:tcPr>
          <w:p w14:paraId="4139C27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0,568 %</w:t>
            </w:r>
          </w:p>
        </w:tc>
        <w:tc>
          <w:tcPr>
            <w:tcW w:w="1311" w:type="dxa"/>
            <w:tcBorders>
              <w:top w:val="single" w:sz="4" w:space="0" w:color="auto"/>
              <w:left w:val="nil"/>
              <w:bottom w:val="single" w:sz="4" w:space="0" w:color="auto"/>
              <w:right w:val="single" w:sz="4" w:space="0" w:color="auto"/>
            </w:tcBorders>
          </w:tcPr>
          <w:p w14:paraId="7646EDE8" w14:textId="67969EEC"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27 116</w:t>
            </w:r>
          </w:p>
        </w:tc>
        <w:tc>
          <w:tcPr>
            <w:tcW w:w="1311" w:type="dxa"/>
            <w:tcBorders>
              <w:top w:val="nil"/>
              <w:left w:val="single" w:sz="4" w:space="0" w:color="auto"/>
              <w:bottom w:val="single" w:sz="4" w:space="0" w:color="auto"/>
              <w:right w:val="single" w:sz="4" w:space="0" w:color="auto"/>
            </w:tcBorders>
            <w:shd w:val="clear" w:color="auto" w:fill="auto"/>
            <w:noWrap/>
          </w:tcPr>
          <w:p w14:paraId="5FE73277" w14:textId="5FD9378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27 076</w:t>
            </w:r>
          </w:p>
        </w:tc>
        <w:tc>
          <w:tcPr>
            <w:tcW w:w="1311" w:type="dxa"/>
            <w:tcBorders>
              <w:top w:val="nil"/>
              <w:left w:val="nil"/>
              <w:bottom w:val="single" w:sz="4" w:space="0" w:color="auto"/>
              <w:right w:val="single" w:sz="4" w:space="0" w:color="auto"/>
            </w:tcBorders>
            <w:shd w:val="clear" w:color="auto" w:fill="auto"/>
            <w:noWrap/>
          </w:tcPr>
          <w:p w14:paraId="4387DF2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27 802</w:t>
            </w:r>
          </w:p>
        </w:tc>
        <w:tc>
          <w:tcPr>
            <w:tcW w:w="1312" w:type="dxa"/>
            <w:tcBorders>
              <w:top w:val="nil"/>
              <w:left w:val="nil"/>
              <w:bottom w:val="single" w:sz="4" w:space="0" w:color="auto"/>
              <w:right w:val="single" w:sz="4" w:space="0" w:color="auto"/>
            </w:tcBorders>
            <w:shd w:val="clear" w:color="auto" w:fill="auto"/>
            <w:noWrap/>
          </w:tcPr>
          <w:p w14:paraId="4E882EB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29 151</w:t>
            </w:r>
          </w:p>
        </w:tc>
      </w:tr>
      <w:tr w:rsidR="006B29E4" w:rsidRPr="006B29E4" w14:paraId="2790281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B0740A7"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Djibouti</w:t>
            </w:r>
          </w:p>
        </w:tc>
        <w:tc>
          <w:tcPr>
            <w:tcW w:w="1134" w:type="dxa"/>
            <w:tcBorders>
              <w:top w:val="nil"/>
              <w:left w:val="nil"/>
              <w:bottom w:val="single" w:sz="4" w:space="0" w:color="auto"/>
              <w:right w:val="single" w:sz="4" w:space="0" w:color="auto"/>
            </w:tcBorders>
            <w:shd w:val="clear" w:color="auto" w:fill="auto"/>
            <w:noWrap/>
          </w:tcPr>
          <w:p w14:paraId="60482E5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4C27B4F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1E15A86C" w14:textId="185BAAE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A5692B8" w14:textId="0F36E7D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64763A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BC6CA1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1B7F900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62595D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Égypte</w:t>
            </w:r>
          </w:p>
        </w:tc>
        <w:tc>
          <w:tcPr>
            <w:tcW w:w="1134" w:type="dxa"/>
            <w:tcBorders>
              <w:top w:val="nil"/>
              <w:left w:val="nil"/>
              <w:bottom w:val="single" w:sz="4" w:space="0" w:color="auto"/>
              <w:right w:val="single" w:sz="4" w:space="0" w:color="auto"/>
            </w:tcBorders>
            <w:shd w:val="clear" w:color="auto" w:fill="auto"/>
            <w:noWrap/>
          </w:tcPr>
          <w:p w14:paraId="7AF34EF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0,139</w:t>
            </w:r>
          </w:p>
        </w:tc>
        <w:tc>
          <w:tcPr>
            <w:tcW w:w="1022" w:type="dxa"/>
            <w:tcBorders>
              <w:top w:val="nil"/>
              <w:left w:val="nil"/>
              <w:bottom w:val="single" w:sz="4" w:space="0" w:color="auto"/>
              <w:right w:val="single" w:sz="4" w:space="0" w:color="auto"/>
            </w:tcBorders>
            <w:shd w:val="clear" w:color="auto" w:fill="auto"/>
            <w:noWrap/>
          </w:tcPr>
          <w:p w14:paraId="632A754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0,143 %</w:t>
            </w:r>
          </w:p>
        </w:tc>
        <w:tc>
          <w:tcPr>
            <w:tcW w:w="1311" w:type="dxa"/>
            <w:tcBorders>
              <w:top w:val="single" w:sz="4" w:space="0" w:color="auto"/>
              <w:left w:val="nil"/>
              <w:bottom w:val="single" w:sz="4" w:space="0" w:color="auto"/>
              <w:right w:val="single" w:sz="4" w:space="0" w:color="auto"/>
            </w:tcBorders>
          </w:tcPr>
          <w:p w14:paraId="0B5E986B" w14:textId="724AEB90"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9 104</w:t>
            </w:r>
          </w:p>
        </w:tc>
        <w:tc>
          <w:tcPr>
            <w:tcW w:w="1311" w:type="dxa"/>
            <w:tcBorders>
              <w:top w:val="nil"/>
              <w:left w:val="single" w:sz="4" w:space="0" w:color="auto"/>
              <w:bottom w:val="single" w:sz="4" w:space="0" w:color="auto"/>
              <w:right w:val="single" w:sz="4" w:space="0" w:color="auto"/>
            </w:tcBorders>
            <w:shd w:val="clear" w:color="auto" w:fill="auto"/>
            <w:noWrap/>
          </w:tcPr>
          <w:p w14:paraId="6EE34E75" w14:textId="392815E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6 806</w:t>
            </w:r>
          </w:p>
        </w:tc>
        <w:tc>
          <w:tcPr>
            <w:tcW w:w="1311" w:type="dxa"/>
            <w:tcBorders>
              <w:top w:val="nil"/>
              <w:left w:val="nil"/>
              <w:bottom w:val="single" w:sz="4" w:space="0" w:color="auto"/>
              <w:right w:val="single" w:sz="4" w:space="0" w:color="auto"/>
            </w:tcBorders>
            <w:shd w:val="clear" w:color="auto" w:fill="auto"/>
            <w:noWrap/>
          </w:tcPr>
          <w:p w14:paraId="2145DAE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6 988</w:t>
            </w:r>
          </w:p>
        </w:tc>
        <w:tc>
          <w:tcPr>
            <w:tcW w:w="1312" w:type="dxa"/>
            <w:tcBorders>
              <w:top w:val="nil"/>
              <w:left w:val="nil"/>
              <w:bottom w:val="single" w:sz="4" w:space="0" w:color="auto"/>
              <w:right w:val="single" w:sz="4" w:space="0" w:color="auto"/>
            </w:tcBorders>
            <w:shd w:val="clear" w:color="auto" w:fill="auto"/>
            <w:noWrap/>
          </w:tcPr>
          <w:p w14:paraId="0FEAFE0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7 327</w:t>
            </w:r>
          </w:p>
        </w:tc>
      </w:tr>
      <w:tr w:rsidR="006B29E4" w:rsidRPr="006B29E4" w14:paraId="5A8A6EF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7C5DA2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El Salvador</w:t>
            </w:r>
          </w:p>
        </w:tc>
        <w:tc>
          <w:tcPr>
            <w:tcW w:w="1134" w:type="dxa"/>
            <w:tcBorders>
              <w:top w:val="nil"/>
              <w:left w:val="nil"/>
              <w:bottom w:val="single" w:sz="4" w:space="0" w:color="auto"/>
              <w:right w:val="single" w:sz="4" w:space="0" w:color="auto"/>
            </w:tcBorders>
            <w:shd w:val="clear" w:color="auto" w:fill="auto"/>
            <w:noWrap/>
          </w:tcPr>
          <w:p w14:paraId="4C4FC49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0,013</w:t>
            </w:r>
          </w:p>
        </w:tc>
        <w:tc>
          <w:tcPr>
            <w:tcW w:w="1022" w:type="dxa"/>
            <w:tcBorders>
              <w:top w:val="nil"/>
              <w:left w:val="nil"/>
              <w:bottom w:val="single" w:sz="4" w:space="0" w:color="auto"/>
              <w:right w:val="single" w:sz="4" w:space="0" w:color="auto"/>
            </w:tcBorders>
            <w:shd w:val="clear" w:color="auto" w:fill="auto"/>
            <w:noWrap/>
          </w:tcPr>
          <w:p w14:paraId="2B34CEC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0,013 %</w:t>
            </w:r>
          </w:p>
        </w:tc>
        <w:tc>
          <w:tcPr>
            <w:tcW w:w="1311" w:type="dxa"/>
            <w:tcBorders>
              <w:top w:val="single" w:sz="4" w:space="0" w:color="auto"/>
              <w:left w:val="nil"/>
              <w:bottom w:val="single" w:sz="4" w:space="0" w:color="auto"/>
              <w:right w:val="single" w:sz="4" w:space="0" w:color="auto"/>
            </w:tcBorders>
          </w:tcPr>
          <w:p w14:paraId="650C5F33" w14:textId="3F3BD864"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3EEB6C3" w14:textId="12C4C83E"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7E62F5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4B2973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617D3B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2F1233F"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Émirats arabes unis</w:t>
            </w:r>
          </w:p>
        </w:tc>
        <w:tc>
          <w:tcPr>
            <w:tcW w:w="1134" w:type="dxa"/>
            <w:tcBorders>
              <w:top w:val="nil"/>
              <w:left w:val="nil"/>
              <w:bottom w:val="single" w:sz="4" w:space="0" w:color="auto"/>
              <w:right w:val="single" w:sz="4" w:space="0" w:color="auto"/>
            </w:tcBorders>
            <w:shd w:val="clear" w:color="auto" w:fill="auto"/>
            <w:noWrap/>
          </w:tcPr>
          <w:p w14:paraId="07E201E1"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0,635</w:t>
            </w:r>
          </w:p>
        </w:tc>
        <w:tc>
          <w:tcPr>
            <w:tcW w:w="1022" w:type="dxa"/>
            <w:tcBorders>
              <w:top w:val="nil"/>
              <w:left w:val="nil"/>
              <w:bottom w:val="single" w:sz="4" w:space="0" w:color="auto"/>
              <w:right w:val="single" w:sz="4" w:space="0" w:color="auto"/>
            </w:tcBorders>
            <w:shd w:val="clear" w:color="auto" w:fill="auto"/>
            <w:noWrap/>
          </w:tcPr>
          <w:p w14:paraId="046ECDFD"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0,652 %</w:t>
            </w:r>
          </w:p>
        </w:tc>
        <w:tc>
          <w:tcPr>
            <w:tcW w:w="1311" w:type="dxa"/>
            <w:tcBorders>
              <w:top w:val="single" w:sz="4" w:space="0" w:color="auto"/>
              <w:left w:val="nil"/>
              <w:bottom w:val="single" w:sz="4" w:space="0" w:color="auto"/>
              <w:right w:val="single" w:sz="4" w:space="0" w:color="auto"/>
            </w:tcBorders>
          </w:tcPr>
          <w:p w14:paraId="29E10DB2"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30 151</w:t>
            </w:r>
          </w:p>
        </w:tc>
        <w:tc>
          <w:tcPr>
            <w:tcW w:w="1311" w:type="dxa"/>
            <w:tcBorders>
              <w:top w:val="nil"/>
              <w:left w:val="single" w:sz="4" w:space="0" w:color="auto"/>
              <w:bottom w:val="single" w:sz="4" w:space="0" w:color="auto"/>
              <w:right w:val="single" w:sz="4" w:space="0" w:color="auto"/>
            </w:tcBorders>
            <w:shd w:val="clear" w:color="auto" w:fill="auto"/>
            <w:noWrap/>
          </w:tcPr>
          <w:p w14:paraId="39D734A4"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31 091</w:t>
            </w:r>
          </w:p>
        </w:tc>
        <w:tc>
          <w:tcPr>
            <w:tcW w:w="1311" w:type="dxa"/>
            <w:tcBorders>
              <w:top w:val="nil"/>
              <w:left w:val="nil"/>
              <w:bottom w:val="single" w:sz="4" w:space="0" w:color="auto"/>
              <w:right w:val="single" w:sz="4" w:space="0" w:color="auto"/>
            </w:tcBorders>
            <w:shd w:val="clear" w:color="auto" w:fill="auto"/>
            <w:noWrap/>
          </w:tcPr>
          <w:p w14:paraId="100B3C4A"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31 925</w:t>
            </w:r>
          </w:p>
        </w:tc>
        <w:tc>
          <w:tcPr>
            <w:tcW w:w="1312" w:type="dxa"/>
            <w:tcBorders>
              <w:top w:val="nil"/>
              <w:left w:val="nil"/>
              <w:bottom w:val="single" w:sz="4" w:space="0" w:color="auto"/>
              <w:right w:val="single" w:sz="4" w:space="0" w:color="auto"/>
            </w:tcBorders>
            <w:shd w:val="clear" w:color="auto" w:fill="auto"/>
            <w:noWrap/>
          </w:tcPr>
          <w:p w14:paraId="1A14AC04"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33 473</w:t>
            </w:r>
          </w:p>
        </w:tc>
      </w:tr>
      <w:tr w:rsidR="006B29E4" w:rsidRPr="006B29E4" w14:paraId="3272E2D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791E1B6"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Équateur</w:t>
            </w:r>
          </w:p>
        </w:tc>
        <w:tc>
          <w:tcPr>
            <w:tcW w:w="1134" w:type="dxa"/>
            <w:tcBorders>
              <w:top w:val="nil"/>
              <w:left w:val="nil"/>
              <w:bottom w:val="single" w:sz="4" w:space="0" w:color="auto"/>
              <w:right w:val="single" w:sz="4" w:space="0" w:color="auto"/>
            </w:tcBorders>
            <w:shd w:val="clear" w:color="auto" w:fill="auto"/>
            <w:noWrap/>
          </w:tcPr>
          <w:p w14:paraId="228CD863"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0,077</w:t>
            </w:r>
          </w:p>
        </w:tc>
        <w:tc>
          <w:tcPr>
            <w:tcW w:w="1022" w:type="dxa"/>
            <w:tcBorders>
              <w:top w:val="nil"/>
              <w:left w:val="nil"/>
              <w:bottom w:val="single" w:sz="4" w:space="0" w:color="auto"/>
              <w:right w:val="single" w:sz="4" w:space="0" w:color="auto"/>
            </w:tcBorders>
            <w:shd w:val="clear" w:color="auto" w:fill="auto"/>
            <w:noWrap/>
          </w:tcPr>
          <w:p w14:paraId="10561C91"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0,079 %</w:t>
            </w:r>
          </w:p>
        </w:tc>
        <w:tc>
          <w:tcPr>
            <w:tcW w:w="1311" w:type="dxa"/>
            <w:tcBorders>
              <w:top w:val="single" w:sz="4" w:space="0" w:color="auto"/>
              <w:left w:val="nil"/>
              <w:bottom w:val="single" w:sz="4" w:space="0" w:color="auto"/>
              <w:right w:val="single" w:sz="4" w:space="0" w:color="auto"/>
            </w:tcBorders>
          </w:tcPr>
          <w:p w14:paraId="5292AEE8"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3 916</w:t>
            </w:r>
          </w:p>
        </w:tc>
        <w:tc>
          <w:tcPr>
            <w:tcW w:w="1311" w:type="dxa"/>
            <w:tcBorders>
              <w:top w:val="nil"/>
              <w:left w:val="single" w:sz="4" w:space="0" w:color="auto"/>
              <w:bottom w:val="single" w:sz="4" w:space="0" w:color="auto"/>
              <w:right w:val="single" w:sz="4" w:space="0" w:color="auto"/>
            </w:tcBorders>
            <w:shd w:val="clear" w:color="auto" w:fill="auto"/>
            <w:noWrap/>
          </w:tcPr>
          <w:p w14:paraId="604CD804"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3 770</w:t>
            </w:r>
          </w:p>
        </w:tc>
        <w:tc>
          <w:tcPr>
            <w:tcW w:w="1311" w:type="dxa"/>
            <w:tcBorders>
              <w:top w:val="nil"/>
              <w:left w:val="nil"/>
              <w:bottom w:val="single" w:sz="4" w:space="0" w:color="auto"/>
              <w:right w:val="single" w:sz="4" w:space="0" w:color="auto"/>
            </w:tcBorders>
            <w:shd w:val="clear" w:color="auto" w:fill="auto"/>
            <w:noWrap/>
          </w:tcPr>
          <w:p w14:paraId="7F07F435"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3 871</w:t>
            </w:r>
          </w:p>
        </w:tc>
        <w:tc>
          <w:tcPr>
            <w:tcW w:w="1312" w:type="dxa"/>
            <w:tcBorders>
              <w:top w:val="nil"/>
              <w:left w:val="nil"/>
              <w:bottom w:val="single" w:sz="4" w:space="0" w:color="auto"/>
              <w:right w:val="single" w:sz="4" w:space="0" w:color="auto"/>
            </w:tcBorders>
            <w:shd w:val="clear" w:color="auto" w:fill="auto"/>
            <w:noWrap/>
          </w:tcPr>
          <w:p w14:paraId="6F307E87"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4 059</w:t>
            </w:r>
          </w:p>
        </w:tc>
      </w:tr>
      <w:tr w:rsidR="006B29E4" w:rsidRPr="006B29E4" w14:paraId="02315D3D"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ED940B3" w14:textId="77777777" w:rsidR="00C70704" w:rsidRPr="006B29E4" w:rsidRDefault="00C70704" w:rsidP="00A31639">
            <w:pPr>
              <w:ind w:left="0" w:firstLine="0"/>
              <w:rPr>
                <w:rFonts w:asciiTheme="minorHAnsi" w:eastAsia="Times New Roman" w:hAnsiTheme="minorHAnsi" w:cstheme="minorHAnsi"/>
                <w:sz w:val="20"/>
                <w:szCs w:val="20"/>
              </w:rPr>
            </w:pPr>
            <w:r w:rsidRPr="006B29E4">
              <w:rPr>
                <w:rFonts w:asciiTheme="minorHAnsi" w:hAnsiTheme="minorHAnsi"/>
                <w:sz w:val="20"/>
              </w:rPr>
              <w:t>Espagne</w:t>
            </w:r>
          </w:p>
        </w:tc>
        <w:tc>
          <w:tcPr>
            <w:tcW w:w="1134" w:type="dxa"/>
            <w:tcBorders>
              <w:top w:val="nil"/>
              <w:left w:val="nil"/>
              <w:bottom w:val="single" w:sz="4" w:space="0" w:color="auto"/>
              <w:right w:val="single" w:sz="4" w:space="0" w:color="auto"/>
            </w:tcBorders>
            <w:shd w:val="clear" w:color="auto" w:fill="auto"/>
            <w:noWrap/>
          </w:tcPr>
          <w:p w14:paraId="1F93F63C"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2,134</w:t>
            </w:r>
          </w:p>
        </w:tc>
        <w:tc>
          <w:tcPr>
            <w:tcW w:w="1022" w:type="dxa"/>
            <w:tcBorders>
              <w:top w:val="nil"/>
              <w:left w:val="nil"/>
              <w:bottom w:val="single" w:sz="4" w:space="0" w:color="auto"/>
              <w:right w:val="single" w:sz="4" w:space="0" w:color="auto"/>
            </w:tcBorders>
            <w:shd w:val="clear" w:color="auto" w:fill="auto"/>
            <w:noWrap/>
          </w:tcPr>
          <w:p w14:paraId="0A5A2228"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2,191 %</w:t>
            </w:r>
          </w:p>
        </w:tc>
        <w:tc>
          <w:tcPr>
            <w:tcW w:w="1311" w:type="dxa"/>
            <w:tcBorders>
              <w:top w:val="single" w:sz="4" w:space="0" w:color="auto"/>
              <w:left w:val="nil"/>
              <w:bottom w:val="single" w:sz="4" w:space="0" w:color="auto"/>
              <w:right w:val="single" w:sz="4" w:space="0" w:color="auto"/>
            </w:tcBorders>
          </w:tcPr>
          <w:p w14:paraId="3EDD2183" w14:textId="77777777" w:rsidR="00C70704" w:rsidRPr="006B29E4" w:rsidRDefault="00C70704" w:rsidP="00A31639">
            <w:pPr>
              <w:ind w:left="0" w:firstLine="0"/>
              <w:jc w:val="right"/>
              <w:rPr>
                <w:rFonts w:asciiTheme="minorHAnsi" w:hAnsiTheme="minorHAnsi"/>
                <w:sz w:val="20"/>
              </w:rPr>
            </w:pPr>
            <w:r w:rsidRPr="006B29E4">
              <w:rPr>
                <w:rFonts w:asciiTheme="minorHAnsi" w:hAnsiTheme="minorHAnsi"/>
                <w:sz w:val="20"/>
              </w:rPr>
              <w:t>105 038</w:t>
            </w:r>
          </w:p>
        </w:tc>
        <w:tc>
          <w:tcPr>
            <w:tcW w:w="1311" w:type="dxa"/>
            <w:tcBorders>
              <w:top w:val="nil"/>
              <w:left w:val="single" w:sz="4" w:space="0" w:color="auto"/>
              <w:bottom w:val="single" w:sz="4" w:space="0" w:color="auto"/>
              <w:right w:val="single" w:sz="4" w:space="0" w:color="auto"/>
            </w:tcBorders>
            <w:shd w:val="clear" w:color="auto" w:fill="auto"/>
            <w:noWrap/>
          </w:tcPr>
          <w:p w14:paraId="445B7548"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104 487</w:t>
            </w:r>
          </w:p>
        </w:tc>
        <w:tc>
          <w:tcPr>
            <w:tcW w:w="1311" w:type="dxa"/>
            <w:tcBorders>
              <w:top w:val="nil"/>
              <w:left w:val="nil"/>
              <w:bottom w:val="single" w:sz="4" w:space="0" w:color="auto"/>
              <w:right w:val="single" w:sz="4" w:space="0" w:color="auto"/>
            </w:tcBorders>
            <w:shd w:val="clear" w:color="auto" w:fill="auto"/>
            <w:noWrap/>
          </w:tcPr>
          <w:p w14:paraId="03AF2B12"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107 287</w:t>
            </w:r>
          </w:p>
        </w:tc>
        <w:tc>
          <w:tcPr>
            <w:tcW w:w="1312" w:type="dxa"/>
            <w:tcBorders>
              <w:top w:val="nil"/>
              <w:left w:val="nil"/>
              <w:bottom w:val="single" w:sz="4" w:space="0" w:color="auto"/>
              <w:right w:val="single" w:sz="4" w:space="0" w:color="auto"/>
            </w:tcBorders>
            <w:shd w:val="clear" w:color="auto" w:fill="auto"/>
            <w:noWrap/>
          </w:tcPr>
          <w:p w14:paraId="7213F1D5"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112 491</w:t>
            </w:r>
          </w:p>
        </w:tc>
      </w:tr>
      <w:tr w:rsidR="006B29E4" w:rsidRPr="006B29E4" w14:paraId="2F7B5C9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9082EDD"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Estonie</w:t>
            </w:r>
          </w:p>
        </w:tc>
        <w:tc>
          <w:tcPr>
            <w:tcW w:w="1134" w:type="dxa"/>
            <w:tcBorders>
              <w:top w:val="nil"/>
              <w:left w:val="nil"/>
              <w:bottom w:val="single" w:sz="4" w:space="0" w:color="auto"/>
              <w:right w:val="single" w:sz="4" w:space="0" w:color="auto"/>
            </w:tcBorders>
            <w:shd w:val="clear" w:color="auto" w:fill="auto"/>
            <w:noWrap/>
          </w:tcPr>
          <w:p w14:paraId="19FA7E1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0,044</w:t>
            </w:r>
          </w:p>
        </w:tc>
        <w:tc>
          <w:tcPr>
            <w:tcW w:w="1022" w:type="dxa"/>
            <w:tcBorders>
              <w:top w:val="nil"/>
              <w:left w:val="nil"/>
              <w:bottom w:val="single" w:sz="4" w:space="0" w:color="auto"/>
              <w:right w:val="single" w:sz="4" w:space="0" w:color="auto"/>
            </w:tcBorders>
            <w:shd w:val="clear" w:color="auto" w:fill="auto"/>
            <w:noWrap/>
          </w:tcPr>
          <w:p w14:paraId="39C4463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0,045 %</w:t>
            </w:r>
          </w:p>
        </w:tc>
        <w:tc>
          <w:tcPr>
            <w:tcW w:w="1311" w:type="dxa"/>
            <w:tcBorders>
              <w:top w:val="single" w:sz="4" w:space="0" w:color="auto"/>
              <w:left w:val="nil"/>
              <w:bottom w:val="single" w:sz="4" w:space="0" w:color="auto"/>
              <w:right w:val="single" w:sz="4" w:space="0" w:color="auto"/>
            </w:tcBorders>
          </w:tcPr>
          <w:p w14:paraId="1E0E6724" w14:textId="129C56F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1 909</w:t>
            </w:r>
          </w:p>
        </w:tc>
        <w:tc>
          <w:tcPr>
            <w:tcW w:w="1311" w:type="dxa"/>
            <w:tcBorders>
              <w:top w:val="nil"/>
              <w:left w:val="single" w:sz="4" w:space="0" w:color="auto"/>
              <w:bottom w:val="single" w:sz="4" w:space="0" w:color="auto"/>
              <w:right w:val="single" w:sz="4" w:space="0" w:color="auto"/>
            </w:tcBorders>
            <w:shd w:val="clear" w:color="auto" w:fill="auto"/>
            <w:noWrap/>
          </w:tcPr>
          <w:p w14:paraId="39C5C016" w14:textId="57028FB4"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2 154</w:t>
            </w:r>
          </w:p>
        </w:tc>
        <w:tc>
          <w:tcPr>
            <w:tcW w:w="1311" w:type="dxa"/>
            <w:tcBorders>
              <w:top w:val="nil"/>
              <w:left w:val="nil"/>
              <w:bottom w:val="single" w:sz="4" w:space="0" w:color="auto"/>
              <w:right w:val="single" w:sz="4" w:space="0" w:color="auto"/>
            </w:tcBorders>
            <w:shd w:val="clear" w:color="auto" w:fill="auto"/>
            <w:noWrap/>
          </w:tcPr>
          <w:p w14:paraId="7266D04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2 212</w:t>
            </w:r>
          </w:p>
        </w:tc>
        <w:tc>
          <w:tcPr>
            <w:tcW w:w="1312" w:type="dxa"/>
            <w:tcBorders>
              <w:top w:val="nil"/>
              <w:left w:val="nil"/>
              <w:bottom w:val="single" w:sz="4" w:space="0" w:color="auto"/>
              <w:right w:val="single" w:sz="4" w:space="0" w:color="auto"/>
            </w:tcBorders>
            <w:shd w:val="clear" w:color="auto" w:fill="auto"/>
            <w:noWrap/>
          </w:tcPr>
          <w:p w14:paraId="6D50134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2 319</w:t>
            </w:r>
          </w:p>
        </w:tc>
      </w:tr>
      <w:tr w:rsidR="006B29E4" w:rsidRPr="006B29E4" w14:paraId="63C84FB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A9B7614"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Eswatini</w:t>
            </w:r>
          </w:p>
        </w:tc>
        <w:tc>
          <w:tcPr>
            <w:tcW w:w="1134" w:type="dxa"/>
            <w:tcBorders>
              <w:top w:val="nil"/>
              <w:left w:val="nil"/>
              <w:bottom w:val="single" w:sz="4" w:space="0" w:color="auto"/>
              <w:right w:val="single" w:sz="4" w:space="0" w:color="auto"/>
            </w:tcBorders>
            <w:shd w:val="clear" w:color="auto" w:fill="auto"/>
            <w:noWrap/>
          </w:tcPr>
          <w:p w14:paraId="290DAEB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0CF466F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34B88F18" w14:textId="12C11DAC"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71EEC52" w14:textId="4954A182"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85CD06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BB46F6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EC2BD7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FB670F4" w14:textId="77777777" w:rsidR="00C70704" w:rsidRPr="006B29E4" w:rsidRDefault="00C70704" w:rsidP="00A31639">
            <w:pPr>
              <w:ind w:left="0" w:firstLine="0"/>
              <w:rPr>
                <w:rFonts w:asciiTheme="minorHAnsi" w:eastAsia="Times New Roman" w:hAnsiTheme="minorHAnsi" w:cstheme="minorHAnsi"/>
                <w:sz w:val="20"/>
                <w:szCs w:val="20"/>
              </w:rPr>
            </w:pPr>
            <w:r w:rsidRPr="006B29E4">
              <w:rPr>
                <w:rFonts w:asciiTheme="minorHAnsi" w:hAnsiTheme="minorHAnsi"/>
                <w:sz w:val="20"/>
              </w:rPr>
              <w:t>Fédération de Russie</w:t>
            </w:r>
          </w:p>
        </w:tc>
        <w:tc>
          <w:tcPr>
            <w:tcW w:w="1134" w:type="dxa"/>
            <w:tcBorders>
              <w:top w:val="nil"/>
              <w:left w:val="nil"/>
              <w:bottom w:val="single" w:sz="4" w:space="0" w:color="auto"/>
              <w:right w:val="single" w:sz="4" w:space="0" w:color="auto"/>
            </w:tcBorders>
            <w:shd w:val="clear" w:color="auto" w:fill="auto"/>
            <w:noWrap/>
          </w:tcPr>
          <w:p w14:paraId="35181250"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1,866</w:t>
            </w:r>
          </w:p>
        </w:tc>
        <w:tc>
          <w:tcPr>
            <w:tcW w:w="1022" w:type="dxa"/>
            <w:tcBorders>
              <w:top w:val="nil"/>
              <w:left w:val="nil"/>
              <w:bottom w:val="single" w:sz="4" w:space="0" w:color="auto"/>
              <w:right w:val="single" w:sz="4" w:space="0" w:color="auto"/>
            </w:tcBorders>
            <w:shd w:val="clear" w:color="auto" w:fill="auto"/>
            <w:noWrap/>
          </w:tcPr>
          <w:p w14:paraId="77836073"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1,916 %</w:t>
            </w:r>
          </w:p>
        </w:tc>
        <w:tc>
          <w:tcPr>
            <w:tcW w:w="1311" w:type="dxa"/>
            <w:tcBorders>
              <w:top w:val="single" w:sz="4" w:space="0" w:color="auto"/>
              <w:left w:val="nil"/>
              <w:bottom w:val="single" w:sz="4" w:space="0" w:color="auto"/>
              <w:right w:val="single" w:sz="4" w:space="0" w:color="auto"/>
            </w:tcBorders>
          </w:tcPr>
          <w:p w14:paraId="0618105F" w14:textId="77777777" w:rsidR="00C70704" w:rsidRPr="006B29E4" w:rsidRDefault="00C70704" w:rsidP="00A31639">
            <w:pPr>
              <w:ind w:left="0" w:firstLine="0"/>
              <w:jc w:val="right"/>
              <w:rPr>
                <w:rFonts w:asciiTheme="minorHAnsi" w:hAnsiTheme="minorHAnsi"/>
                <w:sz w:val="20"/>
              </w:rPr>
            </w:pPr>
            <w:r w:rsidRPr="006B29E4">
              <w:rPr>
                <w:rFonts w:asciiTheme="minorHAnsi" w:hAnsiTheme="minorHAnsi"/>
                <w:sz w:val="20"/>
              </w:rPr>
              <w:t>117 715</w:t>
            </w:r>
          </w:p>
        </w:tc>
        <w:tc>
          <w:tcPr>
            <w:tcW w:w="1311" w:type="dxa"/>
            <w:tcBorders>
              <w:top w:val="nil"/>
              <w:left w:val="single" w:sz="4" w:space="0" w:color="auto"/>
              <w:bottom w:val="single" w:sz="4" w:space="0" w:color="auto"/>
              <w:right w:val="single" w:sz="4" w:space="0" w:color="auto"/>
            </w:tcBorders>
            <w:shd w:val="clear" w:color="auto" w:fill="auto"/>
            <w:noWrap/>
          </w:tcPr>
          <w:p w14:paraId="6438B1E6"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91 365</w:t>
            </w:r>
          </w:p>
        </w:tc>
        <w:tc>
          <w:tcPr>
            <w:tcW w:w="1311" w:type="dxa"/>
            <w:tcBorders>
              <w:top w:val="nil"/>
              <w:left w:val="nil"/>
              <w:bottom w:val="single" w:sz="4" w:space="0" w:color="auto"/>
              <w:right w:val="single" w:sz="4" w:space="0" w:color="auto"/>
            </w:tcBorders>
            <w:shd w:val="clear" w:color="auto" w:fill="auto"/>
            <w:noWrap/>
          </w:tcPr>
          <w:p w14:paraId="6E0DB6E5"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93 813</w:t>
            </w:r>
          </w:p>
        </w:tc>
        <w:tc>
          <w:tcPr>
            <w:tcW w:w="1312" w:type="dxa"/>
            <w:tcBorders>
              <w:top w:val="nil"/>
              <w:left w:val="nil"/>
              <w:bottom w:val="single" w:sz="4" w:space="0" w:color="auto"/>
              <w:right w:val="single" w:sz="4" w:space="0" w:color="auto"/>
            </w:tcBorders>
            <w:shd w:val="clear" w:color="auto" w:fill="auto"/>
            <w:noWrap/>
          </w:tcPr>
          <w:p w14:paraId="1F2E5013"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98 364</w:t>
            </w:r>
          </w:p>
        </w:tc>
      </w:tr>
      <w:tr w:rsidR="006B29E4" w:rsidRPr="006B29E4" w14:paraId="77F2A54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6A5F519"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Fidji</w:t>
            </w:r>
          </w:p>
        </w:tc>
        <w:tc>
          <w:tcPr>
            <w:tcW w:w="1134" w:type="dxa"/>
            <w:tcBorders>
              <w:top w:val="nil"/>
              <w:left w:val="nil"/>
              <w:bottom w:val="single" w:sz="4" w:space="0" w:color="auto"/>
              <w:right w:val="single" w:sz="4" w:space="0" w:color="auto"/>
            </w:tcBorders>
            <w:shd w:val="clear" w:color="auto" w:fill="auto"/>
            <w:noWrap/>
          </w:tcPr>
          <w:p w14:paraId="77B8719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w:t>
            </w:r>
          </w:p>
        </w:tc>
        <w:tc>
          <w:tcPr>
            <w:tcW w:w="1022" w:type="dxa"/>
            <w:tcBorders>
              <w:top w:val="nil"/>
              <w:left w:val="nil"/>
              <w:bottom w:val="single" w:sz="4" w:space="0" w:color="auto"/>
              <w:right w:val="single" w:sz="4" w:space="0" w:color="auto"/>
            </w:tcBorders>
            <w:shd w:val="clear" w:color="auto" w:fill="auto"/>
            <w:noWrap/>
          </w:tcPr>
          <w:p w14:paraId="79EB49F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0,004 %</w:t>
            </w:r>
          </w:p>
        </w:tc>
        <w:tc>
          <w:tcPr>
            <w:tcW w:w="1311" w:type="dxa"/>
            <w:tcBorders>
              <w:top w:val="single" w:sz="4" w:space="0" w:color="auto"/>
              <w:left w:val="nil"/>
              <w:bottom w:val="single" w:sz="4" w:space="0" w:color="auto"/>
              <w:right w:val="single" w:sz="4" w:space="0" w:color="auto"/>
            </w:tcBorders>
          </w:tcPr>
          <w:p w14:paraId="38A28F33" w14:textId="159BFE1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28219FE" w14:textId="7003849D"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642C103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9762FB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57BBD5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2BC104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Finlande</w:t>
            </w:r>
          </w:p>
        </w:tc>
        <w:tc>
          <w:tcPr>
            <w:tcW w:w="1134" w:type="dxa"/>
            <w:tcBorders>
              <w:top w:val="nil"/>
              <w:left w:val="nil"/>
              <w:bottom w:val="single" w:sz="4" w:space="0" w:color="auto"/>
              <w:right w:val="single" w:sz="4" w:space="0" w:color="auto"/>
            </w:tcBorders>
            <w:shd w:val="clear" w:color="auto" w:fill="auto"/>
            <w:noWrap/>
          </w:tcPr>
          <w:p w14:paraId="73C8579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0,417</w:t>
            </w:r>
          </w:p>
        </w:tc>
        <w:tc>
          <w:tcPr>
            <w:tcW w:w="1022" w:type="dxa"/>
            <w:tcBorders>
              <w:top w:val="nil"/>
              <w:left w:val="nil"/>
              <w:bottom w:val="single" w:sz="4" w:space="0" w:color="auto"/>
              <w:right w:val="single" w:sz="4" w:space="0" w:color="auto"/>
            </w:tcBorders>
            <w:shd w:val="clear" w:color="auto" w:fill="auto"/>
            <w:noWrap/>
          </w:tcPr>
          <w:p w14:paraId="67D43A3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0,428 %</w:t>
            </w:r>
          </w:p>
        </w:tc>
        <w:tc>
          <w:tcPr>
            <w:tcW w:w="1311" w:type="dxa"/>
            <w:tcBorders>
              <w:top w:val="single" w:sz="4" w:space="0" w:color="auto"/>
              <w:left w:val="nil"/>
              <w:bottom w:val="single" w:sz="4" w:space="0" w:color="auto"/>
              <w:right w:val="single" w:sz="4" w:space="0" w:color="auto"/>
            </w:tcBorders>
          </w:tcPr>
          <w:p w14:paraId="275961A0" w14:textId="1C6F917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20 606</w:t>
            </w:r>
          </w:p>
        </w:tc>
        <w:tc>
          <w:tcPr>
            <w:tcW w:w="1311" w:type="dxa"/>
            <w:tcBorders>
              <w:top w:val="nil"/>
              <w:left w:val="single" w:sz="4" w:space="0" w:color="auto"/>
              <w:bottom w:val="single" w:sz="4" w:space="0" w:color="auto"/>
              <w:right w:val="single" w:sz="4" w:space="0" w:color="auto"/>
            </w:tcBorders>
            <w:shd w:val="clear" w:color="auto" w:fill="auto"/>
            <w:noWrap/>
          </w:tcPr>
          <w:p w14:paraId="53CABA48" w14:textId="6699732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20 417</w:t>
            </w:r>
          </w:p>
        </w:tc>
        <w:tc>
          <w:tcPr>
            <w:tcW w:w="1311" w:type="dxa"/>
            <w:tcBorders>
              <w:top w:val="nil"/>
              <w:left w:val="nil"/>
              <w:bottom w:val="single" w:sz="4" w:space="0" w:color="auto"/>
              <w:right w:val="single" w:sz="4" w:space="0" w:color="auto"/>
            </w:tcBorders>
            <w:shd w:val="clear" w:color="auto" w:fill="auto"/>
            <w:noWrap/>
          </w:tcPr>
          <w:p w14:paraId="2359359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20 965</w:t>
            </w:r>
          </w:p>
        </w:tc>
        <w:tc>
          <w:tcPr>
            <w:tcW w:w="1312" w:type="dxa"/>
            <w:tcBorders>
              <w:top w:val="nil"/>
              <w:left w:val="nil"/>
              <w:bottom w:val="single" w:sz="4" w:space="0" w:color="auto"/>
              <w:right w:val="single" w:sz="4" w:space="0" w:color="auto"/>
            </w:tcBorders>
            <w:shd w:val="clear" w:color="auto" w:fill="auto"/>
            <w:noWrap/>
          </w:tcPr>
          <w:p w14:paraId="306AE9F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21 982</w:t>
            </w:r>
          </w:p>
        </w:tc>
      </w:tr>
      <w:tr w:rsidR="006B29E4" w:rsidRPr="006B29E4" w14:paraId="75BAAC3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71CEBB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France</w:t>
            </w:r>
          </w:p>
        </w:tc>
        <w:tc>
          <w:tcPr>
            <w:tcW w:w="1134" w:type="dxa"/>
            <w:tcBorders>
              <w:top w:val="nil"/>
              <w:left w:val="nil"/>
              <w:bottom w:val="single" w:sz="4" w:space="0" w:color="auto"/>
              <w:right w:val="single" w:sz="4" w:space="0" w:color="auto"/>
            </w:tcBorders>
            <w:shd w:val="clear" w:color="auto" w:fill="auto"/>
            <w:noWrap/>
          </w:tcPr>
          <w:p w14:paraId="1B8B64E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4,318</w:t>
            </w:r>
          </w:p>
        </w:tc>
        <w:tc>
          <w:tcPr>
            <w:tcW w:w="1022" w:type="dxa"/>
            <w:tcBorders>
              <w:top w:val="nil"/>
              <w:left w:val="nil"/>
              <w:bottom w:val="single" w:sz="4" w:space="0" w:color="auto"/>
              <w:right w:val="single" w:sz="4" w:space="0" w:color="auto"/>
            </w:tcBorders>
            <w:shd w:val="clear" w:color="auto" w:fill="auto"/>
            <w:noWrap/>
          </w:tcPr>
          <w:p w14:paraId="4DA9FBA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4,433 %</w:t>
            </w:r>
          </w:p>
        </w:tc>
        <w:tc>
          <w:tcPr>
            <w:tcW w:w="1311" w:type="dxa"/>
            <w:tcBorders>
              <w:top w:val="single" w:sz="4" w:space="0" w:color="auto"/>
              <w:left w:val="nil"/>
              <w:bottom w:val="single" w:sz="4" w:space="0" w:color="auto"/>
              <w:right w:val="single" w:sz="4" w:space="0" w:color="auto"/>
            </w:tcBorders>
          </w:tcPr>
          <w:p w14:paraId="2D83DE5D" w14:textId="7F2B9B20"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216 684</w:t>
            </w:r>
          </w:p>
        </w:tc>
        <w:tc>
          <w:tcPr>
            <w:tcW w:w="1311" w:type="dxa"/>
            <w:tcBorders>
              <w:top w:val="nil"/>
              <w:left w:val="single" w:sz="4" w:space="0" w:color="auto"/>
              <w:bottom w:val="single" w:sz="4" w:space="0" w:color="auto"/>
              <w:right w:val="single" w:sz="4" w:space="0" w:color="auto"/>
            </w:tcBorders>
            <w:shd w:val="clear" w:color="auto" w:fill="auto"/>
            <w:noWrap/>
          </w:tcPr>
          <w:p w14:paraId="0D292A4A" w14:textId="5AEE472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211 421</w:t>
            </w:r>
          </w:p>
        </w:tc>
        <w:tc>
          <w:tcPr>
            <w:tcW w:w="1311" w:type="dxa"/>
            <w:tcBorders>
              <w:top w:val="nil"/>
              <w:left w:val="nil"/>
              <w:bottom w:val="single" w:sz="4" w:space="0" w:color="auto"/>
              <w:right w:val="single" w:sz="4" w:space="0" w:color="auto"/>
            </w:tcBorders>
            <w:shd w:val="clear" w:color="auto" w:fill="auto"/>
            <w:noWrap/>
          </w:tcPr>
          <w:p w14:paraId="7F4817D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217 088</w:t>
            </w:r>
          </w:p>
        </w:tc>
        <w:tc>
          <w:tcPr>
            <w:tcW w:w="1312" w:type="dxa"/>
            <w:tcBorders>
              <w:top w:val="nil"/>
              <w:left w:val="nil"/>
              <w:bottom w:val="single" w:sz="4" w:space="0" w:color="auto"/>
              <w:right w:val="single" w:sz="4" w:space="0" w:color="auto"/>
            </w:tcBorders>
            <w:shd w:val="clear" w:color="auto" w:fill="auto"/>
            <w:noWrap/>
          </w:tcPr>
          <w:p w14:paraId="0BC6C34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227 618</w:t>
            </w:r>
          </w:p>
        </w:tc>
      </w:tr>
      <w:tr w:rsidR="006B29E4" w:rsidRPr="006B29E4" w14:paraId="3E4FA2D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56E3119"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Gabon</w:t>
            </w:r>
          </w:p>
        </w:tc>
        <w:tc>
          <w:tcPr>
            <w:tcW w:w="1134" w:type="dxa"/>
            <w:tcBorders>
              <w:top w:val="nil"/>
              <w:left w:val="nil"/>
              <w:bottom w:val="single" w:sz="4" w:space="0" w:color="auto"/>
              <w:right w:val="single" w:sz="4" w:space="0" w:color="auto"/>
            </w:tcBorders>
            <w:shd w:val="clear" w:color="auto" w:fill="auto"/>
            <w:noWrap/>
          </w:tcPr>
          <w:p w14:paraId="3F5E41A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0,013</w:t>
            </w:r>
          </w:p>
        </w:tc>
        <w:tc>
          <w:tcPr>
            <w:tcW w:w="1022" w:type="dxa"/>
            <w:tcBorders>
              <w:top w:val="nil"/>
              <w:left w:val="nil"/>
              <w:bottom w:val="single" w:sz="4" w:space="0" w:color="auto"/>
              <w:right w:val="single" w:sz="4" w:space="0" w:color="auto"/>
            </w:tcBorders>
            <w:shd w:val="clear" w:color="auto" w:fill="auto"/>
            <w:noWrap/>
          </w:tcPr>
          <w:p w14:paraId="1E099F0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0,013 %</w:t>
            </w:r>
          </w:p>
        </w:tc>
        <w:tc>
          <w:tcPr>
            <w:tcW w:w="1311" w:type="dxa"/>
            <w:tcBorders>
              <w:top w:val="single" w:sz="4" w:space="0" w:color="auto"/>
              <w:left w:val="nil"/>
              <w:bottom w:val="single" w:sz="4" w:space="0" w:color="auto"/>
              <w:right w:val="single" w:sz="4" w:space="0" w:color="auto"/>
            </w:tcBorders>
          </w:tcPr>
          <w:p w14:paraId="258A114B" w14:textId="46EB1D3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2259C16" w14:textId="3032399E"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7E1F71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22D049C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D525E2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025D5AA"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Gambie</w:t>
            </w:r>
          </w:p>
        </w:tc>
        <w:tc>
          <w:tcPr>
            <w:tcW w:w="1134" w:type="dxa"/>
            <w:tcBorders>
              <w:top w:val="nil"/>
              <w:left w:val="nil"/>
              <w:bottom w:val="single" w:sz="4" w:space="0" w:color="auto"/>
              <w:right w:val="single" w:sz="4" w:space="0" w:color="auto"/>
            </w:tcBorders>
            <w:shd w:val="clear" w:color="auto" w:fill="auto"/>
            <w:noWrap/>
          </w:tcPr>
          <w:p w14:paraId="168294E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2A9739F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19719CBB" w14:textId="44CD04A0"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6975642" w14:textId="540E8E2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6D4C4D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5B8F718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603B7B96"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BF2F0E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Géorgie</w:t>
            </w:r>
          </w:p>
        </w:tc>
        <w:tc>
          <w:tcPr>
            <w:tcW w:w="1134" w:type="dxa"/>
            <w:tcBorders>
              <w:top w:val="nil"/>
              <w:left w:val="nil"/>
              <w:bottom w:val="single" w:sz="4" w:space="0" w:color="auto"/>
              <w:right w:val="single" w:sz="4" w:space="0" w:color="auto"/>
            </w:tcBorders>
            <w:shd w:val="clear" w:color="auto" w:fill="auto"/>
            <w:noWrap/>
          </w:tcPr>
          <w:p w14:paraId="620FEB7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0,008</w:t>
            </w:r>
          </w:p>
        </w:tc>
        <w:tc>
          <w:tcPr>
            <w:tcW w:w="1022" w:type="dxa"/>
            <w:tcBorders>
              <w:top w:val="nil"/>
              <w:left w:val="nil"/>
              <w:bottom w:val="single" w:sz="4" w:space="0" w:color="auto"/>
              <w:right w:val="single" w:sz="4" w:space="0" w:color="auto"/>
            </w:tcBorders>
            <w:shd w:val="clear" w:color="auto" w:fill="auto"/>
            <w:noWrap/>
          </w:tcPr>
          <w:p w14:paraId="17C8F44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0,008 %</w:t>
            </w:r>
          </w:p>
        </w:tc>
        <w:tc>
          <w:tcPr>
            <w:tcW w:w="1311" w:type="dxa"/>
            <w:tcBorders>
              <w:top w:val="single" w:sz="4" w:space="0" w:color="auto"/>
              <w:left w:val="nil"/>
              <w:bottom w:val="single" w:sz="4" w:space="0" w:color="auto"/>
              <w:right w:val="single" w:sz="4" w:space="0" w:color="auto"/>
            </w:tcBorders>
          </w:tcPr>
          <w:p w14:paraId="471B6C82" w14:textId="08373DB4"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350C6B4" w14:textId="07035BC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CE3989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262CC3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1FEE7FF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F811BAF"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Ghana</w:t>
            </w:r>
          </w:p>
        </w:tc>
        <w:tc>
          <w:tcPr>
            <w:tcW w:w="1134" w:type="dxa"/>
            <w:tcBorders>
              <w:top w:val="nil"/>
              <w:left w:val="nil"/>
              <w:bottom w:val="single" w:sz="4" w:space="0" w:color="auto"/>
              <w:right w:val="single" w:sz="4" w:space="0" w:color="auto"/>
            </w:tcBorders>
            <w:shd w:val="clear" w:color="auto" w:fill="auto"/>
            <w:noWrap/>
          </w:tcPr>
          <w:p w14:paraId="670FB53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0,024</w:t>
            </w:r>
          </w:p>
        </w:tc>
        <w:tc>
          <w:tcPr>
            <w:tcW w:w="1022" w:type="dxa"/>
            <w:tcBorders>
              <w:top w:val="nil"/>
              <w:left w:val="nil"/>
              <w:bottom w:val="single" w:sz="4" w:space="0" w:color="auto"/>
              <w:right w:val="single" w:sz="4" w:space="0" w:color="auto"/>
            </w:tcBorders>
            <w:shd w:val="clear" w:color="auto" w:fill="auto"/>
            <w:noWrap/>
          </w:tcPr>
          <w:p w14:paraId="60A87C2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0,025 %</w:t>
            </w:r>
          </w:p>
        </w:tc>
        <w:tc>
          <w:tcPr>
            <w:tcW w:w="1311" w:type="dxa"/>
            <w:tcBorders>
              <w:top w:val="single" w:sz="4" w:space="0" w:color="auto"/>
              <w:left w:val="nil"/>
              <w:bottom w:val="single" w:sz="4" w:space="0" w:color="auto"/>
              <w:right w:val="single" w:sz="4" w:space="0" w:color="auto"/>
            </w:tcBorders>
          </w:tcPr>
          <w:p w14:paraId="72D2B4E4" w14:textId="19F7BDC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AB02808" w14:textId="76A0EC8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1 175</w:t>
            </w:r>
          </w:p>
        </w:tc>
        <w:tc>
          <w:tcPr>
            <w:tcW w:w="1311" w:type="dxa"/>
            <w:tcBorders>
              <w:top w:val="nil"/>
              <w:left w:val="nil"/>
              <w:bottom w:val="single" w:sz="4" w:space="0" w:color="auto"/>
              <w:right w:val="single" w:sz="4" w:space="0" w:color="auto"/>
            </w:tcBorders>
            <w:shd w:val="clear" w:color="auto" w:fill="auto"/>
            <w:noWrap/>
          </w:tcPr>
          <w:p w14:paraId="12FC8D6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1 207</w:t>
            </w:r>
          </w:p>
        </w:tc>
        <w:tc>
          <w:tcPr>
            <w:tcW w:w="1312" w:type="dxa"/>
            <w:tcBorders>
              <w:top w:val="nil"/>
              <w:left w:val="nil"/>
              <w:bottom w:val="single" w:sz="4" w:space="0" w:color="auto"/>
              <w:right w:val="single" w:sz="4" w:space="0" w:color="auto"/>
            </w:tcBorders>
            <w:shd w:val="clear" w:color="auto" w:fill="auto"/>
            <w:noWrap/>
          </w:tcPr>
          <w:p w14:paraId="7DC981B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1 265</w:t>
            </w:r>
          </w:p>
        </w:tc>
      </w:tr>
      <w:tr w:rsidR="006B29E4" w:rsidRPr="006B29E4" w14:paraId="1019024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BAFF6FB"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Grèce</w:t>
            </w:r>
          </w:p>
        </w:tc>
        <w:tc>
          <w:tcPr>
            <w:tcW w:w="1134" w:type="dxa"/>
            <w:tcBorders>
              <w:top w:val="nil"/>
              <w:left w:val="nil"/>
              <w:bottom w:val="single" w:sz="4" w:space="0" w:color="auto"/>
              <w:right w:val="single" w:sz="4" w:space="0" w:color="auto"/>
            </w:tcBorders>
            <w:shd w:val="clear" w:color="auto" w:fill="auto"/>
            <w:noWrap/>
          </w:tcPr>
          <w:p w14:paraId="48A2C34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0,325</w:t>
            </w:r>
          </w:p>
        </w:tc>
        <w:tc>
          <w:tcPr>
            <w:tcW w:w="1022" w:type="dxa"/>
            <w:tcBorders>
              <w:top w:val="nil"/>
              <w:left w:val="nil"/>
              <w:bottom w:val="single" w:sz="4" w:space="0" w:color="auto"/>
              <w:right w:val="single" w:sz="4" w:space="0" w:color="auto"/>
            </w:tcBorders>
            <w:shd w:val="clear" w:color="auto" w:fill="auto"/>
            <w:noWrap/>
          </w:tcPr>
          <w:p w14:paraId="2729D78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0,334 %</w:t>
            </w:r>
          </w:p>
        </w:tc>
        <w:tc>
          <w:tcPr>
            <w:tcW w:w="1311" w:type="dxa"/>
            <w:tcBorders>
              <w:top w:val="single" w:sz="4" w:space="0" w:color="auto"/>
              <w:left w:val="nil"/>
              <w:bottom w:val="single" w:sz="4" w:space="0" w:color="auto"/>
              <w:right w:val="single" w:sz="4" w:space="0" w:color="auto"/>
            </w:tcBorders>
          </w:tcPr>
          <w:p w14:paraId="7E9DEF5F" w14:textId="5038AFA5"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17 914</w:t>
            </w:r>
          </w:p>
        </w:tc>
        <w:tc>
          <w:tcPr>
            <w:tcW w:w="1311" w:type="dxa"/>
            <w:tcBorders>
              <w:top w:val="nil"/>
              <w:left w:val="single" w:sz="4" w:space="0" w:color="auto"/>
              <w:bottom w:val="single" w:sz="4" w:space="0" w:color="auto"/>
              <w:right w:val="single" w:sz="4" w:space="0" w:color="auto"/>
            </w:tcBorders>
            <w:shd w:val="clear" w:color="auto" w:fill="auto"/>
            <w:noWrap/>
          </w:tcPr>
          <w:p w14:paraId="0B3D3480" w14:textId="5510C00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15 913</w:t>
            </w:r>
          </w:p>
        </w:tc>
        <w:tc>
          <w:tcPr>
            <w:tcW w:w="1311" w:type="dxa"/>
            <w:tcBorders>
              <w:top w:val="nil"/>
              <w:left w:val="nil"/>
              <w:bottom w:val="single" w:sz="4" w:space="0" w:color="auto"/>
              <w:right w:val="single" w:sz="4" w:space="0" w:color="auto"/>
            </w:tcBorders>
            <w:shd w:val="clear" w:color="auto" w:fill="auto"/>
            <w:noWrap/>
          </w:tcPr>
          <w:p w14:paraId="4613D4A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16 339</w:t>
            </w:r>
          </w:p>
        </w:tc>
        <w:tc>
          <w:tcPr>
            <w:tcW w:w="1312" w:type="dxa"/>
            <w:tcBorders>
              <w:top w:val="nil"/>
              <w:left w:val="nil"/>
              <w:bottom w:val="single" w:sz="4" w:space="0" w:color="auto"/>
              <w:right w:val="single" w:sz="4" w:space="0" w:color="auto"/>
            </w:tcBorders>
            <w:shd w:val="clear" w:color="auto" w:fill="auto"/>
            <w:noWrap/>
          </w:tcPr>
          <w:p w14:paraId="01D2402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17 132</w:t>
            </w:r>
          </w:p>
        </w:tc>
      </w:tr>
      <w:tr w:rsidR="006B29E4" w:rsidRPr="006B29E4" w14:paraId="7A727B4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A78744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Grenade</w:t>
            </w:r>
          </w:p>
        </w:tc>
        <w:tc>
          <w:tcPr>
            <w:tcW w:w="1134" w:type="dxa"/>
            <w:tcBorders>
              <w:top w:val="nil"/>
              <w:left w:val="nil"/>
              <w:bottom w:val="single" w:sz="4" w:space="0" w:color="auto"/>
              <w:right w:val="single" w:sz="4" w:space="0" w:color="auto"/>
            </w:tcBorders>
            <w:shd w:val="clear" w:color="auto" w:fill="auto"/>
            <w:noWrap/>
          </w:tcPr>
          <w:p w14:paraId="6A1244A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59E17C1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551ABDC6" w14:textId="29B72EC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A632127" w14:textId="660ABC9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7FBACF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5D2814E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553186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4EFE9A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Guatemala</w:t>
            </w:r>
          </w:p>
        </w:tc>
        <w:tc>
          <w:tcPr>
            <w:tcW w:w="1134" w:type="dxa"/>
            <w:tcBorders>
              <w:top w:val="nil"/>
              <w:left w:val="nil"/>
              <w:bottom w:val="single" w:sz="4" w:space="0" w:color="auto"/>
              <w:right w:val="single" w:sz="4" w:space="0" w:color="auto"/>
            </w:tcBorders>
            <w:shd w:val="clear" w:color="auto" w:fill="auto"/>
            <w:noWrap/>
          </w:tcPr>
          <w:p w14:paraId="52E3483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0,041</w:t>
            </w:r>
          </w:p>
        </w:tc>
        <w:tc>
          <w:tcPr>
            <w:tcW w:w="1022" w:type="dxa"/>
            <w:tcBorders>
              <w:top w:val="nil"/>
              <w:left w:val="nil"/>
              <w:bottom w:val="single" w:sz="4" w:space="0" w:color="auto"/>
              <w:right w:val="single" w:sz="4" w:space="0" w:color="auto"/>
            </w:tcBorders>
            <w:shd w:val="clear" w:color="auto" w:fill="auto"/>
            <w:noWrap/>
          </w:tcPr>
          <w:p w14:paraId="745647A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0,042 %</w:t>
            </w:r>
          </w:p>
        </w:tc>
        <w:tc>
          <w:tcPr>
            <w:tcW w:w="1311" w:type="dxa"/>
            <w:tcBorders>
              <w:top w:val="single" w:sz="4" w:space="0" w:color="auto"/>
              <w:left w:val="nil"/>
              <w:bottom w:val="single" w:sz="4" w:space="0" w:color="auto"/>
              <w:right w:val="single" w:sz="4" w:space="0" w:color="auto"/>
            </w:tcBorders>
          </w:tcPr>
          <w:p w14:paraId="5CA2A492" w14:textId="738B2A7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1 762</w:t>
            </w:r>
          </w:p>
        </w:tc>
        <w:tc>
          <w:tcPr>
            <w:tcW w:w="1311" w:type="dxa"/>
            <w:tcBorders>
              <w:top w:val="nil"/>
              <w:left w:val="single" w:sz="4" w:space="0" w:color="auto"/>
              <w:bottom w:val="single" w:sz="4" w:space="0" w:color="auto"/>
              <w:right w:val="single" w:sz="4" w:space="0" w:color="auto"/>
            </w:tcBorders>
            <w:shd w:val="clear" w:color="auto" w:fill="auto"/>
            <w:noWrap/>
          </w:tcPr>
          <w:p w14:paraId="2D08FF62" w14:textId="1070A68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2 007</w:t>
            </w:r>
          </w:p>
        </w:tc>
        <w:tc>
          <w:tcPr>
            <w:tcW w:w="1311" w:type="dxa"/>
            <w:tcBorders>
              <w:top w:val="nil"/>
              <w:left w:val="nil"/>
              <w:bottom w:val="single" w:sz="4" w:space="0" w:color="auto"/>
              <w:right w:val="single" w:sz="4" w:space="0" w:color="auto"/>
            </w:tcBorders>
            <w:shd w:val="clear" w:color="auto" w:fill="auto"/>
            <w:noWrap/>
          </w:tcPr>
          <w:p w14:paraId="4D3A215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2 061</w:t>
            </w:r>
          </w:p>
        </w:tc>
        <w:tc>
          <w:tcPr>
            <w:tcW w:w="1312" w:type="dxa"/>
            <w:tcBorders>
              <w:top w:val="nil"/>
              <w:left w:val="nil"/>
              <w:bottom w:val="single" w:sz="4" w:space="0" w:color="auto"/>
              <w:right w:val="single" w:sz="4" w:space="0" w:color="auto"/>
            </w:tcBorders>
            <w:shd w:val="clear" w:color="auto" w:fill="auto"/>
            <w:noWrap/>
          </w:tcPr>
          <w:p w14:paraId="4A1E4FD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2 161</w:t>
            </w:r>
          </w:p>
        </w:tc>
      </w:tr>
      <w:tr w:rsidR="006B29E4" w:rsidRPr="006B29E4" w14:paraId="45E3B11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FDCB90F"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Guinée</w:t>
            </w:r>
          </w:p>
        </w:tc>
        <w:tc>
          <w:tcPr>
            <w:tcW w:w="1134" w:type="dxa"/>
            <w:tcBorders>
              <w:top w:val="nil"/>
              <w:left w:val="nil"/>
              <w:bottom w:val="single" w:sz="4" w:space="0" w:color="auto"/>
              <w:right w:val="single" w:sz="4" w:space="0" w:color="auto"/>
            </w:tcBorders>
            <w:shd w:val="clear" w:color="auto" w:fill="auto"/>
            <w:noWrap/>
          </w:tcPr>
          <w:p w14:paraId="21B4356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0,003</w:t>
            </w:r>
          </w:p>
        </w:tc>
        <w:tc>
          <w:tcPr>
            <w:tcW w:w="1022" w:type="dxa"/>
            <w:tcBorders>
              <w:top w:val="nil"/>
              <w:left w:val="nil"/>
              <w:bottom w:val="single" w:sz="4" w:space="0" w:color="auto"/>
              <w:right w:val="single" w:sz="4" w:space="0" w:color="auto"/>
            </w:tcBorders>
            <w:shd w:val="clear" w:color="auto" w:fill="auto"/>
            <w:noWrap/>
          </w:tcPr>
          <w:p w14:paraId="1971E97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0,003 %</w:t>
            </w:r>
          </w:p>
        </w:tc>
        <w:tc>
          <w:tcPr>
            <w:tcW w:w="1311" w:type="dxa"/>
            <w:tcBorders>
              <w:top w:val="single" w:sz="4" w:space="0" w:color="auto"/>
              <w:left w:val="nil"/>
              <w:bottom w:val="single" w:sz="4" w:space="0" w:color="auto"/>
              <w:right w:val="single" w:sz="4" w:space="0" w:color="auto"/>
            </w:tcBorders>
          </w:tcPr>
          <w:p w14:paraId="4DBDEAE7" w14:textId="3CE9EA35"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2175347" w14:textId="23D05A9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3E28FB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5B0B09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8E6BB5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BA60B4A"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Guinée équatoriale</w:t>
            </w:r>
          </w:p>
        </w:tc>
        <w:tc>
          <w:tcPr>
            <w:tcW w:w="1134" w:type="dxa"/>
            <w:tcBorders>
              <w:top w:val="nil"/>
              <w:left w:val="nil"/>
              <w:bottom w:val="single" w:sz="4" w:space="0" w:color="auto"/>
              <w:right w:val="single" w:sz="4" w:space="0" w:color="auto"/>
            </w:tcBorders>
            <w:shd w:val="clear" w:color="auto" w:fill="auto"/>
            <w:noWrap/>
          </w:tcPr>
          <w:p w14:paraId="1C0BECF4"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0,012</w:t>
            </w:r>
          </w:p>
        </w:tc>
        <w:tc>
          <w:tcPr>
            <w:tcW w:w="1022" w:type="dxa"/>
            <w:tcBorders>
              <w:top w:val="nil"/>
              <w:left w:val="nil"/>
              <w:bottom w:val="single" w:sz="4" w:space="0" w:color="auto"/>
              <w:right w:val="single" w:sz="4" w:space="0" w:color="auto"/>
            </w:tcBorders>
            <w:shd w:val="clear" w:color="auto" w:fill="auto"/>
            <w:noWrap/>
          </w:tcPr>
          <w:p w14:paraId="108E02AB"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0,012 %</w:t>
            </w:r>
          </w:p>
        </w:tc>
        <w:tc>
          <w:tcPr>
            <w:tcW w:w="1311" w:type="dxa"/>
            <w:tcBorders>
              <w:top w:val="single" w:sz="4" w:space="0" w:color="auto"/>
              <w:left w:val="nil"/>
              <w:bottom w:val="single" w:sz="4" w:space="0" w:color="auto"/>
              <w:right w:val="single" w:sz="4" w:space="0" w:color="auto"/>
            </w:tcBorders>
          </w:tcPr>
          <w:p w14:paraId="33090C2D"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D24DAB5"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9E75315"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A6B13E4"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86A252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1C7019A" w14:textId="77777777" w:rsidR="00C70704" w:rsidRPr="006B29E4" w:rsidRDefault="00C70704" w:rsidP="00A31639">
            <w:pPr>
              <w:ind w:left="0" w:firstLine="0"/>
              <w:rPr>
                <w:rFonts w:asciiTheme="minorHAnsi" w:eastAsia="Times New Roman" w:hAnsiTheme="minorHAnsi" w:cstheme="minorHAnsi"/>
                <w:sz w:val="20"/>
                <w:szCs w:val="20"/>
              </w:rPr>
            </w:pPr>
            <w:r w:rsidRPr="006B29E4">
              <w:rPr>
                <w:rFonts w:asciiTheme="minorHAnsi" w:hAnsiTheme="minorHAnsi"/>
                <w:sz w:val="20"/>
              </w:rPr>
              <w:t>Guinée-Bissau</w:t>
            </w:r>
          </w:p>
        </w:tc>
        <w:tc>
          <w:tcPr>
            <w:tcW w:w="1134" w:type="dxa"/>
            <w:tcBorders>
              <w:top w:val="nil"/>
              <w:left w:val="nil"/>
              <w:bottom w:val="single" w:sz="4" w:space="0" w:color="auto"/>
              <w:right w:val="single" w:sz="4" w:space="0" w:color="auto"/>
            </w:tcBorders>
            <w:shd w:val="clear" w:color="auto" w:fill="auto"/>
            <w:noWrap/>
          </w:tcPr>
          <w:p w14:paraId="3A953608"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09469685"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740915F9" w14:textId="77777777" w:rsidR="00C70704" w:rsidRPr="006B29E4" w:rsidRDefault="00C70704"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B9CF15D"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6EE432A8"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37847E0"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6829D62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71686C0"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Honduras</w:t>
            </w:r>
          </w:p>
        </w:tc>
        <w:tc>
          <w:tcPr>
            <w:tcW w:w="1134" w:type="dxa"/>
            <w:tcBorders>
              <w:top w:val="nil"/>
              <w:left w:val="nil"/>
              <w:bottom w:val="single" w:sz="4" w:space="0" w:color="auto"/>
              <w:right w:val="single" w:sz="4" w:space="0" w:color="auto"/>
            </w:tcBorders>
            <w:shd w:val="clear" w:color="auto" w:fill="auto"/>
            <w:noWrap/>
          </w:tcPr>
          <w:p w14:paraId="363C772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0,009</w:t>
            </w:r>
          </w:p>
        </w:tc>
        <w:tc>
          <w:tcPr>
            <w:tcW w:w="1022" w:type="dxa"/>
            <w:tcBorders>
              <w:top w:val="nil"/>
              <w:left w:val="nil"/>
              <w:bottom w:val="single" w:sz="4" w:space="0" w:color="auto"/>
              <w:right w:val="single" w:sz="4" w:space="0" w:color="auto"/>
            </w:tcBorders>
            <w:shd w:val="clear" w:color="auto" w:fill="auto"/>
            <w:noWrap/>
          </w:tcPr>
          <w:p w14:paraId="48B4C3E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0,009 %</w:t>
            </w:r>
          </w:p>
        </w:tc>
        <w:tc>
          <w:tcPr>
            <w:tcW w:w="1311" w:type="dxa"/>
            <w:tcBorders>
              <w:top w:val="single" w:sz="4" w:space="0" w:color="auto"/>
              <w:left w:val="nil"/>
              <w:bottom w:val="single" w:sz="4" w:space="0" w:color="auto"/>
              <w:right w:val="single" w:sz="4" w:space="0" w:color="auto"/>
            </w:tcBorders>
          </w:tcPr>
          <w:p w14:paraId="5AFE5352" w14:textId="21AF7477"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9CC447E" w14:textId="4E272A7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C6C6BD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672F22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7B404A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808DEAF"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Hongrie</w:t>
            </w:r>
          </w:p>
        </w:tc>
        <w:tc>
          <w:tcPr>
            <w:tcW w:w="1134" w:type="dxa"/>
            <w:tcBorders>
              <w:top w:val="nil"/>
              <w:left w:val="nil"/>
              <w:bottom w:val="single" w:sz="4" w:space="0" w:color="auto"/>
              <w:right w:val="single" w:sz="4" w:space="0" w:color="auto"/>
            </w:tcBorders>
            <w:shd w:val="clear" w:color="auto" w:fill="auto"/>
            <w:noWrap/>
          </w:tcPr>
          <w:p w14:paraId="7753B92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0,228</w:t>
            </w:r>
          </w:p>
        </w:tc>
        <w:tc>
          <w:tcPr>
            <w:tcW w:w="1022" w:type="dxa"/>
            <w:tcBorders>
              <w:top w:val="nil"/>
              <w:left w:val="nil"/>
              <w:bottom w:val="single" w:sz="4" w:space="0" w:color="auto"/>
              <w:right w:val="single" w:sz="4" w:space="0" w:color="auto"/>
            </w:tcBorders>
            <w:shd w:val="clear" w:color="auto" w:fill="auto"/>
            <w:noWrap/>
          </w:tcPr>
          <w:p w14:paraId="61F4499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0,234 %</w:t>
            </w:r>
          </w:p>
        </w:tc>
        <w:tc>
          <w:tcPr>
            <w:tcW w:w="1311" w:type="dxa"/>
            <w:tcBorders>
              <w:top w:val="single" w:sz="4" w:space="0" w:color="auto"/>
              <w:left w:val="nil"/>
              <w:bottom w:val="single" w:sz="4" w:space="0" w:color="auto"/>
              <w:right w:val="single" w:sz="4" w:space="0" w:color="auto"/>
            </w:tcBorders>
          </w:tcPr>
          <w:p w14:paraId="507A53A4" w14:textId="6313B34C"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10 083</w:t>
            </w:r>
          </w:p>
        </w:tc>
        <w:tc>
          <w:tcPr>
            <w:tcW w:w="1311" w:type="dxa"/>
            <w:tcBorders>
              <w:top w:val="nil"/>
              <w:left w:val="single" w:sz="4" w:space="0" w:color="auto"/>
              <w:bottom w:val="single" w:sz="4" w:space="0" w:color="auto"/>
              <w:right w:val="single" w:sz="4" w:space="0" w:color="auto"/>
            </w:tcBorders>
            <w:shd w:val="clear" w:color="auto" w:fill="auto"/>
            <w:noWrap/>
          </w:tcPr>
          <w:p w14:paraId="73B72580" w14:textId="3AEF5A50"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11 164</w:t>
            </w:r>
          </w:p>
        </w:tc>
        <w:tc>
          <w:tcPr>
            <w:tcW w:w="1311" w:type="dxa"/>
            <w:tcBorders>
              <w:top w:val="nil"/>
              <w:left w:val="nil"/>
              <w:bottom w:val="single" w:sz="4" w:space="0" w:color="auto"/>
              <w:right w:val="single" w:sz="4" w:space="0" w:color="auto"/>
            </w:tcBorders>
            <w:shd w:val="clear" w:color="auto" w:fill="auto"/>
            <w:noWrap/>
          </w:tcPr>
          <w:p w14:paraId="542699E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11 463</w:t>
            </w:r>
          </w:p>
        </w:tc>
        <w:tc>
          <w:tcPr>
            <w:tcW w:w="1312" w:type="dxa"/>
            <w:tcBorders>
              <w:top w:val="nil"/>
              <w:left w:val="nil"/>
              <w:bottom w:val="single" w:sz="4" w:space="0" w:color="auto"/>
              <w:right w:val="single" w:sz="4" w:space="0" w:color="auto"/>
            </w:tcBorders>
            <w:shd w:val="clear" w:color="auto" w:fill="auto"/>
            <w:noWrap/>
          </w:tcPr>
          <w:p w14:paraId="67EC382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12 019</w:t>
            </w:r>
          </w:p>
        </w:tc>
      </w:tr>
      <w:tr w:rsidR="006B29E4" w:rsidRPr="006B29E4" w14:paraId="66943BE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E0FA4B1" w14:textId="77777777" w:rsidR="00C70704" w:rsidRPr="006B29E4" w:rsidRDefault="00C70704" w:rsidP="00A31639">
            <w:pPr>
              <w:ind w:left="0" w:firstLine="0"/>
              <w:rPr>
                <w:rFonts w:asciiTheme="minorHAnsi" w:eastAsia="Times New Roman" w:hAnsiTheme="minorHAnsi" w:cstheme="minorHAnsi"/>
                <w:sz w:val="20"/>
                <w:szCs w:val="20"/>
              </w:rPr>
            </w:pPr>
            <w:r w:rsidRPr="006B29E4">
              <w:rPr>
                <w:rFonts w:asciiTheme="minorHAnsi" w:hAnsiTheme="minorHAnsi"/>
                <w:sz w:val="20"/>
              </w:rPr>
              <w:t>Îles Marshall</w:t>
            </w:r>
          </w:p>
        </w:tc>
        <w:tc>
          <w:tcPr>
            <w:tcW w:w="1134" w:type="dxa"/>
            <w:tcBorders>
              <w:top w:val="nil"/>
              <w:left w:val="nil"/>
              <w:bottom w:val="single" w:sz="4" w:space="0" w:color="auto"/>
              <w:right w:val="single" w:sz="4" w:space="0" w:color="auto"/>
            </w:tcBorders>
            <w:shd w:val="clear" w:color="auto" w:fill="auto"/>
            <w:noWrap/>
          </w:tcPr>
          <w:p w14:paraId="492DE8E6"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014CAE27"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75C1C589" w14:textId="77777777" w:rsidR="00C70704" w:rsidRPr="006B29E4" w:rsidRDefault="00C70704"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5C421E4"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054F647"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678E274"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05A910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DDEEB9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Inde</w:t>
            </w:r>
          </w:p>
        </w:tc>
        <w:tc>
          <w:tcPr>
            <w:tcW w:w="1134" w:type="dxa"/>
            <w:tcBorders>
              <w:top w:val="nil"/>
              <w:left w:val="nil"/>
              <w:bottom w:val="single" w:sz="4" w:space="0" w:color="auto"/>
              <w:right w:val="single" w:sz="4" w:space="0" w:color="auto"/>
            </w:tcBorders>
            <w:shd w:val="clear" w:color="auto" w:fill="auto"/>
            <w:noWrap/>
          </w:tcPr>
          <w:p w14:paraId="1C01F24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1,044</w:t>
            </w:r>
          </w:p>
        </w:tc>
        <w:tc>
          <w:tcPr>
            <w:tcW w:w="1022" w:type="dxa"/>
            <w:tcBorders>
              <w:top w:val="nil"/>
              <w:left w:val="nil"/>
              <w:bottom w:val="single" w:sz="4" w:space="0" w:color="auto"/>
              <w:right w:val="single" w:sz="4" w:space="0" w:color="auto"/>
            </w:tcBorders>
            <w:shd w:val="clear" w:color="auto" w:fill="auto"/>
            <w:noWrap/>
          </w:tcPr>
          <w:p w14:paraId="11B94F0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1,072 %</w:t>
            </w:r>
          </w:p>
        </w:tc>
        <w:tc>
          <w:tcPr>
            <w:tcW w:w="1311" w:type="dxa"/>
            <w:tcBorders>
              <w:top w:val="single" w:sz="4" w:space="0" w:color="auto"/>
              <w:left w:val="nil"/>
              <w:bottom w:val="single" w:sz="4" w:space="0" w:color="auto"/>
              <w:right w:val="single" w:sz="4" w:space="0" w:color="auto"/>
            </w:tcBorders>
          </w:tcPr>
          <w:p w14:paraId="491953C2" w14:textId="73082E5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40 821</w:t>
            </w:r>
          </w:p>
        </w:tc>
        <w:tc>
          <w:tcPr>
            <w:tcW w:w="1311" w:type="dxa"/>
            <w:tcBorders>
              <w:top w:val="nil"/>
              <w:left w:val="single" w:sz="4" w:space="0" w:color="auto"/>
              <w:bottom w:val="single" w:sz="4" w:space="0" w:color="auto"/>
              <w:right w:val="single" w:sz="4" w:space="0" w:color="auto"/>
            </w:tcBorders>
            <w:shd w:val="clear" w:color="auto" w:fill="auto"/>
            <w:noWrap/>
          </w:tcPr>
          <w:p w14:paraId="0D18F42B" w14:textId="37D0A5C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51 117</w:t>
            </w:r>
          </w:p>
        </w:tc>
        <w:tc>
          <w:tcPr>
            <w:tcW w:w="1311" w:type="dxa"/>
            <w:tcBorders>
              <w:top w:val="nil"/>
              <w:left w:val="nil"/>
              <w:bottom w:val="single" w:sz="4" w:space="0" w:color="auto"/>
              <w:right w:val="single" w:sz="4" w:space="0" w:color="auto"/>
            </w:tcBorders>
            <w:shd w:val="clear" w:color="auto" w:fill="auto"/>
            <w:noWrap/>
          </w:tcPr>
          <w:p w14:paraId="115BD37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52 487</w:t>
            </w:r>
          </w:p>
        </w:tc>
        <w:tc>
          <w:tcPr>
            <w:tcW w:w="1312" w:type="dxa"/>
            <w:tcBorders>
              <w:top w:val="nil"/>
              <w:left w:val="nil"/>
              <w:bottom w:val="single" w:sz="4" w:space="0" w:color="auto"/>
              <w:right w:val="single" w:sz="4" w:space="0" w:color="auto"/>
            </w:tcBorders>
            <w:shd w:val="clear" w:color="auto" w:fill="auto"/>
            <w:noWrap/>
          </w:tcPr>
          <w:p w14:paraId="0ACB43E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55 033</w:t>
            </w:r>
          </w:p>
        </w:tc>
      </w:tr>
      <w:tr w:rsidR="006B29E4" w:rsidRPr="006B29E4" w14:paraId="6494A8C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D799AD9"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Indonésie</w:t>
            </w:r>
          </w:p>
        </w:tc>
        <w:tc>
          <w:tcPr>
            <w:tcW w:w="1134" w:type="dxa"/>
            <w:tcBorders>
              <w:top w:val="nil"/>
              <w:left w:val="nil"/>
              <w:bottom w:val="single" w:sz="4" w:space="0" w:color="auto"/>
              <w:right w:val="single" w:sz="4" w:space="0" w:color="auto"/>
            </w:tcBorders>
            <w:shd w:val="clear" w:color="auto" w:fill="auto"/>
            <w:noWrap/>
          </w:tcPr>
          <w:p w14:paraId="5D36353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0,549</w:t>
            </w:r>
          </w:p>
        </w:tc>
        <w:tc>
          <w:tcPr>
            <w:tcW w:w="1022" w:type="dxa"/>
            <w:tcBorders>
              <w:top w:val="nil"/>
              <w:left w:val="nil"/>
              <w:bottom w:val="single" w:sz="4" w:space="0" w:color="auto"/>
              <w:right w:val="single" w:sz="4" w:space="0" w:color="auto"/>
            </w:tcBorders>
            <w:shd w:val="clear" w:color="auto" w:fill="auto"/>
            <w:noWrap/>
          </w:tcPr>
          <w:p w14:paraId="03A5977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0,564 %</w:t>
            </w:r>
          </w:p>
        </w:tc>
        <w:tc>
          <w:tcPr>
            <w:tcW w:w="1311" w:type="dxa"/>
            <w:tcBorders>
              <w:top w:val="single" w:sz="4" w:space="0" w:color="auto"/>
              <w:left w:val="nil"/>
              <w:bottom w:val="single" w:sz="4" w:space="0" w:color="auto"/>
              <w:right w:val="single" w:sz="4" w:space="0" w:color="auto"/>
            </w:tcBorders>
          </w:tcPr>
          <w:p w14:paraId="33FE1932" w14:textId="1BE794F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26 578</w:t>
            </w:r>
          </w:p>
        </w:tc>
        <w:tc>
          <w:tcPr>
            <w:tcW w:w="1311" w:type="dxa"/>
            <w:tcBorders>
              <w:top w:val="nil"/>
              <w:left w:val="single" w:sz="4" w:space="0" w:color="auto"/>
              <w:bottom w:val="single" w:sz="4" w:space="0" w:color="auto"/>
              <w:right w:val="single" w:sz="4" w:space="0" w:color="auto"/>
            </w:tcBorders>
            <w:shd w:val="clear" w:color="auto" w:fill="auto"/>
            <w:noWrap/>
          </w:tcPr>
          <w:p w14:paraId="02B17BF1" w14:textId="21C05D0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26 881</w:t>
            </w:r>
          </w:p>
        </w:tc>
        <w:tc>
          <w:tcPr>
            <w:tcW w:w="1311" w:type="dxa"/>
            <w:tcBorders>
              <w:top w:val="nil"/>
              <w:left w:val="nil"/>
              <w:bottom w:val="single" w:sz="4" w:space="0" w:color="auto"/>
              <w:right w:val="single" w:sz="4" w:space="0" w:color="auto"/>
            </w:tcBorders>
            <w:shd w:val="clear" w:color="auto" w:fill="auto"/>
            <w:noWrap/>
          </w:tcPr>
          <w:p w14:paraId="6DEC84B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27 601</w:t>
            </w:r>
          </w:p>
        </w:tc>
        <w:tc>
          <w:tcPr>
            <w:tcW w:w="1312" w:type="dxa"/>
            <w:tcBorders>
              <w:top w:val="nil"/>
              <w:left w:val="nil"/>
              <w:bottom w:val="single" w:sz="4" w:space="0" w:color="auto"/>
              <w:right w:val="single" w:sz="4" w:space="0" w:color="auto"/>
            </w:tcBorders>
            <w:shd w:val="clear" w:color="auto" w:fill="auto"/>
            <w:noWrap/>
          </w:tcPr>
          <w:p w14:paraId="25AD761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28 940</w:t>
            </w:r>
          </w:p>
        </w:tc>
      </w:tr>
      <w:tr w:rsidR="006B29E4" w:rsidRPr="006B29E4" w14:paraId="6ED0D30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61D0B4E" w14:textId="73D2C995"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Iran (République islamique d’)</w:t>
            </w:r>
          </w:p>
        </w:tc>
        <w:tc>
          <w:tcPr>
            <w:tcW w:w="1134" w:type="dxa"/>
            <w:tcBorders>
              <w:top w:val="nil"/>
              <w:left w:val="nil"/>
              <w:bottom w:val="single" w:sz="4" w:space="0" w:color="auto"/>
              <w:right w:val="single" w:sz="4" w:space="0" w:color="auto"/>
            </w:tcBorders>
            <w:shd w:val="clear" w:color="auto" w:fill="auto"/>
            <w:noWrap/>
          </w:tcPr>
          <w:p w14:paraId="13477DB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0,371</w:t>
            </w:r>
          </w:p>
        </w:tc>
        <w:tc>
          <w:tcPr>
            <w:tcW w:w="1022" w:type="dxa"/>
            <w:tcBorders>
              <w:top w:val="nil"/>
              <w:left w:val="nil"/>
              <w:bottom w:val="single" w:sz="4" w:space="0" w:color="auto"/>
              <w:right w:val="single" w:sz="4" w:space="0" w:color="auto"/>
            </w:tcBorders>
            <w:shd w:val="clear" w:color="auto" w:fill="auto"/>
            <w:noWrap/>
          </w:tcPr>
          <w:p w14:paraId="38AE88C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0,381 %</w:t>
            </w:r>
          </w:p>
        </w:tc>
        <w:tc>
          <w:tcPr>
            <w:tcW w:w="1311" w:type="dxa"/>
            <w:tcBorders>
              <w:top w:val="single" w:sz="4" w:space="0" w:color="auto"/>
              <w:left w:val="nil"/>
              <w:bottom w:val="single" w:sz="4" w:space="0" w:color="auto"/>
              <w:right w:val="single" w:sz="4" w:space="0" w:color="auto"/>
            </w:tcBorders>
          </w:tcPr>
          <w:p w14:paraId="0963466F" w14:textId="1E4B29F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19 480</w:t>
            </w:r>
          </w:p>
        </w:tc>
        <w:tc>
          <w:tcPr>
            <w:tcW w:w="1311" w:type="dxa"/>
            <w:tcBorders>
              <w:top w:val="nil"/>
              <w:left w:val="single" w:sz="4" w:space="0" w:color="auto"/>
              <w:bottom w:val="single" w:sz="4" w:space="0" w:color="auto"/>
              <w:right w:val="single" w:sz="4" w:space="0" w:color="auto"/>
            </w:tcBorders>
            <w:shd w:val="clear" w:color="auto" w:fill="auto"/>
            <w:noWrap/>
          </w:tcPr>
          <w:p w14:paraId="1AC330F0" w14:textId="604CE15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18 165</w:t>
            </w:r>
          </w:p>
        </w:tc>
        <w:tc>
          <w:tcPr>
            <w:tcW w:w="1311" w:type="dxa"/>
            <w:tcBorders>
              <w:top w:val="nil"/>
              <w:left w:val="nil"/>
              <w:bottom w:val="single" w:sz="4" w:space="0" w:color="auto"/>
              <w:right w:val="single" w:sz="4" w:space="0" w:color="auto"/>
            </w:tcBorders>
            <w:shd w:val="clear" w:color="auto" w:fill="auto"/>
            <w:noWrap/>
          </w:tcPr>
          <w:p w14:paraId="4D39227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18 652</w:t>
            </w:r>
          </w:p>
        </w:tc>
        <w:tc>
          <w:tcPr>
            <w:tcW w:w="1312" w:type="dxa"/>
            <w:tcBorders>
              <w:top w:val="nil"/>
              <w:left w:val="nil"/>
              <w:bottom w:val="single" w:sz="4" w:space="0" w:color="auto"/>
              <w:right w:val="single" w:sz="4" w:space="0" w:color="auto"/>
            </w:tcBorders>
            <w:shd w:val="clear" w:color="auto" w:fill="auto"/>
            <w:noWrap/>
          </w:tcPr>
          <w:p w14:paraId="23EBAFF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19 557</w:t>
            </w:r>
          </w:p>
        </w:tc>
      </w:tr>
      <w:tr w:rsidR="006B29E4" w:rsidRPr="006B29E4" w14:paraId="2275A89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C3DD32B"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Iraq</w:t>
            </w:r>
          </w:p>
        </w:tc>
        <w:tc>
          <w:tcPr>
            <w:tcW w:w="1134" w:type="dxa"/>
            <w:tcBorders>
              <w:top w:val="nil"/>
              <w:left w:val="nil"/>
              <w:bottom w:val="single" w:sz="4" w:space="0" w:color="auto"/>
              <w:right w:val="single" w:sz="4" w:space="0" w:color="auto"/>
            </w:tcBorders>
            <w:shd w:val="clear" w:color="auto" w:fill="auto"/>
            <w:noWrap/>
          </w:tcPr>
          <w:p w14:paraId="4ADB080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0,128</w:t>
            </w:r>
          </w:p>
        </w:tc>
        <w:tc>
          <w:tcPr>
            <w:tcW w:w="1022" w:type="dxa"/>
            <w:tcBorders>
              <w:top w:val="nil"/>
              <w:left w:val="nil"/>
              <w:bottom w:val="single" w:sz="4" w:space="0" w:color="auto"/>
              <w:right w:val="single" w:sz="4" w:space="0" w:color="auto"/>
            </w:tcBorders>
            <w:shd w:val="clear" w:color="auto" w:fill="auto"/>
            <w:noWrap/>
          </w:tcPr>
          <w:p w14:paraId="4FD0454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0,131 %</w:t>
            </w:r>
          </w:p>
        </w:tc>
        <w:tc>
          <w:tcPr>
            <w:tcW w:w="1311" w:type="dxa"/>
            <w:tcBorders>
              <w:top w:val="single" w:sz="4" w:space="0" w:color="auto"/>
              <w:left w:val="nil"/>
              <w:bottom w:val="single" w:sz="4" w:space="0" w:color="auto"/>
              <w:right w:val="single" w:sz="4" w:space="0" w:color="auto"/>
            </w:tcBorders>
          </w:tcPr>
          <w:p w14:paraId="3419D53F" w14:textId="4494C45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6 314</w:t>
            </w:r>
          </w:p>
        </w:tc>
        <w:tc>
          <w:tcPr>
            <w:tcW w:w="1311" w:type="dxa"/>
            <w:tcBorders>
              <w:top w:val="nil"/>
              <w:left w:val="single" w:sz="4" w:space="0" w:color="auto"/>
              <w:bottom w:val="single" w:sz="4" w:space="0" w:color="auto"/>
              <w:right w:val="single" w:sz="4" w:space="0" w:color="auto"/>
            </w:tcBorders>
            <w:shd w:val="clear" w:color="auto" w:fill="auto"/>
            <w:noWrap/>
          </w:tcPr>
          <w:p w14:paraId="03FF2A0A" w14:textId="1A073F69"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6 267</w:t>
            </w:r>
          </w:p>
        </w:tc>
        <w:tc>
          <w:tcPr>
            <w:tcW w:w="1311" w:type="dxa"/>
            <w:tcBorders>
              <w:top w:val="nil"/>
              <w:left w:val="nil"/>
              <w:bottom w:val="single" w:sz="4" w:space="0" w:color="auto"/>
              <w:right w:val="single" w:sz="4" w:space="0" w:color="auto"/>
            </w:tcBorders>
            <w:shd w:val="clear" w:color="auto" w:fill="auto"/>
            <w:noWrap/>
          </w:tcPr>
          <w:p w14:paraId="6EFC624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6 435</w:t>
            </w:r>
          </w:p>
        </w:tc>
        <w:tc>
          <w:tcPr>
            <w:tcW w:w="1312" w:type="dxa"/>
            <w:tcBorders>
              <w:top w:val="nil"/>
              <w:left w:val="nil"/>
              <w:bottom w:val="single" w:sz="4" w:space="0" w:color="auto"/>
              <w:right w:val="single" w:sz="4" w:space="0" w:color="auto"/>
            </w:tcBorders>
            <w:shd w:val="clear" w:color="auto" w:fill="auto"/>
            <w:noWrap/>
          </w:tcPr>
          <w:p w14:paraId="6354054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6 747</w:t>
            </w:r>
          </w:p>
        </w:tc>
      </w:tr>
      <w:tr w:rsidR="006B29E4" w:rsidRPr="006B29E4" w14:paraId="7FB407C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6D123EA"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Irlande</w:t>
            </w:r>
          </w:p>
        </w:tc>
        <w:tc>
          <w:tcPr>
            <w:tcW w:w="1134" w:type="dxa"/>
            <w:tcBorders>
              <w:top w:val="nil"/>
              <w:left w:val="nil"/>
              <w:bottom w:val="single" w:sz="4" w:space="0" w:color="auto"/>
              <w:right w:val="single" w:sz="4" w:space="0" w:color="auto"/>
            </w:tcBorders>
            <w:shd w:val="clear" w:color="auto" w:fill="auto"/>
            <w:noWrap/>
          </w:tcPr>
          <w:p w14:paraId="705B7BE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0,439</w:t>
            </w:r>
          </w:p>
        </w:tc>
        <w:tc>
          <w:tcPr>
            <w:tcW w:w="1022" w:type="dxa"/>
            <w:tcBorders>
              <w:top w:val="nil"/>
              <w:left w:val="nil"/>
              <w:bottom w:val="single" w:sz="4" w:space="0" w:color="auto"/>
              <w:right w:val="single" w:sz="4" w:space="0" w:color="auto"/>
            </w:tcBorders>
            <w:shd w:val="clear" w:color="auto" w:fill="auto"/>
            <w:noWrap/>
          </w:tcPr>
          <w:p w14:paraId="00AE54F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0,451 %</w:t>
            </w:r>
          </w:p>
        </w:tc>
        <w:tc>
          <w:tcPr>
            <w:tcW w:w="1311" w:type="dxa"/>
            <w:tcBorders>
              <w:top w:val="single" w:sz="4" w:space="0" w:color="auto"/>
              <w:left w:val="nil"/>
              <w:bottom w:val="single" w:sz="4" w:space="0" w:color="auto"/>
              <w:right w:val="single" w:sz="4" w:space="0" w:color="auto"/>
            </w:tcBorders>
          </w:tcPr>
          <w:p w14:paraId="27620943" w14:textId="1A3D0384"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18 159</w:t>
            </w:r>
          </w:p>
        </w:tc>
        <w:tc>
          <w:tcPr>
            <w:tcW w:w="1311" w:type="dxa"/>
            <w:tcBorders>
              <w:top w:val="nil"/>
              <w:left w:val="single" w:sz="4" w:space="0" w:color="auto"/>
              <w:bottom w:val="single" w:sz="4" w:space="0" w:color="auto"/>
              <w:right w:val="single" w:sz="4" w:space="0" w:color="auto"/>
            </w:tcBorders>
            <w:shd w:val="clear" w:color="auto" w:fill="auto"/>
            <w:noWrap/>
          </w:tcPr>
          <w:p w14:paraId="3AFD8894" w14:textId="77E43265"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21 495</w:t>
            </w:r>
          </w:p>
        </w:tc>
        <w:tc>
          <w:tcPr>
            <w:tcW w:w="1311" w:type="dxa"/>
            <w:tcBorders>
              <w:top w:val="nil"/>
              <w:left w:val="nil"/>
              <w:bottom w:val="single" w:sz="4" w:space="0" w:color="auto"/>
              <w:right w:val="single" w:sz="4" w:space="0" w:color="auto"/>
            </w:tcBorders>
            <w:shd w:val="clear" w:color="auto" w:fill="auto"/>
            <w:noWrap/>
          </w:tcPr>
          <w:p w14:paraId="2B6D663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22 071</w:t>
            </w:r>
          </w:p>
        </w:tc>
        <w:tc>
          <w:tcPr>
            <w:tcW w:w="1312" w:type="dxa"/>
            <w:tcBorders>
              <w:top w:val="nil"/>
              <w:left w:val="nil"/>
              <w:bottom w:val="single" w:sz="4" w:space="0" w:color="auto"/>
              <w:right w:val="single" w:sz="4" w:space="0" w:color="auto"/>
            </w:tcBorders>
            <w:shd w:val="clear" w:color="auto" w:fill="auto"/>
            <w:noWrap/>
          </w:tcPr>
          <w:p w14:paraId="1EF81A9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23 141</w:t>
            </w:r>
          </w:p>
        </w:tc>
      </w:tr>
      <w:tr w:rsidR="006B29E4" w:rsidRPr="006B29E4" w14:paraId="4953407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437FD5D" w14:textId="77777777" w:rsidR="00C70704" w:rsidRPr="006B29E4" w:rsidRDefault="00C70704" w:rsidP="00A31639">
            <w:pPr>
              <w:ind w:left="0" w:firstLine="0"/>
              <w:rPr>
                <w:rFonts w:asciiTheme="minorHAnsi" w:eastAsia="Times New Roman" w:hAnsiTheme="minorHAnsi" w:cstheme="minorHAnsi"/>
                <w:sz w:val="20"/>
                <w:szCs w:val="20"/>
              </w:rPr>
            </w:pPr>
            <w:r w:rsidRPr="006B29E4">
              <w:rPr>
                <w:rFonts w:asciiTheme="minorHAnsi" w:hAnsiTheme="minorHAnsi"/>
                <w:sz w:val="20"/>
              </w:rPr>
              <w:t>Islande</w:t>
            </w:r>
          </w:p>
        </w:tc>
        <w:tc>
          <w:tcPr>
            <w:tcW w:w="1134" w:type="dxa"/>
            <w:tcBorders>
              <w:top w:val="nil"/>
              <w:left w:val="nil"/>
              <w:bottom w:val="single" w:sz="4" w:space="0" w:color="auto"/>
              <w:right w:val="single" w:sz="4" w:space="0" w:color="auto"/>
            </w:tcBorders>
            <w:shd w:val="clear" w:color="auto" w:fill="auto"/>
            <w:noWrap/>
          </w:tcPr>
          <w:p w14:paraId="12FFADFB"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0,036</w:t>
            </w:r>
          </w:p>
        </w:tc>
        <w:tc>
          <w:tcPr>
            <w:tcW w:w="1022" w:type="dxa"/>
            <w:tcBorders>
              <w:top w:val="nil"/>
              <w:left w:val="nil"/>
              <w:bottom w:val="single" w:sz="4" w:space="0" w:color="auto"/>
              <w:right w:val="single" w:sz="4" w:space="0" w:color="auto"/>
            </w:tcBorders>
            <w:shd w:val="clear" w:color="auto" w:fill="auto"/>
            <w:noWrap/>
          </w:tcPr>
          <w:p w14:paraId="75C23DD0"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0,037 %</w:t>
            </w:r>
          </w:p>
        </w:tc>
        <w:tc>
          <w:tcPr>
            <w:tcW w:w="1311" w:type="dxa"/>
            <w:tcBorders>
              <w:top w:val="single" w:sz="4" w:space="0" w:color="auto"/>
              <w:left w:val="nil"/>
              <w:bottom w:val="single" w:sz="4" w:space="0" w:color="auto"/>
              <w:right w:val="single" w:sz="4" w:space="0" w:color="auto"/>
            </w:tcBorders>
          </w:tcPr>
          <w:p w14:paraId="37CA4747" w14:textId="77777777" w:rsidR="00C70704" w:rsidRPr="006B29E4" w:rsidRDefault="00C70704" w:rsidP="00A31639">
            <w:pPr>
              <w:ind w:left="0" w:firstLine="0"/>
              <w:jc w:val="right"/>
              <w:rPr>
                <w:rFonts w:asciiTheme="minorHAnsi" w:hAnsiTheme="minorHAnsi"/>
                <w:sz w:val="20"/>
              </w:rPr>
            </w:pPr>
            <w:r w:rsidRPr="006B29E4">
              <w:rPr>
                <w:rFonts w:asciiTheme="minorHAnsi" w:hAnsiTheme="minorHAnsi"/>
                <w:sz w:val="20"/>
              </w:rPr>
              <w:t>1 370</w:t>
            </w:r>
          </w:p>
        </w:tc>
        <w:tc>
          <w:tcPr>
            <w:tcW w:w="1311" w:type="dxa"/>
            <w:tcBorders>
              <w:top w:val="nil"/>
              <w:left w:val="single" w:sz="4" w:space="0" w:color="auto"/>
              <w:bottom w:val="single" w:sz="4" w:space="0" w:color="auto"/>
              <w:right w:val="single" w:sz="4" w:space="0" w:color="auto"/>
            </w:tcBorders>
            <w:shd w:val="clear" w:color="auto" w:fill="auto"/>
            <w:noWrap/>
          </w:tcPr>
          <w:p w14:paraId="661D4C3A"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1 763</w:t>
            </w:r>
          </w:p>
        </w:tc>
        <w:tc>
          <w:tcPr>
            <w:tcW w:w="1311" w:type="dxa"/>
            <w:tcBorders>
              <w:top w:val="nil"/>
              <w:left w:val="nil"/>
              <w:bottom w:val="single" w:sz="4" w:space="0" w:color="auto"/>
              <w:right w:val="single" w:sz="4" w:space="0" w:color="auto"/>
            </w:tcBorders>
            <w:shd w:val="clear" w:color="auto" w:fill="auto"/>
            <w:noWrap/>
          </w:tcPr>
          <w:p w14:paraId="0D023A52"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1 810</w:t>
            </w:r>
          </w:p>
        </w:tc>
        <w:tc>
          <w:tcPr>
            <w:tcW w:w="1312" w:type="dxa"/>
            <w:tcBorders>
              <w:top w:val="nil"/>
              <w:left w:val="nil"/>
              <w:bottom w:val="single" w:sz="4" w:space="0" w:color="auto"/>
              <w:right w:val="single" w:sz="4" w:space="0" w:color="auto"/>
            </w:tcBorders>
            <w:shd w:val="clear" w:color="auto" w:fill="auto"/>
            <w:noWrap/>
          </w:tcPr>
          <w:p w14:paraId="298408D3"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1 898</w:t>
            </w:r>
          </w:p>
        </w:tc>
      </w:tr>
      <w:tr w:rsidR="006B29E4" w:rsidRPr="006B29E4" w14:paraId="3821B1A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89A925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Israël</w:t>
            </w:r>
          </w:p>
        </w:tc>
        <w:tc>
          <w:tcPr>
            <w:tcW w:w="1134" w:type="dxa"/>
            <w:tcBorders>
              <w:top w:val="nil"/>
              <w:left w:val="nil"/>
              <w:bottom w:val="single" w:sz="4" w:space="0" w:color="auto"/>
              <w:right w:val="single" w:sz="4" w:space="0" w:color="auto"/>
            </w:tcBorders>
            <w:shd w:val="clear" w:color="auto" w:fill="auto"/>
            <w:noWrap/>
          </w:tcPr>
          <w:p w14:paraId="1CEDE16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0,561</w:t>
            </w:r>
          </w:p>
        </w:tc>
        <w:tc>
          <w:tcPr>
            <w:tcW w:w="1022" w:type="dxa"/>
            <w:tcBorders>
              <w:top w:val="nil"/>
              <w:left w:val="nil"/>
              <w:bottom w:val="single" w:sz="4" w:space="0" w:color="auto"/>
              <w:right w:val="single" w:sz="4" w:space="0" w:color="auto"/>
            </w:tcBorders>
            <w:shd w:val="clear" w:color="auto" w:fill="auto"/>
            <w:noWrap/>
          </w:tcPr>
          <w:p w14:paraId="6CED5B0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0,576 %</w:t>
            </w:r>
          </w:p>
        </w:tc>
        <w:tc>
          <w:tcPr>
            <w:tcW w:w="1311" w:type="dxa"/>
            <w:tcBorders>
              <w:top w:val="single" w:sz="4" w:space="0" w:color="auto"/>
              <w:left w:val="nil"/>
              <w:bottom w:val="single" w:sz="4" w:space="0" w:color="auto"/>
              <w:right w:val="single" w:sz="4" w:space="0" w:color="auto"/>
            </w:tcBorders>
          </w:tcPr>
          <w:p w14:paraId="572ED12E" w14:textId="31BCA47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23 984</w:t>
            </w:r>
          </w:p>
        </w:tc>
        <w:tc>
          <w:tcPr>
            <w:tcW w:w="1311" w:type="dxa"/>
            <w:tcBorders>
              <w:top w:val="nil"/>
              <w:left w:val="single" w:sz="4" w:space="0" w:color="auto"/>
              <w:bottom w:val="single" w:sz="4" w:space="0" w:color="auto"/>
              <w:right w:val="single" w:sz="4" w:space="0" w:color="auto"/>
            </w:tcBorders>
            <w:shd w:val="clear" w:color="auto" w:fill="auto"/>
            <w:noWrap/>
          </w:tcPr>
          <w:p w14:paraId="68C8F161" w14:textId="0C253C6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27 468</w:t>
            </w:r>
          </w:p>
        </w:tc>
        <w:tc>
          <w:tcPr>
            <w:tcW w:w="1311" w:type="dxa"/>
            <w:tcBorders>
              <w:top w:val="nil"/>
              <w:left w:val="nil"/>
              <w:bottom w:val="single" w:sz="4" w:space="0" w:color="auto"/>
              <w:right w:val="single" w:sz="4" w:space="0" w:color="auto"/>
            </w:tcBorders>
            <w:shd w:val="clear" w:color="auto" w:fill="auto"/>
            <w:noWrap/>
          </w:tcPr>
          <w:p w14:paraId="7FE1031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28 204</w:t>
            </w:r>
          </w:p>
        </w:tc>
        <w:tc>
          <w:tcPr>
            <w:tcW w:w="1312" w:type="dxa"/>
            <w:tcBorders>
              <w:top w:val="nil"/>
              <w:left w:val="nil"/>
              <w:bottom w:val="single" w:sz="4" w:space="0" w:color="auto"/>
              <w:right w:val="single" w:sz="4" w:space="0" w:color="auto"/>
            </w:tcBorders>
            <w:shd w:val="clear" w:color="auto" w:fill="auto"/>
            <w:noWrap/>
          </w:tcPr>
          <w:p w14:paraId="7641201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29 572</w:t>
            </w:r>
          </w:p>
        </w:tc>
      </w:tr>
      <w:tr w:rsidR="006B29E4" w:rsidRPr="006B29E4" w14:paraId="6FFA248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FA874E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Italie</w:t>
            </w:r>
          </w:p>
        </w:tc>
        <w:tc>
          <w:tcPr>
            <w:tcW w:w="1134" w:type="dxa"/>
            <w:tcBorders>
              <w:top w:val="nil"/>
              <w:left w:val="nil"/>
              <w:bottom w:val="single" w:sz="4" w:space="0" w:color="auto"/>
              <w:right w:val="single" w:sz="4" w:space="0" w:color="auto"/>
            </w:tcBorders>
            <w:shd w:val="clear" w:color="auto" w:fill="auto"/>
            <w:noWrap/>
          </w:tcPr>
          <w:p w14:paraId="7C98E48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3,189</w:t>
            </w:r>
          </w:p>
        </w:tc>
        <w:tc>
          <w:tcPr>
            <w:tcW w:w="1022" w:type="dxa"/>
            <w:tcBorders>
              <w:top w:val="nil"/>
              <w:left w:val="nil"/>
              <w:bottom w:val="single" w:sz="4" w:space="0" w:color="auto"/>
              <w:right w:val="single" w:sz="4" w:space="0" w:color="auto"/>
            </w:tcBorders>
            <w:shd w:val="clear" w:color="auto" w:fill="auto"/>
            <w:noWrap/>
          </w:tcPr>
          <w:p w14:paraId="10850F8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3,274 %</w:t>
            </w:r>
          </w:p>
        </w:tc>
        <w:tc>
          <w:tcPr>
            <w:tcW w:w="1311" w:type="dxa"/>
            <w:tcBorders>
              <w:top w:val="single" w:sz="4" w:space="0" w:color="auto"/>
              <w:left w:val="nil"/>
              <w:bottom w:val="single" w:sz="4" w:space="0" w:color="auto"/>
              <w:right w:val="single" w:sz="4" w:space="0" w:color="auto"/>
            </w:tcBorders>
          </w:tcPr>
          <w:p w14:paraId="567964E3" w14:textId="2CFF1877"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161 864</w:t>
            </w:r>
          </w:p>
        </w:tc>
        <w:tc>
          <w:tcPr>
            <w:tcW w:w="1311" w:type="dxa"/>
            <w:tcBorders>
              <w:top w:val="nil"/>
              <w:left w:val="single" w:sz="4" w:space="0" w:color="auto"/>
              <w:bottom w:val="single" w:sz="4" w:space="0" w:color="auto"/>
              <w:right w:val="single" w:sz="4" w:space="0" w:color="auto"/>
            </w:tcBorders>
            <w:shd w:val="clear" w:color="auto" w:fill="auto"/>
            <w:noWrap/>
          </w:tcPr>
          <w:p w14:paraId="5BB07B56" w14:textId="07D73802"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156 142</w:t>
            </w:r>
          </w:p>
        </w:tc>
        <w:tc>
          <w:tcPr>
            <w:tcW w:w="1311" w:type="dxa"/>
            <w:tcBorders>
              <w:top w:val="nil"/>
              <w:left w:val="nil"/>
              <w:bottom w:val="single" w:sz="4" w:space="0" w:color="auto"/>
              <w:right w:val="single" w:sz="4" w:space="0" w:color="auto"/>
            </w:tcBorders>
            <w:shd w:val="clear" w:color="auto" w:fill="auto"/>
            <w:noWrap/>
          </w:tcPr>
          <w:p w14:paraId="1C788A4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160 327</w:t>
            </w:r>
          </w:p>
        </w:tc>
        <w:tc>
          <w:tcPr>
            <w:tcW w:w="1312" w:type="dxa"/>
            <w:tcBorders>
              <w:top w:val="nil"/>
              <w:left w:val="nil"/>
              <w:bottom w:val="single" w:sz="4" w:space="0" w:color="auto"/>
              <w:right w:val="single" w:sz="4" w:space="0" w:color="auto"/>
            </w:tcBorders>
            <w:shd w:val="clear" w:color="auto" w:fill="auto"/>
            <w:noWrap/>
          </w:tcPr>
          <w:p w14:paraId="575D9F2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168 104</w:t>
            </w:r>
          </w:p>
        </w:tc>
      </w:tr>
      <w:tr w:rsidR="006B29E4" w:rsidRPr="006B29E4" w14:paraId="2932F63E"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A58BE23"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Jamaïque</w:t>
            </w:r>
          </w:p>
        </w:tc>
        <w:tc>
          <w:tcPr>
            <w:tcW w:w="1134" w:type="dxa"/>
            <w:tcBorders>
              <w:top w:val="nil"/>
              <w:left w:val="nil"/>
              <w:bottom w:val="single" w:sz="4" w:space="0" w:color="auto"/>
              <w:right w:val="single" w:sz="4" w:space="0" w:color="auto"/>
            </w:tcBorders>
            <w:shd w:val="clear" w:color="auto" w:fill="auto"/>
            <w:noWrap/>
          </w:tcPr>
          <w:p w14:paraId="6983363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0,008</w:t>
            </w:r>
          </w:p>
        </w:tc>
        <w:tc>
          <w:tcPr>
            <w:tcW w:w="1022" w:type="dxa"/>
            <w:tcBorders>
              <w:top w:val="nil"/>
              <w:left w:val="nil"/>
              <w:bottom w:val="single" w:sz="4" w:space="0" w:color="auto"/>
              <w:right w:val="single" w:sz="4" w:space="0" w:color="auto"/>
            </w:tcBorders>
            <w:shd w:val="clear" w:color="auto" w:fill="auto"/>
            <w:noWrap/>
          </w:tcPr>
          <w:p w14:paraId="69C4566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0,008 %</w:t>
            </w:r>
          </w:p>
        </w:tc>
        <w:tc>
          <w:tcPr>
            <w:tcW w:w="1311" w:type="dxa"/>
            <w:tcBorders>
              <w:top w:val="single" w:sz="4" w:space="0" w:color="auto"/>
              <w:left w:val="nil"/>
              <w:bottom w:val="single" w:sz="4" w:space="0" w:color="auto"/>
              <w:right w:val="single" w:sz="4" w:space="0" w:color="auto"/>
            </w:tcBorders>
          </w:tcPr>
          <w:p w14:paraId="13B1C3EB" w14:textId="515A6AE4"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C3315D1" w14:textId="33DB152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ED8C47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CF53B3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70BF76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1D7B0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Japon</w:t>
            </w:r>
          </w:p>
        </w:tc>
        <w:tc>
          <w:tcPr>
            <w:tcW w:w="1134" w:type="dxa"/>
            <w:tcBorders>
              <w:top w:val="nil"/>
              <w:left w:val="nil"/>
              <w:bottom w:val="single" w:sz="4" w:space="0" w:color="auto"/>
              <w:right w:val="single" w:sz="4" w:space="0" w:color="auto"/>
            </w:tcBorders>
            <w:shd w:val="clear" w:color="auto" w:fill="auto"/>
            <w:noWrap/>
          </w:tcPr>
          <w:p w14:paraId="3D05482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8,033</w:t>
            </w:r>
          </w:p>
        </w:tc>
        <w:tc>
          <w:tcPr>
            <w:tcW w:w="1022" w:type="dxa"/>
            <w:tcBorders>
              <w:top w:val="nil"/>
              <w:left w:val="nil"/>
              <w:bottom w:val="single" w:sz="4" w:space="0" w:color="auto"/>
              <w:right w:val="single" w:sz="4" w:space="0" w:color="auto"/>
            </w:tcBorders>
            <w:shd w:val="clear" w:color="auto" w:fill="auto"/>
            <w:noWrap/>
          </w:tcPr>
          <w:p w14:paraId="0EAD079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8,247 %</w:t>
            </w:r>
          </w:p>
        </w:tc>
        <w:tc>
          <w:tcPr>
            <w:tcW w:w="1311" w:type="dxa"/>
            <w:tcBorders>
              <w:top w:val="single" w:sz="4" w:space="0" w:color="auto"/>
              <w:left w:val="nil"/>
              <w:bottom w:val="single" w:sz="4" w:space="0" w:color="auto"/>
              <w:right w:val="single" w:sz="4" w:space="0" w:color="auto"/>
            </w:tcBorders>
          </w:tcPr>
          <w:p w14:paraId="4CCE45FB" w14:textId="14C3889E"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419 173</w:t>
            </w:r>
          </w:p>
        </w:tc>
        <w:tc>
          <w:tcPr>
            <w:tcW w:w="1311" w:type="dxa"/>
            <w:tcBorders>
              <w:top w:val="nil"/>
              <w:left w:val="single" w:sz="4" w:space="0" w:color="auto"/>
              <w:bottom w:val="single" w:sz="4" w:space="0" w:color="auto"/>
              <w:right w:val="single" w:sz="4" w:space="0" w:color="auto"/>
            </w:tcBorders>
            <w:shd w:val="clear" w:color="auto" w:fill="auto"/>
            <w:noWrap/>
          </w:tcPr>
          <w:p w14:paraId="1F09BB8C" w14:textId="401FB5E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393 318</w:t>
            </w:r>
          </w:p>
        </w:tc>
        <w:tc>
          <w:tcPr>
            <w:tcW w:w="1311" w:type="dxa"/>
            <w:tcBorders>
              <w:top w:val="nil"/>
              <w:left w:val="nil"/>
              <w:bottom w:val="single" w:sz="4" w:space="0" w:color="auto"/>
              <w:right w:val="single" w:sz="4" w:space="0" w:color="auto"/>
            </w:tcBorders>
            <w:shd w:val="clear" w:color="auto" w:fill="auto"/>
            <w:noWrap/>
          </w:tcPr>
          <w:p w14:paraId="536CB57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403 859</w:t>
            </w:r>
          </w:p>
        </w:tc>
        <w:tc>
          <w:tcPr>
            <w:tcW w:w="1312" w:type="dxa"/>
            <w:tcBorders>
              <w:top w:val="nil"/>
              <w:left w:val="nil"/>
              <w:bottom w:val="single" w:sz="4" w:space="0" w:color="auto"/>
              <w:right w:val="single" w:sz="4" w:space="0" w:color="auto"/>
            </w:tcBorders>
            <w:shd w:val="clear" w:color="auto" w:fill="auto"/>
            <w:noWrap/>
          </w:tcPr>
          <w:p w14:paraId="0C7A544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423 450</w:t>
            </w:r>
          </w:p>
        </w:tc>
      </w:tr>
      <w:tr w:rsidR="006B29E4" w:rsidRPr="006B29E4" w14:paraId="7784886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1E20B4"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Jordanie</w:t>
            </w:r>
          </w:p>
        </w:tc>
        <w:tc>
          <w:tcPr>
            <w:tcW w:w="1134" w:type="dxa"/>
            <w:tcBorders>
              <w:top w:val="nil"/>
              <w:left w:val="nil"/>
              <w:bottom w:val="single" w:sz="4" w:space="0" w:color="auto"/>
              <w:right w:val="single" w:sz="4" w:space="0" w:color="auto"/>
            </w:tcBorders>
            <w:shd w:val="clear" w:color="auto" w:fill="auto"/>
            <w:noWrap/>
          </w:tcPr>
          <w:p w14:paraId="4BD9526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0,022</w:t>
            </w:r>
          </w:p>
        </w:tc>
        <w:tc>
          <w:tcPr>
            <w:tcW w:w="1022" w:type="dxa"/>
            <w:tcBorders>
              <w:top w:val="nil"/>
              <w:left w:val="nil"/>
              <w:bottom w:val="single" w:sz="4" w:space="0" w:color="auto"/>
              <w:right w:val="single" w:sz="4" w:space="0" w:color="auto"/>
            </w:tcBorders>
            <w:shd w:val="clear" w:color="auto" w:fill="auto"/>
            <w:noWrap/>
          </w:tcPr>
          <w:p w14:paraId="6B3B68B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0,023 %</w:t>
            </w:r>
          </w:p>
        </w:tc>
        <w:tc>
          <w:tcPr>
            <w:tcW w:w="1311" w:type="dxa"/>
            <w:tcBorders>
              <w:top w:val="single" w:sz="4" w:space="0" w:color="auto"/>
              <w:left w:val="nil"/>
              <w:bottom w:val="single" w:sz="4" w:space="0" w:color="auto"/>
              <w:right w:val="single" w:sz="4" w:space="0" w:color="auto"/>
            </w:tcBorders>
          </w:tcPr>
          <w:p w14:paraId="0CF4D437" w14:textId="2C5CDC6F"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1 028</w:t>
            </w:r>
          </w:p>
        </w:tc>
        <w:tc>
          <w:tcPr>
            <w:tcW w:w="1311" w:type="dxa"/>
            <w:tcBorders>
              <w:top w:val="nil"/>
              <w:left w:val="single" w:sz="4" w:space="0" w:color="auto"/>
              <w:bottom w:val="single" w:sz="4" w:space="0" w:color="auto"/>
              <w:right w:val="single" w:sz="4" w:space="0" w:color="auto"/>
            </w:tcBorders>
            <w:shd w:val="clear" w:color="auto" w:fill="auto"/>
            <w:noWrap/>
          </w:tcPr>
          <w:p w14:paraId="612E6916" w14:textId="3E7C2F4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1 077</w:t>
            </w:r>
          </w:p>
        </w:tc>
        <w:tc>
          <w:tcPr>
            <w:tcW w:w="1311" w:type="dxa"/>
            <w:tcBorders>
              <w:top w:val="nil"/>
              <w:left w:val="nil"/>
              <w:bottom w:val="single" w:sz="4" w:space="0" w:color="auto"/>
              <w:right w:val="single" w:sz="4" w:space="0" w:color="auto"/>
            </w:tcBorders>
            <w:shd w:val="clear" w:color="auto" w:fill="auto"/>
            <w:noWrap/>
          </w:tcPr>
          <w:p w14:paraId="4C825B0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1 106</w:t>
            </w:r>
          </w:p>
        </w:tc>
        <w:tc>
          <w:tcPr>
            <w:tcW w:w="1312" w:type="dxa"/>
            <w:tcBorders>
              <w:top w:val="nil"/>
              <w:left w:val="nil"/>
              <w:bottom w:val="single" w:sz="4" w:space="0" w:color="auto"/>
              <w:right w:val="single" w:sz="4" w:space="0" w:color="auto"/>
            </w:tcBorders>
            <w:shd w:val="clear" w:color="auto" w:fill="auto"/>
            <w:noWrap/>
          </w:tcPr>
          <w:p w14:paraId="3FEA831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1 160</w:t>
            </w:r>
          </w:p>
        </w:tc>
      </w:tr>
      <w:tr w:rsidR="00517FBF" w:rsidRPr="006B29E4" w14:paraId="7E78C68E" w14:textId="77777777" w:rsidTr="00433C12">
        <w:trPr>
          <w:trHeight w:val="276"/>
        </w:trPr>
        <w:tc>
          <w:tcPr>
            <w:tcW w:w="10065" w:type="dxa"/>
            <w:gridSpan w:val="7"/>
            <w:tcBorders>
              <w:top w:val="single" w:sz="4" w:space="0" w:color="auto"/>
            </w:tcBorders>
            <w:shd w:val="clear" w:color="auto" w:fill="auto"/>
            <w:noWrap/>
          </w:tcPr>
          <w:p w14:paraId="3BA12686" w14:textId="77777777" w:rsidR="00517FBF" w:rsidRPr="00517FBF" w:rsidRDefault="00517FBF" w:rsidP="00433C12">
            <w:pPr>
              <w:ind w:left="0" w:firstLine="0"/>
              <w:rPr>
                <w:rFonts w:asciiTheme="minorHAnsi" w:eastAsia="Times New Roman" w:hAnsiTheme="minorHAnsi" w:cs="Arial"/>
                <w:color w:val="000000"/>
                <w:spacing w:val="-4"/>
                <w:sz w:val="20"/>
                <w:szCs w:val="20"/>
              </w:rPr>
            </w:pPr>
            <w:r w:rsidRPr="00517FBF">
              <w:rPr>
                <w:rFonts w:asciiTheme="minorHAnsi" w:hAnsiTheme="minorHAnsi"/>
                <w:color w:val="000000"/>
                <w:spacing w:val="-4"/>
                <w:sz w:val="20"/>
              </w:rPr>
              <w:t>* Conformément à la résolution A/RES/76/238 des Nations Unies, le barème révisé de l’ONU sera appliqué lorsqu’il sera publié.</w:t>
            </w:r>
          </w:p>
          <w:p w14:paraId="304FBFAB" w14:textId="77777777" w:rsidR="00517FBF" w:rsidRPr="006B29E4" w:rsidRDefault="00517FBF" w:rsidP="00433C12">
            <w:pPr>
              <w:ind w:left="0" w:firstLine="0"/>
              <w:rPr>
                <w:rFonts w:asciiTheme="minorHAnsi" w:hAnsiTheme="minorHAnsi"/>
                <w:sz w:val="20"/>
              </w:rPr>
            </w:pPr>
            <w:r w:rsidRPr="001E3C24">
              <w:rPr>
                <w:rFonts w:asciiTheme="minorHAnsi" w:hAnsiTheme="minorHAnsi"/>
                <w:sz w:val="20"/>
              </w:rPr>
              <w:t>*** Uniquement pour 2025, 2023 et 2024 étant identiques au scénario B.</w:t>
            </w:r>
          </w:p>
        </w:tc>
      </w:tr>
      <w:tr w:rsidR="007A30C5" w:rsidRPr="006B29E4" w14:paraId="761D0A7E" w14:textId="77777777" w:rsidTr="00433C12">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9073E10" w14:textId="77777777" w:rsidR="007A30C5" w:rsidRPr="006B29E4" w:rsidRDefault="007A30C5" w:rsidP="00433C12">
            <w:pPr>
              <w:ind w:left="0" w:firstLine="0"/>
              <w:rPr>
                <w:rFonts w:asciiTheme="minorHAnsi" w:eastAsia="Times New Roman" w:hAnsiTheme="minorHAnsi" w:cstheme="minorHAnsi"/>
                <w:sz w:val="20"/>
                <w:szCs w:val="20"/>
              </w:rPr>
            </w:pPr>
            <w:r w:rsidRPr="006B29E4">
              <w:rPr>
                <w:rFonts w:asciiTheme="minorHAnsi" w:hAnsiTheme="minorHAnsi"/>
                <w:sz w:val="20"/>
              </w:rPr>
              <w:lastRenderedPageBreak/>
              <w:t>Kazakhstan</w:t>
            </w:r>
          </w:p>
        </w:tc>
        <w:tc>
          <w:tcPr>
            <w:tcW w:w="1134" w:type="dxa"/>
            <w:tcBorders>
              <w:top w:val="nil"/>
              <w:left w:val="nil"/>
              <w:bottom w:val="single" w:sz="4" w:space="0" w:color="auto"/>
              <w:right w:val="single" w:sz="4" w:space="0" w:color="auto"/>
            </w:tcBorders>
            <w:shd w:val="clear" w:color="auto" w:fill="auto"/>
            <w:noWrap/>
          </w:tcPr>
          <w:p w14:paraId="35E4C80D"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0,133</w:t>
            </w:r>
          </w:p>
        </w:tc>
        <w:tc>
          <w:tcPr>
            <w:tcW w:w="1022" w:type="dxa"/>
            <w:tcBorders>
              <w:top w:val="nil"/>
              <w:left w:val="nil"/>
              <w:bottom w:val="single" w:sz="4" w:space="0" w:color="auto"/>
              <w:right w:val="single" w:sz="4" w:space="0" w:color="auto"/>
            </w:tcBorders>
            <w:shd w:val="clear" w:color="auto" w:fill="auto"/>
            <w:noWrap/>
          </w:tcPr>
          <w:p w14:paraId="24DB6534"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0,137 %</w:t>
            </w:r>
          </w:p>
        </w:tc>
        <w:tc>
          <w:tcPr>
            <w:tcW w:w="1311" w:type="dxa"/>
            <w:tcBorders>
              <w:top w:val="single" w:sz="4" w:space="0" w:color="auto"/>
              <w:left w:val="nil"/>
              <w:bottom w:val="single" w:sz="4" w:space="0" w:color="auto"/>
              <w:right w:val="single" w:sz="4" w:space="0" w:color="auto"/>
            </w:tcBorders>
          </w:tcPr>
          <w:p w14:paraId="0FC64480" w14:textId="77777777" w:rsidR="007A30C5" w:rsidRPr="006B29E4" w:rsidRDefault="007A30C5" w:rsidP="00433C12">
            <w:pPr>
              <w:ind w:left="0" w:firstLine="0"/>
              <w:jc w:val="right"/>
              <w:rPr>
                <w:rFonts w:asciiTheme="minorHAnsi" w:hAnsiTheme="minorHAnsi"/>
                <w:sz w:val="20"/>
              </w:rPr>
            </w:pPr>
            <w:r w:rsidRPr="006B29E4">
              <w:rPr>
                <w:rFonts w:asciiTheme="minorHAnsi" w:hAnsiTheme="minorHAnsi"/>
                <w:sz w:val="20"/>
              </w:rPr>
              <w:t>8 712</w:t>
            </w:r>
          </w:p>
        </w:tc>
        <w:tc>
          <w:tcPr>
            <w:tcW w:w="1311" w:type="dxa"/>
            <w:tcBorders>
              <w:top w:val="nil"/>
              <w:left w:val="single" w:sz="4" w:space="0" w:color="auto"/>
              <w:bottom w:val="single" w:sz="4" w:space="0" w:color="auto"/>
              <w:right w:val="single" w:sz="4" w:space="0" w:color="auto"/>
            </w:tcBorders>
            <w:shd w:val="clear" w:color="auto" w:fill="auto"/>
            <w:noWrap/>
          </w:tcPr>
          <w:p w14:paraId="443E965A"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6 512</w:t>
            </w:r>
          </w:p>
        </w:tc>
        <w:tc>
          <w:tcPr>
            <w:tcW w:w="1311" w:type="dxa"/>
            <w:tcBorders>
              <w:top w:val="nil"/>
              <w:left w:val="nil"/>
              <w:bottom w:val="single" w:sz="4" w:space="0" w:color="auto"/>
              <w:right w:val="single" w:sz="4" w:space="0" w:color="auto"/>
            </w:tcBorders>
            <w:shd w:val="clear" w:color="auto" w:fill="auto"/>
            <w:noWrap/>
          </w:tcPr>
          <w:p w14:paraId="301AC8D9"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6 687</w:t>
            </w:r>
          </w:p>
        </w:tc>
        <w:tc>
          <w:tcPr>
            <w:tcW w:w="1312" w:type="dxa"/>
            <w:tcBorders>
              <w:top w:val="nil"/>
              <w:left w:val="nil"/>
              <w:bottom w:val="single" w:sz="4" w:space="0" w:color="auto"/>
              <w:right w:val="single" w:sz="4" w:space="0" w:color="auto"/>
            </w:tcBorders>
            <w:shd w:val="clear" w:color="auto" w:fill="auto"/>
            <w:noWrap/>
          </w:tcPr>
          <w:p w14:paraId="0E97F19F"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7 011</w:t>
            </w:r>
          </w:p>
        </w:tc>
      </w:tr>
      <w:tr w:rsidR="006B29E4" w:rsidRPr="006B29E4" w14:paraId="283C8F4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312D4B3"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Kenya</w:t>
            </w:r>
          </w:p>
        </w:tc>
        <w:tc>
          <w:tcPr>
            <w:tcW w:w="1134" w:type="dxa"/>
            <w:tcBorders>
              <w:top w:val="nil"/>
              <w:left w:val="nil"/>
              <w:bottom w:val="single" w:sz="4" w:space="0" w:color="auto"/>
              <w:right w:val="single" w:sz="4" w:space="0" w:color="auto"/>
            </w:tcBorders>
            <w:shd w:val="clear" w:color="auto" w:fill="auto"/>
            <w:noWrap/>
          </w:tcPr>
          <w:p w14:paraId="54768A2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0,030</w:t>
            </w:r>
          </w:p>
        </w:tc>
        <w:tc>
          <w:tcPr>
            <w:tcW w:w="1022" w:type="dxa"/>
            <w:tcBorders>
              <w:top w:val="nil"/>
              <w:left w:val="nil"/>
              <w:bottom w:val="single" w:sz="4" w:space="0" w:color="auto"/>
              <w:right w:val="single" w:sz="4" w:space="0" w:color="auto"/>
            </w:tcBorders>
            <w:shd w:val="clear" w:color="auto" w:fill="auto"/>
            <w:noWrap/>
          </w:tcPr>
          <w:p w14:paraId="629DE92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0,031 %</w:t>
            </w:r>
          </w:p>
        </w:tc>
        <w:tc>
          <w:tcPr>
            <w:tcW w:w="1311" w:type="dxa"/>
            <w:tcBorders>
              <w:top w:val="single" w:sz="4" w:space="0" w:color="auto"/>
              <w:left w:val="nil"/>
              <w:bottom w:val="single" w:sz="4" w:space="0" w:color="auto"/>
              <w:right w:val="single" w:sz="4" w:space="0" w:color="auto"/>
            </w:tcBorders>
          </w:tcPr>
          <w:p w14:paraId="6BB8D023" w14:textId="57E59A3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1 175</w:t>
            </w:r>
          </w:p>
        </w:tc>
        <w:tc>
          <w:tcPr>
            <w:tcW w:w="1311" w:type="dxa"/>
            <w:tcBorders>
              <w:top w:val="nil"/>
              <w:left w:val="single" w:sz="4" w:space="0" w:color="auto"/>
              <w:bottom w:val="single" w:sz="4" w:space="0" w:color="auto"/>
              <w:right w:val="single" w:sz="4" w:space="0" w:color="auto"/>
            </w:tcBorders>
            <w:shd w:val="clear" w:color="auto" w:fill="auto"/>
            <w:noWrap/>
          </w:tcPr>
          <w:p w14:paraId="5F0777B4" w14:textId="6C49A07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1 469</w:t>
            </w:r>
          </w:p>
        </w:tc>
        <w:tc>
          <w:tcPr>
            <w:tcW w:w="1311" w:type="dxa"/>
            <w:tcBorders>
              <w:top w:val="nil"/>
              <w:left w:val="nil"/>
              <w:bottom w:val="single" w:sz="4" w:space="0" w:color="auto"/>
              <w:right w:val="single" w:sz="4" w:space="0" w:color="auto"/>
            </w:tcBorders>
            <w:shd w:val="clear" w:color="auto" w:fill="auto"/>
            <w:noWrap/>
          </w:tcPr>
          <w:p w14:paraId="3C88271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1 508</w:t>
            </w:r>
          </w:p>
        </w:tc>
        <w:tc>
          <w:tcPr>
            <w:tcW w:w="1312" w:type="dxa"/>
            <w:tcBorders>
              <w:top w:val="nil"/>
              <w:left w:val="nil"/>
              <w:bottom w:val="single" w:sz="4" w:space="0" w:color="auto"/>
              <w:right w:val="single" w:sz="4" w:space="0" w:color="auto"/>
            </w:tcBorders>
            <w:shd w:val="clear" w:color="auto" w:fill="auto"/>
            <w:noWrap/>
          </w:tcPr>
          <w:p w14:paraId="4E51142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1 581</w:t>
            </w:r>
          </w:p>
        </w:tc>
      </w:tr>
      <w:tr w:rsidR="006B29E4" w:rsidRPr="006B29E4" w14:paraId="432B38F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ECA41C9" w14:textId="77777777" w:rsidR="00C70704" w:rsidRPr="006B29E4" w:rsidRDefault="00C70704" w:rsidP="00A31639">
            <w:pPr>
              <w:ind w:left="0" w:firstLine="0"/>
              <w:rPr>
                <w:rFonts w:asciiTheme="minorHAnsi" w:eastAsia="Times New Roman" w:hAnsiTheme="minorHAnsi" w:cstheme="minorHAnsi"/>
                <w:sz w:val="20"/>
                <w:szCs w:val="20"/>
              </w:rPr>
            </w:pPr>
            <w:r w:rsidRPr="006B29E4">
              <w:rPr>
                <w:rFonts w:asciiTheme="minorHAnsi" w:hAnsiTheme="minorHAnsi"/>
                <w:sz w:val="20"/>
              </w:rPr>
              <w:t>Kirghizistan</w:t>
            </w:r>
          </w:p>
        </w:tc>
        <w:tc>
          <w:tcPr>
            <w:tcW w:w="1134" w:type="dxa"/>
            <w:tcBorders>
              <w:top w:val="nil"/>
              <w:left w:val="nil"/>
              <w:bottom w:val="single" w:sz="4" w:space="0" w:color="auto"/>
              <w:right w:val="single" w:sz="4" w:space="0" w:color="auto"/>
            </w:tcBorders>
            <w:shd w:val="clear" w:color="auto" w:fill="auto"/>
            <w:noWrap/>
          </w:tcPr>
          <w:p w14:paraId="204A7DCF"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64C9341B"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15E0DBB5" w14:textId="77777777" w:rsidR="00C70704" w:rsidRPr="006B29E4" w:rsidRDefault="00C70704"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6E5977CE"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9561DDB"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7C45CDB"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02E0923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651CFB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Kiribati</w:t>
            </w:r>
          </w:p>
        </w:tc>
        <w:tc>
          <w:tcPr>
            <w:tcW w:w="1134" w:type="dxa"/>
            <w:tcBorders>
              <w:top w:val="nil"/>
              <w:left w:val="nil"/>
              <w:bottom w:val="single" w:sz="4" w:space="0" w:color="auto"/>
              <w:right w:val="single" w:sz="4" w:space="0" w:color="auto"/>
            </w:tcBorders>
            <w:shd w:val="clear" w:color="auto" w:fill="auto"/>
            <w:noWrap/>
          </w:tcPr>
          <w:p w14:paraId="7B9A846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71D67D5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5942FB0D" w14:textId="1E59ECE7"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C929039" w14:textId="745A8BB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DB3C80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50D8EE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1608AF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C5690B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Koweït</w:t>
            </w:r>
          </w:p>
        </w:tc>
        <w:tc>
          <w:tcPr>
            <w:tcW w:w="1134" w:type="dxa"/>
            <w:tcBorders>
              <w:top w:val="nil"/>
              <w:left w:val="nil"/>
              <w:bottom w:val="single" w:sz="4" w:space="0" w:color="auto"/>
              <w:right w:val="single" w:sz="4" w:space="0" w:color="auto"/>
            </w:tcBorders>
            <w:shd w:val="clear" w:color="auto" w:fill="auto"/>
            <w:noWrap/>
          </w:tcPr>
          <w:p w14:paraId="1FFA879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0,234</w:t>
            </w:r>
          </w:p>
        </w:tc>
        <w:tc>
          <w:tcPr>
            <w:tcW w:w="1022" w:type="dxa"/>
            <w:tcBorders>
              <w:top w:val="nil"/>
              <w:left w:val="nil"/>
              <w:bottom w:val="single" w:sz="4" w:space="0" w:color="auto"/>
              <w:right w:val="single" w:sz="4" w:space="0" w:color="auto"/>
            </w:tcBorders>
            <w:shd w:val="clear" w:color="auto" w:fill="auto"/>
            <w:noWrap/>
          </w:tcPr>
          <w:p w14:paraId="692F6A0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0,240 %</w:t>
            </w:r>
          </w:p>
        </w:tc>
        <w:tc>
          <w:tcPr>
            <w:tcW w:w="1311" w:type="dxa"/>
            <w:tcBorders>
              <w:top w:val="single" w:sz="4" w:space="0" w:color="auto"/>
              <w:left w:val="nil"/>
              <w:bottom w:val="single" w:sz="4" w:space="0" w:color="auto"/>
              <w:right w:val="single" w:sz="4" w:space="0" w:color="auto"/>
            </w:tcBorders>
          </w:tcPr>
          <w:p w14:paraId="71D59C48" w14:textId="7AE20C57"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12 334</w:t>
            </w:r>
          </w:p>
        </w:tc>
        <w:tc>
          <w:tcPr>
            <w:tcW w:w="1311" w:type="dxa"/>
            <w:tcBorders>
              <w:top w:val="nil"/>
              <w:left w:val="single" w:sz="4" w:space="0" w:color="auto"/>
              <w:bottom w:val="single" w:sz="4" w:space="0" w:color="auto"/>
              <w:right w:val="single" w:sz="4" w:space="0" w:color="auto"/>
            </w:tcBorders>
            <w:shd w:val="clear" w:color="auto" w:fill="auto"/>
            <w:noWrap/>
          </w:tcPr>
          <w:p w14:paraId="5B02F8F6" w14:textId="48C6A814"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11 457</w:t>
            </w:r>
          </w:p>
        </w:tc>
        <w:tc>
          <w:tcPr>
            <w:tcW w:w="1311" w:type="dxa"/>
            <w:tcBorders>
              <w:top w:val="nil"/>
              <w:left w:val="nil"/>
              <w:bottom w:val="single" w:sz="4" w:space="0" w:color="auto"/>
              <w:right w:val="single" w:sz="4" w:space="0" w:color="auto"/>
            </w:tcBorders>
            <w:shd w:val="clear" w:color="auto" w:fill="auto"/>
            <w:noWrap/>
          </w:tcPr>
          <w:p w14:paraId="1C15E99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11 764</w:t>
            </w:r>
          </w:p>
        </w:tc>
        <w:tc>
          <w:tcPr>
            <w:tcW w:w="1312" w:type="dxa"/>
            <w:tcBorders>
              <w:top w:val="nil"/>
              <w:left w:val="nil"/>
              <w:bottom w:val="single" w:sz="4" w:space="0" w:color="auto"/>
              <w:right w:val="single" w:sz="4" w:space="0" w:color="auto"/>
            </w:tcBorders>
            <w:shd w:val="clear" w:color="auto" w:fill="auto"/>
            <w:noWrap/>
          </w:tcPr>
          <w:p w14:paraId="0FAEC86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12 335</w:t>
            </w:r>
          </w:p>
        </w:tc>
      </w:tr>
      <w:tr w:rsidR="006B29E4" w:rsidRPr="006B29E4" w14:paraId="7B86B0A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415E5F0"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Lesotho</w:t>
            </w:r>
          </w:p>
        </w:tc>
        <w:tc>
          <w:tcPr>
            <w:tcW w:w="1134" w:type="dxa"/>
            <w:tcBorders>
              <w:top w:val="nil"/>
              <w:left w:val="nil"/>
              <w:bottom w:val="single" w:sz="4" w:space="0" w:color="auto"/>
              <w:right w:val="single" w:sz="4" w:space="0" w:color="auto"/>
            </w:tcBorders>
            <w:shd w:val="clear" w:color="auto" w:fill="auto"/>
            <w:noWrap/>
          </w:tcPr>
          <w:p w14:paraId="472304CC"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257BF36F"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1F369D54"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D3E553E"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B58E811"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CCBA507"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89E425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EDCBBA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Lettonie</w:t>
            </w:r>
          </w:p>
        </w:tc>
        <w:tc>
          <w:tcPr>
            <w:tcW w:w="1134" w:type="dxa"/>
            <w:tcBorders>
              <w:top w:val="nil"/>
              <w:left w:val="nil"/>
              <w:bottom w:val="single" w:sz="4" w:space="0" w:color="auto"/>
              <w:right w:val="single" w:sz="4" w:space="0" w:color="auto"/>
            </w:tcBorders>
            <w:shd w:val="clear" w:color="auto" w:fill="auto"/>
            <w:noWrap/>
          </w:tcPr>
          <w:p w14:paraId="7518259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0,050</w:t>
            </w:r>
          </w:p>
        </w:tc>
        <w:tc>
          <w:tcPr>
            <w:tcW w:w="1022" w:type="dxa"/>
            <w:tcBorders>
              <w:top w:val="nil"/>
              <w:left w:val="nil"/>
              <w:bottom w:val="single" w:sz="4" w:space="0" w:color="auto"/>
              <w:right w:val="single" w:sz="4" w:space="0" w:color="auto"/>
            </w:tcBorders>
            <w:shd w:val="clear" w:color="auto" w:fill="auto"/>
            <w:noWrap/>
          </w:tcPr>
          <w:p w14:paraId="3A674B4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0,051 %</w:t>
            </w:r>
          </w:p>
        </w:tc>
        <w:tc>
          <w:tcPr>
            <w:tcW w:w="1311" w:type="dxa"/>
            <w:tcBorders>
              <w:top w:val="single" w:sz="4" w:space="0" w:color="auto"/>
              <w:left w:val="nil"/>
              <w:bottom w:val="single" w:sz="4" w:space="0" w:color="auto"/>
              <w:right w:val="single" w:sz="4" w:space="0" w:color="auto"/>
            </w:tcBorders>
          </w:tcPr>
          <w:p w14:paraId="34E85ECF" w14:textId="6F2103B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2 300</w:t>
            </w:r>
          </w:p>
        </w:tc>
        <w:tc>
          <w:tcPr>
            <w:tcW w:w="1311" w:type="dxa"/>
            <w:tcBorders>
              <w:top w:val="nil"/>
              <w:left w:val="single" w:sz="4" w:space="0" w:color="auto"/>
              <w:bottom w:val="single" w:sz="4" w:space="0" w:color="auto"/>
              <w:right w:val="single" w:sz="4" w:space="0" w:color="auto"/>
            </w:tcBorders>
            <w:shd w:val="clear" w:color="auto" w:fill="auto"/>
            <w:noWrap/>
          </w:tcPr>
          <w:p w14:paraId="27C0B865" w14:textId="156AE11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2 448</w:t>
            </w:r>
          </w:p>
        </w:tc>
        <w:tc>
          <w:tcPr>
            <w:tcW w:w="1311" w:type="dxa"/>
            <w:tcBorders>
              <w:top w:val="nil"/>
              <w:left w:val="nil"/>
              <w:bottom w:val="single" w:sz="4" w:space="0" w:color="auto"/>
              <w:right w:val="single" w:sz="4" w:space="0" w:color="auto"/>
            </w:tcBorders>
            <w:shd w:val="clear" w:color="auto" w:fill="auto"/>
            <w:noWrap/>
          </w:tcPr>
          <w:p w14:paraId="276EB1F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2 514</w:t>
            </w:r>
          </w:p>
        </w:tc>
        <w:tc>
          <w:tcPr>
            <w:tcW w:w="1312" w:type="dxa"/>
            <w:tcBorders>
              <w:top w:val="nil"/>
              <w:left w:val="nil"/>
              <w:bottom w:val="single" w:sz="4" w:space="0" w:color="auto"/>
              <w:right w:val="single" w:sz="4" w:space="0" w:color="auto"/>
            </w:tcBorders>
            <w:shd w:val="clear" w:color="auto" w:fill="auto"/>
            <w:noWrap/>
          </w:tcPr>
          <w:p w14:paraId="5CAF12B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2 636</w:t>
            </w:r>
          </w:p>
        </w:tc>
      </w:tr>
      <w:tr w:rsidR="006B29E4" w:rsidRPr="006B29E4" w14:paraId="098AEE4D"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A632F03"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Liban</w:t>
            </w:r>
          </w:p>
        </w:tc>
        <w:tc>
          <w:tcPr>
            <w:tcW w:w="1134" w:type="dxa"/>
            <w:tcBorders>
              <w:top w:val="nil"/>
              <w:left w:val="nil"/>
              <w:bottom w:val="single" w:sz="4" w:space="0" w:color="auto"/>
              <w:right w:val="single" w:sz="4" w:space="0" w:color="auto"/>
            </w:tcBorders>
            <w:shd w:val="clear" w:color="auto" w:fill="auto"/>
            <w:noWrap/>
          </w:tcPr>
          <w:p w14:paraId="3A0F5D2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0,036</w:t>
            </w:r>
          </w:p>
        </w:tc>
        <w:tc>
          <w:tcPr>
            <w:tcW w:w="1022" w:type="dxa"/>
            <w:tcBorders>
              <w:top w:val="nil"/>
              <w:left w:val="nil"/>
              <w:bottom w:val="single" w:sz="4" w:space="0" w:color="auto"/>
              <w:right w:val="single" w:sz="4" w:space="0" w:color="auto"/>
            </w:tcBorders>
            <w:shd w:val="clear" w:color="auto" w:fill="auto"/>
            <w:noWrap/>
          </w:tcPr>
          <w:p w14:paraId="7A75A3E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0,037 %</w:t>
            </w:r>
          </w:p>
        </w:tc>
        <w:tc>
          <w:tcPr>
            <w:tcW w:w="1311" w:type="dxa"/>
            <w:tcBorders>
              <w:top w:val="single" w:sz="4" w:space="0" w:color="auto"/>
              <w:left w:val="nil"/>
              <w:bottom w:val="single" w:sz="4" w:space="0" w:color="auto"/>
              <w:right w:val="single" w:sz="4" w:space="0" w:color="auto"/>
            </w:tcBorders>
          </w:tcPr>
          <w:p w14:paraId="33D9A5DF" w14:textId="609919F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2 300</w:t>
            </w:r>
          </w:p>
        </w:tc>
        <w:tc>
          <w:tcPr>
            <w:tcW w:w="1311" w:type="dxa"/>
            <w:tcBorders>
              <w:top w:val="nil"/>
              <w:left w:val="single" w:sz="4" w:space="0" w:color="auto"/>
              <w:bottom w:val="single" w:sz="4" w:space="0" w:color="auto"/>
              <w:right w:val="single" w:sz="4" w:space="0" w:color="auto"/>
            </w:tcBorders>
            <w:shd w:val="clear" w:color="auto" w:fill="auto"/>
            <w:noWrap/>
          </w:tcPr>
          <w:p w14:paraId="0E1E46CA" w14:textId="6BE38A5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1 763</w:t>
            </w:r>
          </w:p>
        </w:tc>
        <w:tc>
          <w:tcPr>
            <w:tcW w:w="1311" w:type="dxa"/>
            <w:tcBorders>
              <w:top w:val="nil"/>
              <w:left w:val="nil"/>
              <w:bottom w:val="single" w:sz="4" w:space="0" w:color="auto"/>
              <w:right w:val="single" w:sz="4" w:space="0" w:color="auto"/>
            </w:tcBorders>
            <w:shd w:val="clear" w:color="auto" w:fill="auto"/>
            <w:noWrap/>
          </w:tcPr>
          <w:p w14:paraId="3A8E73B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1 810</w:t>
            </w:r>
          </w:p>
        </w:tc>
        <w:tc>
          <w:tcPr>
            <w:tcW w:w="1312" w:type="dxa"/>
            <w:tcBorders>
              <w:top w:val="nil"/>
              <w:left w:val="nil"/>
              <w:bottom w:val="single" w:sz="4" w:space="0" w:color="auto"/>
              <w:right w:val="single" w:sz="4" w:space="0" w:color="auto"/>
            </w:tcBorders>
            <w:shd w:val="clear" w:color="auto" w:fill="auto"/>
            <w:noWrap/>
          </w:tcPr>
          <w:p w14:paraId="05FB415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1 898</w:t>
            </w:r>
          </w:p>
        </w:tc>
      </w:tr>
      <w:tr w:rsidR="006B29E4" w:rsidRPr="006B29E4" w14:paraId="07D399ED"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F229DCD"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Libye</w:t>
            </w:r>
          </w:p>
        </w:tc>
        <w:tc>
          <w:tcPr>
            <w:tcW w:w="1134" w:type="dxa"/>
            <w:tcBorders>
              <w:top w:val="nil"/>
              <w:left w:val="nil"/>
              <w:bottom w:val="single" w:sz="4" w:space="0" w:color="auto"/>
              <w:right w:val="single" w:sz="4" w:space="0" w:color="auto"/>
            </w:tcBorders>
            <w:shd w:val="clear" w:color="auto" w:fill="auto"/>
            <w:noWrap/>
          </w:tcPr>
          <w:p w14:paraId="3E0C6836"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0,018</w:t>
            </w:r>
          </w:p>
        </w:tc>
        <w:tc>
          <w:tcPr>
            <w:tcW w:w="1022" w:type="dxa"/>
            <w:tcBorders>
              <w:top w:val="nil"/>
              <w:left w:val="nil"/>
              <w:bottom w:val="single" w:sz="4" w:space="0" w:color="auto"/>
              <w:right w:val="single" w:sz="4" w:space="0" w:color="auto"/>
            </w:tcBorders>
            <w:shd w:val="clear" w:color="auto" w:fill="auto"/>
            <w:noWrap/>
          </w:tcPr>
          <w:p w14:paraId="7D06B5EE"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0,018 %</w:t>
            </w:r>
          </w:p>
        </w:tc>
        <w:tc>
          <w:tcPr>
            <w:tcW w:w="1311" w:type="dxa"/>
            <w:tcBorders>
              <w:top w:val="single" w:sz="4" w:space="0" w:color="auto"/>
              <w:left w:val="nil"/>
              <w:bottom w:val="single" w:sz="4" w:space="0" w:color="auto"/>
              <w:right w:val="single" w:sz="4" w:space="0" w:color="auto"/>
            </w:tcBorders>
          </w:tcPr>
          <w:p w14:paraId="057E7542"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1 468</w:t>
            </w:r>
          </w:p>
        </w:tc>
        <w:tc>
          <w:tcPr>
            <w:tcW w:w="1311" w:type="dxa"/>
            <w:tcBorders>
              <w:top w:val="nil"/>
              <w:left w:val="single" w:sz="4" w:space="0" w:color="auto"/>
              <w:bottom w:val="single" w:sz="4" w:space="0" w:color="auto"/>
              <w:right w:val="single" w:sz="4" w:space="0" w:color="auto"/>
            </w:tcBorders>
            <w:shd w:val="clear" w:color="auto" w:fill="auto"/>
            <w:noWrap/>
          </w:tcPr>
          <w:p w14:paraId="5F6519F3"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44A1693A"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F4EA9C3"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768693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40A00B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Libéria</w:t>
            </w:r>
          </w:p>
        </w:tc>
        <w:tc>
          <w:tcPr>
            <w:tcW w:w="1134" w:type="dxa"/>
            <w:tcBorders>
              <w:top w:val="nil"/>
              <w:left w:val="nil"/>
              <w:bottom w:val="single" w:sz="4" w:space="0" w:color="auto"/>
              <w:right w:val="single" w:sz="4" w:space="0" w:color="auto"/>
            </w:tcBorders>
            <w:shd w:val="clear" w:color="auto" w:fill="auto"/>
            <w:noWrap/>
          </w:tcPr>
          <w:p w14:paraId="7ECAF6B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4B67190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66C817FD" w14:textId="0D21C4D2"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D37FFE1" w14:textId="42986F2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860288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BFF184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2337C79"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B98ABD4"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Liechtenstein</w:t>
            </w:r>
          </w:p>
        </w:tc>
        <w:tc>
          <w:tcPr>
            <w:tcW w:w="1134" w:type="dxa"/>
            <w:tcBorders>
              <w:top w:val="nil"/>
              <w:left w:val="nil"/>
              <w:bottom w:val="single" w:sz="4" w:space="0" w:color="auto"/>
              <w:right w:val="single" w:sz="4" w:space="0" w:color="auto"/>
            </w:tcBorders>
            <w:shd w:val="clear" w:color="auto" w:fill="auto"/>
            <w:noWrap/>
          </w:tcPr>
          <w:p w14:paraId="2B04F03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777FF56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1EF9EB60" w14:textId="638866A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2F62339" w14:textId="445FDE5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7B1FB2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1FDD36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A2ED8A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C3B1163"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Lituanie</w:t>
            </w:r>
          </w:p>
        </w:tc>
        <w:tc>
          <w:tcPr>
            <w:tcW w:w="1134" w:type="dxa"/>
            <w:tcBorders>
              <w:top w:val="nil"/>
              <w:left w:val="nil"/>
              <w:bottom w:val="single" w:sz="4" w:space="0" w:color="auto"/>
              <w:right w:val="single" w:sz="4" w:space="0" w:color="auto"/>
            </w:tcBorders>
            <w:shd w:val="clear" w:color="auto" w:fill="auto"/>
            <w:noWrap/>
          </w:tcPr>
          <w:p w14:paraId="4116DE4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0,077</w:t>
            </w:r>
          </w:p>
        </w:tc>
        <w:tc>
          <w:tcPr>
            <w:tcW w:w="1022" w:type="dxa"/>
            <w:tcBorders>
              <w:top w:val="nil"/>
              <w:left w:val="nil"/>
              <w:bottom w:val="single" w:sz="4" w:space="0" w:color="auto"/>
              <w:right w:val="single" w:sz="4" w:space="0" w:color="auto"/>
            </w:tcBorders>
            <w:shd w:val="clear" w:color="auto" w:fill="auto"/>
            <w:noWrap/>
          </w:tcPr>
          <w:p w14:paraId="255B19E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0,079 %</w:t>
            </w:r>
          </w:p>
        </w:tc>
        <w:tc>
          <w:tcPr>
            <w:tcW w:w="1311" w:type="dxa"/>
            <w:tcBorders>
              <w:top w:val="single" w:sz="4" w:space="0" w:color="auto"/>
              <w:left w:val="nil"/>
              <w:bottom w:val="single" w:sz="4" w:space="0" w:color="auto"/>
              <w:right w:val="single" w:sz="4" w:space="0" w:color="auto"/>
            </w:tcBorders>
          </w:tcPr>
          <w:p w14:paraId="255213D3" w14:textId="02D727F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3 475</w:t>
            </w:r>
          </w:p>
        </w:tc>
        <w:tc>
          <w:tcPr>
            <w:tcW w:w="1311" w:type="dxa"/>
            <w:tcBorders>
              <w:top w:val="nil"/>
              <w:left w:val="single" w:sz="4" w:space="0" w:color="auto"/>
              <w:bottom w:val="single" w:sz="4" w:space="0" w:color="auto"/>
              <w:right w:val="single" w:sz="4" w:space="0" w:color="auto"/>
            </w:tcBorders>
            <w:shd w:val="clear" w:color="auto" w:fill="auto"/>
            <w:noWrap/>
          </w:tcPr>
          <w:p w14:paraId="32FE466E" w14:textId="5DDC6BB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3 770</w:t>
            </w:r>
          </w:p>
        </w:tc>
        <w:tc>
          <w:tcPr>
            <w:tcW w:w="1311" w:type="dxa"/>
            <w:tcBorders>
              <w:top w:val="nil"/>
              <w:left w:val="nil"/>
              <w:bottom w:val="single" w:sz="4" w:space="0" w:color="auto"/>
              <w:right w:val="single" w:sz="4" w:space="0" w:color="auto"/>
            </w:tcBorders>
            <w:shd w:val="clear" w:color="auto" w:fill="auto"/>
            <w:noWrap/>
          </w:tcPr>
          <w:p w14:paraId="5FE0BFA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3 871</w:t>
            </w:r>
          </w:p>
        </w:tc>
        <w:tc>
          <w:tcPr>
            <w:tcW w:w="1312" w:type="dxa"/>
            <w:tcBorders>
              <w:top w:val="nil"/>
              <w:left w:val="nil"/>
              <w:bottom w:val="single" w:sz="4" w:space="0" w:color="auto"/>
              <w:right w:val="single" w:sz="4" w:space="0" w:color="auto"/>
            </w:tcBorders>
            <w:shd w:val="clear" w:color="auto" w:fill="auto"/>
            <w:noWrap/>
          </w:tcPr>
          <w:p w14:paraId="4C26484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4 059</w:t>
            </w:r>
          </w:p>
        </w:tc>
      </w:tr>
      <w:tr w:rsidR="006B29E4" w:rsidRPr="006B29E4" w14:paraId="1AFB09F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23AB51F"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Luxembourg</w:t>
            </w:r>
          </w:p>
        </w:tc>
        <w:tc>
          <w:tcPr>
            <w:tcW w:w="1134" w:type="dxa"/>
            <w:tcBorders>
              <w:top w:val="nil"/>
              <w:left w:val="nil"/>
              <w:bottom w:val="single" w:sz="4" w:space="0" w:color="auto"/>
              <w:right w:val="single" w:sz="4" w:space="0" w:color="auto"/>
            </w:tcBorders>
            <w:shd w:val="clear" w:color="auto" w:fill="auto"/>
            <w:noWrap/>
          </w:tcPr>
          <w:p w14:paraId="1143250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0,068</w:t>
            </w:r>
          </w:p>
        </w:tc>
        <w:tc>
          <w:tcPr>
            <w:tcW w:w="1022" w:type="dxa"/>
            <w:tcBorders>
              <w:top w:val="nil"/>
              <w:left w:val="nil"/>
              <w:bottom w:val="single" w:sz="4" w:space="0" w:color="auto"/>
              <w:right w:val="single" w:sz="4" w:space="0" w:color="auto"/>
            </w:tcBorders>
            <w:shd w:val="clear" w:color="auto" w:fill="auto"/>
            <w:noWrap/>
          </w:tcPr>
          <w:p w14:paraId="57F145C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0,070 %</w:t>
            </w:r>
          </w:p>
        </w:tc>
        <w:tc>
          <w:tcPr>
            <w:tcW w:w="1311" w:type="dxa"/>
            <w:tcBorders>
              <w:top w:val="single" w:sz="4" w:space="0" w:color="auto"/>
              <w:left w:val="nil"/>
              <w:bottom w:val="single" w:sz="4" w:space="0" w:color="auto"/>
              <w:right w:val="single" w:sz="4" w:space="0" w:color="auto"/>
            </w:tcBorders>
          </w:tcPr>
          <w:p w14:paraId="2170716C" w14:textId="13257FB5"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3 279</w:t>
            </w:r>
          </w:p>
        </w:tc>
        <w:tc>
          <w:tcPr>
            <w:tcW w:w="1311" w:type="dxa"/>
            <w:tcBorders>
              <w:top w:val="nil"/>
              <w:left w:val="single" w:sz="4" w:space="0" w:color="auto"/>
              <w:bottom w:val="single" w:sz="4" w:space="0" w:color="auto"/>
              <w:right w:val="single" w:sz="4" w:space="0" w:color="auto"/>
            </w:tcBorders>
            <w:shd w:val="clear" w:color="auto" w:fill="auto"/>
            <w:noWrap/>
          </w:tcPr>
          <w:p w14:paraId="5E0FC0C2" w14:textId="3441D71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3 329</w:t>
            </w:r>
          </w:p>
        </w:tc>
        <w:tc>
          <w:tcPr>
            <w:tcW w:w="1311" w:type="dxa"/>
            <w:tcBorders>
              <w:top w:val="nil"/>
              <w:left w:val="nil"/>
              <w:bottom w:val="single" w:sz="4" w:space="0" w:color="auto"/>
              <w:right w:val="single" w:sz="4" w:space="0" w:color="auto"/>
            </w:tcBorders>
            <w:shd w:val="clear" w:color="auto" w:fill="auto"/>
            <w:noWrap/>
          </w:tcPr>
          <w:p w14:paraId="1D62B2E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3 419</w:t>
            </w:r>
          </w:p>
        </w:tc>
        <w:tc>
          <w:tcPr>
            <w:tcW w:w="1312" w:type="dxa"/>
            <w:tcBorders>
              <w:top w:val="nil"/>
              <w:left w:val="nil"/>
              <w:bottom w:val="single" w:sz="4" w:space="0" w:color="auto"/>
              <w:right w:val="single" w:sz="4" w:space="0" w:color="auto"/>
            </w:tcBorders>
            <w:shd w:val="clear" w:color="auto" w:fill="auto"/>
            <w:noWrap/>
          </w:tcPr>
          <w:p w14:paraId="6E7665B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3 585</w:t>
            </w:r>
          </w:p>
        </w:tc>
      </w:tr>
      <w:tr w:rsidR="006B29E4" w:rsidRPr="006B29E4" w14:paraId="2F7A288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4A66B35" w14:textId="77777777" w:rsidR="00C70704" w:rsidRPr="006B29E4" w:rsidRDefault="00C70704" w:rsidP="00A31639">
            <w:pPr>
              <w:ind w:left="0" w:firstLine="0"/>
              <w:rPr>
                <w:rFonts w:asciiTheme="minorHAnsi" w:eastAsia="Times New Roman" w:hAnsiTheme="minorHAnsi" w:cstheme="minorHAnsi"/>
                <w:sz w:val="20"/>
                <w:szCs w:val="20"/>
              </w:rPr>
            </w:pPr>
            <w:r w:rsidRPr="006B29E4">
              <w:rPr>
                <w:rFonts w:asciiTheme="minorHAnsi" w:hAnsiTheme="minorHAnsi"/>
                <w:sz w:val="20"/>
              </w:rPr>
              <w:t>Macédoine du Nord</w:t>
            </w:r>
          </w:p>
        </w:tc>
        <w:tc>
          <w:tcPr>
            <w:tcW w:w="1134" w:type="dxa"/>
            <w:tcBorders>
              <w:top w:val="nil"/>
              <w:left w:val="nil"/>
              <w:bottom w:val="single" w:sz="4" w:space="0" w:color="auto"/>
              <w:right w:val="single" w:sz="4" w:space="0" w:color="auto"/>
            </w:tcBorders>
            <w:shd w:val="clear" w:color="auto" w:fill="auto"/>
            <w:noWrap/>
          </w:tcPr>
          <w:p w14:paraId="1F6B8CF3"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0,007</w:t>
            </w:r>
          </w:p>
        </w:tc>
        <w:tc>
          <w:tcPr>
            <w:tcW w:w="1022" w:type="dxa"/>
            <w:tcBorders>
              <w:top w:val="nil"/>
              <w:left w:val="nil"/>
              <w:bottom w:val="single" w:sz="4" w:space="0" w:color="auto"/>
              <w:right w:val="single" w:sz="4" w:space="0" w:color="auto"/>
            </w:tcBorders>
            <w:shd w:val="clear" w:color="auto" w:fill="auto"/>
            <w:noWrap/>
          </w:tcPr>
          <w:p w14:paraId="7C0AFEB2"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0,007 %</w:t>
            </w:r>
          </w:p>
        </w:tc>
        <w:tc>
          <w:tcPr>
            <w:tcW w:w="1311" w:type="dxa"/>
            <w:tcBorders>
              <w:top w:val="single" w:sz="4" w:space="0" w:color="auto"/>
              <w:left w:val="nil"/>
              <w:bottom w:val="single" w:sz="4" w:space="0" w:color="auto"/>
              <w:right w:val="single" w:sz="4" w:space="0" w:color="auto"/>
            </w:tcBorders>
          </w:tcPr>
          <w:p w14:paraId="4CD9EA40" w14:textId="77777777" w:rsidR="00C70704" w:rsidRPr="006B29E4" w:rsidRDefault="00C70704"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EFC6F31"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54291C1"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5DE629E" w14:textId="77777777" w:rsidR="00C70704" w:rsidRPr="006B29E4" w:rsidRDefault="00C7070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23F241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BB997A7"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Madagascar</w:t>
            </w:r>
          </w:p>
        </w:tc>
        <w:tc>
          <w:tcPr>
            <w:tcW w:w="1134" w:type="dxa"/>
            <w:tcBorders>
              <w:top w:val="nil"/>
              <w:left w:val="nil"/>
              <w:bottom w:val="single" w:sz="4" w:space="0" w:color="auto"/>
              <w:right w:val="single" w:sz="4" w:space="0" w:color="auto"/>
            </w:tcBorders>
            <w:shd w:val="clear" w:color="auto" w:fill="auto"/>
            <w:noWrap/>
          </w:tcPr>
          <w:p w14:paraId="09FBBC7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w:t>
            </w:r>
          </w:p>
        </w:tc>
        <w:tc>
          <w:tcPr>
            <w:tcW w:w="1022" w:type="dxa"/>
            <w:tcBorders>
              <w:top w:val="nil"/>
              <w:left w:val="nil"/>
              <w:bottom w:val="single" w:sz="4" w:space="0" w:color="auto"/>
              <w:right w:val="single" w:sz="4" w:space="0" w:color="auto"/>
            </w:tcBorders>
            <w:shd w:val="clear" w:color="auto" w:fill="auto"/>
            <w:noWrap/>
          </w:tcPr>
          <w:p w14:paraId="197A9A3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0,004 %</w:t>
            </w:r>
          </w:p>
        </w:tc>
        <w:tc>
          <w:tcPr>
            <w:tcW w:w="1311" w:type="dxa"/>
            <w:tcBorders>
              <w:top w:val="single" w:sz="4" w:space="0" w:color="auto"/>
              <w:left w:val="nil"/>
              <w:bottom w:val="single" w:sz="4" w:space="0" w:color="auto"/>
              <w:right w:val="single" w:sz="4" w:space="0" w:color="auto"/>
            </w:tcBorders>
          </w:tcPr>
          <w:p w14:paraId="51BFAC99" w14:textId="20A10D1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F7B2087" w14:textId="440B559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19B87C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6B4A1A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8F8203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024A16A" w14:textId="4F79203D"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w:t>
            </w:r>
            <w:r w:rsidR="00C70704" w:rsidRPr="006B29E4">
              <w:rPr>
                <w:rFonts w:asciiTheme="minorHAnsi" w:hAnsiTheme="minorHAnsi"/>
                <w:sz w:val="20"/>
              </w:rPr>
              <w:t>ala</w:t>
            </w:r>
            <w:r w:rsidR="00CE199C" w:rsidRPr="006B29E4">
              <w:rPr>
                <w:rFonts w:asciiTheme="minorHAnsi" w:hAnsiTheme="minorHAnsi"/>
                <w:sz w:val="20"/>
              </w:rPr>
              <w:t>isie</w:t>
            </w:r>
          </w:p>
        </w:tc>
        <w:tc>
          <w:tcPr>
            <w:tcW w:w="1134" w:type="dxa"/>
            <w:tcBorders>
              <w:top w:val="nil"/>
              <w:left w:val="nil"/>
              <w:bottom w:val="single" w:sz="4" w:space="0" w:color="auto"/>
              <w:right w:val="single" w:sz="4" w:space="0" w:color="auto"/>
            </w:tcBorders>
            <w:shd w:val="clear" w:color="auto" w:fill="auto"/>
            <w:noWrap/>
          </w:tcPr>
          <w:p w14:paraId="1850FF5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0,348</w:t>
            </w:r>
          </w:p>
        </w:tc>
        <w:tc>
          <w:tcPr>
            <w:tcW w:w="1022" w:type="dxa"/>
            <w:tcBorders>
              <w:top w:val="nil"/>
              <w:left w:val="nil"/>
              <w:bottom w:val="single" w:sz="4" w:space="0" w:color="auto"/>
              <w:right w:val="single" w:sz="4" w:space="0" w:color="auto"/>
            </w:tcBorders>
            <w:shd w:val="clear" w:color="auto" w:fill="auto"/>
            <w:noWrap/>
          </w:tcPr>
          <w:p w14:paraId="76610F7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0,357 %</w:t>
            </w:r>
          </w:p>
        </w:tc>
        <w:tc>
          <w:tcPr>
            <w:tcW w:w="1311" w:type="dxa"/>
            <w:tcBorders>
              <w:top w:val="single" w:sz="4" w:space="0" w:color="auto"/>
              <w:left w:val="nil"/>
              <w:bottom w:val="single" w:sz="4" w:space="0" w:color="auto"/>
              <w:right w:val="single" w:sz="4" w:space="0" w:color="auto"/>
            </w:tcBorders>
          </w:tcPr>
          <w:p w14:paraId="5A7EDFCE" w14:textId="0C5B1127"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16 691</w:t>
            </w:r>
          </w:p>
        </w:tc>
        <w:tc>
          <w:tcPr>
            <w:tcW w:w="1311" w:type="dxa"/>
            <w:tcBorders>
              <w:top w:val="nil"/>
              <w:left w:val="single" w:sz="4" w:space="0" w:color="auto"/>
              <w:bottom w:val="single" w:sz="4" w:space="0" w:color="auto"/>
              <w:right w:val="single" w:sz="4" w:space="0" w:color="auto"/>
            </w:tcBorders>
            <w:shd w:val="clear" w:color="auto" w:fill="auto"/>
            <w:noWrap/>
          </w:tcPr>
          <w:p w14:paraId="049B8FD3" w14:textId="76D33E70"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17 039</w:t>
            </w:r>
          </w:p>
        </w:tc>
        <w:tc>
          <w:tcPr>
            <w:tcW w:w="1311" w:type="dxa"/>
            <w:tcBorders>
              <w:top w:val="nil"/>
              <w:left w:val="nil"/>
              <w:bottom w:val="single" w:sz="4" w:space="0" w:color="auto"/>
              <w:right w:val="single" w:sz="4" w:space="0" w:color="auto"/>
            </w:tcBorders>
            <w:shd w:val="clear" w:color="auto" w:fill="auto"/>
            <w:noWrap/>
          </w:tcPr>
          <w:p w14:paraId="5EE948D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17 496</w:t>
            </w:r>
          </w:p>
        </w:tc>
        <w:tc>
          <w:tcPr>
            <w:tcW w:w="1312" w:type="dxa"/>
            <w:tcBorders>
              <w:top w:val="nil"/>
              <w:left w:val="nil"/>
              <w:bottom w:val="single" w:sz="4" w:space="0" w:color="auto"/>
              <w:right w:val="single" w:sz="4" w:space="0" w:color="auto"/>
            </w:tcBorders>
            <w:shd w:val="clear" w:color="auto" w:fill="auto"/>
            <w:noWrap/>
          </w:tcPr>
          <w:p w14:paraId="369D8E3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18 344</w:t>
            </w:r>
          </w:p>
        </w:tc>
      </w:tr>
      <w:tr w:rsidR="006B29E4" w:rsidRPr="006B29E4" w14:paraId="64C779E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F76199A"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Malawi</w:t>
            </w:r>
          </w:p>
        </w:tc>
        <w:tc>
          <w:tcPr>
            <w:tcW w:w="1134" w:type="dxa"/>
            <w:tcBorders>
              <w:top w:val="nil"/>
              <w:left w:val="nil"/>
              <w:bottom w:val="single" w:sz="4" w:space="0" w:color="auto"/>
              <w:right w:val="single" w:sz="4" w:space="0" w:color="auto"/>
            </w:tcBorders>
            <w:shd w:val="clear" w:color="auto" w:fill="auto"/>
            <w:noWrap/>
          </w:tcPr>
          <w:p w14:paraId="70C12147"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3C26963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2F5D3B02"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6AD87B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6A3BE54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6D782F4"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EC11C49"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1F7CE45"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Mali</w:t>
            </w:r>
          </w:p>
        </w:tc>
        <w:tc>
          <w:tcPr>
            <w:tcW w:w="1134" w:type="dxa"/>
            <w:tcBorders>
              <w:top w:val="nil"/>
              <w:left w:val="nil"/>
              <w:bottom w:val="single" w:sz="4" w:space="0" w:color="auto"/>
              <w:right w:val="single" w:sz="4" w:space="0" w:color="auto"/>
            </w:tcBorders>
            <w:shd w:val="clear" w:color="auto" w:fill="auto"/>
            <w:noWrap/>
          </w:tcPr>
          <w:p w14:paraId="3AB0F81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w:t>
            </w:r>
          </w:p>
        </w:tc>
        <w:tc>
          <w:tcPr>
            <w:tcW w:w="1022" w:type="dxa"/>
            <w:tcBorders>
              <w:top w:val="nil"/>
              <w:left w:val="nil"/>
              <w:bottom w:val="single" w:sz="4" w:space="0" w:color="auto"/>
              <w:right w:val="single" w:sz="4" w:space="0" w:color="auto"/>
            </w:tcBorders>
            <w:shd w:val="clear" w:color="auto" w:fill="auto"/>
            <w:noWrap/>
          </w:tcPr>
          <w:p w14:paraId="32299D9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0,005 %</w:t>
            </w:r>
          </w:p>
        </w:tc>
        <w:tc>
          <w:tcPr>
            <w:tcW w:w="1311" w:type="dxa"/>
            <w:tcBorders>
              <w:top w:val="single" w:sz="4" w:space="0" w:color="auto"/>
              <w:left w:val="nil"/>
              <w:bottom w:val="single" w:sz="4" w:space="0" w:color="auto"/>
              <w:right w:val="single" w:sz="4" w:space="0" w:color="auto"/>
            </w:tcBorders>
          </w:tcPr>
          <w:p w14:paraId="13788C6A" w14:textId="1CADAD0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18E5AAF" w14:textId="6291BB2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4D3995F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53BB70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BC3FCC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166F5C2"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Malte</w:t>
            </w:r>
          </w:p>
        </w:tc>
        <w:tc>
          <w:tcPr>
            <w:tcW w:w="1134" w:type="dxa"/>
            <w:tcBorders>
              <w:top w:val="nil"/>
              <w:left w:val="nil"/>
              <w:bottom w:val="single" w:sz="4" w:space="0" w:color="auto"/>
              <w:right w:val="single" w:sz="4" w:space="0" w:color="auto"/>
            </w:tcBorders>
            <w:shd w:val="clear" w:color="auto" w:fill="auto"/>
            <w:noWrap/>
          </w:tcPr>
          <w:p w14:paraId="45EEFA2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0,019</w:t>
            </w:r>
          </w:p>
        </w:tc>
        <w:tc>
          <w:tcPr>
            <w:tcW w:w="1022" w:type="dxa"/>
            <w:tcBorders>
              <w:top w:val="nil"/>
              <w:left w:val="nil"/>
              <w:bottom w:val="single" w:sz="4" w:space="0" w:color="auto"/>
              <w:right w:val="single" w:sz="4" w:space="0" w:color="auto"/>
            </w:tcBorders>
            <w:shd w:val="clear" w:color="auto" w:fill="auto"/>
            <w:noWrap/>
          </w:tcPr>
          <w:p w14:paraId="7BFE97F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0,020 %</w:t>
            </w:r>
          </w:p>
        </w:tc>
        <w:tc>
          <w:tcPr>
            <w:tcW w:w="1311" w:type="dxa"/>
            <w:tcBorders>
              <w:top w:val="single" w:sz="4" w:space="0" w:color="auto"/>
              <w:left w:val="nil"/>
              <w:bottom w:val="single" w:sz="4" w:space="0" w:color="auto"/>
              <w:right w:val="single" w:sz="4" w:space="0" w:color="auto"/>
            </w:tcBorders>
          </w:tcPr>
          <w:p w14:paraId="728341E2" w14:textId="4DD3D7A9"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11969C6" w14:textId="4A0EE87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6FBB8D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1EF810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1 002</w:t>
            </w:r>
          </w:p>
        </w:tc>
      </w:tr>
      <w:tr w:rsidR="006B29E4" w:rsidRPr="006B29E4" w14:paraId="4BC2D78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07BB6EC"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Maroc</w:t>
            </w:r>
          </w:p>
        </w:tc>
        <w:tc>
          <w:tcPr>
            <w:tcW w:w="1134" w:type="dxa"/>
            <w:tcBorders>
              <w:top w:val="nil"/>
              <w:left w:val="nil"/>
              <w:bottom w:val="single" w:sz="4" w:space="0" w:color="auto"/>
              <w:right w:val="single" w:sz="4" w:space="0" w:color="auto"/>
            </w:tcBorders>
            <w:shd w:val="clear" w:color="auto" w:fill="auto"/>
            <w:noWrap/>
          </w:tcPr>
          <w:p w14:paraId="55257FD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0,055</w:t>
            </w:r>
          </w:p>
        </w:tc>
        <w:tc>
          <w:tcPr>
            <w:tcW w:w="1022" w:type="dxa"/>
            <w:tcBorders>
              <w:top w:val="nil"/>
              <w:left w:val="nil"/>
              <w:bottom w:val="single" w:sz="4" w:space="0" w:color="auto"/>
              <w:right w:val="single" w:sz="4" w:space="0" w:color="auto"/>
            </w:tcBorders>
            <w:shd w:val="clear" w:color="auto" w:fill="auto"/>
            <w:noWrap/>
          </w:tcPr>
          <w:p w14:paraId="1AA5F136"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0,056 %</w:t>
            </w:r>
          </w:p>
        </w:tc>
        <w:tc>
          <w:tcPr>
            <w:tcW w:w="1311" w:type="dxa"/>
            <w:tcBorders>
              <w:top w:val="single" w:sz="4" w:space="0" w:color="auto"/>
              <w:left w:val="nil"/>
              <w:bottom w:val="single" w:sz="4" w:space="0" w:color="auto"/>
              <w:right w:val="single" w:sz="4" w:space="0" w:color="auto"/>
            </w:tcBorders>
          </w:tcPr>
          <w:p w14:paraId="6B236E7F"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2 692</w:t>
            </w:r>
          </w:p>
        </w:tc>
        <w:tc>
          <w:tcPr>
            <w:tcW w:w="1311" w:type="dxa"/>
            <w:tcBorders>
              <w:top w:val="nil"/>
              <w:left w:val="single" w:sz="4" w:space="0" w:color="auto"/>
              <w:bottom w:val="single" w:sz="4" w:space="0" w:color="auto"/>
              <w:right w:val="single" w:sz="4" w:space="0" w:color="auto"/>
            </w:tcBorders>
            <w:shd w:val="clear" w:color="auto" w:fill="auto"/>
            <w:noWrap/>
          </w:tcPr>
          <w:p w14:paraId="4952DBB9"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2 693</w:t>
            </w:r>
          </w:p>
        </w:tc>
        <w:tc>
          <w:tcPr>
            <w:tcW w:w="1311" w:type="dxa"/>
            <w:tcBorders>
              <w:top w:val="nil"/>
              <w:left w:val="nil"/>
              <w:bottom w:val="single" w:sz="4" w:space="0" w:color="auto"/>
              <w:right w:val="single" w:sz="4" w:space="0" w:color="auto"/>
            </w:tcBorders>
            <w:shd w:val="clear" w:color="auto" w:fill="auto"/>
            <w:noWrap/>
          </w:tcPr>
          <w:p w14:paraId="0AC41D1B"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2 765</w:t>
            </w:r>
          </w:p>
        </w:tc>
        <w:tc>
          <w:tcPr>
            <w:tcW w:w="1312" w:type="dxa"/>
            <w:tcBorders>
              <w:top w:val="nil"/>
              <w:left w:val="nil"/>
              <w:bottom w:val="single" w:sz="4" w:space="0" w:color="auto"/>
              <w:right w:val="single" w:sz="4" w:space="0" w:color="auto"/>
            </w:tcBorders>
            <w:shd w:val="clear" w:color="auto" w:fill="auto"/>
            <w:noWrap/>
          </w:tcPr>
          <w:p w14:paraId="209D4092"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2 899</w:t>
            </w:r>
          </w:p>
        </w:tc>
      </w:tr>
      <w:tr w:rsidR="006B29E4" w:rsidRPr="006B29E4" w14:paraId="22B7ABE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0EFC204"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Maurice</w:t>
            </w:r>
          </w:p>
        </w:tc>
        <w:tc>
          <w:tcPr>
            <w:tcW w:w="1134" w:type="dxa"/>
            <w:tcBorders>
              <w:top w:val="nil"/>
              <w:left w:val="nil"/>
              <w:bottom w:val="single" w:sz="4" w:space="0" w:color="auto"/>
              <w:right w:val="single" w:sz="4" w:space="0" w:color="auto"/>
            </w:tcBorders>
            <w:shd w:val="clear" w:color="auto" w:fill="auto"/>
            <w:noWrap/>
          </w:tcPr>
          <w:p w14:paraId="78F2E1E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0,019</w:t>
            </w:r>
          </w:p>
        </w:tc>
        <w:tc>
          <w:tcPr>
            <w:tcW w:w="1022" w:type="dxa"/>
            <w:tcBorders>
              <w:top w:val="nil"/>
              <w:left w:val="nil"/>
              <w:bottom w:val="single" w:sz="4" w:space="0" w:color="auto"/>
              <w:right w:val="single" w:sz="4" w:space="0" w:color="auto"/>
            </w:tcBorders>
            <w:shd w:val="clear" w:color="auto" w:fill="auto"/>
            <w:noWrap/>
          </w:tcPr>
          <w:p w14:paraId="18D13B9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0,020 %</w:t>
            </w:r>
          </w:p>
        </w:tc>
        <w:tc>
          <w:tcPr>
            <w:tcW w:w="1311" w:type="dxa"/>
            <w:tcBorders>
              <w:top w:val="single" w:sz="4" w:space="0" w:color="auto"/>
              <w:left w:val="nil"/>
              <w:bottom w:val="single" w:sz="4" w:space="0" w:color="auto"/>
              <w:right w:val="single" w:sz="4" w:space="0" w:color="auto"/>
            </w:tcBorders>
          </w:tcPr>
          <w:p w14:paraId="34710139" w14:textId="4B300A3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DE75C88" w14:textId="59B4B62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FD596F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00E299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1 002</w:t>
            </w:r>
          </w:p>
        </w:tc>
      </w:tr>
      <w:tr w:rsidR="006B29E4" w:rsidRPr="006B29E4" w14:paraId="3CF5686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4BAB999"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Mauritanie</w:t>
            </w:r>
          </w:p>
        </w:tc>
        <w:tc>
          <w:tcPr>
            <w:tcW w:w="1134" w:type="dxa"/>
            <w:tcBorders>
              <w:top w:val="nil"/>
              <w:left w:val="nil"/>
              <w:bottom w:val="single" w:sz="4" w:space="0" w:color="auto"/>
              <w:right w:val="single" w:sz="4" w:space="0" w:color="auto"/>
            </w:tcBorders>
            <w:shd w:val="clear" w:color="auto" w:fill="auto"/>
            <w:noWrap/>
          </w:tcPr>
          <w:p w14:paraId="3A6F16F2"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52D01F33"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1549C6D7"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A5DDB61"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DB5F7B3"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8EC513E"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5BBB1C8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B49C242"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Mexique</w:t>
            </w:r>
          </w:p>
        </w:tc>
        <w:tc>
          <w:tcPr>
            <w:tcW w:w="1134" w:type="dxa"/>
            <w:tcBorders>
              <w:top w:val="nil"/>
              <w:left w:val="nil"/>
              <w:bottom w:val="single" w:sz="4" w:space="0" w:color="auto"/>
              <w:right w:val="single" w:sz="4" w:space="0" w:color="auto"/>
            </w:tcBorders>
            <w:shd w:val="clear" w:color="auto" w:fill="auto"/>
            <w:noWrap/>
          </w:tcPr>
          <w:p w14:paraId="57AE50E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1,221</w:t>
            </w:r>
          </w:p>
        </w:tc>
        <w:tc>
          <w:tcPr>
            <w:tcW w:w="1022" w:type="dxa"/>
            <w:tcBorders>
              <w:top w:val="nil"/>
              <w:left w:val="nil"/>
              <w:bottom w:val="single" w:sz="4" w:space="0" w:color="auto"/>
              <w:right w:val="single" w:sz="4" w:space="0" w:color="auto"/>
            </w:tcBorders>
            <w:shd w:val="clear" w:color="auto" w:fill="auto"/>
            <w:noWrap/>
          </w:tcPr>
          <w:p w14:paraId="5563136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1,253 %</w:t>
            </w:r>
          </w:p>
        </w:tc>
        <w:tc>
          <w:tcPr>
            <w:tcW w:w="1311" w:type="dxa"/>
            <w:tcBorders>
              <w:top w:val="single" w:sz="4" w:space="0" w:color="auto"/>
              <w:left w:val="nil"/>
              <w:bottom w:val="single" w:sz="4" w:space="0" w:color="auto"/>
              <w:right w:val="single" w:sz="4" w:space="0" w:color="auto"/>
            </w:tcBorders>
          </w:tcPr>
          <w:p w14:paraId="78050BBA" w14:textId="0D048F4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63 238</w:t>
            </w:r>
          </w:p>
        </w:tc>
        <w:tc>
          <w:tcPr>
            <w:tcW w:w="1311" w:type="dxa"/>
            <w:tcBorders>
              <w:top w:val="nil"/>
              <w:left w:val="single" w:sz="4" w:space="0" w:color="auto"/>
              <w:bottom w:val="single" w:sz="4" w:space="0" w:color="auto"/>
              <w:right w:val="single" w:sz="4" w:space="0" w:color="auto"/>
            </w:tcBorders>
            <w:shd w:val="clear" w:color="auto" w:fill="auto"/>
            <w:noWrap/>
          </w:tcPr>
          <w:p w14:paraId="54ECFE16" w14:textId="5928DE0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59 784</w:t>
            </w:r>
          </w:p>
        </w:tc>
        <w:tc>
          <w:tcPr>
            <w:tcW w:w="1311" w:type="dxa"/>
            <w:tcBorders>
              <w:top w:val="nil"/>
              <w:left w:val="nil"/>
              <w:bottom w:val="single" w:sz="4" w:space="0" w:color="auto"/>
              <w:right w:val="single" w:sz="4" w:space="0" w:color="auto"/>
            </w:tcBorders>
            <w:shd w:val="clear" w:color="auto" w:fill="auto"/>
            <w:noWrap/>
          </w:tcPr>
          <w:p w14:paraId="22DC626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61 386</w:t>
            </w:r>
          </w:p>
        </w:tc>
        <w:tc>
          <w:tcPr>
            <w:tcW w:w="1312" w:type="dxa"/>
            <w:tcBorders>
              <w:top w:val="nil"/>
              <w:left w:val="nil"/>
              <w:bottom w:val="single" w:sz="4" w:space="0" w:color="auto"/>
              <w:right w:val="single" w:sz="4" w:space="0" w:color="auto"/>
            </w:tcBorders>
            <w:shd w:val="clear" w:color="auto" w:fill="auto"/>
            <w:noWrap/>
          </w:tcPr>
          <w:p w14:paraId="7BB76C5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64 364</w:t>
            </w:r>
          </w:p>
        </w:tc>
      </w:tr>
      <w:tr w:rsidR="006B29E4" w:rsidRPr="006B29E4" w14:paraId="605CF1A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4424FB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Monaco</w:t>
            </w:r>
          </w:p>
        </w:tc>
        <w:tc>
          <w:tcPr>
            <w:tcW w:w="1134" w:type="dxa"/>
            <w:tcBorders>
              <w:top w:val="nil"/>
              <w:left w:val="nil"/>
              <w:bottom w:val="single" w:sz="4" w:space="0" w:color="auto"/>
              <w:right w:val="single" w:sz="4" w:space="0" w:color="auto"/>
            </w:tcBorders>
            <w:shd w:val="clear" w:color="auto" w:fill="auto"/>
            <w:noWrap/>
          </w:tcPr>
          <w:p w14:paraId="6EF9162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0,011</w:t>
            </w:r>
          </w:p>
        </w:tc>
        <w:tc>
          <w:tcPr>
            <w:tcW w:w="1022" w:type="dxa"/>
            <w:tcBorders>
              <w:top w:val="nil"/>
              <w:left w:val="nil"/>
              <w:bottom w:val="single" w:sz="4" w:space="0" w:color="auto"/>
              <w:right w:val="single" w:sz="4" w:space="0" w:color="auto"/>
            </w:tcBorders>
            <w:shd w:val="clear" w:color="auto" w:fill="auto"/>
            <w:noWrap/>
          </w:tcPr>
          <w:p w14:paraId="64D43EA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0,011 %</w:t>
            </w:r>
          </w:p>
        </w:tc>
        <w:tc>
          <w:tcPr>
            <w:tcW w:w="1311" w:type="dxa"/>
            <w:tcBorders>
              <w:top w:val="single" w:sz="4" w:space="0" w:color="auto"/>
              <w:left w:val="nil"/>
              <w:bottom w:val="single" w:sz="4" w:space="0" w:color="auto"/>
              <w:right w:val="single" w:sz="4" w:space="0" w:color="auto"/>
            </w:tcBorders>
          </w:tcPr>
          <w:p w14:paraId="3323EFD6" w14:textId="02F8C86C"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D75183D" w14:textId="6AF2F31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02FA82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F52279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02EF562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8B024A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Mongolie</w:t>
            </w:r>
          </w:p>
        </w:tc>
        <w:tc>
          <w:tcPr>
            <w:tcW w:w="1134" w:type="dxa"/>
            <w:tcBorders>
              <w:top w:val="nil"/>
              <w:left w:val="nil"/>
              <w:bottom w:val="single" w:sz="4" w:space="0" w:color="auto"/>
              <w:right w:val="single" w:sz="4" w:space="0" w:color="auto"/>
            </w:tcBorders>
            <w:shd w:val="clear" w:color="auto" w:fill="auto"/>
            <w:noWrap/>
          </w:tcPr>
          <w:p w14:paraId="487A29D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w:t>
            </w:r>
          </w:p>
        </w:tc>
        <w:tc>
          <w:tcPr>
            <w:tcW w:w="1022" w:type="dxa"/>
            <w:tcBorders>
              <w:top w:val="nil"/>
              <w:left w:val="nil"/>
              <w:bottom w:val="single" w:sz="4" w:space="0" w:color="auto"/>
              <w:right w:val="single" w:sz="4" w:space="0" w:color="auto"/>
            </w:tcBorders>
            <w:shd w:val="clear" w:color="auto" w:fill="auto"/>
            <w:noWrap/>
          </w:tcPr>
          <w:p w14:paraId="11A36EB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0,004 %</w:t>
            </w:r>
          </w:p>
        </w:tc>
        <w:tc>
          <w:tcPr>
            <w:tcW w:w="1311" w:type="dxa"/>
            <w:tcBorders>
              <w:top w:val="single" w:sz="4" w:space="0" w:color="auto"/>
              <w:left w:val="nil"/>
              <w:bottom w:val="single" w:sz="4" w:space="0" w:color="auto"/>
              <w:right w:val="single" w:sz="4" w:space="0" w:color="auto"/>
            </w:tcBorders>
          </w:tcPr>
          <w:p w14:paraId="20CD1C2C" w14:textId="1D2D8AD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5DB9EB3" w14:textId="13F05F54"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15641DA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CD28DB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EE18BC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2C9808B" w14:textId="0AA8980E"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Monténégro</w:t>
            </w:r>
          </w:p>
        </w:tc>
        <w:tc>
          <w:tcPr>
            <w:tcW w:w="1134" w:type="dxa"/>
            <w:tcBorders>
              <w:top w:val="nil"/>
              <w:left w:val="nil"/>
              <w:bottom w:val="single" w:sz="4" w:space="0" w:color="auto"/>
              <w:right w:val="single" w:sz="4" w:space="0" w:color="auto"/>
            </w:tcBorders>
            <w:shd w:val="clear" w:color="auto" w:fill="auto"/>
            <w:noWrap/>
          </w:tcPr>
          <w:p w14:paraId="775534E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w:t>
            </w:r>
          </w:p>
        </w:tc>
        <w:tc>
          <w:tcPr>
            <w:tcW w:w="1022" w:type="dxa"/>
            <w:tcBorders>
              <w:top w:val="nil"/>
              <w:left w:val="nil"/>
              <w:bottom w:val="single" w:sz="4" w:space="0" w:color="auto"/>
              <w:right w:val="single" w:sz="4" w:space="0" w:color="auto"/>
            </w:tcBorders>
            <w:shd w:val="clear" w:color="auto" w:fill="auto"/>
            <w:noWrap/>
          </w:tcPr>
          <w:p w14:paraId="1ADC768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0,004 %</w:t>
            </w:r>
          </w:p>
        </w:tc>
        <w:tc>
          <w:tcPr>
            <w:tcW w:w="1311" w:type="dxa"/>
            <w:tcBorders>
              <w:top w:val="single" w:sz="4" w:space="0" w:color="auto"/>
              <w:left w:val="nil"/>
              <w:bottom w:val="single" w:sz="4" w:space="0" w:color="auto"/>
              <w:right w:val="single" w:sz="4" w:space="0" w:color="auto"/>
            </w:tcBorders>
          </w:tcPr>
          <w:p w14:paraId="61EB30AD" w14:textId="7734F98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6BC4B26" w14:textId="36C1F3A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09BC16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2585D8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699AFE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DB56343"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Mozambique</w:t>
            </w:r>
          </w:p>
        </w:tc>
        <w:tc>
          <w:tcPr>
            <w:tcW w:w="1134" w:type="dxa"/>
            <w:tcBorders>
              <w:top w:val="nil"/>
              <w:left w:val="nil"/>
              <w:bottom w:val="single" w:sz="4" w:space="0" w:color="auto"/>
              <w:right w:val="single" w:sz="4" w:space="0" w:color="auto"/>
            </w:tcBorders>
            <w:shd w:val="clear" w:color="auto" w:fill="auto"/>
            <w:noWrap/>
          </w:tcPr>
          <w:p w14:paraId="22ADCE8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w:t>
            </w:r>
          </w:p>
        </w:tc>
        <w:tc>
          <w:tcPr>
            <w:tcW w:w="1022" w:type="dxa"/>
            <w:tcBorders>
              <w:top w:val="nil"/>
              <w:left w:val="nil"/>
              <w:bottom w:val="single" w:sz="4" w:space="0" w:color="auto"/>
              <w:right w:val="single" w:sz="4" w:space="0" w:color="auto"/>
            </w:tcBorders>
            <w:shd w:val="clear" w:color="auto" w:fill="auto"/>
            <w:noWrap/>
          </w:tcPr>
          <w:p w14:paraId="00D87B3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0,004 %</w:t>
            </w:r>
          </w:p>
        </w:tc>
        <w:tc>
          <w:tcPr>
            <w:tcW w:w="1311" w:type="dxa"/>
            <w:tcBorders>
              <w:top w:val="single" w:sz="4" w:space="0" w:color="auto"/>
              <w:left w:val="nil"/>
              <w:bottom w:val="single" w:sz="4" w:space="0" w:color="auto"/>
              <w:right w:val="single" w:sz="4" w:space="0" w:color="auto"/>
            </w:tcBorders>
          </w:tcPr>
          <w:p w14:paraId="08C5C9CC" w14:textId="627C3A0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BFCB279" w14:textId="6408BA8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857813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50059F6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B7AAB1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0FE6E42"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Myanmar</w:t>
            </w:r>
          </w:p>
        </w:tc>
        <w:tc>
          <w:tcPr>
            <w:tcW w:w="1134" w:type="dxa"/>
            <w:tcBorders>
              <w:top w:val="nil"/>
              <w:left w:val="nil"/>
              <w:bottom w:val="single" w:sz="4" w:space="0" w:color="auto"/>
              <w:right w:val="single" w:sz="4" w:space="0" w:color="auto"/>
            </w:tcBorders>
            <w:shd w:val="clear" w:color="auto" w:fill="auto"/>
            <w:noWrap/>
          </w:tcPr>
          <w:p w14:paraId="6BD8DA6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793F882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465EA770" w14:textId="52CA3232"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556CE7B" w14:textId="5032507B"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E3C12D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21AB608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8876C4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C03124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Namibie</w:t>
            </w:r>
          </w:p>
        </w:tc>
        <w:tc>
          <w:tcPr>
            <w:tcW w:w="1134" w:type="dxa"/>
            <w:tcBorders>
              <w:top w:val="nil"/>
              <w:left w:val="nil"/>
              <w:bottom w:val="single" w:sz="4" w:space="0" w:color="auto"/>
              <w:right w:val="single" w:sz="4" w:space="0" w:color="auto"/>
            </w:tcBorders>
            <w:shd w:val="clear" w:color="auto" w:fill="auto"/>
            <w:noWrap/>
          </w:tcPr>
          <w:p w14:paraId="4CE14E7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0,009</w:t>
            </w:r>
          </w:p>
        </w:tc>
        <w:tc>
          <w:tcPr>
            <w:tcW w:w="1022" w:type="dxa"/>
            <w:tcBorders>
              <w:top w:val="nil"/>
              <w:left w:val="nil"/>
              <w:bottom w:val="single" w:sz="4" w:space="0" w:color="auto"/>
              <w:right w:val="single" w:sz="4" w:space="0" w:color="auto"/>
            </w:tcBorders>
            <w:shd w:val="clear" w:color="auto" w:fill="auto"/>
            <w:noWrap/>
          </w:tcPr>
          <w:p w14:paraId="7A8B094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0,009 %</w:t>
            </w:r>
          </w:p>
        </w:tc>
        <w:tc>
          <w:tcPr>
            <w:tcW w:w="1311" w:type="dxa"/>
            <w:tcBorders>
              <w:top w:val="single" w:sz="4" w:space="0" w:color="auto"/>
              <w:left w:val="nil"/>
              <w:bottom w:val="single" w:sz="4" w:space="0" w:color="auto"/>
              <w:right w:val="single" w:sz="4" w:space="0" w:color="auto"/>
            </w:tcBorders>
          </w:tcPr>
          <w:p w14:paraId="17DD2B14" w14:textId="31F48F57"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2F107BF" w14:textId="6A25D72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3C3018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5B1E7B6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5C11914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E5264C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Népal</w:t>
            </w:r>
          </w:p>
        </w:tc>
        <w:tc>
          <w:tcPr>
            <w:tcW w:w="1134" w:type="dxa"/>
            <w:tcBorders>
              <w:top w:val="nil"/>
              <w:left w:val="nil"/>
              <w:bottom w:val="single" w:sz="4" w:space="0" w:color="auto"/>
              <w:right w:val="single" w:sz="4" w:space="0" w:color="auto"/>
            </w:tcBorders>
            <w:shd w:val="clear" w:color="auto" w:fill="auto"/>
            <w:noWrap/>
          </w:tcPr>
          <w:p w14:paraId="09F0A62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7022A55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5DDFC101" w14:textId="0E2BDB05"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C2DFAE1" w14:textId="7B7A93A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AFE88B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1D0B65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06C4AAE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CE4D8C"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Nicaragua</w:t>
            </w:r>
          </w:p>
        </w:tc>
        <w:tc>
          <w:tcPr>
            <w:tcW w:w="1134" w:type="dxa"/>
            <w:tcBorders>
              <w:top w:val="nil"/>
              <w:left w:val="nil"/>
              <w:bottom w:val="single" w:sz="4" w:space="0" w:color="auto"/>
              <w:right w:val="single" w:sz="4" w:space="0" w:color="auto"/>
            </w:tcBorders>
            <w:shd w:val="clear" w:color="auto" w:fill="auto"/>
            <w:noWrap/>
          </w:tcPr>
          <w:p w14:paraId="7F81D00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0,005</w:t>
            </w:r>
          </w:p>
        </w:tc>
        <w:tc>
          <w:tcPr>
            <w:tcW w:w="1022" w:type="dxa"/>
            <w:tcBorders>
              <w:top w:val="nil"/>
              <w:left w:val="nil"/>
              <w:bottom w:val="single" w:sz="4" w:space="0" w:color="auto"/>
              <w:right w:val="single" w:sz="4" w:space="0" w:color="auto"/>
            </w:tcBorders>
            <w:shd w:val="clear" w:color="auto" w:fill="auto"/>
            <w:noWrap/>
          </w:tcPr>
          <w:p w14:paraId="321639B1"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0,005 %</w:t>
            </w:r>
          </w:p>
        </w:tc>
        <w:tc>
          <w:tcPr>
            <w:tcW w:w="1311" w:type="dxa"/>
            <w:tcBorders>
              <w:top w:val="single" w:sz="4" w:space="0" w:color="auto"/>
              <w:left w:val="nil"/>
              <w:bottom w:val="single" w:sz="4" w:space="0" w:color="auto"/>
              <w:right w:val="single" w:sz="4" w:space="0" w:color="auto"/>
            </w:tcBorders>
          </w:tcPr>
          <w:p w14:paraId="19B0081B"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133AE41"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6B0C12B"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5EF4206"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A27A66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1DC7D9D"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Niger</w:t>
            </w:r>
          </w:p>
        </w:tc>
        <w:tc>
          <w:tcPr>
            <w:tcW w:w="1134" w:type="dxa"/>
            <w:tcBorders>
              <w:top w:val="nil"/>
              <w:left w:val="nil"/>
              <w:bottom w:val="single" w:sz="4" w:space="0" w:color="auto"/>
              <w:right w:val="single" w:sz="4" w:space="0" w:color="auto"/>
            </w:tcBorders>
            <w:shd w:val="clear" w:color="auto" w:fill="auto"/>
            <w:noWrap/>
          </w:tcPr>
          <w:p w14:paraId="42CBBDE3"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0,003</w:t>
            </w:r>
          </w:p>
        </w:tc>
        <w:tc>
          <w:tcPr>
            <w:tcW w:w="1022" w:type="dxa"/>
            <w:tcBorders>
              <w:top w:val="nil"/>
              <w:left w:val="nil"/>
              <w:bottom w:val="single" w:sz="4" w:space="0" w:color="auto"/>
              <w:right w:val="single" w:sz="4" w:space="0" w:color="auto"/>
            </w:tcBorders>
            <w:shd w:val="clear" w:color="auto" w:fill="auto"/>
            <w:noWrap/>
          </w:tcPr>
          <w:p w14:paraId="1D407CBE"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0,003 %</w:t>
            </w:r>
          </w:p>
        </w:tc>
        <w:tc>
          <w:tcPr>
            <w:tcW w:w="1311" w:type="dxa"/>
            <w:tcBorders>
              <w:top w:val="single" w:sz="4" w:space="0" w:color="auto"/>
              <w:left w:val="nil"/>
              <w:bottom w:val="single" w:sz="4" w:space="0" w:color="auto"/>
              <w:right w:val="single" w:sz="4" w:space="0" w:color="auto"/>
            </w:tcBorders>
          </w:tcPr>
          <w:p w14:paraId="4DFE3F3E"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2DCD0C89"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E66A389"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29C885A"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6D6D46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27C916"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Nigéria</w:t>
            </w:r>
          </w:p>
        </w:tc>
        <w:tc>
          <w:tcPr>
            <w:tcW w:w="1134" w:type="dxa"/>
            <w:tcBorders>
              <w:top w:val="nil"/>
              <w:left w:val="nil"/>
              <w:bottom w:val="single" w:sz="4" w:space="0" w:color="auto"/>
              <w:right w:val="single" w:sz="4" w:space="0" w:color="auto"/>
            </w:tcBorders>
            <w:shd w:val="clear" w:color="auto" w:fill="auto"/>
            <w:noWrap/>
          </w:tcPr>
          <w:p w14:paraId="775A1AA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0,182</w:t>
            </w:r>
          </w:p>
        </w:tc>
        <w:tc>
          <w:tcPr>
            <w:tcW w:w="1022" w:type="dxa"/>
            <w:tcBorders>
              <w:top w:val="nil"/>
              <w:left w:val="nil"/>
              <w:bottom w:val="single" w:sz="4" w:space="0" w:color="auto"/>
              <w:right w:val="single" w:sz="4" w:space="0" w:color="auto"/>
            </w:tcBorders>
            <w:shd w:val="clear" w:color="auto" w:fill="auto"/>
            <w:noWrap/>
          </w:tcPr>
          <w:p w14:paraId="56BD1AFC"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0,187 %</w:t>
            </w:r>
          </w:p>
        </w:tc>
        <w:tc>
          <w:tcPr>
            <w:tcW w:w="1311" w:type="dxa"/>
            <w:tcBorders>
              <w:top w:val="single" w:sz="4" w:space="0" w:color="auto"/>
              <w:left w:val="nil"/>
              <w:bottom w:val="single" w:sz="4" w:space="0" w:color="auto"/>
              <w:right w:val="single" w:sz="4" w:space="0" w:color="auto"/>
            </w:tcBorders>
          </w:tcPr>
          <w:p w14:paraId="2FC116E1"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12 236</w:t>
            </w:r>
          </w:p>
        </w:tc>
        <w:tc>
          <w:tcPr>
            <w:tcW w:w="1311" w:type="dxa"/>
            <w:tcBorders>
              <w:top w:val="nil"/>
              <w:left w:val="single" w:sz="4" w:space="0" w:color="auto"/>
              <w:bottom w:val="single" w:sz="4" w:space="0" w:color="auto"/>
              <w:right w:val="single" w:sz="4" w:space="0" w:color="auto"/>
            </w:tcBorders>
            <w:shd w:val="clear" w:color="auto" w:fill="auto"/>
            <w:noWrap/>
          </w:tcPr>
          <w:p w14:paraId="1D978DB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8 911</w:t>
            </w:r>
          </w:p>
        </w:tc>
        <w:tc>
          <w:tcPr>
            <w:tcW w:w="1311" w:type="dxa"/>
            <w:tcBorders>
              <w:top w:val="nil"/>
              <w:left w:val="nil"/>
              <w:bottom w:val="single" w:sz="4" w:space="0" w:color="auto"/>
              <w:right w:val="single" w:sz="4" w:space="0" w:color="auto"/>
            </w:tcBorders>
            <w:shd w:val="clear" w:color="auto" w:fill="auto"/>
            <w:noWrap/>
          </w:tcPr>
          <w:p w14:paraId="5A2415AB"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9 150</w:t>
            </w:r>
          </w:p>
        </w:tc>
        <w:tc>
          <w:tcPr>
            <w:tcW w:w="1312" w:type="dxa"/>
            <w:tcBorders>
              <w:top w:val="nil"/>
              <w:left w:val="nil"/>
              <w:bottom w:val="single" w:sz="4" w:space="0" w:color="auto"/>
              <w:right w:val="single" w:sz="4" w:space="0" w:color="auto"/>
            </w:tcBorders>
            <w:shd w:val="clear" w:color="auto" w:fill="auto"/>
            <w:noWrap/>
          </w:tcPr>
          <w:p w14:paraId="356034D0"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9 594</w:t>
            </w:r>
          </w:p>
        </w:tc>
      </w:tr>
      <w:tr w:rsidR="006B29E4" w:rsidRPr="006B29E4" w14:paraId="48561EC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AA00A4D"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Norvège</w:t>
            </w:r>
          </w:p>
        </w:tc>
        <w:tc>
          <w:tcPr>
            <w:tcW w:w="1134" w:type="dxa"/>
            <w:tcBorders>
              <w:top w:val="nil"/>
              <w:left w:val="nil"/>
              <w:bottom w:val="single" w:sz="4" w:space="0" w:color="auto"/>
              <w:right w:val="single" w:sz="4" w:space="0" w:color="auto"/>
            </w:tcBorders>
            <w:shd w:val="clear" w:color="auto" w:fill="auto"/>
            <w:noWrap/>
          </w:tcPr>
          <w:p w14:paraId="28B8085C"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0,679</w:t>
            </w:r>
          </w:p>
        </w:tc>
        <w:tc>
          <w:tcPr>
            <w:tcW w:w="1022" w:type="dxa"/>
            <w:tcBorders>
              <w:top w:val="nil"/>
              <w:left w:val="nil"/>
              <w:bottom w:val="single" w:sz="4" w:space="0" w:color="auto"/>
              <w:right w:val="single" w:sz="4" w:space="0" w:color="auto"/>
            </w:tcBorders>
            <w:shd w:val="clear" w:color="auto" w:fill="auto"/>
            <w:noWrap/>
          </w:tcPr>
          <w:p w14:paraId="372589D7"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0,697 %</w:t>
            </w:r>
          </w:p>
        </w:tc>
        <w:tc>
          <w:tcPr>
            <w:tcW w:w="1311" w:type="dxa"/>
            <w:tcBorders>
              <w:top w:val="single" w:sz="4" w:space="0" w:color="auto"/>
              <w:left w:val="nil"/>
              <w:bottom w:val="single" w:sz="4" w:space="0" w:color="auto"/>
              <w:right w:val="single" w:sz="4" w:space="0" w:color="auto"/>
            </w:tcBorders>
          </w:tcPr>
          <w:p w14:paraId="3625BD78"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36 905</w:t>
            </w:r>
          </w:p>
        </w:tc>
        <w:tc>
          <w:tcPr>
            <w:tcW w:w="1311" w:type="dxa"/>
            <w:tcBorders>
              <w:top w:val="nil"/>
              <w:left w:val="single" w:sz="4" w:space="0" w:color="auto"/>
              <w:bottom w:val="single" w:sz="4" w:space="0" w:color="auto"/>
              <w:right w:val="single" w:sz="4" w:space="0" w:color="auto"/>
            </w:tcBorders>
            <w:shd w:val="clear" w:color="auto" w:fill="auto"/>
            <w:noWrap/>
          </w:tcPr>
          <w:p w14:paraId="60E27F8E"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33 246</w:t>
            </w:r>
          </w:p>
        </w:tc>
        <w:tc>
          <w:tcPr>
            <w:tcW w:w="1311" w:type="dxa"/>
            <w:tcBorders>
              <w:top w:val="nil"/>
              <w:left w:val="nil"/>
              <w:bottom w:val="single" w:sz="4" w:space="0" w:color="auto"/>
              <w:right w:val="single" w:sz="4" w:space="0" w:color="auto"/>
            </w:tcBorders>
            <w:shd w:val="clear" w:color="auto" w:fill="auto"/>
            <w:noWrap/>
          </w:tcPr>
          <w:p w14:paraId="6C44580E"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34 137</w:t>
            </w:r>
          </w:p>
        </w:tc>
        <w:tc>
          <w:tcPr>
            <w:tcW w:w="1312" w:type="dxa"/>
            <w:tcBorders>
              <w:top w:val="nil"/>
              <w:left w:val="nil"/>
              <w:bottom w:val="single" w:sz="4" w:space="0" w:color="auto"/>
              <w:right w:val="single" w:sz="4" w:space="0" w:color="auto"/>
            </w:tcBorders>
            <w:shd w:val="clear" w:color="auto" w:fill="auto"/>
            <w:noWrap/>
          </w:tcPr>
          <w:p w14:paraId="14F2F964"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35 793</w:t>
            </w:r>
          </w:p>
        </w:tc>
      </w:tr>
      <w:tr w:rsidR="006B29E4" w:rsidRPr="006B29E4" w14:paraId="737003F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6B1D5F9"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Nouvelle-Zélande</w:t>
            </w:r>
          </w:p>
        </w:tc>
        <w:tc>
          <w:tcPr>
            <w:tcW w:w="1134" w:type="dxa"/>
            <w:tcBorders>
              <w:top w:val="nil"/>
              <w:left w:val="nil"/>
              <w:bottom w:val="single" w:sz="4" w:space="0" w:color="auto"/>
              <w:right w:val="single" w:sz="4" w:space="0" w:color="auto"/>
            </w:tcBorders>
            <w:shd w:val="clear" w:color="auto" w:fill="auto"/>
            <w:noWrap/>
          </w:tcPr>
          <w:p w14:paraId="5F6A76F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0,309</w:t>
            </w:r>
          </w:p>
        </w:tc>
        <w:tc>
          <w:tcPr>
            <w:tcW w:w="1022" w:type="dxa"/>
            <w:tcBorders>
              <w:top w:val="nil"/>
              <w:left w:val="nil"/>
              <w:bottom w:val="single" w:sz="4" w:space="0" w:color="auto"/>
              <w:right w:val="single" w:sz="4" w:space="0" w:color="auto"/>
            </w:tcBorders>
            <w:shd w:val="clear" w:color="auto" w:fill="auto"/>
            <w:noWrap/>
          </w:tcPr>
          <w:p w14:paraId="1263B75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0,317 %</w:t>
            </w:r>
          </w:p>
        </w:tc>
        <w:tc>
          <w:tcPr>
            <w:tcW w:w="1311" w:type="dxa"/>
            <w:tcBorders>
              <w:top w:val="single" w:sz="4" w:space="0" w:color="auto"/>
              <w:left w:val="nil"/>
              <w:bottom w:val="single" w:sz="4" w:space="0" w:color="auto"/>
              <w:right w:val="single" w:sz="4" w:space="0" w:color="auto"/>
            </w:tcBorders>
          </w:tcPr>
          <w:p w14:paraId="2F1258A4" w14:textId="536751B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14 243</w:t>
            </w:r>
          </w:p>
        </w:tc>
        <w:tc>
          <w:tcPr>
            <w:tcW w:w="1311" w:type="dxa"/>
            <w:tcBorders>
              <w:top w:val="nil"/>
              <w:left w:val="single" w:sz="4" w:space="0" w:color="auto"/>
              <w:bottom w:val="single" w:sz="4" w:space="0" w:color="auto"/>
              <w:right w:val="single" w:sz="4" w:space="0" w:color="auto"/>
            </w:tcBorders>
            <w:shd w:val="clear" w:color="auto" w:fill="auto"/>
            <w:noWrap/>
          </w:tcPr>
          <w:p w14:paraId="167CEF2E" w14:textId="5B2149E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15 130</w:t>
            </w:r>
          </w:p>
        </w:tc>
        <w:tc>
          <w:tcPr>
            <w:tcW w:w="1311" w:type="dxa"/>
            <w:tcBorders>
              <w:top w:val="nil"/>
              <w:left w:val="nil"/>
              <w:bottom w:val="single" w:sz="4" w:space="0" w:color="auto"/>
              <w:right w:val="single" w:sz="4" w:space="0" w:color="auto"/>
            </w:tcBorders>
            <w:shd w:val="clear" w:color="auto" w:fill="auto"/>
            <w:noWrap/>
          </w:tcPr>
          <w:p w14:paraId="51F06D2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15 535</w:t>
            </w:r>
          </w:p>
        </w:tc>
        <w:tc>
          <w:tcPr>
            <w:tcW w:w="1312" w:type="dxa"/>
            <w:tcBorders>
              <w:top w:val="nil"/>
              <w:left w:val="nil"/>
              <w:bottom w:val="single" w:sz="4" w:space="0" w:color="auto"/>
              <w:right w:val="single" w:sz="4" w:space="0" w:color="auto"/>
            </w:tcBorders>
            <w:shd w:val="clear" w:color="auto" w:fill="auto"/>
            <w:noWrap/>
          </w:tcPr>
          <w:p w14:paraId="0F979EC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16 289</w:t>
            </w:r>
          </w:p>
        </w:tc>
      </w:tr>
      <w:tr w:rsidR="006B29E4" w:rsidRPr="006B29E4" w14:paraId="087D90F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F67B8F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Oman</w:t>
            </w:r>
          </w:p>
        </w:tc>
        <w:tc>
          <w:tcPr>
            <w:tcW w:w="1134" w:type="dxa"/>
            <w:tcBorders>
              <w:top w:val="nil"/>
              <w:left w:val="nil"/>
              <w:bottom w:val="single" w:sz="4" w:space="0" w:color="auto"/>
              <w:right w:val="single" w:sz="4" w:space="0" w:color="auto"/>
            </w:tcBorders>
            <w:shd w:val="clear" w:color="auto" w:fill="auto"/>
            <w:noWrap/>
          </w:tcPr>
          <w:p w14:paraId="692FC7D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0,111</w:t>
            </w:r>
          </w:p>
        </w:tc>
        <w:tc>
          <w:tcPr>
            <w:tcW w:w="1022" w:type="dxa"/>
            <w:tcBorders>
              <w:top w:val="nil"/>
              <w:left w:val="nil"/>
              <w:bottom w:val="single" w:sz="4" w:space="0" w:color="auto"/>
              <w:right w:val="single" w:sz="4" w:space="0" w:color="auto"/>
            </w:tcBorders>
            <w:shd w:val="clear" w:color="auto" w:fill="auto"/>
            <w:noWrap/>
          </w:tcPr>
          <w:p w14:paraId="6912D42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0,114 %</w:t>
            </w:r>
          </w:p>
        </w:tc>
        <w:tc>
          <w:tcPr>
            <w:tcW w:w="1311" w:type="dxa"/>
            <w:tcBorders>
              <w:top w:val="single" w:sz="4" w:space="0" w:color="auto"/>
              <w:left w:val="nil"/>
              <w:bottom w:val="single" w:sz="4" w:space="0" w:color="auto"/>
              <w:right w:val="single" w:sz="4" w:space="0" w:color="auto"/>
            </w:tcBorders>
          </w:tcPr>
          <w:p w14:paraId="5C920015" w14:textId="6872271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5 629</w:t>
            </w:r>
          </w:p>
        </w:tc>
        <w:tc>
          <w:tcPr>
            <w:tcW w:w="1311" w:type="dxa"/>
            <w:tcBorders>
              <w:top w:val="nil"/>
              <w:left w:val="single" w:sz="4" w:space="0" w:color="auto"/>
              <w:bottom w:val="single" w:sz="4" w:space="0" w:color="auto"/>
              <w:right w:val="single" w:sz="4" w:space="0" w:color="auto"/>
            </w:tcBorders>
            <w:shd w:val="clear" w:color="auto" w:fill="auto"/>
            <w:noWrap/>
          </w:tcPr>
          <w:p w14:paraId="1261D3D5" w14:textId="04D241D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5 435</w:t>
            </w:r>
          </w:p>
        </w:tc>
        <w:tc>
          <w:tcPr>
            <w:tcW w:w="1311" w:type="dxa"/>
            <w:tcBorders>
              <w:top w:val="nil"/>
              <w:left w:val="nil"/>
              <w:bottom w:val="single" w:sz="4" w:space="0" w:color="auto"/>
              <w:right w:val="single" w:sz="4" w:space="0" w:color="auto"/>
            </w:tcBorders>
            <w:shd w:val="clear" w:color="auto" w:fill="auto"/>
            <w:noWrap/>
          </w:tcPr>
          <w:p w14:paraId="4E0848E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5 581</w:t>
            </w:r>
          </w:p>
        </w:tc>
        <w:tc>
          <w:tcPr>
            <w:tcW w:w="1312" w:type="dxa"/>
            <w:tcBorders>
              <w:top w:val="nil"/>
              <w:left w:val="nil"/>
              <w:bottom w:val="single" w:sz="4" w:space="0" w:color="auto"/>
              <w:right w:val="single" w:sz="4" w:space="0" w:color="auto"/>
            </w:tcBorders>
            <w:shd w:val="clear" w:color="auto" w:fill="auto"/>
            <w:noWrap/>
          </w:tcPr>
          <w:p w14:paraId="2EE28EE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5 851</w:t>
            </w:r>
          </w:p>
        </w:tc>
      </w:tr>
      <w:tr w:rsidR="006B29E4" w:rsidRPr="006B29E4" w14:paraId="45F9AFB6"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53734E4"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Ouganda</w:t>
            </w:r>
          </w:p>
        </w:tc>
        <w:tc>
          <w:tcPr>
            <w:tcW w:w="1134" w:type="dxa"/>
            <w:tcBorders>
              <w:top w:val="nil"/>
              <w:left w:val="nil"/>
              <w:bottom w:val="single" w:sz="4" w:space="0" w:color="auto"/>
              <w:right w:val="single" w:sz="4" w:space="0" w:color="auto"/>
            </w:tcBorders>
            <w:shd w:val="clear" w:color="auto" w:fill="auto"/>
            <w:noWrap/>
          </w:tcPr>
          <w:p w14:paraId="21F4E812"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4B77BAD4"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4B472B03"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449DD52"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0BC545B"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3FCD80F"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44558E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0F406B1"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Ouzbékistan</w:t>
            </w:r>
          </w:p>
        </w:tc>
        <w:tc>
          <w:tcPr>
            <w:tcW w:w="1134" w:type="dxa"/>
            <w:tcBorders>
              <w:top w:val="nil"/>
              <w:left w:val="nil"/>
              <w:bottom w:val="single" w:sz="4" w:space="0" w:color="auto"/>
              <w:right w:val="single" w:sz="4" w:space="0" w:color="auto"/>
            </w:tcBorders>
            <w:shd w:val="clear" w:color="auto" w:fill="auto"/>
            <w:noWrap/>
          </w:tcPr>
          <w:p w14:paraId="7CB15B8F"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0,027</w:t>
            </w:r>
          </w:p>
        </w:tc>
        <w:tc>
          <w:tcPr>
            <w:tcW w:w="1022" w:type="dxa"/>
            <w:tcBorders>
              <w:top w:val="nil"/>
              <w:left w:val="nil"/>
              <w:bottom w:val="single" w:sz="4" w:space="0" w:color="auto"/>
              <w:right w:val="single" w:sz="4" w:space="0" w:color="auto"/>
            </w:tcBorders>
            <w:shd w:val="clear" w:color="auto" w:fill="auto"/>
            <w:noWrap/>
          </w:tcPr>
          <w:p w14:paraId="3B12840C"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0,028 %</w:t>
            </w:r>
          </w:p>
        </w:tc>
        <w:tc>
          <w:tcPr>
            <w:tcW w:w="1311" w:type="dxa"/>
            <w:tcBorders>
              <w:top w:val="single" w:sz="4" w:space="0" w:color="auto"/>
              <w:left w:val="nil"/>
              <w:bottom w:val="single" w:sz="4" w:space="0" w:color="auto"/>
              <w:right w:val="single" w:sz="4" w:space="0" w:color="auto"/>
            </w:tcBorders>
          </w:tcPr>
          <w:p w14:paraId="50608704"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1 566</w:t>
            </w:r>
          </w:p>
        </w:tc>
        <w:tc>
          <w:tcPr>
            <w:tcW w:w="1311" w:type="dxa"/>
            <w:tcBorders>
              <w:top w:val="nil"/>
              <w:left w:val="single" w:sz="4" w:space="0" w:color="auto"/>
              <w:bottom w:val="single" w:sz="4" w:space="0" w:color="auto"/>
              <w:right w:val="single" w:sz="4" w:space="0" w:color="auto"/>
            </w:tcBorders>
            <w:shd w:val="clear" w:color="auto" w:fill="auto"/>
            <w:noWrap/>
          </w:tcPr>
          <w:p w14:paraId="2228894F"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1 322</w:t>
            </w:r>
          </w:p>
        </w:tc>
        <w:tc>
          <w:tcPr>
            <w:tcW w:w="1311" w:type="dxa"/>
            <w:tcBorders>
              <w:top w:val="nil"/>
              <w:left w:val="nil"/>
              <w:bottom w:val="single" w:sz="4" w:space="0" w:color="auto"/>
              <w:right w:val="single" w:sz="4" w:space="0" w:color="auto"/>
            </w:tcBorders>
            <w:shd w:val="clear" w:color="auto" w:fill="auto"/>
            <w:noWrap/>
          </w:tcPr>
          <w:p w14:paraId="082861E9"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1 357</w:t>
            </w:r>
          </w:p>
        </w:tc>
        <w:tc>
          <w:tcPr>
            <w:tcW w:w="1312" w:type="dxa"/>
            <w:tcBorders>
              <w:top w:val="nil"/>
              <w:left w:val="nil"/>
              <w:bottom w:val="single" w:sz="4" w:space="0" w:color="auto"/>
              <w:right w:val="single" w:sz="4" w:space="0" w:color="auto"/>
            </w:tcBorders>
            <w:shd w:val="clear" w:color="auto" w:fill="auto"/>
            <w:noWrap/>
          </w:tcPr>
          <w:p w14:paraId="1040E2B1"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1 423</w:t>
            </w:r>
          </w:p>
        </w:tc>
      </w:tr>
      <w:tr w:rsidR="006B29E4" w:rsidRPr="006B29E4" w14:paraId="775B17B9"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42F2F3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Pakistan</w:t>
            </w:r>
          </w:p>
        </w:tc>
        <w:tc>
          <w:tcPr>
            <w:tcW w:w="1134" w:type="dxa"/>
            <w:tcBorders>
              <w:top w:val="nil"/>
              <w:left w:val="nil"/>
              <w:bottom w:val="single" w:sz="4" w:space="0" w:color="auto"/>
              <w:right w:val="single" w:sz="4" w:space="0" w:color="auto"/>
            </w:tcBorders>
            <w:shd w:val="clear" w:color="auto" w:fill="auto"/>
            <w:noWrap/>
          </w:tcPr>
          <w:p w14:paraId="313348D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0,114</w:t>
            </w:r>
          </w:p>
        </w:tc>
        <w:tc>
          <w:tcPr>
            <w:tcW w:w="1022" w:type="dxa"/>
            <w:tcBorders>
              <w:top w:val="nil"/>
              <w:left w:val="nil"/>
              <w:bottom w:val="single" w:sz="4" w:space="0" w:color="auto"/>
              <w:right w:val="single" w:sz="4" w:space="0" w:color="auto"/>
            </w:tcBorders>
            <w:shd w:val="clear" w:color="auto" w:fill="auto"/>
            <w:noWrap/>
          </w:tcPr>
          <w:p w14:paraId="177F381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0,117 %</w:t>
            </w:r>
          </w:p>
        </w:tc>
        <w:tc>
          <w:tcPr>
            <w:tcW w:w="1311" w:type="dxa"/>
            <w:tcBorders>
              <w:top w:val="single" w:sz="4" w:space="0" w:color="auto"/>
              <w:left w:val="nil"/>
              <w:bottom w:val="single" w:sz="4" w:space="0" w:color="auto"/>
              <w:right w:val="single" w:sz="4" w:space="0" w:color="auto"/>
            </w:tcBorders>
          </w:tcPr>
          <w:p w14:paraId="4B500EE6" w14:textId="7E5193C9"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5 629</w:t>
            </w:r>
          </w:p>
        </w:tc>
        <w:tc>
          <w:tcPr>
            <w:tcW w:w="1311" w:type="dxa"/>
            <w:tcBorders>
              <w:top w:val="nil"/>
              <w:left w:val="single" w:sz="4" w:space="0" w:color="auto"/>
              <w:bottom w:val="single" w:sz="4" w:space="0" w:color="auto"/>
              <w:right w:val="single" w:sz="4" w:space="0" w:color="auto"/>
            </w:tcBorders>
            <w:shd w:val="clear" w:color="auto" w:fill="auto"/>
            <w:noWrap/>
          </w:tcPr>
          <w:p w14:paraId="069813EB" w14:textId="27712D6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5 582</w:t>
            </w:r>
          </w:p>
        </w:tc>
        <w:tc>
          <w:tcPr>
            <w:tcW w:w="1311" w:type="dxa"/>
            <w:tcBorders>
              <w:top w:val="nil"/>
              <w:left w:val="nil"/>
              <w:bottom w:val="single" w:sz="4" w:space="0" w:color="auto"/>
              <w:right w:val="single" w:sz="4" w:space="0" w:color="auto"/>
            </w:tcBorders>
            <w:shd w:val="clear" w:color="auto" w:fill="auto"/>
            <w:noWrap/>
          </w:tcPr>
          <w:p w14:paraId="1340C30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5 731</w:t>
            </w:r>
          </w:p>
        </w:tc>
        <w:tc>
          <w:tcPr>
            <w:tcW w:w="1312" w:type="dxa"/>
            <w:tcBorders>
              <w:top w:val="nil"/>
              <w:left w:val="nil"/>
              <w:bottom w:val="single" w:sz="4" w:space="0" w:color="auto"/>
              <w:right w:val="single" w:sz="4" w:space="0" w:color="auto"/>
            </w:tcBorders>
            <w:shd w:val="clear" w:color="auto" w:fill="auto"/>
            <w:noWrap/>
          </w:tcPr>
          <w:p w14:paraId="36861D1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6 009</w:t>
            </w:r>
          </w:p>
        </w:tc>
      </w:tr>
      <w:tr w:rsidR="006B29E4" w:rsidRPr="006B29E4" w14:paraId="0424D846"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CAA0652"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Palaos</w:t>
            </w:r>
          </w:p>
        </w:tc>
        <w:tc>
          <w:tcPr>
            <w:tcW w:w="1134" w:type="dxa"/>
            <w:tcBorders>
              <w:top w:val="nil"/>
              <w:left w:val="nil"/>
              <w:bottom w:val="single" w:sz="4" w:space="0" w:color="auto"/>
              <w:right w:val="single" w:sz="4" w:space="0" w:color="auto"/>
            </w:tcBorders>
            <w:shd w:val="clear" w:color="auto" w:fill="auto"/>
            <w:noWrap/>
          </w:tcPr>
          <w:p w14:paraId="21C16A3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141434D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3115CD42" w14:textId="1A9F735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663B0D4A" w14:textId="4F9C3F1E"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279C82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4FFFB6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ECD0BB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489B5A5"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Panama</w:t>
            </w:r>
          </w:p>
        </w:tc>
        <w:tc>
          <w:tcPr>
            <w:tcW w:w="1134" w:type="dxa"/>
            <w:tcBorders>
              <w:top w:val="nil"/>
              <w:left w:val="nil"/>
              <w:bottom w:val="single" w:sz="4" w:space="0" w:color="auto"/>
              <w:right w:val="single" w:sz="4" w:space="0" w:color="auto"/>
            </w:tcBorders>
            <w:shd w:val="clear" w:color="auto" w:fill="auto"/>
            <w:noWrap/>
          </w:tcPr>
          <w:p w14:paraId="020A47F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0,090</w:t>
            </w:r>
          </w:p>
        </w:tc>
        <w:tc>
          <w:tcPr>
            <w:tcW w:w="1022" w:type="dxa"/>
            <w:tcBorders>
              <w:top w:val="nil"/>
              <w:left w:val="nil"/>
              <w:bottom w:val="single" w:sz="4" w:space="0" w:color="auto"/>
              <w:right w:val="single" w:sz="4" w:space="0" w:color="auto"/>
            </w:tcBorders>
            <w:shd w:val="clear" w:color="auto" w:fill="auto"/>
            <w:noWrap/>
          </w:tcPr>
          <w:p w14:paraId="5F77C47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0,092 %</w:t>
            </w:r>
          </w:p>
        </w:tc>
        <w:tc>
          <w:tcPr>
            <w:tcW w:w="1311" w:type="dxa"/>
            <w:tcBorders>
              <w:top w:val="single" w:sz="4" w:space="0" w:color="auto"/>
              <w:left w:val="nil"/>
              <w:bottom w:val="single" w:sz="4" w:space="0" w:color="auto"/>
              <w:right w:val="single" w:sz="4" w:space="0" w:color="auto"/>
            </w:tcBorders>
          </w:tcPr>
          <w:p w14:paraId="67A904F5" w14:textId="7218AB0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2 203</w:t>
            </w:r>
          </w:p>
        </w:tc>
        <w:tc>
          <w:tcPr>
            <w:tcW w:w="1311" w:type="dxa"/>
            <w:tcBorders>
              <w:top w:val="nil"/>
              <w:left w:val="single" w:sz="4" w:space="0" w:color="auto"/>
              <w:bottom w:val="single" w:sz="4" w:space="0" w:color="auto"/>
              <w:right w:val="single" w:sz="4" w:space="0" w:color="auto"/>
            </w:tcBorders>
            <w:shd w:val="clear" w:color="auto" w:fill="auto"/>
            <w:noWrap/>
          </w:tcPr>
          <w:p w14:paraId="10B80A9B" w14:textId="62C49BA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4 407</w:t>
            </w:r>
          </w:p>
        </w:tc>
        <w:tc>
          <w:tcPr>
            <w:tcW w:w="1311" w:type="dxa"/>
            <w:tcBorders>
              <w:top w:val="nil"/>
              <w:left w:val="nil"/>
              <w:bottom w:val="single" w:sz="4" w:space="0" w:color="auto"/>
              <w:right w:val="single" w:sz="4" w:space="0" w:color="auto"/>
            </w:tcBorders>
            <w:shd w:val="clear" w:color="auto" w:fill="auto"/>
            <w:noWrap/>
          </w:tcPr>
          <w:p w14:paraId="7F7BA7D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4 525</w:t>
            </w:r>
          </w:p>
        </w:tc>
        <w:tc>
          <w:tcPr>
            <w:tcW w:w="1312" w:type="dxa"/>
            <w:tcBorders>
              <w:top w:val="nil"/>
              <w:left w:val="nil"/>
              <w:bottom w:val="single" w:sz="4" w:space="0" w:color="auto"/>
              <w:right w:val="single" w:sz="4" w:space="0" w:color="auto"/>
            </w:tcBorders>
            <w:shd w:val="clear" w:color="auto" w:fill="auto"/>
            <w:noWrap/>
          </w:tcPr>
          <w:p w14:paraId="45E29A2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4 744</w:t>
            </w:r>
          </w:p>
        </w:tc>
      </w:tr>
      <w:tr w:rsidR="006B29E4" w:rsidRPr="006B29E4" w14:paraId="161D31FD"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B468102"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Papouasie-Nouvelle-Guinée</w:t>
            </w:r>
          </w:p>
        </w:tc>
        <w:tc>
          <w:tcPr>
            <w:tcW w:w="1134" w:type="dxa"/>
            <w:tcBorders>
              <w:top w:val="nil"/>
              <w:left w:val="nil"/>
              <w:bottom w:val="single" w:sz="4" w:space="0" w:color="auto"/>
              <w:right w:val="single" w:sz="4" w:space="0" w:color="auto"/>
            </w:tcBorders>
            <w:shd w:val="clear" w:color="auto" w:fill="auto"/>
            <w:noWrap/>
          </w:tcPr>
          <w:p w14:paraId="3ACFFF4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5881CAB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03B4706A" w14:textId="3766A80D"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64AD2F5" w14:textId="0214636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F8BB9D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2E669B0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517FBF" w:rsidRPr="006B29E4" w14:paraId="46094CFC" w14:textId="77777777" w:rsidTr="00433C12">
        <w:trPr>
          <w:trHeight w:val="276"/>
        </w:trPr>
        <w:tc>
          <w:tcPr>
            <w:tcW w:w="10065" w:type="dxa"/>
            <w:gridSpan w:val="7"/>
            <w:tcBorders>
              <w:top w:val="single" w:sz="4" w:space="0" w:color="auto"/>
            </w:tcBorders>
            <w:shd w:val="clear" w:color="auto" w:fill="auto"/>
            <w:noWrap/>
          </w:tcPr>
          <w:p w14:paraId="6DD28171" w14:textId="77777777" w:rsidR="00517FBF" w:rsidRPr="00517FBF" w:rsidRDefault="00517FBF" w:rsidP="00433C12">
            <w:pPr>
              <w:ind w:left="0" w:firstLine="0"/>
              <w:rPr>
                <w:rFonts w:asciiTheme="minorHAnsi" w:eastAsia="Times New Roman" w:hAnsiTheme="minorHAnsi" w:cs="Arial"/>
                <w:color w:val="000000"/>
                <w:spacing w:val="-4"/>
                <w:sz w:val="20"/>
                <w:szCs w:val="20"/>
              </w:rPr>
            </w:pPr>
            <w:r w:rsidRPr="00517FBF">
              <w:rPr>
                <w:rFonts w:asciiTheme="minorHAnsi" w:hAnsiTheme="minorHAnsi"/>
                <w:color w:val="000000"/>
                <w:spacing w:val="-4"/>
                <w:sz w:val="20"/>
              </w:rPr>
              <w:t>* Conformément à la résolution A/RES/76/238 des Nations Unies, le barème révisé de l’ONU sera appliqué lorsqu’il sera publié.</w:t>
            </w:r>
          </w:p>
          <w:p w14:paraId="3FBCB8C6" w14:textId="77777777" w:rsidR="00517FBF" w:rsidRPr="006B29E4" w:rsidRDefault="00517FBF" w:rsidP="00433C12">
            <w:pPr>
              <w:ind w:left="0" w:firstLine="0"/>
              <w:rPr>
                <w:rFonts w:asciiTheme="minorHAnsi" w:hAnsiTheme="minorHAnsi"/>
                <w:sz w:val="20"/>
              </w:rPr>
            </w:pPr>
            <w:r w:rsidRPr="001E3C24">
              <w:rPr>
                <w:rFonts w:asciiTheme="minorHAnsi" w:hAnsiTheme="minorHAnsi"/>
                <w:sz w:val="20"/>
              </w:rPr>
              <w:t>*** Uniquement pour 2025, 2023 et 2024 étant identiques au scénario B.</w:t>
            </w:r>
          </w:p>
        </w:tc>
      </w:tr>
      <w:tr w:rsidR="007A30C5" w:rsidRPr="006B29E4" w14:paraId="38FB0B58" w14:textId="77777777" w:rsidTr="00433C12">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01DB176" w14:textId="77777777" w:rsidR="007A30C5" w:rsidRPr="006B29E4" w:rsidRDefault="007A30C5" w:rsidP="00433C12">
            <w:pPr>
              <w:ind w:left="0" w:firstLine="0"/>
              <w:rPr>
                <w:rFonts w:asciiTheme="minorHAnsi" w:eastAsia="Times New Roman" w:hAnsiTheme="minorHAnsi" w:cstheme="minorHAnsi"/>
                <w:sz w:val="20"/>
                <w:szCs w:val="20"/>
              </w:rPr>
            </w:pPr>
            <w:r w:rsidRPr="006B29E4">
              <w:rPr>
                <w:rFonts w:asciiTheme="minorHAnsi" w:hAnsiTheme="minorHAnsi"/>
                <w:sz w:val="20"/>
              </w:rPr>
              <w:lastRenderedPageBreak/>
              <w:t>Paraguay</w:t>
            </w:r>
          </w:p>
        </w:tc>
        <w:tc>
          <w:tcPr>
            <w:tcW w:w="1134" w:type="dxa"/>
            <w:tcBorders>
              <w:top w:val="nil"/>
              <w:left w:val="nil"/>
              <w:bottom w:val="single" w:sz="4" w:space="0" w:color="auto"/>
              <w:right w:val="single" w:sz="4" w:space="0" w:color="auto"/>
            </w:tcBorders>
            <w:shd w:val="clear" w:color="auto" w:fill="auto"/>
            <w:noWrap/>
          </w:tcPr>
          <w:p w14:paraId="1E2DCB4B"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0,026</w:t>
            </w:r>
          </w:p>
        </w:tc>
        <w:tc>
          <w:tcPr>
            <w:tcW w:w="1022" w:type="dxa"/>
            <w:tcBorders>
              <w:top w:val="nil"/>
              <w:left w:val="nil"/>
              <w:bottom w:val="single" w:sz="4" w:space="0" w:color="auto"/>
              <w:right w:val="single" w:sz="4" w:space="0" w:color="auto"/>
            </w:tcBorders>
            <w:shd w:val="clear" w:color="auto" w:fill="auto"/>
            <w:noWrap/>
          </w:tcPr>
          <w:p w14:paraId="5DDCC467"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0,027%</w:t>
            </w:r>
          </w:p>
        </w:tc>
        <w:tc>
          <w:tcPr>
            <w:tcW w:w="1311" w:type="dxa"/>
            <w:tcBorders>
              <w:top w:val="single" w:sz="4" w:space="0" w:color="auto"/>
              <w:left w:val="nil"/>
              <w:bottom w:val="single" w:sz="4" w:space="0" w:color="auto"/>
              <w:right w:val="single" w:sz="4" w:space="0" w:color="auto"/>
            </w:tcBorders>
          </w:tcPr>
          <w:p w14:paraId="79677A2F" w14:textId="77777777" w:rsidR="007A30C5" w:rsidRPr="006B29E4" w:rsidRDefault="007A30C5" w:rsidP="00433C12">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11C743F4"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1 273</w:t>
            </w:r>
          </w:p>
        </w:tc>
        <w:tc>
          <w:tcPr>
            <w:tcW w:w="1311" w:type="dxa"/>
            <w:tcBorders>
              <w:top w:val="nil"/>
              <w:left w:val="nil"/>
              <w:bottom w:val="single" w:sz="4" w:space="0" w:color="auto"/>
              <w:right w:val="single" w:sz="4" w:space="0" w:color="auto"/>
            </w:tcBorders>
            <w:shd w:val="clear" w:color="auto" w:fill="auto"/>
            <w:noWrap/>
          </w:tcPr>
          <w:p w14:paraId="2486AA41"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1 307</w:t>
            </w:r>
          </w:p>
        </w:tc>
        <w:tc>
          <w:tcPr>
            <w:tcW w:w="1312" w:type="dxa"/>
            <w:tcBorders>
              <w:top w:val="nil"/>
              <w:left w:val="nil"/>
              <w:bottom w:val="single" w:sz="4" w:space="0" w:color="auto"/>
              <w:right w:val="single" w:sz="4" w:space="0" w:color="auto"/>
            </w:tcBorders>
            <w:shd w:val="clear" w:color="auto" w:fill="auto"/>
            <w:noWrap/>
          </w:tcPr>
          <w:p w14:paraId="5D3E4572"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1 371</w:t>
            </w:r>
          </w:p>
        </w:tc>
      </w:tr>
      <w:tr w:rsidR="007A30C5" w:rsidRPr="006B29E4" w14:paraId="176D7F41" w14:textId="77777777" w:rsidTr="00433C12">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EEFC26" w14:textId="77777777" w:rsidR="007A30C5" w:rsidRPr="006B29E4" w:rsidRDefault="007A30C5" w:rsidP="00433C12">
            <w:pPr>
              <w:ind w:left="0" w:firstLine="0"/>
              <w:rPr>
                <w:rFonts w:asciiTheme="minorHAnsi" w:eastAsia="Times New Roman" w:hAnsiTheme="minorHAnsi" w:cstheme="minorHAnsi"/>
                <w:sz w:val="20"/>
                <w:szCs w:val="20"/>
              </w:rPr>
            </w:pPr>
            <w:r w:rsidRPr="006B29E4">
              <w:rPr>
                <w:rFonts w:asciiTheme="minorHAnsi" w:hAnsiTheme="minorHAnsi"/>
                <w:sz w:val="20"/>
              </w:rPr>
              <w:t>Pays-Bas</w:t>
            </w:r>
          </w:p>
        </w:tc>
        <w:tc>
          <w:tcPr>
            <w:tcW w:w="1134" w:type="dxa"/>
            <w:tcBorders>
              <w:top w:val="nil"/>
              <w:left w:val="nil"/>
              <w:bottom w:val="single" w:sz="4" w:space="0" w:color="auto"/>
              <w:right w:val="single" w:sz="4" w:space="0" w:color="auto"/>
            </w:tcBorders>
            <w:shd w:val="clear" w:color="auto" w:fill="auto"/>
            <w:noWrap/>
          </w:tcPr>
          <w:p w14:paraId="184BF4BB"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1,377</w:t>
            </w:r>
          </w:p>
        </w:tc>
        <w:tc>
          <w:tcPr>
            <w:tcW w:w="1022" w:type="dxa"/>
            <w:tcBorders>
              <w:top w:val="nil"/>
              <w:left w:val="nil"/>
              <w:bottom w:val="single" w:sz="4" w:space="0" w:color="auto"/>
              <w:right w:val="single" w:sz="4" w:space="0" w:color="auto"/>
            </w:tcBorders>
            <w:shd w:val="clear" w:color="auto" w:fill="auto"/>
            <w:noWrap/>
          </w:tcPr>
          <w:p w14:paraId="34F862E1"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1,414 %</w:t>
            </w:r>
          </w:p>
        </w:tc>
        <w:tc>
          <w:tcPr>
            <w:tcW w:w="1311" w:type="dxa"/>
            <w:tcBorders>
              <w:top w:val="single" w:sz="4" w:space="0" w:color="auto"/>
              <w:left w:val="nil"/>
              <w:bottom w:val="single" w:sz="4" w:space="0" w:color="auto"/>
              <w:right w:val="single" w:sz="4" w:space="0" w:color="auto"/>
            </w:tcBorders>
          </w:tcPr>
          <w:p w14:paraId="37F62D60" w14:textId="77777777" w:rsidR="007A30C5" w:rsidRPr="006B29E4" w:rsidRDefault="007A30C5" w:rsidP="00433C12">
            <w:pPr>
              <w:ind w:left="0" w:firstLine="0"/>
              <w:jc w:val="right"/>
              <w:rPr>
                <w:rFonts w:asciiTheme="minorHAnsi" w:hAnsiTheme="minorHAnsi"/>
                <w:sz w:val="20"/>
              </w:rPr>
            </w:pPr>
            <w:r w:rsidRPr="006B29E4">
              <w:rPr>
                <w:rFonts w:asciiTheme="minorHAnsi" w:hAnsiTheme="minorHAnsi"/>
                <w:sz w:val="20"/>
              </w:rPr>
              <w:t>66 371</w:t>
            </w:r>
          </w:p>
        </w:tc>
        <w:tc>
          <w:tcPr>
            <w:tcW w:w="1311" w:type="dxa"/>
            <w:tcBorders>
              <w:top w:val="nil"/>
              <w:left w:val="single" w:sz="4" w:space="0" w:color="auto"/>
              <w:bottom w:val="single" w:sz="4" w:space="0" w:color="auto"/>
              <w:right w:val="single" w:sz="4" w:space="0" w:color="auto"/>
            </w:tcBorders>
            <w:shd w:val="clear" w:color="auto" w:fill="auto"/>
            <w:noWrap/>
          </w:tcPr>
          <w:p w14:paraId="7A379B55"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67 422</w:t>
            </w:r>
          </w:p>
        </w:tc>
        <w:tc>
          <w:tcPr>
            <w:tcW w:w="1311" w:type="dxa"/>
            <w:tcBorders>
              <w:top w:val="nil"/>
              <w:left w:val="nil"/>
              <w:bottom w:val="single" w:sz="4" w:space="0" w:color="auto"/>
              <w:right w:val="single" w:sz="4" w:space="0" w:color="auto"/>
            </w:tcBorders>
            <w:shd w:val="clear" w:color="auto" w:fill="auto"/>
            <w:noWrap/>
          </w:tcPr>
          <w:p w14:paraId="424EF574"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69 229</w:t>
            </w:r>
          </w:p>
        </w:tc>
        <w:tc>
          <w:tcPr>
            <w:tcW w:w="1312" w:type="dxa"/>
            <w:tcBorders>
              <w:top w:val="nil"/>
              <w:left w:val="nil"/>
              <w:bottom w:val="single" w:sz="4" w:space="0" w:color="auto"/>
              <w:right w:val="single" w:sz="4" w:space="0" w:color="auto"/>
            </w:tcBorders>
            <w:shd w:val="clear" w:color="auto" w:fill="auto"/>
            <w:noWrap/>
          </w:tcPr>
          <w:p w14:paraId="6A2B3A6E" w14:textId="77777777" w:rsidR="007A30C5" w:rsidRPr="006B29E4" w:rsidRDefault="007A30C5" w:rsidP="00433C12">
            <w:pPr>
              <w:ind w:left="0" w:firstLine="0"/>
              <w:jc w:val="right"/>
              <w:rPr>
                <w:rFonts w:asciiTheme="minorHAnsi" w:eastAsia="Times New Roman" w:hAnsiTheme="minorHAnsi" w:cstheme="minorHAnsi"/>
                <w:sz w:val="20"/>
                <w:szCs w:val="20"/>
              </w:rPr>
            </w:pPr>
            <w:r w:rsidRPr="006B29E4">
              <w:rPr>
                <w:rFonts w:asciiTheme="minorHAnsi" w:hAnsiTheme="minorHAnsi"/>
                <w:sz w:val="20"/>
              </w:rPr>
              <w:t>72 587</w:t>
            </w:r>
          </w:p>
        </w:tc>
      </w:tr>
      <w:tr w:rsidR="006B29E4" w:rsidRPr="006B29E4" w14:paraId="6CEC0F9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CDEDD3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Pérou</w:t>
            </w:r>
          </w:p>
        </w:tc>
        <w:tc>
          <w:tcPr>
            <w:tcW w:w="1134" w:type="dxa"/>
            <w:tcBorders>
              <w:top w:val="nil"/>
              <w:left w:val="nil"/>
              <w:bottom w:val="single" w:sz="4" w:space="0" w:color="auto"/>
              <w:right w:val="single" w:sz="4" w:space="0" w:color="auto"/>
            </w:tcBorders>
            <w:shd w:val="clear" w:color="auto" w:fill="auto"/>
            <w:noWrap/>
          </w:tcPr>
          <w:p w14:paraId="5CD908B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0,163</w:t>
            </w:r>
          </w:p>
        </w:tc>
        <w:tc>
          <w:tcPr>
            <w:tcW w:w="1022" w:type="dxa"/>
            <w:tcBorders>
              <w:top w:val="nil"/>
              <w:left w:val="nil"/>
              <w:bottom w:val="single" w:sz="4" w:space="0" w:color="auto"/>
              <w:right w:val="single" w:sz="4" w:space="0" w:color="auto"/>
            </w:tcBorders>
            <w:shd w:val="clear" w:color="auto" w:fill="auto"/>
            <w:noWrap/>
          </w:tcPr>
          <w:p w14:paraId="0D2FC20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0,167%</w:t>
            </w:r>
          </w:p>
        </w:tc>
        <w:tc>
          <w:tcPr>
            <w:tcW w:w="1311" w:type="dxa"/>
            <w:tcBorders>
              <w:top w:val="single" w:sz="4" w:space="0" w:color="auto"/>
              <w:left w:val="nil"/>
              <w:bottom w:val="single" w:sz="4" w:space="0" w:color="auto"/>
              <w:right w:val="single" w:sz="4" w:space="0" w:color="auto"/>
            </w:tcBorders>
          </w:tcPr>
          <w:p w14:paraId="61F79B8C" w14:textId="442FE13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7 440</w:t>
            </w:r>
          </w:p>
        </w:tc>
        <w:tc>
          <w:tcPr>
            <w:tcW w:w="1311" w:type="dxa"/>
            <w:tcBorders>
              <w:top w:val="nil"/>
              <w:left w:val="single" w:sz="4" w:space="0" w:color="auto"/>
              <w:bottom w:val="single" w:sz="4" w:space="0" w:color="auto"/>
              <w:right w:val="single" w:sz="4" w:space="0" w:color="auto"/>
            </w:tcBorders>
            <w:shd w:val="clear" w:color="auto" w:fill="auto"/>
            <w:noWrap/>
          </w:tcPr>
          <w:p w14:paraId="7C342C55" w14:textId="09517C2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7 981</w:t>
            </w:r>
          </w:p>
        </w:tc>
        <w:tc>
          <w:tcPr>
            <w:tcW w:w="1311" w:type="dxa"/>
            <w:tcBorders>
              <w:top w:val="nil"/>
              <w:left w:val="nil"/>
              <w:bottom w:val="single" w:sz="4" w:space="0" w:color="auto"/>
              <w:right w:val="single" w:sz="4" w:space="0" w:color="auto"/>
            </w:tcBorders>
            <w:shd w:val="clear" w:color="auto" w:fill="auto"/>
            <w:noWrap/>
          </w:tcPr>
          <w:p w14:paraId="7895C13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8 195</w:t>
            </w:r>
          </w:p>
        </w:tc>
        <w:tc>
          <w:tcPr>
            <w:tcW w:w="1312" w:type="dxa"/>
            <w:tcBorders>
              <w:top w:val="nil"/>
              <w:left w:val="nil"/>
              <w:bottom w:val="single" w:sz="4" w:space="0" w:color="auto"/>
              <w:right w:val="single" w:sz="4" w:space="0" w:color="auto"/>
            </w:tcBorders>
            <w:shd w:val="clear" w:color="auto" w:fill="auto"/>
            <w:noWrap/>
          </w:tcPr>
          <w:p w14:paraId="24237E3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8 592</w:t>
            </w:r>
          </w:p>
        </w:tc>
      </w:tr>
      <w:tr w:rsidR="006B29E4" w:rsidRPr="006B29E4" w14:paraId="39612DB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71FC91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Philippines</w:t>
            </w:r>
          </w:p>
        </w:tc>
        <w:tc>
          <w:tcPr>
            <w:tcW w:w="1134" w:type="dxa"/>
            <w:tcBorders>
              <w:top w:val="nil"/>
              <w:left w:val="nil"/>
              <w:bottom w:val="single" w:sz="4" w:space="0" w:color="auto"/>
              <w:right w:val="single" w:sz="4" w:space="0" w:color="auto"/>
            </w:tcBorders>
            <w:shd w:val="clear" w:color="auto" w:fill="auto"/>
            <w:noWrap/>
          </w:tcPr>
          <w:p w14:paraId="59721CB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0,212</w:t>
            </w:r>
          </w:p>
        </w:tc>
        <w:tc>
          <w:tcPr>
            <w:tcW w:w="1022" w:type="dxa"/>
            <w:tcBorders>
              <w:top w:val="nil"/>
              <w:left w:val="nil"/>
              <w:bottom w:val="single" w:sz="4" w:space="0" w:color="auto"/>
              <w:right w:val="single" w:sz="4" w:space="0" w:color="auto"/>
            </w:tcBorders>
            <w:shd w:val="clear" w:color="auto" w:fill="auto"/>
            <w:noWrap/>
          </w:tcPr>
          <w:p w14:paraId="09C5975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0,218 %</w:t>
            </w:r>
          </w:p>
        </w:tc>
        <w:tc>
          <w:tcPr>
            <w:tcW w:w="1311" w:type="dxa"/>
            <w:tcBorders>
              <w:top w:val="single" w:sz="4" w:space="0" w:color="auto"/>
              <w:left w:val="nil"/>
              <w:bottom w:val="single" w:sz="4" w:space="0" w:color="auto"/>
              <w:right w:val="single" w:sz="4" w:space="0" w:color="auto"/>
            </w:tcBorders>
          </w:tcPr>
          <w:p w14:paraId="5DDD6C5D" w14:textId="7BDEE2A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10 034</w:t>
            </w:r>
          </w:p>
        </w:tc>
        <w:tc>
          <w:tcPr>
            <w:tcW w:w="1311" w:type="dxa"/>
            <w:tcBorders>
              <w:top w:val="nil"/>
              <w:left w:val="single" w:sz="4" w:space="0" w:color="auto"/>
              <w:bottom w:val="single" w:sz="4" w:space="0" w:color="auto"/>
              <w:right w:val="single" w:sz="4" w:space="0" w:color="auto"/>
            </w:tcBorders>
            <w:shd w:val="clear" w:color="auto" w:fill="auto"/>
            <w:noWrap/>
          </w:tcPr>
          <w:p w14:paraId="7C4CABAA" w14:textId="1AAC113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10 380</w:t>
            </w:r>
          </w:p>
        </w:tc>
        <w:tc>
          <w:tcPr>
            <w:tcW w:w="1311" w:type="dxa"/>
            <w:tcBorders>
              <w:top w:val="nil"/>
              <w:left w:val="nil"/>
              <w:bottom w:val="single" w:sz="4" w:space="0" w:color="auto"/>
              <w:right w:val="single" w:sz="4" w:space="0" w:color="auto"/>
            </w:tcBorders>
            <w:shd w:val="clear" w:color="auto" w:fill="auto"/>
            <w:noWrap/>
          </w:tcPr>
          <w:p w14:paraId="246293A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10 658</w:t>
            </w:r>
          </w:p>
        </w:tc>
        <w:tc>
          <w:tcPr>
            <w:tcW w:w="1312" w:type="dxa"/>
            <w:tcBorders>
              <w:top w:val="nil"/>
              <w:left w:val="nil"/>
              <w:bottom w:val="single" w:sz="4" w:space="0" w:color="auto"/>
              <w:right w:val="single" w:sz="4" w:space="0" w:color="auto"/>
            </w:tcBorders>
            <w:shd w:val="clear" w:color="auto" w:fill="auto"/>
            <w:noWrap/>
          </w:tcPr>
          <w:p w14:paraId="74C6D03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11 175</w:t>
            </w:r>
          </w:p>
        </w:tc>
      </w:tr>
      <w:tr w:rsidR="006B29E4" w:rsidRPr="006B29E4" w14:paraId="0CDD270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0235CC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Pologne</w:t>
            </w:r>
          </w:p>
        </w:tc>
        <w:tc>
          <w:tcPr>
            <w:tcW w:w="1134" w:type="dxa"/>
            <w:tcBorders>
              <w:top w:val="nil"/>
              <w:left w:val="nil"/>
              <w:bottom w:val="single" w:sz="4" w:space="0" w:color="auto"/>
              <w:right w:val="single" w:sz="4" w:space="0" w:color="auto"/>
            </w:tcBorders>
            <w:shd w:val="clear" w:color="auto" w:fill="auto"/>
            <w:noWrap/>
          </w:tcPr>
          <w:p w14:paraId="47AB514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0,837</w:t>
            </w:r>
          </w:p>
        </w:tc>
        <w:tc>
          <w:tcPr>
            <w:tcW w:w="1022" w:type="dxa"/>
            <w:tcBorders>
              <w:top w:val="nil"/>
              <w:left w:val="nil"/>
              <w:bottom w:val="single" w:sz="4" w:space="0" w:color="auto"/>
              <w:right w:val="single" w:sz="4" w:space="0" w:color="auto"/>
            </w:tcBorders>
            <w:shd w:val="clear" w:color="auto" w:fill="auto"/>
            <w:noWrap/>
          </w:tcPr>
          <w:p w14:paraId="125ADF5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0,859 %</w:t>
            </w:r>
          </w:p>
        </w:tc>
        <w:tc>
          <w:tcPr>
            <w:tcW w:w="1311" w:type="dxa"/>
            <w:tcBorders>
              <w:top w:val="single" w:sz="4" w:space="0" w:color="auto"/>
              <w:left w:val="nil"/>
              <w:bottom w:val="single" w:sz="4" w:space="0" w:color="auto"/>
              <w:right w:val="single" w:sz="4" w:space="0" w:color="auto"/>
            </w:tcBorders>
          </w:tcPr>
          <w:p w14:paraId="3128704F" w14:textId="30A9EFF2"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39 255</w:t>
            </w:r>
          </w:p>
        </w:tc>
        <w:tc>
          <w:tcPr>
            <w:tcW w:w="1311" w:type="dxa"/>
            <w:tcBorders>
              <w:top w:val="nil"/>
              <w:left w:val="single" w:sz="4" w:space="0" w:color="auto"/>
              <w:bottom w:val="single" w:sz="4" w:space="0" w:color="auto"/>
              <w:right w:val="single" w:sz="4" w:space="0" w:color="auto"/>
            </w:tcBorders>
            <w:shd w:val="clear" w:color="auto" w:fill="auto"/>
            <w:noWrap/>
          </w:tcPr>
          <w:p w14:paraId="43373425" w14:textId="354BCA0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40 982</w:t>
            </w:r>
          </w:p>
        </w:tc>
        <w:tc>
          <w:tcPr>
            <w:tcW w:w="1311" w:type="dxa"/>
            <w:tcBorders>
              <w:top w:val="nil"/>
              <w:left w:val="nil"/>
              <w:bottom w:val="single" w:sz="4" w:space="0" w:color="auto"/>
              <w:right w:val="single" w:sz="4" w:space="0" w:color="auto"/>
            </w:tcBorders>
            <w:shd w:val="clear" w:color="auto" w:fill="auto"/>
            <w:noWrap/>
          </w:tcPr>
          <w:p w14:paraId="37D84EF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42 080</w:t>
            </w:r>
          </w:p>
        </w:tc>
        <w:tc>
          <w:tcPr>
            <w:tcW w:w="1312" w:type="dxa"/>
            <w:tcBorders>
              <w:top w:val="nil"/>
              <w:left w:val="nil"/>
              <w:bottom w:val="single" w:sz="4" w:space="0" w:color="auto"/>
              <w:right w:val="single" w:sz="4" w:space="0" w:color="auto"/>
            </w:tcBorders>
            <w:shd w:val="clear" w:color="auto" w:fill="auto"/>
            <w:noWrap/>
          </w:tcPr>
          <w:p w14:paraId="005A970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44 121</w:t>
            </w:r>
          </w:p>
        </w:tc>
      </w:tr>
      <w:tr w:rsidR="006B29E4" w:rsidRPr="006B29E4" w14:paraId="049C61B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B2EE57A"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Portugal</w:t>
            </w:r>
          </w:p>
        </w:tc>
        <w:tc>
          <w:tcPr>
            <w:tcW w:w="1134" w:type="dxa"/>
            <w:tcBorders>
              <w:top w:val="nil"/>
              <w:left w:val="nil"/>
              <w:bottom w:val="single" w:sz="4" w:space="0" w:color="auto"/>
              <w:right w:val="single" w:sz="4" w:space="0" w:color="auto"/>
            </w:tcBorders>
            <w:shd w:val="clear" w:color="auto" w:fill="auto"/>
            <w:noWrap/>
          </w:tcPr>
          <w:p w14:paraId="71263A0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0,353</w:t>
            </w:r>
          </w:p>
        </w:tc>
        <w:tc>
          <w:tcPr>
            <w:tcW w:w="1022" w:type="dxa"/>
            <w:tcBorders>
              <w:top w:val="nil"/>
              <w:left w:val="nil"/>
              <w:bottom w:val="single" w:sz="4" w:space="0" w:color="auto"/>
              <w:right w:val="single" w:sz="4" w:space="0" w:color="auto"/>
            </w:tcBorders>
            <w:shd w:val="clear" w:color="auto" w:fill="auto"/>
            <w:noWrap/>
          </w:tcPr>
          <w:p w14:paraId="628E28E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0,362 %</w:t>
            </w:r>
          </w:p>
        </w:tc>
        <w:tc>
          <w:tcPr>
            <w:tcW w:w="1311" w:type="dxa"/>
            <w:tcBorders>
              <w:top w:val="single" w:sz="4" w:space="0" w:color="auto"/>
              <w:left w:val="nil"/>
              <w:bottom w:val="single" w:sz="4" w:space="0" w:color="auto"/>
              <w:right w:val="single" w:sz="4" w:space="0" w:color="auto"/>
            </w:tcBorders>
          </w:tcPr>
          <w:p w14:paraId="20DD1D7B" w14:textId="0266D14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17 131</w:t>
            </w:r>
          </w:p>
        </w:tc>
        <w:tc>
          <w:tcPr>
            <w:tcW w:w="1311" w:type="dxa"/>
            <w:tcBorders>
              <w:top w:val="nil"/>
              <w:left w:val="single" w:sz="4" w:space="0" w:color="auto"/>
              <w:bottom w:val="single" w:sz="4" w:space="0" w:color="auto"/>
              <w:right w:val="single" w:sz="4" w:space="0" w:color="auto"/>
            </w:tcBorders>
            <w:shd w:val="clear" w:color="auto" w:fill="auto"/>
            <w:noWrap/>
          </w:tcPr>
          <w:p w14:paraId="02C38BC6" w14:textId="60516C79"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17 284</w:t>
            </w:r>
          </w:p>
        </w:tc>
        <w:tc>
          <w:tcPr>
            <w:tcW w:w="1311" w:type="dxa"/>
            <w:tcBorders>
              <w:top w:val="nil"/>
              <w:left w:val="nil"/>
              <w:bottom w:val="single" w:sz="4" w:space="0" w:color="auto"/>
              <w:right w:val="single" w:sz="4" w:space="0" w:color="auto"/>
            </w:tcBorders>
            <w:shd w:val="clear" w:color="auto" w:fill="auto"/>
            <w:noWrap/>
          </w:tcPr>
          <w:p w14:paraId="22D5CF5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17 747</w:t>
            </w:r>
          </w:p>
        </w:tc>
        <w:tc>
          <w:tcPr>
            <w:tcW w:w="1312" w:type="dxa"/>
            <w:tcBorders>
              <w:top w:val="nil"/>
              <w:left w:val="nil"/>
              <w:bottom w:val="single" w:sz="4" w:space="0" w:color="auto"/>
              <w:right w:val="single" w:sz="4" w:space="0" w:color="auto"/>
            </w:tcBorders>
            <w:shd w:val="clear" w:color="auto" w:fill="auto"/>
            <w:noWrap/>
          </w:tcPr>
          <w:p w14:paraId="7F80477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18 608</w:t>
            </w:r>
          </w:p>
        </w:tc>
      </w:tr>
      <w:tr w:rsidR="006B29E4" w:rsidRPr="006B29E4" w14:paraId="1101203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9CDE851"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République arabe syrienne</w:t>
            </w:r>
          </w:p>
        </w:tc>
        <w:tc>
          <w:tcPr>
            <w:tcW w:w="1134" w:type="dxa"/>
            <w:tcBorders>
              <w:top w:val="nil"/>
              <w:left w:val="nil"/>
              <w:bottom w:val="single" w:sz="4" w:space="0" w:color="auto"/>
              <w:right w:val="single" w:sz="4" w:space="0" w:color="auto"/>
            </w:tcBorders>
            <w:shd w:val="clear" w:color="auto" w:fill="auto"/>
            <w:noWrap/>
          </w:tcPr>
          <w:p w14:paraId="3B562EC7"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0,009</w:t>
            </w:r>
          </w:p>
        </w:tc>
        <w:tc>
          <w:tcPr>
            <w:tcW w:w="1022" w:type="dxa"/>
            <w:tcBorders>
              <w:top w:val="nil"/>
              <w:left w:val="nil"/>
              <w:bottom w:val="single" w:sz="4" w:space="0" w:color="auto"/>
              <w:right w:val="single" w:sz="4" w:space="0" w:color="auto"/>
            </w:tcBorders>
            <w:shd w:val="clear" w:color="auto" w:fill="auto"/>
            <w:noWrap/>
          </w:tcPr>
          <w:p w14:paraId="744D5E30"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0,009 %</w:t>
            </w:r>
          </w:p>
        </w:tc>
        <w:tc>
          <w:tcPr>
            <w:tcW w:w="1311" w:type="dxa"/>
            <w:tcBorders>
              <w:top w:val="single" w:sz="4" w:space="0" w:color="auto"/>
              <w:left w:val="nil"/>
              <w:bottom w:val="single" w:sz="4" w:space="0" w:color="auto"/>
              <w:right w:val="single" w:sz="4" w:space="0" w:color="auto"/>
            </w:tcBorders>
          </w:tcPr>
          <w:p w14:paraId="57233ED6"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E2E8B0E"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A9986D4"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ED65ED6"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597933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C7F1C7C" w14:textId="77777777" w:rsidR="001E3C24" w:rsidRPr="006B29E4" w:rsidRDefault="001E3C24" w:rsidP="00A31639">
            <w:pPr>
              <w:ind w:left="0" w:firstLine="0"/>
              <w:rPr>
                <w:rFonts w:asciiTheme="minorHAnsi" w:eastAsia="Times New Roman" w:hAnsiTheme="minorHAnsi" w:cstheme="minorHAnsi"/>
                <w:sz w:val="20"/>
                <w:szCs w:val="20"/>
              </w:rPr>
            </w:pPr>
            <w:r w:rsidRPr="006B29E4">
              <w:rPr>
                <w:rFonts w:asciiTheme="minorHAnsi" w:hAnsiTheme="minorHAnsi"/>
                <w:sz w:val="20"/>
              </w:rPr>
              <w:t>République centrafricaine</w:t>
            </w:r>
          </w:p>
        </w:tc>
        <w:tc>
          <w:tcPr>
            <w:tcW w:w="1134" w:type="dxa"/>
            <w:tcBorders>
              <w:top w:val="nil"/>
              <w:left w:val="nil"/>
              <w:bottom w:val="single" w:sz="4" w:space="0" w:color="auto"/>
              <w:right w:val="single" w:sz="4" w:space="0" w:color="auto"/>
            </w:tcBorders>
            <w:shd w:val="clear" w:color="auto" w:fill="auto"/>
            <w:noWrap/>
          </w:tcPr>
          <w:p w14:paraId="6374B496"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0F40BBEE"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41766058" w14:textId="77777777" w:rsidR="001E3C24" w:rsidRPr="006B29E4" w:rsidRDefault="001E3C24"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55AE35C"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AD146FE"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99D60CF" w14:textId="77777777" w:rsidR="001E3C24" w:rsidRPr="006B29E4" w:rsidRDefault="001E3C2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72DFE3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E5E223D"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République de Corée</w:t>
            </w:r>
          </w:p>
        </w:tc>
        <w:tc>
          <w:tcPr>
            <w:tcW w:w="1134" w:type="dxa"/>
            <w:tcBorders>
              <w:top w:val="nil"/>
              <w:left w:val="nil"/>
              <w:bottom w:val="single" w:sz="4" w:space="0" w:color="auto"/>
              <w:right w:val="single" w:sz="4" w:space="0" w:color="auto"/>
            </w:tcBorders>
            <w:shd w:val="clear" w:color="auto" w:fill="auto"/>
            <w:noWrap/>
          </w:tcPr>
          <w:p w14:paraId="7C54802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2,574</w:t>
            </w:r>
          </w:p>
        </w:tc>
        <w:tc>
          <w:tcPr>
            <w:tcW w:w="1022" w:type="dxa"/>
            <w:tcBorders>
              <w:top w:val="nil"/>
              <w:left w:val="nil"/>
              <w:bottom w:val="single" w:sz="4" w:space="0" w:color="auto"/>
              <w:right w:val="single" w:sz="4" w:space="0" w:color="auto"/>
            </w:tcBorders>
            <w:shd w:val="clear" w:color="auto" w:fill="auto"/>
            <w:noWrap/>
          </w:tcPr>
          <w:p w14:paraId="50C5846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2,643 %</w:t>
            </w:r>
          </w:p>
        </w:tc>
        <w:tc>
          <w:tcPr>
            <w:tcW w:w="1311" w:type="dxa"/>
            <w:tcBorders>
              <w:top w:val="single" w:sz="4" w:space="0" w:color="auto"/>
              <w:left w:val="nil"/>
              <w:bottom w:val="single" w:sz="4" w:space="0" w:color="auto"/>
              <w:right w:val="single" w:sz="4" w:space="0" w:color="auto"/>
            </w:tcBorders>
          </w:tcPr>
          <w:p w14:paraId="43C391F2" w14:textId="3D77A41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110 960</w:t>
            </w:r>
          </w:p>
        </w:tc>
        <w:tc>
          <w:tcPr>
            <w:tcW w:w="1311" w:type="dxa"/>
            <w:tcBorders>
              <w:top w:val="nil"/>
              <w:left w:val="single" w:sz="4" w:space="0" w:color="auto"/>
              <w:bottom w:val="single" w:sz="4" w:space="0" w:color="auto"/>
              <w:right w:val="single" w:sz="4" w:space="0" w:color="auto"/>
            </w:tcBorders>
            <w:shd w:val="clear" w:color="auto" w:fill="auto"/>
            <w:noWrap/>
          </w:tcPr>
          <w:p w14:paraId="44763A37" w14:textId="62D9366E"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126 030</w:t>
            </w:r>
          </w:p>
        </w:tc>
        <w:tc>
          <w:tcPr>
            <w:tcW w:w="1311" w:type="dxa"/>
            <w:tcBorders>
              <w:top w:val="nil"/>
              <w:left w:val="nil"/>
              <w:bottom w:val="single" w:sz="4" w:space="0" w:color="auto"/>
              <w:right w:val="single" w:sz="4" w:space="0" w:color="auto"/>
            </w:tcBorders>
            <w:shd w:val="clear" w:color="auto" w:fill="auto"/>
            <w:noWrap/>
          </w:tcPr>
          <w:p w14:paraId="06A42A0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129 408</w:t>
            </w:r>
          </w:p>
        </w:tc>
        <w:tc>
          <w:tcPr>
            <w:tcW w:w="1312" w:type="dxa"/>
            <w:tcBorders>
              <w:top w:val="nil"/>
              <w:left w:val="nil"/>
              <w:bottom w:val="single" w:sz="4" w:space="0" w:color="auto"/>
              <w:right w:val="single" w:sz="4" w:space="0" w:color="auto"/>
            </w:tcBorders>
            <w:shd w:val="clear" w:color="auto" w:fill="auto"/>
            <w:noWrap/>
          </w:tcPr>
          <w:p w14:paraId="62EDCE9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135 685</w:t>
            </w:r>
          </w:p>
        </w:tc>
      </w:tr>
      <w:tr w:rsidR="006B29E4" w:rsidRPr="006B29E4" w14:paraId="675A629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A7E7EC9"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 xml:space="preserve">République de Moldova </w:t>
            </w:r>
          </w:p>
        </w:tc>
        <w:tc>
          <w:tcPr>
            <w:tcW w:w="1134" w:type="dxa"/>
            <w:tcBorders>
              <w:top w:val="nil"/>
              <w:left w:val="nil"/>
              <w:bottom w:val="single" w:sz="4" w:space="0" w:color="auto"/>
              <w:right w:val="single" w:sz="4" w:space="0" w:color="auto"/>
            </w:tcBorders>
            <w:shd w:val="clear" w:color="auto" w:fill="auto"/>
            <w:noWrap/>
          </w:tcPr>
          <w:p w14:paraId="61D2DA0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w:t>
            </w:r>
          </w:p>
        </w:tc>
        <w:tc>
          <w:tcPr>
            <w:tcW w:w="1022" w:type="dxa"/>
            <w:tcBorders>
              <w:top w:val="nil"/>
              <w:left w:val="nil"/>
              <w:bottom w:val="single" w:sz="4" w:space="0" w:color="auto"/>
              <w:right w:val="single" w:sz="4" w:space="0" w:color="auto"/>
            </w:tcBorders>
            <w:shd w:val="clear" w:color="auto" w:fill="auto"/>
            <w:noWrap/>
          </w:tcPr>
          <w:p w14:paraId="710440C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0,005 %</w:t>
            </w:r>
          </w:p>
        </w:tc>
        <w:tc>
          <w:tcPr>
            <w:tcW w:w="1311" w:type="dxa"/>
            <w:tcBorders>
              <w:top w:val="single" w:sz="4" w:space="0" w:color="auto"/>
              <w:left w:val="nil"/>
              <w:bottom w:val="single" w:sz="4" w:space="0" w:color="auto"/>
              <w:right w:val="single" w:sz="4" w:space="0" w:color="auto"/>
            </w:tcBorders>
          </w:tcPr>
          <w:p w14:paraId="0BCC6115" w14:textId="31DF575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B36B9A9" w14:textId="159271D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D7D637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E5C676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688E256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E414F8E"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République démocratique du Congo</w:t>
            </w:r>
          </w:p>
        </w:tc>
        <w:tc>
          <w:tcPr>
            <w:tcW w:w="1134" w:type="dxa"/>
            <w:tcBorders>
              <w:top w:val="nil"/>
              <w:left w:val="nil"/>
              <w:bottom w:val="single" w:sz="4" w:space="0" w:color="auto"/>
              <w:right w:val="single" w:sz="4" w:space="0" w:color="auto"/>
            </w:tcBorders>
            <w:shd w:val="clear" w:color="auto" w:fill="auto"/>
            <w:noWrap/>
          </w:tcPr>
          <w:p w14:paraId="1A95B871"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7CD18B92"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0DE4514C"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B0F8609"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6D95CE4D"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2718414E"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0F7F6BA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B9D3760"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République démocratique populaire de Corée</w:t>
            </w:r>
          </w:p>
        </w:tc>
        <w:tc>
          <w:tcPr>
            <w:tcW w:w="1134" w:type="dxa"/>
            <w:tcBorders>
              <w:top w:val="nil"/>
              <w:left w:val="nil"/>
              <w:bottom w:val="single" w:sz="4" w:space="0" w:color="auto"/>
              <w:right w:val="single" w:sz="4" w:space="0" w:color="auto"/>
            </w:tcBorders>
            <w:shd w:val="clear" w:color="auto" w:fill="auto"/>
            <w:noWrap/>
          </w:tcPr>
          <w:p w14:paraId="496219E4"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0,005</w:t>
            </w:r>
          </w:p>
        </w:tc>
        <w:tc>
          <w:tcPr>
            <w:tcW w:w="1022" w:type="dxa"/>
            <w:tcBorders>
              <w:top w:val="nil"/>
              <w:left w:val="nil"/>
              <w:bottom w:val="single" w:sz="4" w:space="0" w:color="auto"/>
              <w:right w:val="single" w:sz="4" w:space="0" w:color="auto"/>
            </w:tcBorders>
            <w:shd w:val="clear" w:color="auto" w:fill="auto"/>
            <w:noWrap/>
          </w:tcPr>
          <w:p w14:paraId="53882CA0"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0,005 %</w:t>
            </w:r>
          </w:p>
        </w:tc>
        <w:tc>
          <w:tcPr>
            <w:tcW w:w="1311" w:type="dxa"/>
            <w:tcBorders>
              <w:top w:val="single" w:sz="4" w:space="0" w:color="auto"/>
              <w:left w:val="nil"/>
              <w:bottom w:val="single" w:sz="4" w:space="0" w:color="auto"/>
              <w:right w:val="single" w:sz="4" w:space="0" w:color="auto"/>
            </w:tcBorders>
          </w:tcPr>
          <w:p w14:paraId="2A24C613"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FCF9979"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A3F973E"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499E8A9"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7E40A3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30EF9BA"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République démocratique populaire lao</w:t>
            </w:r>
          </w:p>
        </w:tc>
        <w:tc>
          <w:tcPr>
            <w:tcW w:w="1134" w:type="dxa"/>
            <w:tcBorders>
              <w:top w:val="nil"/>
              <w:left w:val="nil"/>
              <w:bottom w:val="single" w:sz="4" w:space="0" w:color="auto"/>
              <w:right w:val="single" w:sz="4" w:space="0" w:color="auto"/>
            </w:tcBorders>
            <w:shd w:val="clear" w:color="auto" w:fill="auto"/>
            <w:noWrap/>
          </w:tcPr>
          <w:p w14:paraId="008F4784"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0,007</w:t>
            </w:r>
          </w:p>
        </w:tc>
        <w:tc>
          <w:tcPr>
            <w:tcW w:w="1022" w:type="dxa"/>
            <w:tcBorders>
              <w:top w:val="nil"/>
              <w:left w:val="nil"/>
              <w:bottom w:val="single" w:sz="4" w:space="0" w:color="auto"/>
              <w:right w:val="single" w:sz="4" w:space="0" w:color="auto"/>
            </w:tcBorders>
            <w:shd w:val="clear" w:color="auto" w:fill="auto"/>
            <w:noWrap/>
          </w:tcPr>
          <w:p w14:paraId="13B7387F"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0,007 %</w:t>
            </w:r>
          </w:p>
        </w:tc>
        <w:tc>
          <w:tcPr>
            <w:tcW w:w="1311" w:type="dxa"/>
            <w:tcBorders>
              <w:top w:val="single" w:sz="4" w:space="0" w:color="auto"/>
              <w:left w:val="nil"/>
              <w:bottom w:val="single" w:sz="4" w:space="0" w:color="auto"/>
              <w:right w:val="single" w:sz="4" w:space="0" w:color="auto"/>
            </w:tcBorders>
          </w:tcPr>
          <w:p w14:paraId="76FF13AF"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2A32B1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8B8824C"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96B63E5"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1FCD59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9DEEC62"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République dominicaine</w:t>
            </w:r>
          </w:p>
        </w:tc>
        <w:tc>
          <w:tcPr>
            <w:tcW w:w="1134" w:type="dxa"/>
            <w:tcBorders>
              <w:top w:val="nil"/>
              <w:left w:val="nil"/>
              <w:bottom w:val="single" w:sz="4" w:space="0" w:color="auto"/>
              <w:right w:val="single" w:sz="4" w:space="0" w:color="auto"/>
            </w:tcBorders>
            <w:shd w:val="clear" w:color="auto" w:fill="auto"/>
            <w:noWrap/>
          </w:tcPr>
          <w:p w14:paraId="181F308A"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0,067</w:t>
            </w:r>
          </w:p>
        </w:tc>
        <w:tc>
          <w:tcPr>
            <w:tcW w:w="1022" w:type="dxa"/>
            <w:tcBorders>
              <w:top w:val="nil"/>
              <w:left w:val="nil"/>
              <w:bottom w:val="single" w:sz="4" w:space="0" w:color="auto"/>
              <w:right w:val="single" w:sz="4" w:space="0" w:color="auto"/>
            </w:tcBorders>
            <w:shd w:val="clear" w:color="auto" w:fill="auto"/>
            <w:noWrap/>
          </w:tcPr>
          <w:p w14:paraId="7F95D5CD"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0,069 %</w:t>
            </w:r>
          </w:p>
        </w:tc>
        <w:tc>
          <w:tcPr>
            <w:tcW w:w="1311" w:type="dxa"/>
            <w:tcBorders>
              <w:top w:val="single" w:sz="4" w:space="0" w:color="auto"/>
              <w:left w:val="nil"/>
              <w:bottom w:val="single" w:sz="4" w:space="0" w:color="auto"/>
              <w:right w:val="single" w:sz="4" w:space="0" w:color="auto"/>
            </w:tcBorders>
          </w:tcPr>
          <w:p w14:paraId="3238181A"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2 594</w:t>
            </w:r>
          </w:p>
        </w:tc>
        <w:tc>
          <w:tcPr>
            <w:tcW w:w="1311" w:type="dxa"/>
            <w:tcBorders>
              <w:top w:val="nil"/>
              <w:left w:val="single" w:sz="4" w:space="0" w:color="auto"/>
              <w:bottom w:val="single" w:sz="4" w:space="0" w:color="auto"/>
              <w:right w:val="single" w:sz="4" w:space="0" w:color="auto"/>
            </w:tcBorders>
            <w:shd w:val="clear" w:color="auto" w:fill="auto"/>
            <w:noWrap/>
          </w:tcPr>
          <w:p w14:paraId="2D017663"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3 281</w:t>
            </w:r>
          </w:p>
        </w:tc>
        <w:tc>
          <w:tcPr>
            <w:tcW w:w="1311" w:type="dxa"/>
            <w:tcBorders>
              <w:top w:val="nil"/>
              <w:left w:val="nil"/>
              <w:bottom w:val="single" w:sz="4" w:space="0" w:color="auto"/>
              <w:right w:val="single" w:sz="4" w:space="0" w:color="auto"/>
            </w:tcBorders>
            <w:shd w:val="clear" w:color="auto" w:fill="auto"/>
            <w:noWrap/>
          </w:tcPr>
          <w:p w14:paraId="2C277EBF"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3 368</w:t>
            </w:r>
          </w:p>
        </w:tc>
        <w:tc>
          <w:tcPr>
            <w:tcW w:w="1312" w:type="dxa"/>
            <w:tcBorders>
              <w:top w:val="nil"/>
              <w:left w:val="nil"/>
              <w:bottom w:val="single" w:sz="4" w:space="0" w:color="auto"/>
              <w:right w:val="single" w:sz="4" w:space="0" w:color="auto"/>
            </w:tcBorders>
            <w:shd w:val="clear" w:color="auto" w:fill="auto"/>
            <w:noWrap/>
          </w:tcPr>
          <w:p w14:paraId="02362382"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3 532</w:t>
            </w:r>
          </w:p>
        </w:tc>
      </w:tr>
      <w:tr w:rsidR="006B29E4" w:rsidRPr="006B29E4" w14:paraId="59E2E56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6B21A90"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République tchèque</w:t>
            </w:r>
          </w:p>
        </w:tc>
        <w:tc>
          <w:tcPr>
            <w:tcW w:w="1134" w:type="dxa"/>
            <w:tcBorders>
              <w:top w:val="nil"/>
              <w:left w:val="nil"/>
              <w:bottom w:val="single" w:sz="4" w:space="0" w:color="auto"/>
              <w:right w:val="single" w:sz="4" w:space="0" w:color="auto"/>
            </w:tcBorders>
            <w:shd w:val="clear" w:color="auto" w:fill="auto"/>
            <w:noWrap/>
          </w:tcPr>
          <w:p w14:paraId="69B1C5A0"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0,340</w:t>
            </w:r>
          </w:p>
        </w:tc>
        <w:tc>
          <w:tcPr>
            <w:tcW w:w="1022" w:type="dxa"/>
            <w:tcBorders>
              <w:top w:val="nil"/>
              <w:left w:val="nil"/>
              <w:bottom w:val="single" w:sz="4" w:space="0" w:color="auto"/>
              <w:right w:val="single" w:sz="4" w:space="0" w:color="auto"/>
            </w:tcBorders>
            <w:shd w:val="clear" w:color="auto" w:fill="auto"/>
            <w:noWrap/>
          </w:tcPr>
          <w:p w14:paraId="63F7779F"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0,349 %</w:t>
            </w:r>
          </w:p>
        </w:tc>
        <w:tc>
          <w:tcPr>
            <w:tcW w:w="1311" w:type="dxa"/>
            <w:tcBorders>
              <w:top w:val="single" w:sz="4" w:space="0" w:color="auto"/>
              <w:left w:val="nil"/>
              <w:bottom w:val="single" w:sz="4" w:space="0" w:color="auto"/>
              <w:right w:val="single" w:sz="4" w:space="0" w:color="auto"/>
            </w:tcBorders>
          </w:tcPr>
          <w:p w14:paraId="27B4E934"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15 222</w:t>
            </w:r>
          </w:p>
        </w:tc>
        <w:tc>
          <w:tcPr>
            <w:tcW w:w="1311" w:type="dxa"/>
            <w:tcBorders>
              <w:top w:val="nil"/>
              <w:left w:val="single" w:sz="4" w:space="0" w:color="auto"/>
              <w:bottom w:val="single" w:sz="4" w:space="0" w:color="auto"/>
              <w:right w:val="single" w:sz="4" w:space="0" w:color="auto"/>
            </w:tcBorders>
            <w:shd w:val="clear" w:color="auto" w:fill="auto"/>
            <w:noWrap/>
          </w:tcPr>
          <w:p w14:paraId="62632C95"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16 647</w:t>
            </w:r>
          </w:p>
        </w:tc>
        <w:tc>
          <w:tcPr>
            <w:tcW w:w="1311" w:type="dxa"/>
            <w:tcBorders>
              <w:top w:val="nil"/>
              <w:left w:val="nil"/>
              <w:bottom w:val="single" w:sz="4" w:space="0" w:color="auto"/>
              <w:right w:val="single" w:sz="4" w:space="0" w:color="auto"/>
            </w:tcBorders>
            <w:shd w:val="clear" w:color="auto" w:fill="auto"/>
            <w:noWrap/>
          </w:tcPr>
          <w:p w14:paraId="11B22EEB"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17 094</w:t>
            </w:r>
          </w:p>
        </w:tc>
        <w:tc>
          <w:tcPr>
            <w:tcW w:w="1312" w:type="dxa"/>
            <w:tcBorders>
              <w:top w:val="nil"/>
              <w:left w:val="nil"/>
              <w:bottom w:val="single" w:sz="4" w:space="0" w:color="auto"/>
              <w:right w:val="single" w:sz="4" w:space="0" w:color="auto"/>
            </w:tcBorders>
            <w:shd w:val="clear" w:color="auto" w:fill="auto"/>
            <w:noWrap/>
          </w:tcPr>
          <w:p w14:paraId="7BBE983A"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17 923</w:t>
            </w:r>
          </w:p>
        </w:tc>
      </w:tr>
      <w:tr w:rsidR="006B29E4" w:rsidRPr="006B29E4" w14:paraId="0609FC8E"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AF14BD9" w14:textId="77777777" w:rsidR="00CE199C" w:rsidRPr="006B29E4" w:rsidRDefault="00CE199C" w:rsidP="00A31639">
            <w:pPr>
              <w:ind w:left="0" w:firstLine="0"/>
              <w:rPr>
                <w:rFonts w:asciiTheme="minorHAnsi" w:eastAsia="Times New Roman" w:hAnsiTheme="minorHAnsi" w:cstheme="minorHAnsi"/>
                <w:sz w:val="20"/>
                <w:szCs w:val="20"/>
              </w:rPr>
            </w:pPr>
            <w:r w:rsidRPr="006B29E4">
              <w:rPr>
                <w:rFonts w:asciiTheme="minorHAnsi" w:hAnsiTheme="minorHAnsi"/>
                <w:sz w:val="20"/>
              </w:rPr>
              <w:t>République-Unie de Tanzanie</w:t>
            </w:r>
          </w:p>
        </w:tc>
        <w:tc>
          <w:tcPr>
            <w:tcW w:w="1134" w:type="dxa"/>
            <w:tcBorders>
              <w:top w:val="nil"/>
              <w:left w:val="nil"/>
              <w:bottom w:val="single" w:sz="4" w:space="0" w:color="auto"/>
              <w:right w:val="single" w:sz="4" w:space="0" w:color="auto"/>
            </w:tcBorders>
            <w:shd w:val="clear" w:color="auto" w:fill="auto"/>
            <w:noWrap/>
          </w:tcPr>
          <w:p w14:paraId="75F7B86B"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3B6AD2FD"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0C2CFFF7" w14:textId="77777777" w:rsidR="00CE199C" w:rsidRPr="006B29E4" w:rsidRDefault="00CE199C"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5646838"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67FEFCBD"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C32DB0B" w14:textId="77777777" w:rsidR="00CE199C" w:rsidRPr="006B29E4" w:rsidRDefault="00CE199C"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07202CE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848F2D"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Roumanie</w:t>
            </w:r>
          </w:p>
        </w:tc>
        <w:tc>
          <w:tcPr>
            <w:tcW w:w="1134" w:type="dxa"/>
            <w:tcBorders>
              <w:top w:val="nil"/>
              <w:left w:val="nil"/>
              <w:bottom w:val="single" w:sz="4" w:space="0" w:color="auto"/>
              <w:right w:val="single" w:sz="4" w:space="0" w:color="auto"/>
            </w:tcBorders>
            <w:shd w:val="clear" w:color="auto" w:fill="auto"/>
            <w:noWrap/>
          </w:tcPr>
          <w:p w14:paraId="257568C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0,312</w:t>
            </w:r>
          </w:p>
        </w:tc>
        <w:tc>
          <w:tcPr>
            <w:tcW w:w="1022" w:type="dxa"/>
            <w:tcBorders>
              <w:top w:val="nil"/>
              <w:left w:val="nil"/>
              <w:bottom w:val="single" w:sz="4" w:space="0" w:color="auto"/>
              <w:right w:val="single" w:sz="4" w:space="0" w:color="auto"/>
            </w:tcBorders>
            <w:shd w:val="clear" w:color="auto" w:fill="auto"/>
            <w:noWrap/>
          </w:tcPr>
          <w:p w14:paraId="24421D7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0,320 %</w:t>
            </w:r>
          </w:p>
        </w:tc>
        <w:tc>
          <w:tcPr>
            <w:tcW w:w="1311" w:type="dxa"/>
            <w:tcBorders>
              <w:top w:val="single" w:sz="4" w:space="0" w:color="auto"/>
              <w:left w:val="nil"/>
              <w:bottom w:val="single" w:sz="4" w:space="0" w:color="auto"/>
              <w:right w:val="single" w:sz="4" w:space="0" w:color="auto"/>
            </w:tcBorders>
          </w:tcPr>
          <w:p w14:paraId="5079D757" w14:textId="60263936"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9 691</w:t>
            </w:r>
          </w:p>
        </w:tc>
        <w:tc>
          <w:tcPr>
            <w:tcW w:w="1311" w:type="dxa"/>
            <w:tcBorders>
              <w:top w:val="nil"/>
              <w:left w:val="single" w:sz="4" w:space="0" w:color="auto"/>
              <w:bottom w:val="single" w:sz="4" w:space="0" w:color="auto"/>
              <w:right w:val="single" w:sz="4" w:space="0" w:color="auto"/>
            </w:tcBorders>
            <w:shd w:val="clear" w:color="auto" w:fill="auto"/>
            <w:noWrap/>
          </w:tcPr>
          <w:p w14:paraId="177169C0" w14:textId="12F1F7AD"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15 276</w:t>
            </w:r>
          </w:p>
        </w:tc>
        <w:tc>
          <w:tcPr>
            <w:tcW w:w="1311" w:type="dxa"/>
            <w:tcBorders>
              <w:top w:val="nil"/>
              <w:left w:val="nil"/>
              <w:bottom w:val="single" w:sz="4" w:space="0" w:color="auto"/>
              <w:right w:val="single" w:sz="4" w:space="0" w:color="auto"/>
            </w:tcBorders>
            <w:shd w:val="clear" w:color="auto" w:fill="auto"/>
            <w:noWrap/>
          </w:tcPr>
          <w:p w14:paraId="74F2A67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15 686</w:t>
            </w:r>
          </w:p>
        </w:tc>
        <w:tc>
          <w:tcPr>
            <w:tcW w:w="1312" w:type="dxa"/>
            <w:tcBorders>
              <w:top w:val="nil"/>
              <w:left w:val="nil"/>
              <w:bottom w:val="single" w:sz="4" w:space="0" w:color="auto"/>
              <w:right w:val="single" w:sz="4" w:space="0" w:color="auto"/>
            </w:tcBorders>
            <w:shd w:val="clear" w:color="auto" w:fill="auto"/>
            <w:noWrap/>
          </w:tcPr>
          <w:p w14:paraId="1BE91A8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16 447</w:t>
            </w:r>
          </w:p>
        </w:tc>
      </w:tr>
      <w:tr w:rsidR="006B29E4" w:rsidRPr="006B29E4" w14:paraId="0BF20FD0"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F274BA" w14:textId="77777777" w:rsidR="006B29E4" w:rsidRPr="006B29E4" w:rsidRDefault="006B29E4" w:rsidP="00A31639">
            <w:pPr>
              <w:ind w:left="0" w:firstLine="0"/>
              <w:rPr>
                <w:rFonts w:asciiTheme="minorHAnsi" w:eastAsia="Times New Roman" w:hAnsiTheme="minorHAnsi" w:cstheme="minorHAnsi"/>
                <w:sz w:val="20"/>
                <w:szCs w:val="20"/>
              </w:rPr>
            </w:pPr>
            <w:r w:rsidRPr="006B29E4">
              <w:rPr>
                <w:rFonts w:asciiTheme="minorHAnsi" w:hAnsiTheme="minorHAnsi"/>
                <w:sz w:val="20"/>
              </w:rPr>
              <w:t>Royaume-Uni</w:t>
            </w:r>
          </w:p>
        </w:tc>
        <w:tc>
          <w:tcPr>
            <w:tcW w:w="1134" w:type="dxa"/>
            <w:tcBorders>
              <w:top w:val="nil"/>
              <w:left w:val="nil"/>
              <w:bottom w:val="single" w:sz="4" w:space="0" w:color="auto"/>
              <w:right w:val="single" w:sz="4" w:space="0" w:color="auto"/>
            </w:tcBorders>
            <w:shd w:val="clear" w:color="auto" w:fill="auto"/>
            <w:noWrap/>
          </w:tcPr>
          <w:p w14:paraId="5674C07C"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4,375</w:t>
            </w:r>
          </w:p>
        </w:tc>
        <w:tc>
          <w:tcPr>
            <w:tcW w:w="1022" w:type="dxa"/>
            <w:tcBorders>
              <w:top w:val="nil"/>
              <w:left w:val="nil"/>
              <w:bottom w:val="single" w:sz="4" w:space="0" w:color="auto"/>
              <w:right w:val="single" w:sz="4" w:space="0" w:color="auto"/>
            </w:tcBorders>
            <w:shd w:val="clear" w:color="auto" w:fill="auto"/>
            <w:noWrap/>
          </w:tcPr>
          <w:p w14:paraId="580948BC"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4,491 %</w:t>
            </w:r>
          </w:p>
        </w:tc>
        <w:tc>
          <w:tcPr>
            <w:tcW w:w="1311" w:type="dxa"/>
            <w:tcBorders>
              <w:top w:val="single" w:sz="4" w:space="0" w:color="auto"/>
              <w:left w:val="nil"/>
              <w:bottom w:val="single" w:sz="4" w:space="0" w:color="auto"/>
              <w:right w:val="single" w:sz="4" w:space="0" w:color="auto"/>
            </w:tcBorders>
          </w:tcPr>
          <w:p w14:paraId="77383F84" w14:textId="77777777" w:rsidR="006B29E4" w:rsidRPr="006B29E4" w:rsidRDefault="006B29E4" w:rsidP="00A31639">
            <w:pPr>
              <w:ind w:left="0" w:firstLine="0"/>
              <w:jc w:val="right"/>
              <w:rPr>
                <w:rFonts w:asciiTheme="minorHAnsi" w:hAnsiTheme="minorHAnsi"/>
                <w:sz w:val="20"/>
              </w:rPr>
            </w:pPr>
            <w:r w:rsidRPr="006B29E4">
              <w:rPr>
                <w:rFonts w:asciiTheme="minorHAnsi" w:hAnsiTheme="minorHAnsi"/>
                <w:sz w:val="20"/>
              </w:rPr>
              <w:t>223 536</w:t>
            </w:r>
          </w:p>
        </w:tc>
        <w:tc>
          <w:tcPr>
            <w:tcW w:w="1311" w:type="dxa"/>
            <w:tcBorders>
              <w:top w:val="nil"/>
              <w:left w:val="single" w:sz="4" w:space="0" w:color="auto"/>
              <w:bottom w:val="single" w:sz="4" w:space="0" w:color="auto"/>
              <w:right w:val="single" w:sz="4" w:space="0" w:color="auto"/>
            </w:tcBorders>
            <w:shd w:val="clear" w:color="auto" w:fill="auto"/>
            <w:noWrap/>
          </w:tcPr>
          <w:p w14:paraId="43E9A862"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214 212</w:t>
            </w:r>
          </w:p>
        </w:tc>
        <w:tc>
          <w:tcPr>
            <w:tcW w:w="1311" w:type="dxa"/>
            <w:tcBorders>
              <w:top w:val="nil"/>
              <w:left w:val="nil"/>
              <w:bottom w:val="single" w:sz="4" w:space="0" w:color="auto"/>
              <w:right w:val="single" w:sz="4" w:space="0" w:color="auto"/>
            </w:tcBorders>
            <w:shd w:val="clear" w:color="auto" w:fill="auto"/>
            <w:noWrap/>
          </w:tcPr>
          <w:p w14:paraId="75ED9423"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219 953</w:t>
            </w:r>
          </w:p>
        </w:tc>
        <w:tc>
          <w:tcPr>
            <w:tcW w:w="1312" w:type="dxa"/>
            <w:tcBorders>
              <w:top w:val="nil"/>
              <w:left w:val="nil"/>
              <w:bottom w:val="single" w:sz="4" w:space="0" w:color="auto"/>
              <w:right w:val="single" w:sz="4" w:space="0" w:color="auto"/>
            </w:tcBorders>
            <w:shd w:val="clear" w:color="auto" w:fill="auto"/>
            <w:noWrap/>
          </w:tcPr>
          <w:p w14:paraId="3658E911"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230 623</w:t>
            </w:r>
          </w:p>
        </w:tc>
      </w:tr>
      <w:tr w:rsidR="006B29E4" w:rsidRPr="006B29E4" w14:paraId="15D94BE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574165"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Rwanda</w:t>
            </w:r>
          </w:p>
        </w:tc>
        <w:tc>
          <w:tcPr>
            <w:tcW w:w="1134" w:type="dxa"/>
            <w:tcBorders>
              <w:top w:val="nil"/>
              <w:left w:val="nil"/>
              <w:bottom w:val="single" w:sz="4" w:space="0" w:color="auto"/>
              <w:right w:val="single" w:sz="4" w:space="0" w:color="auto"/>
            </w:tcBorders>
            <w:shd w:val="clear" w:color="auto" w:fill="auto"/>
            <w:noWrap/>
          </w:tcPr>
          <w:p w14:paraId="147476D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0,003</w:t>
            </w:r>
          </w:p>
        </w:tc>
        <w:tc>
          <w:tcPr>
            <w:tcW w:w="1022" w:type="dxa"/>
            <w:tcBorders>
              <w:top w:val="nil"/>
              <w:left w:val="nil"/>
              <w:bottom w:val="single" w:sz="4" w:space="0" w:color="auto"/>
              <w:right w:val="single" w:sz="4" w:space="0" w:color="auto"/>
            </w:tcBorders>
            <w:shd w:val="clear" w:color="auto" w:fill="auto"/>
            <w:noWrap/>
          </w:tcPr>
          <w:p w14:paraId="52FFE3F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0,003 %</w:t>
            </w:r>
          </w:p>
        </w:tc>
        <w:tc>
          <w:tcPr>
            <w:tcW w:w="1311" w:type="dxa"/>
            <w:tcBorders>
              <w:top w:val="single" w:sz="4" w:space="0" w:color="auto"/>
              <w:left w:val="nil"/>
              <w:bottom w:val="single" w:sz="4" w:space="0" w:color="auto"/>
              <w:right w:val="single" w:sz="4" w:space="0" w:color="auto"/>
            </w:tcBorders>
          </w:tcPr>
          <w:p w14:paraId="215F9D02" w14:textId="4A4FCB69"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DD8FD47" w14:textId="074EE79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48796D6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565DAE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0B5D39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C420CED"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Sainte-Lucie</w:t>
            </w:r>
          </w:p>
        </w:tc>
        <w:tc>
          <w:tcPr>
            <w:tcW w:w="1134" w:type="dxa"/>
            <w:tcBorders>
              <w:top w:val="nil"/>
              <w:left w:val="nil"/>
              <w:bottom w:val="single" w:sz="4" w:space="0" w:color="auto"/>
              <w:right w:val="single" w:sz="4" w:space="0" w:color="auto"/>
            </w:tcBorders>
            <w:shd w:val="clear" w:color="auto" w:fill="auto"/>
            <w:noWrap/>
          </w:tcPr>
          <w:p w14:paraId="1CF6AD6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3E67F37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4F12F029" w14:textId="723B487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4F3A692" w14:textId="3784DB1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24A0B6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DA52D0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C32217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A83E4B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Samoa</w:t>
            </w:r>
          </w:p>
        </w:tc>
        <w:tc>
          <w:tcPr>
            <w:tcW w:w="1134" w:type="dxa"/>
            <w:tcBorders>
              <w:top w:val="nil"/>
              <w:left w:val="nil"/>
              <w:bottom w:val="single" w:sz="4" w:space="0" w:color="auto"/>
              <w:right w:val="single" w:sz="4" w:space="0" w:color="auto"/>
            </w:tcBorders>
            <w:shd w:val="clear" w:color="auto" w:fill="auto"/>
            <w:noWrap/>
          </w:tcPr>
          <w:p w14:paraId="40EACAB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0A6F1D0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638CB712" w14:textId="67580ED0"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63B973E0" w14:textId="194AE3E2"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C9F4C8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6472C4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6AAB78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A39E8E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Sao Tomé-et-Principe</w:t>
            </w:r>
          </w:p>
        </w:tc>
        <w:tc>
          <w:tcPr>
            <w:tcW w:w="1134" w:type="dxa"/>
            <w:tcBorders>
              <w:top w:val="nil"/>
              <w:left w:val="nil"/>
              <w:bottom w:val="single" w:sz="4" w:space="0" w:color="auto"/>
              <w:right w:val="single" w:sz="4" w:space="0" w:color="auto"/>
            </w:tcBorders>
            <w:shd w:val="clear" w:color="auto" w:fill="auto"/>
            <w:noWrap/>
          </w:tcPr>
          <w:p w14:paraId="4AA7F11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27D96BD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57618068" w14:textId="383D3F1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B0A87BE" w14:textId="66616E29"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E067B2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19AFA66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C48C44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4F2CFB"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Sénégal</w:t>
            </w:r>
          </w:p>
        </w:tc>
        <w:tc>
          <w:tcPr>
            <w:tcW w:w="1134" w:type="dxa"/>
            <w:tcBorders>
              <w:top w:val="nil"/>
              <w:left w:val="nil"/>
              <w:bottom w:val="single" w:sz="4" w:space="0" w:color="auto"/>
              <w:right w:val="single" w:sz="4" w:space="0" w:color="auto"/>
            </w:tcBorders>
            <w:shd w:val="clear" w:color="auto" w:fill="auto"/>
            <w:noWrap/>
          </w:tcPr>
          <w:p w14:paraId="5E7D4D7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0,007</w:t>
            </w:r>
          </w:p>
        </w:tc>
        <w:tc>
          <w:tcPr>
            <w:tcW w:w="1022" w:type="dxa"/>
            <w:tcBorders>
              <w:top w:val="nil"/>
              <w:left w:val="nil"/>
              <w:bottom w:val="single" w:sz="4" w:space="0" w:color="auto"/>
              <w:right w:val="single" w:sz="4" w:space="0" w:color="auto"/>
            </w:tcBorders>
            <w:shd w:val="clear" w:color="auto" w:fill="auto"/>
            <w:noWrap/>
          </w:tcPr>
          <w:p w14:paraId="08125FA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0,007 %</w:t>
            </w:r>
          </w:p>
        </w:tc>
        <w:tc>
          <w:tcPr>
            <w:tcW w:w="1311" w:type="dxa"/>
            <w:tcBorders>
              <w:top w:val="single" w:sz="4" w:space="0" w:color="auto"/>
              <w:left w:val="nil"/>
              <w:bottom w:val="single" w:sz="4" w:space="0" w:color="auto"/>
              <w:right w:val="single" w:sz="4" w:space="0" w:color="auto"/>
            </w:tcBorders>
          </w:tcPr>
          <w:p w14:paraId="430F034C" w14:textId="20A9528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3EC0F5D" w14:textId="28C5BBF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216352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90124B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CB35BD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E9F641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Serbie</w:t>
            </w:r>
          </w:p>
        </w:tc>
        <w:tc>
          <w:tcPr>
            <w:tcW w:w="1134" w:type="dxa"/>
            <w:tcBorders>
              <w:top w:val="nil"/>
              <w:left w:val="nil"/>
              <w:bottom w:val="single" w:sz="4" w:space="0" w:color="auto"/>
              <w:right w:val="single" w:sz="4" w:space="0" w:color="auto"/>
            </w:tcBorders>
            <w:shd w:val="clear" w:color="auto" w:fill="auto"/>
            <w:noWrap/>
          </w:tcPr>
          <w:p w14:paraId="43D0717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0,032</w:t>
            </w:r>
          </w:p>
        </w:tc>
        <w:tc>
          <w:tcPr>
            <w:tcW w:w="1022" w:type="dxa"/>
            <w:tcBorders>
              <w:top w:val="nil"/>
              <w:left w:val="nil"/>
              <w:bottom w:val="single" w:sz="4" w:space="0" w:color="auto"/>
              <w:right w:val="single" w:sz="4" w:space="0" w:color="auto"/>
            </w:tcBorders>
            <w:shd w:val="clear" w:color="auto" w:fill="auto"/>
            <w:noWrap/>
          </w:tcPr>
          <w:p w14:paraId="2E9DE6A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0,033 %</w:t>
            </w:r>
          </w:p>
        </w:tc>
        <w:tc>
          <w:tcPr>
            <w:tcW w:w="1311" w:type="dxa"/>
            <w:tcBorders>
              <w:top w:val="single" w:sz="4" w:space="0" w:color="auto"/>
              <w:left w:val="nil"/>
              <w:bottom w:val="single" w:sz="4" w:space="0" w:color="auto"/>
              <w:right w:val="single" w:sz="4" w:space="0" w:color="auto"/>
            </w:tcBorders>
          </w:tcPr>
          <w:p w14:paraId="050BD0AD" w14:textId="1ACFFFB4"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1 370</w:t>
            </w:r>
          </w:p>
        </w:tc>
        <w:tc>
          <w:tcPr>
            <w:tcW w:w="1311" w:type="dxa"/>
            <w:tcBorders>
              <w:top w:val="nil"/>
              <w:left w:val="single" w:sz="4" w:space="0" w:color="auto"/>
              <w:bottom w:val="single" w:sz="4" w:space="0" w:color="auto"/>
              <w:right w:val="single" w:sz="4" w:space="0" w:color="auto"/>
            </w:tcBorders>
            <w:shd w:val="clear" w:color="auto" w:fill="auto"/>
            <w:noWrap/>
          </w:tcPr>
          <w:p w14:paraId="7AA586C0" w14:textId="4BF3FEE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1 567</w:t>
            </w:r>
          </w:p>
        </w:tc>
        <w:tc>
          <w:tcPr>
            <w:tcW w:w="1311" w:type="dxa"/>
            <w:tcBorders>
              <w:top w:val="nil"/>
              <w:left w:val="nil"/>
              <w:bottom w:val="single" w:sz="4" w:space="0" w:color="auto"/>
              <w:right w:val="single" w:sz="4" w:space="0" w:color="auto"/>
            </w:tcBorders>
            <w:shd w:val="clear" w:color="auto" w:fill="auto"/>
            <w:noWrap/>
          </w:tcPr>
          <w:p w14:paraId="3B2F72E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1 609</w:t>
            </w:r>
          </w:p>
        </w:tc>
        <w:tc>
          <w:tcPr>
            <w:tcW w:w="1312" w:type="dxa"/>
            <w:tcBorders>
              <w:top w:val="nil"/>
              <w:left w:val="nil"/>
              <w:bottom w:val="single" w:sz="4" w:space="0" w:color="auto"/>
              <w:right w:val="single" w:sz="4" w:space="0" w:color="auto"/>
            </w:tcBorders>
            <w:shd w:val="clear" w:color="auto" w:fill="auto"/>
            <w:noWrap/>
          </w:tcPr>
          <w:p w14:paraId="2657EB3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1 687</w:t>
            </w:r>
          </w:p>
        </w:tc>
      </w:tr>
      <w:tr w:rsidR="006B29E4" w:rsidRPr="006B29E4" w14:paraId="2ED8338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7D647A7"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Seychelles</w:t>
            </w:r>
          </w:p>
        </w:tc>
        <w:tc>
          <w:tcPr>
            <w:tcW w:w="1134" w:type="dxa"/>
            <w:tcBorders>
              <w:top w:val="nil"/>
              <w:left w:val="nil"/>
              <w:bottom w:val="single" w:sz="4" w:space="0" w:color="auto"/>
              <w:right w:val="single" w:sz="4" w:space="0" w:color="auto"/>
            </w:tcBorders>
            <w:shd w:val="clear" w:color="auto" w:fill="auto"/>
            <w:noWrap/>
          </w:tcPr>
          <w:p w14:paraId="0287ACA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29F689F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14B19B11" w14:textId="38915D2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217644E" w14:textId="35206D8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66FEF3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F37B8D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4C7830A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73D1FF4"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Sierra Leone</w:t>
            </w:r>
          </w:p>
        </w:tc>
        <w:tc>
          <w:tcPr>
            <w:tcW w:w="1134" w:type="dxa"/>
            <w:tcBorders>
              <w:top w:val="nil"/>
              <w:left w:val="nil"/>
              <w:bottom w:val="single" w:sz="4" w:space="0" w:color="auto"/>
              <w:right w:val="single" w:sz="4" w:space="0" w:color="auto"/>
            </w:tcBorders>
            <w:shd w:val="clear" w:color="auto" w:fill="auto"/>
            <w:noWrap/>
          </w:tcPr>
          <w:p w14:paraId="3EFF94A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6DF7A42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376428E9" w14:textId="3BAE926E"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061A7A3" w14:textId="7331DC3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4D69040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50CCB5B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15C20F8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9F0781A"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Slovaquie</w:t>
            </w:r>
          </w:p>
        </w:tc>
        <w:tc>
          <w:tcPr>
            <w:tcW w:w="1134" w:type="dxa"/>
            <w:tcBorders>
              <w:top w:val="nil"/>
              <w:left w:val="nil"/>
              <w:bottom w:val="single" w:sz="4" w:space="0" w:color="auto"/>
              <w:right w:val="single" w:sz="4" w:space="0" w:color="auto"/>
            </w:tcBorders>
            <w:shd w:val="clear" w:color="auto" w:fill="auto"/>
            <w:noWrap/>
          </w:tcPr>
          <w:p w14:paraId="593C3EB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0,155</w:t>
            </w:r>
          </w:p>
        </w:tc>
        <w:tc>
          <w:tcPr>
            <w:tcW w:w="1022" w:type="dxa"/>
            <w:tcBorders>
              <w:top w:val="nil"/>
              <w:left w:val="nil"/>
              <w:bottom w:val="single" w:sz="4" w:space="0" w:color="auto"/>
              <w:right w:val="single" w:sz="4" w:space="0" w:color="auto"/>
            </w:tcBorders>
            <w:shd w:val="clear" w:color="auto" w:fill="auto"/>
            <w:noWrap/>
          </w:tcPr>
          <w:p w14:paraId="773E879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0,159 %</w:t>
            </w:r>
          </w:p>
        </w:tc>
        <w:tc>
          <w:tcPr>
            <w:tcW w:w="1311" w:type="dxa"/>
            <w:tcBorders>
              <w:top w:val="single" w:sz="4" w:space="0" w:color="auto"/>
              <w:left w:val="nil"/>
              <w:bottom w:val="single" w:sz="4" w:space="0" w:color="auto"/>
              <w:right w:val="single" w:sz="4" w:space="0" w:color="auto"/>
            </w:tcBorders>
          </w:tcPr>
          <w:p w14:paraId="56BAA561" w14:textId="33345ED4"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7 489</w:t>
            </w:r>
          </w:p>
        </w:tc>
        <w:tc>
          <w:tcPr>
            <w:tcW w:w="1311" w:type="dxa"/>
            <w:tcBorders>
              <w:top w:val="nil"/>
              <w:left w:val="single" w:sz="4" w:space="0" w:color="auto"/>
              <w:bottom w:val="single" w:sz="4" w:space="0" w:color="auto"/>
              <w:right w:val="single" w:sz="4" w:space="0" w:color="auto"/>
            </w:tcBorders>
            <w:shd w:val="clear" w:color="auto" w:fill="auto"/>
            <w:noWrap/>
          </w:tcPr>
          <w:p w14:paraId="34E54E0E" w14:textId="0085485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7 589</w:t>
            </w:r>
          </w:p>
        </w:tc>
        <w:tc>
          <w:tcPr>
            <w:tcW w:w="1311" w:type="dxa"/>
            <w:tcBorders>
              <w:top w:val="nil"/>
              <w:left w:val="nil"/>
              <w:bottom w:val="single" w:sz="4" w:space="0" w:color="auto"/>
              <w:right w:val="single" w:sz="4" w:space="0" w:color="auto"/>
            </w:tcBorders>
            <w:shd w:val="clear" w:color="auto" w:fill="auto"/>
            <w:noWrap/>
          </w:tcPr>
          <w:p w14:paraId="5BF0359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7 793</w:t>
            </w:r>
          </w:p>
        </w:tc>
        <w:tc>
          <w:tcPr>
            <w:tcW w:w="1312" w:type="dxa"/>
            <w:tcBorders>
              <w:top w:val="nil"/>
              <w:left w:val="nil"/>
              <w:bottom w:val="single" w:sz="4" w:space="0" w:color="auto"/>
              <w:right w:val="single" w:sz="4" w:space="0" w:color="auto"/>
            </w:tcBorders>
            <w:shd w:val="clear" w:color="auto" w:fill="auto"/>
            <w:noWrap/>
          </w:tcPr>
          <w:p w14:paraId="2944DF2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8 171</w:t>
            </w:r>
          </w:p>
        </w:tc>
      </w:tr>
      <w:tr w:rsidR="006B29E4" w:rsidRPr="006B29E4" w14:paraId="4B354DD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0DB05B0"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Slovénie</w:t>
            </w:r>
          </w:p>
        </w:tc>
        <w:tc>
          <w:tcPr>
            <w:tcW w:w="1134" w:type="dxa"/>
            <w:tcBorders>
              <w:top w:val="nil"/>
              <w:left w:val="nil"/>
              <w:bottom w:val="single" w:sz="4" w:space="0" w:color="auto"/>
              <w:right w:val="single" w:sz="4" w:space="0" w:color="auto"/>
            </w:tcBorders>
            <w:shd w:val="clear" w:color="auto" w:fill="auto"/>
            <w:noWrap/>
          </w:tcPr>
          <w:p w14:paraId="7D7601A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0,079</w:t>
            </w:r>
          </w:p>
        </w:tc>
        <w:tc>
          <w:tcPr>
            <w:tcW w:w="1022" w:type="dxa"/>
            <w:tcBorders>
              <w:top w:val="nil"/>
              <w:left w:val="nil"/>
              <w:bottom w:val="single" w:sz="4" w:space="0" w:color="auto"/>
              <w:right w:val="single" w:sz="4" w:space="0" w:color="auto"/>
            </w:tcBorders>
            <w:shd w:val="clear" w:color="auto" w:fill="auto"/>
            <w:noWrap/>
          </w:tcPr>
          <w:p w14:paraId="332995B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0,081 %</w:t>
            </w:r>
          </w:p>
        </w:tc>
        <w:tc>
          <w:tcPr>
            <w:tcW w:w="1311" w:type="dxa"/>
            <w:tcBorders>
              <w:top w:val="single" w:sz="4" w:space="0" w:color="auto"/>
              <w:left w:val="nil"/>
              <w:bottom w:val="single" w:sz="4" w:space="0" w:color="auto"/>
              <w:right w:val="single" w:sz="4" w:space="0" w:color="auto"/>
            </w:tcBorders>
          </w:tcPr>
          <w:p w14:paraId="02C9A3AF" w14:textId="7B26AED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3 720</w:t>
            </w:r>
          </w:p>
        </w:tc>
        <w:tc>
          <w:tcPr>
            <w:tcW w:w="1311" w:type="dxa"/>
            <w:tcBorders>
              <w:top w:val="nil"/>
              <w:left w:val="single" w:sz="4" w:space="0" w:color="auto"/>
              <w:bottom w:val="single" w:sz="4" w:space="0" w:color="auto"/>
              <w:right w:val="single" w:sz="4" w:space="0" w:color="auto"/>
            </w:tcBorders>
            <w:shd w:val="clear" w:color="auto" w:fill="auto"/>
            <w:noWrap/>
          </w:tcPr>
          <w:p w14:paraId="5D627775" w14:textId="3246B3B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3 868</w:t>
            </w:r>
          </w:p>
        </w:tc>
        <w:tc>
          <w:tcPr>
            <w:tcW w:w="1311" w:type="dxa"/>
            <w:tcBorders>
              <w:top w:val="nil"/>
              <w:left w:val="nil"/>
              <w:bottom w:val="single" w:sz="4" w:space="0" w:color="auto"/>
              <w:right w:val="single" w:sz="4" w:space="0" w:color="auto"/>
            </w:tcBorders>
            <w:shd w:val="clear" w:color="auto" w:fill="auto"/>
            <w:noWrap/>
          </w:tcPr>
          <w:p w14:paraId="258DB0C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3 972</w:t>
            </w:r>
          </w:p>
        </w:tc>
        <w:tc>
          <w:tcPr>
            <w:tcW w:w="1312" w:type="dxa"/>
            <w:tcBorders>
              <w:top w:val="nil"/>
              <w:left w:val="nil"/>
              <w:bottom w:val="single" w:sz="4" w:space="0" w:color="auto"/>
              <w:right w:val="single" w:sz="4" w:space="0" w:color="auto"/>
            </w:tcBorders>
            <w:shd w:val="clear" w:color="auto" w:fill="auto"/>
            <w:noWrap/>
          </w:tcPr>
          <w:p w14:paraId="47C2892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4 164</w:t>
            </w:r>
          </w:p>
        </w:tc>
      </w:tr>
      <w:tr w:rsidR="006B29E4" w:rsidRPr="006B29E4" w14:paraId="0DF8E34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1DEF8CE" w14:textId="77777777" w:rsidR="006B29E4" w:rsidRPr="006B29E4" w:rsidRDefault="006B29E4" w:rsidP="00A31639">
            <w:pPr>
              <w:ind w:left="0" w:firstLine="0"/>
              <w:rPr>
                <w:rFonts w:asciiTheme="minorHAnsi" w:eastAsia="Times New Roman" w:hAnsiTheme="minorHAnsi" w:cstheme="minorHAnsi"/>
                <w:sz w:val="20"/>
                <w:szCs w:val="20"/>
              </w:rPr>
            </w:pPr>
            <w:r w:rsidRPr="006B29E4">
              <w:rPr>
                <w:rFonts w:asciiTheme="minorHAnsi" w:hAnsiTheme="minorHAnsi"/>
                <w:sz w:val="20"/>
              </w:rPr>
              <w:t>Soudan</w:t>
            </w:r>
          </w:p>
        </w:tc>
        <w:tc>
          <w:tcPr>
            <w:tcW w:w="1134" w:type="dxa"/>
            <w:tcBorders>
              <w:top w:val="nil"/>
              <w:left w:val="nil"/>
              <w:bottom w:val="single" w:sz="4" w:space="0" w:color="auto"/>
              <w:right w:val="single" w:sz="4" w:space="0" w:color="auto"/>
            </w:tcBorders>
            <w:shd w:val="clear" w:color="auto" w:fill="auto"/>
            <w:noWrap/>
          </w:tcPr>
          <w:p w14:paraId="11FBE522"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0,010</w:t>
            </w:r>
          </w:p>
        </w:tc>
        <w:tc>
          <w:tcPr>
            <w:tcW w:w="1022" w:type="dxa"/>
            <w:tcBorders>
              <w:top w:val="nil"/>
              <w:left w:val="nil"/>
              <w:bottom w:val="single" w:sz="4" w:space="0" w:color="auto"/>
              <w:right w:val="single" w:sz="4" w:space="0" w:color="auto"/>
            </w:tcBorders>
            <w:shd w:val="clear" w:color="auto" w:fill="auto"/>
            <w:noWrap/>
          </w:tcPr>
          <w:p w14:paraId="07920B38"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0,010 %</w:t>
            </w:r>
          </w:p>
        </w:tc>
        <w:tc>
          <w:tcPr>
            <w:tcW w:w="1311" w:type="dxa"/>
            <w:tcBorders>
              <w:top w:val="single" w:sz="4" w:space="0" w:color="auto"/>
              <w:left w:val="nil"/>
              <w:bottom w:val="single" w:sz="4" w:space="0" w:color="auto"/>
              <w:right w:val="single" w:sz="4" w:space="0" w:color="auto"/>
            </w:tcBorders>
          </w:tcPr>
          <w:p w14:paraId="08C509DC" w14:textId="77777777" w:rsidR="006B29E4" w:rsidRPr="006B29E4" w:rsidRDefault="006B29E4"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A17FE57"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584F2AC"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85E8A9F"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06818B7F"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9549C4B"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Soudan du Sud</w:t>
            </w:r>
          </w:p>
        </w:tc>
        <w:tc>
          <w:tcPr>
            <w:tcW w:w="1134" w:type="dxa"/>
            <w:tcBorders>
              <w:top w:val="nil"/>
              <w:left w:val="nil"/>
              <w:bottom w:val="single" w:sz="4" w:space="0" w:color="auto"/>
              <w:right w:val="single" w:sz="4" w:space="0" w:color="auto"/>
            </w:tcBorders>
            <w:shd w:val="clear" w:color="auto" w:fill="auto"/>
            <w:noWrap/>
          </w:tcPr>
          <w:p w14:paraId="1DFCDBF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088F49B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1B43CCA0" w14:textId="28222FF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C0C4AD8" w14:textId="7959F418"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EA03E5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484BC2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5816AE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FE78F6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Sri Lanka</w:t>
            </w:r>
          </w:p>
        </w:tc>
        <w:tc>
          <w:tcPr>
            <w:tcW w:w="1134" w:type="dxa"/>
            <w:tcBorders>
              <w:top w:val="nil"/>
              <w:left w:val="nil"/>
              <w:bottom w:val="single" w:sz="4" w:space="0" w:color="auto"/>
              <w:right w:val="single" w:sz="4" w:space="0" w:color="auto"/>
            </w:tcBorders>
            <w:shd w:val="clear" w:color="auto" w:fill="auto"/>
            <w:noWrap/>
          </w:tcPr>
          <w:p w14:paraId="017459A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0,045</w:t>
            </w:r>
          </w:p>
        </w:tc>
        <w:tc>
          <w:tcPr>
            <w:tcW w:w="1022" w:type="dxa"/>
            <w:tcBorders>
              <w:top w:val="nil"/>
              <w:left w:val="nil"/>
              <w:bottom w:val="single" w:sz="4" w:space="0" w:color="auto"/>
              <w:right w:val="single" w:sz="4" w:space="0" w:color="auto"/>
            </w:tcBorders>
            <w:shd w:val="clear" w:color="auto" w:fill="auto"/>
            <w:noWrap/>
          </w:tcPr>
          <w:p w14:paraId="67A108B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0,046%</w:t>
            </w:r>
          </w:p>
        </w:tc>
        <w:tc>
          <w:tcPr>
            <w:tcW w:w="1311" w:type="dxa"/>
            <w:tcBorders>
              <w:top w:val="single" w:sz="4" w:space="0" w:color="auto"/>
              <w:left w:val="nil"/>
              <w:bottom w:val="single" w:sz="4" w:space="0" w:color="auto"/>
              <w:right w:val="single" w:sz="4" w:space="0" w:color="auto"/>
            </w:tcBorders>
          </w:tcPr>
          <w:p w14:paraId="03D40623" w14:textId="3857CC02"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2 154</w:t>
            </w:r>
          </w:p>
        </w:tc>
        <w:tc>
          <w:tcPr>
            <w:tcW w:w="1311" w:type="dxa"/>
            <w:tcBorders>
              <w:top w:val="nil"/>
              <w:left w:val="single" w:sz="4" w:space="0" w:color="auto"/>
              <w:bottom w:val="single" w:sz="4" w:space="0" w:color="auto"/>
              <w:right w:val="single" w:sz="4" w:space="0" w:color="auto"/>
            </w:tcBorders>
            <w:shd w:val="clear" w:color="auto" w:fill="auto"/>
            <w:noWrap/>
          </w:tcPr>
          <w:p w14:paraId="27D8C155" w14:textId="6A14E880"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2 203</w:t>
            </w:r>
          </w:p>
        </w:tc>
        <w:tc>
          <w:tcPr>
            <w:tcW w:w="1311" w:type="dxa"/>
            <w:tcBorders>
              <w:top w:val="nil"/>
              <w:left w:val="nil"/>
              <w:bottom w:val="single" w:sz="4" w:space="0" w:color="auto"/>
              <w:right w:val="single" w:sz="4" w:space="0" w:color="auto"/>
            </w:tcBorders>
            <w:shd w:val="clear" w:color="auto" w:fill="auto"/>
            <w:noWrap/>
          </w:tcPr>
          <w:p w14:paraId="417D9F3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2 262</w:t>
            </w:r>
          </w:p>
        </w:tc>
        <w:tc>
          <w:tcPr>
            <w:tcW w:w="1312" w:type="dxa"/>
            <w:tcBorders>
              <w:top w:val="nil"/>
              <w:left w:val="nil"/>
              <w:bottom w:val="single" w:sz="4" w:space="0" w:color="auto"/>
              <w:right w:val="single" w:sz="4" w:space="0" w:color="auto"/>
            </w:tcBorders>
            <w:shd w:val="clear" w:color="auto" w:fill="auto"/>
            <w:noWrap/>
          </w:tcPr>
          <w:p w14:paraId="0B50CEF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2 372</w:t>
            </w:r>
          </w:p>
        </w:tc>
      </w:tr>
      <w:tr w:rsidR="006B29E4" w:rsidRPr="006B29E4" w14:paraId="6BD1EE9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343CD7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Suède</w:t>
            </w:r>
          </w:p>
        </w:tc>
        <w:tc>
          <w:tcPr>
            <w:tcW w:w="1134" w:type="dxa"/>
            <w:tcBorders>
              <w:top w:val="nil"/>
              <w:left w:val="nil"/>
              <w:bottom w:val="single" w:sz="4" w:space="0" w:color="auto"/>
              <w:right w:val="single" w:sz="4" w:space="0" w:color="auto"/>
            </w:tcBorders>
            <w:shd w:val="clear" w:color="auto" w:fill="auto"/>
            <w:noWrap/>
          </w:tcPr>
          <w:p w14:paraId="6B2E53C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0,871</w:t>
            </w:r>
          </w:p>
        </w:tc>
        <w:tc>
          <w:tcPr>
            <w:tcW w:w="1022" w:type="dxa"/>
            <w:tcBorders>
              <w:top w:val="nil"/>
              <w:left w:val="nil"/>
              <w:bottom w:val="single" w:sz="4" w:space="0" w:color="auto"/>
              <w:right w:val="single" w:sz="4" w:space="0" w:color="auto"/>
            </w:tcBorders>
            <w:shd w:val="clear" w:color="auto" w:fill="auto"/>
            <w:noWrap/>
          </w:tcPr>
          <w:p w14:paraId="6B4FE0D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0,894 %</w:t>
            </w:r>
          </w:p>
        </w:tc>
        <w:tc>
          <w:tcPr>
            <w:tcW w:w="1311" w:type="dxa"/>
            <w:tcBorders>
              <w:top w:val="single" w:sz="4" w:space="0" w:color="auto"/>
              <w:left w:val="nil"/>
              <w:bottom w:val="single" w:sz="4" w:space="0" w:color="auto"/>
              <w:right w:val="single" w:sz="4" w:space="0" w:color="auto"/>
            </w:tcBorders>
          </w:tcPr>
          <w:p w14:paraId="6FF1B3F2" w14:textId="11F87199"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44 345</w:t>
            </w:r>
          </w:p>
        </w:tc>
        <w:tc>
          <w:tcPr>
            <w:tcW w:w="1311" w:type="dxa"/>
            <w:tcBorders>
              <w:top w:val="nil"/>
              <w:left w:val="single" w:sz="4" w:space="0" w:color="auto"/>
              <w:bottom w:val="single" w:sz="4" w:space="0" w:color="auto"/>
              <w:right w:val="single" w:sz="4" w:space="0" w:color="auto"/>
            </w:tcBorders>
            <w:shd w:val="clear" w:color="auto" w:fill="auto"/>
            <w:noWrap/>
          </w:tcPr>
          <w:p w14:paraId="72707356" w14:textId="263C527B"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42 647</w:t>
            </w:r>
          </w:p>
        </w:tc>
        <w:tc>
          <w:tcPr>
            <w:tcW w:w="1311" w:type="dxa"/>
            <w:tcBorders>
              <w:top w:val="nil"/>
              <w:left w:val="nil"/>
              <w:bottom w:val="single" w:sz="4" w:space="0" w:color="auto"/>
              <w:right w:val="single" w:sz="4" w:space="0" w:color="auto"/>
            </w:tcBorders>
            <w:shd w:val="clear" w:color="auto" w:fill="auto"/>
            <w:noWrap/>
          </w:tcPr>
          <w:p w14:paraId="5F059A1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43 790</w:t>
            </w:r>
          </w:p>
        </w:tc>
        <w:tc>
          <w:tcPr>
            <w:tcW w:w="1312" w:type="dxa"/>
            <w:tcBorders>
              <w:top w:val="nil"/>
              <w:left w:val="nil"/>
              <w:bottom w:val="single" w:sz="4" w:space="0" w:color="auto"/>
              <w:right w:val="single" w:sz="4" w:space="0" w:color="auto"/>
            </w:tcBorders>
            <w:shd w:val="clear" w:color="auto" w:fill="auto"/>
            <w:noWrap/>
          </w:tcPr>
          <w:p w14:paraId="74F6055A"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45 914</w:t>
            </w:r>
          </w:p>
        </w:tc>
      </w:tr>
      <w:tr w:rsidR="006B29E4" w:rsidRPr="006B29E4" w14:paraId="583502A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FBBD5AC"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Suisse</w:t>
            </w:r>
          </w:p>
        </w:tc>
        <w:tc>
          <w:tcPr>
            <w:tcW w:w="1134" w:type="dxa"/>
            <w:tcBorders>
              <w:top w:val="nil"/>
              <w:left w:val="nil"/>
              <w:bottom w:val="single" w:sz="4" w:space="0" w:color="auto"/>
              <w:right w:val="single" w:sz="4" w:space="0" w:color="auto"/>
            </w:tcBorders>
            <w:shd w:val="clear" w:color="auto" w:fill="auto"/>
            <w:noWrap/>
          </w:tcPr>
          <w:p w14:paraId="1401233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1,134</w:t>
            </w:r>
          </w:p>
        </w:tc>
        <w:tc>
          <w:tcPr>
            <w:tcW w:w="1022" w:type="dxa"/>
            <w:tcBorders>
              <w:top w:val="nil"/>
              <w:left w:val="nil"/>
              <w:bottom w:val="single" w:sz="4" w:space="0" w:color="auto"/>
              <w:right w:val="single" w:sz="4" w:space="0" w:color="auto"/>
            </w:tcBorders>
            <w:shd w:val="clear" w:color="auto" w:fill="auto"/>
            <w:noWrap/>
          </w:tcPr>
          <w:p w14:paraId="0AAFE47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1,164 %</w:t>
            </w:r>
          </w:p>
        </w:tc>
        <w:tc>
          <w:tcPr>
            <w:tcW w:w="1311" w:type="dxa"/>
            <w:tcBorders>
              <w:top w:val="single" w:sz="4" w:space="0" w:color="auto"/>
              <w:left w:val="nil"/>
              <w:bottom w:val="single" w:sz="4" w:space="0" w:color="auto"/>
              <w:right w:val="single" w:sz="4" w:space="0" w:color="auto"/>
            </w:tcBorders>
          </w:tcPr>
          <w:p w14:paraId="2E381871" w14:textId="032AA7D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56 337</w:t>
            </w:r>
          </w:p>
        </w:tc>
        <w:tc>
          <w:tcPr>
            <w:tcW w:w="1311" w:type="dxa"/>
            <w:tcBorders>
              <w:top w:val="nil"/>
              <w:left w:val="single" w:sz="4" w:space="0" w:color="auto"/>
              <w:bottom w:val="single" w:sz="4" w:space="0" w:color="auto"/>
              <w:right w:val="single" w:sz="4" w:space="0" w:color="auto"/>
            </w:tcBorders>
            <w:shd w:val="clear" w:color="auto" w:fill="auto"/>
            <w:noWrap/>
          </w:tcPr>
          <w:p w14:paraId="18DBB47F" w14:textId="54FABD0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55 524</w:t>
            </w:r>
          </w:p>
        </w:tc>
        <w:tc>
          <w:tcPr>
            <w:tcW w:w="1311" w:type="dxa"/>
            <w:tcBorders>
              <w:top w:val="nil"/>
              <w:left w:val="nil"/>
              <w:bottom w:val="single" w:sz="4" w:space="0" w:color="auto"/>
              <w:right w:val="single" w:sz="4" w:space="0" w:color="auto"/>
            </w:tcBorders>
            <w:shd w:val="clear" w:color="auto" w:fill="auto"/>
            <w:noWrap/>
          </w:tcPr>
          <w:p w14:paraId="3FA81FC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57 012</w:t>
            </w:r>
          </w:p>
        </w:tc>
        <w:tc>
          <w:tcPr>
            <w:tcW w:w="1312" w:type="dxa"/>
            <w:tcBorders>
              <w:top w:val="nil"/>
              <w:left w:val="nil"/>
              <w:bottom w:val="single" w:sz="4" w:space="0" w:color="auto"/>
              <w:right w:val="single" w:sz="4" w:space="0" w:color="auto"/>
            </w:tcBorders>
            <w:shd w:val="clear" w:color="auto" w:fill="auto"/>
            <w:noWrap/>
          </w:tcPr>
          <w:p w14:paraId="2FD75B7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59 777</w:t>
            </w:r>
          </w:p>
        </w:tc>
      </w:tr>
      <w:tr w:rsidR="006B29E4" w:rsidRPr="006B29E4" w14:paraId="58C6BFF9"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39F5BB5" w14:textId="77777777" w:rsidR="006B29E4" w:rsidRPr="006B29E4" w:rsidRDefault="006B29E4" w:rsidP="00A31639">
            <w:pPr>
              <w:ind w:left="0" w:firstLine="0"/>
              <w:rPr>
                <w:rFonts w:asciiTheme="minorHAnsi" w:eastAsia="Times New Roman" w:hAnsiTheme="minorHAnsi" w:cstheme="minorHAnsi"/>
                <w:sz w:val="20"/>
                <w:szCs w:val="20"/>
              </w:rPr>
            </w:pPr>
            <w:r w:rsidRPr="006B29E4">
              <w:rPr>
                <w:rFonts w:asciiTheme="minorHAnsi" w:hAnsiTheme="minorHAnsi"/>
                <w:sz w:val="20"/>
              </w:rPr>
              <w:t>Suriname</w:t>
            </w:r>
          </w:p>
        </w:tc>
        <w:tc>
          <w:tcPr>
            <w:tcW w:w="1134" w:type="dxa"/>
            <w:tcBorders>
              <w:top w:val="nil"/>
              <w:left w:val="nil"/>
              <w:bottom w:val="single" w:sz="4" w:space="0" w:color="auto"/>
              <w:right w:val="single" w:sz="4" w:space="0" w:color="auto"/>
            </w:tcBorders>
            <w:shd w:val="clear" w:color="auto" w:fill="auto"/>
            <w:noWrap/>
          </w:tcPr>
          <w:p w14:paraId="738E2C2E"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0,003</w:t>
            </w:r>
          </w:p>
        </w:tc>
        <w:tc>
          <w:tcPr>
            <w:tcW w:w="1022" w:type="dxa"/>
            <w:tcBorders>
              <w:top w:val="nil"/>
              <w:left w:val="nil"/>
              <w:bottom w:val="single" w:sz="4" w:space="0" w:color="auto"/>
              <w:right w:val="single" w:sz="4" w:space="0" w:color="auto"/>
            </w:tcBorders>
            <w:shd w:val="clear" w:color="auto" w:fill="auto"/>
            <w:noWrap/>
          </w:tcPr>
          <w:p w14:paraId="3041E376"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0,003 %</w:t>
            </w:r>
          </w:p>
        </w:tc>
        <w:tc>
          <w:tcPr>
            <w:tcW w:w="1311" w:type="dxa"/>
            <w:tcBorders>
              <w:top w:val="single" w:sz="4" w:space="0" w:color="auto"/>
              <w:left w:val="nil"/>
              <w:bottom w:val="single" w:sz="4" w:space="0" w:color="auto"/>
              <w:right w:val="single" w:sz="4" w:space="0" w:color="auto"/>
            </w:tcBorders>
          </w:tcPr>
          <w:p w14:paraId="6ABFFE5B" w14:textId="77777777" w:rsidR="006B29E4" w:rsidRPr="006B29E4" w:rsidRDefault="006B29E4"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628DD6C0"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67480F4"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6E83FE7C"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6144D37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C6CFEAB"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Tadjikistan</w:t>
            </w:r>
          </w:p>
        </w:tc>
        <w:tc>
          <w:tcPr>
            <w:tcW w:w="1134" w:type="dxa"/>
            <w:tcBorders>
              <w:top w:val="nil"/>
              <w:left w:val="nil"/>
              <w:bottom w:val="single" w:sz="4" w:space="0" w:color="auto"/>
              <w:right w:val="single" w:sz="4" w:space="0" w:color="auto"/>
            </w:tcBorders>
            <w:shd w:val="clear" w:color="auto" w:fill="auto"/>
            <w:noWrap/>
          </w:tcPr>
          <w:p w14:paraId="5C72C83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0,003</w:t>
            </w:r>
          </w:p>
        </w:tc>
        <w:tc>
          <w:tcPr>
            <w:tcW w:w="1022" w:type="dxa"/>
            <w:tcBorders>
              <w:top w:val="nil"/>
              <w:left w:val="nil"/>
              <w:bottom w:val="single" w:sz="4" w:space="0" w:color="auto"/>
              <w:right w:val="single" w:sz="4" w:space="0" w:color="auto"/>
            </w:tcBorders>
            <w:shd w:val="clear" w:color="auto" w:fill="auto"/>
            <w:noWrap/>
          </w:tcPr>
          <w:p w14:paraId="3A7743D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0,003 %</w:t>
            </w:r>
          </w:p>
        </w:tc>
        <w:tc>
          <w:tcPr>
            <w:tcW w:w="1311" w:type="dxa"/>
            <w:tcBorders>
              <w:top w:val="single" w:sz="4" w:space="0" w:color="auto"/>
              <w:left w:val="nil"/>
              <w:bottom w:val="single" w:sz="4" w:space="0" w:color="auto"/>
              <w:right w:val="single" w:sz="4" w:space="0" w:color="auto"/>
            </w:tcBorders>
          </w:tcPr>
          <w:p w14:paraId="3CE39982" w14:textId="3C34F4B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C716300" w14:textId="6506E63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4EFA1B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281B8B2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5549DB4C"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A5DB17D" w14:textId="77777777" w:rsidR="00800170" w:rsidRPr="006B29E4" w:rsidRDefault="00800170" w:rsidP="00A31639">
            <w:pPr>
              <w:ind w:left="0" w:firstLine="0"/>
              <w:rPr>
                <w:rFonts w:asciiTheme="minorHAnsi" w:eastAsia="Times New Roman" w:hAnsiTheme="minorHAnsi" w:cstheme="minorHAnsi"/>
                <w:sz w:val="20"/>
                <w:szCs w:val="20"/>
              </w:rPr>
            </w:pPr>
            <w:r w:rsidRPr="006B29E4">
              <w:rPr>
                <w:rFonts w:asciiTheme="minorHAnsi" w:hAnsiTheme="minorHAnsi"/>
                <w:sz w:val="20"/>
              </w:rPr>
              <w:t>Tchad</w:t>
            </w:r>
          </w:p>
        </w:tc>
        <w:tc>
          <w:tcPr>
            <w:tcW w:w="1134" w:type="dxa"/>
            <w:tcBorders>
              <w:top w:val="nil"/>
              <w:left w:val="nil"/>
              <w:bottom w:val="single" w:sz="4" w:space="0" w:color="auto"/>
              <w:right w:val="single" w:sz="4" w:space="0" w:color="auto"/>
            </w:tcBorders>
            <w:shd w:val="clear" w:color="auto" w:fill="auto"/>
            <w:noWrap/>
          </w:tcPr>
          <w:p w14:paraId="376ED044"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0,003</w:t>
            </w:r>
          </w:p>
        </w:tc>
        <w:tc>
          <w:tcPr>
            <w:tcW w:w="1022" w:type="dxa"/>
            <w:tcBorders>
              <w:top w:val="nil"/>
              <w:left w:val="nil"/>
              <w:bottom w:val="single" w:sz="4" w:space="0" w:color="auto"/>
              <w:right w:val="single" w:sz="4" w:space="0" w:color="auto"/>
            </w:tcBorders>
            <w:shd w:val="clear" w:color="auto" w:fill="auto"/>
            <w:noWrap/>
          </w:tcPr>
          <w:p w14:paraId="3138A1F6"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0,003 %</w:t>
            </w:r>
          </w:p>
        </w:tc>
        <w:tc>
          <w:tcPr>
            <w:tcW w:w="1311" w:type="dxa"/>
            <w:tcBorders>
              <w:top w:val="single" w:sz="4" w:space="0" w:color="auto"/>
              <w:left w:val="nil"/>
              <w:bottom w:val="single" w:sz="4" w:space="0" w:color="auto"/>
              <w:right w:val="single" w:sz="4" w:space="0" w:color="auto"/>
            </w:tcBorders>
          </w:tcPr>
          <w:p w14:paraId="64AA2B5D" w14:textId="77777777" w:rsidR="00800170" w:rsidRPr="006B29E4" w:rsidRDefault="00800170" w:rsidP="00A31639">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6F4E762F"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3018DC64"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44CBB0C9" w14:textId="77777777" w:rsidR="00800170" w:rsidRPr="006B29E4" w:rsidRDefault="00800170"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30BA2D0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8710A52"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Thaïlande</w:t>
            </w:r>
          </w:p>
        </w:tc>
        <w:tc>
          <w:tcPr>
            <w:tcW w:w="1134" w:type="dxa"/>
            <w:tcBorders>
              <w:top w:val="nil"/>
              <w:left w:val="nil"/>
              <w:bottom w:val="single" w:sz="4" w:space="0" w:color="auto"/>
              <w:right w:val="single" w:sz="4" w:space="0" w:color="auto"/>
            </w:tcBorders>
            <w:shd w:val="clear" w:color="auto" w:fill="auto"/>
            <w:noWrap/>
          </w:tcPr>
          <w:p w14:paraId="13A5A4F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0,368</w:t>
            </w:r>
          </w:p>
        </w:tc>
        <w:tc>
          <w:tcPr>
            <w:tcW w:w="1022" w:type="dxa"/>
            <w:tcBorders>
              <w:top w:val="nil"/>
              <w:left w:val="nil"/>
              <w:bottom w:val="single" w:sz="4" w:space="0" w:color="auto"/>
              <w:right w:val="single" w:sz="4" w:space="0" w:color="auto"/>
            </w:tcBorders>
            <w:shd w:val="clear" w:color="auto" w:fill="auto"/>
            <w:noWrap/>
          </w:tcPr>
          <w:p w14:paraId="54B63B8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0,378 %</w:t>
            </w:r>
          </w:p>
        </w:tc>
        <w:tc>
          <w:tcPr>
            <w:tcW w:w="1311" w:type="dxa"/>
            <w:tcBorders>
              <w:top w:val="single" w:sz="4" w:space="0" w:color="auto"/>
              <w:left w:val="nil"/>
              <w:bottom w:val="single" w:sz="4" w:space="0" w:color="auto"/>
              <w:right w:val="single" w:sz="4" w:space="0" w:color="auto"/>
            </w:tcBorders>
          </w:tcPr>
          <w:p w14:paraId="41F46A40" w14:textId="569D701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15 026</w:t>
            </w:r>
          </w:p>
        </w:tc>
        <w:tc>
          <w:tcPr>
            <w:tcW w:w="1311" w:type="dxa"/>
            <w:tcBorders>
              <w:top w:val="nil"/>
              <w:left w:val="single" w:sz="4" w:space="0" w:color="auto"/>
              <w:bottom w:val="single" w:sz="4" w:space="0" w:color="auto"/>
              <w:right w:val="single" w:sz="4" w:space="0" w:color="auto"/>
            </w:tcBorders>
            <w:shd w:val="clear" w:color="auto" w:fill="auto"/>
            <w:noWrap/>
          </w:tcPr>
          <w:p w14:paraId="6E173CF4" w14:textId="2B01D9E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18 018</w:t>
            </w:r>
          </w:p>
        </w:tc>
        <w:tc>
          <w:tcPr>
            <w:tcW w:w="1311" w:type="dxa"/>
            <w:tcBorders>
              <w:top w:val="nil"/>
              <w:left w:val="nil"/>
              <w:bottom w:val="single" w:sz="4" w:space="0" w:color="auto"/>
              <w:right w:val="single" w:sz="4" w:space="0" w:color="auto"/>
            </w:tcBorders>
            <w:shd w:val="clear" w:color="auto" w:fill="auto"/>
            <w:noWrap/>
          </w:tcPr>
          <w:p w14:paraId="0C8A475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18 501</w:t>
            </w:r>
          </w:p>
        </w:tc>
        <w:tc>
          <w:tcPr>
            <w:tcW w:w="1312" w:type="dxa"/>
            <w:tcBorders>
              <w:top w:val="nil"/>
              <w:left w:val="nil"/>
              <w:bottom w:val="single" w:sz="4" w:space="0" w:color="auto"/>
              <w:right w:val="single" w:sz="4" w:space="0" w:color="auto"/>
            </w:tcBorders>
            <w:shd w:val="clear" w:color="auto" w:fill="auto"/>
            <w:noWrap/>
          </w:tcPr>
          <w:p w14:paraId="2FDFA14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19 399</w:t>
            </w:r>
          </w:p>
        </w:tc>
      </w:tr>
      <w:tr w:rsidR="006B29E4" w:rsidRPr="006B29E4" w14:paraId="45DB63CE"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A4AC107"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Togo</w:t>
            </w:r>
          </w:p>
        </w:tc>
        <w:tc>
          <w:tcPr>
            <w:tcW w:w="1134" w:type="dxa"/>
            <w:tcBorders>
              <w:top w:val="nil"/>
              <w:left w:val="nil"/>
              <w:bottom w:val="single" w:sz="4" w:space="0" w:color="auto"/>
              <w:right w:val="single" w:sz="4" w:space="0" w:color="auto"/>
            </w:tcBorders>
            <w:shd w:val="clear" w:color="auto" w:fill="auto"/>
            <w:noWrap/>
          </w:tcPr>
          <w:p w14:paraId="00DC1C1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w:t>
            </w:r>
          </w:p>
        </w:tc>
        <w:tc>
          <w:tcPr>
            <w:tcW w:w="1022" w:type="dxa"/>
            <w:tcBorders>
              <w:top w:val="nil"/>
              <w:left w:val="nil"/>
              <w:bottom w:val="single" w:sz="4" w:space="0" w:color="auto"/>
              <w:right w:val="single" w:sz="4" w:space="0" w:color="auto"/>
            </w:tcBorders>
            <w:shd w:val="clear" w:color="auto" w:fill="auto"/>
            <w:noWrap/>
          </w:tcPr>
          <w:p w14:paraId="172F2D9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0,002 %</w:t>
            </w:r>
          </w:p>
        </w:tc>
        <w:tc>
          <w:tcPr>
            <w:tcW w:w="1311" w:type="dxa"/>
            <w:tcBorders>
              <w:top w:val="single" w:sz="4" w:space="0" w:color="auto"/>
              <w:left w:val="nil"/>
              <w:bottom w:val="single" w:sz="4" w:space="0" w:color="auto"/>
              <w:right w:val="single" w:sz="4" w:space="0" w:color="auto"/>
            </w:tcBorders>
          </w:tcPr>
          <w:p w14:paraId="3001C48E" w14:textId="062D6818"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07F50EBE" w14:textId="7DB87D1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5F434AE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39E5BA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2963EB3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C90C136"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Trinité-et-Tobago</w:t>
            </w:r>
          </w:p>
        </w:tc>
        <w:tc>
          <w:tcPr>
            <w:tcW w:w="1134" w:type="dxa"/>
            <w:tcBorders>
              <w:top w:val="nil"/>
              <w:left w:val="nil"/>
              <w:bottom w:val="single" w:sz="4" w:space="0" w:color="auto"/>
              <w:right w:val="single" w:sz="4" w:space="0" w:color="auto"/>
            </w:tcBorders>
            <w:shd w:val="clear" w:color="auto" w:fill="auto"/>
            <w:noWrap/>
          </w:tcPr>
          <w:p w14:paraId="2850F34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0,037</w:t>
            </w:r>
          </w:p>
        </w:tc>
        <w:tc>
          <w:tcPr>
            <w:tcW w:w="1022" w:type="dxa"/>
            <w:tcBorders>
              <w:top w:val="nil"/>
              <w:left w:val="nil"/>
              <w:bottom w:val="single" w:sz="4" w:space="0" w:color="auto"/>
              <w:right w:val="single" w:sz="4" w:space="0" w:color="auto"/>
            </w:tcBorders>
            <w:shd w:val="clear" w:color="auto" w:fill="auto"/>
            <w:noWrap/>
          </w:tcPr>
          <w:p w14:paraId="4490FF1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0,038 %</w:t>
            </w:r>
          </w:p>
        </w:tc>
        <w:tc>
          <w:tcPr>
            <w:tcW w:w="1311" w:type="dxa"/>
            <w:tcBorders>
              <w:top w:val="single" w:sz="4" w:space="0" w:color="auto"/>
              <w:left w:val="nil"/>
              <w:bottom w:val="single" w:sz="4" w:space="0" w:color="auto"/>
              <w:right w:val="single" w:sz="4" w:space="0" w:color="auto"/>
            </w:tcBorders>
          </w:tcPr>
          <w:p w14:paraId="3EAEB43E" w14:textId="16FF194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1 958</w:t>
            </w:r>
          </w:p>
        </w:tc>
        <w:tc>
          <w:tcPr>
            <w:tcW w:w="1311" w:type="dxa"/>
            <w:tcBorders>
              <w:top w:val="nil"/>
              <w:left w:val="single" w:sz="4" w:space="0" w:color="auto"/>
              <w:bottom w:val="single" w:sz="4" w:space="0" w:color="auto"/>
              <w:right w:val="single" w:sz="4" w:space="0" w:color="auto"/>
            </w:tcBorders>
            <w:shd w:val="clear" w:color="auto" w:fill="auto"/>
            <w:noWrap/>
          </w:tcPr>
          <w:p w14:paraId="0998216E" w14:textId="080C3542"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1 812</w:t>
            </w:r>
          </w:p>
        </w:tc>
        <w:tc>
          <w:tcPr>
            <w:tcW w:w="1311" w:type="dxa"/>
            <w:tcBorders>
              <w:top w:val="nil"/>
              <w:left w:val="nil"/>
              <w:bottom w:val="single" w:sz="4" w:space="0" w:color="auto"/>
              <w:right w:val="single" w:sz="4" w:space="0" w:color="auto"/>
            </w:tcBorders>
            <w:shd w:val="clear" w:color="auto" w:fill="auto"/>
            <w:noWrap/>
          </w:tcPr>
          <w:p w14:paraId="2C47324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1 860</w:t>
            </w:r>
          </w:p>
        </w:tc>
        <w:tc>
          <w:tcPr>
            <w:tcW w:w="1312" w:type="dxa"/>
            <w:tcBorders>
              <w:top w:val="nil"/>
              <w:left w:val="nil"/>
              <w:bottom w:val="single" w:sz="4" w:space="0" w:color="auto"/>
              <w:right w:val="single" w:sz="4" w:space="0" w:color="auto"/>
            </w:tcBorders>
            <w:shd w:val="clear" w:color="auto" w:fill="auto"/>
            <w:noWrap/>
          </w:tcPr>
          <w:p w14:paraId="4260CC4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1 950</w:t>
            </w:r>
          </w:p>
        </w:tc>
      </w:tr>
      <w:tr w:rsidR="006B29E4" w:rsidRPr="006B29E4" w14:paraId="6BBBE476"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9441298"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Tunisie</w:t>
            </w:r>
          </w:p>
        </w:tc>
        <w:tc>
          <w:tcPr>
            <w:tcW w:w="1134" w:type="dxa"/>
            <w:tcBorders>
              <w:top w:val="nil"/>
              <w:left w:val="nil"/>
              <w:bottom w:val="single" w:sz="4" w:space="0" w:color="auto"/>
              <w:right w:val="single" w:sz="4" w:space="0" w:color="auto"/>
            </w:tcBorders>
            <w:shd w:val="clear" w:color="auto" w:fill="auto"/>
            <w:noWrap/>
          </w:tcPr>
          <w:p w14:paraId="438A3B1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0,019</w:t>
            </w:r>
          </w:p>
        </w:tc>
        <w:tc>
          <w:tcPr>
            <w:tcW w:w="1022" w:type="dxa"/>
            <w:tcBorders>
              <w:top w:val="nil"/>
              <w:left w:val="nil"/>
              <w:bottom w:val="single" w:sz="4" w:space="0" w:color="auto"/>
              <w:right w:val="single" w:sz="4" w:space="0" w:color="auto"/>
            </w:tcBorders>
            <w:shd w:val="clear" w:color="auto" w:fill="auto"/>
            <w:noWrap/>
          </w:tcPr>
          <w:p w14:paraId="2909D486"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0,020 %</w:t>
            </w:r>
          </w:p>
        </w:tc>
        <w:tc>
          <w:tcPr>
            <w:tcW w:w="1311" w:type="dxa"/>
            <w:tcBorders>
              <w:top w:val="single" w:sz="4" w:space="0" w:color="auto"/>
              <w:left w:val="nil"/>
              <w:bottom w:val="single" w:sz="4" w:space="0" w:color="auto"/>
              <w:right w:val="single" w:sz="4" w:space="0" w:color="auto"/>
            </w:tcBorders>
          </w:tcPr>
          <w:p w14:paraId="36BE89CA" w14:textId="537A0B0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1 224</w:t>
            </w:r>
          </w:p>
        </w:tc>
        <w:tc>
          <w:tcPr>
            <w:tcW w:w="1311" w:type="dxa"/>
            <w:tcBorders>
              <w:top w:val="nil"/>
              <w:left w:val="single" w:sz="4" w:space="0" w:color="auto"/>
              <w:bottom w:val="single" w:sz="4" w:space="0" w:color="auto"/>
              <w:right w:val="single" w:sz="4" w:space="0" w:color="auto"/>
            </w:tcBorders>
            <w:shd w:val="clear" w:color="auto" w:fill="auto"/>
            <w:noWrap/>
          </w:tcPr>
          <w:p w14:paraId="792AD31F" w14:textId="2BDB52AB"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7AF2402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3A94D83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1 002</w:t>
            </w:r>
          </w:p>
        </w:tc>
      </w:tr>
      <w:tr w:rsidR="007A30C5" w:rsidRPr="006B29E4" w14:paraId="51075743" w14:textId="77777777" w:rsidTr="00433C12">
        <w:trPr>
          <w:trHeight w:val="276"/>
        </w:trPr>
        <w:tc>
          <w:tcPr>
            <w:tcW w:w="10065" w:type="dxa"/>
            <w:gridSpan w:val="7"/>
            <w:tcBorders>
              <w:top w:val="single" w:sz="4" w:space="0" w:color="auto"/>
            </w:tcBorders>
            <w:shd w:val="clear" w:color="auto" w:fill="auto"/>
            <w:noWrap/>
          </w:tcPr>
          <w:p w14:paraId="6F2306D9" w14:textId="77777777" w:rsidR="007A30C5" w:rsidRPr="00517FBF" w:rsidRDefault="007A30C5" w:rsidP="00433C12">
            <w:pPr>
              <w:ind w:left="0" w:firstLine="0"/>
              <w:rPr>
                <w:rFonts w:asciiTheme="minorHAnsi" w:eastAsia="Times New Roman" w:hAnsiTheme="minorHAnsi" w:cs="Arial"/>
                <w:color w:val="000000"/>
                <w:spacing w:val="-4"/>
                <w:sz w:val="20"/>
                <w:szCs w:val="20"/>
              </w:rPr>
            </w:pPr>
            <w:r w:rsidRPr="00517FBF">
              <w:rPr>
                <w:rFonts w:asciiTheme="minorHAnsi" w:hAnsiTheme="minorHAnsi"/>
                <w:color w:val="000000"/>
                <w:spacing w:val="-4"/>
                <w:sz w:val="20"/>
              </w:rPr>
              <w:t>* Conformément à la résolution A/RES/76/238 des Nations Unies, le barème révisé de l’ONU sera appliqué lorsqu’il sera publié.</w:t>
            </w:r>
          </w:p>
          <w:p w14:paraId="2DCA9D75" w14:textId="77777777" w:rsidR="007A30C5" w:rsidRPr="006B29E4" w:rsidRDefault="007A30C5" w:rsidP="00433C12">
            <w:pPr>
              <w:ind w:left="0" w:firstLine="0"/>
              <w:rPr>
                <w:rFonts w:asciiTheme="minorHAnsi" w:hAnsiTheme="minorHAnsi"/>
                <w:sz w:val="20"/>
              </w:rPr>
            </w:pPr>
            <w:r w:rsidRPr="001E3C24">
              <w:rPr>
                <w:rFonts w:asciiTheme="minorHAnsi" w:hAnsiTheme="minorHAnsi"/>
                <w:sz w:val="20"/>
              </w:rPr>
              <w:t>*** Uniquement pour 2025, 2023 et 2024 étant identiques au scénario B.</w:t>
            </w:r>
          </w:p>
        </w:tc>
      </w:tr>
      <w:tr w:rsidR="006B29E4" w:rsidRPr="006B29E4" w14:paraId="58134B2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6AF8A54" w14:textId="77777777" w:rsidR="006B29E4" w:rsidRPr="006B29E4" w:rsidRDefault="006B29E4" w:rsidP="00A31639">
            <w:pPr>
              <w:ind w:left="0" w:firstLine="0"/>
              <w:rPr>
                <w:rFonts w:asciiTheme="minorHAnsi" w:eastAsia="Times New Roman" w:hAnsiTheme="minorHAnsi" w:cstheme="minorHAnsi"/>
                <w:sz w:val="20"/>
                <w:szCs w:val="20"/>
              </w:rPr>
            </w:pPr>
            <w:r w:rsidRPr="006B29E4">
              <w:rPr>
                <w:rFonts w:asciiTheme="minorHAnsi" w:hAnsiTheme="minorHAnsi"/>
                <w:sz w:val="20"/>
              </w:rPr>
              <w:lastRenderedPageBreak/>
              <w:t>Turkménistan</w:t>
            </w:r>
          </w:p>
        </w:tc>
        <w:tc>
          <w:tcPr>
            <w:tcW w:w="1134" w:type="dxa"/>
            <w:tcBorders>
              <w:top w:val="nil"/>
              <w:left w:val="nil"/>
              <w:bottom w:val="single" w:sz="4" w:space="0" w:color="auto"/>
              <w:right w:val="single" w:sz="4" w:space="0" w:color="auto"/>
            </w:tcBorders>
            <w:shd w:val="clear" w:color="auto" w:fill="auto"/>
            <w:noWrap/>
          </w:tcPr>
          <w:p w14:paraId="575A9640"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0,034</w:t>
            </w:r>
          </w:p>
        </w:tc>
        <w:tc>
          <w:tcPr>
            <w:tcW w:w="1022" w:type="dxa"/>
            <w:tcBorders>
              <w:top w:val="nil"/>
              <w:left w:val="nil"/>
              <w:bottom w:val="single" w:sz="4" w:space="0" w:color="auto"/>
              <w:right w:val="single" w:sz="4" w:space="0" w:color="auto"/>
            </w:tcBorders>
            <w:shd w:val="clear" w:color="auto" w:fill="auto"/>
            <w:noWrap/>
          </w:tcPr>
          <w:p w14:paraId="4942F801"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0,035 %</w:t>
            </w:r>
          </w:p>
        </w:tc>
        <w:tc>
          <w:tcPr>
            <w:tcW w:w="1311" w:type="dxa"/>
            <w:tcBorders>
              <w:top w:val="single" w:sz="4" w:space="0" w:color="auto"/>
              <w:left w:val="nil"/>
              <w:bottom w:val="single" w:sz="4" w:space="0" w:color="auto"/>
              <w:right w:val="single" w:sz="4" w:space="0" w:color="auto"/>
            </w:tcBorders>
          </w:tcPr>
          <w:p w14:paraId="293127A4" w14:textId="77777777" w:rsidR="006B29E4" w:rsidRPr="006B29E4" w:rsidRDefault="006B29E4" w:rsidP="00A31639">
            <w:pPr>
              <w:ind w:left="0" w:firstLine="0"/>
              <w:jc w:val="right"/>
              <w:rPr>
                <w:rFonts w:asciiTheme="minorHAnsi" w:hAnsiTheme="minorHAnsi"/>
                <w:sz w:val="20"/>
              </w:rPr>
            </w:pPr>
            <w:r w:rsidRPr="006B29E4">
              <w:rPr>
                <w:rFonts w:asciiTheme="minorHAnsi" w:hAnsiTheme="minorHAnsi"/>
                <w:sz w:val="20"/>
              </w:rPr>
              <w:t>1 615</w:t>
            </w:r>
          </w:p>
        </w:tc>
        <w:tc>
          <w:tcPr>
            <w:tcW w:w="1311" w:type="dxa"/>
            <w:tcBorders>
              <w:top w:val="nil"/>
              <w:left w:val="single" w:sz="4" w:space="0" w:color="auto"/>
              <w:bottom w:val="single" w:sz="4" w:space="0" w:color="auto"/>
              <w:right w:val="single" w:sz="4" w:space="0" w:color="auto"/>
            </w:tcBorders>
            <w:shd w:val="clear" w:color="auto" w:fill="auto"/>
            <w:noWrap/>
          </w:tcPr>
          <w:p w14:paraId="5DCA79EB"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1 665</w:t>
            </w:r>
          </w:p>
        </w:tc>
        <w:tc>
          <w:tcPr>
            <w:tcW w:w="1311" w:type="dxa"/>
            <w:tcBorders>
              <w:top w:val="nil"/>
              <w:left w:val="nil"/>
              <w:bottom w:val="single" w:sz="4" w:space="0" w:color="auto"/>
              <w:right w:val="single" w:sz="4" w:space="0" w:color="auto"/>
            </w:tcBorders>
            <w:shd w:val="clear" w:color="auto" w:fill="auto"/>
            <w:noWrap/>
          </w:tcPr>
          <w:p w14:paraId="3BB4272E"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1 709</w:t>
            </w:r>
          </w:p>
        </w:tc>
        <w:tc>
          <w:tcPr>
            <w:tcW w:w="1312" w:type="dxa"/>
            <w:tcBorders>
              <w:top w:val="nil"/>
              <w:left w:val="nil"/>
              <w:bottom w:val="single" w:sz="4" w:space="0" w:color="auto"/>
              <w:right w:val="single" w:sz="4" w:space="0" w:color="auto"/>
            </w:tcBorders>
            <w:shd w:val="clear" w:color="auto" w:fill="auto"/>
            <w:noWrap/>
          </w:tcPr>
          <w:p w14:paraId="094FDE64" w14:textId="77777777" w:rsidR="006B29E4" w:rsidRPr="006B29E4" w:rsidRDefault="006B29E4" w:rsidP="00A31639">
            <w:pPr>
              <w:ind w:left="0" w:firstLine="0"/>
              <w:jc w:val="right"/>
              <w:rPr>
                <w:rFonts w:asciiTheme="minorHAnsi" w:eastAsia="Times New Roman" w:hAnsiTheme="minorHAnsi" w:cstheme="minorHAnsi"/>
                <w:sz w:val="20"/>
                <w:szCs w:val="20"/>
              </w:rPr>
            </w:pPr>
            <w:r w:rsidRPr="006B29E4">
              <w:rPr>
                <w:rFonts w:asciiTheme="minorHAnsi" w:hAnsiTheme="minorHAnsi"/>
                <w:sz w:val="20"/>
              </w:rPr>
              <w:t>1 792</w:t>
            </w:r>
          </w:p>
        </w:tc>
      </w:tr>
      <w:tr w:rsidR="006B29E4" w:rsidRPr="006B29E4" w14:paraId="001F783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238724A"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Turquie</w:t>
            </w:r>
          </w:p>
        </w:tc>
        <w:tc>
          <w:tcPr>
            <w:tcW w:w="1134" w:type="dxa"/>
            <w:tcBorders>
              <w:top w:val="nil"/>
              <w:left w:val="nil"/>
              <w:bottom w:val="single" w:sz="4" w:space="0" w:color="auto"/>
              <w:right w:val="single" w:sz="4" w:space="0" w:color="auto"/>
            </w:tcBorders>
            <w:shd w:val="clear" w:color="auto" w:fill="auto"/>
            <w:noWrap/>
          </w:tcPr>
          <w:p w14:paraId="6A85384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0,845</w:t>
            </w:r>
          </w:p>
        </w:tc>
        <w:tc>
          <w:tcPr>
            <w:tcW w:w="1022" w:type="dxa"/>
            <w:tcBorders>
              <w:top w:val="nil"/>
              <w:left w:val="nil"/>
              <w:bottom w:val="single" w:sz="4" w:space="0" w:color="auto"/>
              <w:right w:val="single" w:sz="4" w:space="0" w:color="auto"/>
            </w:tcBorders>
            <w:shd w:val="clear" w:color="auto" w:fill="auto"/>
            <w:noWrap/>
          </w:tcPr>
          <w:p w14:paraId="13CBF85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0,867 %</w:t>
            </w:r>
          </w:p>
        </w:tc>
        <w:tc>
          <w:tcPr>
            <w:tcW w:w="1311" w:type="dxa"/>
            <w:tcBorders>
              <w:top w:val="single" w:sz="4" w:space="0" w:color="auto"/>
              <w:left w:val="nil"/>
              <w:bottom w:val="single" w:sz="4" w:space="0" w:color="auto"/>
              <w:right w:val="single" w:sz="4" w:space="0" w:color="auto"/>
            </w:tcBorders>
          </w:tcPr>
          <w:p w14:paraId="3D323ABA" w14:textId="0C0672B3"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67 105</w:t>
            </w:r>
          </w:p>
        </w:tc>
        <w:tc>
          <w:tcPr>
            <w:tcW w:w="1311" w:type="dxa"/>
            <w:tcBorders>
              <w:top w:val="nil"/>
              <w:left w:val="single" w:sz="4" w:space="0" w:color="auto"/>
              <w:bottom w:val="single" w:sz="4" w:space="0" w:color="auto"/>
              <w:right w:val="single" w:sz="4" w:space="0" w:color="auto"/>
            </w:tcBorders>
            <w:shd w:val="clear" w:color="auto" w:fill="auto"/>
            <w:noWrap/>
          </w:tcPr>
          <w:p w14:paraId="1304176D" w14:textId="350A7B1F"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41 374</w:t>
            </w:r>
          </w:p>
        </w:tc>
        <w:tc>
          <w:tcPr>
            <w:tcW w:w="1311" w:type="dxa"/>
            <w:tcBorders>
              <w:top w:val="nil"/>
              <w:left w:val="nil"/>
              <w:bottom w:val="single" w:sz="4" w:space="0" w:color="auto"/>
              <w:right w:val="single" w:sz="4" w:space="0" w:color="auto"/>
            </w:tcBorders>
            <w:shd w:val="clear" w:color="auto" w:fill="auto"/>
            <w:noWrap/>
          </w:tcPr>
          <w:p w14:paraId="1F036BF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42 482</w:t>
            </w:r>
          </w:p>
        </w:tc>
        <w:tc>
          <w:tcPr>
            <w:tcW w:w="1312" w:type="dxa"/>
            <w:tcBorders>
              <w:top w:val="nil"/>
              <w:left w:val="nil"/>
              <w:bottom w:val="single" w:sz="4" w:space="0" w:color="auto"/>
              <w:right w:val="single" w:sz="4" w:space="0" w:color="auto"/>
            </w:tcBorders>
            <w:shd w:val="clear" w:color="auto" w:fill="auto"/>
            <w:noWrap/>
          </w:tcPr>
          <w:p w14:paraId="6150D0F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44 543</w:t>
            </w:r>
          </w:p>
        </w:tc>
      </w:tr>
      <w:tr w:rsidR="006B29E4" w:rsidRPr="006B29E4" w14:paraId="1644D8A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07B727F"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Ukraine</w:t>
            </w:r>
          </w:p>
        </w:tc>
        <w:tc>
          <w:tcPr>
            <w:tcW w:w="1134" w:type="dxa"/>
            <w:tcBorders>
              <w:top w:val="nil"/>
              <w:left w:val="nil"/>
              <w:bottom w:val="single" w:sz="4" w:space="0" w:color="auto"/>
              <w:right w:val="single" w:sz="4" w:space="0" w:color="auto"/>
            </w:tcBorders>
            <w:shd w:val="clear" w:color="auto" w:fill="auto"/>
            <w:noWrap/>
          </w:tcPr>
          <w:p w14:paraId="4AE4766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0,056</w:t>
            </w:r>
          </w:p>
        </w:tc>
        <w:tc>
          <w:tcPr>
            <w:tcW w:w="1022" w:type="dxa"/>
            <w:tcBorders>
              <w:top w:val="nil"/>
              <w:left w:val="nil"/>
              <w:bottom w:val="single" w:sz="4" w:space="0" w:color="auto"/>
              <w:right w:val="single" w:sz="4" w:space="0" w:color="auto"/>
            </w:tcBorders>
            <w:shd w:val="clear" w:color="auto" w:fill="auto"/>
            <w:noWrap/>
          </w:tcPr>
          <w:p w14:paraId="399E7E5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0,057 %</w:t>
            </w:r>
          </w:p>
        </w:tc>
        <w:tc>
          <w:tcPr>
            <w:tcW w:w="1311" w:type="dxa"/>
            <w:tcBorders>
              <w:top w:val="single" w:sz="4" w:space="0" w:color="auto"/>
              <w:left w:val="nil"/>
              <w:bottom w:val="single" w:sz="4" w:space="0" w:color="auto"/>
              <w:right w:val="single" w:sz="4" w:space="0" w:color="auto"/>
            </w:tcBorders>
          </w:tcPr>
          <w:p w14:paraId="7E22733B" w14:textId="217C2502"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2 790</w:t>
            </w:r>
          </w:p>
        </w:tc>
        <w:tc>
          <w:tcPr>
            <w:tcW w:w="1311" w:type="dxa"/>
            <w:tcBorders>
              <w:top w:val="nil"/>
              <w:left w:val="single" w:sz="4" w:space="0" w:color="auto"/>
              <w:bottom w:val="single" w:sz="4" w:space="0" w:color="auto"/>
              <w:right w:val="single" w:sz="4" w:space="0" w:color="auto"/>
            </w:tcBorders>
            <w:shd w:val="clear" w:color="auto" w:fill="auto"/>
            <w:noWrap/>
          </w:tcPr>
          <w:p w14:paraId="1062C427" w14:textId="312AE053"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2 742</w:t>
            </w:r>
          </w:p>
        </w:tc>
        <w:tc>
          <w:tcPr>
            <w:tcW w:w="1311" w:type="dxa"/>
            <w:tcBorders>
              <w:top w:val="nil"/>
              <w:left w:val="nil"/>
              <w:bottom w:val="single" w:sz="4" w:space="0" w:color="auto"/>
              <w:right w:val="single" w:sz="4" w:space="0" w:color="auto"/>
            </w:tcBorders>
            <w:shd w:val="clear" w:color="auto" w:fill="auto"/>
            <w:noWrap/>
          </w:tcPr>
          <w:p w14:paraId="380BC42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2 815</w:t>
            </w:r>
          </w:p>
        </w:tc>
        <w:tc>
          <w:tcPr>
            <w:tcW w:w="1312" w:type="dxa"/>
            <w:tcBorders>
              <w:top w:val="nil"/>
              <w:left w:val="nil"/>
              <w:bottom w:val="single" w:sz="4" w:space="0" w:color="auto"/>
              <w:right w:val="single" w:sz="4" w:space="0" w:color="auto"/>
            </w:tcBorders>
            <w:shd w:val="clear" w:color="auto" w:fill="auto"/>
            <w:noWrap/>
          </w:tcPr>
          <w:p w14:paraId="367066D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2 952</w:t>
            </w:r>
          </w:p>
        </w:tc>
      </w:tr>
      <w:tr w:rsidR="006B29E4" w:rsidRPr="006B29E4" w14:paraId="741F9A2B"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B52E3DB"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Uruguay</w:t>
            </w:r>
          </w:p>
        </w:tc>
        <w:tc>
          <w:tcPr>
            <w:tcW w:w="1134" w:type="dxa"/>
            <w:tcBorders>
              <w:top w:val="nil"/>
              <w:left w:val="nil"/>
              <w:bottom w:val="single" w:sz="4" w:space="0" w:color="auto"/>
              <w:right w:val="single" w:sz="4" w:space="0" w:color="auto"/>
            </w:tcBorders>
            <w:shd w:val="clear" w:color="auto" w:fill="auto"/>
            <w:noWrap/>
          </w:tcPr>
          <w:p w14:paraId="25FC1BBB"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0,092</w:t>
            </w:r>
          </w:p>
        </w:tc>
        <w:tc>
          <w:tcPr>
            <w:tcW w:w="1022" w:type="dxa"/>
            <w:tcBorders>
              <w:top w:val="nil"/>
              <w:left w:val="nil"/>
              <w:bottom w:val="single" w:sz="4" w:space="0" w:color="auto"/>
              <w:right w:val="single" w:sz="4" w:space="0" w:color="auto"/>
            </w:tcBorders>
            <w:shd w:val="clear" w:color="auto" w:fill="auto"/>
            <w:noWrap/>
          </w:tcPr>
          <w:p w14:paraId="53C0A03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0,094 %</w:t>
            </w:r>
          </w:p>
        </w:tc>
        <w:tc>
          <w:tcPr>
            <w:tcW w:w="1311" w:type="dxa"/>
            <w:tcBorders>
              <w:top w:val="single" w:sz="4" w:space="0" w:color="auto"/>
              <w:left w:val="nil"/>
              <w:bottom w:val="single" w:sz="4" w:space="0" w:color="auto"/>
              <w:right w:val="single" w:sz="4" w:space="0" w:color="auto"/>
            </w:tcBorders>
          </w:tcPr>
          <w:p w14:paraId="447B0F21" w14:textId="0F5208C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4 258</w:t>
            </w:r>
          </w:p>
        </w:tc>
        <w:tc>
          <w:tcPr>
            <w:tcW w:w="1311" w:type="dxa"/>
            <w:tcBorders>
              <w:top w:val="nil"/>
              <w:left w:val="single" w:sz="4" w:space="0" w:color="auto"/>
              <w:bottom w:val="single" w:sz="4" w:space="0" w:color="auto"/>
              <w:right w:val="single" w:sz="4" w:space="0" w:color="auto"/>
            </w:tcBorders>
            <w:shd w:val="clear" w:color="auto" w:fill="auto"/>
            <w:noWrap/>
          </w:tcPr>
          <w:p w14:paraId="1FD00CB1" w14:textId="6A7B713C"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4 505</w:t>
            </w:r>
          </w:p>
        </w:tc>
        <w:tc>
          <w:tcPr>
            <w:tcW w:w="1311" w:type="dxa"/>
            <w:tcBorders>
              <w:top w:val="nil"/>
              <w:left w:val="nil"/>
              <w:bottom w:val="single" w:sz="4" w:space="0" w:color="auto"/>
              <w:right w:val="single" w:sz="4" w:space="0" w:color="auto"/>
            </w:tcBorders>
            <w:shd w:val="clear" w:color="auto" w:fill="auto"/>
            <w:noWrap/>
          </w:tcPr>
          <w:p w14:paraId="0B83B58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4 625</w:t>
            </w:r>
          </w:p>
        </w:tc>
        <w:tc>
          <w:tcPr>
            <w:tcW w:w="1312" w:type="dxa"/>
            <w:tcBorders>
              <w:top w:val="nil"/>
              <w:left w:val="nil"/>
              <w:bottom w:val="single" w:sz="4" w:space="0" w:color="auto"/>
              <w:right w:val="single" w:sz="4" w:space="0" w:color="auto"/>
            </w:tcBorders>
            <w:shd w:val="clear" w:color="auto" w:fill="auto"/>
            <w:noWrap/>
          </w:tcPr>
          <w:p w14:paraId="56D88E2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4 850</w:t>
            </w:r>
          </w:p>
        </w:tc>
      </w:tr>
      <w:tr w:rsidR="006B29E4" w:rsidRPr="006B29E4" w14:paraId="31186913"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26287B3"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Vanuatu</w:t>
            </w:r>
          </w:p>
        </w:tc>
        <w:tc>
          <w:tcPr>
            <w:tcW w:w="1134" w:type="dxa"/>
            <w:tcBorders>
              <w:top w:val="nil"/>
              <w:left w:val="nil"/>
              <w:bottom w:val="single" w:sz="4" w:space="0" w:color="auto"/>
              <w:right w:val="single" w:sz="4" w:space="0" w:color="auto"/>
            </w:tcBorders>
            <w:shd w:val="clear" w:color="auto" w:fill="auto"/>
            <w:noWrap/>
          </w:tcPr>
          <w:p w14:paraId="08FCB64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w:t>
            </w:r>
          </w:p>
        </w:tc>
        <w:tc>
          <w:tcPr>
            <w:tcW w:w="1022" w:type="dxa"/>
            <w:tcBorders>
              <w:top w:val="nil"/>
              <w:left w:val="nil"/>
              <w:bottom w:val="single" w:sz="4" w:space="0" w:color="auto"/>
              <w:right w:val="single" w:sz="4" w:space="0" w:color="auto"/>
            </w:tcBorders>
            <w:shd w:val="clear" w:color="auto" w:fill="auto"/>
            <w:noWrap/>
          </w:tcPr>
          <w:p w14:paraId="61EA3409"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0,001 %</w:t>
            </w:r>
          </w:p>
        </w:tc>
        <w:tc>
          <w:tcPr>
            <w:tcW w:w="1311" w:type="dxa"/>
            <w:tcBorders>
              <w:top w:val="single" w:sz="4" w:space="0" w:color="auto"/>
              <w:left w:val="nil"/>
              <w:bottom w:val="single" w:sz="4" w:space="0" w:color="auto"/>
              <w:right w:val="single" w:sz="4" w:space="0" w:color="auto"/>
            </w:tcBorders>
          </w:tcPr>
          <w:p w14:paraId="4EB29B5D" w14:textId="6C48AE4E"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70DB2079" w14:textId="165B2B3B"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179AEA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542F1244"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558B42F7"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083C1CA"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Venezuela (République bolivarienne du)</w:t>
            </w:r>
          </w:p>
        </w:tc>
        <w:tc>
          <w:tcPr>
            <w:tcW w:w="1134" w:type="dxa"/>
            <w:tcBorders>
              <w:top w:val="nil"/>
              <w:left w:val="nil"/>
              <w:bottom w:val="single" w:sz="4" w:space="0" w:color="auto"/>
              <w:right w:val="single" w:sz="4" w:space="0" w:color="auto"/>
            </w:tcBorders>
            <w:shd w:val="clear" w:color="auto" w:fill="auto"/>
            <w:noWrap/>
          </w:tcPr>
          <w:p w14:paraId="29AE2B9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0,175</w:t>
            </w:r>
          </w:p>
        </w:tc>
        <w:tc>
          <w:tcPr>
            <w:tcW w:w="1022" w:type="dxa"/>
            <w:tcBorders>
              <w:top w:val="nil"/>
              <w:left w:val="nil"/>
              <w:bottom w:val="single" w:sz="4" w:space="0" w:color="auto"/>
              <w:right w:val="single" w:sz="4" w:space="0" w:color="auto"/>
            </w:tcBorders>
            <w:shd w:val="clear" w:color="auto" w:fill="auto"/>
            <w:noWrap/>
          </w:tcPr>
          <w:p w14:paraId="19CB051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0,180 %</w:t>
            </w:r>
          </w:p>
        </w:tc>
        <w:tc>
          <w:tcPr>
            <w:tcW w:w="1311" w:type="dxa"/>
            <w:tcBorders>
              <w:top w:val="single" w:sz="4" w:space="0" w:color="auto"/>
              <w:left w:val="nil"/>
              <w:bottom w:val="single" w:sz="4" w:space="0" w:color="auto"/>
              <w:right w:val="single" w:sz="4" w:space="0" w:color="auto"/>
            </w:tcBorders>
          </w:tcPr>
          <w:p w14:paraId="38552FD3" w14:textId="3B53CC8A"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35 633</w:t>
            </w:r>
          </w:p>
        </w:tc>
        <w:tc>
          <w:tcPr>
            <w:tcW w:w="1311" w:type="dxa"/>
            <w:tcBorders>
              <w:top w:val="nil"/>
              <w:left w:val="single" w:sz="4" w:space="0" w:color="auto"/>
              <w:bottom w:val="single" w:sz="4" w:space="0" w:color="auto"/>
              <w:right w:val="single" w:sz="4" w:space="0" w:color="auto"/>
            </w:tcBorders>
            <w:shd w:val="clear" w:color="auto" w:fill="auto"/>
            <w:noWrap/>
          </w:tcPr>
          <w:p w14:paraId="1C8F16E7" w14:textId="158224F1"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8 568</w:t>
            </w:r>
          </w:p>
        </w:tc>
        <w:tc>
          <w:tcPr>
            <w:tcW w:w="1311" w:type="dxa"/>
            <w:tcBorders>
              <w:top w:val="nil"/>
              <w:left w:val="nil"/>
              <w:bottom w:val="single" w:sz="4" w:space="0" w:color="auto"/>
              <w:right w:val="single" w:sz="4" w:space="0" w:color="auto"/>
            </w:tcBorders>
            <w:shd w:val="clear" w:color="auto" w:fill="auto"/>
            <w:noWrap/>
          </w:tcPr>
          <w:p w14:paraId="386E63B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8 798</w:t>
            </w:r>
          </w:p>
        </w:tc>
        <w:tc>
          <w:tcPr>
            <w:tcW w:w="1312" w:type="dxa"/>
            <w:tcBorders>
              <w:top w:val="nil"/>
              <w:left w:val="nil"/>
              <w:bottom w:val="single" w:sz="4" w:space="0" w:color="auto"/>
              <w:right w:val="single" w:sz="4" w:space="0" w:color="auto"/>
            </w:tcBorders>
            <w:shd w:val="clear" w:color="auto" w:fill="auto"/>
            <w:noWrap/>
          </w:tcPr>
          <w:p w14:paraId="7DF3A450"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9 225</w:t>
            </w:r>
          </w:p>
        </w:tc>
      </w:tr>
      <w:tr w:rsidR="006B29E4" w:rsidRPr="006B29E4" w14:paraId="05F30118"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A94E9DA"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Viet Nam</w:t>
            </w:r>
          </w:p>
        </w:tc>
        <w:tc>
          <w:tcPr>
            <w:tcW w:w="1134" w:type="dxa"/>
            <w:tcBorders>
              <w:top w:val="nil"/>
              <w:left w:val="nil"/>
              <w:bottom w:val="single" w:sz="4" w:space="0" w:color="auto"/>
              <w:right w:val="single" w:sz="4" w:space="0" w:color="auto"/>
            </w:tcBorders>
            <w:shd w:val="clear" w:color="auto" w:fill="auto"/>
            <w:noWrap/>
          </w:tcPr>
          <w:p w14:paraId="1DDC2E2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0,093</w:t>
            </w:r>
          </w:p>
        </w:tc>
        <w:tc>
          <w:tcPr>
            <w:tcW w:w="1022" w:type="dxa"/>
            <w:tcBorders>
              <w:top w:val="nil"/>
              <w:left w:val="nil"/>
              <w:bottom w:val="single" w:sz="4" w:space="0" w:color="auto"/>
              <w:right w:val="single" w:sz="4" w:space="0" w:color="auto"/>
            </w:tcBorders>
            <w:shd w:val="clear" w:color="auto" w:fill="auto"/>
            <w:noWrap/>
          </w:tcPr>
          <w:p w14:paraId="22E385D5"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0,095 %</w:t>
            </w:r>
          </w:p>
        </w:tc>
        <w:tc>
          <w:tcPr>
            <w:tcW w:w="1311" w:type="dxa"/>
            <w:tcBorders>
              <w:top w:val="single" w:sz="4" w:space="0" w:color="auto"/>
              <w:left w:val="nil"/>
              <w:bottom w:val="single" w:sz="4" w:space="0" w:color="auto"/>
              <w:right w:val="single" w:sz="4" w:space="0" w:color="auto"/>
            </w:tcBorders>
          </w:tcPr>
          <w:p w14:paraId="438C93DE" w14:textId="18DA9AAF"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3 769</w:t>
            </w:r>
          </w:p>
        </w:tc>
        <w:tc>
          <w:tcPr>
            <w:tcW w:w="1311" w:type="dxa"/>
            <w:tcBorders>
              <w:top w:val="nil"/>
              <w:left w:val="single" w:sz="4" w:space="0" w:color="auto"/>
              <w:bottom w:val="single" w:sz="4" w:space="0" w:color="auto"/>
              <w:right w:val="single" w:sz="4" w:space="0" w:color="auto"/>
            </w:tcBorders>
            <w:shd w:val="clear" w:color="auto" w:fill="auto"/>
            <w:noWrap/>
          </w:tcPr>
          <w:p w14:paraId="0D91F2EE" w14:textId="0E8C4F7A"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4 554</w:t>
            </w:r>
          </w:p>
        </w:tc>
        <w:tc>
          <w:tcPr>
            <w:tcW w:w="1311" w:type="dxa"/>
            <w:tcBorders>
              <w:top w:val="nil"/>
              <w:left w:val="nil"/>
              <w:bottom w:val="single" w:sz="4" w:space="0" w:color="auto"/>
              <w:right w:val="single" w:sz="4" w:space="0" w:color="auto"/>
            </w:tcBorders>
            <w:shd w:val="clear" w:color="auto" w:fill="auto"/>
            <w:noWrap/>
          </w:tcPr>
          <w:p w14:paraId="332150E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4 676</w:t>
            </w:r>
          </w:p>
        </w:tc>
        <w:tc>
          <w:tcPr>
            <w:tcW w:w="1312" w:type="dxa"/>
            <w:tcBorders>
              <w:top w:val="nil"/>
              <w:left w:val="nil"/>
              <w:bottom w:val="single" w:sz="4" w:space="0" w:color="auto"/>
              <w:right w:val="single" w:sz="4" w:space="0" w:color="auto"/>
            </w:tcBorders>
            <w:shd w:val="clear" w:color="auto" w:fill="auto"/>
            <w:noWrap/>
          </w:tcPr>
          <w:p w14:paraId="202A845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4 902</w:t>
            </w:r>
          </w:p>
        </w:tc>
      </w:tr>
      <w:tr w:rsidR="006B29E4" w:rsidRPr="006B29E4" w14:paraId="6978BF9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67D9CC1"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Yémen</w:t>
            </w:r>
          </w:p>
        </w:tc>
        <w:tc>
          <w:tcPr>
            <w:tcW w:w="1134" w:type="dxa"/>
            <w:tcBorders>
              <w:top w:val="nil"/>
              <w:left w:val="nil"/>
              <w:bottom w:val="single" w:sz="4" w:space="0" w:color="auto"/>
              <w:right w:val="single" w:sz="4" w:space="0" w:color="auto"/>
            </w:tcBorders>
            <w:shd w:val="clear" w:color="auto" w:fill="auto"/>
            <w:noWrap/>
          </w:tcPr>
          <w:p w14:paraId="2BF38A4E"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0,008</w:t>
            </w:r>
          </w:p>
        </w:tc>
        <w:tc>
          <w:tcPr>
            <w:tcW w:w="1022" w:type="dxa"/>
            <w:tcBorders>
              <w:top w:val="nil"/>
              <w:left w:val="nil"/>
              <w:bottom w:val="single" w:sz="4" w:space="0" w:color="auto"/>
              <w:right w:val="single" w:sz="4" w:space="0" w:color="auto"/>
            </w:tcBorders>
            <w:shd w:val="clear" w:color="auto" w:fill="auto"/>
            <w:noWrap/>
          </w:tcPr>
          <w:p w14:paraId="390DA54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0,008 %</w:t>
            </w:r>
          </w:p>
        </w:tc>
        <w:tc>
          <w:tcPr>
            <w:tcW w:w="1311" w:type="dxa"/>
            <w:tcBorders>
              <w:top w:val="single" w:sz="4" w:space="0" w:color="auto"/>
              <w:left w:val="nil"/>
              <w:bottom w:val="single" w:sz="4" w:space="0" w:color="auto"/>
              <w:right w:val="single" w:sz="4" w:space="0" w:color="auto"/>
            </w:tcBorders>
          </w:tcPr>
          <w:p w14:paraId="5334F2D4" w14:textId="156CE92B"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5B8A97EB" w14:textId="03568C5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6EF2E74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79EEDD2"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1 000</w:t>
            </w:r>
          </w:p>
        </w:tc>
      </w:tr>
      <w:tr w:rsidR="006B29E4" w:rsidRPr="006B29E4" w14:paraId="7DA2A9BA"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85B5A27" w14:textId="77777777" w:rsidR="001E3C24" w:rsidRPr="006B29E4" w:rsidRDefault="001E3C24" w:rsidP="001E3C24">
            <w:pPr>
              <w:ind w:left="0" w:firstLine="0"/>
              <w:rPr>
                <w:rFonts w:asciiTheme="minorHAnsi" w:hAnsiTheme="minorHAnsi" w:cstheme="minorHAnsi"/>
                <w:sz w:val="20"/>
                <w:szCs w:val="20"/>
              </w:rPr>
            </w:pPr>
            <w:r w:rsidRPr="006B29E4">
              <w:rPr>
                <w:rFonts w:asciiTheme="minorHAnsi" w:hAnsiTheme="minorHAnsi"/>
                <w:sz w:val="20"/>
              </w:rPr>
              <w:t>Zambie</w:t>
            </w:r>
          </w:p>
        </w:tc>
        <w:tc>
          <w:tcPr>
            <w:tcW w:w="1134" w:type="dxa"/>
            <w:tcBorders>
              <w:top w:val="nil"/>
              <w:left w:val="nil"/>
              <w:bottom w:val="single" w:sz="4" w:space="0" w:color="auto"/>
              <w:right w:val="single" w:sz="4" w:space="0" w:color="auto"/>
            </w:tcBorders>
            <w:shd w:val="clear" w:color="auto" w:fill="auto"/>
            <w:noWrap/>
          </w:tcPr>
          <w:p w14:paraId="439E5EE9" w14:textId="77777777"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0,008</w:t>
            </w:r>
          </w:p>
        </w:tc>
        <w:tc>
          <w:tcPr>
            <w:tcW w:w="1022" w:type="dxa"/>
            <w:tcBorders>
              <w:top w:val="nil"/>
              <w:left w:val="nil"/>
              <w:bottom w:val="single" w:sz="4" w:space="0" w:color="auto"/>
              <w:right w:val="single" w:sz="4" w:space="0" w:color="auto"/>
            </w:tcBorders>
            <w:shd w:val="clear" w:color="auto" w:fill="auto"/>
            <w:noWrap/>
          </w:tcPr>
          <w:p w14:paraId="2DABFB32" w14:textId="77777777"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0,008 %</w:t>
            </w:r>
          </w:p>
        </w:tc>
        <w:tc>
          <w:tcPr>
            <w:tcW w:w="1311" w:type="dxa"/>
            <w:tcBorders>
              <w:top w:val="single" w:sz="4" w:space="0" w:color="auto"/>
              <w:left w:val="nil"/>
              <w:bottom w:val="single" w:sz="4" w:space="0" w:color="auto"/>
              <w:right w:val="single" w:sz="4" w:space="0" w:color="auto"/>
            </w:tcBorders>
          </w:tcPr>
          <w:p w14:paraId="16C4D7B0" w14:textId="0E39D5F0"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39D06BE1" w14:textId="36F99AAC"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0BC771DB" w14:textId="77777777"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7D678D3C" w14:textId="77777777"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1 000</w:t>
            </w:r>
          </w:p>
        </w:tc>
      </w:tr>
      <w:tr w:rsidR="006B29E4" w:rsidRPr="006B29E4" w14:paraId="1DE2FE22"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4563FFA" w14:textId="77777777" w:rsidR="001E3C24" w:rsidRPr="006B29E4" w:rsidRDefault="001E3C24" w:rsidP="001E3C24">
            <w:pPr>
              <w:ind w:left="0" w:firstLine="0"/>
              <w:rPr>
                <w:rFonts w:asciiTheme="minorHAnsi" w:hAnsiTheme="minorHAnsi" w:cstheme="minorHAnsi"/>
                <w:sz w:val="20"/>
                <w:szCs w:val="20"/>
              </w:rPr>
            </w:pPr>
            <w:r w:rsidRPr="006B29E4">
              <w:rPr>
                <w:rFonts w:asciiTheme="minorHAnsi" w:hAnsiTheme="minorHAnsi"/>
                <w:sz w:val="20"/>
              </w:rPr>
              <w:t>Zimbabwe</w:t>
            </w:r>
          </w:p>
        </w:tc>
        <w:tc>
          <w:tcPr>
            <w:tcW w:w="1134" w:type="dxa"/>
            <w:tcBorders>
              <w:top w:val="nil"/>
              <w:left w:val="nil"/>
              <w:bottom w:val="single" w:sz="4" w:space="0" w:color="auto"/>
              <w:right w:val="single" w:sz="4" w:space="0" w:color="auto"/>
            </w:tcBorders>
            <w:shd w:val="clear" w:color="auto" w:fill="auto"/>
            <w:noWrap/>
          </w:tcPr>
          <w:p w14:paraId="5BE139F4" w14:textId="77777777"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0,007</w:t>
            </w:r>
          </w:p>
        </w:tc>
        <w:tc>
          <w:tcPr>
            <w:tcW w:w="1022" w:type="dxa"/>
            <w:tcBorders>
              <w:top w:val="nil"/>
              <w:left w:val="nil"/>
              <w:bottom w:val="single" w:sz="4" w:space="0" w:color="auto"/>
              <w:right w:val="single" w:sz="4" w:space="0" w:color="auto"/>
            </w:tcBorders>
            <w:shd w:val="clear" w:color="auto" w:fill="auto"/>
            <w:noWrap/>
          </w:tcPr>
          <w:p w14:paraId="6A792133" w14:textId="77777777"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0,007 %</w:t>
            </w:r>
          </w:p>
        </w:tc>
        <w:tc>
          <w:tcPr>
            <w:tcW w:w="1311" w:type="dxa"/>
            <w:tcBorders>
              <w:top w:val="single" w:sz="4" w:space="0" w:color="auto"/>
              <w:left w:val="nil"/>
              <w:bottom w:val="single" w:sz="4" w:space="0" w:color="auto"/>
              <w:right w:val="single" w:sz="4" w:space="0" w:color="auto"/>
            </w:tcBorders>
          </w:tcPr>
          <w:p w14:paraId="63C40F05" w14:textId="5BD11E52"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1 000</w:t>
            </w:r>
          </w:p>
        </w:tc>
        <w:tc>
          <w:tcPr>
            <w:tcW w:w="1311" w:type="dxa"/>
            <w:tcBorders>
              <w:top w:val="nil"/>
              <w:left w:val="single" w:sz="4" w:space="0" w:color="auto"/>
              <w:bottom w:val="single" w:sz="4" w:space="0" w:color="auto"/>
              <w:right w:val="single" w:sz="4" w:space="0" w:color="auto"/>
            </w:tcBorders>
            <w:shd w:val="clear" w:color="auto" w:fill="auto"/>
            <w:noWrap/>
          </w:tcPr>
          <w:p w14:paraId="43FBA062" w14:textId="0B0BC623"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1 000</w:t>
            </w:r>
          </w:p>
        </w:tc>
        <w:tc>
          <w:tcPr>
            <w:tcW w:w="1311" w:type="dxa"/>
            <w:tcBorders>
              <w:top w:val="nil"/>
              <w:left w:val="nil"/>
              <w:bottom w:val="single" w:sz="4" w:space="0" w:color="auto"/>
              <w:right w:val="single" w:sz="4" w:space="0" w:color="auto"/>
            </w:tcBorders>
            <w:shd w:val="clear" w:color="auto" w:fill="auto"/>
            <w:noWrap/>
          </w:tcPr>
          <w:p w14:paraId="274496EF" w14:textId="77777777"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1 000</w:t>
            </w:r>
          </w:p>
        </w:tc>
        <w:tc>
          <w:tcPr>
            <w:tcW w:w="1312" w:type="dxa"/>
            <w:tcBorders>
              <w:top w:val="nil"/>
              <w:left w:val="nil"/>
              <w:bottom w:val="single" w:sz="4" w:space="0" w:color="auto"/>
              <w:right w:val="single" w:sz="4" w:space="0" w:color="auto"/>
            </w:tcBorders>
            <w:shd w:val="clear" w:color="auto" w:fill="auto"/>
            <w:noWrap/>
          </w:tcPr>
          <w:p w14:paraId="0D5F25AB" w14:textId="77777777" w:rsidR="001E3C24" w:rsidRPr="006B29E4" w:rsidRDefault="001E3C24" w:rsidP="001E3C24">
            <w:pPr>
              <w:ind w:left="0" w:firstLine="0"/>
              <w:jc w:val="right"/>
              <w:rPr>
                <w:rFonts w:asciiTheme="minorHAnsi" w:hAnsiTheme="minorHAnsi" w:cstheme="minorHAnsi"/>
                <w:sz w:val="20"/>
                <w:szCs w:val="20"/>
              </w:rPr>
            </w:pPr>
            <w:r w:rsidRPr="006B29E4">
              <w:rPr>
                <w:rFonts w:asciiTheme="minorHAnsi" w:hAnsiTheme="minorHAnsi"/>
                <w:sz w:val="20"/>
              </w:rPr>
              <w:t>1 000</w:t>
            </w:r>
          </w:p>
        </w:tc>
      </w:tr>
      <w:tr w:rsidR="006B29E4" w:rsidRPr="006B29E4" w14:paraId="15BDDD84"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DBE5F1" w:themeFill="accent1" w:themeFillTint="33"/>
            <w:noWrap/>
          </w:tcPr>
          <w:p w14:paraId="283C1AAC" w14:textId="77777777" w:rsidR="001E3C24" w:rsidRPr="006B29E4" w:rsidRDefault="001E3C24" w:rsidP="001E3C24">
            <w:pPr>
              <w:ind w:left="0" w:firstLine="0"/>
              <w:rPr>
                <w:rFonts w:asciiTheme="minorHAnsi" w:eastAsia="Times New Roman" w:hAnsiTheme="minorHAnsi" w:cstheme="minorHAnsi"/>
                <w:b/>
                <w:bCs/>
                <w:sz w:val="20"/>
                <w:szCs w:val="20"/>
              </w:rPr>
            </w:pPr>
            <w:r w:rsidRPr="006B29E4">
              <w:rPr>
                <w:rFonts w:asciiTheme="minorHAnsi" w:hAnsiTheme="minorHAnsi"/>
                <w:b/>
                <w:sz w:val="20"/>
              </w:rPr>
              <w:t>Total</w:t>
            </w:r>
          </w:p>
        </w:tc>
        <w:tc>
          <w:tcPr>
            <w:tcW w:w="1134" w:type="dxa"/>
            <w:tcBorders>
              <w:top w:val="nil"/>
              <w:left w:val="nil"/>
              <w:bottom w:val="single" w:sz="4" w:space="0" w:color="auto"/>
              <w:right w:val="single" w:sz="4" w:space="0" w:color="auto"/>
            </w:tcBorders>
            <w:shd w:val="clear" w:color="auto" w:fill="DBE5F1" w:themeFill="accent1" w:themeFillTint="33"/>
            <w:noWrap/>
          </w:tcPr>
          <w:p w14:paraId="24D7F46E" w14:textId="77777777" w:rsidR="001E3C24" w:rsidRPr="006B29E4" w:rsidRDefault="001E3C24" w:rsidP="001E3C24">
            <w:pPr>
              <w:ind w:left="0" w:firstLine="0"/>
              <w:jc w:val="right"/>
              <w:rPr>
                <w:rFonts w:asciiTheme="minorHAnsi" w:eastAsia="Times New Roman" w:hAnsiTheme="minorHAnsi" w:cstheme="minorHAnsi"/>
                <w:b/>
                <w:bCs/>
                <w:sz w:val="20"/>
                <w:szCs w:val="20"/>
              </w:rPr>
            </w:pPr>
            <w:r w:rsidRPr="006B29E4">
              <w:rPr>
                <w:rFonts w:asciiTheme="minorHAnsi" w:hAnsiTheme="minorHAnsi"/>
                <w:b/>
                <w:sz w:val="20"/>
              </w:rPr>
              <w:t>75 978</w:t>
            </w:r>
          </w:p>
        </w:tc>
        <w:tc>
          <w:tcPr>
            <w:tcW w:w="1022" w:type="dxa"/>
            <w:tcBorders>
              <w:top w:val="nil"/>
              <w:left w:val="nil"/>
              <w:bottom w:val="single" w:sz="4" w:space="0" w:color="auto"/>
              <w:right w:val="single" w:sz="4" w:space="0" w:color="auto"/>
            </w:tcBorders>
            <w:shd w:val="clear" w:color="auto" w:fill="DBE5F1" w:themeFill="accent1" w:themeFillTint="33"/>
            <w:noWrap/>
          </w:tcPr>
          <w:p w14:paraId="0BC8DF6E" w14:textId="77777777" w:rsidR="001E3C24" w:rsidRPr="006B29E4" w:rsidRDefault="001E3C24" w:rsidP="001E3C24">
            <w:pPr>
              <w:ind w:left="0" w:firstLine="0"/>
              <w:jc w:val="right"/>
              <w:rPr>
                <w:rFonts w:asciiTheme="minorHAnsi" w:eastAsia="Times New Roman" w:hAnsiTheme="minorHAnsi" w:cstheme="minorHAnsi"/>
                <w:b/>
                <w:bCs/>
                <w:sz w:val="20"/>
                <w:szCs w:val="20"/>
              </w:rPr>
            </w:pPr>
            <w:r w:rsidRPr="006B29E4">
              <w:rPr>
                <w:rFonts w:asciiTheme="minorHAnsi" w:hAnsiTheme="minorHAnsi"/>
                <w:b/>
                <w:sz w:val="20"/>
              </w:rPr>
              <w:t>78,0000 %</w:t>
            </w:r>
          </w:p>
        </w:tc>
        <w:tc>
          <w:tcPr>
            <w:tcW w:w="1311" w:type="dxa"/>
            <w:tcBorders>
              <w:top w:val="single" w:sz="4" w:space="0" w:color="auto"/>
              <w:left w:val="nil"/>
              <w:bottom w:val="single" w:sz="4" w:space="0" w:color="auto"/>
              <w:right w:val="single" w:sz="4" w:space="0" w:color="auto"/>
            </w:tcBorders>
            <w:shd w:val="clear" w:color="auto" w:fill="F2DBDB" w:themeFill="accent2" w:themeFillTint="33"/>
          </w:tcPr>
          <w:p w14:paraId="3B47BE41" w14:textId="00850A3B" w:rsidR="001E3C24" w:rsidRPr="006B29E4" w:rsidRDefault="001E3C24" w:rsidP="001E3C24">
            <w:pPr>
              <w:ind w:left="0" w:firstLine="0"/>
              <w:jc w:val="right"/>
              <w:rPr>
                <w:rFonts w:asciiTheme="minorHAnsi" w:hAnsiTheme="minorHAnsi"/>
                <w:b/>
                <w:sz w:val="20"/>
              </w:rPr>
            </w:pPr>
            <w:r w:rsidRPr="006B29E4">
              <w:rPr>
                <w:rFonts w:asciiTheme="minorHAnsi" w:hAnsiTheme="minorHAnsi"/>
                <w:b/>
                <w:sz w:val="20"/>
              </w:rPr>
              <w:t>3 778 998</w:t>
            </w:r>
          </w:p>
        </w:tc>
        <w:tc>
          <w:tcPr>
            <w:tcW w:w="1311" w:type="dxa"/>
            <w:tcBorders>
              <w:top w:val="nil"/>
              <w:left w:val="single" w:sz="4" w:space="0" w:color="auto"/>
              <w:bottom w:val="single" w:sz="4" w:space="0" w:color="auto"/>
              <w:right w:val="single" w:sz="4" w:space="0" w:color="auto"/>
            </w:tcBorders>
            <w:shd w:val="clear" w:color="auto" w:fill="EAF1DD" w:themeFill="accent3" w:themeFillTint="33"/>
            <w:noWrap/>
          </w:tcPr>
          <w:p w14:paraId="34302CAB" w14:textId="3372B825" w:rsidR="001E3C24" w:rsidRPr="006B29E4" w:rsidRDefault="001E3C24" w:rsidP="001E3C24">
            <w:pPr>
              <w:ind w:left="0" w:firstLine="0"/>
              <w:jc w:val="right"/>
              <w:rPr>
                <w:rFonts w:asciiTheme="minorHAnsi" w:eastAsia="Times New Roman" w:hAnsiTheme="minorHAnsi" w:cstheme="minorHAnsi"/>
                <w:b/>
                <w:bCs/>
                <w:sz w:val="20"/>
                <w:szCs w:val="20"/>
              </w:rPr>
            </w:pPr>
            <w:r w:rsidRPr="006B29E4">
              <w:rPr>
                <w:rFonts w:asciiTheme="minorHAnsi" w:hAnsiTheme="minorHAnsi"/>
                <w:b/>
                <w:sz w:val="20"/>
              </w:rPr>
              <w:t>3 779 000</w:t>
            </w:r>
          </w:p>
        </w:tc>
        <w:tc>
          <w:tcPr>
            <w:tcW w:w="1311" w:type="dxa"/>
            <w:tcBorders>
              <w:top w:val="nil"/>
              <w:left w:val="nil"/>
              <w:bottom w:val="single" w:sz="4" w:space="0" w:color="auto"/>
              <w:right w:val="single" w:sz="4" w:space="0" w:color="auto"/>
            </w:tcBorders>
            <w:shd w:val="clear" w:color="auto" w:fill="EAF1DD" w:themeFill="accent3" w:themeFillTint="33"/>
            <w:noWrap/>
          </w:tcPr>
          <w:p w14:paraId="372E6E51" w14:textId="77777777" w:rsidR="001E3C24" w:rsidRPr="006B29E4" w:rsidRDefault="001E3C24" w:rsidP="001E3C24">
            <w:pPr>
              <w:ind w:left="0" w:firstLine="0"/>
              <w:jc w:val="right"/>
              <w:rPr>
                <w:rFonts w:asciiTheme="minorHAnsi" w:eastAsia="Times New Roman" w:hAnsiTheme="minorHAnsi" w:cstheme="minorHAnsi"/>
                <w:b/>
                <w:bCs/>
                <w:sz w:val="20"/>
                <w:szCs w:val="20"/>
              </w:rPr>
            </w:pPr>
            <w:r w:rsidRPr="006B29E4">
              <w:rPr>
                <w:rFonts w:asciiTheme="minorHAnsi" w:hAnsiTheme="minorHAnsi"/>
                <w:b/>
                <w:sz w:val="20"/>
              </w:rPr>
              <w:t>3 878 000</w:t>
            </w:r>
          </w:p>
        </w:tc>
        <w:tc>
          <w:tcPr>
            <w:tcW w:w="1312" w:type="dxa"/>
            <w:tcBorders>
              <w:top w:val="nil"/>
              <w:left w:val="nil"/>
              <w:bottom w:val="single" w:sz="4" w:space="0" w:color="auto"/>
              <w:right w:val="single" w:sz="4" w:space="0" w:color="auto"/>
            </w:tcBorders>
            <w:shd w:val="clear" w:color="auto" w:fill="EAF1DD" w:themeFill="accent3" w:themeFillTint="33"/>
            <w:noWrap/>
          </w:tcPr>
          <w:p w14:paraId="0B4AFD3C" w14:textId="77777777" w:rsidR="001E3C24" w:rsidRPr="006B29E4" w:rsidRDefault="001E3C24" w:rsidP="001E3C24">
            <w:pPr>
              <w:ind w:left="0" w:firstLine="0"/>
              <w:jc w:val="right"/>
              <w:rPr>
                <w:rFonts w:asciiTheme="minorHAnsi" w:eastAsia="Times New Roman" w:hAnsiTheme="minorHAnsi" w:cstheme="minorHAnsi"/>
                <w:b/>
                <w:bCs/>
                <w:sz w:val="20"/>
                <w:szCs w:val="20"/>
              </w:rPr>
            </w:pPr>
            <w:r w:rsidRPr="006B29E4">
              <w:rPr>
                <w:rFonts w:asciiTheme="minorHAnsi" w:hAnsiTheme="minorHAnsi"/>
                <w:b/>
                <w:sz w:val="20"/>
              </w:rPr>
              <w:t>4 062 000</w:t>
            </w:r>
          </w:p>
        </w:tc>
      </w:tr>
      <w:tr w:rsidR="006B29E4" w:rsidRPr="006B29E4" w14:paraId="6810EB15"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FE7DE6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Autres contributions**</w:t>
            </w:r>
          </w:p>
        </w:tc>
        <w:tc>
          <w:tcPr>
            <w:tcW w:w="1134" w:type="dxa"/>
            <w:tcBorders>
              <w:top w:val="nil"/>
              <w:left w:val="nil"/>
              <w:bottom w:val="single" w:sz="4" w:space="0" w:color="auto"/>
              <w:right w:val="single" w:sz="4" w:space="0" w:color="auto"/>
            </w:tcBorders>
            <w:shd w:val="clear" w:color="auto" w:fill="auto"/>
            <w:noWrap/>
          </w:tcPr>
          <w:p w14:paraId="6D4CF4C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022" w:type="dxa"/>
            <w:tcBorders>
              <w:top w:val="nil"/>
              <w:left w:val="nil"/>
              <w:bottom w:val="single" w:sz="4" w:space="0" w:color="auto"/>
              <w:right w:val="single" w:sz="4" w:space="0" w:color="auto"/>
            </w:tcBorders>
            <w:shd w:val="clear" w:color="auto" w:fill="auto"/>
            <w:noWrap/>
          </w:tcPr>
          <w:p w14:paraId="3C56854D"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311" w:type="dxa"/>
            <w:tcBorders>
              <w:top w:val="single" w:sz="4" w:space="0" w:color="auto"/>
              <w:left w:val="nil"/>
              <w:bottom w:val="single" w:sz="4" w:space="0" w:color="auto"/>
              <w:right w:val="single" w:sz="4" w:space="0" w:color="auto"/>
            </w:tcBorders>
          </w:tcPr>
          <w:p w14:paraId="0DA8673C" w14:textId="0AE63621"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 </w:t>
            </w:r>
          </w:p>
        </w:tc>
        <w:tc>
          <w:tcPr>
            <w:tcW w:w="1311" w:type="dxa"/>
            <w:tcBorders>
              <w:top w:val="nil"/>
              <w:left w:val="single" w:sz="4" w:space="0" w:color="auto"/>
              <w:bottom w:val="single" w:sz="4" w:space="0" w:color="auto"/>
              <w:right w:val="single" w:sz="4" w:space="0" w:color="auto"/>
            </w:tcBorders>
            <w:shd w:val="clear" w:color="auto" w:fill="auto"/>
            <w:noWrap/>
          </w:tcPr>
          <w:p w14:paraId="5E44B81B" w14:textId="0858DFBB"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311" w:type="dxa"/>
            <w:tcBorders>
              <w:top w:val="nil"/>
              <w:left w:val="nil"/>
              <w:bottom w:val="single" w:sz="4" w:space="0" w:color="auto"/>
              <w:right w:val="single" w:sz="4" w:space="0" w:color="auto"/>
            </w:tcBorders>
            <w:shd w:val="clear" w:color="auto" w:fill="auto"/>
            <w:noWrap/>
          </w:tcPr>
          <w:p w14:paraId="0D57DB8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312" w:type="dxa"/>
            <w:tcBorders>
              <w:top w:val="nil"/>
              <w:left w:val="nil"/>
              <w:bottom w:val="single" w:sz="4" w:space="0" w:color="auto"/>
              <w:right w:val="single" w:sz="4" w:space="0" w:color="auto"/>
            </w:tcBorders>
            <w:shd w:val="clear" w:color="auto" w:fill="auto"/>
            <w:noWrap/>
          </w:tcPr>
          <w:p w14:paraId="7E8E475F"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r>
      <w:tr w:rsidR="006B29E4" w:rsidRPr="006B29E4" w14:paraId="17FA7FFD"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C177A57" w14:textId="3999D714"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États-Unis d’Amérique</w:t>
            </w:r>
          </w:p>
        </w:tc>
        <w:tc>
          <w:tcPr>
            <w:tcW w:w="1134" w:type="dxa"/>
            <w:tcBorders>
              <w:top w:val="nil"/>
              <w:left w:val="nil"/>
              <w:bottom w:val="single" w:sz="4" w:space="0" w:color="auto"/>
              <w:right w:val="single" w:sz="4" w:space="0" w:color="auto"/>
            </w:tcBorders>
            <w:shd w:val="clear" w:color="auto" w:fill="auto"/>
            <w:noWrap/>
          </w:tcPr>
          <w:p w14:paraId="5BBD432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022" w:type="dxa"/>
            <w:tcBorders>
              <w:top w:val="nil"/>
              <w:left w:val="nil"/>
              <w:bottom w:val="single" w:sz="4" w:space="0" w:color="auto"/>
              <w:right w:val="single" w:sz="4" w:space="0" w:color="auto"/>
            </w:tcBorders>
            <w:shd w:val="clear" w:color="auto" w:fill="auto"/>
            <w:noWrap/>
          </w:tcPr>
          <w:p w14:paraId="06C6309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22 %</w:t>
            </w:r>
          </w:p>
        </w:tc>
        <w:tc>
          <w:tcPr>
            <w:tcW w:w="1311" w:type="dxa"/>
            <w:tcBorders>
              <w:top w:val="single" w:sz="4" w:space="0" w:color="auto"/>
              <w:left w:val="nil"/>
              <w:bottom w:val="single" w:sz="4" w:space="0" w:color="auto"/>
              <w:right w:val="single" w:sz="4" w:space="0" w:color="auto"/>
            </w:tcBorders>
          </w:tcPr>
          <w:p w14:paraId="11CA2C5D" w14:textId="3CB74869"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1 065 799</w:t>
            </w:r>
          </w:p>
        </w:tc>
        <w:tc>
          <w:tcPr>
            <w:tcW w:w="1311" w:type="dxa"/>
            <w:tcBorders>
              <w:top w:val="nil"/>
              <w:left w:val="single" w:sz="4" w:space="0" w:color="auto"/>
              <w:bottom w:val="single" w:sz="4" w:space="0" w:color="auto"/>
              <w:right w:val="single" w:sz="4" w:space="0" w:color="auto"/>
            </w:tcBorders>
            <w:shd w:val="clear" w:color="auto" w:fill="auto"/>
            <w:noWrap/>
          </w:tcPr>
          <w:p w14:paraId="7C421F1C" w14:textId="11B083D6"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1 065 799</w:t>
            </w:r>
          </w:p>
        </w:tc>
        <w:tc>
          <w:tcPr>
            <w:tcW w:w="1311" w:type="dxa"/>
            <w:tcBorders>
              <w:top w:val="nil"/>
              <w:left w:val="nil"/>
              <w:bottom w:val="single" w:sz="4" w:space="0" w:color="auto"/>
              <w:right w:val="single" w:sz="4" w:space="0" w:color="auto"/>
            </w:tcBorders>
            <w:shd w:val="clear" w:color="auto" w:fill="auto"/>
            <w:noWrap/>
          </w:tcPr>
          <w:p w14:paraId="0FB07FB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1 094 000</w:t>
            </w:r>
          </w:p>
        </w:tc>
        <w:tc>
          <w:tcPr>
            <w:tcW w:w="1312" w:type="dxa"/>
            <w:tcBorders>
              <w:top w:val="nil"/>
              <w:left w:val="nil"/>
              <w:bottom w:val="single" w:sz="4" w:space="0" w:color="auto"/>
              <w:right w:val="single" w:sz="4" w:space="0" w:color="auto"/>
            </w:tcBorders>
            <w:shd w:val="clear" w:color="auto" w:fill="auto"/>
            <w:noWrap/>
          </w:tcPr>
          <w:p w14:paraId="012063C7"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1 146 000</w:t>
            </w:r>
          </w:p>
        </w:tc>
      </w:tr>
      <w:tr w:rsidR="006B29E4" w:rsidRPr="006B29E4" w14:paraId="4EFE318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00CBEBE" w14:textId="77777777" w:rsidR="001E3C24" w:rsidRPr="006B29E4" w:rsidRDefault="001E3C24" w:rsidP="001E3C24">
            <w:pPr>
              <w:ind w:left="0" w:firstLine="0"/>
              <w:rPr>
                <w:rFonts w:asciiTheme="minorHAnsi" w:eastAsia="Times New Roman" w:hAnsiTheme="minorHAnsi" w:cstheme="minorHAnsi"/>
                <w:sz w:val="20"/>
                <w:szCs w:val="20"/>
              </w:rPr>
            </w:pPr>
            <w:r w:rsidRPr="006B29E4">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tcPr>
          <w:p w14:paraId="03FE2A7C"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022" w:type="dxa"/>
            <w:tcBorders>
              <w:top w:val="nil"/>
              <w:left w:val="nil"/>
              <w:bottom w:val="single" w:sz="4" w:space="0" w:color="auto"/>
              <w:right w:val="single" w:sz="4" w:space="0" w:color="auto"/>
            </w:tcBorders>
            <w:shd w:val="clear" w:color="auto" w:fill="auto"/>
            <w:noWrap/>
          </w:tcPr>
          <w:p w14:paraId="48B09803"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311" w:type="dxa"/>
            <w:tcBorders>
              <w:top w:val="single" w:sz="4" w:space="0" w:color="auto"/>
              <w:left w:val="nil"/>
              <w:bottom w:val="single" w:sz="4" w:space="0" w:color="auto"/>
              <w:right w:val="single" w:sz="4" w:space="0" w:color="auto"/>
            </w:tcBorders>
          </w:tcPr>
          <w:p w14:paraId="74B33014" w14:textId="5E61C0DE" w:rsidR="001E3C24" w:rsidRPr="006B29E4" w:rsidRDefault="001E3C24" w:rsidP="001E3C24">
            <w:pPr>
              <w:ind w:left="0" w:firstLine="0"/>
              <w:jc w:val="right"/>
              <w:rPr>
                <w:rFonts w:asciiTheme="minorHAnsi" w:hAnsiTheme="minorHAnsi"/>
                <w:sz w:val="20"/>
              </w:rPr>
            </w:pPr>
            <w:r w:rsidRPr="006B29E4">
              <w:rPr>
                <w:rFonts w:asciiTheme="minorHAnsi" w:hAnsiTheme="minorHAnsi"/>
                <w:sz w:val="20"/>
              </w:rPr>
              <w:t> </w:t>
            </w:r>
          </w:p>
        </w:tc>
        <w:tc>
          <w:tcPr>
            <w:tcW w:w="1311" w:type="dxa"/>
            <w:tcBorders>
              <w:top w:val="nil"/>
              <w:left w:val="single" w:sz="4" w:space="0" w:color="auto"/>
              <w:bottom w:val="single" w:sz="4" w:space="0" w:color="auto"/>
              <w:right w:val="single" w:sz="4" w:space="0" w:color="auto"/>
            </w:tcBorders>
            <w:shd w:val="clear" w:color="auto" w:fill="auto"/>
            <w:noWrap/>
          </w:tcPr>
          <w:p w14:paraId="39C47EBB" w14:textId="0F523420"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311" w:type="dxa"/>
            <w:tcBorders>
              <w:top w:val="nil"/>
              <w:left w:val="nil"/>
              <w:bottom w:val="single" w:sz="4" w:space="0" w:color="auto"/>
              <w:right w:val="single" w:sz="4" w:space="0" w:color="auto"/>
            </w:tcBorders>
            <w:shd w:val="clear" w:color="auto" w:fill="auto"/>
            <w:noWrap/>
          </w:tcPr>
          <w:p w14:paraId="423E92D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312" w:type="dxa"/>
            <w:tcBorders>
              <w:top w:val="nil"/>
              <w:left w:val="nil"/>
              <w:bottom w:val="single" w:sz="4" w:space="0" w:color="auto"/>
              <w:right w:val="single" w:sz="4" w:space="0" w:color="auto"/>
            </w:tcBorders>
            <w:shd w:val="clear" w:color="auto" w:fill="auto"/>
            <w:noWrap/>
          </w:tcPr>
          <w:p w14:paraId="75932F51"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r>
      <w:tr w:rsidR="006B29E4" w:rsidRPr="006B29E4" w14:paraId="7F68E8F1" w14:textId="77777777" w:rsidTr="00A31639">
        <w:trPr>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tcPr>
          <w:p w14:paraId="08BDFB1B" w14:textId="77777777" w:rsidR="001E3C24" w:rsidRPr="006B29E4" w:rsidRDefault="001E3C24" w:rsidP="001E3C24">
            <w:pPr>
              <w:ind w:left="0" w:firstLine="0"/>
              <w:rPr>
                <w:rFonts w:asciiTheme="minorHAnsi" w:eastAsia="Times New Roman" w:hAnsiTheme="minorHAnsi" w:cstheme="minorHAnsi"/>
                <w:b/>
                <w:bCs/>
                <w:sz w:val="20"/>
                <w:szCs w:val="20"/>
              </w:rPr>
            </w:pPr>
            <w:r w:rsidRPr="006B29E4">
              <w:rPr>
                <w:rFonts w:asciiTheme="minorHAnsi" w:hAnsiTheme="minorHAnsi"/>
                <w:b/>
                <w:sz w:val="20"/>
              </w:rPr>
              <w:t>Total général</w:t>
            </w:r>
          </w:p>
        </w:tc>
        <w:tc>
          <w:tcPr>
            <w:tcW w:w="1134" w:type="dxa"/>
            <w:tcBorders>
              <w:top w:val="nil"/>
              <w:left w:val="nil"/>
              <w:bottom w:val="single" w:sz="4" w:space="0" w:color="auto"/>
              <w:right w:val="single" w:sz="4" w:space="0" w:color="auto"/>
            </w:tcBorders>
            <w:shd w:val="clear" w:color="auto" w:fill="C6D9F1" w:themeFill="text2" w:themeFillTint="33"/>
            <w:noWrap/>
          </w:tcPr>
          <w:p w14:paraId="7B56FB18" w14:textId="77777777" w:rsidR="001E3C24" w:rsidRPr="006B29E4" w:rsidRDefault="001E3C24" w:rsidP="001E3C24">
            <w:pPr>
              <w:ind w:left="0" w:firstLine="0"/>
              <w:jc w:val="right"/>
              <w:rPr>
                <w:rFonts w:asciiTheme="minorHAnsi" w:eastAsia="Times New Roman" w:hAnsiTheme="minorHAnsi" w:cstheme="minorHAnsi"/>
                <w:sz w:val="20"/>
                <w:szCs w:val="20"/>
              </w:rPr>
            </w:pPr>
            <w:r w:rsidRPr="006B29E4">
              <w:rPr>
                <w:rFonts w:asciiTheme="minorHAnsi" w:hAnsiTheme="minorHAnsi"/>
                <w:sz w:val="20"/>
              </w:rPr>
              <w:t> </w:t>
            </w:r>
          </w:p>
        </w:tc>
        <w:tc>
          <w:tcPr>
            <w:tcW w:w="1022" w:type="dxa"/>
            <w:tcBorders>
              <w:top w:val="nil"/>
              <w:left w:val="nil"/>
              <w:bottom w:val="single" w:sz="4" w:space="0" w:color="auto"/>
              <w:right w:val="single" w:sz="4" w:space="0" w:color="auto"/>
            </w:tcBorders>
            <w:shd w:val="clear" w:color="auto" w:fill="C6D9F1" w:themeFill="text2" w:themeFillTint="33"/>
            <w:noWrap/>
          </w:tcPr>
          <w:p w14:paraId="52EBC213" w14:textId="77777777" w:rsidR="001E3C24" w:rsidRPr="006B29E4" w:rsidRDefault="001E3C24" w:rsidP="001E3C24">
            <w:pPr>
              <w:ind w:left="0" w:firstLine="0"/>
              <w:jc w:val="right"/>
              <w:rPr>
                <w:rFonts w:asciiTheme="minorHAnsi" w:eastAsia="Times New Roman" w:hAnsiTheme="minorHAnsi" w:cstheme="minorHAnsi"/>
                <w:b/>
                <w:sz w:val="20"/>
                <w:szCs w:val="20"/>
              </w:rPr>
            </w:pPr>
            <w:r w:rsidRPr="006B29E4">
              <w:rPr>
                <w:rFonts w:asciiTheme="minorHAnsi" w:hAnsiTheme="minorHAnsi"/>
                <w:sz w:val="20"/>
              </w:rPr>
              <w:t> </w:t>
            </w:r>
          </w:p>
        </w:tc>
        <w:tc>
          <w:tcPr>
            <w:tcW w:w="1311" w:type="dxa"/>
            <w:tcBorders>
              <w:top w:val="single" w:sz="4" w:space="0" w:color="auto"/>
              <w:left w:val="nil"/>
              <w:bottom w:val="single" w:sz="4" w:space="0" w:color="auto"/>
              <w:right w:val="single" w:sz="4" w:space="0" w:color="auto"/>
            </w:tcBorders>
            <w:shd w:val="clear" w:color="auto" w:fill="F2DBDB" w:themeFill="accent2" w:themeFillTint="33"/>
          </w:tcPr>
          <w:p w14:paraId="0BE05539" w14:textId="6730E933" w:rsidR="001E3C24" w:rsidRPr="006B29E4" w:rsidRDefault="001E3C24" w:rsidP="001E3C24">
            <w:pPr>
              <w:ind w:left="0" w:firstLine="0"/>
              <w:jc w:val="right"/>
              <w:rPr>
                <w:rFonts w:asciiTheme="minorHAnsi" w:hAnsiTheme="minorHAnsi"/>
                <w:b/>
                <w:sz w:val="20"/>
              </w:rPr>
            </w:pPr>
            <w:r w:rsidRPr="006B29E4">
              <w:rPr>
                <w:rFonts w:asciiTheme="minorHAnsi" w:hAnsiTheme="minorHAnsi"/>
                <w:b/>
                <w:sz w:val="20"/>
              </w:rPr>
              <w:t>4 844 797</w:t>
            </w:r>
          </w:p>
        </w:tc>
        <w:tc>
          <w:tcPr>
            <w:tcW w:w="1311" w:type="dxa"/>
            <w:tcBorders>
              <w:top w:val="nil"/>
              <w:left w:val="single" w:sz="4" w:space="0" w:color="auto"/>
              <w:bottom w:val="single" w:sz="4" w:space="0" w:color="auto"/>
              <w:right w:val="single" w:sz="4" w:space="0" w:color="auto"/>
            </w:tcBorders>
            <w:shd w:val="clear" w:color="auto" w:fill="EAF1DD" w:themeFill="accent3" w:themeFillTint="33"/>
            <w:noWrap/>
          </w:tcPr>
          <w:p w14:paraId="39814492" w14:textId="0D5CEC4F" w:rsidR="001E3C24" w:rsidRPr="006B29E4" w:rsidRDefault="001E3C24" w:rsidP="001E3C24">
            <w:pPr>
              <w:ind w:left="0" w:firstLine="0"/>
              <w:jc w:val="right"/>
              <w:rPr>
                <w:rFonts w:asciiTheme="minorHAnsi" w:eastAsia="Times New Roman" w:hAnsiTheme="minorHAnsi" w:cstheme="minorHAnsi"/>
                <w:b/>
                <w:bCs/>
                <w:sz w:val="20"/>
                <w:szCs w:val="20"/>
              </w:rPr>
            </w:pPr>
            <w:r w:rsidRPr="006B29E4">
              <w:rPr>
                <w:rFonts w:asciiTheme="minorHAnsi" w:hAnsiTheme="minorHAnsi"/>
                <w:b/>
                <w:sz w:val="20"/>
              </w:rPr>
              <w:t>4 844 799</w:t>
            </w:r>
          </w:p>
        </w:tc>
        <w:tc>
          <w:tcPr>
            <w:tcW w:w="1311" w:type="dxa"/>
            <w:tcBorders>
              <w:top w:val="nil"/>
              <w:left w:val="nil"/>
              <w:bottom w:val="single" w:sz="4" w:space="0" w:color="auto"/>
              <w:right w:val="single" w:sz="4" w:space="0" w:color="auto"/>
            </w:tcBorders>
            <w:shd w:val="clear" w:color="auto" w:fill="EAF1DD" w:themeFill="accent3" w:themeFillTint="33"/>
            <w:noWrap/>
          </w:tcPr>
          <w:p w14:paraId="2F305D92" w14:textId="77777777" w:rsidR="001E3C24" w:rsidRPr="006B29E4" w:rsidRDefault="001E3C24" w:rsidP="001E3C24">
            <w:pPr>
              <w:ind w:left="0" w:firstLine="0"/>
              <w:jc w:val="right"/>
              <w:rPr>
                <w:rFonts w:asciiTheme="minorHAnsi" w:eastAsia="Times New Roman" w:hAnsiTheme="minorHAnsi" w:cstheme="minorHAnsi"/>
                <w:b/>
                <w:bCs/>
                <w:sz w:val="20"/>
                <w:szCs w:val="20"/>
              </w:rPr>
            </w:pPr>
            <w:r w:rsidRPr="006B29E4">
              <w:rPr>
                <w:rFonts w:asciiTheme="minorHAnsi" w:hAnsiTheme="minorHAnsi"/>
                <w:b/>
                <w:sz w:val="20"/>
              </w:rPr>
              <w:t>4 972 000</w:t>
            </w:r>
          </w:p>
        </w:tc>
        <w:tc>
          <w:tcPr>
            <w:tcW w:w="1312" w:type="dxa"/>
            <w:tcBorders>
              <w:top w:val="nil"/>
              <w:left w:val="nil"/>
              <w:bottom w:val="single" w:sz="4" w:space="0" w:color="auto"/>
              <w:right w:val="single" w:sz="4" w:space="0" w:color="auto"/>
            </w:tcBorders>
            <w:shd w:val="clear" w:color="auto" w:fill="EAF1DD" w:themeFill="accent3" w:themeFillTint="33"/>
            <w:noWrap/>
          </w:tcPr>
          <w:p w14:paraId="6D827D48" w14:textId="77777777" w:rsidR="001E3C24" w:rsidRPr="006B29E4" w:rsidRDefault="001E3C24" w:rsidP="001E3C24">
            <w:pPr>
              <w:ind w:left="0" w:firstLine="0"/>
              <w:jc w:val="right"/>
              <w:rPr>
                <w:rFonts w:asciiTheme="minorHAnsi" w:eastAsia="Times New Roman" w:hAnsiTheme="minorHAnsi" w:cstheme="minorHAnsi"/>
                <w:b/>
                <w:bCs/>
                <w:sz w:val="20"/>
                <w:szCs w:val="20"/>
              </w:rPr>
            </w:pPr>
            <w:r w:rsidRPr="006B29E4">
              <w:rPr>
                <w:rFonts w:asciiTheme="minorHAnsi" w:hAnsiTheme="minorHAnsi"/>
                <w:b/>
                <w:sz w:val="20"/>
              </w:rPr>
              <w:t>5 208 000</w:t>
            </w:r>
          </w:p>
        </w:tc>
      </w:tr>
    </w:tbl>
    <w:p w14:paraId="76BD5A5C" w14:textId="24A5EE08" w:rsidR="00E17A64" w:rsidRPr="00517FBF" w:rsidRDefault="00E17A64" w:rsidP="00517FBF">
      <w:pPr>
        <w:ind w:left="-567" w:firstLine="0"/>
        <w:rPr>
          <w:rFonts w:asciiTheme="minorHAnsi" w:eastAsia="Times New Roman" w:hAnsiTheme="minorHAnsi" w:cs="Arial"/>
          <w:color w:val="000000"/>
          <w:spacing w:val="-4"/>
          <w:sz w:val="20"/>
          <w:szCs w:val="20"/>
        </w:rPr>
      </w:pPr>
      <w:r w:rsidRPr="00517FBF">
        <w:rPr>
          <w:rFonts w:asciiTheme="minorHAnsi" w:hAnsiTheme="minorHAnsi"/>
          <w:color w:val="000000"/>
          <w:spacing w:val="-4"/>
          <w:sz w:val="20"/>
        </w:rPr>
        <w:t>* Conformément à la résolution A/RES/76/238 des Nations Unies, le barème révisé de l</w:t>
      </w:r>
      <w:r w:rsidR="00101E52" w:rsidRPr="00517FBF">
        <w:rPr>
          <w:rFonts w:asciiTheme="minorHAnsi" w:hAnsiTheme="minorHAnsi"/>
          <w:color w:val="000000"/>
          <w:spacing w:val="-4"/>
          <w:sz w:val="20"/>
        </w:rPr>
        <w:t>’</w:t>
      </w:r>
      <w:r w:rsidRPr="00517FBF">
        <w:rPr>
          <w:rFonts w:asciiTheme="minorHAnsi" w:hAnsiTheme="minorHAnsi"/>
          <w:color w:val="000000"/>
          <w:spacing w:val="-4"/>
          <w:sz w:val="20"/>
        </w:rPr>
        <w:t>ONU sera appliqué lorsqu</w:t>
      </w:r>
      <w:r w:rsidR="00101E52" w:rsidRPr="00517FBF">
        <w:rPr>
          <w:rFonts w:asciiTheme="minorHAnsi" w:hAnsiTheme="minorHAnsi"/>
          <w:color w:val="000000"/>
          <w:spacing w:val="-4"/>
          <w:sz w:val="20"/>
        </w:rPr>
        <w:t>’</w:t>
      </w:r>
      <w:r w:rsidRPr="00517FBF">
        <w:rPr>
          <w:rFonts w:asciiTheme="minorHAnsi" w:hAnsiTheme="minorHAnsi"/>
          <w:color w:val="000000"/>
          <w:spacing w:val="-4"/>
          <w:sz w:val="20"/>
        </w:rPr>
        <w:t>il sera publié.</w:t>
      </w:r>
    </w:p>
    <w:p w14:paraId="59408284" w14:textId="77777777" w:rsidR="00E17A64" w:rsidRPr="00930651" w:rsidRDefault="00E17A64" w:rsidP="00517FBF">
      <w:pPr>
        <w:ind w:left="-567" w:firstLine="0"/>
        <w:rPr>
          <w:rFonts w:asciiTheme="minorHAnsi" w:eastAsia="Times New Roman" w:hAnsiTheme="minorHAnsi" w:cs="Arial"/>
          <w:color w:val="000000"/>
          <w:sz w:val="20"/>
          <w:szCs w:val="20"/>
        </w:rPr>
      </w:pPr>
      <w:r w:rsidRPr="00930651">
        <w:rPr>
          <w:rFonts w:asciiTheme="minorHAnsi" w:hAnsiTheme="minorHAnsi"/>
          <w:color w:val="000000"/>
          <w:sz w:val="20"/>
        </w:rPr>
        <w:t>** Comme précédemment, contribution volontaire de 22 % des contributions totales des Parties contractantes.</w:t>
      </w:r>
    </w:p>
    <w:p w14:paraId="1ADBEEFA" w14:textId="0F9956FD" w:rsidR="00464F8A" w:rsidRPr="001E3C24" w:rsidRDefault="00E17A64" w:rsidP="00517FBF">
      <w:pPr>
        <w:ind w:left="-567" w:firstLine="0"/>
        <w:rPr>
          <w:rFonts w:asciiTheme="minorHAnsi" w:eastAsia="Times New Roman" w:hAnsiTheme="minorHAnsi" w:cs="Arial"/>
          <w:sz w:val="20"/>
          <w:szCs w:val="20"/>
        </w:rPr>
      </w:pPr>
      <w:r w:rsidRPr="001E3C24">
        <w:rPr>
          <w:rFonts w:asciiTheme="minorHAnsi" w:hAnsiTheme="minorHAnsi"/>
          <w:sz w:val="20"/>
        </w:rPr>
        <w:t>***</w:t>
      </w:r>
      <w:r w:rsidR="002C1AC1" w:rsidRPr="001E3C24">
        <w:rPr>
          <w:rFonts w:asciiTheme="minorHAnsi" w:hAnsiTheme="minorHAnsi"/>
          <w:sz w:val="20"/>
        </w:rPr>
        <w:t xml:space="preserve"> </w:t>
      </w:r>
      <w:r w:rsidRPr="001E3C24">
        <w:rPr>
          <w:rFonts w:asciiTheme="minorHAnsi" w:hAnsiTheme="minorHAnsi"/>
          <w:sz w:val="20"/>
        </w:rPr>
        <w:t>Uniquement pour 2025, 2023 et 2024 étant identiques au scénario B</w:t>
      </w:r>
      <w:r w:rsidR="00A1767A" w:rsidRPr="001E3C24">
        <w:rPr>
          <w:rFonts w:asciiTheme="minorHAnsi" w:hAnsiTheme="minorHAnsi"/>
          <w:sz w:val="20"/>
        </w:rPr>
        <w:t>.</w:t>
      </w:r>
    </w:p>
    <w:p w14:paraId="026BAB51" w14:textId="77777777" w:rsidR="00E17A64" w:rsidRPr="00930651" w:rsidRDefault="00E17A64" w:rsidP="00E17A64">
      <w:pPr>
        <w:ind w:left="0" w:firstLine="0"/>
      </w:pPr>
    </w:p>
    <w:p w14:paraId="1FDD7767" w14:textId="77777777" w:rsidR="003D403B" w:rsidRDefault="003D403B">
      <w:pPr>
        <w:rPr>
          <w:b/>
          <w:sz w:val="24"/>
        </w:rPr>
      </w:pPr>
      <w:r>
        <w:rPr>
          <w:b/>
          <w:sz w:val="24"/>
        </w:rPr>
        <w:br w:type="page"/>
      </w:r>
    </w:p>
    <w:p w14:paraId="18D0527A" w14:textId="0ADC07E3" w:rsidR="00464F8A" w:rsidRPr="00930651" w:rsidRDefault="00464F8A" w:rsidP="00464F8A">
      <w:pPr>
        <w:pStyle w:val="ListParagraph"/>
        <w:ind w:left="0" w:firstLine="0"/>
        <w:contextualSpacing w:val="0"/>
        <w:rPr>
          <w:rFonts w:cs="Arial"/>
          <w:b/>
          <w:sz w:val="24"/>
          <w:szCs w:val="24"/>
        </w:rPr>
      </w:pPr>
      <w:r w:rsidRPr="00930651">
        <w:rPr>
          <w:b/>
          <w:sz w:val="24"/>
        </w:rPr>
        <w:lastRenderedPageBreak/>
        <w:t xml:space="preserve">Annexe 3 </w:t>
      </w:r>
    </w:p>
    <w:p w14:paraId="0AF8E1F9" w14:textId="3C05AA91" w:rsidR="00464F8A" w:rsidRPr="00930651" w:rsidRDefault="00464F8A" w:rsidP="00464F8A">
      <w:pPr>
        <w:ind w:left="0" w:firstLine="0"/>
        <w:rPr>
          <w:rFonts w:asciiTheme="minorHAnsi" w:hAnsiTheme="minorHAnsi"/>
          <w:b/>
          <w:bCs/>
          <w:sz w:val="24"/>
          <w:szCs w:val="24"/>
        </w:rPr>
      </w:pPr>
      <w:r w:rsidRPr="00930651">
        <w:rPr>
          <w:rFonts w:asciiTheme="minorHAnsi" w:hAnsiTheme="minorHAnsi"/>
          <w:b/>
          <w:sz w:val="24"/>
        </w:rPr>
        <w:t>Personnel du Secrétariat (administratif) pour 2023-2025 selon budget dans l</w:t>
      </w:r>
      <w:r w:rsidR="00101E52">
        <w:rPr>
          <w:rFonts w:asciiTheme="minorHAnsi" w:hAnsiTheme="minorHAnsi"/>
          <w:b/>
          <w:sz w:val="24"/>
        </w:rPr>
        <w:t>’</w:t>
      </w:r>
      <w:r w:rsidRPr="00930651">
        <w:rPr>
          <w:rFonts w:asciiTheme="minorHAnsi" w:hAnsiTheme="minorHAnsi"/>
          <w:b/>
          <w:sz w:val="24"/>
        </w:rPr>
        <w:t>annexe 1</w:t>
      </w:r>
    </w:p>
    <w:p w14:paraId="23CEFCF0" w14:textId="77777777" w:rsidR="003D1E71" w:rsidRPr="00930651" w:rsidRDefault="003D1E71" w:rsidP="00464F8A">
      <w:pPr>
        <w:rPr>
          <w:rFonts w:ascii="Arial" w:eastAsia="Times New Roman" w:hAnsi="Arial" w:cs="Arial"/>
          <w:sz w:val="18"/>
          <w:szCs w:val="18"/>
          <w:lang w:eastAsia="en-GB"/>
        </w:rPr>
      </w:pPr>
    </w:p>
    <w:tbl>
      <w:tblPr>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2694"/>
        <w:gridCol w:w="1594"/>
        <w:gridCol w:w="1595"/>
        <w:gridCol w:w="1594"/>
        <w:gridCol w:w="1595"/>
      </w:tblGrid>
      <w:tr w:rsidR="00464F8A" w:rsidRPr="00930651" w14:paraId="7BC0CDB4" w14:textId="77777777" w:rsidTr="007A30C5">
        <w:trPr>
          <w:trHeight w:val="264"/>
        </w:trPr>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6CA44D3" w14:textId="77777777" w:rsidR="00464F8A" w:rsidRPr="00930651" w:rsidRDefault="00464F8A" w:rsidP="00105E0C">
            <w:pPr>
              <w:ind w:left="0" w:firstLine="0"/>
              <w:jc w:val="center"/>
              <w:rPr>
                <w:rFonts w:asciiTheme="minorHAnsi" w:eastAsia="Times New Roman" w:hAnsiTheme="minorHAnsi" w:cs="Arial"/>
                <w:b/>
                <w:bCs/>
                <w:sz w:val="20"/>
                <w:szCs w:val="20"/>
              </w:rPr>
            </w:pPr>
            <w:r w:rsidRPr="00930651">
              <w:rPr>
                <w:rFonts w:asciiTheme="minorHAnsi" w:hAnsiTheme="minorHAnsi"/>
                <w:b/>
                <w:sz w:val="20"/>
              </w:rPr>
              <w:t>Groupe</w:t>
            </w:r>
          </w:p>
        </w:tc>
        <w:tc>
          <w:tcPr>
            <w:tcW w:w="15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8BF30FD" w14:textId="77777777" w:rsidR="00464F8A" w:rsidRPr="00930651" w:rsidRDefault="00464F8A" w:rsidP="00105E0C">
            <w:pPr>
              <w:ind w:left="0" w:firstLine="0"/>
              <w:jc w:val="center"/>
              <w:rPr>
                <w:rFonts w:asciiTheme="minorHAnsi" w:eastAsia="Times New Roman" w:hAnsiTheme="minorHAnsi" w:cs="Arial"/>
                <w:b/>
                <w:bCs/>
                <w:sz w:val="20"/>
                <w:szCs w:val="20"/>
              </w:rPr>
            </w:pPr>
            <w:r w:rsidRPr="00930651">
              <w:rPr>
                <w:rFonts w:asciiTheme="minorHAnsi" w:hAnsiTheme="minorHAnsi"/>
                <w:b/>
                <w:sz w:val="20"/>
              </w:rPr>
              <w:t>2022</w:t>
            </w:r>
          </w:p>
        </w:tc>
        <w:tc>
          <w:tcPr>
            <w:tcW w:w="15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9C727AF" w14:textId="77777777" w:rsidR="00464F8A" w:rsidRPr="00930651" w:rsidRDefault="00464F8A" w:rsidP="00105E0C">
            <w:pPr>
              <w:ind w:left="0" w:firstLine="0"/>
              <w:jc w:val="center"/>
              <w:rPr>
                <w:rFonts w:asciiTheme="minorHAnsi" w:eastAsia="Times New Roman" w:hAnsiTheme="minorHAnsi" w:cs="Arial"/>
                <w:b/>
                <w:bCs/>
                <w:sz w:val="20"/>
                <w:szCs w:val="20"/>
              </w:rPr>
            </w:pPr>
            <w:r w:rsidRPr="00930651">
              <w:rPr>
                <w:rFonts w:asciiTheme="minorHAnsi" w:hAnsiTheme="minorHAnsi"/>
                <w:b/>
                <w:sz w:val="20"/>
              </w:rPr>
              <w:t>2023</w:t>
            </w:r>
          </w:p>
        </w:tc>
        <w:tc>
          <w:tcPr>
            <w:tcW w:w="15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4A533D" w14:textId="77777777" w:rsidR="00464F8A" w:rsidRPr="00930651" w:rsidRDefault="00464F8A" w:rsidP="00105E0C">
            <w:pPr>
              <w:ind w:left="0" w:firstLine="0"/>
              <w:jc w:val="center"/>
              <w:rPr>
                <w:rFonts w:asciiTheme="minorHAnsi" w:eastAsia="Times New Roman" w:hAnsiTheme="minorHAnsi" w:cs="Arial"/>
                <w:b/>
                <w:bCs/>
                <w:sz w:val="20"/>
                <w:szCs w:val="20"/>
              </w:rPr>
            </w:pPr>
            <w:r w:rsidRPr="00930651">
              <w:rPr>
                <w:rFonts w:asciiTheme="minorHAnsi" w:hAnsiTheme="minorHAnsi"/>
                <w:b/>
                <w:sz w:val="20"/>
              </w:rPr>
              <w:t>2024</w:t>
            </w:r>
          </w:p>
        </w:tc>
        <w:tc>
          <w:tcPr>
            <w:tcW w:w="15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668563A" w14:textId="77777777" w:rsidR="00464F8A" w:rsidRPr="00930651" w:rsidRDefault="00464F8A" w:rsidP="00105E0C">
            <w:pPr>
              <w:ind w:left="0" w:firstLine="0"/>
              <w:jc w:val="center"/>
              <w:rPr>
                <w:rFonts w:asciiTheme="minorHAnsi" w:eastAsia="Times New Roman" w:hAnsiTheme="minorHAnsi" w:cs="Arial"/>
                <w:b/>
                <w:bCs/>
                <w:sz w:val="20"/>
                <w:szCs w:val="20"/>
              </w:rPr>
            </w:pPr>
            <w:r w:rsidRPr="00930651">
              <w:rPr>
                <w:rFonts w:asciiTheme="minorHAnsi" w:hAnsiTheme="minorHAnsi"/>
                <w:b/>
                <w:sz w:val="20"/>
              </w:rPr>
              <w:t>2025</w:t>
            </w:r>
          </w:p>
        </w:tc>
      </w:tr>
      <w:tr w:rsidR="00464F8A" w:rsidRPr="00930651" w14:paraId="18F8506A" w14:textId="77777777" w:rsidTr="007A30C5">
        <w:trPr>
          <w:trHeight w:val="528"/>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2EA05C0A"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Cadres supérieurs du Secrétariat</w:t>
            </w:r>
          </w:p>
        </w:tc>
        <w:tc>
          <w:tcPr>
            <w:tcW w:w="1594" w:type="dxa"/>
            <w:tcBorders>
              <w:top w:val="single" w:sz="4" w:space="0" w:color="auto"/>
              <w:left w:val="nil"/>
              <w:bottom w:val="single" w:sz="4" w:space="0" w:color="auto"/>
              <w:right w:val="single" w:sz="4" w:space="0" w:color="auto"/>
            </w:tcBorders>
            <w:shd w:val="clear" w:color="auto" w:fill="auto"/>
            <w:noWrap/>
            <w:hideMark/>
          </w:tcPr>
          <w:p w14:paraId="58F7C9F7" w14:textId="77777777" w:rsidR="00586541"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1 S, 1 D, 1 P2,</w:t>
            </w:r>
          </w:p>
          <w:p w14:paraId="350BFCDF"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2 A3</w:t>
            </w:r>
          </w:p>
        </w:tc>
        <w:tc>
          <w:tcPr>
            <w:tcW w:w="1595" w:type="dxa"/>
            <w:tcBorders>
              <w:top w:val="single" w:sz="4" w:space="0" w:color="auto"/>
              <w:left w:val="nil"/>
              <w:bottom w:val="single" w:sz="4" w:space="0" w:color="auto"/>
              <w:right w:val="single" w:sz="4" w:space="0" w:color="auto"/>
            </w:tcBorders>
            <w:shd w:val="clear" w:color="auto" w:fill="auto"/>
            <w:hideMark/>
          </w:tcPr>
          <w:p w14:paraId="27F0BF52"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 xml:space="preserve">1 S, 1 D, 1 P2, </w:t>
            </w:r>
            <w:r w:rsidRPr="00930651">
              <w:rPr>
                <w:rFonts w:asciiTheme="minorHAnsi" w:hAnsiTheme="minorHAnsi"/>
                <w:sz w:val="20"/>
              </w:rPr>
              <w:br/>
              <w:t>2 A3</w:t>
            </w:r>
          </w:p>
        </w:tc>
        <w:tc>
          <w:tcPr>
            <w:tcW w:w="1594" w:type="dxa"/>
            <w:tcBorders>
              <w:top w:val="single" w:sz="4" w:space="0" w:color="auto"/>
              <w:left w:val="nil"/>
              <w:bottom w:val="single" w:sz="4" w:space="0" w:color="auto"/>
              <w:right w:val="single" w:sz="4" w:space="0" w:color="auto"/>
            </w:tcBorders>
            <w:shd w:val="clear" w:color="auto" w:fill="auto"/>
            <w:hideMark/>
          </w:tcPr>
          <w:p w14:paraId="59E86B21"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1 S, 1 D, 1 P2, 2 A3</w:t>
            </w:r>
          </w:p>
        </w:tc>
        <w:tc>
          <w:tcPr>
            <w:tcW w:w="1595" w:type="dxa"/>
            <w:tcBorders>
              <w:top w:val="single" w:sz="4" w:space="0" w:color="auto"/>
              <w:left w:val="nil"/>
              <w:bottom w:val="single" w:sz="4" w:space="0" w:color="auto"/>
              <w:right w:val="single" w:sz="4" w:space="0" w:color="auto"/>
            </w:tcBorders>
            <w:shd w:val="clear" w:color="auto" w:fill="auto"/>
            <w:hideMark/>
          </w:tcPr>
          <w:p w14:paraId="4462AF9F"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 xml:space="preserve">1 S, 1 D, 1 P2, </w:t>
            </w:r>
            <w:r w:rsidRPr="00930651">
              <w:rPr>
                <w:rFonts w:asciiTheme="minorHAnsi" w:hAnsiTheme="minorHAnsi"/>
                <w:sz w:val="20"/>
              </w:rPr>
              <w:br/>
              <w:t>2 A3</w:t>
            </w:r>
          </w:p>
        </w:tc>
      </w:tr>
      <w:tr w:rsidR="00464F8A" w:rsidRPr="00930651" w14:paraId="0AB0979F" w14:textId="77777777" w:rsidTr="007A30C5">
        <w:trPr>
          <w:trHeight w:val="528"/>
        </w:trPr>
        <w:tc>
          <w:tcPr>
            <w:tcW w:w="2694" w:type="dxa"/>
            <w:tcBorders>
              <w:top w:val="nil"/>
              <w:left w:val="single" w:sz="4" w:space="0" w:color="auto"/>
              <w:bottom w:val="single" w:sz="4" w:space="0" w:color="auto"/>
              <w:right w:val="single" w:sz="4" w:space="0" w:color="auto"/>
            </w:tcBorders>
            <w:shd w:val="clear" w:color="auto" w:fill="auto"/>
            <w:noWrap/>
            <w:hideMark/>
          </w:tcPr>
          <w:p w14:paraId="0931AA55"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Mobilisation des ressources et sensibilisation</w:t>
            </w:r>
          </w:p>
        </w:tc>
        <w:tc>
          <w:tcPr>
            <w:tcW w:w="1594" w:type="dxa"/>
            <w:tcBorders>
              <w:top w:val="nil"/>
              <w:left w:val="nil"/>
              <w:bottom w:val="single" w:sz="4" w:space="0" w:color="auto"/>
              <w:right w:val="single" w:sz="4" w:space="0" w:color="auto"/>
            </w:tcBorders>
            <w:shd w:val="clear" w:color="auto" w:fill="auto"/>
            <w:noWrap/>
            <w:hideMark/>
          </w:tcPr>
          <w:p w14:paraId="51603EB8" w14:textId="77777777" w:rsidR="00464F8A" w:rsidRPr="00930651" w:rsidRDefault="009A2A51" w:rsidP="00105E0C">
            <w:pPr>
              <w:ind w:left="0" w:firstLine="0"/>
              <w:rPr>
                <w:rFonts w:asciiTheme="minorHAnsi" w:eastAsia="Times New Roman" w:hAnsiTheme="minorHAnsi" w:cs="Arial"/>
                <w:sz w:val="20"/>
                <w:szCs w:val="20"/>
              </w:rPr>
            </w:pPr>
            <w:r w:rsidRPr="00930651">
              <w:rPr>
                <w:rFonts w:asciiTheme="minorHAnsi" w:hAnsiTheme="minorHAnsi"/>
                <w:sz w:val="20"/>
              </w:rPr>
              <w:t>2 P2, 1 A3</w:t>
            </w:r>
          </w:p>
        </w:tc>
        <w:tc>
          <w:tcPr>
            <w:tcW w:w="1595" w:type="dxa"/>
            <w:tcBorders>
              <w:top w:val="nil"/>
              <w:left w:val="nil"/>
              <w:bottom w:val="single" w:sz="4" w:space="0" w:color="auto"/>
              <w:right w:val="single" w:sz="4" w:space="0" w:color="auto"/>
            </w:tcBorders>
            <w:shd w:val="clear" w:color="auto" w:fill="auto"/>
            <w:noWrap/>
            <w:hideMark/>
          </w:tcPr>
          <w:p w14:paraId="7452E964" w14:textId="77777777" w:rsidR="00464F8A" w:rsidRPr="00930651" w:rsidRDefault="009A2A51" w:rsidP="00105E0C">
            <w:pPr>
              <w:ind w:left="0" w:firstLine="0"/>
              <w:rPr>
                <w:rFonts w:asciiTheme="minorHAnsi" w:eastAsia="Times New Roman" w:hAnsiTheme="minorHAnsi" w:cs="Arial"/>
                <w:sz w:val="20"/>
                <w:szCs w:val="20"/>
              </w:rPr>
            </w:pPr>
            <w:r w:rsidRPr="00930651">
              <w:rPr>
                <w:rFonts w:asciiTheme="minorHAnsi" w:hAnsiTheme="minorHAnsi"/>
                <w:sz w:val="20"/>
              </w:rPr>
              <w:t>2 P2, 1 A3</w:t>
            </w:r>
          </w:p>
        </w:tc>
        <w:tc>
          <w:tcPr>
            <w:tcW w:w="1594" w:type="dxa"/>
            <w:tcBorders>
              <w:top w:val="nil"/>
              <w:left w:val="nil"/>
              <w:bottom w:val="single" w:sz="4" w:space="0" w:color="auto"/>
              <w:right w:val="single" w:sz="4" w:space="0" w:color="auto"/>
            </w:tcBorders>
            <w:shd w:val="clear" w:color="auto" w:fill="auto"/>
            <w:hideMark/>
          </w:tcPr>
          <w:p w14:paraId="2BD08549" w14:textId="77777777" w:rsidR="00464F8A" w:rsidRPr="00930651" w:rsidRDefault="009A2A51" w:rsidP="00105E0C">
            <w:pPr>
              <w:ind w:left="0" w:firstLine="0"/>
              <w:rPr>
                <w:rFonts w:asciiTheme="minorHAnsi" w:eastAsia="Times New Roman" w:hAnsiTheme="minorHAnsi" w:cs="Arial"/>
                <w:sz w:val="20"/>
                <w:szCs w:val="20"/>
              </w:rPr>
            </w:pPr>
            <w:r w:rsidRPr="00930651">
              <w:rPr>
                <w:rFonts w:asciiTheme="minorHAnsi" w:hAnsiTheme="minorHAnsi"/>
                <w:sz w:val="20"/>
              </w:rPr>
              <w:t>2 P2, 1 A3</w:t>
            </w:r>
          </w:p>
        </w:tc>
        <w:tc>
          <w:tcPr>
            <w:tcW w:w="1595" w:type="dxa"/>
            <w:tcBorders>
              <w:top w:val="nil"/>
              <w:left w:val="nil"/>
              <w:bottom w:val="single" w:sz="4" w:space="0" w:color="auto"/>
              <w:right w:val="single" w:sz="4" w:space="0" w:color="auto"/>
            </w:tcBorders>
            <w:shd w:val="clear" w:color="auto" w:fill="auto"/>
            <w:noWrap/>
            <w:hideMark/>
          </w:tcPr>
          <w:p w14:paraId="799600FB" w14:textId="77777777" w:rsidR="00464F8A" w:rsidRPr="00930651" w:rsidRDefault="009A2A51" w:rsidP="00105E0C">
            <w:pPr>
              <w:ind w:left="0" w:firstLine="0"/>
              <w:rPr>
                <w:rFonts w:asciiTheme="minorHAnsi" w:eastAsia="Times New Roman" w:hAnsiTheme="minorHAnsi" w:cs="Arial"/>
                <w:sz w:val="20"/>
                <w:szCs w:val="20"/>
              </w:rPr>
            </w:pPr>
            <w:r w:rsidRPr="00930651">
              <w:rPr>
                <w:rFonts w:asciiTheme="minorHAnsi" w:hAnsiTheme="minorHAnsi"/>
                <w:sz w:val="20"/>
              </w:rPr>
              <w:t>2 P2, 1 A3</w:t>
            </w:r>
          </w:p>
        </w:tc>
      </w:tr>
      <w:tr w:rsidR="00464F8A" w:rsidRPr="00930651" w14:paraId="6AF090D5" w14:textId="77777777" w:rsidTr="007A30C5">
        <w:trPr>
          <w:trHeight w:val="528"/>
        </w:trPr>
        <w:tc>
          <w:tcPr>
            <w:tcW w:w="2694" w:type="dxa"/>
            <w:tcBorders>
              <w:top w:val="nil"/>
              <w:left w:val="single" w:sz="4" w:space="0" w:color="auto"/>
              <w:bottom w:val="single" w:sz="4" w:space="0" w:color="auto"/>
              <w:right w:val="single" w:sz="4" w:space="0" w:color="auto"/>
            </w:tcBorders>
            <w:shd w:val="clear" w:color="auto" w:fill="auto"/>
            <w:noWrap/>
            <w:hideMark/>
          </w:tcPr>
          <w:p w14:paraId="33B55ABF"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Appui et conseils aux régions</w:t>
            </w:r>
          </w:p>
        </w:tc>
        <w:tc>
          <w:tcPr>
            <w:tcW w:w="1594" w:type="dxa"/>
            <w:tcBorders>
              <w:top w:val="nil"/>
              <w:left w:val="nil"/>
              <w:bottom w:val="single" w:sz="4" w:space="0" w:color="auto"/>
              <w:right w:val="single" w:sz="4" w:space="0" w:color="auto"/>
            </w:tcBorders>
            <w:shd w:val="clear" w:color="auto" w:fill="auto"/>
            <w:noWrap/>
            <w:hideMark/>
          </w:tcPr>
          <w:p w14:paraId="4F671CC4"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4 M1, 4 administrateurs auxiliaires</w:t>
            </w:r>
          </w:p>
        </w:tc>
        <w:tc>
          <w:tcPr>
            <w:tcW w:w="1595" w:type="dxa"/>
            <w:tcBorders>
              <w:top w:val="nil"/>
              <w:left w:val="nil"/>
              <w:bottom w:val="single" w:sz="4" w:space="0" w:color="auto"/>
              <w:right w:val="single" w:sz="4" w:space="0" w:color="auto"/>
            </w:tcBorders>
            <w:shd w:val="clear" w:color="auto" w:fill="auto"/>
            <w:noWrap/>
            <w:hideMark/>
          </w:tcPr>
          <w:p w14:paraId="41C75AB4"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4 M1, 4 administrateurs auxiliaires</w:t>
            </w:r>
          </w:p>
        </w:tc>
        <w:tc>
          <w:tcPr>
            <w:tcW w:w="1594" w:type="dxa"/>
            <w:tcBorders>
              <w:top w:val="nil"/>
              <w:left w:val="nil"/>
              <w:bottom w:val="single" w:sz="4" w:space="0" w:color="auto"/>
              <w:right w:val="single" w:sz="4" w:space="0" w:color="auto"/>
            </w:tcBorders>
            <w:shd w:val="clear" w:color="auto" w:fill="auto"/>
            <w:hideMark/>
          </w:tcPr>
          <w:p w14:paraId="17EF7A85"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4 M1, 4 administrateurs auxiliaires</w:t>
            </w:r>
          </w:p>
        </w:tc>
        <w:tc>
          <w:tcPr>
            <w:tcW w:w="1595" w:type="dxa"/>
            <w:tcBorders>
              <w:top w:val="nil"/>
              <w:left w:val="nil"/>
              <w:bottom w:val="single" w:sz="4" w:space="0" w:color="auto"/>
              <w:right w:val="single" w:sz="4" w:space="0" w:color="auto"/>
            </w:tcBorders>
            <w:shd w:val="clear" w:color="auto" w:fill="auto"/>
            <w:hideMark/>
          </w:tcPr>
          <w:p w14:paraId="593BEC99"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4 M1, 4 administrateurs auxiliaires</w:t>
            </w:r>
          </w:p>
        </w:tc>
      </w:tr>
      <w:tr w:rsidR="00464F8A" w:rsidRPr="00930651" w14:paraId="7556D0CE" w14:textId="77777777" w:rsidTr="007A30C5">
        <w:trPr>
          <w:trHeight w:val="528"/>
        </w:trPr>
        <w:tc>
          <w:tcPr>
            <w:tcW w:w="2694" w:type="dxa"/>
            <w:tcBorders>
              <w:top w:val="nil"/>
              <w:left w:val="single" w:sz="4" w:space="0" w:color="auto"/>
              <w:bottom w:val="single" w:sz="4" w:space="0" w:color="auto"/>
              <w:right w:val="single" w:sz="4" w:space="0" w:color="auto"/>
            </w:tcBorders>
            <w:shd w:val="clear" w:color="auto" w:fill="auto"/>
            <w:noWrap/>
            <w:hideMark/>
          </w:tcPr>
          <w:p w14:paraId="29F120C2"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Sciences et politiques</w:t>
            </w:r>
          </w:p>
        </w:tc>
        <w:tc>
          <w:tcPr>
            <w:tcW w:w="1594" w:type="dxa"/>
            <w:tcBorders>
              <w:top w:val="nil"/>
              <w:left w:val="nil"/>
              <w:bottom w:val="single" w:sz="4" w:space="0" w:color="auto"/>
              <w:right w:val="single" w:sz="4" w:space="0" w:color="auto"/>
            </w:tcBorders>
            <w:shd w:val="clear" w:color="auto" w:fill="auto"/>
            <w:noWrap/>
            <w:hideMark/>
          </w:tcPr>
          <w:p w14:paraId="2282832D"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1 M1, 2 P2, 1 P1</w:t>
            </w:r>
          </w:p>
        </w:tc>
        <w:tc>
          <w:tcPr>
            <w:tcW w:w="1595" w:type="dxa"/>
            <w:tcBorders>
              <w:top w:val="nil"/>
              <w:left w:val="nil"/>
              <w:bottom w:val="single" w:sz="4" w:space="0" w:color="auto"/>
              <w:right w:val="single" w:sz="4" w:space="0" w:color="auto"/>
            </w:tcBorders>
            <w:shd w:val="clear" w:color="auto" w:fill="auto"/>
            <w:noWrap/>
            <w:hideMark/>
          </w:tcPr>
          <w:p w14:paraId="03EF20E1"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1 M1, 2 P2, 1 P1</w:t>
            </w:r>
          </w:p>
        </w:tc>
        <w:tc>
          <w:tcPr>
            <w:tcW w:w="1594" w:type="dxa"/>
            <w:tcBorders>
              <w:top w:val="nil"/>
              <w:left w:val="nil"/>
              <w:bottom w:val="single" w:sz="4" w:space="0" w:color="auto"/>
              <w:right w:val="single" w:sz="4" w:space="0" w:color="auto"/>
            </w:tcBorders>
            <w:shd w:val="clear" w:color="auto" w:fill="auto"/>
            <w:hideMark/>
          </w:tcPr>
          <w:p w14:paraId="07CD0ED0"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1 M1, 2 P2, P1</w:t>
            </w:r>
          </w:p>
        </w:tc>
        <w:tc>
          <w:tcPr>
            <w:tcW w:w="1595" w:type="dxa"/>
            <w:tcBorders>
              <w:top w:val="nil"/>
              <w:left w:val="nil"/>
              <w:bottom w:val="single" w:sz="4" w:space="0" w:color="auto"/>
              <w:right w:val="single" w:sz="4" w:space="0" w:color="auto"/>
            </w:tcBorders>
            <w:shd w:val="clear" w:color="auto" w:fill="auto"/>
            <w:noWrap/>
            <w:hideMark/>
          </w:tcPr>
          <w:p w14:paraId="60BE0871"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1 M1, 2 P2, 1 P1</w:t>
            </w:r>
          </w:p>
        </w:tc>
      </w:tr>
      <w:tr w:rsidR="00464F8A" w:rsidRPr="00930651" w14:paraId="77FF504F" w14:textId="77777777" w:rsidTr="007A30C5">
        <w:trPr>
          <w:trHeight w:val="528"/>
        </w:trPr>
        <w:tc>
          <w:tcPr>
            <w:tcW w:w="2694" w:type="dxa"/>
            <w:tcBorders>
              <w:top w:val="nil"/>
              <w:left w:val="single" w:sz="4" w:space="0" w:color="auto"/>
              <w:bottom w:val="single" w:sz="4" w:space="0" w:color="auto"/>
              <w:right w:val="single" w:sz="4" w:space="0" w:color="auto"/>
            </w:tcBorders>
            <w:shd w:val="clear" w:color="auto" w:fill="auto"/>
            <w:noWrap/>
            <w:hideMark/>
          </w:tcPr>
          <w:p w14:paraId="1E957569"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Administration</w:t>
            </w:r>
          </w:p>
        </w:tc>
        <w:tc>
          <w:tcPr>
            <w:tcW w:w="1594" w:type="dxa"/>
            <w:tcBorders>
              <w:top w:val="nil"/>
              <w:left w:val="nil"/>
              <w:bottom w:val="single" w:sz="4" w:space="0" w:color="auto"/>
              <w:right w:val="single" w:sz="4" w:space="0" w:color="auto"/>
            </w:tcBorders>
            <w:shd w:val="clear" w:color="auto" w:fill="auto"/>
            <w:hideMark/>
          </w:tcPr>
          <w:p w14:paraId="66C5F94F"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 xml:space="preserve">1 P2, 1 P1 </w:t>
            </w:r>
            <w:r w:rsidRPr="00930651">
              <w:rPr>
                <w:rFonts w:asciiTheme="minorHAnsi" w:hAnsiTheme="minorHAnsi"/>
                <w:sz w:val="20"/>
              </w:rPr>
              <w:br/>
              <w:t>(50 %), 1 A3</w:t>
            </w:r>
          </w:p>
        </w:tc>
        <w:tc>
          <w:tcPr>
            <w:tcW w:w="1595" w:type="dxa"/>
            <w:tcBorders>
              <w:top w:val="nil"/>
              <w:left w:val="nil"/>
              <w:bottom w:val="single" w:sz="4" w:space="0" w:color="auto"/>
              <w:right w:val="single" w:sz="4" w:space="0" w:color="auto"/>
            </w:tcBorders>
            <w:shd w:val="clear" w:color="auto" w:fill="auto"/>
            <w:hideMark/>
          </w:tcPr>
          <w:p w14:paraId="53FA466E"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1 P2, 1 P1 (50 %), 1 A3</w:t>
            </w:r>
          </w:p>
        </w:tc>
        <w:tc>
          <w:tcPr>
            <w:tcW w:w="1594" w:type="dxa"/>
            <w:tcBorders>
              <w:top w:val="nil"/>
              <w:left w:val="nil"/>
              <w:bottom w:val="single" w:sz="4" w:space="0" w:color="auto"/>
              <w:right w:val="single" w:sz="4" w:space="0" w:color="auto"/>
            </w:tcBorders>
            <w:shd w:val="clear" w:color="auto" w:fill="auto"/>
            <w:hideMark/>
          </w:tcPr>
          <w:p w14:paraId="436CD808"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 xml:space="preserve">1 P2, 1 P1 </w:t>
            </w:r>
            <w:r w:rsidRPr="00930651">
              <w:rPr>
                <w:rFonts w:asciiTheme="minorHAnsi" w:hAnsiTheme="minorHAnsi"/>
                <w:sz w:val="20"/>
              </w:rPr>
              <w:br/>
              <w:t>(50 %), 1 A3</w:t>
            </w:r>
          </w:p>
        </w:tc>
        <w:tc>
          <w:tcPr>
            <w:tcW w:w="1595" w:type="dxa"/>
            <w:tcBorders>
              <w:top w:val="nil"/>
              <w:left w:val="nil"/>
              <w:bottom w:val="single" w:sz="4" w:space="0" w:color="auto"/>
              <w:right w:val="single" w:sz="4" w:space="0" w:color="auto"/>
            </w:tcBorders>
            <w:shd w:val="clear" w:color="auto" w:fill="auto"/>
            <w:hideMark/>
          </w:tcPr>
          <w:p w14:paraId="41A87E3A" w14:textId="77777777" w:rsidR="00464F8A" w:rsidRPr="00930651" w:rsidRDefault="00464F8A" w:rsidP="00105E0C">
            <w:pPr>
              <w:ind w:left="0" w:firstLine="0"/>
              <w:rPr>
                <w:rFonts w:asciiTheme="minorHAnsi" w:eastAsia="Times New Roman" w:hAnsiTheme="minorHAnsi" w:cs="Arial"/>
                <w:sz w:val="20"/>
                <w:szCs w:val="20"/>
              </w:rPr>
            </w:pPr>
            <w:r w:rsidRPr="00930651">
              <w:rPr>
                <w:rFonts w:asciiTheme="minorHAnsi" w:hAnsiTheme="minorHAnsi"/>
                <w:sz w:val="20"/>
              </w:rPr>
              <w:t>1 P2, 1 P1 (50 %), 1 A3</w:t>
            </w:r>
          </w:p>
        </w:tc>
      </w:tr>
      <w:tr w:rsidR="00464F8A" w:rsidRPr="00930651" w14:paraId="3F27EC81" w14:textId="77777777" w:rsidTr="007A30C5">
        <w:trPr>
          <w:trHeight w:val="264"/>
        </w:trPr>
        <w:tc>
          <w:tcPr>
            <w:tcW w:w="2694" w:type="dxa"/>
            <w:tcBorders>
              <w:top w:val="nil"/>
              <w:left w:val="single" w:sz="4" w:space="0" w:color="auto"/>
              <w:bottom w:val="single" w:sz="4" w:space="0" w:color="auto"/>
              <w:right w:val="single" w:sz="4" w:space="0" w:color="auto"/>
            </w:tcBorders>
            <w:shd w:val="clear" w:color="auto" w:fill="C6D9F1" w:themeFill="text2" w:themeFillTint="33"/>
            <w:noWrap/>
            <w:hideMark/>
          </w:tcPr>
          <w:p w14:paraId="18B8CD5B" w14:textId="77777777" w:rsidR="00464F8A" w:rsidRPr="00930651" w:rsidRDefault="00464F8A" w:rsidP="00105E0C">
            <w:pPr>
              <w:ind w:left="0" w:firstLine="0"/>
              <w:rPr>
                <w:rFonts w:asciiTheme="minorHAnsi" w:eastAsia="Times New Roman" w:hAnsiTheme="minorHAnsi" w:cs="Arial"/>
                <w:b/>
                <w:bCs/>
                <w:sz w:val="20"/>
                <w:szCs w:val="20"/>
              </w:rPr>
            </w:pPr>
            <w:r w:rsidRPr="00930651">
              <w:rPr>
                <w:rFonts w:asciiTheme="minorHAnsi" w:hAnsiTheme="minorHAnsi"/>
                <w:b/>
                <w:sz w:val="20"/>
              </w:rPr>
              <w:t>Total</w:t>
            </w:r>
          </w:p>
        </w:tc>
        <w:tc>
          <w:tcPr>
            <w:tcW w:w="1594" w:type="dxa"/>
            <w:tcBorders>
              <w:top w:val="nil"/>
              <w:left w:val="nil"/>
              <w:bottom w:val="single" w:sz="4" w:space="0" w:color="auto"/>
              <w:right w:val="single" w:sz="4" w:space="0" w:color="auto"/>
            </w:tcBorders>
            <w:shd w:val="clear" w:color="auto" w:fill="C6D9F1" w:themeFill="text2" w:themeFillTint="33"/>
            <w:noWrap/>
            <w:hideMark/>
          </w:tcPr>
          <w:p w14:paraId="04AAC9D8" w14:textId="77777777" w:rsidR="00464F8A" w:rsidRPr="00930651" w:rsidRDefault="00FE188B" w:rsidP="00105E0C">
            <w:pPr>
              <w:ind w:left="0" w:firstLine="0"/>
              <w:rPr>
                <w:rFonts w:asciiTheme="minorHAnsi" w:eastAsia="Times New Roman" w:hAnsiTheme="minorHAnsi" w:cs="Arial"/>
                <w:b/>
                <w:bCs/>
                <w:sz w:val="20"/>
                <w:szCs w:val="20"/>
              </w:rPr>
            </w:pPr>
            <w:r w:rsidRPr="00930651">
              <w:rPr>
                <w:rFonts w:asciiTheme="minorHAnsi" w:hAnsiTheme="minorHAnsi"/>
                <w:b/>
                <w:sz w:val="20"/>
              </w:rPr>
              <w:t>22,5 membres du personnel</w:t>
            </w:r>
          </w:p>
        </w:tc>
        <w:tc>
          <w:tcPr>
            <w:tcW w:w="1595" w:type="dxa"/>
            <w:tcBorders>
              <w:top w:val="nil"/>
              <w:left w:val="nil"/>
              <w:bottom w:val="single" w:sz="4" w:space="0" w:color="auto"/>
              <w:right w:val="single" w:sz="4" w:space="0" w:color="auto"/>
            </w:tcBorders>
            <w:shd w:val="clear" w:color="auto" w:fill="C6D9F1" w:themeFill="text2" w:themeFillTint="33"/>
            <w:noWrap/>
            <w:hideMark/>
          </w:tcPr>
          <w:p w14:paraId="270E1646" w14:textId="77777777" w:rsidR="00464F8A" w:rsidRPr="00930651" w:rsidRDefault="00FE188B" w:rsidP="00105E0C">
            <w:pPr>
              <w:ind w:left="0" w:firstLine="0"/>
              <w:rPr>
                <w:rFonts w:asciiTheme="minorHAnsi" w:eastAsia="Times New Roman" w:hAnsiTheme="minorHAnsi" w:cs="Arial"/>
                <w:b/>
                <w:bCs/>
                <w:sz w:val="20"/>
                <w:szCs w:val="20"/>
              </w:rPr>
            </w:pPr>
            <w:r w:rsidRPr="00930651">
              <w:rPr>
                <w:rFonts w:asciiTheme="minorHAnsi" w:hAnsiTheme="minorHAnsi"/>
                <w:b/>
                <w:sz w:val="20"/>
              </w:rPr>
              <w:t>22,5 membres du personnel</w:t>
            </w:r>
          </w:p>
        </w:tc>
        <w:tc>
          <w:tcPr>
            <w:tcW w:w="1594" w:type="dxa"/>
            <w:tcBorders>
              <w:top w:val="nil"/>
              <w:left w:val="nil"/>
              <w:bottom w:val="single" w:sz="4" w:space="0" w:color="auto"/>
              <w:right w:val="single" w:sz="4" w:space="0" w:color="auto"/>
            </w:tcBorders>
            <w:shd w:val="clear" w:color="auto" w:fill="C6D9F1" w:themeFill="text2" w:themeFillTint="33"/>
            <w:noWrap/>
            <w:hideMark/>
          </w:tcPr>
          <w:p w14:paraId="627934C0" w14:textId="77777777" w:rsidR="00464F8A" w:rsidRPr="00930651" w:rsidRDefault="00FE188B" w:rsidP="00105E0C">
            <w:pPr>
              <w:ind w:left="0" w:firstLine="0"/>
              <w:rPr>
                <w:rFonts w:asciiTheme="minorHAnsi" w:eastAsia="Times New Roman" w:hAnsiTheme="minorHAnsi" w:cs="Arial"/>
                <w:b/>
                <w:bCs/>
                <w:sz w:val="20"/>
                <w:szCs w:val="20"/>
              </w:rPr>
            </w:pPr>
            <w:r w:rsidRPr="00930651">
              <w:rPr>
                <w:rFonts w:asciiTheme="minorHAnsi" w:hAnsiTheme="minorHAnsi"/>
                <w:b/>
                <w:sz w:val="20"/>
              </w:rPr>
              <w:t>22,5 membres du personnel</w:t>
            </w:r>
          </w:p>
        </w:tc>
        <w:tc>
          <w:tcPr>
            <w:tcW w:w="1595" w:type="dxa"/>
            <w:tcBorders>
              <w:top w:val="nil"/>
              <w:left w:val="nil"/>
              <w:bottom w:val="single" w:sz="4" w:space="0" w:color="auto"/>
              <w:right w:val="single" w:sz="4" w:space="0" w:color="auto"/>
            </w:tcBorders>
            <w:shd w:val="clear" w:color="auto" w:fill="C6D9F1" w:themeFill="text2" w:themeFillTint="33"/>
            <w:noWrap/>
            <w:hideMark/>
          </w:tcPr>
          <w:p w14:paraId="5EE981DD" w14:textId="77777777" w:rsidR="00464F8A" w:rsidRPr="00930651" w:rsidRDefault="00FE188B" w:rsidP="00105E0C">
            <w:pPr>
              <w:ind w:left="0" w:firstLine="0"/>
              <w:rPr>
                <w:rFonts w:asciiTheme="minorHAnsi" w:eastAsia="Times New Roman" w:hAnsiTheme="minorHAnsi" w:cs="Arial"/>
                <w:b/>
                <w:bCs/>
                <w:sz w:val="20"/>
                <w:szCs w:val="20"/>
              </w:rPr>
            </w:pPr>
            <w:r w:rsidRPr="00930651">
              <w:rPr>
                <w:rFonts w:asciiTheme="minorHAnsi" w:hAnsiTheme="minorHAnsi"/>
                <w:b/>
                <w:sz w:val="20"/>
              </w:rPr>
              <w:t>22,5 membres du personnel</w:t>
            </w:r>
          </w:p>
        </w:tc>
      </w:tr>
      <w:tr w:rsidR="00464F8A" w:rsidRPr="00930651" w14:paraId="721758D6" w14:textId="77777777" w:rsidTr="007A30C5">
        <w:trPr>
          <w:trHeight w:val="264"/>
        </w:trPr>
        <w:tc>
          <w:tcPr>
            <w:tcW w:w="26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79A8D5F2" w14:textId="4811A3C2" w:rsidR="00464F8A" w:rsidRPr="00930651" w:rsidRDefault="00464F8A" w:rsidP="00105E0C">
            <w:pPr>
              <w:ind w:left="0" w:firstLine="0"/>
              <w:rPr>
                <w:rFonts w:asciiTheme="minorHAnsi" w:eastAsia="Times New Roman" w:hAnsiTheme="minorHAnsi" w:cs="Arial"/>
                <w:b/>
                <w:bCs/>
                <w:sz w:val="20"/>
                <w:szCs w:val="20"/>
              </w:rPr>
            </w:pPr>
            <w:r w:rsidRPr="00930651">
              <w:rPr>
                <w:rFonts w:asciiTheme="minorHAnsi" w:hAnsiTheme="minorHAnsi"/>
                <w:b/>
                <w:sz w:val="20"/>
              </w:rPr>
              <w:t xml:space="preserve">Coût total </w:t>
            </w:r>
            <w:r w:rsidR="002B107F">
              <w:rPr>
                <w:rFonts w:asciiTheme="minorHAnsi" w:hAnsiTheme="minorHAnsi"/>
                <w:b/>
                <w:sz w:val="20"/>
              </w:rPr>
              <w:t xml:space="preserve">du Scénario A </w:t>
            </w:r>
            <w:r w:rsidRPr="00930651">
              <w:rPr>
                <w:rFonts w:asciiTheme="minorHAnsi" w:hAnsiTheme="minorHAnsi"/>
                <w:b/>
                <w:sz w:val="20"/>
              </w:rPr>
              <w:t>(en milliers de CHF)</w:t>
            </w:r>
          </w:p>
        </w:tc>
        <w:tc>
          <w:tcPr>
            <w:tcW w:w="1594" w:type="dxa"/>
            <w:tcBorders>
              <w:top w:val="nil"/>
              <w:left w:val="nil"/>
              <w:bottom w:val="single" w:sz="4" w:space="0" w:color="auto"/>
              <w:right w:val="single" w:sz="4" w:space="0" w:color="auto"/>
            </w:tcBorders>
            <w:shd w:val="clear" w:color="auto" w:fill="C6D9F1" w:themeFill="text2" w:themeFillTint="33"/>
            <w:noWrap/>
            <w:vAlign w:val="center"/>
            <w:hideMark/>
          </w:tcPr>
          <w:p w14:paraId="5D2490E2" w14:textId="53BB4B83" w:rsidR="00464F8A" w:rsidRPr="00930651" w:rsidRDefault="00464F8A" w:rsidP="007A30C5">
            <w:pPr>
              <w:ind w:left="0" w:firstLine="0"/>
              <w:jc w:val="right"/>
              <w:rPr>
                <w:rFonts w:asciiTheme="minorHAnsi" w:eastAsia="Times New Roman" w:hAnsiTheme="minorHAnsi" w:cs="Arial"/>
                <w:b/>
                <w:bCs/>
                <w:sz w:val="20"/>
                <w:szCs w:val="20"/>
              </w:rPr>
            </w:pPr>
            <w:r w:rsidRPr="00930651">
              <w:rPr>
                <w:rFonts w:asciiTheme="minorHAnsi" w:hAnsiTheme="minorHAnsi"/>
                <w:b/>
                <w:sz w:val="20"/>
              </w:rPr>
              <w:t>3 </w:t>
            </w:r>
            <w:r w:rsidR="007A30C5">
              <w:rPr>
                <w:rFonts w:asciiTheme="minorHAnsi" w:hAnsiTheme="minorHAnsi"/>
                <w:b/>
                <w:sz w:val="20"/>
              </w:rPr>
              <w:t>586</w:t>
            </w:r>
          </w:p>
        </w:tc>
        <w:tc>
          <w:tcPr>
            <w:tcW w:w="1595" w:type="dxa"/>
            <w:tcBorders>
              <w:top w:val="nil"/>
              <w:left w:val="nil"/>
              <w:bottom w:val="single" w:sz="4" w:space="0" w:color="auto"/>
              <w:right w:val="single" w:sz="4" w:space="0" w:color="auto"/>
            </w:tcBorders>
            <w:shd w:val="clear" w:color="auto" w:fill="C6D9F1" w:themeFill="text2" w:themeFillTint="33"/>
            <w:noWrap/>
            <w:vAlign w:val="center"/>
            <w:hideMark/>
          </w:tcPr>
          <w:p w14:paraId="5ED72490" w14:textId="7D709792" w:rsidR="00464F8A" w:rsidRPr="00930651" w:rsidRDefault="007A30C5" w:rsidP="00105E0C">
            <w:pPr>
              <w:ind w:left="0" w:firstLine="0"/>
              <w:jc w:val="right"/>
              <w:rPr>
                <w:rFonts w:asciiTheme="minorHAnsi" w:eastAsia="Times New Roman" w:hAnsiTheme="minorHAnsi" w:cs="Arial"/>
                <w:b/>
                <w:bCs/>
                <w:sz w:val="20"/>
                <w:szCs w:val="20"/>
              </w:rPr>
            </w:pPr>
            <w:r w:rsidRPr="00930651">
              <w:rPr>
                <w:rFonts w:asciiTheme="minorHAnsi" w:hAnsiTheme="minorHAnsi"/>
                <w:b/>
                <w:sz w:val="20"/>
              </w:rPr>
              <w:t>3 </w:t>
            </w:r>
            <w:r>
              <w:rPr>
                <w:rFonts w:asciiTheme="minorHAnsi" w:hAnsiTheme="minorHAnsi"/>
                <w:b/>
                <w:sz w:val="20"/>
              </w:rPr>
              <w:t>586</w:t>
            </w:r>
          </w:p>
        </w:tc>
        <w:tc>
          <w:tcPr>
            <w:tcW w:w="1594" w:type="dxa"/>
            <w:tcBorders>
              <w:top w:val="nil"/>
              <w:left w:val="nil"/>
              <w:bottom w:val="single" w:sz="4" w:space="0" w:color="auto"/>
              <w:right w:val="single" w:sz="4" w:space="0" w:color="auto"/>
            </w:tcBorders>
            <w:shd w:val="clear" w:color="auto" w:fill="C6D9F1" w:themeFill="text2" w:themeFillTint="33"/>
            <w:noWrap/>
            <w:vAlign w:val="center"/>
            <w:hideMark/>
          </w:tcPr>
          <w:p w14:paraId="7EA288D1" w14:textId="76EB47C9" w:rsidR="00464F8A" w:rsidRPr="00930651" w:rsidRDefault="007A30C5" w:rsidP="00105E0C">
            <w:pPr>
              <w:ind w:left="0" w:firstLine="0"/>
              <w:jc w:val="right"/>
              <w:rPr>
                <w:rFonts w:asciiTheme="minorHAnsi" w:eastAsia="Times New Roman" w:hAnsiTheme="minorHAnsi" w:cs="Arial"/>
                <w:b/>
                <w:bCs/>
                <w:sz w:val="20"/>
                <w:szCs w:val="20"/>
              </w:rPr>
            </w:pPr>
            <w:r w:rsidRPr="00930651">
              <w:rPr>
                <w:rFonts w:asciiTheme="minorHAnsi" w:hAnsiTheme="minorHAnsi"/>
                <w:b/>
                <w:sz w:val="20"/>
              </w:rPr>
              <w:t>3 </w:t>
            </w:r>
            <w:r>
              <w:rPr>
                <w:rFonts w:asciiTheme="minorHAnsi" w:hAnsiTheme="minorHAnsi"/>
                <w:b/>
                <w:sz w:val="20"/>
              </w:rPr>
              <w:t>603</w:t>
            </w:r>
          </w:p>
        </w:tc>
        <w:tc>
          <w:tcPr>
            <w:tcW w:w="1595" w:type="dxa"/>
            <w:tcBorders>
              <w:top w:val="nil"/>
              <w:left w:val="nil"/>
              <w:bottom w:val="single" w:sz="4" w:space="0" w:color="auto"/>
              <w:right w:val="single" w:sz="4" w:space="0" w:color="auto"/>
            </w:tcBorders>
            <w:shd w:val="clear" w:color="auto" w:fill="C6D9F1" w:themeFill="text2" w:themeFillTint="33"/>
            <w:noWrap/>
            <w:vAlign w:val="center"/>
            <w:hideMark/>
          </w:tcPr>
          <w:p w14:paraId="3C67B855" w14:textId="17EAFE97" w:rsidR="00464F8A" w:rsidRPr="00930651" w:rsidRDefault="007A30C5" w:rsidP="00105E0C">
            <w:pPr>
              <w:ind w:left="0" w:firstLine="0"/>
              <w:jc w:val="right"/>
              <w:rPr>
                <w:rFonts w:asciiTheme="minorHAnsi" w:eastAsia="Times New Roman" w:hAnsiTheme="minorHAnsi" w:cs="Arial"/>
                <w:b/>
                <w:bCs/>
                <w:sz w:val="20"/>
                <w:szCs w:val="20"/>
              </w:rPr>
            </w:pPr>
            <w:r w:rsidRPr="00930651">
              <w:rPr>
                <w:rFonts w:asciiTheme="minorHAnsi" w:hAnsiTheme="minorHAnsi"/>
                <w:b/>
                <w:sz w:val="20"/>
              </w:rPr>
              <w:t>3 </w:t>
            </w:r>
            <w:r>
              <w:rPr>
                <w:rFonts w:asciiTheme="minorHAnsi" w:hAnsiTheme="minorHAnsi"/>
                <w:b/>
                <w:sz w:val="20"/>
              </w:rPr>
              <w:t>603</w:t>
            </w:r>
          </w:p>
        </w:tc>
      </w:tr>
      <w:tr w:rsidR="007A30C5" w:rsidRPr="00930651" w14:paraId="612F3F01" w14:textId="77777777" w:rsidTr="007A30C5">
        <w:trPr>
          <w:trHeight w:val="264"/>
        </w:trPr>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EEF5610" w14:textId="19253739" w:rsidR="007A30C5" w:rsidRPr="00930651" w:rsidRDefault="007A30C5" w:rsidP="007A30C5">
            <w:pPr>
              <w:ind w:left="0" w:firstLine="0"/>
              <w:rPr>
                <w:rFonts w:asciiTheme="minorHAnsi" w:hAnsiTheme="minorHAnsi"/>
                <w:b/>
                <w:sz w:val="20"/>
              </w:rPr>
            </w:pPr>
            <w:r w:rsidRPr="00930651">
              <w:rPr>
                <w:rFonts w:asciiTheme="minorHAnsi" w:hAnsiTheme="minorHAnsi"/>
                <w:b/>
                <w:sz w:val="20"/>
              </w:rPr>
              <w:t xml:space="preserve">Coût total </w:t>
            </w:r>
            <w:r>
              <w:rPr>
                <w:rFonts w:asciiTheme="minorHAnsi" w:hAnsiTheme="minorHAnsi"/>
                <w:b/>
                <w:sz w:val="20"/>
              </w:rPr>
              <w:t xml:space="preserve">des Scénarios A et B </w:t>
            </w:r>
            <w:r w:rsidRPr="00930651">
              <w:rPr>
                <w:rFonts w:asciiTheme="minorHAnsi" w:hAnsiTheme="minorHAnsi"/>
                <w:b/>
                <w:sz w:val="20"/>
              </w:rPr>
              <w:t>(en milliers de CHF)</w:t>
            </w:r>
          </w:p>
        </w:tc>
        <w:tc>
          <w:tcPr>
            <w:tcW w:w="159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6EC58FB5" w14:textId="42855BE1" w:rsidR="007A30C5" w:rsidRPr="00930651" w:rsidRDefault="007A30C5" w:rsidP="007A30C5">
            <w:pPr>
              <w:ind w:left="0" w:firstLine="0"/>
              <w:jc w:val="right"/>
              <w:rPr>
                <w:rFonts w:asciiTheme="minorHAnsi" w:hAnsiTheme="minorHAnsi"/>
                <w:b/>
                <w:sz w:val="20"/>
              </w:rPr>
            </w:pPr>
            <w:r>
              <w:rPr>
                <w:rFonts w:asciiTheme="minorHAnsi" w:eastAsia="Times New Roman" w:hAnsiTheme="minorHAnsi" w:cs="Arial"/>
                <w:b/>
                <w:bCs/>
                <w:sz w:val="20"/>
                <w:szCs w:val="20"/>
                <w:lang w:eastAsia="en-GB"/>
              </w:rPr>
              <w:t>3 586</w:t>
            </w:r>
          </w:p>
        </w:tc>
        <w:tc>
          <w:tcPr>
            <w:tcW w:w="1595"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2C27022C" w14:textId="79A211FC" w:rsidR="007A30C5" w:rsidRPr="00930651" w:rsidRDefault="007A30C5" w:rsidP="007A30C5">
            <w:pPr>
              <w:ind w:left="0" w:firstLine="0"/>
              <w:jc w:val="right"/>
              <w:rPr>
                <w:rFonts w:asciiTheme="minorHAnsi" w:hAnsiTheme="minorHAnsi"/>
                <w:b/>
                <w:sz w:val="20"/>
              </w:rPr>
            </w:pPr>
            <w:r>
              <w:rPr>
                <w:rFonts w:asciiTheme="minorHAnsi" w:eastAsia="Times New Roman" w:hAnsiTheme="minorHAnsi" w:cs="Arial"/>
                <w:b/>
                <w:bCs/>
                <w:sz w:val="20"/>
                <w:szCs w:val="20"/>
                <w:lang w:eastAsia="en-GB"/>
              </w:rPr>
              <w:t>3 621</w:t>
            </w:r>
          </w:p>
        </w:tc>
        <w:tc>
          <w:tcPr>
            <w:tcW w:w="159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6F8B2FB8" w14:textId="5A4A93A7" w:rsidR="007A30C5" w:rsidRPr="00930651" w:rsidRDefault="007A30C5" w:rsidP="007A30C5">
            <w:pPr>
              <w:ind w:left="0" w:firstLine="0"/>
              <w:jc w:val="right"/>
              <w:rPr>
                <w:rFonts w:asciiTheme="minorHAnsi" w:hAnsiTheme="minorHAnsi"/>
                <w:b/>
                <w:sz w:val="20"/>
              </w:rPr>
            </w:pPr>
            <w:r>
              <w:rPr>
                <w:rFonts w:asciiTheme="minorHAnsi" w:eastAsia="Times New Roman" w:hAnsiTheme="minorHAnsi" w:cs="Arial"/>
                <w:b/>
                <w:bCs/>
                <w:sz w:val="20"/>
                <w:szCs w:val="20"/>
                <w:lang w:eastAsia="en-GB"/>
              </w:rPr>
              <w:t>3 672</w:t>
            </w:r>
          </w:p>
        </w:tc>
        <w:tc>
          <w:tcPr>
            <w:tcW w:w="1595"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9B28899" w14:textId="38C0E62E" w:rsidR="007A30C5" w:rsidRPr="00930651" w:rsidRDefault="007A30C5" w:rsidP="007A30C5">
            <w:pPr>
              <w:ind w:left="0" w:firstLine="0"/>
              <w:jc w:val="right"/>
              <w:rPr>
                <w:rFonts w:asciiTheme="minorHAnsi" w:hAnsiTheme="minorHAnsi"/>
                <w:b/>
                <w:sz w:val="20"/>
              </w:rPr>
            </w:pPr>
            <w:r>
              <w:rPr>
                <w:rFonts w:asciiTheme="minorHAnsi" w:eastAsia="Times New Roman" w:hAnsiTheme="minorHAnsi" w:cs="Arial"/>
                <w:b/>
                <w:bCs/>
                <w:sz w:val="20"/>
                <w:szCs w:val="20"/>
                <w:lang w:eastAsia="en-GB"/>
              </w:rPr>
              <w:t>3 707</w:t>
            </w:r>
          </w:p>
        </w:tc>
      </w:tr>
    </w:tbl>
    <w:p w14:paraId="04B80048" w14:textId="77777777" w:rsidR="00464F8A" w:rsidRPr="00930651" w:rsidRDefault="00464F8A" w:rsidP="00464F8A">
      <w:pPr>
        <w:rPr>
          <w:rFonts w:ascii="Arial" w:eastAsia="Times New Roman" w:hAnsi="Arial" w:cs="Arial"/>
          <w:sz w:val="18"/>
          <w:szCs w:val="18"/>
          <w:lang w:eastAsia="en-GB"/>
        </w:rPr>
      </w:pPr>
    </w:p>
    <w:p w14:paraId="21EF8B6C" w14:textId="77777777" w:rsidR="00464F8A" w:rsidRPr="00930651" w:rsidRDefault="00464F8A" w:rsidP="00464F8A">
      <w:pPr>
        <w:autoSpaceDE w:val="0"/>
        <w:autoSpaceDN w:val="0"/>
        <w:adjustRightInd w:val="0"/>
        <w:ind w:left="0" w:firstLine="0"/>
        <w:rPr>
          <w:rFonts w:asciiTheme="minorHAnsi" w:eastAsia="Times New Roman" w:hAnsiTheme="minorHAnsi" w:cs="Arial"/>
          <w:sz w:val="20"/>
          <w:szCs w:val="20"/>
        </w:rPr>
      </w:pPr>
      <w:r w:rsidRPr="00930651">
        <w:rPr>
          <w:rFonts w:asciiTheme="minorHAnsi" w:hAnsiTheme="minorHAnsi"/>
          <w:sz w:val="20"/>
        </w:rPr>
        <w:t xml:space="preserve">Note : </w:t>
      </w:r>
    </w:p>
    <w:p w14:paraId="7DC469B9" w14:textId="555219E9" w:rsidR="00464F8A" w:rsidRPr="00930651" w:rsidRDefault="00464F8A" w:rsidP="00464F8A">
      <w:pPr>
        <w:autoSpaceDE w:val="0"/>
        <w:autoSpaceDN w:val="0"/>
        <w:adjustRightInd w:val="0"/>
        <w:ind w:left="0" w:firstLine="0"/>
        <w:rPr>
          <w:rFonts w:ascii="Tahoma" w:eastAsiaTheme="minorHAnsi" w:hAnsi="Tahoma" w:cs="Tahoma"/>
          <w:sz w:val="20"/>
          <w:szCs w:val="20"/>
        </w:rPr>
      </w:pPr>
      <w:r w:rsidRPr="00930651">
        <w:rPr>
          <w:rFonts w:asciiTheme="minorHAnsi" w:hAnsiTheme="minorHAnsi"/>
          <w:sz w:val="20"/>
        </w:rPr>
        <w:t>Le nombre d</w:t>
      </w:r>
      <w:r w:rsidR="00101E52">
        <w:rPr>
          <w:rFonts w:asciiTheme="minorHAnsi" w:hAnsiTheme="minorHAnsi"/>
          <w:sz w:val="20"/>
        </w:rPr>
        <w:t>’</w:t>
      </w:r>
      <w:r w:rsidRPr="00930651">
        <w:rPr>
          <w:rFonts w:asciiTheme="minorHAnsi" w:hAnsiTheme="minorHAnsi"/>
          <w:sz w:val="20"/>
        </w:rPr>
        <w:t xml:space="preserve">employés et les postes pour 2022 figurent à titre de référence. Les coûts sont budgétés et attribués aux postes budgétaires sur la base des postes actuellement financés par le budget administratif. </w:t>
      </w:r>
      <w:r w:rsidRPr="00930651">
        <w:rPr>
          <w:sz w:val="20"/>
        </w:rPr>
        <w:t>Le terme « Groupe » renvoie à la catégorie de dépenses figurant dans l</w:t>
      </w:r>
      <w:r w:rsidR="00101E52">
        <w:rPr>
          <w:sz w:val="20"/>
        </w:rPr>
        <w:t>’</w:t>
      </w:r>
      <w:r w:rsidRPr="00930651">
        <w:rPr>
          <w:sz w:val="20"/>
        </w:rPr>
        <w:t xml:space="preserve">annexe 1. </w:t>
      </w:r>
    </w:p>
    <w:p w14:paraId="7318E6F3" w14:textId="77777777" w:rsidR="00464F8A" w:rsidRPr="00930651" w:rsidRDefault="00464F8A" w:rsidP="00464F8A">
      <w:pPr>
        <w:ind w:left="0" w:firstLine="0"/>
        <w:rPr>
          <w:rFonts w:asciiTheme="minorHAnsi" w:eastAsia="Times New Roman" w:hAnsiTheme="minorHAnsi" w:cs="Arial"/>
          <w:sz w:val="20"/>
          <w:szCs w:val="20"/>
          <w:lang w:eastAsia="en-GB"/>
        </w:rPr>
      </w:pPr>
    </w:p>
    <w:p w14:paraId="1D60E527" w14:textId="5456B1E4" w:rsidR="00464F8A" w:rsidRPr="00930651" w:rsidRDefault="00464F8A" w:rsidP="00464F8A">
      <w:pPr>
        <w:ind w:left="0" w:firstLine="0"/>
        <w:rPr>
          <w:rFonts w:asciiTheme="minorHAnsi" w:eastAsia="Times New Roman" w:hAnsiTheme="minorHAnsi" w:cs="Arial"/>
          <w:sz w:val="20"/>
          <w:szCs w:val="20"/>
        </w:rPr>
      </w:pPr>
      <w:r w:rsidRPr="00930651">
        <w:rPr>
          <w:rFonts w:asciiTheme="minorHAnsi" w:hAnsiTheme="minorHAnsi"/>
          <w:sz w:val="20"/>
        </w:rPr>
        <w:t>Niveaux selon les politiques et lignes directrices de l</w:t>
      </w:r>
      <w:r w:rsidR="00101E52">
        <w:rPr>
          <w:rFonts w:asciiTheme="minorHAnsi" w:hAnsiTheme="minorHAnsi"/>
          <w:sz w:val="20"/>
        </w:rPr>
        <w:t>’</w:t>
      </w:r>
      <w:r w:rsidRPr="00930651">
        <w:rPr>
          <w:rFonts w:asciiTheme="minorHAnsi" w:hAnsiTheme="minorHAnsi"/>
          <w:sz w:val="20"/>
        </w:rPr>
        <w:t>UICN sur le classement des emplois.</w:t>
      </w:r>
    </w:p>
    <w:p w14:paraId="2943B9CC" w14:textId="77777777" w:rsidR="00464F8A" w:rsidRPr="00930651" w:rsidRDefault="00464F8A" w:rsidP="00464F8A">
      <w:pPr>
        <w:ind w:left="0" w:firstLine="0"/>
        <w:rPr>
          <w:rFonts w:asciiTheme="minorHAnsi" w:eastAsia="Times New Roman" w:hAnsiTheme="minorHAnsi" w:cs="Arial"/>
          <w:sz w:val="20"/>
          <w:szCs w:val="20"/>
        </w:rPr>
      </w:pPr>
      <w:r w:rsidRPr="00930651">
        <w:rPr>
          <w:rFonts w:asciiTheme="minorHAnsi" w:hAnsiTheme="minorHAnsi"/>
          <w:sz w:val="20"/>
        </w:rPr>
        <w:t>S = Secrétaire générale ; M1-M2 = postes de cadres ; P1-P2 = postes professionnels ; A1-A3 = postes de soutien.</w:t>
      </w:r>
    </w:p>
    <w:p w14:paraId="263B9C88" w14:textId="77777777" w:rsidR="00464F8A" w:rsidRPr="00930651" w:rsidRDefault="00464F8A" w:rsidP="00EA22B9">
      <w:pPr>
        <w:ind w:left="0" w:firstLine="0"/>
      </w:pPr>
    </w:p>
    <w:sectPr w:rsidR="00464F8A" w:rsidRPr="00930651" w:rsidSect="003D403B">
      <w:footerReference w:type="default" r:id="rId11"/>
      <w:footerReference w:type="first" r:id="rId12"/>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98A8" w16cex:dateUtc="2022-03-22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7BC61" w16cid:durableId="25E598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98BEB" w14:textId="77777777" w:rsidR="00A31639" w:rsidRDefault="00A31639" w:rsidP="00DF2386">
      <w:r>
        <w:separator/>
      </w:r>
    </w:p>
  </w:endnote>
  <w:endnote w:type="continuationSeparator" w:id="0">
    <w:p w14:paraId="0D92015E" w14:textId="77777777" w:rsidR="00A31639" w:rsidRDefault="00A31639"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A23F" w14:textId="2D3B7642" w:rsidR="007A30C5" w:rsidRPr="007A30C5" w:rsidRDefault="007A30C5" w:rsidP="007A30C5">
    <w:pPr>
      <w:pStyle w:val="Header"/>
      <w:rPr>
        <w:noProof/>
        <w:sz w:val="20"/>
        <w:szCs w:val="20"/>
      </w:rPr>
    </w:pPr>
    <w:r w:rsidRPr="00333314">
      <w:rPr>
        <w:sz w:val="20"/>
        <w:szCs w:val="20"/>
      </w:rPr>
      <w:t>SC59/2022 Doc.8.3</w:t>
    </w:r>
    <w:r w:rsidRPr="00333314">
      <w:rPr>
        <w:sz w:val="20"/>
        <w:szCs w:val="20"/>
      </w:rPr>
      <w:tab/>
    </w:r>
    <w:r w:rsidRPr="00333314">
      <w:rPr>
        <w:sz w:val="20"/>
        <w:szCs w:val="20"/>
      </w:rPr>
      <w:tab/>
    </w:r>
    <w:sdt>
      <w:sdtPr>
        <w:rPr>
          <w:sz w:val="20"/>
          <w:szCs w:val="20"/>
        </w:rPr>
        <w:id w:val="-1677562958"/>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sidR="006D13AE">
          <w:rPr>
            <w:noProof/>
            <w:sz w:val="20"/>
            <w:szCs w:val="20"/>
          </w:rPr>
          <w:t>21</w:t>
        </w:r>
        <w:r w:rsidRPr="00333314">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49F5" w14:textId="0F25E211" w:rsidR="00A31639" w:rsidRDefault="00A31639" w:rsidP="000519D4">
    <w:pPr>
      <w:pStyle w:val="Header"/>
      <w:rPr>
        <w:noProof/>
      </w:rPr>
    </w:pPr>
    <w:r>
      <w:t>SC59/2022 Doc.8.3</w:t>
    </w:r>
    <w:r>
      <w:tab/>
    </w:r>
    <w:r>
      <w:tab/>
    </w:r>
    <w:sdt>
      <w:sdtPr>
        <w:id w:val="-19777698"/>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6D13AE">
          <w:rPr>
            <w:noProof/>
            <w:sz w:val="20"/>
          </w:rPr>
          <w:t>1</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2D565" w14:textId="77777777" w:rsidR="00A31639" w:rsidRDefault="00A31639" w:rsidP="00DF2386">
      <w:r>
        <w:separator/>
      </w:r>
    </w:p>
  </w:footnote>
  <w:footnote w:type="continuationSeparator" w:id="0">
    <w:p w14:paraId="1AD0913C" w14:textId="77777777" w:rsidR="00A31639" w:rsidRDefault="00A31639" w:rsidP="00DF2386">
      <w:r>
        <w:continuationSeparator/>
      </w:r>
    </w:p>
  </w:footnote>
  <w:footnote w:id="1">
    <w:p w14:paraId="3A13D428" w14:textId="584DAA97" w:rsidR="00A31639" w:rsidRPr="0048153B" w:rsidRDefault="00A31639" w:rsidP="00586541">
      <w:pPr>
        <w:ind w:left="0" w:firstLine="0"/>
      </w:pPr>
      <w:r>
        <w:rPr>
          <w:rStyle w:val="FootnoteReference"/>
          <w:sz w:val="20"/>
          <w:szCs w:val="20"/>
        </w:rPr>
        <w:footnoteRef/>
      </w:r>
      <w:r>
        <w:t xml:space="preserve"> Les salaires et autres prestations d’emploi sont regroupés conformément à la Décision SC59-27.</w:t>
      </w:r>
    </w:p>
  </w:footnote>
  <w:footnote w:id="2">
    <w:p w14:paraId="25BEE4E0" w14:textId="77777777" w:rsidR="00A31639" w:rsidRDefault="00A31639" w:rsidP="00A81CC0">
      <w:pPr>
        <w:pStyle w:val="FootnoteText"/>
        <w:ind w:left="0" w:firstLine="0"/>
      </w:pPr>
      <w:r>
        <w:rPr>
          <w:rStyle w:val="FootnoteReference"/>
        </w:rPr>
        <w:footnoteRef/>
      </w:r>
      <w:r>
        <w:t xml:space="preserve"> Ce paragraphe est proposé pour le scénario budgétaire A et adopte la même approche que le paragraphe 15 de la Résolution XIII.2.</w:t>
      </w:r>
    </w:p>
  </w:footnote>
  <w:footnote w:id="3">
    <w:p w14:paraId="649319A6" w14:textId="72817116" w:rsidR="00A31639" w:rsidRPr="00725547" w:rsidRDefault="00A31639" w:rsidP="00725547">
      <w:pPr>
        <w:pStyle w:val="FootnoteText"/>
        <w:ind w:left="0" w:firstLine="0"/>
      </w:pPr>
      <w:r>
        <w:rPr>
          <w:rStyle w:val="FootnoteReference"/>
        </w:rPr>
        <w:footnoteRef/>
      </w:r>
      <w:r>
        <w:t xml:space="preserve"> </w:t>
      </w:r>
      <w:r>
        <w:rPr>
          <w:rFonts w:cs="Arial"/>
          <w:lang w:val="fr-CH"/>
        </w:rPr>
        <w:t>Le tableau du</w:t>
      </w:r>
      <w:r w:rsidRPr="00E06767">
        <w:rPr>
          <w:rFonts w:cs="Arial"/>
          <w:lang w:val="fr-CH"/>
        </w:rPr>
        <w:t xml:space="preserve"> résolution finale </w:t>
      </w:r>
      <w:r>
        <w:rPr>
          <w:rFonts w:cs="Arial"/>
          <w:lang w:val="fr-CH"/>
        </w:rPr>
        <w:t>sera cohérent</w:t>
      </w:r>
      <w:r w:rsidRPr="00E06767">
        <w:rPr>
          <w:rFonts w:cs="Arial"/>
          <w:lang w:val="fr-CH"/>
        </w:rPr>
        <w:t xml:space="preserve"> avec </w:t>
      </w:r>
      <w:r>
        <w:rPr>
          <w:rFonts w:cs="Arial"/>
          <w:lang w:val="fr-CH"/>
        </w:rPr>
        <w:t>les</w:t>
      </w:r>
      <w:r w:rsidRPr="00E06767">
        <w:rPr>
          <w:rFonts w:cs="Arial"/>
          <w:lang w:val="fr-CH"/>
        </w:rPr>
        <w:t xml:space="preserve"> années précédentes et ne comprend</w:t>
      </w:r>
      <w:r>
        <w:rPr>
          <w:rFonts w:cs="Arial"/>
          <w:lang w:val="fr-CH"/>
        </w:rPr>
        <w:t>ra</w:t>
      </w:r>
      <w:r w:rsidRPr="00E06767">
        <w:rPr>
          <w:rFonts w:cs="Arial"/>
          <w:lang w:val="fr-CH"/>
        </w:rPr>
        <w:t xml:space="preserve"> que les totaux des principales catégories.</w:t>
      </w:r>
    </w:p>
  </w:footnote>
  <w:footnote w:id="4">
    <w:p w14:paraId="75B00982" w14:textId="4DD8FA0F" w:rsidR="00A31639" w:rsidRPr="002B107F" w:rsidRDefault="00A31639" w:rsidP="002B107F">
      <w:pPr>
        <w:pStyle w:val="FootnoteText"/>
        <w:ind w:left="0" w:firstLine="0"/>
      </w:pPr>
      <w:r>
        <w:rPr>
          <w:rStyle w:val="FootnoteReference"/>
        </w:rPr>
        <w:footnoteRef/>
      </w:r>
      <w:r w:rsidRPr="002B107F">
        <w:t xml:space="preserve"> </w:t>
      </w:r>
      <w:r w:rsidR="002B107F" w:rsidRPr="002B107F">
        <w:t xml:space="preserve">Les changements estimés </w:t>
      </w:r>
      <w:r w:rsidR="006D13AE">
        <w:t>dans les</w:t>
      </w:r>
      <w:r w:rsidR="002B107F" w:rsidRPr="002B107F">
        <w:t xml:space="preserve"> contributions annuelles seront inclus dans le projet de résolution qui sera présenté à la COP14 </w:t>
      </w:r>
      <w:r w:rsidR="006D13AE" w:rsidRPr="006D13AE">
        <w:t xml:space="preserve">lors de la reprise de séance </w:t>
      </w:r>
      <w:bookmarkStart w:id="1" w:name="_GoBack"/>
      <w:bookmarkEnd w:id="1"/>
      <w:r w:rsidR="006D13AE" w:rsidRPr="006D13AE">
        <w:t xml:space="preserve">de la 59e Réunion </w:t>
      </w:r>
      <w:r w:rsidR="006D13AE">
        <w:t>du Comité permanent (SC59/2022)</w:t>
      </w:r>
      <w:r w:rsidR="002B107F" w:rsidRPr="002B107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1"/>
  </w:num>
  <w:num w:numId="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22"/>
  </w:num>
  <w:num w:numId="14">
    <w:abstractNumId w:val="14"/>
  </w:num>
  <w:num w:numId="15">
    <w:abstractNumId w:val="2"/>
  </w:num>
  <w:num w:numId="16">
    <w:abstractNumId w:val="18"/>
  </w:num>
  <w:num w:numId="17">
    <w:abstractNumId w:val="25"/>
  </w:num>
  <w:num w:numId="18">
    <w:abstractNumId w:val="35"/>
  </w:num>
  <w:num w:numId="19">
    <w:abstractNumId w:val="33"/>
  </w:num>
  <w:num w:numId="20">
    <w:abstractNumId w:val="27"/>
  </w:num>
  <w:num w:numId="21">
    <w:abstractNumId w:val="29"/>
  </w:num>
  <w:num w:numId="22">
    <w:abstractNumId w:val="20"/>
  </w:num>
  <w:num w:numId="23">
    <w:abstractNumId w:val="26"/>
  </w:num>
  <w:num w:numId="24">
    <w:abstractNumId w:val="23"/>
  </w:num>
  <w:num w:numId="25">
    <w:abstractNumId w:val="32"/>
  </w:num>
  <w:num w:numId="26">
    <w:abstractNumId w:val="10"/>
  </w:num>
  <w:num w:numId="27">
    <w:abstractNumId w:val="0"/>
  </w:num>
  <w:num w:numId="28">
    <w:abstractNumId w:val="13"/>
  </w:num>
  <w:num w:numId="29">
    <w:abstractNumId w:val="3"/>
  </w:num>
  <w:num w:numId="30">
    <w:abstractNumId w:val="16"/>
  </w:num>
  <w:num w:numId="31">
    <w:abstractNumId w:val="15"/>
  </w:num>
  <w:num w:numId="32">
    <w:abstractNumId w:val="30"/>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
  </w:num>
  <w:num w:numId="37">
    <w:abstractNumId w:val="12"/>
  </w:num>
  <w:num w:numId="38">
    <w:abstractNumId w:val="19"/>
  </w:num>
  <w:num w:numId="39">
    <w:abstractNumId w:val="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2F4"/>
    <w:rsid w:val="00006F21"/>
    <w:rsid w:val="0001102A"/>
    <w:rsid w:val="0001167E"/>
    <w:rsid w:val="00012800"/>
    <w:rsid w:val="000133D1"/>
    <w:rsid w:val="00014168"/>
    <w:rsid w:val="0001564A"/>
    <w:rsid w:val="00017A16"/>
    <w:rsid w:val="00024026"/>
    <w:rsid w:val="000260B4"/>
    <w:rsid w:val="00026E09"/>
    <w:rsid w:val="000376CE"/>
    <w:rsid w:val="00037745"/>
    <w:rsid w:val="00037CE0"/>
    <w:rsid w:val="0004295A"/>
    <w:rsid w:val="000467E7"/>
    <w:rsid w:val="000519D4"/>
    <w:rsid w:val="0005215D"/>
    <w:rsid w:val="00053929"/>
    <w:rsid w:val="00074DE8"/>
    <w:rsid w:val="00080177"/>
    <w:rsid w:val="0008391B"/>
    <w:rsid w:val="000930D3"/>
    <w:rsid w:val="000937A7"/>
    <w:rsid w:val="0009413F"/>
    <w:rsid w:val="00096371"/>
    <w:rsid w:val="000A0B90"/>
    <w:rsid w:val="000A192A"/>
    <w:rsid w:val="000A3E3E"/>
    <w:rsid w:val="000A3F5A"/>
    <w:rsid w:val="000A5278"/>
    <w:rsid w:val="000A7AEC"/>
    <w:rsid w:val="000B02D3"/>
    <w:rsid w:val="000C2489"/>
    <w:rsid w:val="000C71A7"/>
    <w:rsid w:val="000D039A"/>
    <w:rsid w:val="000D311B"/>
    <w:rsid w:val="000D5C76"/>
    <w:rsid w:val="000E2FA0"/>
    <w:rsid w:val="000E47E9"/>
    <w:rsid w:val="000E603E"/>
    <w:rsid w:val="000F0897"/>
    <w:rsid w:val="000F2F4D"/>
    <w:rsid w:val="00101117"/>
    <w:rsid w:val="00101E52"/>
    <w:rsid w:val="00102D6A"/>
    <w:rsid w:val="0010393E"/>
    <w:rsid w:val="00104F7B"/>
    <w:rsid w:val="00105E0C"/>
    <w:rsid w:val="00106197"/>
    <w:rsid w:val="00112D3E"/>
    <w:rsid w:val="00112F3F"/>
    <w:rsid w:val="00114A5D"/>
    <w:rsid w:val="00117167"/>
    <w:rsid w:val="0011732C"/>
    <w:rsid w:val="0012096C"/>
    <w:rsid w:val="00124BD7"/>
    <w:rsid w:val="00127828"/>
    <w:rsid w:val="00140D08"/>
    <w:rsid w:val="00143B9F"/>
    <w:rsid w:val="0014519C"/>
    <w:rsid w:val="00145BDD"/>
    <w:rsid w:val="00150BB8"/>
    <w:rsid w:val="00161BDA"/>
    <w:rsid w:val="00167E31"/>
    <w:rsid w:val="0017123E"/>
    <w:rsid w:val="00171618"/>
    <w:rsid w:val="001776BD"/>
    <w:rsid w:val="001819B1"/>
    <w:rsid w:val="0018239F"/>
    <w:rsid w:val="00183021"/>
    <w:rsid w:val="0018623B"/>
    <w:rsid w:val="00191794"/>
    <w:rsid w:val="001936D6"/>
    <w:rsid w:val="00194B1B"/>
    <w:rsid w:val="00197946"/>
    <w:rsid w:val="001A2D10"/>
    <w:rsid w:val="001A386F"/>
    <w:rsid w:val="001A770E"/>
    <w:rsid w:val="001B1561"/>
    <w:rsid w:val="001B1F55"/>
    <w:rsid w:val="001B773B"/>
    <w:rsid w:val="001B79AE"/>
    <w:rsid w:val="001C22F2"/>
    <w:rsid w:val="001C3A25"/>
    <w:rsid w:val="001C5E41"/>
    <w:rsid w:val="001C77BC"/>
    <w:rsid w:val="001D0FDF"/>
    <w:rsid w:val="001D48BB"/>
    <w:rsid w:val="001D5FC6"/>
    <w:rsid w:val="001D684B"/>
    <w:rsid w:val="001E00E3"/>
    <w:rsid w:val="001E12A2"/>
    <w:rsid w:val="001E22DA"/>
    <w:rsid w:val="001E3C24"/>
    <w:rsid w:val="001E5FD0"/>
    <w:rsid w:val="001F0F83"/>
    <w:rsid w:val="001F2349"/>
    <w:rsid w:val="001F3C9F"/>
    <w:rsid w:val="001F5C62"/>
    <w:rsid w:val="002005D2"/>
    <w:rsid w:val="0020298B"/>
    <w:rsid w:val="00203003"/>
    <w:rsid w:val="002035D8"/>
    <w:rsid w:val="00206111"/>
    <w:rsid w:val="00206A76"/>
    <w:rsid w:val="00206AAB"/>
    <w:rsid w:val="00212850"/>
    <w:rsid w:val="0021303C"/>
    <w:rsid w:val="002137E0"/>
    <w:rsid w:val="00214C88"/>
    <w:rsid w:val="00223428"/>
    <w:rsid w:val="002249C2"/>
    <w:rsid w:val="00227712"/>
    <w:rsid w:val="00227C59"/>
    <w:rsid w:val="00232904"/>
    <w:rsid w:val="00233EC7"/>
    <w:rsid w:val="00235147"/>
    <w:rsid w:val="0023550A"/>
    <w:rsid w:val="00236D86"/>
    <w:rsid w:val="00240FEA"/>
    <w:rsid w:val="00241822"/>
    <w:rsid w:val="0024521E"/>
    <w:rsid w:val="002517BC"/>
    <w:rsid w:val="00267D03"/>
    <w:rsid w:val="00271A5C"/>
    <w:rsid w:val="002741AC"/>
    <w:rsid w:val="00275F13"/>
    <w:rsid w:val="00277A87"/>
    <w:rsid w:val="002819C0"/>
    <w:rsid w:val="00281B7E"/>
    <w:rsid w:val="00281C69"/>
    <w:rsid w:val="002822F8"/>
    <w:rsid w:val="002845BD"/>
    <w:rsid w:val="00285571"/>
    <w:rsid w:val="0029247A"/>
    <w:rsid w:val="00295556"/>
    <w:rsid w:val="002957DC"/>
    <w:rsid w:val="00295BB5"/>
    <w:rsid w:val="002A34CC"/>
    <w:rsid w:val="002A5A4D"/>
    <w:rsid w:val="002B0CEF"/>
    <w:rsid w:val="002B107F"/>
    <w:rsid w:val="002B4262"/>
    <w:rsid w:val="002B7088"/>
    <w:rsid w:val="002C1AC1"/>
    <w:rsid w:val="002C3209"/>
    <w:rsid w:val="002D28C5"/>
    <w:rsid w:val="002D5A4D"/>
    <w:rsid w:val="002E22AF"/>
    <w:rsid w:val="002E533D"/>
    <w:rsid w:val="002E660E"/>
    <w:rsid w:val="002E69E1"/>
    <w:rsid w:val="002E70AF"/>
    <w:rsid w:val="002F484A"/>
    <w:rsid w:val="002F7900"/>
    <w:rsid w:val="003002AC"/>
    <w:rsid w:val="00300837"/>
    <w:rsid w:val="00302B21"/>
    <w:rsid w:val="003107B5"/>
    <w:rsid w:val="00322C05"/>
    <w:rsid w:val="00324398"/>
    <w:rsid w:val="00331485"/>
    <w:rsid w:val="00335704"/>
    <w:rsid w:val="003441D3"/>
    <w:rsid w:val="0034689E"/>
    <w:rsid w:val="00352486"/>
    <w:rsid w:val="0035377D"/>
    <w:rsid w:val="00355F75"/>
    <w:rsid w:val="00357919"/>
    <w:rsid w:val="003616BC"/>
    <w:rsid w:val="00363957"/>
    <w:rsid w:val="00366633"/>
    <w:rsid w:val="0037514F"/>
    <w:rsid w:val="00375CB6"/>
    <w:rsid w:val="00377ACF"/>
    <w:rsid w:val="00382F90"/>
    <w:rsid w:val="00384FC3"/>
    <w:rsid w:val="003932B5"/>
    <w:rsid w:val="00396932"/>
    <w:rsid w:val="003969AD"/>
    <w:rsid w:val="003A3804"/>
    <w:rsid w:val="003A52BE"/>
    <w:rsid w:val="003A5809"/>
    <w:rsid w:val="003A5866"/>
    <w:rsid w:val="003A62C2"/>
    <w:rsid w:val="003A6E9F"/>
    <w:rsid w:val="003A7B77"/>
    <w:rsid w:val="003B7342"/>
    <w:rsid w:val="003C0C53"/>
    <w:rsid w:val="003C0DCD"/>
    <w:rsid w:val="003C1EA0"/>
    <w:rsid w:val="003D01D9"/>
    <w:rsid w:val="003D10BB"/>
    <w:rsid w:val="003D1E71"/>
    <w:rsid w:val="003D403B"/>
    <w:rsid w:val="003D4537"/>
    <w:rsid w:val="003D4CD6"/>
    <w:rsid w:val="003D4E02"/>
    <w:rsid w:val="003E634B"/>
    <w:rsid w:val="003F5763"/>
    <w:rsid w:val="003F7105"/>
    <w:rsid w:val="0040199D"/>
    <w:rsid w:val="004029A2"/>
    <w:rsid w:val="00411C7C"/>
    <w:rsid w:val="0041311F"/>
    <w:rsid w:val="004149AD"/>
    <w:rsid w:val="00415BC1"/>
    <w:rsid w:val="00420E85"/>
    <w:rsid w:val="004228C7"/>
    <w:rsid w:val="00422BD2"/>
    <w:rsid w:val="00426DD9"/>
    <w:rsid w:val="0042798B"/>
    <w:rsid w:val="004333C5"/>
    <w:rsid w:val="00433DC7"/>
    <w:rsid w:val="00434913"/>
    <w:rsid w:val="00436E55"/>
    <w:rsid w:val="004474F8"/>
    <w:rsid w:val="0045022B"/>
    <w:rsid w:val="00452DF8"/>
    <w:rsid w:val="00454034"/>
    <w:rsid w:val="0046217F"/>
    <w:rsid w:val="00464F8A"/>
    <w:rsid w:val="0046771B"/>
    <w:rsid w:val="00467A8D"/>
    <w:rsid w:val="004717A4"/>
    <w:rsid w:val="00473F28"/>
    <w:rsid w:val="00474FCE"/>
    <w:rsid w:val="00477550"/>
    <w:rsid w:val="0048153B"/>
    <w:rsid w:val="004844A8"/>
    <w:rsid w:val="004853F2"/>
    <w:rsid w:val="0048682A"/>
    <w:rsid w:val="00491DF5"/>
    <w:rsid w:val="00495C5D"/>
    <w:rsid w:val="004962BC"/>
    <w:rsid w:val="00496803"/>
    <w:rsid w:val="0049707C"/>
    <w:rsid w:val="004A01E5"/>
    <w:rsid w:val="004A0CCC"/>
    <w:rsid w:val="004A172D"/>
    <w:rsid w:val="004A6343"/>
    <w:rsid w:val="004A7294"/>
    <w:rsid w:val="004B08CD"/>
    <w:rsid w:val="004B1B80"/>
    <w:rsid w:val="004B2272"/>
    <w:rsid w:val="004B4108"/>
    <w:rsid w:val="004B420F"/>
    <w:rsid w:val="004B6688"/>
    <w:rsid w:val="004C5B2F"/>
    <w:rsid w:val="004D0D3D"/>
    <w:rsid w:val="004D475A"/>
    <w:rsid w:val="004D48D2"/>
    <w:rsid w:val="004D7DE3"/>
    <w:rsid w:val="004E26E4"/>
    <w:rsid w:val="004E4C83"/>
    <w:rsid w:val="004F0D16"/>
    <w:rsid w:val="004F18A1"/>
    <w:rsid w:val="004F1CDC"/>
    <w:rsid w:val="004F20C4"/>
    <w:rsid w:val="004F38CE"/>
    <w:rsid w:val="004F5A18"/>
    <w:rsid w:val="00502A28"/>
    <w:rsid w:val="0050463E"/>
    <w:rsid w:val="005054FD"/>
    <w:rsid w:val="00512AA7"/>
    <w:rsid w:val="00517FBF"/>
    <w:rsid w:val="00521308"/>
    <w:rsid w:val="00522533"/>
    <w:rsid w:val="00522B37"/>
    <w:rsid w:val="005244A4"/>
    <w:rsid w:val="00527783"/>
    <w:rsid w:val="0053257A"/>
    <w:rsid w:val="0054046C"/>
    <w:rsid w:val="00545FF3"/>
    <w:rsid w:val="005464D2"/>
    <w:rsid w:val="00553DEA"/>
    <w:rsid w:val="00554DB1"/>
    <w:rsid w:val="005814B5"/>
    <w:rsid w:val="005863D6"/>
    <w:rsid w:val="00586541"/>
    <w:rsid w:val="00591622"/>
    <w:rsid w:val="005A6559"/>
    <w:rsid w:val="005A6A00"/>
    <w:rsid w:val="005B02DC"/>
    <w:rsid w:val="005B0E16"/>
    <w:rsid w:val="005B47C2"/>
    <w:rsid w:val="005C2ADF"/>
    <w:rsid w:val="005D29BE"/>
    <w:rsid w:val="005D35BD"/>
    <w:rsid w:val="005D3E9D"/>
    <w:rsid w:val="005D57D6"/>
    <w:rsid w:val="005D6FBF"/>
    <w:rsid w:val="005E4BF4"/>
    <w:rsid w:val="005E4E6C"/>
    <w:rsid w:val="005E59C2"/>
    <w:rsid w:val="005F0052"/>
    <w:rsid w:val="005F1D0B"/>
    <w:rsid w:val="005F1F89"/>
    <w:rsid w:val="005F3B7A"/>
    <w:rsid w:val="005F64E0"/>
    <w:rsid w:val="005F6AE1"/>
    <w:rsid w:val="00607AC7"/>
    <w:rsid w:val="00615DA7"/>
    <w:rsid w:val="00617276"/>
    <w:rsid w:val="006211E5"/>
    <w:rsid w:val="0062284A"/>
    <w:rsid w:val="00624C8F"/>
    <w:rsid w:val="006256D3"/>
    <w:rsid w:val="00627BB7"/>
    <w:rsid w:val="00635E05"/>
    <w:rsid w:val="00637C68"/>
    <w:rsid w:val="00641220"/>
    <w:rsid w:val="00643C10"/>
    <w:rsid w:val="00644A13"/>
    <w:rsid w:val="0065136E"/>
    <w:rsid w:val="00660A12"/>
    <w:rsid w:val="00670D71"/>
    <w:rsid w:val="00672D6E"/>
    <w:rsid w:val="00673291"/>
    <w:rsid w:val="00674248"/>
    <w:rsid w:val="00676D65"/>
    <w:rsid w:val="0068433D"/>
    <w:rsid w:val="00686DC0"/>
    <w:rsid w:val="00695F7A"/>
    <w:rsid w:val="00696039"/>
    <w:rsid w:val="006B29E4"/>
    <w:rsid w:val="006B4163"/>
    <w:rsid w:val="006B7BB7"/>
    <w:rsid w:val="006C05A5"/>
    <w:rsid w:val="006C1A08"/>
    <w:rsid w:val="006C1D07"/>
    <w:rsid w:val="006D13AE"/>
    <w:rsid w:val="006D396F"/>
    <w:rsid w:val="006D3CBA"/>
    <w:rsid w:val="006D418B"/>
    <w:rsid w:val="006D6374"/>
    <w:rsid w:val="006E4400"/>
    <w:rsid w:val="006E7605"/>
    <w:rsid w:val="006E7DCE"/>
    <w:rsid w:val="006F3E3D"/>
    <w:rsid w:val="006F6E6B"/>
    <w:rsid w:val="00701C8A"/>
    <w:rsid w:val="0070360E"/>
    <w:rsid w:val="007050FF"/>
    <w:rsid w:val="007061A4"/>
    <w:rsid w:val="00717B75"/>
    <w:rsid w:val="007204E3"/>
    <w:rsid w:val="007236B4"/>
    <w:rsid w:val="00725547"/>
    <w:rsid w:val="00730BC4"/>
    <w:rsid w:val="00730CBE"/>
    <w:rsid w:val="007354BE"/>
    <w:rsid w:val="00737F84"/>
    <w:rsid w:val="0074102A"/>
    <w:rsid w:val="00745918"/>
    <w:rsid w:val="00752764"/>
    <w:rsid w:val="00755495"/>
    <w:rsid w:val="00760117"/>
    <w:rsid w:val="007629C8"/>
    <w:rsid w:val="00764209"/>
    <w:rsid w:val="00766962"/>
    <w:rsid w:val="00775287"/>
    <w:rsid w:val="00776105"/>
    <w:rsid w:val="0077732B"/>
    <w:rsid w:val="0078029B"/>
    <w:rsid w:val="00781BEE"/>
    <w:rsid w:val="00783433"/>
    <w:rsid w:val="00784A28"/>
    <w:rsid w:val="007863D1"/>
    <w:rsid w:val="00786D6D"/>
    <w:rsid w:val="007936EA"/>
    <w:rsid w:val="0079408E"/>
    <w:rsid w:val="007A224B"/>
    <w:rsid w:val="007A30C5"/>
    <w:rsid w:val="007A653C"/>
    <w:rsid w:val="007A78DF"/>
    <w:rsid w:val="007B3669"/>
    <w:rsid w:val="007B4653"/>
    <w:rsid w:val="007B7B47"/>
    <w:rsid w:val="007C267F"/>
    <w:rsid w:val="007D005B"/>
    <w:rsid w:val="007D064F"/>
    <w:rsid w:val="007D33F4"/>
    <w:rsid w:val="007E73AA"/>
    <w:rsid w:val="007F0899"/>
    <w:rsid w:val="007F3ABE"/>
    <w:rsid w:val="007F59B4"/>
    <w:rsid w:val="00800170"/>
    <w:rsid w:val="008023CD"/>
    <w:rsid w:val="00803C20"/>
    <w:rsid w:val="00806CE0"/>
    <w:rsid w:val="00806FDA"/>
    <w:rsid w:val="00812249"/>
    <w:rsid w:val="00812F1D"/>
    <w:rsid w:val="00814323"/>
    <w:rsid w:val="00814B59"/>
    <w:rsid w:val="008155A3"/>
    <w:rsid w:val="00821F47"/>
    <w:rsid w:val="00827551"/>
    <w:rsid w:val="008328E9"/>
    <w:rsid w:val="0083353F"/>
    <w:rsid w:val="00835BCB"/>
    <w:rsid w:val="00835CDC"/>
    <w:rsid w:val="008416FD"/>
    <w:rsid w:val="008445F1"/>
    <w:rsid w:val="008446C3"/>
    <w:rsid w:val="00847429"/>
    <w:rsid w:val="00850B09"/>
    <w:rsid w:val="008514F2"/>
    <w:rsid w:val="008559A3"/>
    <w:rsid w:val="00862C99"/>
    <w:rsid w:val="00863B9D"/>
    <w:rsid w:val="00863BE6"/>
    <w:rsid w:val="008775BC"/>
    <w:rsid w:val="00882F1B"/>
    <w:rsid w:val="00884289"/>
    <w:rsid w:val="008926BA"/>
    <w:rsid w:val="0089648B"/>
    <w:rsid w:val="00896FD6"/>
    <w:rsid w:val="008A219C"/>
    <w:rsid w:val="008A70CE"/>
    <w:rsid w:val="008B313D"/>
    <w:rsid w:val="008C0B07"/>
    <w:rsid w:val="008C25E4"/>
    <w:rsid w:val="008C2DAE"/>
    <w:rsid w:val="008C3149"/>
    <w:rsid w:val="008C3FB1"/>
    <w:rsid w:val="008C6E36"/>
    <w:rsid w:val="008C6E9B"/>
    <w:rsid w:val="008C7187"/>
    <w:rsid w:val="008D713A"/>
    <w:rsid w:val="008D7727"/>
    <w:rsid w:val="008E620B"/>
    <w:rsid w:val="008F43D2"/>
    <w:rsid w:val="008F481B"/>
    <w:rsid w:val="008F4A6B"/>
    <w:rsid w:val="008F7E80"/>
    <w:rsid w:val="009015A7"/>
    <w:rsid w:val="009041D7"/>
    <w:rsid w:val="009058AE"/>
    <w:rsid w:val="009059A9"/>
    <w:rsid w:val="009102AE"/>
    <w:rsid w:val="00913CF1"/>
    <w:rsid w:val="00914232"/>
    <w:rsid w:val="0091521F"/>
    <w:rsid w:val="009217EC"/>
    <w:rsid w:val="0092515E"/>
    <w:rsid w:val="0093047A"/>
    <w:rsid w:val="00930651"/>
    <w:rsid w:val="00930AAE"/>
    <w:rsid w:val="009315CC"/>
    <w:rsid w:val="00933D8C"/>
    <w:rsid w:val="0094052C"/>
    <w:rsid w:val="00942FBD"/>
    <w:rsid w:val="00943A84"/>
    <w:rsid w:val="0094770B"/>
    <w:rsid w:val="00947D4A"/>
    <w:rsid w:val="00951D88"/>
    <w:rsid w:val="009520FB"/>
    <w:rsid w:val="0095712D"/>
    <w:rsid w:val="00957260"/>
    <w:rsid w:val="00965BFF"/>
    <w:rsid w:val="00970C63"/>
    <w:rsid w:val="00971CD2"/>
    <w:rsid w:val="00972C4F"/>
    <w:rsid w:val="00977A64"/>
    <w:rsid w:val="00977E6E"/>
    <w:rsid w:val="00981341"/>
    <w:rsid w:val="00994023"/>
    <w:rsid w:val="00994B64"/>
    <w:rsid w:val="009A141C"/>
    <w:rsid w:val="009A2A51"/>
    <w:rsid w:val="009A515B"/>
    <w:rsid w:val="009B2267"/>
    <w:rsid w:val="009B2FCA"/>
    <w:rsid w:val="009B4DDB"/>
    <w:rsid w:val="009C1017"/>
    <w:rsid w:val="009C42FF"/>
    <w:rsid w:val="009C573B"/>
    <w:rsid w:val="009D5B72"/>
    <w:rsid w:val="009E0AE8"/>
    <w:rsid w:val="009E495F"/>
    <w:rsid w:val="009E5374"/>
    <w:rsid w:val="009F1E3B"/>
    <w:rsid w:val="009F345D"/>
    <w:rsid w:val="009F7D89"/>
    <w:rsid w:val="00A108EA"/>
    <w:rsid w:val="00A11BA8"/>
    <w:rsid w:val="00A13218"/>
    <w:rsid w:val="00A134B7"/>
    <w:rsid w:val="00A1767A"/>
    <w:rsid w:val="00A217FF"/>
    <w:rsid w:val="00A227A3"/>
    <w:rsid w:val="00A22E7B"/>
    <w:rsid w:val="00A26E01"/>
    <w:rsid w:val="00A278C9"/>
    <w:rsid w:val="00A31639"/>
    <w:rsid w:val="00A433E8"/>
    <w:rsid w:val="00A50362"/>
    <w:rsid w:val="00A550B1"/>
    <w:rsid w:val="00A60635"/>
    <w:rsid w:val="00A60B73"/>
    <w:rsid w:val="00A616A2"/>
    <w:rsid w:val="00A61FC0"/>
    <w:rsid w:val="00A62ABF"/>
    <w:rsid w:val="00A645B4"/>
    <w:rsid w:val="00A6664E"/>
    <w:rsid w:val="00A67F2E"/>
    <w:rsid w:val="00A75E4E"/>
    <w:rsid w:val="00A768EA"/>
    <w:rsid w:val="00A80080"/>
    <w:rsid w:val="00A81CC0"/>
    <w:rsid w:val="00A87DBC"/>
    <w:rsid w:val="00A90275"/>
    <w:rsid w:val="00A91565"/>
    <w:rsid w:val="00AA063C"/>
    <w:rsid w:val="00AA1858"/>
    <w:rsid w:val="00AA24E2"/>
    <w:rsid w:val="00AA6EAE"/>
    <w:rsid w:val="00AB3004"/>
    <w:rsid w:val="00AB4951"/>
    <w:rsid w:val="00AC2E85"/>
    <w:rsid w:val="00AD65E1"/>
    <w:rsid w:val="00AE45E0"/>
    <w:rsid w:val="00AE4EEA"/>
    <w:rsid w:val="00AE7A58"/>
    <w:rsid w:val="00AF2796"/>
    <w:rsid w:val="00AF3FA8"/>
    <w:rsid w:val="00B02FB3"/>
    <w:rsid w:val="00B037AE"/>
    <w:rsid w:val="00B04521"/>
    <w:rsid w:val="00B25283"/>
    <w:rsid w:val="00B315A0"/>
    <w:rsid w:val="00B32E40"/>
    <w:rsid w:val="00B34A18"/>
    <w:rsid w:val="00B36736"/>
    <w:rsid w:val="00B41A85"/>
    <w:rsid w:val="00B468CE"/>
    <w:rsid w:val="00B52CCE"/>
    <w:rsid w:val="00B54F35"/>
    <w:rsid w:val="00B579CB"/>
    <w:rsid w:val="00B626CD"/>
    <w:rsid w:val="00B63637"/>
    <w:rsid w:val="00B70083"/>
    <w:rsid w:val="00B7282A"/>
    <w:rsid w:val="00B73D0E"/>
    <w:rsid w:val="00B8058B"/>
    <w:rsid w:val="00B83B28"/>
    <w:rsid w:val="00B87A76"/>
    <w:rsid w:val="00B87D61"/>
    <w:rsid w:val="00B925C8"/>
    <w:rsid w:val="00B9303A"/>
    <w:rsid w:val="00B961C4"/>
    <w:rsid w:val="00BA3F66"/>
    <w:rsid w:val="00BB28F6"/>
    <w:rsid w:val="00BB3B4B"/>
    <w:rsid w:val="00BC2609"/>
    <w:rsid w:val="00BC26DD"/>
    <w:rsid w:val="00BC294C"/>
    <w:rsid w:val="00BC4468"/>
    <w:rsid w:val="00BD2743"/>
    <w:rsid w:val="00BD39A9"/>
    <w:rsid w:val="00BD4CE7"/>
    <w:rsid w:val="00BE5629"/>
    <w:rsid w:val="00BE66BA"/>
    <w:rsid w:val="00BE7375"/>
    <w:rsid w:val="00BE764D"/>
    <w:rsid w:val="00BF28C7"/>
    <w:rsid w:val="00BF5DD8"/>
    <w:rsid w:val="00BF73A0"/>
    <w:rsid w:val="00C002AE"/>
    <w:rsid w:val="00C025F8"/>
    <w:rsid w:val="00C03DD1"/>
    <w:rsid w:val="00C12DA1"/>
    <w:rsid w:val="00C13145"/>
    <w:rsid w:val="00C13A7C"/>
    <w:rsid w:val="00C13E62"/>
    <w:rsid w:val="00C16838"/>
    <w:rsid w:val="00C16975"/>
    <w:rsid w:val="00C16FCB"/>
    <w:rsid w:val="00C2135F"/>
    <w:rsid w:val="00C24936"/>
    <w:rsid w:val="00C31D49"/>
    <w:rsid w:val="00C34785"/>
    <w:rsid w:val="00C40627"/>
    <w:rsid w:val="00C40DCC"/>
    <w:rsid w:val="00C4117F"/>
    <w:rsid w:val="00C527AA"/>
    <w:rsid w:val="00C61012"/>
    <w:rsid w:val="00C6757F"/>
    <w:rsid w:val="00C6766B"/>
    <w:rsid w:val="00C67C97"/>
    <w:rsid w:val="00C70704"/>
    <w:rsid w:val="00C70EC0"/>
    <w:rsid w:val="00C7135A"/>
    <w:rsid w:val="00C72A9C"/>
    <w:rsid w:val="00C7587C"/>
    <w:rsid w:val="00C83176"/>
    <w:rsid w:val="00C83C4D"/>
    <w:rsid w:val="00C83F07"/>
    <w:rsid w:val="00C86091"/>
    <w:rsid w:val="00CA1CBE"/>
    <w:rsid w:val="00CA3EAA"/>
    <w:rsid w:val="00CA5A98"/>
    <w:rsid w:val="00CB2EC4"/>
    <w:rsid w:val="00CB3F62"/>
    <w:rsid w:val="00CC23C3"/>
    <w:rsid w:val="00CD5DAF"/>
    <w:rsid w:val="00CD7225"/>
    <w:rsid w:val="00CE199C"/>
    <w:rsid w:val="00CE3E0B"/>
    <w:rsid w:val="00CE4746"/>
    <w:rsid w:val="00CE4F89"/>
    <w:rsid w:val="00CE7104"/>
    <w:rsid w:val="00CE750F"/>
    <w:rsid w:val="00CE778B"/>
    <w:rsid w:val="00CF1498"/>
    <w:rsid w:val="00CF4437"/>
    <w:rsid w:val="00CF6A1A"/>
    <w:rsid w:val="00D06197"/>
    <w:rsid w:val="00D07DDD"/>
    <w:rsid w:val="00D1039A"/>
    <w:rsid w:val="00D12474"/>
    <w:rsid w:val="00D1536F"/>
    <w:rsid w:val="00D15858"/>
    <w:rsid w:val="00D160CB"/>
    <w:rsid w:val="00D220C7"/>
    <w:rsid w:val="00D245A1"/>
    <w:rsid w:val="00D24CB3"/>
    <w:rsid w:val="00D33681"/>
    <w:rsid w:val="00D36152"/>
    <w:rsid w:val="00D3680D"/>
    <w:rsid w:val="00D41049"/>
    <w:rsid w:val="00D415E2"/>
    <w:rsid w:val="00D41F92"/>
    <w:rsid w:val="00D42055"/>
    <w:rsid w:val="00D47119"/>
    <w:rsid w:val="00D522EF"/>
    <w:rsid w:val="00D53015"/>
    <w:rsid w:val="00D5668E"/>
    <w:rsid w:val="00D57BC7"/>
    <w:rsid w:val="00D60B3D"/>
    <w:rsid w:val="00D6132D"/>
    <w:rsid w:val="00D647C3"/>
    <w:rsid w:val="00D6650E"/>
    <w:rsid w:val="00D7314D"/>
    <w:rsid w:val="00D77809"/>
    <w:rsid w:val="00D8263D"/>
    <w:rsid w:val="00D83D91"/>
    <w:rsid w:val="00D86F01"/>
    <w:rsid w:val="00D9337B"/>
    <w:rsid w:val="00D9386E"/>
    <w:rsid w:val="00D9633A"/>
    <w:rsid w:val="00DA6C88"/>
    <w:rsid w:val="00DA7027"/>
    <w:rsid w:val="00DA71FC"/>
    <w:rsid w:val="00DB30B4"/>
    <w:rsid w:val="00DB4C0C"/>
    <w:rsid w:val="00DC0EBF"/>
    <w:rsid w:val="00DC18B2"/>
    <w:rsid w:val="00DC395A"/>
    <w:rsid w:val="00DC3D93"/>
    <w:rsid w:val="00DD4C66"/>
    <w:rsid w:val="00DD4FC4"/>
    <w:rsid w:val="00DF1BDE"/>
    <w:rsid w:val="00DF219B"/>
    <w:rsid w:val="00DF2386"/>
    <w:rsid w:val="00DF7FE7"/>
    <w:rsid w:val="00E00E9F"/>
    <w:rsid w:val="00E02654"/>
    <w:rsid w:val="00E05747"/>
    <w:rsid w:val="00E100B9"/>
    <w:rsid w:val="00E16CC7"/>
    <w:rsid w:val="00E17A64"/>
    <w:rsid w:val="00E17EE6"/>
    <w:rsid w:val="00E20094"/>
    <w:rsid w:val="00E3024A"/>
    <w:rsid w:val="00E43885"/>
    <w:rsid w:val="00E444FC"/>
    <w:rsid w:val="00E44F1E"/>
    <w:rsid w:val="00E46367"/>
    <w:rsid w:val="00E50224"/>
    <w:rsid w:val="00E559B0"/>
    <w:rsid w:val="00E57D9D"/>
    <w:rsid w:val="00E631A8"/>
    <w:rsid w:val="00E63F0B"/>
    <w:rsid w:val="00E642B6"/>
    <w:rsid w:val="00E66E9B"/>
    <w:rsid w:val="00E745FC"/>
    <w:rsid w:val="00E75CA2"/>
    <w:rsid w:val="00E76632"/>
    <w:rsid w:val="00E77109"/>
    <w:rsid w:val="00E777F3"/>
    <w:rsid w:val="00E9040B"/>
    <w:rsid w:val="00E913BF"/>
    <w:rsid w:val="00E96B53"/>
    <w:rsid w:val="00EA22B9"/>
    <w:rsid w:val="00EA3318"/>
    <w:rsid w:val="00EA3A7F"/>
    <w:rsid w:val="00EB3CA7"/>
    <w:rsid w:val="00EC588F"/>
    <w:rsid w:val="00ED1012"/>
    <w:rsid w:val="00ED1CB9"/>
    <w:rsid w:val="00ED2630"/>
    <w:rsid w:val="00ED3AEB"/>
    <w:rsid w:val="00ED4036"/>
    <w:rsid w:val="00EE2107"/>
    <w:rsid w:val="00EE60AF"/>
    <w:rsid w:val="00EE7537"/>
    <w:rsid w:val="00EF42CE"/>
    <w:rsid w:val="00F078F1"/>
    <w:rsid w:val="00F126E5"/>
    <w:rsid w:val="00F12F74"/>
    <w:rsid w:val="00F136F5"/>
    <w:rsid w:val="00F14404"/>
    <w:rsid w:val="00F17C29"/>
    <w:rsid w:val="00F2372D"/>
    <w:rsid w:val="00F26C2E"/>
    <w:rsid w:val="00F32C70"/>
    <w:rsid w:val="00F32D03"/>
    <w:rsid w:val="00F336F0"/>
    <w:rsid w:val="00F344DE"/>
    <w:rsid w:val="00F52E89"/>
    <w:rsid w:val="00F56BB7"/>
    <w:rsid w:val="00F634BC"/>
    <w:rsid w:val="00F7138B"/>
    <w:rsid w:val="00F73E71"/>
    <w:rsid w:val="00F73EE2"/>
    <w:rsid w:val="00F776A9"/>
    <w:rsid w:val="00F8401A"/>
    <w:rsid w:val="00F847E5"/>
    <w:rsid w:val="00F92888"/>
    <w:rsid w:val="00F97D89"/>
    <w:rsid w:val="00F97E9B"/>
    <w:rsid w:val="00FB6EE7"/>
    <w:rsid w:val="00FB70D8"/>
    <w:rsid w:val="00FC42BB"/>
    <w:rsid w:val="00FC7A32"/>
    <w:rsid w:val="00FD27EB"/>
    <w:rsid w:val="00FD59B1"/>
    <w:rsid w:val="00FD5C6E"/>
    <w:rsid w:val="00FD692A"/>
    <w:rsid w:val="00FE188B"/>
    <w:rsid w:val="00FE49DA"/>
    <w:rsid w:val="00FF1C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7E73F"/>
  <w15:docId w15:val="{73BD5DDE-FF9D-42CD-9810-707A6D1A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rPr>
  </w:style>
  <w:style w:type="character" w:customStyle="1" w:styleId="MGfulltextChar">
    <w:name w:val="MG_fulltext Char"/>
    <w:basedOn w:val="DefaultParagraphFont"/>
    <w:link w:val="MGfulltext"/>
    <w:rsid w:val="00B32E40"/>
    <w:rPr>
      <w:rFonts w:ascii="Arial" w:eastAsia="Times New Roman" w:hAnsi="Arial" w:cs="Arial"/>
      <w:sz w:val="24"/>
      <w:szCs w:val="24"/>
      <w:lang w:val="fr-FR"/>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5C0D-B67E-441E-B855-D16178920765}">
  <ds:schemaRefs>
    <ds:schemaRef ds:uri="http://schemas.microsoft.com/office/2006/documentManagement/types"/>
    <ds:schemaRef ds:uri="http://purl.org/dc/dcmitype/"/>
    <ds:schemaRef ds:uri="8c0b6b05-eb82-4bda-97e8-cd82d0d6b453"/>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88977C5-E081-4E25-B79A-D23A20F8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4.xml><?xml version="1.0" encoding="utf-8"?>
<ds:datastoreItem xmlns:ds="http://schemas.openxmlformats.org/officeDocument/2006/customXml" ds:itemID="{1971E2E0-9E58-481C-980F-957892AC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7511</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6</cp:revision>
  <cp:lastPrinted>2022-03-15T13:39:00Z</cp:lastPrinted>
  <dcterms:created xsi:type="dcterms:W3CDTF">2022-03-24T15:58:00Z</dcterms:created>
  <dcterms:modified xsi:type="dcterms:W3CDTF">2022-03-24T17:25:00Z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