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4DD6D" w14:textId="2E40EF2C" w:rsidR="00275F13" w:rsidRDefault="0093047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THE </w:t>
      </w:r>
      <w:r w:rsidR="00DF2386">
        <w:rPr>
          <w:bCs/>
          <w:sz w:val="24"/>
          <w:szCs w:val="24"/>
        </w:rPr>
        <w:t xml:space="preserve">CONVENTION ON WETLANDS </w:t>
      </w:r>
    </w:p>
    <w:p w14:paraId="144F5380" w14:textId="00A3DE16" w:rsidR="00DF2386" w:rsidRDefault="0093047A"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5</w:t>
      </w:r>
      <w:r w:rsidR="00D7314D">
        <w:rPr>
          <w:bCs/>
          <w:sz w:val="24"/>
          <w:szCs w:val="24"/>
        </w:rPr>
        <w:t>9</w:t>
      </w:r>
      <w:r>
        <w:rPr>
          <w:bCs/>
          <w:sz w:val="24"/>
          <w:szCs w:val="24"/>
        </w:rPr>
        <w:t xml:space="preserve">th </w:t>
      </w:r>
      <w:r w:rsidR="00DF2386">
        <w:rPr>
          <w:bCs/>
          <w:sz w:val="24"/>
          <w:szCs w:val="24"/>
        </w:rPr>
        <w:t>Meeting of the Standing Committee</w:t>
      </w:r>
    </w:p>
    <w:p w14:paraId="298B8FBE" w14:textId="7A70C316" w:rsidR="00D15858" w:rsidRDefault="00D15858"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Resumed session</w:t>
      </w:r>
    </w:p>
    <w:p w14:paraId="4243121E" w14:textId="0A362C35" w:rsidR="00DF2386" w:rsidRDefault="00DF2386" w:rsidP="00014168">
      <w:pPr>
        <w:pBdr>
          <w:top w:val="single" w:sz="12" w:space="0" w:color="auto" w:shadow="1"/>
          <w:left w:val="single" w:sz="12" w:space="4" w:color="auto" w:shadow="1"/>
          <w:bottom w:val="single" w:sz="12" w:space="1" w:color="auto" w:shadow="1"/>
          <w:right w:val="single" w:sz="12" w:space="7" w:color="auto" w:shadow="1"/>
        </w:pBdr>
        <w:ind w:right="2790"/>
        <w:rPr>
          <w:bCs/>
          <w:sz w:val="24"/>
          <w:szCs w:val="24"/>
        </w:rPr>
      </w:pPr>
      <w:r>
        <w:rPr>
          <w:bCs/>
          <w:sz w:val="24"/>
          <w:szCs w:val="24"/>
        </w:rPr>
        <w:t xml:space="preserve">Gland, Switzerland, </w:t>
      </w:r>
      <w:r w:rsidR="00D15858">
        <w:rPr>
          <w:bCs/>
          <w:sz w:val="24"/>
          <w:szCs w:val="24"/>
        </w:rPr>
        <w:t>23-27 May</w:t>
      </w:r>
      <w:r w:rsidR="00191794">
        <w:rPr>
          <w:bCs/>
          <w:sz w:val="24"/>
          <w:szCs w:val="24"/>
        </w:rPr>
        <w:t xml:space="preserve"> 2022</w:t>
      </w:r>
    </w:p>
    <w:p w14:paraId="221AE0B7" w14:textId="77777777" w:rsidR="00DF2386" w:rsidRDefault="00DF2386" w:rsidP="00014168">
      <w:pPr>
        <w:outlineLvl w:val="0"/>
        <w:rPr>
          <w:b/>
        </w:rPr>
      </w:pPr>
    </w:p>
    <w:p w14:paraId="7C2BA1D2" w14:textId="19299DF8" w:rsidR="00DF2386" w:rsidRPr="00D245A1" w:rsidRDefault="00A26E01" w:rsidP="00014168">
      <w:pPr>
        <w:jc w:val="right"/>
        <w:rPr>
          <w:rFonts w:cs="Arial"/>
          <w:sz w:val="28"/>
          <w:szCs w:val="28"/>
        </w:rPr>
      </w:pPr>
      <w:r>
        <w:rPr>
          <w:rFonts w:cs="Arial"/>
          <w:b/>
          <w:sz w:val="28"/>
          <w:szCs w:val="28"/>
        </w:rPr>
        <w:t>SC59</w:t>
      </w:r>
      <w:r w:rsidR="00D15858">
        <w:rPr>
          <w:rFonts w:cs="Arial"/>
          <w:b/>
          <w:sz w:val="28"/>
          <w:szCs w:val="28"/>
        </w:rPr>
        <w:t>/2022</w:t>
      </w:r>
      <w:r w:rsidR="00D7314D">
        <w:rPr>
          <w:rFonts w:cs="Arial"/>
          <w:b/>
          <w:sz w:val="28"/>
          <w:szCs w:val="28"/>
        </w:rPr>
        <w:t xml:space="preserve"> Doc.</w:t>
      </w:r>
      <w:r>
        <w:rPr>
          <w:rFonts w:cs="Arial"/>
          <w:b/>
          <w:sz w:val="28"/>
          <w:szCs w:val="28"/>
        </w:rPr>
        <w:t>8</w:t>
      </w:r>
      <w:r w:rsidR="009A515B">
        <w:rPr>
          <w:rFonts w:cs="Arial"/>
          <w:b/>
          <w:sz w:val="28"/>
          <w:szCs w:val="28"/>
        </w:rPr>
        <w:t>.3</w:t>
      </w:r>
      <w:r w:rsidR="00D245A1">
        <w:rPr>
          <w:rFonts w:cs="Arial"/>
          <w:b/>
          <w:sz w:val="28"/>
          <w:szCs w:val="28"/>
        </w:rPr>
        <w:t xml:space="preserve"> </w:t>
      </w:r>
    </w:p>
    <w:p w14:paraId="30EBF139" w14:textId="77777777" w:rsidR="00DF2386" w:rsidRDefault="00DF2386" w:rsidP="00951D88">
      <w:pPr>
        <w:ind w:left="0" w:firstLine="0"/>
        <w:rPr>
          <w:rFonts w:cs="Arial"/>
          <w:b/>
          <w:sz w:val="28"/>
          <w:szCs w:val="28"/>
        </w:rPr>
      </w:pPr>
    </w:p>
    <w:p w14:paraId="04B07EC8" w14:textId="78D3FFFA" w:rsidR="00DF2386" w:rsidRDefault="00AA1858" w:rsidP="00951D88">
      <w:pPr>
        <w:ind w:left="0" w:firstLine="0"/>
        <w:jc w:val="center"/>
        <w:rPr>
          <w:rFonts w:cs="Arial"/>
          <w:b/>
          <w:sz w:val="28"/>
          <w:szCs w:val="28"/>
        </w:rPr>
      </w:pPr>
      <w:r>
        <w:rPr>
          <w:rFonts w:cs="Arial"/>
          <w:b/>
          <w:sz w:val="28"/>
          <w:szCs w:val="28"/>
        </w:rPr>
        <w:t xml:space="preserve">Budget scenarios for </w:t>
      </w:r>
      <w:r w:rsidR="002E70AF">
        <w:rPr>
          <w:rFonts w:cs="Arial"/>
          <w:b/>
          <w:sz w:val="28"/>
          <w:szCs w:val="28"/>
        </w:rPr>
        <w:t>2023-2025</w:t>
      </w:r>
      <w:r w:rsidR="00A26E01">
        <w:rPr>
          <w:rFonts w:cs="Arial"/>
          <w:b/>
          <w:sz w:val="28"/>
          <w:szCs w:val="28"/>
        </w:rPr>
        <w:t xml:space="preserve"> </w:t>
      </w:r>
      <w:r>
        <w:rPr>
          <w:rFonts w:cs="Arial"/>
          <w:b/>
          <w:sz w:val="28"/>
          <w:szCs w:val="28"/>
        </w:rPr>
        <w:t xml:space="preserve">and </w:t>
      </w:r>
      <w:r w:rsidR="001C22F2">
        <w:rPr>
          <w:rFonts w:cs="Arial"/>
          <w:b/>
          <w:sz w:val="28"/>
          <w:szCs w:val="28"/>
        </w:rPr>
        <w:br/>
      </w:r>
      <w:r w:rsidR="009A515B">
        <w:rPr>
          <w:rFonts w:cs="Arial"/>
          <w:b/>
          <w:sz w:val="28"/>
          <w:szCs w:val="28"/>
        </w:rPr>
        <w:t>d</w:t>
      </w:r>
      <w:r>
        <w:rPr>
          <w:rFonts w:cs="Arial"/>
          <w:b/>
          <w:sz w:val="28"/>
          <w:szCs w:val="28"/>
        </w:rPr>
        <w:t xml:space="preserve">raft </w:t>
      </w:r>
      <w:r w:rsidR="009A515B">
        <w:rPr>
          <w:rFonts w:cs="Arial"/>
          <w:b/>
          <w:sz w:val="28"/>
          <w:szCs w:val="28"/>
        </w:rPr>
        <w:t>r</w:t>
      </w:r>
      <w:r>
        <w:rPr>
          <w:rFonts w:cs="Arial"/>
          <w:b/>
          <w:sz w:val="28"/>
          <w:szCs w:val="28"/>
        </w:rPr>
        <w:t>esolution on financial and budgetary matters</w:t>
      </w:r>
    </w:p>
    <w:p w14:paraId="01FC6F4A" w14:textId="77777777" w:rsidR="00DF2386" w:rsidRDefault="00DF2386" w:rsidP="00014168">
      <w:pPr>
        <w:rPr>
          <w:rFonts w:ascii="Garamond" w:hAnsi="Garamond" w:cs="Arial"/>
        </w:rPr>
      </w:pPr>
    </w:p>
    <w:p w14:paraId="4C4618F0" w14:textId="77777777" w:rsidR="000C2489" w:rsidRDefault="000C2489" w:rsidP="00014168">
      <w:pPr>
        <w:autoSpaceDE w:val="0"/>
        <w:autoSpaceDN w:val="0"/>
        <w:adjustRightInd w:val="0"/>
        <w:rPr>
          <w:rFonts w:asciiTheme="minorHAnsi" w:eastAsiaTheme="minorHAnsi" w:hAnsiTheme="minorHAnsi" w:cs="Calibri-Bold"/>
          <w:b/>
          <w:bCs/>
        </w:rPr>
      </w:pPr>
      <w:r>
        <w:rPr>
          <w:noProof/>
          <w:lang w:eastAsia="en-GB"/>
        </w:rPr>
        <mc:AlternateContent>
          <mc:Choice Requires="wps">
            <w:drawing>
              <wp:inline distT="0" distB="0" distL="0" distR="0" wp14:anchorId="699B7A8C" wp14:editId="0CB93E61">
                <wp:extent cx="5731510" cy="1938435"/>
                <wp:effectExtent l="0" t="0" r="2159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38435"/>
                        </a:xfrm>
                        <a:prstGeom prst="rect">
                          <a:avLst/>
                        </a:prstGeom>
                        <a:solidFill>
                          <a:srgbClr val="FFFFFF"/>
                        </a:solidFill>
                        <a:ln w="9525">
                          <a:solidFill>
                            <a:srgbClr val="000000"/>
                          </a:solidFill>
                          <a:miter lim="800000"/>
                          <a:headEnd/>
                          <a:tailEnd/>
                        </a:ln>
                      </wps:spPr>
                      <wps:txbx>
                        <w:txbxContent>
                          <w:p w14:paraId="0EEBC85D" w14:textId="77777777" w:rsidR="00333314" w:rsidRDefault="00333314" w:rsidP="000C2489">
                            <w:pPr>
                              <w:rPr>
                                <w:b/>
                                <w:bCs/>
                              </w:rPr>
                            </w:pPr>
                            <w:r>
                              <w:rPr>
                                <w:b/>
                                <w:bCs/>
                              </w:rPr>
                              <w:t xml:space="preserve">Actions requested: </w:t>
                            </w:r>
                          </w:p>
                          <w:p w14:paraId="06726245" w14:textId="77777777" w:rsidR="00333314" w:rsidRDefault="00333314" w:rsidP="000C2489">
                            <w:pPr>
                              <w:pStyle w:val="ColorfulList-Accent11"/>
                              <w:ind w:left="0"/>
                            </w:pPr>
                          </w:p>
                          <w:p w14:paraId="6D30934E" w14:textId="77777777" w:rsidR="00333314" w:rsidRDefault="00333314" w:rsidP="00275F13">
                            <w:pPr>
                              <w:pStyle w:val="ColorfulList-Accent11"/>
                              <w:ind w:left="0" w:firstLine="0"/>
                              <w:rPr>
                                <w:rFonts w:cs="Calibri"/>
                              </w:rPr>
                            </w:pPr>
                            <w:r>
                              <w:t xml:space="preserve">The Standing Committee is </w:t>
                            </w:r>
                            <w:r>
                              <w:rPr>
                                <w:rFonts w:cs="Calibri"/>
                              </w:rPr>
                              <w:t>invited to:</w:t>
                            </w:r>
                          </w:p>
                          <w:p w14:paraId="7B9017E9" w14:textId="77777777" w:rsidR="00333314" w:rsidRDefault="00333314" w:rsidP="000C2489">
                            <w:pPr>
                              <w:pStyle w:val="ColorfulList-Accent11"/>
                              <w:ind w:left="0"/>
                              <w:rPr>
                                <w:rFonts w:cs="Calibri"/>
                              </w:rPr>
                            </w:pPr>
                          </w:p>
                          <w:p w14:paraId="61F23A28" w14:textId="77777777" w:rsidR="00333314" w:rsidRPr="00951D88" w:rsidRDefault="00333314" w:rsidP="00951D88">
                            <w:pPr>
                              <w:pStyle w:val="ColorfulList-Accent11"/>
                              <w:ind w:left="850"/>
                              <w:rPr>
                                <w:rFonts w:cs="Calibri"/>
                              </w:rPr>
                            </w:pPr>
                            <w:r>
                              <w:rPr>
                                <w:rFonts w:cs="Calibri"/>
                              </w:rPr>
                              <w:t>i.</w:t>
                            </w:r>
                            <w:r>
                              <w:rPr>
                                <w:rFonts w:cs="Calibri"/>
                              </w:rPr>
                              <w:tab/>
                            </w:r>
                            <w:r w:rsidRPr="00F32D03">
                              <w:rPr>
                                <w:rFonts w:cs="Calibri"/>
                              </w:rPr>
                              <w:t>take note of</w:t>
                            </w:r>
                            <w:r>
                              <w:rPr>
                                <w:rFonts w:cs="Calibri"/>
                              </w:rPr>
                              <w:t xml:space="preserve"> the contents of this report</w:t>
                            </w:r>
                            <w:r w:rsidRPr="00F32D03">
                              <w:rPr>
                                <w:rFonts w:cs="Calibri"/>
                              </w:rPr>
                              <w:t xml:space="preserve">; </w:t>
                            </w:r>
                          </w:p>
                          <w:p w14:paraId="24ADFBC1" w14:textId="77777777" w:rsidR="00333314" w:rsidRPr="00F32D03" w:rsidRDefault="00333314" w:rsidP="00275F13">
                            <w:pPr>
                              <w:pStyle w:val="ColorfulList-Accent11"/>
                              <w:ind w:left="-425" w:firstLine="0"/>
                            </w:pPr>
                          </w:p>
                          <w:p w14:paraId="419FF22E" w14:textId="5316BB2B" w:rsidR="00333314" w:rsidRPr="00F32D03" w:rsidRDefault="00333314" w:rsidP="00951D88">
                            <w:pPr>
                              <w:pStyle w:val="ColorfulList-Accent11"/>
                              <w:ind w:left="850"/>
                            </w:pPr>
                            <w:r>
                              <w:rPr>
                                <w:rFonts w:cs="Calibri"/>
                              </w:rPr>
                              <w:t>ii.</w:t>
                            </w:r>
                            <w:r>
                              <w:rPr>
                                <w:rFonts w:cs="Calibri"/>
                              </w:rPr>
                              <w:tab/>
                              <w:t>confirm the budget scenarios to be presented at the 14</w:t>
                            </w:r>
                            <w:r w:rsidRPr="00366633">
                              <w:rPr>
                                <w:rFonts w:cs="Calibri"/>
                              </w:rPr>
                              <w:t>th</w:t>
                            </w:r>
                            <w:r>
                              <w:rPr>
                                <w:rFonts w:cs="Calibri"/>
                              </w:rPr>
                              <w:t xml:space="preserve"> meeting of the Conference of the Contracting Parties;</w:t>
                            </w:r>
                          </w:p>
                          <w:p w14:paraId="301AAB19" w14:textId="77777777" w:rsidR="00333314" w:rsidRPr="00F32D03" w:rsidRDefault="00333314" w:rsidP="00275F13">
                            <w:pPr>
                              <w:pStyle w:val="ColorfulList-Accent11"/>
                              <w:ind w:left="-425" w:firstLine="0"/>
                            </w:pPr>
                          </w:p>
                          <w:p w14:paraId="0A22B680" w14:textId="77777777" w:rsidR="00333314" w:rsidRPr="00951D88" w:rsidRDefault="00333314" w:rsidP="00951D88">
                            <w:pPr>
                              <w:pStyle w:val="ColorfulList-Accent11"/>
                              <w:ind w:left="850"/>
                              <w:rPr>
                                <w:rFonts w:cs="Calibri"/>
                              </w:rPr>
                            </w:pPr>
                            <w:r>
                              <w:rPr>
                                <w:rFonts w:cs="Calibri"/>
                              </w:rPr>
                              <w:t>iii.</w:t>
                            </w:r>
                            <w:r>
                              <w:rPr>
                                <w:rFonts w:cs="Calibri"/>
                              </w:rPr>
                              <w:tab/>
                              <w:t>consider the proposed draft resolution on financial and budgetary matters.</w:t>
                            </w:r>
                          </w:p>
                        </w:txbxContent>
                      </wps:txbx>
                      <wps:bodyPr rot="0" vert="horz" wrap="square" lIns="91440" tIns="45720" rIns="91440" bIns="45720" anchor="t" anchorCtr="0" upright="1">
                        <a:noAutofit/>
                      </wps:bodyPr>
                    </wps:wsp>
                  </a:graphicData>
                </a:graphic>
              </wp:inline>
            </w:drawing>
          </mc:Choice>
          <mc:Fallback>
            <w:pict>
              <v:shapetype w14:anchorId="699B7A8C" id="_x0000_t202" coordsize="21600,21600" o:spt="202" path="m,l,21600r21600,l21600,xe">
                <v:stroke joinstyle="miter"/>
                <v:path gradientshapeok="t" o:connecttype="rect"/>
              </v:shapetype>
              <v:shape id="Text Box 1" o:spid="_x0000_s1026" type="#_x0000_t202" style="width:451.3pt;height:1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">
                <v:textbox>
                  <w:txbxContent>
                    <w:p w14:paraId="0EEBC85D" w14:textId="77777777" w:rsidR="00333314" w:rsidRDefault="00333314" w:rsidP="000C2489">
                      <w:pPr>
                        <w:rPr>
                          <w:b/>
                          <w:bCs/>
                        </w:rPr>
                      </w:pPr>
                      <w:r>
                        <w:rPr>
                          <w:b/>
                          <w:bCs/>
                        </w:rPr>
                        <w:t xml:space="preserve">Actions requested: </w:t>
                      </w:r>
                    </w:p>
                    <w:p w14:paraId="06726245" w14:textId="77777777" w:rsidR="00333314" w:rsidRDefault="00333314" w:rsidP="000C2489">
                      <w:pPr>
                        <w:pStyle w:val="ColorfulList-Accent11"/>
                        <w:ind w:left="0"/>
                      </w:pPr>
                    </w:p>
                    <w:p w14:paraId="6D30934E" w14:textId="77777777" w:rsidR="00333314" w:rsidRDefault="00333314" w:rsidP="00275F13">
                      <w:pPr>
                        <w:pStyle w:val="ColorfulList-Accent11"/>
                        <w:ind w:left="0" w:firstLine="0"/>
                        <w:rPr>
                          <w:rFonts w:cs="Calibri"/>
                        </w:rPr>
                      </w:pPr>
                      <w:r>
                        <w:t xml:space="preserve">The Standing Committee is </w:t>
                      </w:r>
                      <w:r>
                        <w:rPr>
                          <w:rFonts w:cs="Calibri"/>
                        </w:rPr>
                        <w:t>invited to:</w:t>
                      </w:r>
                    </w:p>
                    <w:p w14:paraId="7B9017E9" w14:textId="77777777" w:rsidR="00333314" w:rsidRDefault="00333314" w:rsidP="000C2489">
                      <w:pPr>
                        <w:pStyle w:val="ColorfulList-Accent11"/>
                        <w:ind w:left="0"/>
                        <w:rPr>
                          <w:rFonts w:cs="Calibri"/>
                        </w:rPr>
                      </w:pPr>
                    </w:p>
                    <w:p w14:paraId="61F23A28" w14:textId="77777777" w:rsidR="00333314" w:rsidRPr="00951D88" w:rsidRDefault="00333314" w:rsidP="00951D88">
                      <w:pPr>
                        <w:pStyle w:val="ColorfulList-Accent11"/>
                        <w:ind w:left="850"/>
                        <w:rPr>
                          <w:rFonts w:cs="Calibri"/>
                        </w:rPr>
                      </w:pPr>
                      <w:r>
                        <w:rPr>
                          <w:rFonts w:cs="Calibri"/>
                        </w:rPr>
                        <w:t>i.</w:t>
                      </w:r>
                      <w:r>
                        <w:rPr>
                          <w:rFonts w:cs="Calibri"/>
                        </w:rPr>
                        <w:tab/>
                      </w:r>
                      <w:r w:rsidRPr="00F32D03">
                        <w:rPr>
                          <w:rFonts w:cs="Calibri"/>
                        </w:rPr>
                        <w:t>take note of</w:t>
                      </w:r>
                      <w:r>
                        <w:rPr>
                          <w:rFonts w:cs="Calibri"/>
                        </w:rPr>
                        <w:t xml:space="preserve"> the contents of this report</w:t>
                      </w:r>
                      <w:r w:rsidRPr="00F32D03">
                        <w:rPr>
                          <w:rFonts w:cs="Calibri"/>
                        </w:rPr>
                        <w:t xml:space="preserve">; </w:t>
                      </w:r>
                    </w:p>
                    <w:p w14:paraId="24ADFBC1" w14:textId="77777777" w:rsidR="00333314" w:rsidRPr="00F32D03" w:rsidRDefault="00333314" w:rsidP="00275F13">
                      <w:pPr>
                        <w:pStyle w:val="ColorfulList-Accent11"/>
                        <w:ind w:left="-425" w:firstLine="0"/>
                      </w:pPr>
                    </w:p>
                    <w:p w14:paraId="419FF22E" w14:textId="5316BB2B" w:rsidR="00333314" w:rsidRPr="00F32D03" w:rsidRDefault="00333314" w:rsidP="00951D88">
                      <w:pPr>
                        <w:pStyle w:val="ColorfulList-Accent11"/>
                        <w:ind w:left="850"/>
                      </w:pPr>
                      <w:r>
                        <w:rPr>
                          <w:rFonts w:cs="Calibri"/>
                        </w:rPr>
                        <w:t>ii.</w:t>
                      </w:r>
                      <w:r>
                        <w:rPr>
                          <w:rFonts w:cs="Calibri"/>
                        </w:rPr>
                        <w:tab/>
                        <w:t>confirm the budget scenarios to be presented at the 14</w:t>
                      </w:r>
                      <w:r w:rsidRPr="00366633">
                        <w:rPr>
                          <w:rFonts w:cs="Calibri"/>
                        </w:rPr>
                        <w:t>th</w:t>
                      </w:r>
                      <w:r>
                        <w:rPr>
                          <w:rFonts w:cs="Calibri"/>
                        </w:rPr>
                        <w:t xml:space="preserve"> meeting of the Conference of the Contracting Parties;</w:t>
                      </w:r>
                    </w:p>
                    <w:p w14:paraId="301AAB19" w14:textId="77777777" w:rsidR="00333314" w:rsidRPr="00F32D03" w:rsidRDefault="00333314" w:rsidP="00275F13">
                      <w:pPr>
                        <w:pStyle w:val="ColorfulList-Accent11"/>
                        <w:ind w:left="-425" w:firstLine="0"/>
                      </w:pPr>
                    </w:p>
                    <w:p w14:paraId="0A22B680" w14:textId="77777777" w:rsidR="00333314" w:rsidRPr="00951D88" w:rsidRDefault="00333314" w:rsidP="00951D88">
                      <w:pPr>
                        <w:pStyle w:val="ColorfulList-Accent11"/>
                        <w:ind w:left="850"/>
                        <w:rPr>
                          <w:rFonts w:cs="Calibri"/>
                        </w:rPr>
                      </w:pPr>
                      <w:r>
                        <w:rPr>
                          <w:rFonts w:cs="Calibri"/>
                        </w:rPr>
                        <w:t>iii.</w:t>
                      </w:r>
                      <w:r>
                        <w:rPr>
                          <w:rFonts w:cs="Calibri"/>
                        </w:rPr>
                        <w:tab/>
                        <w:t>consider the proposed draft resolution on financial and budgetary matters.</w:t>
                      </w:r>
                    </w:p>
                  </w:txbxContent>
                </v:textbox>
                <w10:anchorlock/>
              </v:shape>
            </w:pict>
          </mc:Fallback>
        </mc:AlternateContent>
      </w:r>
    </w:p>
    <w:p w14:paraId="38378BBA" w14:textId="77777777" w:rsidR="009E0AE8" w:rsidRDefault="009E0AE8" w:rsidP="00014168">
      <w:pPr>
        <w:rPr>
          <w:rFonts w:cs="Arial"/>
          <w:b/>
        </w:rPr>
      </w:pPr>
    </w:p>
    <w:p w14:paraId="45F83590" w14:textId="77777777" w:rsidR="00951D88" w:rsidRDefault="00951D88" w:rsidP="00014168">
      <w:pPr>
        <w:rPr>
          <w:rFonts w:cs="Arial"/>
          <w:b/>
        </w:rPr>
      </w:pPr>
    </w:p>
    <w:p w14:paraId="5E2BAABB" w14:textId="4CE6F736" w:rsidR="00B32E40" w:rsidRPr="00FB1011" w:rsidRDefault="00951D88"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1.</w:t>
      </w:r>
      <w:r>
        <w:rPr>
          <w:rFonts w:asciiTheme="minorHAnsi" w:eastAsia="Batang" w:hAnsiTheme="minorHAnsi" w:cs="Times New Roman"/>
          <w:sz w:val="22"/>
          <w:szCs w:val="22"/>
        </w:rPr>
        <w:tab/>
      </w:r>
      <w:r w:rsidR="00E631A8">
        <w:rPr>
          <w:rFonts w:asciiTheme="minorHAnsi" w:eastAsia="Batang" w:hAnsiTheme="minorHAnsi" w:cs="Times New Roman"/>
          <w:sz w:val="22"/>
          <w:szCs w:val="22"/>
        </w:rPr>
        <w:t>T</w:t>
      </w:r>
      <w:r w:rsidR="00B32E40" w:rsidRPr="00FB1011">
        <w:rPr>
          <w:rFonts w:asciiTheme="minorHAnsi" w:eastAsia="Batang" w:hAnsiTheme="minorHAnsi" w:cs="Times New Roman"/>
          <w:sz w:val="22"/>
          <w:szCs w:val="22"/>
        </w:rPr>
        <w:t xml:space="preserve">he Secretariat </w:t>
      </w:r>
      <w:r w:rsidR="00AF2796">
        <w:rPr>
          <w:rFonts w:asciiTheme="minorHAnsi" w:eastAsia="Batang" w:hAnsiTheme="minorHAnsi" w:cs="Times New Roman"/>
          <w:sz w:val="22"/>
          <w:szCs w:val="22"/>
        </w:rPr>
        <w:t xml:space="preserve">of the Convention on Wetlands </w:t>
      </w:r>
      <w:r w:rsidR="00357919">
        <w:rPr>
          <w:rFonts w:asciiTheme="minorHAnsi" w:eastAsia="Batang" w:hAnsiTheme="minorHAnsi" w:cs="Times New Roman"/>
          <w:sz w:val="22"/>
          <w:szCs w:val="22"/>
        </w:rPr>
        <w:t xml:space="preserve">has </w:t>
      </w:r>
      <w:r w:rsidR="00E631A8">
        <w:rPr>
          <w:rFonts w:asciiTheme="minorHAnsi" w:eastAsia="Batang" w:hAnsiTheme="minorHAnsi" w:cs="Times New Roman"/>
          <w:sz w:val="22"/>
          <w:szCs w:val="22"/>
        </w:rPr>
        <w:t xml:space="preserve">prepared three core budget scenarios for </w:t>
      </w:r>
      <w:r w:rsidR="00AF2796">
        <w:rPr>
          <w:rFonts w:asciiTheme="minorHAnsi" w:eastAsia="Batang" w:hAnsiTheme="minorHAnsi" w:cs="Times New Roman"/>
          <w:sz w:val="22"/>
          <w:szCs w:val="22"/>
        </w:rPr>
        <w:t>consideration</w:t>
      </w:r>
      <w:r w:rsidR="00B8058B">
        <w:rPr>
          <w:rFonts w:asciiTheme="minorHAnsi" w:eastAsia="Batang" w:hAnsiTheme="minorHAnsi" w:cs="Times New Roman"/>
          <w:sz w:val="22"/>
          <w:szCs w:val="22"/>
        </w:rPr>
        <w:t xml:space="preserve"> by the Standing Committee</w:t>
      </w:r>
      <w:r w:rsidR="00AF2796">
        <w:rPr>
          <w:rFonts w:asciiTheme="minorHAnsi" w:eastAsia="Batang" w:hAnsiTheme="minorHAnsi" w:cs="Times New Roman"/>
          <w:sz w:val="22"/>
          <w:szCs w:val="22"/>
        </w:rPr>
        <w:t xml:space="preserve">. It also seeks confirmation about the scenarios to be </w:t>
      </w:r>
      <w:r w:rsidR="00E631A8">
        <w:rPr>
          <w:rFonts w:asciiTheme="minorHAnsi" w:eastAsia="Batang" w:hAnsiTheme="minorHAnsi" w:cs="Times New Roman"/>
          <w:sz w:val="22"/>
          <w:szCs w:val="22"/>
        </w:rPr>
        <w:t>presented to the Conference of the Parties</w:t>
      </w:r>
      <w:r w:rsidR="00E631A8" w:rsidRPr="00D60B3D">
        <w:rPr>
          <w:rFonts w:asciiTheme="minorHAnsi" w:eastAsia="Batang" w:hAnsiTheme="minorHAnsi" w:cs="Times New Roman"/>
          <w:sz w:val="22"/>
          <w:szCs w:val="22"/>
        </w:rPr>
        <w:t xml:space="preserve">. In addition to the core budget, the Secretariat will </w:t>
      </w:r>
      <w:r w:rsidR="000A7AEC" w:rsidRPr="00D60B3D">
        <w:rPr>
          <w:rFonts w:asciiTheme="minorHAnsi" w:eastAsia="Batang" w:hAnsiTheme="minorHAnsi" w:cs="Times New Roman"/>
          <w:sz w:val="22"/>
          <w:szCs w:val="22"/>
        </w:rPr>
        <w:t>seek</w:t>
      </w:r>
      <w:r w:rsidR="00AF2796" w:rsidRPr="00D41049">
        <w:rPr>
          <w:rFonts w:asciiTheme="minorHAnsi" w:eastAsia="Batang" w:hAnsiTheme="minorHAnsi" w:cs="Times New Roman"/>
          <w:sz w:val="22"/>
          <w:szCs w:val="22"/>
        </w:rPr>
        <w:t xml:space="preserve"> additional non-core funding </w:t>
      </w:r>
      <w:r w:rsidR="00D60B3D" w:rsidRPr="006D3CBA">
        <w:rPr>
          <w:rFonts w:asciiTheme="minorHAnsi" w:eastAsia="Batang" w:hAnsiTheme="minorHAnsi" w:cs="Times New Roman"/>
          <w:sz w:val="22"/>
          <w:szCs w:val="22"/>
        </w:rPr>
        <w:t xml:space="preserve">when necessary. </w:t>
      </w:r>
    </w:p>
    <w:p w14:paraId="4C41A478" w14:textId="77777777" w:rsidR="006D3CBA" w:rsidRDefault="006D3CBA" w:rsidP="00B32E40">
      <w:pPr>
        <w:pStyle w:val="MGfulltext"/>
        <w:spacing w:after="0"/>
        <w:rPr>
          <w:rFonts w:asciiTheme="minorHAnsi" w:eastAsia="Batang" w:hAnsiTheme="minorHAnsi" w:cs="Times New Roman"/>
          <w:b/>
          <w:sz w:val="22"/>
          <w:szCs w:val="22"/>
        </w:rPr>
      </w:pPr>
    </w:p>
    <w:p w14:paraId="0D4F75F3" w14:textId="28EFEB5B" w:rsidR="00B32E40" w:rsidRDefault="00B32E40" w:rsidP="00B32E40">
      <w:pPr>
        <w:pStyle w:val="MGfulltext"/>
        <w:spacing w:after="0"/>
        <w:rPr>
          <w:rFonts w:asciiTheme="minorHAnsi" w:eastAsia="Batang" w:hAnsiTheme="minorHAnsi" w:cs="Times New Roman"/>
          <w:b/>
          <w:sz w:val="22"/>
          <w:szCs w:val="22"/>
        </w:rPr>
      </w:pPr>
      <w:r w:rsidRPr="00FB1011">
        <w:rPr>
          <w:rFonts w:asciiTheme="minorHAnsi" w:eastAsia="Batang" w:hAnsiTheme="minorHAnsi" w:cs="Times New Roman"/>
          <w:b/>
          <w:sz w:val="22"/>
          <w:szCs w:val="22"/>
        </w:rPr>
        <w:t>Core budget scenarios</w:t>
      </w:r>
      <w:r w:rsidR="0005215D">
        <w:rPr>
          <w:rFonts w:asciiTheme="minorHAnsi" w:eastAsia="Batang" w:hAnsiTheme="minorHAnsi" w:cs="Times New Roman"/>
          <w:b/>
          <w:sz w:val="22"/>
          <w:szCs w:val="22"/>
        </w:rPr>
        <w:t xml:space="preserve"> for the </w:t>
      </w:r>
      <w:r w:rsidR="002E70AF">
        <w:rPr>
          <w:rFonts w:asciiTheme="minorHAnsi" w:eastAsia="Batang" w:hAnsiTheme="minorHAnsi" w:cs="Times New Roman"/>
          <w:b/>
          <w:sz w:val="22"/>
          <w:szCs w:val="22"/>
        </w:rPr>
        <w:t>2023-2025</w:t>
      </w:r>
      <w:r w:rsidR="0005215D">
        <w:rPr>
          <w:rFonts w:asciiTheme="minorHAnsi" w:eastAsia="Batang" w:hAnsiTheme="minorHAnsi" w:cs="Times New Roman"/>
          <w:b/>
          <w:sz w:val="22"/>
          <w:szCs w:val="22"/>
        </w:rPr>
        <w:t xml:space="preserve"> triennium</w:t>
      </w:r>
      <w:r w:rsidRPr="00FB1011">
        <w:rPr>
          <w:rFonts w:asciiTheme="minorHAnsi" w:eastAsia="Batang" w:hAnsiTheme="minorHAnsi" w:cs="Times New Roman"/>
          <w:b/>
          <w:sz w:val="22"/>
          <w:szCs w:val="22"/>
        </w:rPr>
        <w:t xml:space="preserve"> (Annex </w:t>
      </w:r>
      <w:r w:rsidR="009730C7">
        <w:rPr>
          <w:rFonts w:asciiTheme="minorHAnsi" w:eastAsia="Batang" w:hAnsiTheme="minorHAnsi" w:cs="Times New Roman"/>
          <w:b/>
          <w:sz w:val="22"/>
          <w:szCs w:val="22"/>
        </w:rPr>
        <w:t>1</w:t>
      </w:r>
      <w:r w:rsidRPr="00FB1011">
        <w:rPr>
          <w:rFonts w:asciiTheme="minorHAnsi" w:eastAsia="Batang" w:hAnsiTheme="minorHAnsi" w:cs="Times New Roman"/>
          <w:b/>
          <w:sz w:val="22"/>
          <w:szCs w:val="22"/>
        </w:rPr>
        <w:t>)</w:t>
      </w:r>
    </w:p>
    <w:p w14:paraId="3C6CA366" w14:textId="77777777" w:rsidR="00E631A8" w:rsidRPr="00FB1011" w:rsidRDefault="00E631A8" w:rsidP="006D3CBA">
      <w:pPr>
        <w:pStyle w:val="MGfulltext"/>
        <w:tabs>
          <w:tab w:val="left" w:pos="5199"/>
        </w:tabs>
        <w:spacing w:after="0"/>
        <w:rPr>
          <w:rFonts w:asciiTheme="minorHAnsi" w:eastAsia="Batang" w:hAnsiTheme="minorHAnsi" w:cs="Times New Roman"/>
          <w:b/>
          <w:sz w:val="22"/>
          <w:szCs w:val="22"/>
        </w:rPr>
      </w:pPr>
    </w:p>
    <w:p w14:paraId="2EC55BC5" w14:textId="7A967D8B" w:rsidR="00B32E40" w:rsidRDefault="00951D88"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2.</w:t>
      </w:r>
      <w:r>
        <w:rPr>
          <w:rFonts w:asciiTheme="minorHAnsi" w:eastAsia="Batang" w:hAnsiTheme="minorHAnsi" w:cs="Times New Roman"/>
          <w:sz w:val="22"/>
          <w:szCs w:val="22"/>
        </w:rPr>
        <w:tab/>
      </w:r>
      <w:r w:rsidR="00B32E40" w:rsidRPr="00FB1011">
        <w:rPr>
          <w:rFonts w:asciiTheme="minorHAnsi" w:eastAsia="Batang" w:hAnsiTheme="minorHAnsi" w:cs="Times New Roman"/>
          <w:sz w:val="22"/>
          <w:szCs w:val="22"/>
        </w:rPr>
        <w:t xml:space="preserve">For </w:t>
      </w:r>
      <w:r w:rsidR="002E70AF">
        <w:rPr>
          <w:rFonts w:asciiTheme="minorHAnsi" w:eastAsia="Batang" w:hAnsiTheme="minorHAnsi" w:cs="Times New Roman"/>
          <w:sz w:val="22"/>
          <w:szCs w:val="22"/>
        </w:rPr>
        <w:t>2023-2025</w:t>
      </w:r>
      <w:r w:rsidR="00B32E40" w:rsidRPr="00FB1011">
        <w:rPr>
          <w:rFonts w:asciiTheme="minorHAnsi" w:eastAsia="Batang" w:hAnsiTheme="minorHAnsi" w:cs="Times New Roman"/>
          <w:sz w:val="22"/>
          <w:szCs w:val="22"/>
        </w:rPr>
        <w:t>, thr</w:t>
      </w:r>
      <w:r w:rsidR="00B32E40" w:rsidRPr="00C70EC0">
        <w:rPr>
          <w:rFonts w:asciiTheme="minorHAnsi" w:eastAsia="Batang" w:hAnsiTheme="minorHAnsi" w:cs="Times New Roman"/>
          <w:sz w:val="22"/>
          <w:szCs w:val="22"/>
        </w:rPr>
        <w:t xml:space="preserve">ee core budget scenarios are </w:t>
      </w:r>
      <w:r w:rsidR="00214C88">
        <w:rPr>
          <w:rFonts w:asciiTheme="minorHAnsi" w:eastAsia="Batang" w:hAnsiTheme="minorHAnsi" w:cs="Times New Roman"/>
          <w:sz w:val="22"/>
          <w:szCs w:val="22"/>
        </w:rPr>
        <w:t xml:space="preserve">proposed </w:t>
      </w:r>
      <w:r w:rsidR="00B32E40" w:rsidRPr="00C70EC0">
        <w:rPr>
          <w:rFonts w:asciiTheme="minorHAnsi" w:eastAsia="Batang" w:hAnsiTheme="minorHAnsi" w:cs="Times New Roman"/>
          <w:sz w:val="22"/>
          <w:szCs w:val="22"/>
        </w:rPr>
        <w:t xml:space="preserve">in Annex </w:t>
      </w:r>
      <w:r w:rsidR="009730C7">
        <w:rPr>
          <w:rFonts w:asciiTheme="minorHAnsi" w:eastAsia="Batang" w:hAnsiTheme="minorHAnsi" w:cs="Times New Roman"/>
          <w:sz w:val="22"/>
          <w:szCs w:val="22"/>
        </w:rPr>
        <w:t>1</w:t>
      </w:r>
      <w:r w:rsidR="00AC2E85">
        <w:rPr>
          <w:rFonts w:asciiTheme="minorHAnsi" w:eastAsia="Batang" w:hAnsiTheme="minorHAnsi" w:cs="Times New Roman"/>
          <w:sz w:val="22"/>
          <w:szCs w:val="22"/>
        </w:rPr>
        <w:t xml:space="preserve">, which </w:t>
      </w:r>
      <w:r w:rsidR="00AC2E85" w:rsidRPr="00AC2E85">
        <w:rPr>
          <w:rFonts w:asciiTheme="minorHAnsi" w:eastAsia="Batang" w:hAnsiTheme="minorHAnsi" w:cs="Times New Roman"/>
          <w:sz w:val="22"/>
          <w:szCs w:val="22"/>
        </w:rPr>
        <w:t>do</w:t>
      </w:r>
      <w:r w:rsidR="00AC2E85">
        <w:rPr>
          <w:rFonts w:asciiTheme="minorHAnsi" w:eastAsia="Batang" w:hAnsiTheme="minorHAnsi" w:cs="Times New Roman"/>
          <w:sz w:val="22"/>
          <w:szCs w:val="22"/>
        </w:rPr>
        <w:t xml:space="preserve"> not </w:t>
      </w:r>
      <w:r w:rsidR="00AC2E85" w:rsidRPr="00AC2E85">
        <w:rPr>
          <w:rFonts w:asciiTheme="minorHAnsi" w:eastAsia="Batang" w:hAnsiTheme="minorHAnsi" w:cs="Times New Roman"/>
          <w:sz w:val="22"/>
          <w:szCs w:val="22"/>
        </w:rPr>
        <w:t xml:space="preserve">include </w:t>
      </w:r>
      <w:r w:rsidR="00AC2E85">
        <w:rPr>
          <w:rFonts w:asciiTheme="minorHAnsi" w:eastAsia="Batang" w:hAnsiTheme="minorHAnsi" w:cs="Times New Roman"/>
          <w:sz w:val="22"/>
          <w:szCs w:val="22"/>
        </w:rPr>
        <w:t>any funding requests from draft resolutions submitted.</w:t>
      </w:r>
      <w:r w:rsidR="00970C63">
        <w:rPr>
          <w:rFonts w:asciiTheme="minorHAnsi" w:eastAsia="Batang" w:hAnsiTheme="minorHAnsi" w:cs="Times New Roman"/>
          <w:sz w:val="22"/>
          <w:szCs w:val="22"/>
        </w:rPr>
        <w:t xml:space="preserve"> </w:t>
      </w:r>
      <w:r w:rsidR="00214C88">
        <w:rPr>
          <w:rFonts w:asciiTheme="minorHAnsi" w:eastAsia="Batang" w:hAnsiTheme="minorHAnsi" w:cs="Times New Roman"/>
          <w:sz w:val="22"/>
          <w:szCs w:val="22"/>
        </w:rPr>
        <w:t>The three scenarios are</w:t>
      </w:r>
      <w:r w:rsidR="00B32E40" w:rsidRPr="00C70EC0">
        <w:rPr>
          <w:rFonts w:asciiTheme="minorHAnsi" w:eastAsia="Batang" w:hAnsiTheme="minorHAnsi" w:cs="Times New Roman"/>
          <w:sz w:val="22"/>
          <w:szCs w:val="22"/>
        </w:rPr>
        <w:t xml:space="preserve">: </w:t>
      </w:r>
    </w:p>
    <w:p w14:paraId="645E54A1" w14:textId="77777777" w:rsidR="00951D88" w:rsidRPr="00C70EC0" w:rsidRDefault="00951D88" w:rsidP="00951D88">
      <w:pPr>
        <w:pStyle w:val="MGfulltext"/>
        <w:spacing w:after="0"/>
        <w:ind w:left="426"/>
        <w:rPr>
          <w:rFonts w:asciiTheme="minorHAnsi" w:eastAsia="Batang" w:hAnsiTheme="minorHAnsi" w:cs="Times New Roman"/>
          <w:sz w:val="22"/>
          <w:szCs w:val="22"/>
        </w:rPr>
      </w:pPr>
    </w:p>
    <w:p w14:paraId="11E189F2" w14:textId="1554D383" w:rsidR="00B32E40"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a.</w:t>
      </w:r>
      <w:r>
        <w:rPr>
          <w:rFonts w:asciiTheme="minorHAnsi" w:eastAsia="Batang" w:hAnsiTheme="minorHAnsi" w:cs="Times New Roman"/>
          <w:sz w:val="22"/>
          <w:szCs w:val="22"/>
        </w:rPr>
        <w:tab/>
      </w:r>
      <w:r w:rsidR="00B32E40" w:rsidRPr="00C70EC0">
        <w:rPr>
          <w:rFonts w:asciiTheme="minorHAnsi" w:eastAsia="Batang" w:hAnsiTheme="minorHAnsi" w:cs="Times New Roman"/>
          <w:sz w:val="22"/>
          <w:szCs w:val="22"/>
        </w:rPr>
        <w:t>0% increase</w:t>
      </w:r>
      <w:r w:rsidR="008C3FB1" w:rsidRPr="00C70EC0">
        <w:rPr>
          <w:rFonts w:asciiTheme="minorHAnsi" w:eastAsia="Batang" w:hAnsiTheme="minorHAnsi" w:cs="Times New Roman"/>
          <w:sz w:val="22"/>
          <w:szCs w:val="22"/>
        </w:rPr>
        <w:t xml:space="preserve"> as compared to the 2016-2018</w:t>
      </w:r>
      <w:r w:rsidR="00A26E01">
        <w:rPr>
          <w:rFonts w:asciiTheme="minorHAnsi" w:eastAsia="Batang" w:hAnsiTheme="minorHAnsi" w:cs="Times New Roman"/>
          <w:sz w:val="22"/>
          <w:szCs w:val="22"/>
        </w:rPr>
        <w:t xml:space="preserve"> and 2019-2021</w:t>
      </w:r>
      <w:r w:rsidR="00B32E40" w:rsidRPr="00C70EC0">
        <w:rPr>
          <w:rFonts w:asciiTheme="minorHAnsi" w:eastAsia="Batang" w:hAnsiTheme="minorHAnsi" w:cs="Times New Roman"/>
          <w:sz w:val="22"/>
          <w:szCs w:val="22"/>
        </w:rPr>
        <w:t xml:space="preserve"> triennium budget</w:t>
      </w:r>
      <w:r w:rsidR="00A26E01">
        <w:rPr>
          <w:rFonts w:asciiTheme="minorHAnsi" w:eastAsia="Batang" w:hAnsiTheme="minorHAnsi" w:cs="Times New Roman"/>
          <w:sz w:val="22"/>
          <w:szCs w:val="22"/>
        </w:rPr>
        <w:t>s</w:t>
      </w:r>
      <w:r w:rsidR="00D60B3D">
        <w:rPr>
          <w:rFonts w:asciiTheme="minorHAnsi" w:eastAsia="Batang" w:hAnsiTheme="minorHAnsi" w:cs="Times New Roman"/>
          <w:sz w:val="22"/>
          <w:szCs w:val="22"/>
        </w:rPr>
        <w:t xml:space="preserve"> (scenario A)</w:t>
      </w:r>
      <w:r w:rsidR="00B32E40" w:rsidRPr="00C70EC0">
        <w:rPr>
          <w:rFonts w:asciiTheme="minorHAnsi" w:eastAsia="Batang" w:hAnsiTheme="minorHAnsi" w:cs="Times New Roman"/>
          <w:sz w:val="22"/>
          <w:szCs w:val="22"/>
        </w:rPr>
        <w:t xml:space="preserve">; </w:t>
      </w:r>
    </w:p>
    <w:p w14:paraId="1475BA25" w14:textId="77777777" w:rsidR="00951D88" w:rsidRPr="00C70EC0" w:rsidRDefault="00951D88" w:rsidP="00241822">
      <w:pPr>
        <w:pStyle w:val="MGfulltext"/>
        <w:spacing w:after="0"/>
        <w:ind w:left="850" w:hanging="425"/>
        <w:rPr>
          <w:rFonts w:asciiTheme="minorHAnsi" w:eastAsia="Batang" w:hAnsiTheme="minorHAnsi" w:cs="Times New Roman"/>
          <w:sz w:val="22"/>
          <w:szCs w:val="22"/>
        </w:rPr>
      </w:pPr>
    </w:p>
    <w:p w14:paraId="0372DDE2" w14:textId="724306DA" w:rsidR="00B32E40"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b.</w:t>
      </w:r>
      <w:r>
        <w:rPr>
          <w:rFonts w:asciiTheme="minorHAnsi" w:eastAsia="Batang" w:hAnsiTheme="minorHAnsi" w:cs="Times New Roman"/>
          <w:sz w:val="22"/>
          <w:szCs w:val="22"/>
        </w:rPr>
        <w:tab/>
      </w:r>
      <w:r w:rsidR="00965BFF">
        <w:rPr>
          <w:rFonts w:asciiTheme="minorHAnsi" w:eastAsia="Batang" w:hAnsiTheme="minorHAnsi" w:cs="Times New Roman"/>
          <w:sz w:val="22"/>
          <w:szCs w:val="22"/>
        </w:rPr>
        <w:t>2.8</w:t>
      </w:r>
      <w:r w:rsidR="00B32E40" w:rsidRPr="00806FDA">
        <w:rPr>
          <w:rFonts w:asciiTheme="minorHAnsi" w:eastAsia="Batang" w:hAnsiTheme="minorHAnsi" w:cs="Times New Roman"/>
          <w:sz w:val="22"/>
          <w:szCs w:val="22"/>
        </w:rPr>
        <w:t xml:space="preserve">% increase (CHF </w:t>
      </w:r>
      <w:r w:rsidR="00A90275">
        <w:rPr>
          <w:rFonts w:asciiTheme="minorHAnsi" w:eastAsia="Batang" w:hAnsiTheme="minorHAnsi" w:cs="Times New Roman"/>
          <w:sz w:val="22"/>
          <w:szCs w:val="22"/>
        </w:rPr>
        <w:t>438</w:t>
      </w:r>
      <w:r w:rsidR="00806FDA" w:rsidRPr="00806FDA">
        <w:rPr>
          <w:rFonts w:asciiTheme="minorHAnsi" w:eastAsia="Batang" w:hAnsiTheme="minorHAnsi" w:cs="Times New Roman"/>
          <w:sz w:val="22"/>
          <w:szCs w:val="22"/>
        </w:rPr>
        <w:t>K</w:t>
      </w:r>
      <w:r w:rsidR="00B32E40" w:rsidRPr="00806FDA">
        <w:rPr>
          <w:rFonts w:asciiTheme="minorHAnsi" w:eastAsia="Batang" w:hAnsiTheme="minorHAnsi" w:cs="Times New Roman"/>
          <w:sz w:val="22"/>
          <w:szCs w:val="22"/>
        </w:rPr>
        <w:t>)</w:t>
      </w:r>
      <w:r w:rsidR="008C3FB1" w:rsidRPr="00C70EC0">
        <w:rPr>
          <w:rFonts w:asciiTheme="minorHAnsi" w:eastAsia="Batang" w:hAnsiTheme="minorHAnsi" w:cs="Times New Roman"/>
          <w:sz w:val="22"/>
          <w:szCs w:val="22"/>
        </w:rPr>
        <w:t xml:space="preserve"> compared to the </w:t>
      </w:r>
      <w:r w:rsidR="00A26E01">
        <w:rPr>
          <w:rFonts w:asciiTheme="minorHAnsi" w:eastAsia="Batang" w:hAnsiTheme="minorHAnsi" w:cs="Times New Roman"/>
          <w:sz w:val="22"/>
          <w:szCs w:val="22"/>
        </w:rPr>
        <w:t>2019-2021</w:t>
      </w:r>
      <w:r w:rsidR="008C3FB1" w:rsidRPr="00C70EC0">
        <w:rPr>
          <w:rFonts w:asciiTheme="minorHAnsi" w:eastAsia="Batang" w:hAnsiTheme="minorHAnsi" w:cs="Times New Roman"/>
          <w:sz w:val="22"/>
          <w:szCs w:val="22"/>
        </w:rPr>
        <w:t xml:space="preserve"> triennium</w:t>
      </w:r>
      <w:r w:rsidR="00947D4A">
        <w:rPr>
          <w:rFonts w:asciiTheme="minorHAnsi" w:eastAsia="Batang" w:hAnsiTheme="minorHAnsi" w:cs="Times New Roman"/>
          <w:sz w:val="22"/>
          <w:szCs w:val="22"/>
        </w:rPr>
        <w:t>,</w:t>
      </w:r>
      <w:r w:rsidR="008C3FB1" w:rsidRPr="00C70EC0">
        <w:rPr>
          <w:rFonts w:asciiTheme="minorHAnsi" w:eastAsia="Batang" w:hAnsiTheme="minorHAnsi" w:cs="Times New Roman"/>
          <w:sz w:val="22"/>
          <w:szCs w:val="22"/>
        </w:rPr>
        <w:t xml:space="preserve"> implying an increase of contributions of Contracting Parties of </w:t>
      </w:r>
      <w:r w:rsidR="00AF3FA8">
        <w:rPr>
          <w:rFonts w:asciiTheme="minorHAnsi" w:eastAsia="Batang" w:hAnsiTheme="minorHAnsi" w:cs="Times New Roman"/>
          <w:sz w:val="22"/>
          <w:szCs w:val="22"/>
        </w:rPr>
        <w:t>2.</w:t>
      </w:r>
      <w:r w:rsidR="00D220C7">
        <w:rPr>
          <w:rFonts w:asciiTheme="minorHAnsi" w:eastAsia="Batang" w:hAnsiTheme="minorHAnsi" w:cs="Times New Roman"/>
          <w:sz w:val="22"/>
          <w:szCs w:val="22"/>
        </w:rPr>
        <w:t>7</w:t>
      </w:r>
      <w:r w:rsidR="008C3FB1" w:rsidRPr="005D6FBF">
        <w:rPr>
          <w:rFonts w:asciiTheme="minorHAnsi" w:eastAsia="Batang" w:hAnsiTheme="minorHAnsi" w:cs="Times New Roman"/>
          <w:sz w:val="22"/>
          <w:szCs w:val="22"/>
        </w:rPr>
        <w:t>%</w:t>
      </w:r>
      <w:r w:rsidR="00D60B3D">
        <w:rPr>
          <w:rFonts w:asciiTheme="minorHAnsi" w:eastAsia="Batang" w:hAnsiTheme="minorHAnsi" w:cs="Times New Roman"/>
          <w:sz w:val="22"/>
          <w:szCs w:val="22"/>
        </w:rPr>
        <w:t xml:space="preserve"> (scenario B)</w:t>
      </w:r>
      <w:r w:rsidR="00C70EC0" w:rsidRPr="00C70EC0">
        <w:rPr>
          <w:rFonts w:asciiTheme="minorHAnsi" w:eastAsia="Batang" w:hAnsiTheme="minorHAnsi" w:cs="Times New Roman"/>
          <w:sz w:val="22"/>
          <w:szCs w:val="22"/>
        </w:rPr>
        <w:t>;</w:t>
      </w:r>
    </w:p>
    <w:p w14:paraId="68B6E2AB" w14:textId="77777777" w:rsidR="00951D88" w:rsidRPr="00C70EC0" w:rsidRDefault="00951D88" w:rsidP="00241822">
      <w:pPr>
        <w:pStyle w:val="MGfulltext"/>
        <w:spacing w:after="0"/>
        <w:ind w:left="850" w:hanging="425"/>
        <w:rPr>
          <w:rFonts w:asciiTheme="minorHAnsi" w:eastAsia="Batang" w:hAnsiTheme="minorHAnsi" w:cs="Times New Roman"/>
          <w:sz w:val="22"/>
          <w:szCs w:val="22"/>
        </w:rPr>
      </w:pPr>
    </w:p>
    <w:p w14:paraId="4B22A378" w14:textId="106AD73A" w:rsidR="006D3CBA"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c.</w:t>
      </w:r>
      <w:r>
        <w:rPr>
          <w:rFonts w:asciiTheme="minorHAnsi" w:eastAsia="Batang" w:hAnsiTheme="minorHAnsi" w:cs="Times New Roman"/>
          <w:sz w:val="22"/>
          <w:szCs w:val="22"/>
        </w:rPr>
        <w:tab/>
      </w:r>
      <w:r w:rsidR="0035377D">
        <w:rPr>
          <w:rFonts w:asciiTheme="minorHAnsi" w:eastAsia="Batang" w:hAnsiTheme="minorHAnsi" w:cs="Times New Roman"/>
          <w:sz w:val="22"/>
          <w:szCs w:val="22"/>
        </w:rPr>
        <w:t>4.2</w:t>
      </w:r>
      <w:r w:rsidR="00B32E40" w:rsidRPr="00D07DDD">
        <w:rPr>
          <w:rFonts w:asciiTheme="minorHAnsi" w:eastAsia="Batang" w:hAnsiTheme="minorHAnsi" w:cs="Times New Roman"/>
          <w:sz w:val="22"/>
          <w:szCs w:val="22"/>
        </w:rPr>
        <w:t xml:space="preserve">% increase (CHF </w:t>
      </w:r>
      <w:r w:rsidR="00AF3FA8">
        <w:rPr>
          <w:rFonts w:asciiTheme="minorHAnsi" w:eastAsia="Batang" w:hAnsiTheme="minorHAnsi" w:cs="Times New Roman"/>
          <w:sz w:val="22"/>
          <w:szCs w:val="22"/>
        </w:rPr>
        <w:t>67</w:t>
      </w:r>
      <w:r w:rsidR="00A90275">
        <w:rPr>
          <w:rFonts w:asciiTheme="minorHAnsi" w:eastAsia="Batang" w:hAnsiTheme="minorHAnsi" w:cs="Times New Roman"/>
          <w:sz w:val="22"/>
          <w:szCs w:val="22"/>
        </w:rPr>
        <w:t>4</w:t>
      </w:r>
      <w:r w:rsidR="00D07DDD" w:rsidRPr="00D07DDD">
        <w:rPr>
          <w:rFonts w:asciiTheme="minorHAnsi" w:eastAsia="Batang" w:hAnsiTheme="minorHAnsi" w:cs="Times New Roman"/>
          <w:sz w:val="22"/>
          <w:szCs w:val="22"/>
        </w:rPr>
        <w:t>K</w:t>
      </w:r>
      <w:r w:rsidR="00B32E40" w:rsidRPr="00D07DDD">
        <w:rPr>
          <w:rFonts w:asciiTheme="minorHAnsi" w:eastAsia="Batang" w:hAnsiTheme="minorHAnsi" w:cs="Times New Roman"/>
          <w:sz w:val="22"/>
          <w:szCs w:val="22"/>
        </w:rPr>
        <w:t>)</w:t>
      </w:r>
      <w:r w:rsidR="007F0899" w:rsidRPr="009A515B">
        <w:rPr>
          <w:rFonts w:asciiTheme="minorHAnsi" w:eastAsia="Batang" w:hAnsiTheme="minorHAnsi" w:cs="Times New Roman"/>
          <w:sz w:val="22"/>
          <w:szCs w:val="22"/>
        </w:rPr>
        <w:t xml:space="preserve"> compared to the </w:t>
      </w:r>
      <w:r w:rsidR="00A26E01" w:rsidRPr="009A515B">
        <w:rPr>
          <w:rFonts w:asciiTheme="minorHAnsi" w:eastAsia="Batang" w:hAnsiTheme="minorHAnsi" w:cs="Times New Roman"/>
          <w:sz w:val="22"/>
          <w:szCs w:val="22"/>
        </w:rPr>
        <w:t>20</w:t>
      </w:r>
      <w:r w:rsidR="00A26E01">
        <w:rPr>
          <w:rFonts w:asciiTheme="minorHAnsi" w:eastAsia="Batang" w:hAnsiTheme="minorHAnsi" w:cs="Times New Roman"/>
          <w:sz w:val="22"/>
          <w:szCs w:val="22"/>
        </w:rPr>
        <w:t>19</w:t>
      </w:r>
      <w:r w:rsidR="007F0899" w:rsidRPr="009A515B">
        <w:rPr>
          <w:rFonts w:asciiTheme="minorHAnsi" w:eastAsia="Batang" w:hAnsiTheme="minorHAnsi" w:cs="Times New Roman"/>
          <w:sz w:val="22"/>
          <w:szCs w:val="22"/>
        </w:rPr>
        <w:t>-</w:t>
      </w:r>
      <w:r w:rsidR="00A26E01" w:rsidRPr="009A515B">
        <w:rPr>
          <w:rFonts w:asciiTheme="minorHAnsi" w:eastAsia="Batang" w:hAnsiTheme="minorHAnsi" w:cs="Times New Roman"/>
          <w:sz w:val="22"/>
          <w:szCs w:val="22"/>
        </w:rPr>
        <w:t>20</w:t>
      </w:r>
      <w:r w:rsidR="00A26E01">
        <w:rPr>
          <w:rFonts w:asciiTheme="minorHAnsi" w:eastAsia="Batang" w:hAnsiTheme="minorHAnsi" w:cs="Times New Roman"/>
          <w:sz w:val="22"/>
          <w:szCs w:val="22"/>
        </w:rPr>
        <w:t>2</w:t>
      </w:r>
      <w:r w:rsidR="002845BD">
        <w:rPr>
          <w:rFonts w:asciiTheme="minorHAnsi" w:eastAsia="Batang" w:hAnsiTheme="minorHAnsi" w:cs="Times New Roman"/>
          <w:sz w:val="22"/>
          <w:szCs w:val="22"/>
        </w:rPr>
        <w:t>1</w:t>
      </w:r>
      <w:r w:rsidR="00A26E01" w:rsidRPr="009A515B">
        <w:rPr>
          <w:rFonts w:asciiTheme="minorHAnsi" w:eastAsia="Batang" w:hAnsiTheme="minorHAnsi" w:cs="Times New Roman"/>
          <w:sz w:val="22"/>
          <w:szCs w:val="22"/>
        </w:rPr>
        <w:t xml:space="preserve"> </w:t>
      </w:r>
      <w:r w:rsidR="007F0899" w:rsidRPr="009A515B">
        <w:rPr>
          <w:rFonts w:asciiTheme="minorHAnsi" w:eastAsia="Batang" w:hAnsiTheme="minorHAnsi" w:cs="Times New Roman"/>
          <w:sz w:val="22"/>
          <w:szCs w:val="22"/>
        </w:rPr>
        <w:t>triennium</w:t>
      </w:r>
      <w:r w:rsidR="00947D4A">
        <w:rPr>
          <w:rFonts w:asciiTheme="minorHAnsi" w:eastAsia="Batang" w:hAnsiTheme="minorHAnsi" w:cs="Times New Roman"/>
          <w:sz w:val="22"/>
          <w:szCs w:val="22"/>
        </w:rPr>
        <w:t>,</w:t>
      </w:r>
      <w:r w:rsidR="007F0899" w:rsidRPr="009A515B">
        <w:rPr>
          <w:rFonts w:asciiTheme="minorHAnsi" w:eastAsia="Batang" w:hAnsiTheme="minorHAnsi" w:cs="Times New Roman"/>
          <w:sz w:val="22"/>
          <w:szCs w:val="22"/>
        </w:rPr>
        <w:t xml:space="preserve"> implying an increase of contributions of Contracting Parties of </w:t>
      </w:r>
      <w:r w:rsidR="0035377D">
        <w:rPr>
          <w:rFonts w:asciiTheme="minorHAnsi" w:eastAsia="Batang" w:hAnsiTheme="minorHAnsi" w:cs="Times New Roman"/>
          <w:sz w:val="22"/>
          <w:szCs w:val="22"/>
        </w:rPr>
        <w:t>4.</w:t>
      </w:r>
      <w:r w:rsidR="00AF3FA8">
        <w:rPr>
          <w:rFonts w:asciiTheme="minorHAnsi" w:eastAsia="Batang" w:hAnsiTheme="minorHAnsi" w:cs="Times New Roman"/>
          <w:sz w:val="22"/>
          <w:szCs w:val="22"/>
        </w:rPr>
        <w:t>3</w:t>
      </w:r>
      <w:r w:rsidR="007F0899" w:rsidRPr="00D07DDD">
        <w:rPr>
          <w:rFonts w:asciiTheme="minorHAnsi" w:eastAsia="Batang" w:hAnsiTheme="minorHAnsi" w:cs="Times New Roman"/>
          <w:sz w:val="22"/>
          <w:szCs w:val="22"/>
        </w:rPr>
        <w:t>%</w:t>
      </w:r>
      <w:r w:rsidR="00D60B3D">
        <w:rPr>
          <w:rFonts w:asciiTheme="minorHAnsi" w:eastAsia="Batang" w:hAnsiTheme="minorHAnsi" w:cs="Times New Roman"/>
          <w:sz w:val="22"/>
          <w:szCs w:val="22"/>
        </w:rPr>
        <w:t xml:space="preserve"> (scenario C)</w:t>
      </w:r>
      <w:r w:rsidR="007F0899" w:rsidRPr="009A515B">
        <w:rPr>
          <w:rFonts w:asciiTheme="minorHAnsi" w:eastAsia="Batang" w:hAnsiTheme="minorHAnsi" w:cs="Times New Roman"/>
          <w:sz w:val="22"/>
          <w:szCs w:val="22"/>
        </w:rPr>
        <w:t>.</w:t>
      </w:r>
      <w:r w:rsidR="00970C63">
        <w:rPr>
          <w:rFonts w:asciiTheme="minorHAnsi" w:eastAsia="Batang" w:hAnsiTheme="minorHAnsi" w:cs="Times New Roman"/>
          <w:sz w:val="22"/>
          <w:szCs w:val="22"/>
        </w:rPr>
        <w:t xml:space="preserve"> </w:t>
      </w:r>
    </w:p>
    <w:p w14:paraId="0AE61B46" w14:textId="77777777" w:rsidR="00951D88" w:rsidRDefault="00951D88" w:rsidP="006D3CBA">
      <w:pPr>
        <w:pStyle w:val="MGfulltext"/>
        <w:spacing w:after="0"/>
        <w:ind w:left="426"/>
        <w:rPr>
          <w:rFonts w:asciiTheme="minorHAnsi" w:eastAsia="Batang" w:hAnsiTheme="minorHAnsi" w:cs="Times New Roman"/>
          <w:sz w:val="22"/>
          <w:szCs w:val="22"/>
        </w:rPr>
      </w:pPr>
    </w:p>
    <w:p w14:paraId="38B0F664" w14:textId="44D582AC" w:rsidR="00D60B3D" w:rsidRPr="009A515B" w:rsidRDefault="00D60B3D" w:rsidP="006D3CBA">
      <w:pPr>
        <w:pStyle w:val="MGfulltext"/>
        <w:spacing w:after="0"/>
        <w:ind w:left="426"/>
        <w:rPr>
          <w:rFonts w:asciiTheme="minorHAnsi" w:eastAsia="Batang" w:hAnsiTheme="minorHAnsi" w:cs="Times New Roman"/>
          <w:sz w:val="22"/>
          <w:szCs w:val="22"/>
        </w:rPr>
      </w:pPr>
      <w:r w:rsidRPr="006D3CBA">
        <w:rPr>
          <w:rFonts w:asciiTheme="minorHAnsi" w:eastAsia="Batang" w:hAnsiTheme="minorHAnsi" w:cs="Times New Roman"/>
          <w:sz w:val="22"/>
          <w:szCs w:val="22"/>
        </w:rPr>
        <w:t xml:space="preserve">The core </w:t>
      </w:r>
      <w:r w:rsidR="00970C63">
        <w:rPr>
          <w:rFonts w:asciiTheme="minorHAnsi" w:eastAsia="Batang" w:hAnsiTheme="minorHAnsi" w:cs="Times New Roman"/>
          <w:sz w:val="22"/>
          <w:szCs w:val="22"/>
        </w:rPr>
        <w:t>budget details per department/</w:t>
      </w:r>
      <w:r w:rsidRPr="006D3CBA">
        <w:rPr>
          <w:rFonts w:asciiTheme="minorHAnsi" w:eastAsia="Batang" w:hAnsiTheme="minorHAnsi" w:cs="Times New Roman"/>
          <w:sz w:val="22"/>
          <w:szCs w:val="22"/>
        </w:rPr>
        <w:t>category have been retained to help Contracting Parties see the specifics of how their assessed contributions will be spent.</w:t>
      </w:r>
    </w:p>
    <w:p w14:paraId="77E92960" w14:textId="77777777" w:rsidR="00B32E40" w:rsidRPr="009A515B" w:rsidRDefault="00B32E40" w:rsidP="00B32E40">
      <w:pPr>
        <w:pStyle w:val="MGfulltext"/>
        <w:spacing w:after="0"/>
        <w:ind w:left="2160"/>
        <w:rPr>
          <w:rFonts w:asciiTheme="minorHAnsi" w:eastAsia="Batang" w:hAnsiTheme="minorHAnsi" w:cs="Times New Roman"/>
          <w:sz w:val="22"/>
          <w:szCs w:val="22"/>
        </w:rPr>
      </w:pPr>
    </w:p>
    <w:p w14:paraId="46E539EA" w14:textId="5353FBE2" w:rsidR="00B32E40" w:rsidRDefault="00951D88"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3.</w:t>
      </w:r>
      <w:r>
        <w:rPr>
          <w:rFonts w:asciiTheme="minorHAnsi" w:eastAsia="Batang" w:hAnsiTheme="minorHAnsi" w:cs="Times New Roman"/>
          <w:sz w:val="22"/>
          <w:szCs w:val="22"/>
        </w:rPr>
        <w:tab/>
      </w:r>
      <w:r w:rsidR="00D60B3D">
        <w:rPr>
          <w:rFonts w:asciiTheme="minorHAnsi" w:eastAsia="Batang" w:hAnsiTheme="minorHAnsi" w:cs="Times New Roman"/>
          <w:sz w:val="22"/>
          <w:szCs w:val="22"/>
        </w:rPr>
        <w:t xml:space="preserve">The </w:t>
      </w:r>
      <w:r w:rsidR="00D60B3D" w:rsidRPr="00951D88">
        <w:rPr>
          <w:rFonts w:asciiTheme="minorHAnsi" w:eastAsia="Batang" w:hAnsiTheme="minorHAnsi" w:cs="Times New Roman"/>
          <w:b/>
          <w:sz w:val="22"/>
          <w:szCs w:val="22"/>
        </w:rPr>
        <w:t>0% scenario (A)</w:t>
      </w:r>
      <w:r w:rsidR="00D60B3D">
        <w:rPr>
          <w:rFonts w:asciiTheme="minorHAnsi" w:eastAsia="Batang" w:hAnsiTheme="minorHAnsi" w:cs="Times New Roman"/>
          <w:sz w:val="22"/>
          <w:szCs w:val="22"/>
        </w:rPr>
        <w:t xml:space="preserve"> includes the </w:t>
      </w:r>
      <w:r w:rsidR="00B32E40" w:rsidRPr="009A515B">
        <w:rPr>
          <w:rFonts w:asciiTheme="minorHAnsi" w:eastAsia="Batang" w:hAnsiTheme="minorHAnsi" w:cs="Times New Roman"/>
          <w:sz w:val="22"/>
          <w:szCs w:val="22"/>
        </w:rPr>
        <w:t>following assumptions</w:t>
      </w:r>
      <w:r w:rsidR="00D60B3D">
        <w:rPr>
          <w:rFonts w:asciiTheme="minorHAnsi" w:eastAsia="Batang" w:hAnsiTheme="minorHAnsi" w:cs="Times New Roman"/>
          <w:sz w:val="22"/>
          <w:szCs w:val="22"/>
        </w:rPr>
        <w:t xml:space="preserve">, which </w:t>
      </w:r>
      <w:r w:rsidR="00970C63">
        <w:rPr>
          <w:rFonts w:asciiTheme="minorHAnsi" w:eastAsia="Batang" w:hAnsiTheme="minorHAnsi" w:cs="Times New Roman"/>
          <w:sz w:val="22"/>
          <w:szCs w:val="22"/>
        </w:rPr>
        <w:t xml:space="preserve">also </w:t>
      </w:r>
      <w:r w:rsidR="00D60B3D">
        <w:rPr>
          <w:rFonts w:asciiTheme="minorHAnsi" w:eastAsia="Batang" w:hAnsiTheme="minorHAnsi" w:cs="Times New Roman"/>
          <w:sz w:val="22"/>
          <w:szCs w:val="22"/>
        </w:rPr>
        <w:t>apply to scenarios</w:t>
      </w:r>
      <w:r w:rsidR="00B32E40" w:rsidRPr="009A515B">
        <w:rPr>
          <w:rFonts w:asciiTheme="minorHAnsi" w:eastAsia="Batang" w:hAnsiTheme="minorHAnsi" w:cs="Times New Roman"/>
          <w:sz w:val="22"/>
          <w:szCs w:val="22"/>
        </w:rPr>
        <w:t xml:space="preserve"> </w:t>
      </w:r>
      <w:r w:rsidR="00D60B3D">
        <w:rPr>
          <w:rFonts w:asciiTheme="minorHAnsi" w:eastAsia="Batang" w:hAnsiTheme="minorHAnsi" w:cs="Times New Roman"/>
          <w:sz w:val="22"/>
          <w:szCs w:val="22"/>
        </w:rPr>
        <w:t>B and C unless indicated otherwise</w:t>
      </w:r>
      <w:r w:rsidR="006D3CBA">
        <w:rPr>
          <w:rFonts w:asciiTheme="minorHAnsi" w:eastAsia="Batang" w:hAnsiTheme="minorHAnsi" w:cs="Times New Roman"/>
          <w:sz w:val="22"/>
          <w:szCs w:val="22"/>
        </w:rPr>
        <w:t>:</w:t>
      </w:r>
    </w:p>
    <w:p w14:paraId="62EBB187" w14:textId="77777777" w:rsidR="00951D88" w:rsidRPr="009A515B" w:rsidRDefault="00951D88" w:rsidP="00951D88">
      <w:pPr>
        <w:pStyle w:val="MGfulltext"/>
        <w:spacing w:after="0"/>
        <w:ind w:left="425" w:hanging="425"/>
        <w:rPr>
          <w:rFonts w:asciiTheme="minorHAnsi" w:eastAsia="Batang" w:hAnsiTheme="minorHAnsi" w:cs="Times New Roman"/>
          <w:sz w:val="22"/>
          <w:szCs w:val="22"/>
        </w:rPr>
      </w:pPr>
    </w:p>
    <w:p w14:paraId="07067AFD" w14:textId="53E2FAF9" w:rsidR="00B32E40" w:rsidRPr="009A515B"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lastRenderedPageBreak/>
        <w:t>a.</w:t>
      </w:r>
      <w:r>
        <w:rPr>
          <w:rFonts w:asciiTheme="minorHAnsi" w:eastAsia="Batang" w:hAnsiTheme="minorHAnsi" w:cs="Times New Roman"/>
          <w:sz w:val="22"/>
          <w:szCs w:val="22"/>
        </w:rPr>
        <w:tab/>
      </w:r>
      <w:r w:rsidR="006D3CBA">
        <w:rPr>
          <w:rFonts w:asciiTheme="minorHAnsi" w:eastAsia="Batang" w:hAnsiTheme="minorHAnsi" w:cs="Times New Roman"/>
          <w:sz w:val="22"/>
          <w:szCs w:val="22"/>
        </w:rPr>
        <w:t xml:space="preserve">Full Swiss </w:t>
      </w:r>
      <w:r w:rsidR="00105E0C">
        <w:rPr>
          <w:rFonts w:asciiTheme="minorHAnsi" w:eastAsia="Batang" w:hAnsiTheme="minorHAnsi" w:cs="Times New Roman"/>
          <w:sz w:val="22"/>
          <w:szCs w:val="22"/>
        </w:rPr>
        <w:t>franc</w:t>
      </w:r>
      <w:r w:rsidR="00105E0C" w:rsidRPr="009A515B">
        <w:rPr>
          <w:rFonts w:asciiTheme="minorHAnsi" w:eastAsia="Batang" w:hAnsiTheme="minorHAnsi" w:cs="Times New Roman"/>
          <w:sz w:val="22"/>
          <w:szCs w:val="22"/>
        </w:rPr>
        <w:t xml:space="preserve"> </w:t>
      </w:r>
      <w:r w:rsidR="00B32E40" w:rsidRPr="009A515B">
        <w:rPr>
          <w:rFonts w:asciiTheme="minorHAnsi" w:eastAsia="Batang" w:hAnsiTheme="minorHAnsi" w:cs="Times New Roman"/>
          <w:sz w:val="22"/>
          <w:szCs w:val="22"/>
        </w:rPr>
        <w:t xml:space="preserve">(CHF) contributions from all Contracting Parties are received, based on the UN </w:t>
      </w:r>
      <w:r w:rsidR="00607AC7" w:rsidRPr="009A515B">
        <w:rPr>
          <w:rFonts w:asciiTheme="minorHAnsi" w:eastAsia="Batang" w:hAnsiTheme="minorHAnsi" w:cs="Times New Roman"/>
          <w:sz w:val="22"/>
          <w:szCs w:val="22"/>
        </w:rPr>
        <w:t xml:space="preserve">scale of assessment, </w:t>
      </w:r>
      <w:r w:rsidR="00B32E40" w:rsidRPr="009A515B">
        <w:rPr>
          <w:rFonts w:asciiTheme="minorHAnsi" w:eastAsia="Batang" w:hAnsiTheme="minorHAnsi" w:cs="Times New Roman"/>
          <w:sz w:val="22"/>
          <w:szCs w:val="22"/>
        </w:rPr>
        <w:t xml:space="preserve">including a voluntary </w:t>
      </w:r>
      <w:r w:rsidR="0018623B">
        <w:rPr>
          <w:rFonts w:asciiTheme="minorHAnsi" w:eastAsia="Batang" w:hAnsiTheme="minorHAnsi" w:cs="Times New Roman"/>
          <w:sz w:val="22"/>
          <w:szCs w:val="22"/>
        </w:rPr>
        <w:t>contribution</w:t>
      </w:r>
      <w:r w:rsidR="00B32E40" w:rsidRPr="009A515B">
        <w:rPr>
          <w:rFonts w:asciiTheme="minorHAnsi" w:eastAsia="Batang" w:hAnsiTheme="minorHAnsi" w:cs="Times New Roman"/>
          <w:sz w:val="22"/>
          <w:szCs w:val="22"/>
        </w:rPr>
        <w:t xml:space="preserve"> of 22% from the United States of America</w:t>
      </w:r>
      <w:r w:rsidR="00A60635">
        <w:rPr>
          <w:rFonts w:asciiTheme="minorHAnsi" w:eastAsia="Batang" w:hAnsiTheme="minorHAnsi" w:cs="Times New Roman"/>
          <w:sz w:val="22"/>
          <w:szCs w:val="22"/>
        </w:rPr>
        <w:t>.</w:t>
      </w:r>
    </w:p>
    <w:p w14:paraId="1EA8E174" w14:textId="77777777" w:rsidR="00241822" w:rsidRDefault="00241822" w:rsidP="00241822">
      <w:pPr>
        <w:pStyle w:val="MGfulltext"/>
        <w:spacing w:after="0"/>
        <w:ind w:left="850" w:hanging="425"/>
        <w:rPr>
          <w:rFonts w:asciiTheme="minorHAnsi" w:eastAsia="Batang" w:hAnsiTheme="minorHAnsi" w:cs="Times New Roman"/>
          <w:sz w:val="22"/>
          <w:szCs w:val="22"/>
        </w:rPr>
      </w:pPr>
    </w:p>
    <w:p w14:paraId="4FDDD2B1" w14:textId="098B6AD4" w:rsidR="00B32E40" w:rsidRPr="009A515B"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b.</w:t>
      </w:r>
      <w:r>
        <w:rPr>
          <w:rFonts w:asciiTheme="minorHAnsi" w:eastAsia="Batang" w:hAnsiTheme="minorHAnsi" w:cs="Times New Roman"/>
          <w:sz w:val="22"/>
          <w:szCs w:val="22"/>
        </w:rPr>
        <w:tab/>
      </w:r>
      <w:r w:rsidR="00B32E40" w:rsidRPr="00D60B3D">
        <w:rPr>
          <w:rFonts w:asciiTheme="minorHAnsi" w:eastAsia="Batang" w:hAnsiTheme="minorHAnsi" w:cs="Times New Roman"/>
          <w:sz w:val="22"/>
          <w:szCs w:val="22"/>
        </w:rPr>
        <w:t xml:space="preserve">Continuation of </w:t>
      </w:r>
      <w:r w:rsidR="00D60B3D" w:rsidRPr="006D3CBA">
        <w:rPr>
          <w:rFonts w:asciiTheme="minorHAnsi" w:eastAsia="Batang" w:hAnsiTheme="minorHAnsi" w:cs="Times New Roman"/>
          <w:sz w:val="22"/>
          <w:szCs w:val="22"/>
        </w:rPr>
        <w:t xml:space="preserve">the </w:t>
      </w:r>
      <w:r w:rsidR="006D3CBA">
        <w:rPr>
          <w:rFonts w:asciiTheme="minorHAnsi" w:eastAsia="Batang" w:hAnsiTheme="minorHAnsi" w:cs="Times New Roman"/>
          <w:sz w:val="22"/>
          <w:szCs w:val="22"/>
        </w:rPr>
        <w:t>c</w:t>
      </w:r>
      <w:r w:rsidR="00B32E40" w:rsidRPr="00D60B3D">
        <w:rPr>
          <w:rFonts w:asciiTheme="minorHAnsi" w:eastAsia="Batang" w:hAnsiTheme="minorHAnsi" w:cs="Times New Roman"/>
          <w:sz w:val="22"/>
          <w:szCs w:val="22"/>
        </w:rPr>
        <w:t xml:space="preserve">urrent </w:t>
      </w:r>
      <w:r w:rsidR="00D60B3D" w:rsidRPr="006D3CBA">
        <w:rPr>
          <w:rFonts w:asciiTheme="minorHAnsi" w:eastAsia="Batang" w:hAnsiTheme="minorHAnsi" w:cs="Times New Roman"/>
          <w:sz w:val="22"/>
          <w:szCs w:val="22"/>
        </w:rPr>
        <w:t>leve</w:t>
      </w:r>
      <w:r w:rsidR="00970C63">
        <w:rPr>
          <w:rFonts w:asciiTheme="minorHAnsi" w:eastAsia="Batang" w:hAnsiTheme="minorHAnsi" w:cs="Times New Roman"/>
          <w:sz w:val="22"/>
          <w:szCs w:val="22"/>
        </w:rPr>
        <w:t>l of core funding for staffing</w:t>
      </w:r>
      <w:r w:rsidR="00A60635">
        <w:rPr>
          <w:rFonts w:asciiTheme="minorHAnsi" w:eastAsia="Batang" w:hAnsiTheme="minorHAnsi" w:cs="Times New Roman"/>
          <w:sz w:val="22"/>
          <w:szCs w:val="22"/>
        </w:rPr>
        <w:t>.</w:t>
      </w:r>
    </w:p>
    <w:p w14:paraId="0BE8A8F2" w14:textId="77777777" w:rsidR="00241822" w:rsidRDefault="00241822" w:rsidP="00241822">
      <w:pPr>
        <w:pStyle w:val="MGfulltext"/>
        <w:spacing w:after="0"/>
        <w:ind w:left="850" w:hanging="425"/>
        <w:rPr>
          <w:rFonts w:asciiTheme="minorHAnsi" w:eastAsia="Batang" w:hAnsiTheme="minorHAnsi" w:cs="Times New Roman"/>
          <w:sz w:val="22"/>
          <w:szCs w:val="22"/>
        </w:rPr>
      </w:pPr>
    </w:p>
    <w:p w14:paraId="77A5FAD1" w14:textId="09E8AA78" w:rsidR="0083353F" w:rsidRPr="00D60B3D"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c.</w:t>
      </w:r>
      <w:r>
        <w:rPr>
          <w:rFonts w:asciiTheme="minorHAnsi" w:eastAsia="Batang" w:hAnsiTheme="minorHAnsi" w:cs="Times New Roman"/>
          <w:sz w:val="22"/>
          <w:szCs w:val="22"/>
        </w:rPr>
        <w:tab/>
      </w:r>
      <w:r w:rsidR="0053257A" w:rsidRPr="0083353F">
        <w:rPr>
          <w:rFonts w:asciiTheme="minorHAnsi" w:eastAsia="Batang" w:hAnsiTheme="minorHAnsi" w:cs="Times New Roman"/>
          <w:sz w:val="22"/>
          <w:szCs w:val="22"/>
        </w:rPr>
        <w:t xml:space="preserve">Staff costs have been budgeted based on current actual costs </w:t>
      </w:r>
      <w:r w:rsidR="00947D4A" w:rsidRPr="00D60B3D">
        <w:rPr>
          <w:rFonts w:asciiTheme="minorHAnsi" w:eastAsia="Batang" w:hAnsiTheme="minorHAnsi" w:cs="Times New Roman"/>
          <w:sz w:val="22"/>
          <w:szCs w:val="22"/>
        </w:rPr>
        <w:t xml:space="preserve">in accordance with </w:t>
      </w:r>
      <w:r w:rsidR="0053257A" w:rsidRPr="00D41049">
        <w:rPr>
          <w:rFonts w:asciiTheme="minorHAnsi" w:eastAsia="Batang" w:hAnsiTheme="minorHAnsi" w:cs="Times New Roman"/>
          <w:sz w:val="22"/>
          <w:szCs w:val="22"/>
        </w:rPr>
        <w:t>IUCN policy</w:t>
      </w:r>
      <w:r w:rsidR="00BE5629" w:rsidRPr="00D41049">
        <w:rPr>
          <w:rFonts w:asciiTheme="minorHAnsi" w:eastAsia="Batang" w:hAnsiTheme="minorHAnsi" w:cs="Times New Roman"/>
          <w:sz w:val="22"/>
          <w:szCs w:val="22"/>
        </w:rPr>
        <w:t>. Most</w:t>
      </w:r>
      <w:r w:rsidR="0018239F" w:rsidRPr="00D41049">
        <w:rPr>
          <w:rFonts w:asciiTheme="minorHAnsi" w:eastAsia="Batang" w:hAnsiTheme="minorHAnsi" w:cs="Times New Roman"/>
          <w:sz w:val="22"/>
          <w:szCs w:val="22"/>
        </w:rPr>
        <w:t xml:space="preserve"> UN-administered Conventions </w:t>
      </w:r>
      <w:r w:rsidR="00BE5629" w:rsidRPr="00D41049">
        <w:rPr>
          <w:rFonts w:asciiTheme="minorHAnsi" w:eastAsia="Batang" w:hAnsiTheme="minorHAnsi" w:cs="Times New Roman"/>
          <w:sz w:val="22"/>
          <w:szCs w:val="22"/>
        </w:rPr>
        <w:t xml:space="preserve">develop their </w:t>
      </w:r>
      <w:r w:rsidR="0018239F" w:rsidRPr="00D41049">
        <w:rPr>
          <w:rFonts w:asciiTheme="minorHAnsi" w:eastAsia="Batang" w:hAnsiTheme="minorHAnsi" w:cs="Times New Roman"/>
          <w:sz w:val="22"/>
          <w:szCs w:val="22"/>
        </w:rPr>
        <w:t>budget</w:t>
      </w:r>
      <w:r w:rsidR="00BE5629" w:rsidRPr="00D41049">
        <w:rPr>
          <w:rFonts w:asciiTheme="minorHAnsi" w:eastAsia="Batang" w:hAnsiTheme="minorHAnsi" w:cs="Times New Roman"/>
          <w:sz w:val="22"/>
          <w:szCs w:val="22"/>
        </w:rPr>
        <w:t xml:space="preserve">s </w:t>
      </w:r>
      <w:r w:rsidR="0018239F" w:rsidRPr="00D41049">
        <w:rPr>
          <w:rFonts w:asciiTheme="minorHAnsi" w:eastAsia="Batang" w:hAnsiTheme="minorHAnsi" w:cs="Times New Roman"/>
          <w:sz w:val="22"/>
          <w:szCs w:val="22"/>
        </w:rPr>
        <w:t>on</w:t>
      </w:r>
      <w:r w:rsidR="00BE5629" w:rsidRPr="00D41049">
        <w:rPr>
          <w:rFonts w:asciiTheme="minorHAnsi" w:eastAsia="Batang" w:hAnsiTheme="minorHAnsi" w:cs="Times New Roman"/>
          <w:sz w:val="22"/>
          <w:szCs w:val="22"/>
        </w:rPr>
        <w:t xml:space="preserve"> the basis of</w:t>
      </w:r>
      <w:r w:rsidR="0018239F" w:rsidRPr="00D41049">
        <w:rPr>
          <w:rFonts w:asciiTheme="minorHAnsi" w:eastAsia="Batang" w:hAnsiTheme="minorHAnsi" w:cs="Times New Roman"/>
          <w:sz w:val="22"/>
          <w:szCs w:val="22"/>
        </w:rPr>
        <w:t xml:space="preserve"> standard costs</w:t>
      </w:r>
      <w:r w:rsidR="00BE5629" w:rsidRPr="00D60B3D">
        <w:rPr>
          <w:rFonts w:asciiTheme="minorHAnsi" w:eastAsia="Batang" w:hAnsiTheme="minorHAnsi" w:cs="Times New Roman"/>
          <w:sz w:val="22"/>
          <w:szCs w:val="22"/>
        </w:rPr>
        <w:t xml:space="preserve"> and the Secretariat recommends </w:t>
      </w:r>
      <w:r w:rsidR="00CA3EAA" w:rsidRPr="00D60B3D">
        <w:rPr>
          <w:rFonts w:asciiTheme="minorHAnsi" w:eastAsia="Batang" w:hAnsiTheme="minorHAnsi" w:cs="Times New Roman"/>
          <w:sz w:val="22"/>
          <w:szCs w:val="22"/>
        </w:rPr>
        <w:t>moving</w:t>
      </w:r>
      <w:r w:rsidR="00BE5629" w:rsidRPr="00D60B3D">
        <w:rPr>
          <w:rFonts w:asciiTheme="minorHAnsi" w:eastAsia="Batang" w:hAnsiTheme="minorHAnsi" w:cs="Times New Roman"/>
          <w:sz w:val="22"/>
          <w:szCs w:val="22"/>
        </w:rPr>
        <w:t xml:space="preserve"> in this direction</w:t>
      </w:r>
      <w:r w:rsidR="00D47119">
        <w:rPr>
          <w:rFonts w:asciiTheme="minorHAnsi" w:eastAsia="Batang" w:hAnsiTheme="minorHAnsi" w:cs="Times New Roman"/>
          <w:sz w:val="22"/>
          <w:szCs w:val="22"/>
        </w:rPr>
        <w:t xml:space="preserve"> to keep flexibility in case of changes and adjustments in staff and benefits.</w:t>
      </w:r>
      <w:r w:rsidR="0018239F" w:rsidRPr="00D60B3D">
        <w:rPr>
          <w:rFonts w:asciiTheme="minorHAnsi" w:eastAsia="Batang" w:hAnsiTheme="minorHAnsi" w:cs="Times New Roman"/>
          <w:sz w:val="22"/>
          <w:szCs w:val="22"/>
        </w:rPr>
        <w:t xml:space="preserve"> </w:t>
      </w:r>
      <w:r w:rsidR="0018239F" w:rsidRPr="00914232">
        <w:rPr>
          <w:rFonts w:asciiTheme="minorHAnsi" w:eastAsia="Batang" w:hAnsiTheme="minorHAnsi" w:cs="Times New Roman"/>
          <w:sz w:val="22"/>
          <w:szCs w:val="22"/>
        </w:rPr>
        <w:t>A</w:t>
      </w:r>
      <w:r w:rsidR="001F0F83" w:rsidRPr="00914232">
        <w:rPr>
          <w:rFonts w:asciiTheme="minorHAnsi" w:eastAsia="Batang" w:hAnsiTheme="minorHAnsi" w:cs="Times New Roman"/>
          <w:sz w:val="22"/>
          <w:szCs w:val="22"/>
        </w:rPr>
        <w:t xml:space="preserve"> </w:t>
      </w:r>
      <w:r w:rsidR="005D35BD" w:rsidRPr="00914232">
        <w:rPr>
          <w:rFonts w:asciiTheme="minorHAnsi" w:eastAsia="Batang" w:hAnsiTheme="minorHAnsi" w:cs="Times New Roman"/>
          <w:sz w:val="22"/>
          <w:szCs w:val="22"/>
        </w:rPr>
        <w:t>provision</w:t>
      </w:r>
      <w:r w:rsidR="005D35BD" w:rsidRPr="001F0F83">
        <w:rPr>
          <w:rFonts w:asciiTheme="minorHAnsi" w:eastAsia="Batang" w:hAnsiTheme="minorHAnsi" w:cs="Times New Roman"/>
          <w:sz w:val="22"/>
          <w:szCs w:val="22"/>
        </w:rPr>
        <w:t xml:space="preserve"> </w:t>
      </w:r>
      <w:r w:rsidR="00BE5629" w:rsidRPr="001F0F83">
        <w:rPr>
          <w:rFonts w:asciiTheme="minorHAnsi" w:eastAsia="Batang" w:hAnsiTheme="minorHAnsi" w:cs="Times New Roman"/>
          <w:sz w:val="22"/>
          <w:szCs w:val="22"/>
        </w:rPr>
        <w:t xml:space="preserve">has been included to build flexibility in case of </w:t>
      </w:r>
      <w:r w:rsidR="005D35BD" w:rsidRPr="001F0F83">
        <w:rPr>
          <w:rFonts w:asciiTheme="minorHAnsi" w:eastAsia="Batang" w:hAnsiTheme="minorHAnsi" w:cs="Times New Roman"/>
          <w:sz w:val="22"/>
          <w:szCs w:val="22"/>
        </w:rPr>
        <w:t xml:space="preserve">changes in staff and their </w:t>
      </w:r>
      <w:r w:rsidR="00BE5629" w:rsidRPr="001F0F83">
        <w:rPr>
          <w:rFonts w:asciiTheme="minorHAnsi" w:eastAsia="Batang" w:hAnsiTheme="minorHAnsi" w:cs="Times New Roman"/>
          <w:sz w:val="22"/>
          <w:szCs w:val="22"/>
        </w:rPr>
        <w:t>benefits</w:t>
      </w:r>
      <w:r w:rsidR="00A60635">
        <w:rPr>
          <w:rFonts w:asciiTheme="minorHAnsi" w:eastAsia="Batang" w:hAnsiTheme="minorHAnsi" w:cs="Times New Roman"/>
          <w:sz w:val="22"/>
          <w:szCs w:val="22"/>
        </w:rPr>
        <w:t>.</w:t>
      </w:r>
      <w:r w:rsidR="00BE5629" w:rsidRPr="00D60B3D">
        <w:rPr>
          <w:rFonts w:asciiTheme="minorHAnsi" w:eastAsia="Batang" w:hAnsiTheme="minorHAnsi" w:cs="Times New Roman"/>
          <w:sz w:val="22"/>
          <w:szCs w:val="22"/>
        </w:rPr>
        <w:t xml:space="preserve"> </w:t>
      </w:r>
    </w:p>
    <w:p w14:paraId="359418E4" w14:textId="35812683" w:rsidR="00241822" w:rsidRDefault="00241822" w:rsidP="00241822">
      <w:pPr>
        <w:pStyle w:val="MGfulltext"/>
        <w:spacing w:after="0"/>
        <w:ind w:left="850" w:hanging="425"/>
        <w:rPr>
          <w:rFonts w:asciiTheme="minorHAnsi" w:eastAsia="Batang" w:hAnsiTheme="minorHAnsi" w:cs="Times New Roman"/>
          <w:sz w:val="22"/>
          <w:szCs w:val="22"/>
        </w:rPr>
      </w:pPr>
    </w:p>
    <w:p w14:paraId="36AF3859" w14:textId="2597CCB1" w:rsidR="00674248" w:rsidRDefault="00D47119" w:rsidP="001F0F83">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d.</w:t>
      </w:r>
      <w:r w:rsidR="001F0F83">
        <w:rPr>
          <w:rFonts w:asciiTheme="minorHAnsi" w:eastAsia="Batang" w:hAnsiTheme="minorHAnsi" w:cs="Times New Roman"/>
          <w:sz w:val="22"/>
          <w:szCs w:val="22"/>
        </w:rPr>
        <w:tab/>
      </w:r>
      <w:r>
        <w:rPr>
          <w:rFonts w:asciiTheme="minorHAnsi" w:eastAsia="Batang" w:hAnsiTheme="minorHAnsi" w:cs="Times New Roman"/>
          <w:sz w:val="22"/>
          <w:szCs w:val="22"/>
        </w:rPr>
        <w:t xml:space="preserve">As indicated in Resolution </w:t>
      </w:r>
      <w:r w:rsidRPr="00C025F8">
        <w:rPr>
          <w:rFonts w:asciiTheme="minorHAnsi" w:eastAsia="Batang" w:hAnsiTheme="minorHAnsi" w:cs="Times New Roman"/>
          <w:sz w:val="22"/>
          <w:szCs w:val="22"/>
        </w:rPr>
        <w:t>XIII.2</w:t>
      </w:r>
      <w:r w:rsidR="00970C63">
        <w:rPr>
          <w:rFonts w:asciiTheme="minorHAnsi" w:eastAsia="Batang" w:hAnsiTheme="minorHAnsi" w:cs="Times New Roman"/>
          <w:sz w:val="22"/>
          <w:szCs w:val="22"/>
        </w:rPr>
        <w:t>,</w:t>
      </w:r>
      <w:r w:rsidRPr="00C025F8">
        <w:rPr>
          <w:rFonts w:asciiTheme="minorHAnsi" w:eastAsia="Batang" w:hAnsiTheme="minorHAnsi" w:cs="Times New Roman"/>
          <w:sz w:val="22"/>
          <w:szCs w:val="22"/>
        </w:rPr>
        <w:t xml:space="preserve"> paragraph 15, a gap of CHF 228</w:t>
      </w:r>
      <w:r w:rsidR="00167E31" w:rsidRPr="00C025F8">
        <w:rPr>
          <w:rFonts w:asciiTheme="minorHAnsi" w:eastAsia="Batang" w:hAnsiTheme="minorHAnsi" w:cs="Times New Roman"/>
          <w:sz w:val="22"/>
          <w:szCs w:val="22"/>
        </w:rPr>
        <w:t>K</w:t>
      </w:r>
      <w:r w:rsidRPr="00C025F8">
        <w:rPr>
          <w:rFonts w:asciiTheme="minorHAnsi" w:eastAsia="Batang" w:hAnsiTheme="minorHAnsi" w:cs="Times New Roman"/>
          <w:sz w:val="22"/>
          <w:szCs w:val="22"/>
        </w:rPr>
        <w:t xml:space="preserve"> in the budget for core functions of the Secretariat (</w:t>
      </w:r>
      <w:r w:rsidR="00194B1B" w:rsidRPr="00C025F8">
        <w:rPr>
          <w:rFonts w:asciiTheme="minorHAnsi" w:eastAsia="Batang" w:hAnsiTheme="minorHAnsi" w:cs="Times New Roman"/>
          <w:sz w:val="22"/>
          <w:szCs w:val="22"/>
        </w:rPr>
        <w:t>CHF 120</w:t>
      </w:r>
      <w:r w:rsidR="00167E31" w:rsidRPr="00C025F8">
        <w:rPr>
          <w:rFonts w:asciiTheme="minorHAnsi" w:eastAsia="Batang" w:hAnsiTheme="minorHAnsi" w:cs="Times New Roman"/>
          <w:sz w:val="22"/>
          <w:szCs w:val="22"/>
        </w:rPr>
        <w:t>K</w:t>
      </w:r>
      <w:r w:rsidR="00194B1B" w:rsidRPr="00C025F8">
        <w:rPr>
          <w:rFonts w:asciiTheme="minorHAnsi" w:eastAsia="Batang" w:hAnsiTheme="minorHAnsi" w:cs="Times New Roman"/>
          <w:sz w:val="22"/>
          <w:szCs w:val="22"/>
        </w:rPr>
        <w:t xml:space="preserve"> for Communications, </w:t>
      </w:r>
      <w:r w:rsidR="00E76632" w:rsidRPr="00C025F8">
        <w:rPr>
          <w:rFonts w:asciiTheme="minorHAnsi" w:eastAsia="Batang" w:hAnsiTheme="minorHAnsi" w:cs="Times New Roman"/>
          <w:sz w:val="22"/>
          <w:szCs w:val="22"/>
        </w:rPr>
        <w:t xml:space="preserve">Translation, Publications </w:t>
      </w:r>
      <w:r w:rsidR="00194B1B" w:rsidRPr="00C025F8">
        <w:rPr>
          <w:rFonts w:asciiTheme="minorHAnsi" w:eastAsia="Batang" w:hAnsiTheme="minorHAnsi" w:cs="Times New Roman"/>
          <w:sz w:val="22"/>
          <w:szCs w:val="22"/>
        </w:rPr>
        <w:t xml:space="preserve">and </w:t>
      </w:r>
      <w:r w:rsidR="00E76632" w:rsidRPr="00C025F8">
        <w:rPr>
          <w:rFonts w:asciiTheme="minorHAnsi" w:eastAsia="Batang" w:hAnsiTheme="minorHAnsi" w:cs="Times New Roman"/>
          <w:sz w:val="22"/>
          <w:szCs w:val="22"/>
        </w:rPr>
        <w:t>Reporting Implementation</w:t>
      </w:r>
      <w:r w:rsidR="00194B1B" w:rsidRPr="00C025F8">
        <w:rPr>
          <w:rFonts w:asciiTheme="minorHAnsi" w:eastAsia="Batang" w:hAnsiTheme="minorHAnsi" w:cs="Times New Roman"/>
          <w:sz w:val="22"/>
          <w:szCs w:val="22"/>
        </w:rPr>
        <w:t>, CHF 60</w:t>
      </w:r>
      <w:r w:rsidR="008D713A">
        <w:rPr>
          <w:rFonts w:asciiTheme="minorHAnsi" w:eastAsia="Batang" w:hAnsiTheme="minorHAnsi" w:cs="Times New Roman"/>
          <w:sz w:val="22"/>
          <w:szCs w:val="22"/>
        </w:rPr>
        <w:t>K</w:t>
      </w:r>
      <w:r w:rsidR="00194B1B" w:rsidRPr="00C025F8">
        <w:rPr>
          <w:rFonts w:asciiTheme="minorHAnsi" w:eastAsia="Batang" w:hAnsiTheme="minorHAnsi" w:cs="Times New Roman"/>
          <w:sz w:val="22"/>
          <w:szCs w:val="22"/>
        </w:rPr>
        <w:t xml:space="preserve"> for staff travel (CHF 15</w:t>
      </w:r>
      <w:r w:rsidR="00167E31" w:rsidRPr="00C025F8">
        <w:rPr>
          <w:rFonts w:asciiTheme="minorHAnsi" w:eastAsia="Batang" w:hAnsiTheme="minorHAnsi" w:cs="Times New Roman"/>
          <w:sz w:val="22"/>
          <w:szCs w:val="22"/>
        </w:rPr>
        <w:t>K</w:t>
      </w:r>
      <w:r w:rsidR="00194B1B" w:rsidRPr="00C025F8">
        <w:rPr>
          <w:rFonts w:asciiTheme="minorHAnsi" w:eastAsia="Batang" w:hAnsiTheme="minorHAnsi" w:cs="Times New Roman"/>
          <w:sz w:val="22"/>
          <w:szCs w:val="22"/>
        </w:rPr>
        <w:t xml:space="preserve"> for travel of Secretariat Senior Management, CHF 15</w:t>
      </w:r>
      <w:r w:rsidR="00167E31" w:rsidRPr="00C025F8">
        <w:rPr>
          <w:rFonts w:asciiTheme="minorHAnsi" w:eastAsia="Batang" w:hAnsiTheme="minorHAnsi" w:cs="Times New Roman"/>
          <w:sz w:val="22"/>
          <w:szCs w:val="22"/>
        </w:rPr>
        <w:t>K</w:t>
      </w:r>
      <w:r w:rsidR="00194B1B" w:rsidRPr="00C025F8">
        <w:rPr>
          <w:rFonts w:asciiTheme="minorHAnsi" w:eastAsia="Batang" w:hAnsiTheme="minorHAnsi" w:cs="Times New Roman"/>
          <w:sz w:val="22"/>
          <w:szCs w:val="22"/>
        </w:rPr>
        <w:t xml:space="preserve"> for travel of Resource Mobilization and Outreach</w:t>
      </w:r>
      <w:r w:rsidR="00194B1B" w:rsidRPr="005D6FBF">
        <w:rPr>
          <w:rFonts w:asciiTheme="minorHAnsi" w:eastAsia="Batang" w:hAnsiTheme="minorHAnsi" w:cs="Times New Roman"/>
          <w:sz w:val="22"/>
          <w:szCs w:val="22"/>
        </w:rPr>
        <w:t xml:space="preserve"> and CHF 30</w:t>
      </w:r>
      <w:r w:rsidR="00167E31">
        <w:rPr>
          <w:rFonts w:asciiTheme="minorHAnsi" w:eastAsia="Batang" w:hAnsiTheme="minorHAnsi" w:cs="Times New Roman"/>
          <w:sz w:val="22"/>
          <w:szCs w:val="22"/>
        </w:rPr>
        <w:t>K</w:t>
      </w:r>
      <w:r w:rsidR="00194B1B" w:rsidRPr="005D6FBF">
        <w:rPr>
          <w:rFonts w:asciiTheme="minorHAnsi" w:eastAsia="Batang" w:hAnsiTheme="minorHAnsi" w:cs="Times New Roman"/>
          <w:sz w:val="22"/>
          <w:szCs w:val="22"/>
        </w:rPr>
        <w:t xml:space="preserve"> for travel of Regional Advice and Support), CHF 15</w:t>
      </w:r>
      <w:r w:rsidR="00167E31">
        <w:rPr>
          <w:rFonts w:asciiTheme="minorHAnsi" w:eastAsia="Batang" w:hAnsiTheme="minorHAnsi" w:cs="Times New Roman"/>
          <w:sz w:val="22"/>
          <w:szCs w:val="22"/>
        </w:rPr>
        <w:t>K</w:t>
      </w:r>
      <w:r w:rsidR="00194B1B" w:rsidRPr="005D6FBF">
        <w:rPr>
          <w:rFonts w:asciiTheme="minorHAnsi" w:eastAsia="Batang" w:hAnsiTheme="minorHAnsi" w:cs="Times New Roman"/>
          <w:sz w:val="22"/>
          <w:szCs w:val="22"/>
        </w:rPr>
        <w:t xml:space="preserve"> for STRP </w:t>
      </w:r>
      <w:r w:rsidR="000376CE" w:rsidRPr="005D6FBF">
        <w:rPr>
          <w:rFonts w:asciiTheme="minorHAnsi" w:eastAsia="Batang" w:hAnsiTheme="minorHAnsi" w:cs="Times New Roman"/>
          <w:sz w:val="22"/>
          <w:szCs w:val="22"/>
        </w:rPr>
        <w:t>Implementation</w:t>
      </w:r>
      <w:r w:rsidR="00194B1B" w:rsidRPr="005D6FBF">
        <w:rPr>
          <w:rFonts w:asciiTheme="minorHAnsi" w:eastAsia="Batang" w:hAnsiTheme="minorHAnsi" w:cs="Times New Roman"/>
          <w:sz w:val="22"/>
          <w:szCs w:val="22"/>
        </w:rPr>
        <w:t>, and CHF 33</w:t>
      </w:r>
      <w:r w:rsidR="00167E31">
        <w:rPr>
          <w:rFonts w:asciiTheme="minorHAnsi" w:eastAsia="Batang" w:hAnsiTheme="minorHAnsi" w:cs="Times New Roman"/>
          <w:sz w:val="22"/>
          <w:szCs w:val="22"/>
        </w:rPr>
        <w:t>K</w:t>
      </w:r>
      <w:r w:rsidR="00194B1B" w:rsidRPr="005D6FBF">
        <w:rPr>
          <w:rFonts w:asciiTheme="minorHAnsi" w:eastAsia="Batang" w:hAnsiTheme="minorHAnsi" w:cs="Times New Roman"/>
          <w:sz w:val="22"/>
          <w:szCs w:val="22"/>
        </w:rPr>
        <w:t xml:space="preserve"> for </w:t>
      </w:r>
      <w:r w:rsidR="000376CE" w:rsidRPr="005D6FBF">
        <w:rPr>
          <w:rFonts w:asciiTheme="minorHAnsi" w:eastAsia="Batang" w:hAnsiTheme="minorHAnsi" w:cs="Times New Roman"/>
          <w:sz w:val="22"/>
          <w:szCs w:val="22"/>
        </w:rPr>
        <w:t xml:space="preserve">Planning </w:t>
      </w:r>
      <w:r w:rsidR="00194B1B" w:rsidRPr="005D6FBF">
        <w:rPr>
          <w:rFonts w:asciiTheme="minorHAnsi" w:eastAsia="Batang" w:hAnsiTheme="minorHAnsi" w:cs="Times New Roman"/>
          <w:sz w:val="22"/>
          <w:szCs w:val="22"/>
        </w:rPr>
        <w:t xml:space="preserve">and </w:t>
      </w:r>
      <w:r w:rsidR="000376CE" w:rsidRPr="005D6FBF">
        <w:rPr>
          <w:rFonts w:asciiTheme="minorHAnsi" w:eastAsia="Batang" w:hAnsiTheme="minorHAnsi" w:cs="Times New Roman"/>
          <w:sz w:val="22"/>
          <w:szCs w:val="22"/>
        </w:rPr>
        <w:t>Capacity Building</w:t>
      </w:r>
      <w:r>
        <w:rPr>
          <w:rFonts w:asciiTheme="minorHAnsi" w:eastAsia="Batang" w:hAnsiTheme="minorHAnsi" w:cs="Times New Roman"/>
          <w:sz w:val="22"/>
          <w:szCs w:val="22"/>
        </w:rPr>
        <w:t xml:space="preserve">) was created to accommodate the addition of a position of Finance and Accounting Assistant, and COP13 approved the use of surplus from the previous triennium to cover this gap. </w:t>
      </w:r>
      <w:r w:rsidR="00674248">
        <w:rPr>
          <w:rFonts w:asciiTheme="minorHAnsi" w:eastAsia="Batang" w:hAnsiTheme="minorHAnsi" w:cs="Times New Roman"/>
          <w:sz w:val="22"/>
          <w:szCs w:val="22"/>
        </w:rPr>
        <w:t xml:space="preserve">Staff costs in </w:t>
      </w:r>
      <w:r w:rsidR="00C4117F">
        <w:rPr>
          <w:rFonts w:asciiTheme="minorHAnsi" w:eastAsia="Batang" w:hAnsiTheme="minorHAnsi" w:cs="Times New Roman"/>
          <w:sz w:val="22"/>
          <w:szCs w:val="22"/>
        </w:rPr>
        <w:t xml:space="preserve">scenario A for the </w:t>
      </w:r>
      <w:r w:rsidR="002E70AF">
        <w:rPr>
          <w:rFonts w:asciiTheme="minorHAnsi" w:eastAsia="Batang" w:hAnsiTheme="minorHAnsi" w:cs="Times New Roman"/>
          <w:sz w:val="22"/>
          <w:szCs w:val="22"/>
        </w:rPr>
        <w:t>2023-2025</w:t>
      </w:r>
      <w:r w:rsidR="00674248">
        <w:rPr>
          <w:rFonts w:asciiTheme="minorHAnsi" w:eastAsia="Batang" w:hAnsiTheme="minorHAnsi" w:cs="Times New Roman"/>
          <w:sz w:val="22"/>
          <w:szCs w:val="22"/>
        </w:rPr>
        <w:t xml:space="preserve"> budget include </w:t>
      </w:r>
      <w:r>
        <w:rPr>
          <w:rFonts w:asciiTheme="minorHAnsi" w:eastAsia="Batang" w:hAnsiTheme="minorHAnsi" w:cs="Times New Roman"/>
          <w:sz w:val="22"/>
          <w:szCs w:val="22"/>
        </w:rPr>
        <w:t xml:space="preserve">this position of </w:t>
      </w:r>
      <w:r w:rsidR="00674248">
        <w:rPr>
          <w:rFonts w:asciiTheme="minorHAnsi" w:eastAsia="Batang" w:hAnsiTheme="minorHAnsi" w:cs="Times New Roman"/>
          <w:sz w:val="22"/>
          <w:szCs w:val="22"/>
        </w:rPr>
        <w:t>Finance</w:t>
      </w:r>
      <w:r w:rsidR="0093047A">
        <w:rPr>
          <w:rFonts w:asciiTheme="minorHAnsi" w:eastAsia="Batang" w:hAnsiTheme="minorHAnsi" w:cs="Times New Roman"/>
          <w:sz w:val="22"/>
          <w:szCs w:val="22"/>
        </w:rPr>
        <w:t xml:space="preserve"> and Accounting</w:t>
      </w:r>
      <w:r w:rsidR="00674248">
        <w:rPr>
          <w:rFonts w:asciiTheme="minorHAnsi" w:eastAsia="Batang" w:hAnsiTheme="minorHAnsi" w:cs="Times New Roman"/>
          <w:sz w:val="22"/>
          <w:szCs w:val="22"/>
        </w:rPr>
        <w:t xml:space="preserve"> Assistant, </w:t>
      </w:r>
      <w:r>
        <w:rPr>
          <w:rFonts w:asciiTheme="minorHAnsi" w:eastAsia="Batang" w:hAnsiTheme="minorHAnsi" w:cs="Times New Roman"/>
          <w:sz w:val="22"/>
          <w:szCs w:val="22"/>
        </w:rPr>
        <w:t xml:space="preserve">thus </w:t>
      </w:r>
      <w:r w:rsidR="00C4117F">
        <w:rPr>
          <w:rFonts w:asciiTheme="minorHAnsi" w:eastAsia="Batang" w:hAnsiTheme="minorHAnsi" w:cs="Times New Roman"/>
          <w:sz w:val="22"/>
          <w:szCs w:val="22"/>
        </w:rPr>
        <w:t>resulting in</w:t>
      </w:r>
      <w:r>
        <w:rPr>
          <w:rFonts w:asciiTheme="minorHAnsi" w:eastAsia="Batang" w:hAnsiTheme="minorHAnsi" w:cs="Times New Roman"/>
          <w:sz w:val="22"/>
          <w:szCs w:val="22"/>
        </w:rPr>
        <w:t xml:space="preserve"> the same gap</w:t>
      </w:r>
      <w:r w:rsidR="00674248">
        <w:rPr>
          <w:rFonts w:asciiTheme="minorHAnsi" w:eastAsia="Batang" w:hAnsiTheme="minorHAnsi" w:cs="Times New Roman"/>
          <w:sz w:val="22"/>
          <w:szCs w:val="22"/>
        </w:rPr>
        <w:t xml:space="preserve"> in the core budget.</w:t>
      </w:r>
      <w:r w:rsidR="00970C63">
        <w:rPr>
          <w:rFonts w:asciiTheme="minorHAnsi" w:eastAsia="Batang" w:hAnsiTheme="minorHAnsi" w:cs="Times New Roman"/>
          <w:sz w:val="22"/>
          <w:szCs w:val="22"/>
        </w:rPr>
        <w:t xml:space="preserve"> </w:t>
      </w:r>
      <w:r>
        <w:rPr>
          <w:rFonts w:asciiTheme="minorHAnsi" w:eastAsia="Batang" w:hAnsiTheme="minorHAnsi" w:cs="Times New Roman"/>
          <w:sz w:val="22"/>
          <w:szCs w:val="22"/>
        </w:rPr>
        <w:t xml:space="preserve">The Secretariat has recommended in document </w:t>
      </w:r>
      <w:r w:rsidR="00194B1B">
        <w:rPr>
          <w:rFonts w:asciiTheme="minorHAnsi" w:eastAsia="Batang" w:hAnsiTheme="minorHAnsi" w:cs="Times New Roman"/>
          <w:sz w:val="22"/>
          <w:szCs w:val="22"/>
        </w:rPr>
        <w:t>SC59</w:t>
      </w:r>
      <w:r w:rsidR="002E70AF">
        <w:rPr>
          <w:rFonts w:asciiTheme="minorHAnsi" w:eastAsia="Batang" w:hAnsiTheme="minorHAnsi" w:cs="Times New Roman"/>
          <w:sz w:val="22"/>
          <w:szCs w:val="22"/>
        </w:rPr>
        <w:t>/2022</w:t>
      </w:r>
      <w:r w:rsidR="00194B1B">
        <w:rPr>
          <w:rFonts w:asciiTheme="minorHAnsi" w:eastAsia="Batang" w:hAnsiTheme="minorHAnsi" w:cs="Times New Roman"/>
          <w:sz w:val="22"/>
          <w:szCs w:val="22"/>
        </w:rPr>
        <w:t xml:space="preserve"> Doc 8.1 </w:t>
      </w:r>
      <w:r w:rsidR="00194B1B" w:rsidRPr="00194B1B">
        <w:rPr>
          <w:rFonts w:asciiTheme="minorHAnsi" w:eastAsia="Batang" w:hAnsiTheme="minorHAnsi" w:cs="Times New Roman"/>
          <w:i/>
          <w:sz w:val="22"/>
          <w:szCs w:val="22"/>
        </w:rPr>
        <w:t>Report on financial matters for 2019</w:t>
      </w:r>
      <w:r w:rsidR="004A0CCC">
        <w:rPr>
          <w:rFonts w:asciiTheme="minorHAnsi" w:eastAsia="Batang" w:hAnsiTheme="minorHAnsi" w:cs="Times New Roman"/>
          <w:i/>
          <w:sz w:val="22"/>
          <w:szCs w:val="22"/>
        </w:rPr>
        <w:t>-</w:t>
      </w:r>
      <w:r w:rsidR="00194B1B" w:rsidRPr="00194B1B">
        <w:rPr>
          <w:rFonts w:asciiTheme="minorHAnsi" w:eastAsia="Batang" w:hAnsiTheme="minorHAnsi" w:cs="Times New Roman"/>
          <w:i/>
          <w:sz w:val="22"/>
          <w:szCs w:val="22"/>
        </w:rPr>
        <w:t>2021</w:t>
      </w:r>
      <w:r w:rsidR="004A0CCC">
        <w:rPr>
          <w:rFonts w:asciiTheme="minorHAnsi" w:eastAsia="Batang" w:hAnsiTheme="minorHAnsi" w:cs="Times New Roman"/>
          <w:i/>
          <w:sz w:val="22"/>
          <w:szCs w:val="22"/>
        </w:rPr>
        <w:t xml:space="preserve"> and 2022 </w:t>
      </w:r>
      <w:r>
        <w:rPr>
          <w:rFonts w:asciiTheme="minorHAnsi" w:eastAsia="Batang" w:hAnsiTheme="minorHAnsi" w:cs="Times New Roman"/>
          <w:sz w:val="22"/>
          <w:szCs w:val="22"/>
        </w:rPr>
        <w:t xml:space="preserve">to use surplus from </w:t>
      </w:r>
      <w:r w:rsidR="009217EC">
        <w:rPr>
          <w:rFonts w:asciiTheme="minorHAnsi" w:eastAsia="Batang" w:hAnsiTheme="minorHAnsi" w:cs="Times New Roman"/>
          <w:sz w:val="22"/>
          <w:szCs w:val="22"/>
        </w:rPr>
        <w:t xml:space="preserve">the </w:t>
      </w:r>
      <w:r>
        <w:rPr>
          <w:rFonts w:asciiTheme="minorHAnsi" w:eastAsia="Batang" w:hAnsiTheme="minorHAnsi" w:cs="Times New Roman"/>
          <w:sz w:val="22"/>
          <w:szCs w:val="22"/>
        </w:rPr>
        <w:t xml:space="preserve">2019-2021 </w:t>
      </w:r>
      <w:r w:rsidR="00227C59">
        <w:rPr>
          <w:rFonts w:asciiTheme="minorHAnsi" w:eastAsia="Batang" w:hAnsiTheme="minorHAnsi" w:cs="Times New Roman"/>
          <w:sz w:val="22"/>
          <w:szCs w:val="22"/>
        </w:rPr>
        <w:t xml:space="preserve">triennium </w:t>
      </w:r>
      <w:r>
        <w:rPr>
          <w:rFonts w:asciiTheme="minorHAnsi" w:eastAsia="Batang" w:hAnsiTheme="minorHAnsi" w:cs="Times New Roman"/>
          <w:sz w:val="22"/>
          <w:szCs w:val="22"/>
        </w:rPr>
        <w:t>for the same amount of CHF 228</w:t>
      </w:r>
      <w:r w:rsidR="00167E31">
        <w:rPr>
          <w:rFonts w:asciiTheme="minorHAnsi" w:eastAsia="Batang" w:hAnsiTheme="minorHAnsi" w:cs="Times New Roman"/>
          <w:sz w:val="22"/>
          <w:szCs w:val="22"/>
        </w:rPr>
        <w:t>K</w:t>
      </w:r>
      <w:r w:rsidR="00C4117F">
        <w:rPr>
          <w:rFonts w:asciiTheme="minorHAnsi" w:eastAsia="Batang" w:hAnsiTheme="minorHAnsi" w:cs="Times New Roman"/>
          <w:sz w:val="22"/>
          <w:szCs w:val="22"/>
        </w:rPr>
        <w:t xml:space="preserve"> to cover this gap. </w:t>
      </w:r>
      <w:r w:rsidR="00191794">
        <w:rPr>
          <w:rFonts w:asciiTheme="minorHAnsi" w:eastAsia="Batang" w:hAnsiTheme="minorHAnsi" w:cs="Times New Roman"/>
          <w:sz w:val="22"/>
          <w:szCs w:val="22"/>
        </w:rPr>
        <w:t>Scenario A</w:t>
      </w:r>
      <w:r w:rsidR="00C4117F">
        <w:rPr>
          <w:rFonts w:asciiTheme="minorHAnsi" w:eastAsia="Batang" w:hAnsiTheme="minorHAnsi" w:cs="Times New Roman"/>
          <w:sz w:val="22"/>
          <w:szCs w:val="22"/>
        </w:rPr>
        <w:t xml:space="preserve"> assumes </w:t>
      </w:r>
      <w:r w:rsidR="0008391B">
        <w:rPr>
          <w:rFonts w:asciiTheme="minorHAnsi" w:eastAsia="Batang" w:hAnsiTheme="minorHAnsi" w:cs="Times New Roman"/>
          <w:sz w:val="22"/>
          <w:szCs w:val="22"/>
        </w:rPr>
        <w:t>S</w:t>
      </w:r>
      <w:r w:rsidR="00194B1B">
        <w:rPr>
          <w:rFonts w:asciiTheme="minorHAnsi" w:eastAsia="Batang" w:hAnsiTheme="minorHAnsi" w:cs="Times New Roman"/>
          <w:sz w:val="22"/>
          <w:szCs w:val="22"/>
        </w:rPr>
        <w:t xml:space="preserve">tanding </w:t>
      </w:r>
      <w:r w:rsidR="0008391B">
        <w:rPr>
          <w:rFonts w:asciiTheme="minorHAnsi" w:eastAsia="Batang" w:hAnsiTheme="minorHAnsi" w:cs="Times New Roman"/>
          <w:sz w:val="22"/>
          <w:szCs w:val="22"/>
        </w:rPr>
        <w:t>C</w:t>
      </w:r>
      <w:r w:rsidR="00194B1B">
        <w:rPr>
          <w:rFonts w:asciiTheme="minorHAnsi" w:eastAsia="Batang" w:hAnsiTheme="minorHAnsi" w:cs="Times New Roman"/>
          <w:sz w:val="22"/>
          <w:szCs w:val="22"/>
        </w:rPr>
        <w:t>ommittee</w:t>
      </w:r>
      <w:r w:rsidR="00227C59">
        <w:rPr>
          <w:rFonts w:asciiTheme="minorHAnsi" w:eastAsia="Batang" w:hAnsiTheme="minorHAnsi" w:cs="Times New Roman"/>
          <w:sz w:val="22"/>
          <w:szCs w:val="22"/>
        </w:rPr>
        <w:t>’s</w:t>
      </w:r>
      <w:r w:rsidR="0008391B">
        <w:rPr>
          <w:rFonts w:asciiTheme="minorHAnsi" w:eastAsia="Batang" w:hAnsiTheme="minorHAnsi" w:cs="Times New Roman"/>
          <w:sz w:val="22"/>
          <w:szCs w:val="22"/>
        </w:rPr>
        <w:t xml:space="preserve"> approval of </w:t>
      </w:r>
      <w:r w:rsidR="00C4117F">
        <w:rPr>
          <w:rFonts w:asciiTheme="minorHAnsi" w:eastAsia="Batang" w:hAnsiTheme="minorHAnsi" w:cs="Times New Roman"/>
          <w:sz w:val="22"/>
          <w:szCs w:val="22"/>
        </w:rPr>
        <w:t>th</w:t>
      </w:r>
      <w:r w:rsidR="0008391B">
        <w:rPr>
          <w:rFonts w:asciiTheme="minorHAnsi" w:eastAsia="Batang" w:hAnsiTheme="minorHAnsi" w:cs="Times New Roman"/>
          <w:sz w:val="22"/>
          <w:szCs w:val="22"/>
        </w:rPr>
        <w:t>e</w:t>
      </w:r>
      <w:r w:rsidR="00C4117F">
        <w:rPr>
          <w:rFonts w:asciiTheme="minorHAnsi" w:eastAsia="Batang" w:hAnsiTheme="minorHAnsi" w:cs="Times New Roman"/>
          <w:sz w:val="22"/>
          <w:szCs w:val="22"/>
        </w:rPr>
        <w:t xml:space="preserve"> use of surplus</w:t>
      </w:r>
      <w:r w:rsidR="0008391B">
        <w:rPr>
          <w:rFonts w:asciiTheme="minorHAnsi" w:eastAsia="Batang" w:hAnsiTheme="minorHAnsi" w:cs="Times New Roman"/>
          <w:sz w:val="22"/>
          <w:szCs w:val="22"/>
        </w:rPr>
        <w:t xml:space="preserve"> for this purpose</w:t>
      </w:r>
      <w:r w:rsidR="00C4117F">
        <w:rPr>
          <w:rFonts w:asciiTheme="minorHAnsi" w:eastAsia="Batang" w:hAnsiTheme="minorHAnsi" w:cs="Times New Roman"/>
          <w:sz w:val="22"/>
          <w:szCs w:val="22"/>
        </w:rPr>
        <w:t xml:space="preserve">, following the same approach as in the past triennium, so that the budget for core work </w:t>
      </w:r>
      <w:r w:rsidR="00970C63">
        <w:rPr>
          <w:rFonts w:asciiTheme="minorHAnsi" w:eastAsia="Batang" w:hAnsiTheme="minorHAnsi" w:cs="Times New Roman"/>
          <w:sz w:val="22"/>
          <w:szCs w:val="22"/>
        </w:rPr>
        <w:t>of the Secretariat is restored</w:t>
      </w:r>
      <w:r w:rsidR="00A60635">
        <w:rPr>
          <w:rFonts w:asciiTheme="minorHAnsi" w:eastAsia="Batang" w:hAnsiTheme="minorHAnsi" w:cs="Times New Roman"/>
          <w:sz w:val="22"/>
          <w:szCs w:val="22"/>
        </w:rPr>
        <w:t>.</w:t>
      </w:r>
    </w:p>
    <w:p w14:paraId="4DFE69F3" w14:textId="0BFCAB74" w:rsidR="00674248" w:rsidRDefault="00674248" w:rsidP="002A34CC">
      <w:pPr>
        <w:pStyle w:val="MGfulltext"/>
        <w:spacing w:after="0"/>
        <w:ind w:left="850" w:hanging="425"/>
        <w:rPr>
          <w:rFonts w:asciiTheme="minorHAnsi" w:eastAsia="Batang" w:hAnsiTheme="minorHAnsi" w:cs="Times New Roman"/>
          <w:sz w:val="22"/>
          <w:szCs w:val="22"/>
        </w:rPr>
      </w:pPr>
    </w:p>
    <w:p w14:paraId="47F3C4CD" w14:textId="052BA030" w:rsidR="00C527AA" w:rsidRDefault="00970C63" w:rsidP="0068433D">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e</w:t>
      </w:r>
      <w:r w:rsidR="00241822">
        <w:rPr>
          <w:rFonts w:asciiTheme="minorHAnsi" w:eastAsia="Batang" w:hAnsiTheme="minorHAnsi" w:cs="Times New Roman"/>
          <w:sz w:val="22"/>
          <w:szCs w:val="22"/>
        </w:rPr>
        <w:t>.</w:t>
      </w:r>
      <w:r w:rsidR="00241822">
        <w:rPr>
          <w:rFonts w:asciiTheme="minorHAnsi" w:eastAsia="Batang" w:hAnsiTheme="minorHAnsi" w:cs="Times New Roman"/>
          <w:sz w:val="22"/>
          <w:szCs w:val="22"/>
        </w:rPr>
        <w:tab/>
      </w:r>
      <w:r w:rsidR="00A433E8" w:rsidRPr="00241822">
        <w:rPr>
          <w:rFonts w:asciiTheme="minorHAnsi" w:eastAsia="Batang" w:hAnsiTheme="minorHAnsi" w:cs="Times New Roman"/>
          <w:sz w:val="22"/>
          <w:szCs w:val="22"/>
        </w:rPr>
        <w:t>In accordance with</w:t>
      </w:r>
      <w:r w:rsidR="0053257A" w:rsidRPr="00241822">
        <w:rPr>
          <w:rFonts w:asciiTheme="minorHAnsi" w:eastAsia="Batang" w:hAnsiTheme="minorHAnsi" w:cs="Times New Roman"/>
          <w:sz w:val="22"/>
          <w:szCs w:val="22"/>
        </w:rPr>
        <w:t xml:space="preserve"> the IUCN H</w:t>
      </w:r>
      <w:r w:rsidR="00A433E8" w:rsidRPr="00241822">
        <w:rPr>
          <w:rFonts w:asciiTheme="minorHAnsi" w:eastAsia="Batang" w:hAnsiTheme="minorHAnsi" w:cs="Times New Roman"/>
          <w:sz w:val="22"/>
          <w:szCs w:val="22"/>
        </w:rPr>
        <w:t xml:space="preserve">uman </w:t>
      </w:r>
      <w:r w:rsidR="0053257A" w:rsidRPr="00241822">
        <w:rPr>
          <w:rFonts w:asciiTheme="minorHAnsi" w:eastAsia="Batang" w:hAnsiTheme="minorHAnsi" w:cs="Times New Roman"/>
          <w:sz w:val="22"/>
          <w:szCs w:val="22"/>
        </w:rPr>
        <w:t>R</w:t>
      </w:r>
      <w:r w:rsidR="00A433E8" w:rsidRPr="00241822">
        <w:rPr>
          <w:rFonts w:asciiTheme="minorHAnsi" w:eastAsia="Batang" w:hAnsiTheme="minorHAnsi" w:cs="Times New Roman"/>
          <w:sz w:val="22"/>
          <w:szCs w:val="22"/>
        </w:rPr>
        <w:t>esources</w:t>
      </w:r>
      <w:r w:rsidR="0053257A" w:rsidRPr="00241822">
        <w:rPr>
          <w:rFonts w:asciiTheme="minorHAnsi" w:eastAsia="Batang" w:hAnsiTheme="minorHAnsi" w:cs="Times New Roman"/>
          <w:sz w:val="22"/>
          <w:szCs w:val="22"/>
        </w:rPr>
        <w:t xml:space="preserve"> </w:t>
      </w:r>
      <w:r w:rsidR="00FB70D8" w:rsidRPr="00241822">
        <w:rPr>
          <w:rFonts w:asciiTheme="minorHAnsi" w:eastAsia="Batang" w:hAnsiTheme="minorHAnsi" w:cs="Times New Roman"/>
          <w:sz w:val="22"/>
          <w:szCs w:val="22"/>
        </w:rPr>
        <w:t xml:space="preserve">guidelines on compensation, </w:t>
      </w:r>
      <w:r w:rsidR="0053257A" w:rsidRPr="00241822">
        <w:rPr>
          <w:rFonts w:asciiTheme="minorHAnsi" w:eastAsia="Batang" w:hAnsiTheme="minorHAnsi" w:cs="Times New Roman"/>
          <w:sz w:val="22"/>
          <w:szCs w:val="22"/>
        </w:rPr>
        <w:t xml:space="preserve">staff salaries include a performance-based increase </w:t>
      </w:r>
      <w:r w:rsidR="0050463E">
        <w:rPr>
          <w:rFonts w:asciiTheme="minorHAnsi" w:eastAsia="Batang" w:hAnsiTheme="minorHAnsi" w:cs="Times New Roman"/>
          <w:sz w:val="22"/>
          <w:szCs w:val="22"/>
        </w:rPr>
        <w:t xml:space="preserve">and bonus system </w:t>
      </w:r>
      <w:r w:rsidR="00FB70D8" w:rsidRPr="00241822">
        <w:rPr>
          <w:rFonts w:asciiTheme="minorHAnsi" w:eastAsia="Batang" w:hAnsiTheme="minorHAnsi" w:cs="Times New Roman"/>
          <w:sz w:val="22"/>
          <w:szCs w:val="22"/>
        </w:rPr>
        <w:t xml:space="preserve">that </w:t>
      </w:r>
      <w:r w:rsidR="00B961C4" w:rsidRPr="00241822">
        <w:rPr>
          <w:rFonts w:asciiTheme="minorHAnsi" w:eastAsia="Batang" w:hAnsiTheme="minorHAnsi" w:cs="Times New Roman"/>
          <w:sz w:val="22"/>
          <w:szCs w:val="22"/>
        </w:rPr>
        <w:t xml:space="preserve">the </w:t>
      </w:r>
      <w:r w:rsidR="00FB70D8" w:rsidRPr="00241822">
        <w:rPr>
          <w:rFonts w:asciiTheme="minorHAnsi" w:eastAsia="Batang" w:hAnsiTheme="minorHAnsi" w:cs="Times New Roman"/>
          <w:sz w:val="22"/>
          <w:szCs w:val="22"/>
        </w:rPr>
        <w:t xml:space="preserve">Ramsar </w:t>
      </w:r>
      <w:r w:rsidR="00B961C4" w:rsidRPr="00241822">
        <w:rPr>
          <w:rFonts w:asciiTheme="minorHAnsi" w:eastAsia="Batang" w:hAnsiTheme="minorHAnsi" w:cs="Times New Roman"/>
          <w:sz w:val="22"/>
          <w:szCs w:val="22"/>
        </w:rPr>
        <w:t xml:space="preserve">Secretariat </w:t>
      </w:r>
      <w:r w:rsidR="003D4537">
        <w:rPr>
          <w:rFonts w:asciiTheme="minorHAnsi" w:eastAsia="Batang" w:hAnsiTheme="minorHAnsi" w:cs="Times New Roman"/>
          <w:sz w:val="22"/>
          <w:szCs w:val="22"/>
        </w:rPr>
        <w:t>has</w:t>
      </w:r>
      <w:r w:rsidR="003D4537" w:rsidRPr="00241822">
        <w:rPr>
          <w:rFonts w:asciiTheme="minorHAnsi" w:eastAsia="Batang" w:hAnsiTheme="minorHAnsi" w:cs="Times New Roman"/>
          <w:sz w:val="22"/>
          <w:szCs w:val="22"/>
        </w:rPr>
        <w:t xml:space="preserve"> </w:t>
      </w:r>
      <w:r w:rsidR="00FB70D8" w:rsidRPr="00241822">
        <w:rPr>
          <w:rFonts w:asciiTheme="minorHAnsi" w:eastAsia="Batang" w:hAnsiTheme="minorHAnsi" w:cs="Times New Roman"/>
          <w:sz w:val="22"/>
          <w:szCs w:val="22"/>
        </w:rPr>
        <w:t>implement</w:t>
      </w:r>
      <w:r w:rsidR="003D4537">
        <w:rPr>
          <w:rFonts w:asciiTheme="minorHAnsi" w:eastAsia="Batang" w:hAnsiTheme="minorHAnsi" w:cs="Times New Roman"/>
          <w:sz w:val="22"/>
          <w:szCs w:val="22"/>
        </w:rPr>
        <w:t>ed</w:t>
      </w:r>
      <w:r w:rsidR="00FB70D8" w:rsidRPr="00241822">
        <w:rPr>
          <w:rFonts w:asciiTheme="minorHAnsi" w:eastAsia="Batang" w:hAnsiTheme="minorHAnsi" w:cs="Times New Roman"/>
          <w:sz w:val="22"/>
          <w:szCs w:val="22"/>
        </w:rPr>
        <w:t xml:space="preserve"> </w:t>
      </w:r>
      <w:r w:rsidR="009217EC">
        <w:rPr>
          <w:rFonts w:asciiTheme="minorHAnsi" w:eastAsia="Batang" w:hAnsiTheme="minorHAnsi" w:cs="Times New Roman"/>
          <w:sz w:val="22"/>
          <w:szCs w:val="22"/>
        </w:rPr>
        <w:t>with effect</w:t>
      </w:r>
      <w:r w:rsidR="00B961C4" w:rsidRPr="00241822">
        <w:rPr>
          <w:rFonts w:asciiTheme="minorHAnsi" w:eastAsia="Batang" w:hAnsiTheme="minorHAnsi" w:cs="Times New Roman"/>
          <w:sz w:val="22"/>
          <w:szCs w:val="22"/>
        </w:rPr>
        <w:t xml:space="preserve"> from</w:t>
      </w:r>
      <w:r w:rsidR="0053257A" w:rsidRPr="00241822">
        <w:rPr>
          <w:rFonts w:asciiTheme="minorHAnsi" w:eastAsia="Batang" w:hAnsiTheme="minorHAnsi" w:cs="Times New Roman"/>
          <w:sz w:val="22"/>
          <w:szCs w:val="22"/>
        </w:rPr>
        <w:t xml:space="preserve"> 1 January 2019</w:t>
      </w:r>
      <w:r w:rsidR="00CD7225">
        <w:rPr>
          <w:rFonts w:asciiTheme="minorHAnsi" w:eastAsia="Batang" w:hAnsiTheme="minorHAnsi" w:cs="Times New Roman"/>
          <w:sz w:val="22"/>
          <w:szCs w:val="22"/>
        </w:rPr>
        <w:t xml:space="preserve"> when t</w:t>
      </w:r>
      <w:r w:rsidR="00643C10">
        <w:rPr>
          <w:rFonts w:asciiTheme="minorHAnsi" w:eastAsia="Batang" w:hAnsiTheme="minorHAnsi" w:cs="Times New Roman"/>
          <w:sz w:val="22"/>
          <w:szCs w:val="22"/>
        </w:rPr>
        <w:t xml:space="preserve">he Secretariat also implemented the IUCN promotions policy. </w:t>
      </w:r>
      <w:r w:rsidR="00C527AA">
        <w:rPr>
          <w:rFonts w:asciiTheme="minorHAnsi" w:eastAsia="Batang" w:hAnsiTheme="minorHAnsi" w:cs="Times New Roman"/>
          <w:sz w:val="22"/>
          <w:szCs w:val="22"/>
        </w:rPr>
        <w:t>The COP13</w:t>
      </w:r>
      <w:r w:rsidR="00105E0C">
        <w:rPr>
          <w:rFonts w:asciiTheme="minorHAnsi" w:eastAsia="Batang" w:hAnsiTheme="minorHAnsi" w:cs="Times New Roman"/>
          <w:sz w:val="22"/>
          <w:szCs w:val="22"/>
        </w:rPr>
        <w:t>-</w:t>
      </w:r>
      <w:r w:rsidR="00C527AA">
        <w:rPr>
          <w:rFonts w:asciiTheme="minorHAnsi" w:eastAsia="Batang" w:hAnsiTheme="minorHAnsi" w:cs="Times New Roman"/>
          <w:sz w:val="22"/>
          <w:szCs w:val="22"/>
        </w:rPr>
        <w:t xml:space="preserve">approved budget </w:t>
      </w:r>
      <w:r w:rsidR="00105E0C">
        <w:rPr>
          <w:rFonts w:asciiTheme="minorHAnsi" w:eastAsia="Batang" w:hAnsiTheme="minorHAnsi" w:cs="Times New Roman"/>
          <w:sz w:val="22"/>
          <w:szCs w:val="22"/>
        </w:rPr>
        <w:t xml:space="preserve">for </w:t>
      </w:r>
      <w:r w:rsidR="00C527AA">
        <w:rPr>
          <w:rFonts w:asciiTheme="minorHAnsi" w:eastAsia="Batang" w:hAnsiTheme="minorHAnsi" w:cs="Times New Roman"/>
          <w:sz w:val="22"/>
          <w:szCs w:val="22"/>
        </w:rPr>
        <w:t xml:space="preserve">2019-2021 included the provision to implement these two policies. </w:t>
      </w:r>
      <w:r w:rsidR="0050463E">
        <w:rPr>
          <w:rFonts w:asciiTheme="minorHAnsi" w:eastAsia="Batang" w:hAnsiTheme="minorHAnsi" w:cs="Times New Roman"/>
          <w:sz w:val="22"/>
          <w:szCs w:val="22"/>
        </w:rPr>
        <w:t xml:space="preserve">The Secretariat built </w:t>
      </w:r>
      <w:r w:rsidR="00643C10">
        <w:rPr>
          <w:rFonts w:asciiTheme="minorHAnsi" w:eastAsia="Batang" w:hAnsiTheme="minorHAnsi" w:cs="Times New Roman"/>
          <w:sz w:val="22"/>
          <w:szCs w:val="22"/>
        </w:rPr>
        <w:t>an</w:t>
      </w:r>
      <w:r w:rsidR="0050463E">
        <w:rPr>
          <w:rFonts w:asciiTheme="minorHAnsi" w:eastAsia="Batang" w:hAnsiTheme="minorHAnsi" w:cs="Times New Roman"/>
          <w:sz w:val="22"/>
          <w:szCs w:val="22"/>
        </w:rPr>
        <w:t xml:space="preserve"> annual increase in the budget approved by COP13</w:t>
      </w:r>
      <w:r w:rsidR="00643C10">
        <w:rPr>
          <w:rFonts w:asciiTheme="minorHAnsi" w:eastAsia="Batang" w:hAnsiTheme="minorHAnsi" w:cs="Times New Roman"/>
          <w:sz w:val="22"/>
          <w:szCs w:val="22"/>
        </w:rPr>
        <w:t xml:space="preserve"> to cover performance recognition and promotions</w:t>
      </w:r>
      <w:r w:rsidR="0050463E">
        <w:rPr>
          <w:rFonts w:asciiTheme="minorHAnsi" w:eastAsia="Batang" w:hAnsiTheme="minorHAnsi" w:cs="Times New Roman"/>
          <w:sz w:val="22"/>
          <w:szCs w:val="22"/>
        </w:rPr>
        <w:t xml:space="preserve">. However, it is not possible to build such </w:t>
      </w:r>
      <w:r w:rsidR="009217EC">
        <w:rPr>
          <w:rFonts w:asciiTheme="minorHAnsi" w:eastAsia="Batang" w:hAnsiTheme="minorHAnsi" w:cs="Times New Roman"/>
          <w:sz w:val="22"/>
          <w:szCs w:val="22"/>
        </w:rPr>
        <w:t xml:space="preserve">an </w:t>
      </w:r>
      <w:r w:rsidR="0050463E">
        <w:rPr>
          <w:rFonts w:asciiTheme="minorHAnsi" w:eastAsia="Batang" w:hAnsiTheme="minorHAnsi" w:cs="Times New Roman"/>
          <w:sz w:val="22"/>
          <w:szCs w:val="22"/>
        </w:rPr>
        <w:t xml:space="preserve">increase </w:t>
      </w:r>
      <w:r w:rsidR="00643C10">
        <w:rPr>
          <w:rFonts w:asciiTheme="minorHAnsi" w:eastAsia="Batang" w:hAnsiTheme="minorHAnsi" w:cs="Times New Roman"/>
          <w:sz w:val="22"/>
          <w:szCs w:val="22"/>
        </w:rPr>
        <w:t xml:space="preserve">sustainably in the long term without increasing the staff budget envelope. The Secretariat is thus proposing to keep the bonus system in </w:t>
      </w:r>
      <w:r w:rsidR="00191794">
        <w:rPr>
          <w:rFonts w:asciiTheme="minorHAnsi" w:eastAsia="Batang" w:hAnsiTheme="minorHAnsi" w:cs="Times New Roman"/>
          <w:sz w:val="22"/>
          <w:szCs w:val="22"/>
        </w:rPr>
        <w:t>Scenario A</w:t>
      </w:r>
      <w:r w:rsidR="00643C10">
        <w:rPr>
          <w:rFonts w:asciiTheme="minorHAnsi" w:eastAsia="Batang" w:hAnsiTheme="minorHAnsi" w:cs="Times New Roman"/>
          <w:sz w:val="22"/>
          <w:szCs w:val="22"/>
        </w:rPr>
        <w:t xml:space="preserve"> and proposes a provision for this purpose, and to submit for </w:t>
      </w:r>
      <w:r w:rsidR="009217EC">
        <w:rPr>
          <w:rFonts w:asciiTheme="minorHAnsi" w:eastAsia="Batang" w:hAnsiTheme="minorHAnsi" w:cs="Times New Roman"/>
          <w:sz w:val="22"/>
          <w:szCs w:val="22"/>
        </w:rPr>
        <w:t xml:space="preserve">the </w:t>
      </w:r>
      <w:r w:rsidR="00643C10">
        <w:rPr>
          <w:rFonts w:asciiTheme="minorHAnsi" w:eastAsia="Batang" w:hAnsiTheme="minorHAnsi" w:cs="Times New Roman"/>
          <w:sz w:val="22"/>
          <w:szCs w:val="22"/>
        </w:rPr>
        <w:t>Parties</w:t>
      </w:r>
      <w:r w:rsidR="009217EC">
        <w:rPr>
          <w:rFonts w:asciiTheme="minorHAnsi" w:eastAsia="Batang" w:hAnsiTheme="minorHAnsi" w:cs="Times New Roman"/>
          <w:sz w:val="22"/>
          <w:szCs w:val="22"/>
        </w:rPr>
        <w:t>’</w:t>
      </w:r>
      <w:r w:rsidR="00643C10">
        <w:rPr>
          <w:rFonts w:asciiTheme="minorHAnsi" w:eastAsia="Batang" w:hAnsiTheme="minorHAnsi" w:cs="Times New Roman"/>
          <w:sz w:val="22"/>
          <w:szCs w:val="22"/>
        </w:rPr>
        <w:t xml:space="preserve"> consideration the possibility to</w:t>
      </w:r>
      <w:r>
        <w:rPr>
          <w:rFonts w:asciiTheme="minorHAnsi" w:eastAsia="Batang" w:hAnsiTheme="minorHAnsi" w:cs="Times New Roman"/>
          <w:sz w:val="22"/>
          <w:szCs w:val="22"/>
        </w:rPr>
        <w:t xml:space="preserve"> </w:t>
      </w:r>
      <w:r w:rsidR="00643C10">
        <w:rPr>
          <w:rFonts w:asciiTheme="minorHAnsi" w:eastAsia="Batang" w:hAnsiTheme="minorHAnsi" w:cs="Times New Roman"/>
          <w:sz w:val="22"/>
          <w:szCs w:val="22"/>
        </w:rPr>
        <w:t xml:space="preserve">have performance-related salary increases in scenarios </w:t>
      </w:r>
      <w:r w:rsidR="009A141C">
        <w:rPr>
          <w:rFonts w:asciiTheme="minorHAnsi" w:eastAsia="Batang" w:hAnsiTheme="minorHAnsi" w:cs="Times New Roman"/>
          <w:sz w:val="22"/>
          <w:szCs w:val="22"/>
        </w:rPr>
        <w:t>(</w:t>
      </w:r>
      <w:r w:rsidR="00643C10">
        <w:rPr>
          <w:rFonts w:asciiTheme="minorHAnsi" w:eastAsia="Batang" w:hAnsiTheme="minorHAnsi" w:cs="Times New Roman"/>
          <w:sz w:val="22"/>
          <w:szCs w:val="22"/>
        </w:rPr>
        <w:t>B</w:t>
      </w:r>
      <w:r w:rsidR="009A141C">
        <w:rPr>
          <w:rFonts w:asciiTheme="minorHAnsi" w:eastAsia="Batang" w:hAnsiTheme="minorHAnsi" w:cs="Times New Roman"/>
          <w:sz w:val="22"/>
          <w:szCs w:val="22"/>
        </w:rPr>
        <w:t>)</w:t>
      </w:r>
      <w:r w:rsidR="00643C10">
        <w:rPr>
          <w:rFonts w:asciiTheme="minorHAnsi" w:eastAsia="Batang" w:hAnsiTheme="minorHAnsi" w:cs="Times New Roman"/>
          <w:sz w:val="22"/>
          <w:szCs w:val="22"/>
        </w:rPr>
        <w:t xml:space="preserve"> and </w:t>
      </w:r>
      <w:r w:rsidR="009A141C">
        <w:rPr>
          <w:rFonts w:asciiTheme="minorHAnsi" w:eastAsia="Batang" w:hAnsiTheme="minorHAnsi" w:cs="Times New Roman"/>
          <w:sz w:val="22"/>
          <w:szCs w:val="22"/>
        </w:rPr>
        <w:t>(</w:t>
      </w:r>
      <w:r w:rsidR="00643C10">
        <w:rPr>
          <w:rFonts w:asciiTheme="minorHAnsi" w:eastAsia="Batang" w:hAnsiTheme="minorHAnsi" w:cs="Times New Roman"/>
          <w:sz w:val="22"/>
          <w:szCs w:val="22"/>
        </w:rPr>
        <w:t>C</w:t>
      </w:r>
      <w:r w:rsidR="009A141C">
        <w:rPr>
          <w:rFonts w:asciiTheme="minorHAnsi" w:eastAsia="Batang" w:hAnsiTheme="minorHAnsi" w:cs="Times New Roman"/>
          <w:sz w:val="22"/>
          <w:szCs w:val="22"/>
        </w:rPr>
        <w:t>)</w:t>
      </w:r>
      <w:r w:rsidR="00643C10">
        <w:rPr>
          <w:rFonts w:asciiTheme="minorHAnsi" w:eastAsia="Batang" w:hAnsiTheme="minorHAnsi" w:cs="Times New Roman"/>
          <w:sz w:val="22"/>
          <w:szCs w:val="22"/>
        </w:rPr>
        <w:t xml:space="preserve">. In the view of the Secretariat, it is important to have these measures to </w:t>
      </w:r>
      <w:r w:rsidR="00643C10" w:rsidRPr="00241822">
        <w:rPr>
          <w:rFonts w:asciiTheme="minorHAnsi" w:eastAsia="Batang" w:hAnsiTheme="minorHAnsi" w:cs="Times New Roman"/>
          <w:sz w:val="22"/>
          <w:szCs w:val="22"/>
        </w:rPr>
        <w:t>respond to the application of IUCN policies and guidelines, as well as providing needed incentives to retain staff and reward good and outstanding performance</w:t>
      </w:r>
      <w:r w:rsidR="00643C10">
        <w:rPr>
          <w:rFonts w:asciiTheme="minorHAnsi" w:eastAsia="Batang" w:hAnsiTheme="minorHAnsi" w:cs="Times New Roman"/>
          <w:sz w:val="22"/>
          <w:szCs w:val="22"/>
        </w:rPr>
        <w:t>.</w:t>
      </w:r>
    </w:p>
    <w:p w14:paraId="58C179E3" w14:textId="77777777" w:rsidR="00191794" w:rsidRDefault="00191794" w:rsidP="0068433D">
      <w:pPr>
        <w:pStyle w:val="MGfulltext"/>
        <w:spacing w:after="0"/>
        <w:ind w:left="850" w:hanging="425"/>
        <w:rPr>
          <w:rFonts w:asciiTheme="minorHAnsi" w:eastAsia="Batang" w:hAnsiTheme="minorHAnsi" w:cs="Times New Roman"/>
          <w:sz w:val="22"/>
          <w:szCs w:val="22"/>
        </w:rPr>
      </w:pPr>
    </w:p>
    <w:p w14:paraId="5E0A5AB0" w14:textId="7D914210" w:rsidR="007D005B" w:rsidRDefault="00105E0C" w:rsidP="00586541">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f.</w:t>
      </w:r>
      <w:r>
        <w:rPr>
          <w:rFonts w:asciiTheme="minorHAnsi" w:eastAsia="Batang" w:hAnsiTheme="minorHAnsi" w:cs="Times New Roman"/>
          <w:sz w:val="22"/>
          <w:szCs w:val="22"/>
        </w:rPr>
        <w:tab/>
      </w:r>
      <w:r w:rsidR="00C527AA">
        <w:rPr>
          <w:rFonts w:asciiTheme="minorHAnsi" w:eastAsia="Batang" w:hAnsiTheme="minorHAnsi" w:cs="Times New Roman"/>
          <w:sz w:val="22"/>
          <w:szCs w:val="22"/>
        </w:rPr>
        <w:t>The Secretariat w</w:t>
      </w:r>
      <w:r w:rsidR="00143B9F">
        <w:rPr>
          <w:rFonts w:asciiTheme="minorHAnsi" w:eastAsia="Batang" w:hAnsiTheme="minorHAnsi" w:cs="Times New Roman"/>
          <w:sz w:val="22"/>
          <w:szCs w:val="22"/>
        </w:rPr>
        <w:t>ould</w:t>
      </w:r>
      <w:r w:rsidR="00C527AA">
        <w:rPr>
          <w:rFonts w:asciiTheme="minorHAnsi" w:eastAsia="Batang" w:hAnsiTheme="minorHAnsi" w:cs="Times New Roman"/>
          <w:sz w:val="22"/>
          <w:szCs w:val="22"/>
        </w:rPr>
        <w:t xml:space="preserve"> like to note that the budget 2022 approved by the </w:t>
      </w:r>
      <w:r w:rsidR="005E4E6C">
        <w:rPr>
          <w:rFonts w:asciiTheme="minorHAnsi" w:eastAsia="Batang" w:hAnsiTheme="minorHAnsi" w:cs="Times New Roman"/>
          <w:sz w:val="22"/>
          <w:szCs w:val="22"/>
        </w:rPr>
        <w:t>third extraordinary meeting of the Conference of the Contracting Parties (</w:t>
      </w:r>
      <w:r w:rsidR="00E913BF">
        <w:rPr>
          <w:rFonts w:asciiTheme="minorHAnsi" w:eastAsia="Batang" w:hAnsiTheme="minorHAnsi" w:cs="Times New Roman"/>
          <w:sz w:val="22"/>
          <w:szCs w:val="22"/>
        </w:rPr>
        <w:t>ExCOP3</w:t>
      </w:r>
      <w:r w:rsidR="005E4E6C">
        <w:rPr>
          <w:rFonts w:asciiTheme="minorHAnsi" w:eastAsia="Batang" w:hAnsiTheme="minorHAnsi" w:cs="Times New Roman"/>
          <w:sz w:val="22"/>
          <w:szCs w:val="22"/>
        </w:rPr>
        <w:t>)</w:t>
      </w:r>
      <w:r w:rsidR="00C527AA">
        <w:rPr>
          <w:rFonts w:asciiTheme="minorHAnsi" w:eastAsia="Batang" w:hAnsiTheme="minorHAnsi" w:cs="Times New Roman"/>
          <w:sz w:val="22"/>
          <w:szCs w:val="22"/>
        </w:rPr>
        <w:t xml:space="preserve"> included only </w:t>
      </w:r>
      <w:r w:rsidR="00C527AA" w:rsidRPr="00C527AA">
        <w:rPr>
          <w:rFonts w:asciiTheme="minorHAnsi" w:eastAsia="Batang" w:hAnsiTheme="minorHAnsi" w:cs="Times New Roman"/>
          <w:sz w:val="22"/>
          <w:szCs w:val="22"/>
        </w:rPr>
        <w:t xml:space="preserve">bonus provision and </w:t>
      </w:r>
      <w:r w:rsidR="00502A28">
        <w:rPr>
          <w:rFonts w:asciiTheme="minorHAnsi" w:eastAsia="Batang" w:hAnsiTheme="minorHAnsi" w:cs="Times New Roman"/>
          <w:sz w:val="22"/>
          <w:szCs w:val="22"/>
        </w:rPr>
        <w:t xml:space="preserve">thus did not </w:t>
      </w:r>
      <w:r w:rsidR="00C527AA" w:rsidRPr="00C527AA">
        <w:rPr>
          <w:rFonts w:asciiTheme="minorHAnsi" w:eastAsia="Batang" w:hAnsiTheme="minorHAnsi" w:cs="Times New Roman"/>
          <w:sz w:val="22"/>
          <w:szCs w:val="22"/>
        </w:rPr>
        <w:t>allow for any performance-based increase</w:t>
      </w:r>
      <w:r w:rsidR="00502A28">
        <w:rPr>
          <w:rFonts w:asciiTheme="minorHAnsi" w:eastAsia="Batang" w:hAnsiTheme="minorHAnsi" w:cs="Times New Roman"/>
          <w:sz w:val="22"/>
          <w:szCs w:val="22"/>
        </w:rPr>
        <w:t>s.</w:t>
      </w:r>
    </w:p>
    <w:p w14:paraId="41867A4F" w14:textId="77777777" w:rsidR="007D005B" w:rsidRDefault="007D005B" w:rsidP="00241822">
      <w:pPr>
        <w:pStyle w:val="MGfulltext"/>
        <w:spacing w:after="0"/>
        <w:ind w:left="850" w:hanging="425"/>
        <w:rPr>
          <w:rFonts w:asciiTheme="minorHAnsi" w:eastAsia="Batang" w:hAnsiTheme="minorHAnsi" w:cs="Times New Roman"/>
          <w:sz w:val="22"/>
          <w:szCs w:val="22"/>
        </w:rPr>
      </w:pPr>
    </w:p>
    <w:p w14:paraId="052DB53F" w14:textId="2448620C" w:rsidR="00B87D61" w:rsidRDefault="00105E0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g.</w:t>
      </w:r>
      <w:r w:rsidR="00B87D61">
        <w:rPr>
          <w:rFonts w:asciiTheme="minorHAnsi" w:eastAsia="Batang" w:hAnsiTheme="minorHAnsi" w:cs="Times New Roman"/>
          <w:sz w:val="22"/>
          <w:szCs w:val="22"/>
        </w:rPr>
        <w:tab/>
        <w:t>The Secretariat</w:t>
      </w:r>
      <w:r w:rsidR="00300837">
        <w:rPr>
          <w:rFonts w:asciiTheme="minorHAnsi" w:eastAsia="Batang" w:hAnsiTheme="minorHAnsi" w:cs="Times New Roman"/>
          <w:sz w:val="22"/>
          <w:szCs w:val="22"/>
        </w:rPr>
        <w:t xml:space="preserve"> would like to note that </w:t>
      </w:r>
      <w:r w:rsidR="00C002AE">
        <w:rPr>
          <w:rFonts w:asciiTheme="minorHAnsi" w:eastAsia="Batang" w:hAnsiTheme="minorHAnsi" w:cs="Times New Roman"/>
          <w:sz w:val="22"/>
          <w:szCs w:val="22"/>
        </w:rPr>
        <w:t>the</w:t>
      </w:r>
      <w:r w:rsidR="00B87D61">
        <w:rPr>
          <w:rFonts w:asciiTheme="minorHAnsi" w:eastAsia="Batang" w:hAnsiTheme="minorHAnsi" w:cs="Times New Roman"/>
          <w:sz w:val="22"/>
          <w:szCs w:val="22"/>
        </w:rPr>
        <w:t xml:space="preserve"> IUCN will update </w:t>
      </w:r>
      <w:r w:rsidR="00300837">
        <w:rPr>
          <w:rFonts w:asciiTheme="minorHAnsi" w:eastAsia="Batang" w:hAnsiTheme="minorHAnsi" w:cs="Times New Roman"/>
          <w:sz w:val="22"/>
          <w:szCs w:val="22"/>
        </w:rPr>
        <w:t xml:space="preserve">its </w:t>
      </w:r>
      <w:r w:rsidR="00B87D61" w:rsidRPr="00B87D61">
        <w:rPr>
          <w:rFonts w:asciiTheme="minorHAnsi" w:eastAsia="Batang" w:hAnsiTheme="minorHAnsi" w:cs="Times New Roman"/>
          <w:sz w:val="22"/>
          <w:szCs w:val="22"/>
        </w:rPr>
        <w:t xml:space="preserve">guidelines </w:t>
      </w:r>
      <w:r w:rsidR="0068433D">
        <w:rPr>
          <w:rFonts w:asciiTheme="minorHAnsi" w:eastAsia="Batang" w:hAnsiTheme="minorHAnsi" w:cs="Times New Roman"/>
          <w:sz w:val="22"/>
          <w:szCs w:val="22"/>
        </w:rPr>
        <w:t xml:space="preserve">on compensation </w:t>
      </w:r>
      <w:r w:rsidR="00B87D61">
        <w:rPr>
          <w:rFonts w:asciiTheme="minorHAnsi" w:eastAsia="Batang" w:hAnsiTheme="minorHAnsi" w:cs="Times New Roman"/>
          <w:sz w:val="22"/>
          <w:szCs w:val="22"/>
        </w:rPr>
        <w:t xml:space="preserve">in the second half </w:t>
      </w:r>
      <w:r w:rsidR="005E4E6C">
        <w:rPr>
          <w:rFonts w:asciiTheme="minorHAnsi" w:eastAsia="Batang" w:hAnsiTheme="minorHAnsi" w:cs="Times New Roman"/>
          <w:sz w:val="22"/>
          <w:szCs w:val="22"/>
        </w:rPr>
        <w:t>of</w:t>
      </w:r>
      <w:r w:rsidR="00B87D61">
        <w:rPr>
          <w:rFonts w:asciiTheme="minorHAnsi" w:eastAsia="Batang" w:hAnsiTheme="minorHAnsi" w:cs="Times New Roman"/>
          <w:sz w:val="22"/>
          <w:szCs w:val="22"/>
        </w:rPr>
        <w:t xml:space="preserve"> 2022. </w:t>
      </w:r>
    </w:p>
    <w:p w14:paraId="74521B9D" w14:textId="77777777" w:rsidR="00B87D61" w:rsidRDefault="00B87D61" w:rsidP="00241822">
      <w:pPr>
        <w:pStyle w:val="MGfulltext"/>
        <w:spacing w:after="0"/>
        <w:ind w:left="850" w:hanging="425"/>
        <w:rPr>
          <w:rFonts w:asciiTheme="minorHAnsi" w:eastAsia="Batang" w:hAnsiTheme="minorHAnsi" w:cs="Times New Roman"/>
          <w:sz w:val="22"/>
          <w:szCs w:val="22"/>
        </w:rPr>
      </w:pPr>
    </w:p>
    <w:p w14:paraId="4C2D471C" w14:textId="015529EB" w:rsidR="0053257A" w:rsidRPr="00FB1011"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lastRenderedPageBreak/>
        <w:t>h</w:t>
      </w:r>
      <w:r w:rsidR="00241822">
        <w:rPr>
          <w:rFonts w:asciiTheme="minorHAnsi" w:eastAsia="Batang" w:hAnsiTheme="minorHAnsi" w:cs="Times New Roman"/>
          <w:sz w:val="22"/>
          <w:szCs w:val="22"/>
        </w:rPr>
        <w:t>.</w:t>
      </w:r>
      <w:r w:rsidR="00241822">
        <w:rPr>
          <w:rFonts w:asciiTheme="minorHAnsi" w:eastAsia="Batang" w:hAnsiTheme="minorHAnsi" w:cs="Times New Roman"/>
          <w:sz w:val="22"/>
          <w:szCs w:val="22"/>
        </w:rPr>
        <w:tab/>
      </w:r>
      <w:r w:rsidR="0053257A" w:rsidRPr="009A141C">
        <w:rPr>
          <w:rFonts w:asciiTheme="minorHAnsi" w:eastAsia="Batang" w:hAnsiTheme="minorHAnsi" w:cs="Times New Roman"/>
          <w:sz w:val="22"/>
          <w:szCs w:val="22"/>
        </w:rPr>
        <w:t xml:space="preserve">Total salary </w:t>
      </w:r>
      <w:r w:rsidR="00522B37">
        <w:rPr>
          <w:rFonts w:asciiTheme="minorHAnsi" w:eastAsia="Batang" w:hAnsiTheme="minorHAnsi" w:cs="Times New Roman"/>
          <w:sz w:val="22"/>
          <w:szCs w:val="22"/>
        </w:rPr>
        <w:t xml:space="preserve">and related </w:t>
      </w:r>
      <w:r w:rsidR="0053257A" w:rsidRPr="009A141C">
        <w:rPr>
          <w:rFonts w:asciiTheme="minorHAnsi" w:eastAsia="Batang" w:hAnsiTheme="minorHAnsi" w:cs="Times New Roman"/>
          <w:sz w:val="22"/>
          <w:szCs w:val="22"/>
        </w:rPr>
        <w:t xml:space="preserve">costs represent around </w:t>
      </w:r>
      <w:r w:rsidR="00522B37">
        <w:rPr>
          <w:rFonts w:asciiTheme="minorHAnsi" w:eastAsia="Batang" w:hAnsiTheme="minorHAnsi" w:cs="Times New Roman"/>
          <w:sz w:val="22"/>
          <w:szCs w:val="22"/>
        </w:rPr>
        <w:t>71</w:t>
      </w:r>
      <w:r w:rsidR="0053257A" w:rsidRPr="009A141C">
        <w:rPr>
          <w:rFonts w:asciiTheme="minorHAnsi" w:eastAsia="Batang" w:hAnsiTheme="minorHAnsi" w:cs="Times New Roman"/>
          <w:sz w:val="22"/>
          <w:szCs w:val="22"/>
        </w:rPr>
        <w:t>% of the total core budget</w:t>
      </w:r>
      <w:r w:rsidR="009217EC">
        <w:rPr>
          <w:rFonts w:asciiTheme="minorHAnsi" w:eastAsia="Batang" w:hAnsiTheme="minorHAnsi" w:cs="Times New Roman"/>
          <w:sz w:val="22"/>
          <w:szCs w:val="22"/>
        </w:rPr>
        <w:t>,</w:t>
      </w:r>
      <w:r w:rsidR="004962BC" w:rsidRPr="009A141C">
        <w:rPr>
          <w:rFonts w:asciiTheme="minorHAnsi" w:eastAsia="Batang" w:hAnsiTheme="minorHAnsi" w:cs="Times New Roman"/>
          <w:sz w:val="22"/>
          <w:szCs w:val="22"/>
        </w:rPr>
        <w:t xml:space="preserve"> </w:t>
      </w:r>
      <w:r w:rsidR="005B02DC" w:rsidRPr="009A141C">
        <w:rPr>
          <w:rFonts w:asciiTheme="minorHAnsi" w:eastAsia="Batang" w:hAnsiTheme="minorHAnsi" w:cs="Times New Roman"/>
          <w:sz w:val="22"/>
          <w:szCs w:val="22"/>
        </w:rPr>
        <w:t xml:space="preserve">that is, they are kept at the same level </w:t>
      </w:r>
      <w:r w:rsidR="009217EC">
        <w:rPr>
          <w:rFonts w:asciiTheme="minorHAnsi" w:eastAsia="Batang" w:hAnsiTheme="minorHAnsi" w:cs="Times New Roman"/>
          <w:sz w:val="22"/>
          <w:szCs w:val="22"/>
        </w:rPr>
        <w:t>as</w:t>
      </w:r>
      <w:r w:rsidR="005B02DC" w:rsidRPr="009A141C">
        <w:rPr>
          <w:rFonts w:asciiTheme="minorHAnsi" w:eastAsia="Batang" w:hAnsiTheme="minorHAnsi" w:cs="Times New Roman"/>
          <w:sz w:val="22"/>
          <w:szCs w:val="22"/>
        </w:rPr>
        <w:t xml:space="preserve"> in 2019-2021</w:t>
      </w:r>
      <w:r w:rsidR="00300837">
        <w:rPr>
          <w:rStyle w:val="FootnoteReference"/>
          <w:rFonts w:asciiTheme="minorHAnsi" w:eastAsia="Batang" w:hAnsiTheme="minorHAnsi" w:cs="Times New Roman"/>
          <w:sz w:val="22"/>
          <w:szCs w:val="22"/>
        </w:rPr>
        <w:footnoteReference w:id="1"/>
      </w:r>
      <w:r w:rsidR="005B02DC" w:rsidRPr="009A141C">
        <w:rPr>
          <w:rFonts w:asciiTheme="minorHAnsi" w:eastAsia="Batang" w:hAnsiTheme="minorHAnsi" w:cs="Times New Roman"/>
          <w:sz w:val="22"/>
          <w:szCs w:val="22"/>
        </w:rPr>
        <w:t>. It is thus not possible in this scenario to apply performance</w:t>
      </w:r>
      <w:r w:rsidR="009217EC">
        <w:rPr>
          <w:rFonts w:asciiTheme="minorHAnsi" w:eastAsia="Batang" w:hAnsiTheme="minorHAnsi" w:cs="Times New Roman"/>
          <w:sz w:val="22"/>
          <w:szCs w:val="22"/>
        </w:rPr>
        <w:t>-</w:t>
      </w:r>
      <w:r w:rsidR="005B02DC" w:rsidRPr="009A141C">
        <w:rPr>
          <w:rFonts w:asciiTheme="minorHAnsi" w:eastAsia="Batang" w:hAnsiTheme="minorHAnsi" w:cs="Times New Roman"/>
          <w:sz w:val="22"/>
          <w:szCs w:val="22"/>
        </w:rPr>
        <w:t xml:space="preserve">based salary increases and promotions. </w:t>
      </w:r>
      <w:r w:rsidR="0070360E" w:rsidRPr="00DA7027">
        <w:rPr>
          <w:rFonts w:asciiTheme="minorHAnsi" w:eastAsia="Batang" w:hAnsiTheme="minorHAnsi" w:cs="Times New Roman"/>
          <w:sz w:val="22"/>
          <w:szCs w:val="22"/>
        </w:rPr>
        <w:t xml:space="preserve">However, </w:t>
      </w:r>
      <w:r w:rsidR="004962BC" w:rsidRPr="00DA7027">
        <w:rPr>
          <w:rFonts w:asciiTheme="minorHAnsi" w:eastAsia="Batang" w:hAnsiTheme="minorHAnsi" w:cs="Times New Roman"/>
          <w:sz w:val="22"/>
          <w:szCs w:val="22"/>
        </w:rPr>
        <w:t xml:space="preserve">the issue with </w:t>
      </w:r>
      <w:r w:rsidR="00A91565" w:rsidRPr="00DA7027">
        <w:rPr>
          <w:rFonts w:asciiTheme="minorHAnsi" w:eastAsia="Batang" w:hAnsiTheme="minorHAnsi" w:cs="Times New Roman"/>
          <w:sz w:val="22"/>
          <w:szCs w:val="22"/>
        </w:rPr>
        <w:t xml:space="preserve">keeping </w:t>
      </w:r>
      <w:r w:rsidR="0070360E" w:rsidRPr="00DA7027">
        <w:rPr>
          <w:rFonts w:asciiTheme="minorHAnsi" w:eastAsia="Batang" w:hAnsiTheme="minorHAnsi" w:cs="Times New Roman"/>
          <w:sz w:val="22"/>
          <w:szCs w:val="22"/>
        </w:rPr>
        <w:t xml:space="preserve">the </w:t>
      </w:r>
      <w:r w:rsidR="002A34CC" w:rsidRPr="00DA7027">
        <w:rPr>
          <w:rFonts w:asciiTheme="minorHAnsi" w:eastAsia="Batang" w:hAnsiTheme="minorHAnsi" w:cs="Times New Roman"/>
          <w:sz w:val="22"/>
          <w:szCs w:val="22"/>
        </w:rPr>
        <w:t xml:space="preserve">salaries </w:t>
      </w:r>
      <w:r w:rsidR="00E76632">
        <w:rPr>
          <w:rFonts w:asciiTheme="minorHAnsi" w:eastAsia="Batang" w:hAnsiTheme="minorHAnsi" w:cs="Times New Roman"/>
          <w:sz w:val="22"/>
          <w:szCs w:val="22"/>
        </w:rPr>
        <w:t xml:space="preserve">at the same level is that it </w:t>
      </w:r>
      <w:r w:rsidR="004962BC" w:rsidRPr="00DA7027">
        <w:rPr>
          <w:rFonts w:asciiTheme="minorHAnsi" w:eastAsia="Batang" w:hAnsiTheme="minorHAnsi" w:cs="Times New Roman"/>
          <w:sz w:val="22"/>
          <w:szCs w:val="22"/>
        </w:rPr>
        <w:t xml:space="preserve">does not allow the Secretariat to continue with the </w:t>
      </w:r>
      <w:r w:rsidR="002A34CC" w:rsidRPr="00DA7027">
        <w:rPr>
          <w:rFonts w:asciiTheme="minorHAnsi" w:eastAsia="Batang" w:hAnsiTheme="minorHAnsi" w:cs="Times New Roman"/>
          <w:sz w:val="22"/>
          <w:szCs w:val="22"/>
        </w:rPr>
        <w:t>performance-based increases</w:t>
      </w:r>
      <w:r w:rsidR="004962BC" w:rsidRPr="00DA7027">
        <w:rPr>
          <w:rFonts w:asciiTheme="minorHAnsi" w:eastAsia="Batang" w:hAnsiTheme="minorHAnsi" w:cs="Times New Roman"/>
          <w:sz w:val="22"/>
          <w:szCs w:val="22"/>
        </w:rPr>
        <w:t xml:space="preserve"> implemented in 2019</w:t>
      </w:r>
      <w:r w:rsidR="002A34CC" w:rsidRPr="00DA7027">
        <w:rPr>
          <w:rFonts w:asciiTheme="minorHAnsi" w:eastAsia="Batang" w:hAnsiTheme="minorHAnsi" w:cs="Times New Roman"/>
          <w:sz w:val="22"/>
          <w:szCs w:val="22"/>
        </w:rPr>
        <w:t xml:space="preserve">, </w:t>
      </w:r>
      <w:r w:rsidR="00E76632">
        <w:rPr>
          <w:rFonts w:asciiTheme="minorHAnsi" w:eastAsia="Batang" w:hAnsiTheme="minorHAnsi" w:cs="Times New Roman"/>
          <w:sz w:val="22"/>
          <w:szCs w:val="22"/>
        </w:rPr>
        <w:t>and leaves</w:t>
      </w:r>
      <w:r w:rsidR="002A34CC" w:rsidRPr="00DA7027">
        <w:rPr>
          <w:rFonts w:asciiTheme="minorHAnsi" w:eastAsia="Batang" w:hAnsiTheme="minorHAnsi" w:cs="Times New Roman"/>
          <w:sz w:val="22"/>
          <w:szCs w:val="22"/>
        </w:rPr>
        <w:t xml:space="preserve"> </w:t>
      </w:r>
      <w:r w:rsidR="004962BC" w:rsidRPr="00DA7027">
        <w:rPr>
          <w:rFonts w:asciiTheme="minorHAnsi" w:eastAsia="Batang" w:hAnsiTheme="minorHAnsi" w:cs="Times New Roman"/>
          <w:sz w:val="22"/>
          <w:szCs w:val="22"/>
        </w:rPr>
        <w:t xml:space="preserve">no resources for </w:t>
      </w:r>
      <w:r w:rsidR="0048682A" w:rsidRPr="00DA7027">
        <w:rPr>
          <w:rFonts w:asciiTheme="minorHAnsi" w:eastAsia="Batang" w:hAnsiTheme="minorHAnsi" w:cs="Times New Roman"/>
          <w:sz w:val="22"/>
          <w:szCs w:val="22"/>
        </w:rPr>
        <w:t>promotion</w:t>
      </w:r>
      <w:r w:rsidR="004962BC" w:rsidRPr="00DA7027">
        <w:rPr>
          <w:rFonts w:asciiTheme="minorHAnsi" w:eastAsia="Batang" w:hAnsiTheme="minorHAnsi" w:cs="Times New Roman"/>
          <w:sz w:val="22"/>
          <w:szCs w:val="22"/>
        </w:rPr>
        <w:t>s</w:t>
      </w:r>
      <w:r w:rsidR="0048682A" w:rsidRPr="00DA7027">
        <w:rPr>
          <w:rFonts w:asciiTheme="minorHAnsi" w:eastAsia="Batang" w:hAnsiTheme="minorHAnsi" w:cs="Times New Roman"/>
          <w:sz w:val="22"/>
          <w:szCs w:val="22"/>
        </w:rPr>
        <w:t xml:space="preserve"> and staff retention.</w:t>
      </w:r>
    </w:p>
    <w:p w14:paraId="000DCAF4" w14:textId="77777777" w:rsidR="00241822" w:rsidRDefault="00241822" w:rsidP="00241822">
      <w:pPr>
        <w:pStyle w:val="MGfulltext"/>
        <w:spacing w:after="0"/>
        <w:ind w:left="850" w:hanging="425"/>
        <w:rPr>
          <w:rFonts w:asciiTheme="minorHAnsi" w:eastAsia="Batang" w:hAnsiTheme="minorHAnsi" w:cs="Times New Roman"/>
          <w:sz w:val="22"/>
          <w:szCs w:val="22"/>
        </w:rPr>
      </w:pPr>
    </w:p>
    <w:p w14:paraId="62F87F4B" w14:textId="1B53BF6C" w:rsidR="00EE7537" w:rsidRPr="00C6766B" w:rsidRDefault="005E4E6C" w:rsidP="00241822">
      <w:pPr>
        <w:pStyle w:val="MGfulltext"/>
        <w:spacing w:after="0"/>
        <w:ind w:left="850" w:hanging="425"/>
        <w:rPr>
          <w:rFonts w:asciiTheme="minorHAnsi" w:eastAsia="Batang" w:hAnsiTheme="minorHAnsi" w:cs="Times New Roman"/>
          <w:sz w:val="22"/>
          <w:szCs w:val="22"/>
          <w:lang w:val="en-GB"/>
        </w:rPr>
      </w:pPr>
      <w:r>
        <w:rPr>
          <w:rFonts w:asciiTheme="minorHAnsi" w:eastAsia="Batang" w:hAnsiTheme="minorHAnsi" w:cs="Times New Roman"/>
          <w:sz w:val="22"/>
          <w:szCs w:val="22"/>
        </w:rPr>
        <w:t>i</w:t>
      </w:r>
      <w:r w:rsidR="00206AAB">
        <w:rPr>
          <w:rFonts w:asciiTheme="minorHAnsi" w:eastAsia="Batang" w:hAnsiTheme="minorHAnsi" w:cs="Times New Roman"/>
          <w:sz w:val="22"/>
          <w:szCs w:val="22"/>
        </w:rPr>
        <w:t>.</w:t>
      </w:r>
      <w:r w:rsidR="00EE7537">
        <w:rPr>
          <w:rFonts w:asciiTheme="minorHAnsi" w:eastAsia="Batang" w:hAnsiTheme="minorHAnsi" w:cs="Times New Roman"/>
          <w:sz w:val="22"/>
          <w:szCs w:val="22"/>
        </w:rPr>
        <w:tab/>
      </w:r>
      <w:r w:rsidR="0070360E">
        <w:rPr>
          <w:rFonts w:asciiTheme="minorHAnsi" w:eastAsia="Batang" w:hAnsiTheme="minorHAnsi" w:cs="Times New Roman"/>
          <w:sz w:val="22"/>
          <w:szCs w:val="22"/>
        </w:rPr>
        <w:t xml:space="preserve">Compared to the </w:t>
      </w:r>
      <w:r w:rsidR="0070360E" w:rsidRPr="005D29BE">
        <w:rPr>
          <w:rFonts w:asciiTheme="minorHAnsi" w:eastAsia="Batang" w:hAnsiTheme="minorHAnsi" w:cs="Times New Roman"/>
          <w:sz w:val="22"/>
          <w:szCs w:val="22"/>
        </w:rPr>
        <w:t>20</w:t>
      </w:r>
      <w:r w:rsidR="00D1039A">
        <w:rPr>
          <w:rFonts w:asciiTheme="minorHAnsi" w:eastAsia="Batang" w:hAnsiTheme="minorHAnsi" w:cs="Times New Roman"/>
          <w:sz w:val="22"/>
          <w:szCs w:val="22"/>
        </w:rPr>
        <w:t>19</w:t>
      </w:r>
      <w:r w:rsidR="0070360E" w:rsidRPr="005D29BE">
        <w:rPr>
          <w:rFonts w:asciiTheme="minorHAnsi" w:eastAsia="Batang" w:hAnsiTheme="minorHAnsi" w:cs="Times New Roman"/>
          <w:sz w:val="22"/>
          <w:szCs w:val="22"/>
        </w:rPr>
        <w:t>-20</w:t>
      </w:r>
      <w:r w:rsidR="00D1039A">
        <w:rPr>
          <w:rFonts w:asciiTheme="minorHAnsi" w:eastAsia="Batang" w:hAnsiTheme="minorHAnsi" w:cs="Times New Roman"/>
          <w:sz w:val="22"/>
          <w:szCs w:val="22"/>
        </w:rPr>
        <w:t>21</w:t>
      </w:r>
      <w:r w:rsidR="0070360E" w:rsidRPr="005D29BE">
        <w:rPr>
          <w:rFonts w:asciiTheme="minorHAnsi" w:eastAsia="Batang" w:hAnsiTheme="minorHAnsi" w:cs="Times New Roman"/>
          <w:sz w:val="22"/>
          <w:szCs w:val="22"/>
        </w:rPr>
        <w:t xml:space="preserve"> triennium</w:t>
      </w:r>
      <w:r w:rsidR="00D1039A">
        <w:rPr>
          <w:rFonts w:asciiTheme="minorHAnsi" w:eastAsia="Batang" w:hAnsiTheme="minorHAnsi" w:cs="Times New Roman"/>
          <w:sz w:val="22"/>
          <w:szCs w:val="22"/>
        </w:rPr>
        <w:t xml:space="preserve"> </w:t>
      </w:r>
      <w:r w:rsidR="00D1039A" w:rsidRPr="009A141C">
        <w:rPr>
          <w:rFonts w:asciiTheme="minorHAnsi" w:eastAsia="Batang" w:hAnsiTheme="minorHAnsi" w:cs="Times New Roman"/>
          <w:sz w:val="22"/>
          <w:szCs w:val="22"/>
        </w:rPr>
        <w:t>budget</w:t>
      </w:r>
      <w:r w:rsidR="0070360E" w:rsidRPr="005D29BE">
        <w:rPr>
          <w:rFonts w:asciiTheme="minorHAnsi" w:eastAsia="Batang" w:hAnsiTheme="minorHAnsi" w:cs="Times New Roman"/>
          <w:sz w:val="22"/>
          <w:szCs w:val="22"/>
        </w:rPr>
        <w:t>,</w:t>
      </w:r>
      <w:r w:rsidR="0070360E">
        <w:rPr>
          <w:rFonts w:asciiTheme="minorHAnsi" w:eastAsia="Batang" w:hAnsiTheme="minorHAnsi" w:cs="Times New Roman"/>
          <w:sz w:val="22"/>
          <w:szCs w:val="22"/>
        </w:rPr>
        <w:t xml:space="preserve"> s</w:t>
      </w:r>
      <w:r w:rsidR="00EE7537">
        <w:rPr>
          <w:rFonts w:asciiTheme="minorHAnsi" w:eastAsia="Batang" w:hAnsiTheme="minorHAnsi" w:cs="Times New Roman"/>
          <w:sz w:val="22"/>
          <w:szCs w:val="22"/>
        </w:rPr>
        <w:t xml:space="preserve">taff </w:t>
      </w:r>
      <w:r w:rsidR="0070360E">
        <w:rPr>
          <w:rFonts w:asciiTheme="minorHAnsi" w:eastAsia="Batang" w:hAnsiTheme="minorHAnsi" w:cs="Times New Roman"/>
          <w:sz w:val="22"/>
          <w:szCs w:val="22"/>
        </w:rPr>
        <w:t>recruitment</w:t>
      </w:r>
      <w:r w:rsidR="00EE7537">
        <w:rPr>
          <w:rFonts w:asciiTheme="minorHAnsi" w:eastAsia="Batang" w:hAnsiTheme="minorHAnsi" w:cs="Times New Roman"/>
          <w:sz w:val="22"/>
          <w:szCs w:val="22"/>
        </w:rPr>
        <w:t xml:space="preserve"> and departure c</w:t>
      </w:r>
      <w:r w:rsidR="0070360E">
        <w:rPr>
          <w:rFonts w:asciiTheme="minorHAnsi" w:eastAsia="Batang" w:hAnsiTheme="minorHAnsi" w:cs="Times New Roman"/>
          <w:sz w:val="22"/>
          <w:szCs w:val="22"/>
        </w:rPr>
        <w:t xml:space="preserve">osts have been increased by </w:t>
      </w:r>
      <w:r w:rsidR="00167E31">
        <w:rPr>
          <w:rFonts w:asciiTheme="minorHAnsi" w:eastAsia="Batang" w:hAnsiTheme="minorHAnsi" w:cs="Times New Roman"/>
          <w:sz w:val="22"/>
          <w:szCs w:val="22"/>
        </w:rPr>
        <w:t xml:space="preserve">CHF </w:t>
      </w:r>
      <w:r w:rsidR="00EA3318">
        <w:rPr>
          <w:rFonts w:asciiTheme="minorHAnsi" w:eastAsia="Batang" w:hAnsiTheme="minorHAnsi" w:cs="Times New Roman"/>
          <w:sz w:val="22"/>
          <w:szCs w:val="22"/>
        </w:rPr>
        <w:t>77K</w:t>
      </w:r>
      <w:r w:rsidR="0070360E">
        <w:rPr>
          <w:rFonts w:asciiTheme="minorHAnsi" w:eastAsia="Batang" w:hAnsiTheme="minorHAnsi" w:cs="Times New Roman"/>
          <w:sz w:val="22"/>
          <w:szCs w:val="22"/>
        </w:rPr>
        <w:t xml:space="preserve">, </w:t>
      </w:r>
      <w:r w:rsidR="00B04521">
        <w:rPr>
          <w:rFonts w:asciiTheme="minorHAnsi" w:eastAsia="Batang" w:hAnsiTheme="minorHAnsi" w:cs="Times New Roman"/>
          <w:sz w:val="22"/>
          <w:szCs w:val="22"/>
        </w:rPr>
        <w:t xml:space="preserve">on the basis of </w:t>
      </w:r>
      <w:r w:rsidR="004A172D">
        <w:rPr>
          <w:rFonts w:asciiTheme="minorHAnsi" w:eastAsia="Batang" w:hAnsiTheme="minorHAnsi" w:cs="Times New Roman"/>
          <w:sz w:val="22"/>
          <w:szCs w:val="22"/>
        </w:rPr>
        <w:t>actual costs.</w:t>
      </w:r>
      <w:r w:rsidR="00970C63">
        <w:rPr>
          <w:rFonts w:asciiTheme="minorHAnsi" w:eastAsia="Batang" w:hAnsiTheme="minorHAnsi" w:cs="Times New Roman"/>
          <w:sz w:val="22"/>
          <w:szCs w:val="22"/>
        </w:rPr>
        <w:t xml:space="preserve"> </w:t>
      </w:r>
    </w:p>
    <w:p w14:paraId="57848714" w14:textId="051D32D8" w:rsidR="00EE7537" w:rsidRDefault="00EE7537" w:rsidP="00241822">
      <w:pPr>
        <w:pStyle w:val="MGfulltext"/>
        <w:spacing w:after="0"/>
        <w:ind w:left="850" w:hanging="425"/>
        <w:rPr>
          <w:rFonts w:asciiTheme="minorHAnsi" w:eastAsia="Batang" w:hAnsiTheme="minorHAnsi" w:cs="Times New Roman"/>
          <w:sz w:val="22"/>
          <w:szCs w:val="22"/>
        </w:rPr>
      </w:pPr>
    </w:p>
    <w:p w14:paraId="58DB6AF2" w14:textId="076F0EDF" w:rsidR="00FD27EB" w:rsidRPr="006D3CBA"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j</w:t>
      </w:r>
      <w:r w:rsidR="00241822">
        <w:rPr>
          <w:rFonts w:asciiTheme="minorHAnsi" w:eastAsia="Batang" w:hAnsiTheme="minorHAnsi" w:cs="Times New Roman"/>
          <w:sz w:val="22"/>
          <w:szCs w:val="22"/>
        </w:rPr>
        <w:t>.</w:t>
      </w:r>
      <w:r w:rsidR="00241822">
        <w:rPr>
          <w:rFonts w:asciiTheme="minorHAnsi" w:eastAsia="Batang" w:hAnsiTheme="minorHAnsi" w:cs="Times New Roman"/>
          <w:sz w:val="22"/>
          <w:szCs w:val="22"/>
        </w:rPr>
        <w:tab/>
      </w:r>
      <w:r w:rsidR="00FD27EB" w:rsidRPr="006D3CBA">
        <w:rPr>
          <w:rFonts w:asciiTheme="minorHAnsi" w:eastAsia="Batang" w:hAnsiTheme="minorHAnsi" w:cs="Times New Roman"/>
          <w:sz w:val="22"/>
          <w:szCs w:val="22"/>
        </w:rPr>
        <w:t xml:space="preserve">The IUCN Administrative Service Charge has been </w:t>
      </w:r>
      <w:r w:rsidR="006B4163">
        <w:rPr>
          <w:rFonts w:asciiTheme="minorHAnsi" w:eastAsia="Batang" w:hAnsiTheme="minorHAnsi" w:cs="Times New Roman"/>
          <w:sz w:val="22"/>
          <w:szCs w:val="22"/>
        </w:rPr>
        <w:t xml:space="preserve">reduced </w:t>
      </w:r>
      <w:r w:rsidR="00FD27EB" w:rsidRPr="006D3CBA">
        <w:rPr>
          <w:rFonts w:asciiTheme="minorHAnsi" w:eastAsia="Batang" w:hAnsiTheme="minorHAnsi" w:cs="Times New Roman"/>
          <w:sz w:val="22"/>
          <w:szCs w:val="22"/>
        </w:rPr>
        <w:t xml:space="preserve">by </w:t>
      </w:r>
      <w:r w:rsidR="00167E31">
        <w:rPr>
          <w:rFonts w:asciiTheme="minorHAnsi" w:eastAsia="Batang" w:hAnsiTheme="minorHAnsi" w:cs="Times New Roman"/>
          <w:sz w:val="22"/>
          <w:szCs w:val="22"/>
        </w:rPr>
        <w:t xml:space="preserve">CHF </w:t>
      </w:r>
      <w:r w:rsidR="003B7342">
        <w:rPr>
          <w:rFonts w:asciiTheme="minorHAnsi" w:eastAsia="Batang" w:hAnsiTheme="minorHAnsi" w:cs="Times New Roman"/>
          <w:sz w:val="22"/>
          <w:szCs w:val="22"/>
        </w:rPr>
        <w:t>57</w:t>
      </w:r>
      <w:r w:rsidR="006B4163" w:rsidRPr="006D3CBA">
        <w:rPr>
          <w:rFonts w:asciiTheme="minorHAnsi" w:eastAsia="Batang" w:hAnsiTheme="minorHAnsi" w:cs="Times New Roman"/>
          <w:sz w:val="22"/>
          <w:szCs w:val="22"/>
        </w:rPr>
        <w:t xml:space="preserve">K </w:t>
      </w:r>
      <w:r w:rsidR="005F3B7A">
        <w:rPr>
          <w:rFonts w:asciiTheme="minorHAnsi" w:eastAsia="Batang" w:hAnsiTheme="minorHAnsi" w:cs="Times New Roman"/>
          <w:sz w:val="22"/>
          <w:szCs w:val="22"/>
        </w:rPr>
        <w:t xml:space="preserve">compared to the </w:t>
      </w:r>
      <w:r w:rsidR="00C16838">
        <w:rPr>
          <w:rFonts w:asciiTheme="minorHAnsi" w:eastAsia="Batang" w:hAnsiTheme="minorHAnsi" w:cs="Times New Roman"/>
          <w:sz w:val="22"/>
          <w:szCs w:val="22"/>
        </w:rPr>
        <w:t xml:space="preserve">previous triennium </w:t>
      </w:r>
      <w:r w:rsidR="006B4163">
        <w:rPr>
          <w:rFonts w:asciiTheme="minorHAnsi" w:eastAsia="Batang" w:hAnsiTheme="minorHAnsi" w:cs="Times New Roman"/>
          <w:sz w:val="22"/>
          <w:szCs w:val="22"/>
        </w:rPr>
        <w:t>because</w:t>
      </w:r>
      <w:r w:rsidR="00CE3E0B">
        <w:rPr>
          <w:rFonts w:asciiTheme="minorHAnsi" w:eastAsia="Batang" w:hAnsiTheme="minorHAnsi" w:cs="Times New Roman"/>
          <w:sz w:val="22"/>
          <w:szCs w:val="22"/>
        </w:rPr>
        <w:t xml:space="preserve"> </w:t>
      </w:r>
      <w:r w:rsidR="00783433">
        <w:rPr>
          <w:rFonts w:asciiTheme="minorHAnsi" w:eastAsia="Batang" w:hAnsiTheme="minorHAnsi" w:cs="Times New Roman"/>
          <w:sz w:val="22"/>
          <w:szCs w:val="22"/>
        </w:rPr>
        <w:t xml:space="preserve">of </w:t>
      </w:r>
      <w:r w:rsidR="00CE3E0B">
        <w:rPr>
          <w:rFonts w:asciiTheme="minorHAnsi" w:eastAsia="Batang" w:hAnsiTheme="minorHAnsi" w:cs="Times New Roman"/>
          <w:sz w:val="22"/>
          <w:szCs w:val="22"/>
        </w:rPr>
        <w:t>the changes in the IUCN system for travel arrangements. The</w:t>
      </w:r>
      <w:r w:rsidR="006B4163">
        <w:rPr>
          <w:rFonts w:asciiTheme="minorHAnsi" w:eastAsia="Batang" w:hAnsiTheme="minorHAnsi" w:cs="Times New Roman"/>
          <w:sz w:val="22"/>
          <w:szCs w:val="22"/>
        </w:rPr>
        <w:t xml:space="preserve"> travel implant</w:t>
      </w:r>
      <w:r w:rsidR="00CE3E0B">
        <w:rPr>
          <w:rFonts w:asciiTheme="minorHAnsi" w:eastAsia="Batang" w:hAnsiTheme="minorHAnsi" w:cs="Times New Roman"/>
          <w:sz w:val="22"/>
          <w:szCs w:val="22"/>
        </w:rPr>
        <w:t xml:space="preserve"> budgeted for in the previous triennium</w:t>
      </w:r>
      <w:r w:rsidR="006B4163">
        <w:rPr>
          <w:rFonts w:asciiTheme="minorHAnsi" w:eastAsia="Batang" w:hAnsiTheme="minorHAnsi" w:cs="Times New Roman"/>
          <w:sz w:val="22"/>
          <w:szCs w:val="22"/>
        </w:rPr>
        <w:t xml:space="preserve"> </w:t>
      </w:r>
      <w:r w:rsidR="00E76632">
        <w:rPr>
          <w:rFonts w:asciiTheme="minorHAnsi" w:eastAsia="Batang" w:hAnsiTheme="minorHAnsi" w:cs="Times New Roman"/>
          <w:sz w:val="22"/>
          <w:szCs w:val="22"/>
        </w:rPr>
        <w:t>was</w:t>
      </w:r>
      <w:r w:rsidR="006B4163">
        <w:rPr>
          <w:rFonts w:asciiTheme="minorHAnsi" w:eastAsia="Batang" w:hAnsiTheme="minorHAnsi" w:cs="Times New Roman"/>
          <w:sz w:val="22"/>
          <w:szCs w:val="22"/>
        </w:rPr>
        <w:t xml:space="preserve"> removed </w:t>
      </w:r>
      <w:r w:rsidR="00CE3E0B">
        <w:rPr>
          <w:rFonts w:asciiTheme="minorHAnsi" w:eastAsia="Batang" w:hAnsiTheme="minorHAnsi" w:cs="Times New Roman"/>
          <w:sz w:val="22"/>
          <w:szCs w:val="22"/>
        </w:rPr>
        <w:t>by</w:t>
      </w:r>
      <w:r w:rsidR="00970C63">
        <w:rPr>
          <w:rFonts w:asciiTheme="minorHAnsi" w:eastAsia="Batang" w:hAnsiTheme="minorHAnsi" w:cs="Times New Roman"/>
          <w:sz w:val="22"/>
          <w:szCs w:val="22"/>
        </w:rPr>
        <w:t xml:space="preserve"> </w:t>
      </w:r>
      <w:r w:rsidR="006B4163">
        <w:rPr>
          <w:rFonts w:asciiTheme="minorHAnsi" w:eastAsia="Batang" w:hAnsiTheme="minorHAnsi" w:cs="Times New Roman"/>
          <w:sz w:val="22"/>
          <w:szCs w:val="22"/>
        </w:rPr>
        <w:t>IUCN in spring 2020 due</w:t>
      </w:r>
      <w:r w:rsidR="0010393E">
        <w:rPr>
          <w:rFonts w:asciiTheme="minorHAnsi" w:eastAsia="Batang" w:hAnsiTheme="minorHAnsi" w:cs="Times New Roman"/>
          <w:sz w:val="22"/>
          <w:szCs w:val="22"/>
        </w:rPr>
        <w:t xml:space="preserve"> to </w:t>
      </w:r>
      <w:r w:rsidR="00CE3E0B">
        <w:rPr>
          <w:rFonts w:asciiTheme="minorHAnsi" w:eastAsia="Batang" w:hAnsiTheme="minorHAnsi" w:cs="Times New Roman"/>
          <w:sz w:val="22"/>
          <w:szCs w:val="22"/>
        </w:rPr>
        <w:t>COVID</w:t>
      </w:r>
      <w:r w:rsidR="00E76632">
        <w:rPr>
          <w:rFonts w:asciiTheme="minorHAnsi" w:eastAsia="Batang" w:hAnsiTheme="minorHAnsi" w:cs="Times New Roman"/>
          <w:sz w:val="22"/>
          <w:szCs w:val="22"/>
        </w:rPr>
        <w:t>-</w:t>
      </w:r>
      <w:r w:rsidR="00CE3E0B">
        <w:rPr>
          <w:rFonts w:asciiTheme="minorHAnsi" w:eastAsia="Batang" w:hAnsiTheme="minorHAnsi" w:cs="Times New Roman"/>
          <w:sz w:val="22"/>
          <w:szCs w:val="22"/>
        </w:rPr>
        <w:t>19 travel restrictions</w:t>
      </w:r>
      <w:r w:rsidR="00E76632">
        <w:rPr>
          <w:rFonts w:asciiTheme="minorHAnsi" w:eastAsia="Batang" w:hAnsiTheme="minorHAnsi" w:cs="Times New Roman"/>
          <w:sz w:val="22"/>
          <w:szCs w:val="22"/>
        </w:rPr>
        <w:t>,</w:t>
      </w:r>
      <w:r w:rsidR="00CE3E0B">
        <w:rPr>
          <w:rFonts w:asciiTheme="minorHAnsi" w:eastAsia="Batang" w:hAnsiTheme="minorHAnsi" w:cs="Times New Roman"/>
          <w:sz w:val="22"/>
          <w:szCs w:val="22"/>
        </w:rPr>
        <w:t xml:space="preserve"> </w:t>
      </w:r>
      <w:r w:rsidR="006B4163">
        <w:rPr>
          <w:rFonts w:asciiTheme="minorHAnsi" w:eastAsia="Batang" w:hAnsiTheme="minorHAnsi" w:cs="Times New Roman"/>
          <w:sz w:val="22"/>
          <w:szCs w:val="22"/>
        </w:rPr>
        <w:t xml:space="preserve">and the reservation of tickets </w:t>
      </w:r>
      <w:r w:rsidR="00CD7225">
        <w:rPr>
          <w:rFonts w:asciiTheme="minorHAnsi" w:eastAsia="Batang" w:hAnsiTheme="minorHAnsi" w:cs="Times New Roman"/>
          <w:sz w:val="22"/>
          <w:szCs w:val="22"/>
        </w:rPr>
        <w:t>is</w:t>
      </w:r>
      <w:r w:rsidR="00355F75">
        <w:rPr>
          <w:rFonts w:asciiTheme="minorHAnsi" w:eastAsia="Batang" w:hAnsiTheme="minorHAnsi" w:cs="Times New Roman"/>
          <w:sz w:val="22"/>
          <w:szCs w:val="22"/>
        </w:rPr>
        <w:t xml:space="preserve"> done</w:t>
      </w:r>
      <w:r w:rsidR="006B4163">
        <w:rPr>
          <w:rFonts w:asciiTheme="minorHAnsi" w:eastAsia="Batang" w:hAnsiTheme="minorHAnsi" w:cs="Times New Roman"/>
          <w:sz w:val="22"/>
          <w:szCs w:val="22"/>
        </w:rPr>
        <w:t xml:space="preserve"> </w:t>
      </w:r>
      <w:r w:rsidR="00674248">
        <w:rPr>
          <w:rFonts w:asciiTheme="minorHAnsi" w:eastAsia="Batang" w:hAnsiTheme="minorHAnsi" w:cs="Times New Roman"/>
          <w:sz w:val="22"/>
          <w:szCs w:val="22"/>
        </w:rPr>
        <w:t>through the travel agency’s call centre</w:t>
      </w:r>
      <w:r w:rsidR="0010393E">
        <w:rPr>
          <w:rFonts w:asciiTheme="minorHAnsi" w:eastAsia="Batang" w:hAnsiTheme="minorHAnsi" w:cs="Times New Roman"/>
          <w:sz w:val="22"/>
          <w:szCs w:val="22"/>
        </w:rPr>
        <w:t xml:space="preserve"> and internet platforms</w:t>
      </w:r>
      <w:r w:rsidR="0048153B">
        <w:rPr>
          <w:rFonts w:asciiTheme="minorHAnsi" w:eastAsia="Batang" w:hAnsiTheme="minorHAnsi" w:cs="Times New Roman"/>
          <w:sz w:val="22"/>
          <w:szCs w:val="22"/>
        </w:rPr>
        <w:t>,</w:t>
      </w:r>
      <w:r w:rsidR="00CD7225">
        <w:rPr>
          <w:rFonts w:asciiTheme="minorHAnsi" w:eastAsia="Batang" w:hAnsiTheme="minorHAnsi" w:cs="Times New Roman"/>
          <w:sz w:val="22"/>
          <w:szCs w:val="22"/>
        </w:rPr>
        <w:t xml:space="preserve"> and the fees are included in the travel expenses</w:t>
      </w:r>
      <w:r w:rsidR="00A60635">
        <w:rPr>
          <w:rFonts w:asciiTheme="minorHAnsi" w:eastAsia="Batang" w:hAnsiTheme="minorHAnsi" w:cs="Times New Roman"/>
          <w:sz w:val="22"/>
          <w:szCs w:val="22"/>
        </w:rPr>
        <w:t>.</w:t>
      </w:r>
    </w:p>
    <w:p w14:paraId="74A2A392" w14:textId="206D4CE3" w:rsidR="00241822" w:rsidRDefault="00241822" w:rsidP="00241822">
      <w:pPr>
        <w:pStyle w:val="MGfulltext"/>
        <w:spacing w:after="0"/>
        <w:ind w:left="850" w:hanging="425"/>
        <w:rPr>
          <w:rFonts w:asciiTheme="minorHAnsi" w:eastAsia="Batang" w:hAnsiTheme="minorHAnsi" w:cs="Times New Roman"/>
          <w:sz w:val="22"/>
          <w:szCs w:val="22"/>
        </w:rPr>
      </w:pPr>
    </w:p>
    <w:p w14:paraId="1C2B6913" w14:textId="78C7B6C2" w:rsidR="002F7900"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k.</w:t>
      </w:r>
      <w:r w:rsidR="002F7900">
        <w:rPr>
          <w:rFonts w:asciiTheme="minorHAnsi" w:eastAsia="Batang" w:hAnsiTheme="minorHAnsi" w:cs="Times New Roman"/>
          <w:sz w:val="22"/>
          <w:szCs w:val="22"/>
        </w:rPr>
        <w:tab/>
      </w:r>
      <w:r w:rsidR="00C13E62">
        <w:rPr>
          <w:rFonts w:asciiTheme="minorHAnsi" w:eastAsia="Batang" w:hAnsiTheme="minorHAnsi" w:cs="Times New Roman"/>
          <w:sz w:val="22"/>
          <w:szCs w:val="22"/>
        </w:rPr>
        <w:t xml:space="preserve">Furthermore, </w:t>
      </w:r>
      <w:r w:rsidR="00C16838">
        <w:rPr>
          <w:rFonts w:asciiTheme="minorHAnsi" w:eastAsia="Batang" w:hAnsiTheme="minorHAnsi" w:cs="Times New Roman"/>
          <w:sz w:val="22"/>
          <w:szCs w:val="22"/>
        </w:rPr>
        <w:t>compared to the 2019-2021 triennium, We</w:t>
      </w:r>
      <w:r w:rsidR="00C13E62">
        <w:rPr>
          <w:rFonts w:asciiTheme="minorHAnsi" w:eastAsia="Batang" w:hAnsiTheme="minorHAnsi" w:cs="Times New Roman"/>
          <w:sz w:val="22"/>
          <w:szCs w:val="22"/>
        </w:rPr>
        <w:t xml:space="preserve">b/IT </w:t>
      </w:r>
      <w:r w:rsidR="00C16838">
        <w:rPr>
          <w:rFonts w:asciiTheme="minorHAnsi" w:eastAsia="Batang" w:hAnsiTheme="minorHAnsi" w:cs="Times New Roman"/>
          <w:sz w:val="22"/>
          <w:szCs w:val="22"/>
        </w:rPr>
        <w:t>S</w:t>
      </w:r>
      <w:r w:rsidR="00C13E62">
        <w:rPr>
          <w:rFonts w:asciiTheme="minorHAnsi" w:eastAsia="Batang" w:hAnsiTheme="minorHAnsi" w:cs="Times New Roman"/>
          <w:sz w:val="22"/>
          <w:szCs w:val="22"/>
        </w:rPr>
        <w:t>upport</w:t>
      </w:r>
      <w:r w:rsidR="00C16838">
        <w:rPr>
          <w:rFonts w:asciiTheme="minorHAnsi" w:eastAsia="Batang" w:hAnsiTheme="minorHAnsi" w:cs="Times New Roman"/>
          <w:sz w:val="22"/>
          <w:szCs w:val="22"/>
        </w:rPr>
        <w:t xml:space="preserve"> and </w:t>
      </w:r>
      <w:r w:rsidR="00300837">
        <w:rPr>
          <w:rFonts w:asciiTheme="minorHAnsi" w:eastAsia="Batang" w:hAnsiTheme="minorHAnsi" w:cs="Times New Roman"/>
          <w:sz w:val="22"/>
          <w:szCs w:val="22"/>
        </w:rPr>
        <w:t>Development</w:t>
      </w:r>
      <w:r w:rsidR="00C13E62">
        <w:rPr>
          <w:rFonts w:asciiTheme="minorHAnsi" w:eastAsia="Batang" w:hAnsiTheme="minorHAnsi" w:cs="Times New Roman"/>
          <w:sz w:val="22"/>
          <w:szCs w:val="22"/>
        </w:rPr>
        <w:t xml:space="preserve"> has been reduced by CHF 11K because the Secretariat foresees lower support costs will be needed</w:t>
      </w:r>
      <w:r w:rsidR="00C16838">
        <w:rPr>
          <w:rFonts w:asciiTheme="minorHAnsi" w:eastAsia="Batang" w:hAnsiTheme="minorHAnsi" w:cs="Times New Roman"/>
          <w:sz w:val="22"/>
          <w:szCs w:val="22"/>
        </w:rPr>
        <w:t xml:space="preserve"> for the hosting, maintenance and limited IT developments </w:t>
      </w:r>
      <w:r w:rsidR="00C13E62">
        <w:rPr>
          <w:rFonts w:asciiTheme="minorHAnsi" w:eastAsia="Batang" w:hAnsiTheme="minorHAnsi" w:cs="Times New Roman"/>
          <w:sz w:val="22"/>
          <w:szCs w:val="22"/>
        </w:rPr>
        <w:t xml:space="preserve">after the redevelopment </w:t>
      </w:r>
      <w:r w:rsidR="00686DC0">
        <w:rPr>
          <w:rFonts w:asciiTheme="minorHAnsi" w:eastAsia="Batang" w:hAnsiTheme="minorHAnsi" w:cs="Times New Roman"/>
          <w:sz w:val="22"/>
          <w:szCs w:val="22"/>
        </w:rPr>
        <w:t>of the website</w:t>
      </w:r>
      <w:r w:rsidR="00502A28">
        <w:rPr>
          <w:rFonts w:asciiTheme="minorHAnsi" w:eastAsia="Batang" w:hAnsiTheme="minorHAnsi" w:cs="Times New Roman"/>
          <w:sz w:val="22"/>
          <w:szCs w:val="22"/>
        </w:rPr>
        <w:t xml:space="preserve"> that </w:t>
      </w:r>
      <w:r w:rsidR="00C16838">
        <w:rPr>
          <w:rFonts w:asciiTheme="minorHAnsi" w:eastAsia="Batang" w:hAnsiTheme="minorHAnsi" w:cs="Times New Roman"/>
          <w:sz w:val="22"/>
          <w:szCs w:val="22"/>
        </w:rPr>
        <w:t>will be</w:t>
      </w:r>
      <w:r w:rsidR="00C13E62">
        <w:rPr>
          <w:rFonts w:asciiTheme="minorHAnsi" w:eastAsia="Batang" w:hAnsiTheme="minorHAnsi" w:cs="Times New Roman"/>
          <w:sz w:val="22"/>
          <w:szCs w:val="22"/>
        </w:rPr>
        <w:t xml:space="preserve"> implemented in 2022.</w:t>
      </w:r>
    </w:p>
    <w:p w14:paraId="36936306" w14:textId="4F4AAF73" w:rsidR="00C13E62" w:rsidRDefault="00C13E62" w:rsidP="00241822">
      <w:pPr>
        <w:pStyle w:val="MGfulltext"/>
        <w:spacing w:after="0"/>
        <w:ind w:left="850" w:hanging="425"/>
        <w:rPr>
          <w:rFonts w:asciiTheme="minorHAnsi" w:eastAsia="Batang" w:hAnsiTheme="minorHAnsi" w:cs="Times New Roman"/>
          <w:sz w:val="22"/>
          <w:szCs w:val="22"/>
        </w:rPr>
      </w:pPr>
    </w:p>
    <w:p w14:paraId="7F39B98C" w14:textId="796B51D4" w:rsidR="00C13E62" w:rsidRDefault="005E4E6C" w:rsidP="00101117">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l.</w:t>
      </w:r>
      <w:r w:rsidR="00C13E62">
        <w:rPr>
          <w:rFonts w:asciiTheme="minorHAnsi" w:eastAsia="Batang" w:hAnsiTheme="minorHAnsi" w:cs="Times New Roman"/>
          <w:sz w:val="22"/>
          <w:szCs w:val="22"/>
        </w:rPr>
        <w:tab/>
      </w:r>
      <w:r w:rsidR="00C16838">
        <w:rPr>
          <w:rFonts w:asciiTheme="minorHAnsi" w:eastAsia="Batang" w:hAnsiTheme="minorHAnsi" w:cs="Times New Roman"/>
          <w:sz w:val="22"/>
          <w:szCs w:val="22"/>
        </w:rPr>
        <w:t>Compared to the previous triennium, t</w:t>
      </w:r>
      <w:r w:rsidR="00101117">
        <w:rPr>
          <w:rFonts w:asciiTheme="minorHAnsi" w:eastAsia="Batang" w:hAnsiTheme="minorHAnsi" w:cs="Times New Roman"/>
          <w:sz w:val="22"/>
          <w:szCs w:val="22"/>
        </w:rPr>
        <w:t xml:space="preserve">he </w:t>
      </w:r>
      <w:r w:rsidR="00C13E62" w:rsidRPr="00C13E62">
        <w:rPr>
          <w:rFonts w:asciiTheme="minorHAnsi" w:eastAsia="Batang" w:hAnsiTheme="minorHAnsi" w:cs="Times New Roman"/>
          <w:sz w:val="22"/>
          <w:szCs w:val="22"/>
        </w:rPr>
        <w:t>travel budget</w:t>
      </w:r>
      <w:r w:rsidR="00C13E62">
        <w:rPr>
          <w:rFonts w:asciiTheme="minorHAnsi" w:eastAsia="Batang" w:hAnsiTheme="minorHAnsi" w:cs="Times New Roman"/>
          <w:sz w:val="22"/>
          <w:szCs w:val="22"/>
        </w:rPr>
        <w:t xml:space="preserve"> has been </w:t>
      </w:r>
      <w:r w:rsidR="003D10BB">
        <w:rPr>
          <w:rFonts w:asciiTheme="minorHAnsi" w:eastAsia="Batang" w:hAnsiTheme="minorHAnsi" w:cs="Times New Roman"/>
          <w:sz w:val="22"/>
          <w:szCs w:val="22"/>
        </w:rPr>
        <w:t xml:space="preserve">adjusted with a reallocation of </w:t>
      </w:r>
      <w:r w:rsidR="00D36152">
        <w:rPr>
          <w:rFonts w:asciiTheme="minorHAnsi" w:eastAsia="Batang" w:hAnsiTheme="minorHAnsi" w:cs="Times New Roman"/>
          <w:sz w:val="22"/>
          <w:szCs w:val="22"/>
        </w:rPr>
        <w:t xml:space="preserve">CHF 24K </w:t>
      </w:r>
      <w:r w:rsidR="003D10BB">
        <w:rPr>
          <w:rFonts w:asciiTheme="minorHAnsi" w:eastAsia="Batang" w:hAnsiTheme="minorHAnsi" w:cs="Times New Roman"/>
          <w:sz w:val="22"/>
          <w:szCs w:val="22"/>
        </w:rPr>
        <w:t xml:space="preserve">from </w:t>
      </w:r>
      <w:r w:rsidR="00C16838">
        <w:rPr>
          <w:rFonts w:asciiTheme="minorHAnsi" w:eastAsia="Batang" w:hAnsiTheme="minorHAnsi" w:cs="Times New Roman"/>
          <w:sz w:val="22"/>
          <w:szCs w:val="22"/>
        </w:rPr>
        <w:t xml:space="preserve">budget section </w:t>
      </w:r>
      <w:r w:rsidR="00D36152">
        <w:rPr>
          <w:rFonts w:asciiTheme="minorHAnsi" w:eastAsia="Batang" w:hAnsiTheme="minorHAnsi" w:cs="Times New Roman"/>
          <w:sz w:val="22"/>
          <w:szCs w:val="22"/>
        </w:rPr>
        <w:t>C</w:t>
      </w:r>
      <w:r w:rsidR="00B83B28">
        <w:rPr>
          <w:rFonts w:asciiTheme="minorHAnsi" w:eastAsia="Batang" w:hAnsiTheme="minorHAnsi" w:cs="Times New Roman"/>
          <w:sz w:val="22"/>
          <w:szCs w:val="22"/>
        </w:rPr>
        <w:t>,</w:t>
      </w:r>
      <w:r w:rsidR="00D36152">
        <w:rPr>
          <w:rFonts w:asciiTheme="minorHAnsi" w:eastAsia="Batang" w:hAnsiTheme="minorHAnsi" w:cs="Times New Roman"/>
          <w:sz w:val="22"/>
          <w:szCs w:val="22"/>
        </w:rPr>
        <w:t xml:space="preserve"> Regional Advice and Support</w:t>
      </w:r>
      <w:r w:rsidR="00B83B28">
        <w:rPr>
          <w:rFonts w:asciiTheme="minorHAnsi" w:eastAsia="Batang" w:hAnsiTheme="minorHAnsi" w:cs="Times New Roman"/>
          <w:sz w:val="22"/>
          <w:szCs w:val="22"/>
        </w:rPr>
        <w:t>,</w:t>
      </w:r>
      <w:r w:rsidR="00D36152">
        <w:rPr>
          <w:rFonts w:asciiTheme="minorHAnsi" w:eastAsia="Batang" w:hAnsiTheme="minorHAnsi" w:cs="Times New Roman"/>
          <w:sz w:val="22"/>
          <w:szCs w:val="22"/>
        </w:rPr>
        <w:t xml:space="preserve"> </w:t>
      </w:r>
      <w:r w:rsidR="003D10BB">
        <w:rPr>
          <w:rFonts w:asciiTheme="minorHAnsi" w:eastAsia="Batang" w:hAnsiTheme="minorHAnsi" w:cs="Times New Roman"/>
          <w:sz w:val="22"/>
          <w:szCs w:val="22"/>
        </w:rPr>
        <w:t>to</w:t>
      </w:r>
      <w:r w:rsidR="003C0C53">
        <w:rPr>
          <w:rFonts w:asciiTheme="minorHAnsi" w:eastAsia="Batang" w:hAnsiTheme="minorHAnsi" w:cs="Times New Roman"/>
          <w:sz w:val="22"/>
          <w:szCs w:val="22"/>
        </w:rPr>
        <w:t xml:space="preserve"> </w:t>
      </w:r>
      <w:r w:rsidR="00C16838">
        <w:rPr>
          <w:rFonts w:asciiTheme="minorHAnsi" w:eastAsia="Batang" w:hAnsiTheme="minorHAnsi" w:cs="Times New Roman"/>
          <w:sz w:val="22"/>
          <w:szCs w:val="22"/>
        </w:rPr>
        <w:t xml:space="preserve">the budget section </w:t>
      </w:r>
      <w:r w:rsidR="003C0C53">
        <w:rPr>
          <w:rFonts w:asciiTheme="minorHAnsi" w:eastAsia="Batang" w:hAnsiTheme="minorHAnsi" w:cs="Times New Roman"/>
          <w:sz w:val="22"/>
          <w:szCs w:val="22"/>
        </w:rPr>
        <w:t>E</w:t>
      </w:r>
      <w:r w:rsidR="00B83B28">
        <w:rPr>
          <w:rFonts w:asciiTheme="minorHAnsi" w:eastAsia="Batang" w:hAnsiTheme="minorHAnsi" w:cs="Times New Roman"/>
          <w:sz w:val="22"/>
          <w:szCs w:val="22"/>
        </w:rPr>
        <w:t>,</w:t>
      </w:r>
      <w:r w:rsidR="003C0C53">
        <w:rPr>
          <w:rFonts w:asciiTheme="minorHAnsi" w:eastAsia="Batang" w:hAnsiTheme="minorHAnsi" w:cs="Times New Roman"/>
          <w:sz w:val="22"/>
          <w:szCs w:val="22"/>
        </w:rPr>
        <w:t xml:space="preserve"> Science and Policy</w:t>
      </w:r>
      <w:r w:rsidR="00502A28">
        <w:rPr>
          <w:rFonts w:asciiTheme="minorHAnsi" w:eastAsia="Batang" w:hAnsiTheme="minorHAnsi" w:cs="Times New Roman"/>
          <w:sz w:val="22"/>
          <w:szCs w:val="22"/>
        </w:rPr>
        <w:t>,</w:t>
      </w:r>
      <w:r w:rsidR="003C0C53">
        <w:rPr>
          <w:rFonts w:asciiTheme="minorHAnsi" w:eastAsia="Batang" w:hAnsiTheme="minorHAnsi" w:cs="Times New Roman"/>
          <w:sz w:val="22"/>
          <w:szCs w:val="22"/>
        </w:rPr>
        <w:t xml:space="preserve"> </w:t>
      </w:r>
      <w:r w:rsidR="003D10BB">
        <w:rPr>
          <w:rFonts w:asciiTheme="minorHAnsi" w:eastAsia="Batang" w:hAnsiTheme="minorHAnsi" w:cs="Times New Roman"/>
          <w:sz w:val="22"/>
          <w:szCs w:val="22"/>
        </w:rPr>
        <w:t xml:space="preserve">in line with the requirements of the </w:t>
      </w:r>
      <w:r w:rsidR="00B83B28">
        <w:rPr>
          <w:rFonts w:asciiTheme="minorHAnsi" w:eastAsia="Batang" w:hAnsiTheme="minorHAnsi" w:cs="Times New Roman"/>
          <w:sz w:val="22"/>
          <w:szCs w:val="22"/>
        </w:rPr>
        <w:t>w</w:t>
      </w:r>
      <w:r w:rsidR="00C13E62" w:rsidRPr="00C13E62">
        <w:rPr>
          <w:rFonts w:asciiTheme="minorHAnsi" w:eastAsia="Batang" w:hAnsiTheme="minorHAnsi" w:cs="Times New Roman"/>
          <w:sz w:val="22"/>
          <w:szCs w:val="22"/>
        </w:rPr>
        <w:t>ork</w:t>
      </w:r>
      <w:r w:rsidR="00B83B28">
        <w:rPr>
          <w:rFonts w:asciiTheme="minorHAnsi" w:eastAsia="Batang" w:hAnsiTheme="minorHAnsi" w:cs="Times New Roman"/>
          <w:sz w:val="22"/>
          <w:szCs w:val="22"/>
        </w:rPr>
        <w:t xml:space="preserve"> </w:t>
      </w:r>
      <w:r w:rsidR="00C13E62" w:rsidRPr="00C13E62">
        <w:rPr>
          <w:rFonts w:asciiTheme="minorHAnsi" w:eastAsia="Batang" w:hAnsiTheme="minorHAnsi" w:cs="Times New Roman"/>
          <w:sz w:val="22"/>
          <w:szCs w:val="22"/>
        </w:rPr>
        <w:t xml:space="preserve">plan for the Secretariat, while the overall travel budget remains </w:t>
      </w:r>
      <w:r w:rsidR="00C13E62">
        <w:rPr>
          <w:rFonts w:asciiTheme="minorHAnsi" w:eastAsia="Batang" w:hAnsiTheme="minorHAnsi" w:cs="Times New Roman"/>
          <w:sz w:val="22"/>
          <w:szCs w:val="22"/>
        </w:rPr>
        <w:t>the same as in 2019-2021 triennium and represents 3% of the total core budget.</w:t>
      </w:r>
    </w:p>
    <w:p w14:paraId="4B589588" w14:textId="77777777" w:rsidR="002F7900" w:rsidRDefault="002F7900" w:rsidP="00241822">
      <w:pPr>
        <w:pStyle w:val="MGfulltext"/>
        <w:spacing w:after="0"/>
        <w:ind w:left="850" w:hanging="425"/>
        <w:rPr>
          <w:rFonts w:asciiTheme="minorHAnsi" w:eastAsia="Batang" w:hAnsiTheme="minorHAnsi" w:cs="Times New Roman"/>
          <w:sz w:val="22"/>
          <w:szCs w:val="22"/>
        </w:rPr>
      </w:pPr>
    </w:p>
    <w:p w14:paraId="1E6A1A31" w14:textId="252F2E19" w:rsidR="00B32E40" w:rsidRPr="00FB1011"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m</w:t>
      </w:r>
      <w:r w:rsidR="00241822">
        <w:rPr>
          <w:rFonts w:asciiTheme="minorHAnsi" w:eastAsia="Batang" w:hAnsiTheme="minorHAnsi" w:cs="Times New Roman"/>
          <w:sz w:val="22"/>
          <w:szCs w:val="22"/>
        </w:rPr>
        <w:t>.</w:t>
      </w:r>
      <w:r w:rsidR="00241822">
        <w:rPr>
          <w:rFonts w:asciiTheme="minorHAnsi" w:eastAsia="Batang" w:hAnsiTheme="minorHAnsi" w:cs="Times New Roman"/>
          <w:sz w:val="22"/>
          <w:szCs w:val="22"/>
        </w:rPr>
        <w:tab/>
      </w:r>
      <w:r w:rsidR="00607AC7">
        <w:rPr>
          <w:rFonts w:asciiTheme="minorHAnsi" w:eastAsia="Batang" w:hAnsiTheme="minorHAnsi" w:cs="Times New Roman"/>
          <w:sz w:val="22"/>
          <w:szCs w:val="22"/>
        </w:rPr>
        <w:t>As in the previous trienni</w:t>
      </w:r>
      <w:r w:rsidR="00D522EF">
        <w:rPr>
          <w:rFonts w:asciiTheme="minorHAnsi" w:eastAsia="Batang" w:hAnsiTheme="minorHAnsi" w:cs="Times New Roman"/>
          <w:sz w:val="22"/>
          <w:szCs w:val="22"/>
        </w:rPr>
        <w:t>um</w:t>
      </w:r>
      <w:r w:rsidR="00607AC7">
        <w:rPr>
          <w:rFonts w:asciiTheme="minorHAnsi" w:eastAsia="Batang" w:hAnsiTheme="minorHAnsi" w:cs="Times New Roman"/>
          <w:sz w:val="22"/>
          <w:szCs w:val="22"/>
        </w:rPr>
        <w:t xml:space="preserve">, </w:t>
      </w:r>
      <w:r w:rsidR="00B32E40" w:rsidRPr="00FB1011">
        <w:rPr>
          <w:rFonts w:asciiTheme="minorHAnsi" w:eastAsia="Batang" w:hAnsiTheme="minorHAnsi" w:cs="Times New Roman"/>
          <w:sz w:val="22"/>
          <w:szCs w:val="22"/>
        </w:rPr>
        <w:t xml:space="preserve">CHF </w:t>
      </w:r>
      <w:r w:rsidR="00D522EF" w:rsidRPr="00FB1011">
        <w:rPr>
          <w:rFonts w:asciiTheme="minorHAnsi" w:eastAsia="Batang" w:hAnsiTheme="minorHAnsi" w:cs="Times New Roman"/>
          <w:sz w:val="22"/>
          <w:szCs w:val="22"/>
        </w:rPr>
        <w:t>1</w:t>
      </w:r>
      <w:r w:rsidR="00D522EF">
        <w:rPr>
          <w:rFonts w:asciiTheme="minorHAnsi" w:eastAsia="Batang" w:hAnsiTheme="minorHAnsi" w:cs="Times New Roman"/>
          <w:sz w:val="22"/>
          <w:szCs w:val="22"/>
        </w:rPr>
        <w:t>0</w:t>
      </w:r>
      <w:r w:rsidR="00D522EF" w:rsidRPr="00FB1011">
        <w:rPr>
          <w:rFonts w:asciiTheme="minorHAnsi" w:eastAsia="Batang" w:hAnsiTheme="minorHAnsi" w:cs="Times New Roman"/>
          <w:sz w:val="22"/>
          <w:szCs w:val="22"/>
        </w:rPr>
        <w:t>0</w:t>
      </w:r>
      <w:r w:rsidR="00167E31">
        <w:rPr>
          <w:rFonts w:asciiTheme="minorHAnsi" w:eastAsia="Batang" w:hAnsiTheme="minorHAnsi" w:cs="Times New Roman"/>
          <w:sz w:val="22"/>
          <w:szCs w:val="22"/>
        </w:rPr>
        <w:t>K</w:t>
      </w:r>
      <w:r w:rsidR="00B32E40" w:rsidRPr="00FB1011">
        <w:rPr>
          <w:rFonts w:asciiTheme="minorHAnsi" w:eastAsia="Batang" w:hAnsiTheme="minorHAnsi" w:cs="Times New Roman"/>
          <w:sz w:val="22"/>
          <w:szCs w:val="22"/>
        </w:rPr>
        <w:t xml:space="preserve"> per annum </w:t>
      </w:r>
      <w:r w:rsidR="00803C20">
        <w:rPr>
          <w:rFonts w:asciiTheme="minorHAnsi" w:eastAsia="Batang" w:hAnsiTheme="minorHAnsi" w:cs="Times New Roman"/>
          <w:sz w:val="22"/>
          <w:szCs w:val="22"/>
        </w:rPr>
        <w:t>is</w:t>
      </w:r>
      <w:r w:rsidR="00B32E40" w:rsidRPr="00FB1011">
        <w:rPr>
          <w:rFonts w:asciiTheme="minorHAnsi" w:eastAsia="Batang" w:hAnsiTheme="minorHAnsi" w:cs="Times New Roman"/>
          <w:sz w:val="22"/>
          <w:szCs w:val="22"/>
        </w:rPr>
        <w:t xml:space="preserve"> budgeted for start-up funding for </w:t>
      </w:r>
      <w:r w:rsidR="00E76632">
        <w:rPr>
          <w:rFonts w:asciiTheme="minorHAnsi" w:eastAsia="Batang" w:hAnsiTheme="minorHAnsi" w:cs="Times New Roman"/>
          <w:sz w:val="22"/>
          <w:szCs w:val="22"/>
        </w:rPr>
        <w:t xml:space="preserve">Ramsar </w:t>
      </w:r>
      <w:r w:rsidR="00B32E40" w:rsidRPr="00FB1011">
        <w:rPr>
          <w:rFonts w:asciiTheme="minorHAnsi" w:eastAsia="Batang" w:hAnsiTheme="minorHAnsi" w:cs="Times New Roman"/>
          <w:sz w:val="22"/>
          <w:szCs w:val="22"/>
        </w:rPr>
        <w:t>Regional Initiatives</w:t>
      </w:r>
      <w:r w:rsidR="00A60635">
        <w:rPr>
          <w:rFonts w:asciiTheme="minorHAnsi" w:eastAsia="Batang" w:hAnsiTheme="minorHAnsi" w:cs="Times New Roman"/>
          <w:sz w:val="22"/>
          <w:szCs w:val="22"/>
        </w:rPr>
        <w:t>.</w:t>
      </w:r>
      <w:r w:rsidR="00B32E40" w:rsidRPr="00FB1011">
        <w:rPr>
          <w:rFonts w:asciiTheme="minorHAnsi" w:eastAsia="Batang" w:hAnsiTheme="minorHAnsi" w:cs="Times New Roman"/>
          <w:sz w:val="22"/>
          <w:szCs w:val="22"/>
        </w:rPr>
        <w:t xml:space="preserve"> </w:t>
      </w:r>
    </w:p>
    <w:p w14:paraId="677B90E8" w14:textId="77777777" w:rsidR="00241822" w:rsidRDefault="00241822" w:rsidP="00241822">
      <w:pPr>
        <w:pStyle w:val="MGfulltext"/>
        <w:spacing w:after="0"/>
        <w:ind w:left="850" w:hanging="425"/>
        <w:rPr>
          <w:rFonts w:asciiTheme="minorHAnsi" w:eastAsia="Batang" w:hAnsiTheme="minorHAnsi" w:cs="Times New Roman"/>
          <w:sz w:val="22"/>
          <w:szCs w:val="22"/>
        </w:rPr>
      </w:pPr>
    </w:p>
    <w:p w14:paraId="0A72FC96" w14:textId="1E084722" w:rsidR="00B32E40"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n</w:t>
      </w:r>
      <w:r w:rsidR="00241822">
        <w:rPr>
          <w:rFonts w:asciiTheme="minorHAnsi" w:eastAsia="Batang" w:hAnsiTheme="minorHAnsi" w:cs="Times New Roman"/>
          <w:sz w:val="22"/>
          <w:szCs w:val="22"/>
        </w:rPr>
        <w:t>.</w:t>
      </w:r>
      <w:r w:rsidR="00241822">
        <w:rPr>
          <w:rFonts w:asciiTheme="minorHAnsi" w:eastAsia="Batang" w:hAnsiTheme="minorHAnsi" w:cs="Times New Roman"/>
          <w:sz w:val="22"/>
          <w:szCs w:val="22"/>
        </w:rPr>
        <w:tab/>
      </w:r>
      <w:r w:rsidR="00B32E40" w:rsidRPr="00FB1011">
        <w:rPr>
          <w:rFonts w:asciiTheme="minorHAnsi" w:eastAsia="Batang" w:hAnsiTheme="minorHAnsi" w:cs="Times New Roman"/>
          <w:sz w:val="22"/>
          <w:szCs w:val="22"/>
        </w:rPr>
        <w:t xml:space="preserve">No funding is allocated from the core budget for </w:t>
      </w:r>
      <w:r w:rsidR="00331485">
        <w:rPr>
          <w:rFonts w:asciiTheme="minorHAnsi" w:eastAsia="Batang" w:hAnsiTheme="minorHAnsi" w:cs="Times New Roman"/>
          <w:sz w:val="22"/>
          <w:szCs w:val="22"/>
        </w:rPr>
        <w:t xml:space="preserve">Ramsar Advisory Missions, </w:t>
      </w:r>
      <w:r w:rsidR="00B32E40" w:rsidRPr="00FB1011">
        <w:rPr>
          <w:rFonts w:asciiTheme="minorHAnsi" w:eastAsia="Batang" w:hAnsiTheme="minorHAnsi" w:cs="Times New Roman"/>
          <w:sz w:val="22"/>
          <w:szCs w:val="22"/>
        </w:rPr>
        <w:t xml:space="preserve">meetings of the Conference of the </w:t>
      </w:r>
      <w:r w:rsidR="00331485">
        <w:rPr>
          <w:rFonts w:asciiTheme="minorHAnsi" w:eastAsia="Batang" w:hAnsiTheme="minorHAnsi" w:cs="Times New Roman"/>
          <w:sz w:val="22"/>
          <w:szCs w:val="22"/>
        </w:rPr>
        <w:t xml:space="preserve">Contracting </w:t>
      </w:r>
      <w:r w:rsidR="00B32E40" w:rsidRPr="00FB1011">
        <w:rPr>
          <w:rFonts w:asciiTheme="minorHAnsi" w:eastAsia="Batang" w:hAnsiTheme="minorHAnsi" w:cs="Times New Roman"/>
          <w:sz w:val="22"/>
          <w:szCs w:val="22"/>
        </w:rPr>
        <w:t xml:space="preserve">Parties or pre-COP regional meetings, as for </w:t>
      </w:r>
      <w:r w:rsidR="0095712D" w:rsidRPr="00FB1011">
        <w:rPr>
          <w:rFonts w:asciiTheme="minorHAnsi" w:eastAsia="Batang" w:hAnsiTheme="minorHAnsi" w:cs="Times New Roman"/>
          <w:sz w:val="22"/>
          <w:szCs w:val="22"/>
        </w:rPr>
        <w:t>20</w:t>
      </w:r>
      <w:r w:rsidR="0095712D">
        <w:rPr>
          <w:rFonts w:asciiTheme="minorHAnsi" w:eastAsia="Batang" w:hAnsiTheme="minorHAnsi" w:cs="Times New Roman"/>
          <w:sz w:val="22"/>
          <w:szCs w:val="22"/>
        </w:rPr>
        <w:t>19</w:t>
      </w:r>
      <w:r w:rsidR="00B32E40" w:rsidRPr="00FB1011">
        <w:rPr>
          <w:rFonts w:asciiTheme="minorHAnsi" w:eastAsia="Batang" w:hAnsiTheme="minorHAnsi" w:cs="Times New Roman"/>
          <w:sz w:val="22"/>
          <w:szCs w:val="22"/>
        </w:rPr>
        <w:t>-</w:t>
      </w:r>
      <w:r w:rsidR="0095712D" w:rsidRPr="00FB1011">
        <w:rPr>
          <w:rFonts w:asciiTheme="minorHAnsi" w:eastAsia="Batang" w:hAnsiTheme="minorHAnsi" w:cs="Times New Roman"/>
          <w:sz w:val="22"/>
          <w:szCs w:val="22"/>
        </w:rPr>
        <w:t>20</w:t>
      </w:r>
      <w:r w:rsidR="0095712D">
        <w:rPr>
          <w:rFonts w:asciiTheme="minorHAnsi" w:eastAsia="Batang" w:hAnsiTheme="minorHAnsi" w:cs="Times New Roman"/>
          <w:sz w:val="22"/>
          <w:szCs w:val="22"/>
        </w:rPr>
        <w:t xml:space="preserve">21 </w:t>
      </w:r>
      <w:r w:rsidR="006D3CBA">
        <w:rPr>
          <w:rFonts w:asciiTheme="minorHAnsi" w:eastAsia="Batang" w:hAnsiTheme="minorHAnsi" w:cs="Times New Roman"/>
          <w:sz w:val="22"/>
          <w:szCs w:val="22"/>
        </w:rPr>
        <w:t>(</w:t>
      </w:r>
      <w:r w:rsidR="00607AC7">
        <w:rPr>
          <w:rFonts w:asciiTheme="minorHAnsi" w:eastAsia="Batang" w:hAnsiTheme="minorHAnsi" w:cs="Times New Roman"/>
          <w:sz w:val="22"/>
          <w:szCs w:val="22"/>
        </w:rPr>
        <w:t xml:space="preserve">except for </w:t>
      </w:r>
      <w:r w:rsidR="00331485">
        <w:rPr>
          <w:rFonts w:asciiTheme="minorHAnsi" w:eastAsia="Batang" w:hAnsiTheme="minorHAnsi" w:cs="Times New Roman"/>
          <w:sz w:val="22"/>
          <w:szCs w:val="22"/>
        </w:rPr>
        <w:t xml:space="preserve">the </w:t>
      </w:r>
      <w:r w:rsidR="00607AC7">
        <w:rPr>
          <w:rFonts w:asciiTheme="minorHAnsi" w:eastAsia="Batang" w:hAnsiTheme="minorHAnsi" w:cs="Times New Roman"/>
          <w:sz w:val="22"/>
          <w:szCs w:val="22"/>
        </w:rPr>
        <w:t xml:space="preserve">inclusion of COP meeting costs in budget scenario </w:t>
      </w:r>
      <w:r w:rsidR="0018623B">
        <w:rPr>
          <w:rFonts w:asciiTheme="minorHAnsi" w:eastAsia="Batang" w:hAnsiTheme="minorHAnsi" w:cs="Times New Roman"/>
          <w:sz w:val="22"/>
          <w:szCs w:val="22"/>
        </w:rPr>
        <w:t>C)</w:t>
      </w:r>
      <w:r w:rsidR="00A60635">
        <w:rPr>
          <w:rFonts w:asciiTheme="minorHAnsi" w:eastAsia="Batang" w:hAnsiTheme="minorHAnsi" w:cs="Times New Roman"/>
          <w:sz w:val="22"/>
          <w:szCs w:val="22"/>
        </w:rPr>
        <w:t>.</w:t>
      </w:r>
    </w:p>
    <w:p w14:paraId="4E78B9AA" w14:textId="4C8A3814" w:rsidR="00701C8A" w:rsidRDefault="00701C8A" w:rsidP="00241822">
      <w:pPr>
        <w:pStyle w:val="MGfulltext"/>
        <w:spacing w:after="0"/>
        <w:ind w:left="850" w:hanging="425"/>
        <w:rPr>
          <w:rFonts w:asciiTheme="minorHAnsi" w:eastAsia="Batang" w:hAnsiTheme="minorHAnsi" w:cs="Times New Roman"/>
          <w:sz w:val="22"/>
          <w:szCs w:val="22"/>
        </w:rPr>
      </w:pPr>
    </w:p>
    <w:p w14:paraId="6D964016" w14:textId="3E17BB8B" w:rsidR="00701C8A"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o</w:t>
      </w:r>
      <w:r w:rsidR="00E76632">
        <w:rPr>
          <w:rFonts w:asciiTheme="minorHAnsi" w:eastAsia="Batang" w:hAnsiTheme="minorHAnsi" w:cs="Times New Roman"/>
          <w:sz w:val="22"/>
          <w:szCs w:val="22"/>
        </w:rPr>
        <w:t>.</w:t>
      </w:r>
      <w:r w:rsidR="00701C8A">
        <w:rPr>
          <w:rFonts w:asciiTheme="minorHAnsi" w:eastAsia="Batang" w:hAnsiTheme="minorHAnsi" w:cs="Times New Roman"/>
          <w:sz w:val="22"/>
          <w:szCs w:val="22"/>
        </w:rPr>
        <w:tab/>
        <w:t>Compared to the previous triennium the same amount allocated for the provisions has been maintained. However, in line with S</w:t>
      </w:r>
      <w:r w:rsidR="000A192A">
        <w:rPr>
          <w:rFonts w:asciiTheme="minorHAnsi" w:eastAsia="Batang" w:hAnsiTheme="minorHAnsi" w:cs="Times New Roman"/>
          <w:sz w:val="22"/>
          <w:szCs w:val="22"/>
        </w:rPr>
        <w:t xml:space="preserve">tanding Committee </w:t>
      </w:r>
      <w:r w:rsidR="00701C8A">
        <w:rPr>
          <w:rFonts w:asciiTheme="minorHAnsi" w:eastAsia="Batang" w:hAnsiTheme="minorHAnsi" w:cs="Times New Roman"/>
          <w:sz w:val="22"/>
          <w:szCs w:val="22"/>
        </w:rPr>
        <w:t>Decision</w:t>
      </w:r>
      <w:r w:rsidR="000A192A">
        <w:rPr>
          <w:rFonts w:asciiTheme="minorHAnsi" w:eastAsia="Batang" w:hAnsiTheme="minorHAnsi" w:cs="Times New Roman"/>
          <w:sz w:val="22"/>
          <w:szCs w:val="22"/>
        </w:rPr>
        <w:t xml:space="preserve"> SC58-31</w:t>
      </w:r>
      <w:r w:rsidR="00701C8A">
        <w:rPr>
          <w:rFonts w:asciiTheme="minorHAnsi" w:eastAsia="Batang" w:hAnsiTheme="minorHAnsi" w:cs="Times New Roman"/>
          <w:sz w:val="22"/>
          <w:szCs w:val="22"/>
        </w:rPr>
        <w:t>, the</w:t>
      </w:r>
      <w:r w:rsidR="000A192A">
        <w:rPr>
          <w:rFonts w:asciiTheme="minorHAnsi" w:eastAsia="Batang" w:hAnsiTheme="minorHAnsi" w:cs="Times New Roman"/>
          <w:sz w:val="22"/>
          <w:szCs w:val="22"/>
        </w:rPr>
        <w:t xml:space="preserve"> provisions are presented in two separate budge</w:t>
      </w:r>
      <w:r w:rsidR="00BC294C">
        <w:rPr>
          <w:rFonts w:asciiTheme="minorHAnsi" w:eastAsia="Batang" w:hAnsiTheme="minorHAnsi" w:cs="Times New Roman"/>
          <w:sz w:val="22"/>
          <w:szCs w:val="22"/>
        </w:rPr>
        <w:t>t lines: a) staff provisions and b) provisio</w:t>
      </w:r>
      <w:r w:rsidR="00331485">
        <w:rPr>
          <w:rFonts w:asciiTheme="minorHAnsi" w:eastAsia="Batang" w:hAnsiTheme="minorHAnsi" w:cs="Times New Roman"/>
          <w:sz w:val="22"/>
          <w:szCs w:val="22"/>
        </w:rPr>
        <w:t>n for outstanding contributions</w:t>
      </w:r>
      <w:r w:rsidR="00A60635">
        <w:rPr>
          <w:rFonts w:asciiTheme="minorHAnsi" w:eastAsia="Batang" w:hAnsiTheme="minorHAnsi" w:cs="Times New Roman"/>
          <w:sz w:val="22"/>
          <w:szCs w:val="22"/>
        </w:rPr>
        <w:t>.</w:t>
      </w:r>
      <w:r w:rsidR="00CD7225">
        <w:rPr>
          <w:rFonts w:asciiTheme="minorHAnsi" w:eastAsia="Batang" w:hAnsiTheme="minorHAnsi" w:cs="Times New Roman"/>
          <w:sz w:val="22"/>
          <w:szCs w:val="22"/>
        </w:rPr>
        <w:t xml:space="preserve"> </w:t>
      </w:r>
      <w:r w:rsidR="000D311B">
        <w:rPr>
          <w:rFonts w:asciiTheme="minorHAnsi" w:eastAsia="Batang" w:hAnsiTheme="minorHAnsi" w:cs="Times New Roman"/>
          <w:sz w:val="22"/>
          <w:szCs w:val="22"/>
        </w:rPr>
        <w:t>Thus</w:t>
      </w:r>
      <w:r w:rsidR="00CD7225">
        <w:rPr>
          <w:rFonts w:asciiTheme="minorHAnsi" w:eastAsia="Batang" w:hAnsiTheme="minorHAnsi" w:cs="Times New Roman"/>
          <w:sz w:val="22"/>
          <w:szCs w:val="22"/>
        </w:rPr>
        <w:t xml:space="preserve">, </w:t>
      </w:r>
      <w:r w:rsidR="000D311B">
        <w:rPr>
          <w:rFonts w:asciiTheme="minorHAnsi" w:eastAsia="Batang" w:hAnsiTheme="minorHAnsi" w:cs="Times New Roman"/>
          <w:sz w:val="22"/>
          <w:szCs w:val="22"/>
        </w:rPr>
        <w:t xml:space="preserve">based on the average adjustments to staff provisions within </w:t>
      </w:r>
      <w:r w:rsidR="00112D3E">
        <w:rPr>
          <w:rFonts w:asciiTheme="minorHAnsi" w:eastAsia="Batang" w:hAnsiTheme="minorHAnsi" w:cs="Times New Roman"/>
          <w:sz w:val="22"/>
          <w:szCs w:val="22"/>
        </w:rPr>
        <w:t xml:space="preserve">the </w:t>
      </w:r>
      <w:r w:rsidR="000D311B">
        <w:rPr>
          <w:rFonts w:asciiTheme="minorHAnsi" w:eastAsia="Batang" w:hAnsiTheme="minorHAnsi" w:cs="Times New Roman"/>
          <w:sz w:val="22"/>
          <w:szCs w:val="22"/>
        </w:rPr>
        <w:t xml:space="preserve">2019-2021 triennium, </w:t>
      </w:r>
      <w:r w:rsidR="00CD7225">
        <w:rPr>
          <w:rFonts w:asciiTheme="minorHAnsi" w:eastAsia="Batang" w:hAnsiTheme="minorHAnsi" w:cs="Times New Roman"/>
          <w:sz w:val="22"/>
          <w:szCs w:val="22"/>
        </w:rPr>
        <w:t xml:space="preserve">the Secretariat </w:t>
      </w:r>
      <w:r w:rsidR="00112D3E">
        <w:rPr>
          <w:rFonts w:asciiTheme="minorHAnsi" w:eastAsia="Batang" w:hAnsiTheme="minorHAnsi" w:cs="Times New Roman"/>
          <w:sz w:val="22"/>
          <w:szCs w:val="22"/>
        </w:rPr>
        <w:t>divided</w:t>
      </w:r>
      <w:r w:rsidR="00CD7225">
        <w:rPr>
          <w:rFonts w:asciiTheme="minorHAnsi" w:eastAsia="Batang" w:hAnsiTheme="minorHAnsi" w:cs="Times New Roman"/>
          <w:sz w:val="22"/>
          <w:szCs w:val="22"/>
        </w:rPr>
        <w:t xml:space="preserve"> the amount of CHF 50K </w:t>
      </w:r>
      <w:r w:rsidR="00686DC0">
        <w:rPr>
          <w:rFonts w:asciiTheme="minorHAnsi" w:eastAsia="Batang" w:hAnsiTheme="minorHAnsi" w:cs="Times New Roman"/>
          <w:sz w:val="22"/>
          <w:szCs w:val="22"/>
        </w:rPr>
        <w:t xml:space="preserve">allocated in </w:t>
      </w:r>
      <w:r w:rsidR="00112D3E">
        <w:rPr>
          <w:rFonts w:asciiTheme="minorHAnsi" w:eastAsia="Batang" w:hAnsiTheme="minorHAnsi" w:cs="Times New Roman"/>
          <w:sz w:val="22"/>
          <w:szCs w:val="22"/>
        </w:rPr>
        <w:t xml:space="preserve">the </w:t>
      </w:r>
      <w:r w:rsidR="00686DC0">
        <w:rPr>
          <w:rFonts w:asciiTheme="minorHAnsi" w:eastAsia="Batang" w:hAnsiTheme="minorHAnsi" w:cs="Times New Roman"/>
          <w:sz w:val="22"/>
          <w:szCs w:val="22"/>
        </w:rPr>
        <w:t xml:space="preserve">2019-2021 triennium between </w:t>
      </w:r>
      <w:r w:rsidR="000D311B">
        <w:rPr>
          <w:rFonts w:asciiTheme="minorHAnsi" w:eastAsia="Batang" w:hAnsiTheme="minorHAnsi" w:cs="Times New Roman"/>
          <w:sz w:val="22"/>
          <w:szCs w:val="22"/>
        </w:rPr>
        <w:t xml:space="preserve">CHF 20K </w:t>
      </w:r>
      <w:r w:rsidR="00686DC0">
        <w:rPr>
          <w:rFonts w:asciiTheme="minorHAnsi" w:eastAsia="Batang" w:hAnsiTheme="minorHAnsi" w:cs="Times New Roman"/>
          <w:sz w:val="22"/>
          <w:szCs w:val="22"/>
        </w:rPr>
        <w:t>for</w:t>
      </w:r>
      <w:r w:rsidR="000D311B">
        <w:rPr>
          <w:rFonts w:asciiTheme="minorHAnsi" w:eastAsia="Batang" w:hAnsiTheme="minorHAnsi" w:cs="Times New Roman"/>
          <w:sz w:val="22"/>
          <w:szCs w:val="22"/>
        </w:rPr>
        <w:t xml:space="preserve"> staff provision and CHF 30K </w:t>
      </w:r>
      <w:r w:rsidR="00686DC0">
        <w:rPr>
          <w:rFonts w:asciiTheme="minorHAnsi" w:eastAsia="Batang" w:hAnsiTheme="minorHAnsi" w:cs="Times New Roman"/>
          <w:sz w:val="22"/>
          <w:szCs w:val="22"/>
        </w:rPr>
        <w:t>for the</w:t>
      </w:r>
      <w:r w:rsidR="000D311B">
        <w:rPr>
          <w:rFonts w:asciiTheme="minorHAnsi" w:eastAsia="Batang" w:hAnsiTheme="minorHAnsi" w:cs="Times New Roman"/>
          <w:sz w:val="22"/>
          <w:szCs w:val="22"/>
        </w:rPr>
        <w:t xml:space="preserve"> provision on outstanding contributions. </w:t>
      </w:r>
    </w:p>
    <w:p w14:paraId="06BB00BB" w14:textId="77777777" w:rsidR="000A192A" w:rsidRDefault="000A192A" w:rsidP="00241822">
      <w:pPr>
        <w:pStyle w:val="MGfulltext"/>
        <w:spacing w:after="0"/>
        <w:ind w:left="850" w:hanging="425"/>
        <w:rPr>
          <w:rFonts w:asciiTheme="minorHAnsi" w:eastAsia="Batang" w:hAnsiTheme="minorHAnsi" w:cs="Times New Roman"/>
          <w:sz w:val="22"/>
          <w:szCs w:val="22"/>
        </w:rPr>
      </w:pPr>
    </w:p>
    <w:p w14:paraId="6D0DA14E" w14:textId="08BA00C6" w:rsidR="00BC294C" w:rsidRDefault="005E4E6C"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p</w:t>
      </w:r>
      <w:r w:rsidR="00E76632">
        <w:rPr>
          <w:rFonts w:asciiTheme="minorHAnsi" w:eastAsia="Batang" w:hAnsiTheme="minorHAnsi" w:cs="Times New Roman"/>
          <w:sz w:val="22"/>
          <w:szCs w:val="22"/>
        </w:rPr>
        <w:t>.</w:t>
      </w:r>
      <w:r w:rsidR="00BC294C">
        <w:rPr>
          <w:rFonts w:asciiTheme="minorHAnsi" w:eastAsia="Batang" w:hAnsiTheme="minorHAnsi" w:cs="Times New Roman"/>
          <w:sz w:val="22"/>
          <w:szCs w:val="22"/>
        </w:rPr>
        <w:tab/>
        <w:t xml:space="preserve">The amount allocated to staff provisions has been calculated based on actuals in the prior triennium. </w:t>
      </w:r>
      <w:r w:rsidR="00CE3E0B">
        <w:rPr>
          <w:rFonts w:asciiTheme="minorHAnsi" w:eastAsia="Batang" w:hAnsiTheme="minorHAnsi" w:cs="Times New Roman"/>
          <w:sz w:val="22"/>
          <w:szCs w:val="22"/>
        </w:rPr>
        <w:t>T</w:t>
      </w:r>
      <w:r w:rsidR="00BC294C">
        <w:rPr>
          <w:rFonts w:asciiTheme="minorHAnsi" w:eastAsia="Batang" w:hAnsiTheme="minorHAnsi" w:cs="Times New Roman"/>
          <w:sz w:val="22"/>
          <w:szCs w:val="22"/>
        </w:rPr>
        <w:t>he amount of the provision for outstanding contribution</w:t>
      </w:r>
      <w:r w:rsidR="00CE3E0B">
        <w:rPr>
          <w:rFonts w:asciiTheme="minorHAnsi" w:eastAsia="Batang" w:hAnsiTheme="minorHAnsi" w:cs="Times New Roman"/>
          <w:sz w:val="22"/>
          <w:szCs w:val="22"/>
        </w:rPr>
        <w:t>s</w:t>
      </w:r>
      <w:r w:rsidR="00BC294C">
        <w:rPr>
          <w:rFonts w:asciiTheme="minorHAnsi" w:eastAsia="Batang" w:hAnsiTheme="minorHAnsi" w:cs="Times New Roman"/>
          <w:sz w:val="22"/>
          <w:szCs w:val="22"/>
        </w:rPr>
        <w:t xml:space="preserve"> will not be sufficient, thus savings from the core budget</w:t>
      </w:r>
      <w:r w:rsidR="00970C63">
        <w:rPr>
          <w:rFonts w:asciiTheme="minorHAnsi" w:eastAsia="Batang" w:hAnsiTheme="minorHAnsi" w:cs="Times New Roman"/>
          <w:sz w:val="22"/>
          <w:szCs w:val="22"/>
        </w:rPr>
        <w:t xml:space="preserve"> </w:t>
      </w:r>
      <w:r w:rsidR="00BC294C">
        <w:rPr>
          <w:rFonts w:asciiTheme="minorHAnsi" w:eastAsia="Batang" w:hAnsiTheme="minorHAnsi" w:cs="Times New Roman"/>
          <w:sz w:val="22"/>
          <w:szCs w:val="22"/>
        </w:rPr>
        <w:t>will need to be allocated each year based on actual calculations.</w:t>
      </w:r>
      <w:r w:rsidR="00355F75">
        <w:rPr>
          <w:rFonts w:asciiTheme="minorHAnsi" w:eastAsia="Batang" w:hAnsiTheme="minorHAnsi" w:cs="Times New Roman"/>
          <w:sz w:val="22"/>
          <w:szCs w:val="22"/>
        </w:rPr>
        <w:t xml:space="preserve"> </w:t>
      </w:r>
      <w:r w:rsidR="00BC294C">
        <w:rPr>
          <w:rFonts w:asciiTheme="minorHAnsi" w:eastAsia="Batang" w:hAnsiTheme="minorHAnsi" w:cs="Times New Roman"/>
          <w:sz w:val="22"/>
          <w:szCs w:val="22"/>
        </w:rPr>
        <w:t xml:space="preserve">This is because the </w:t>
      </w:r>
      <w:r w:rsidR="00CE3E0B">
        <w:rPr>
          <w:rFonts w:asciiTheme="minorHAnsi" w:eastAsia="Batang" w:hAnsiTheme="minorHAnsi" w:cs="Times New Roman"/>
          <w:sz w:val="22"/>
          <w:szCs w:val="22"/>
        </w:rPr>
        <w:t>Convention</w:t>
      </w:r>
      <w:r w:rsidR="00BC294C">
        <w:rPr>
          <w:rFonts w:asciiTheme="minorHAnsi" w:eastAsia="Batang" w:hAnsiTheme="minorHAnsi" w:cs="Times New Roman"/>
          <w:sz w:val="22"/>
          <w:szCs w:val="22"/>
        </w:rPr>
        <w:t xml:space="preserve"> has been applying </w:t>
      </w:r>
      <w:r w:rsidR="00CE3E0B">
        <w:rPr>
          <w:rFonts w:asciiTheme="minorHAnsi" w:eastAsia="Batang" w:hAnsiTheme="minorHAnsi" w:cs="Times New Roman"/>
          <w:sz w:val="22"/>
          <w:szCs w:val="22"/>
        </w:rPr>
        <w:t xml:space="preserve">the </w:t>
      </w:r>
      <w:r w:rsidR="00BC294C">
        <w:rPr>
          <w:rFonts w:asciiTheme="minorHAnsi" w:eastAsia="Batang" w:hAnsiTheme="minorHAnsi" w:cs="Times New Roman"/>
          <w:sz w:val="22"/>
          <w:szCs w:val="22"/>
        </w:rPr>
        <w:t xml:space="preserve">new methodology </w:t>
      </w:r>
      <w:r w:rsidR="00CE3E0B">
        <w:rPr>
          <w:rFonts w:asciiTheme="minorHAnsi" w:eastAsia="Batang" w:hAnsiTheme="minorHAnsi" w:cs="Times New Roman"/>
          <w:sz w:val="22"/>
          <w:szCs w:val="22"/>
        </w:rPr>
        <w:t>for the</w:t>
      </w:r>
      <w:r w:rsidR="00970C63">
        <w:rPr>
          <w:rFonts w:asciiTheme="minorHAnsi" w:eastAsia="Batang" w:hAnsiTheme="minorHAnsi" w:cs="Times New Roman"/>
          <w:sz w:val="22"/>
          <w:szCs w:val="22"/>
        </w:rPr>
        <w:t xml:space="preserve"> </w:t>
      </w:r>
      <w:r w:rsidR="00BC294C">
        <w:rPr>
          <w:rFonts w:asciiTheme="minorHAnsi" w:eastAsia="Batang" w:hAnsiTheme="minorHAnsi" w:cs="Times New Roman"/>
          <w:sz w:val="22"/>
          <w:szCs w:val="22"/>
        </w:rPr>
        <w:t xml:space="preserve">calculation of provisions for outstanding </w:t>
      </w:r>
      <w:r w:rsidR="006E7605">
        <w:rPr>
          <w:rFonts w:asciiTheme="minorHAnsi" w:eastAsia="Batang" w:hAnsiTheme="minorHAnsi" w:cs="Times New Roman"/>
          <w:sz w:val="22"/>
          <w:szCs w:val="22"/>
        </w:rPr>
        <w:t xml:space="preserve">contributions </w:t>
      </w:r>
      <w:r w:rsidR="00BC294C">
        <w:rPr>
          <w:rFonts w:asciiTheme="minorHAnsi" w:eastAsia="Batang" w:hAnsiTheme="minorHAnsi" w:cs="Times New Roman"/>
          <w:sz w:val="22"/>
          <w:szCs w:val="22"/>
        </w:rPr>
        <w:t>since June 2019</w:t>
      </w:r>
      <w:r w:rsidR="00331485">
        <w:rPr>
          <w:rFonts w:asciiTheme="minorHAnsi" w:eastAsia="Batang" w:hAnsiTheme="minorHAnsi" w:cs="Times New Roman"/>
          <w:sz w:val="22"/>
          <w:szCs w:val="22"/>
        </w:rPr>
        <w:t>,</w:t>
      </w:r>
      <w:r w:rsidR="000A192A">
        <w:rPr>
          <w:rFonts w:asciiTheme="minorHAnsi" w:eastAsia="Batang" w:hAnsiTheme="minorHAnsi" w:cs="Times New Roman"/>
          <w:sz w:val="22"/>
          <w:szCs w:val="22"/>
        </w:rPr>
        <w:t xml:space="preserve"> following the external auditor’s request and Standing Committee Decision SC57-39.</w:t>
      </w:r>
      <w:r w:rsidR="00BC294C">
        <w:rPr>
          <w:rFonts w:asciiTheme="minorHAnsi" w:eastAsia="Batang" w:hAnsiTheme="minorHAnsi" w:cs="Times New Roman"/>
          <w:sz w:val="22"/>
          <w:szCs w:val="22"/>
        </w:rPr>
        <w:t xml:space="preserve"> </w:t>
      </w:r>
      <w:r w:rsidR="0021303C">
        <w:rPr>
          <w:rFonts w:asciiTheme="minorHAnsi" w:eastAsia="Batang" w:hAnsiTheme="minorHAnsi" w:cs="Times New Roman"/>
          <w:sz w:val="22"/>
          <w:szCs w:val="22"/>
        </w:rPr>
        <w:t xml:space="preserve">The Secretariat estimates </w:t>
      </w:r>
      <w:r w:rsidR="00EF42CE">
        <w:rPr>
          <w:rFonts w:asciiTheme="minorHAnsi" w:eastAsia="Batang" w:hAnsiTheme="minorHAnsi" w:cs="Times New Roman"/>
          <w:sz w:val="22"/>
          <w:szCs w:val="22"/>
        </w:rPr>
        <w:t xml:space="preserve">that </w:t>
      </w:r>
      <w:r w:rsidR="00502A28">
        <w:rPr>
          <w:rFonts w:asciiTheme="minorHAnsi" w:eastAsia="Batang" w:hAnsiTheme="minorHAnsi" w:cs="Times New Roman"/>
          <w:sz w:val="22"/>
          <w:szCs w:val="22"/>
        </w:rPr>
        <w:t xml:space="preserve">the </w:t>
      </w:r>
      <w:r w:rsidR="00EF42CE">
        <w:rPr>
          <w:rFonts w:asciiTheme="minorHAnsi" w:eastAsia="Batang" w:hAnsiTheme="minorHAnsi" w:cs="Times New Roman"/>
          <w:sz w:val="22"/>
          <w:szCs w:val="22"/>
        </w:rPr>
        <w:t xml:space="preserve">provision for outstanding contributions </w:t>
      </w:r>
      <w:r w:rsidR="006E7605">
        <w:rPr>
          <w:rFonts w:asciiTheme="minorHAnsi" w:eastAsia="Batang" w:hAnsiTheme="minorHAnsi" w:cs="Times New Roman"/>
          <w:sz w:val="22"/>
          <w:szCs w:val="22"/>
        </w:rPr>
        <w:t>will</w:t>
      </w:r>
      <w:r w:rsidR="00EF42CE">
        <w:rPr>
          <w:rFonts w:asciiTheme="minorHAnsi" w:eastAsia="Batang" w:hAnsiTheme="minorHAnsi" w:cs="Times New Roman"/>
          <w:sz w:val="22"/>
          <w:szCs w:val="22"/>
        </w:rPr>
        <w:t xml:space="preserve"> amount to</w:t>
      </w:r>
      <w:r w:rsidR="00140D08">
        <w:rPr>
          <w:rFonts w:asciiTheme="minorHAnsi" w:eastAsia="Batang" w:hAnsiTheme="minorHAnsi" w:cs="Times New Roman"/>
          <w:sz w:val="22"/>
          <w:szCs w:val="22"/>
        </w:rPr>
        <w:t xml:space="preserve"> </w:t>
      </w:r>
      <w:r w:rsidR="0021303C">
        <w:rPr>
          <w:rFonts w:asciiTheme="minorHAnsi" w:eastAsia="Batang" w:hAnsiTheme="minorHAnsi" w:cs="Times New Roman"/>
          <w:sz w:val="22"/>
          <w:szCs w:val="22"/>
        </w:rPr>
        <w:t xml:space="preserve">a total of </w:t>
      </w:r>
      <w:r w:rsidR="006E7605">
        <w:rPr>
          <w:rFonts w:asciiTheme="minorHAnsi" w:eastAsia="Batang" w:hAnsiTheme="minorHAnsi" w:cs="Times New Roman"/>
          <w:sz w:val="22"/>
          <w:szCs w:val="22"/>
        </w:rPr>
        <w:t xml:space="preserve">up to </w:t>
      </w:r>
      <w:r w:rsidR="0021303C">
        <w:rPr>
          <w:rFonts w:asciiTheme="minorHAnsi" w:eastAsia="Batang" w:hAnsiTheme="minorHAnsi" w:cs="Times New Roman"/>
          <w:sz w:val="22"/>
          <w:szCs w:val="22"/>
        </w:rPr>
        <w:lastRenderedPageBreak/>
        <w:t>CHF 450</w:t>
      </w:r>
      <w:r w:rsidR="00167E31">
        <w:rPr>
          <w:rFonts w:asciiTheme="minorHAnsi" w:eastAsia="Batang" w:hAnsiTheme="minorHAnsi" w:cs="Times New Roman"/>
          <w:sz w:val="22"/>
          <w:szCs w:val="22"/>
        </w:rPr>
        <w:t>K</w:t>
      </w:r>
      <w:r w:rsidR="0021303C">
        <w:rPr>
          <w:rFonts w:asciiTheme="minorHAnsi" w:eastAsia="Batang" w:hAnsiTheme="minorHAnsi" w:cs="Times New Roman"/>
          <w:sz w:val="22"/>
          <w:szCs w:val="22"/>
        </w:rPr>
        <w:t xml:space="preserve"> (up to </w:t>
      </w:r>
      <w:r w:rsidR="00331485">
        <w:rPr>
          <w:rFonts w:asciiTheme="minorHAnsi" w:eastAsia="Batang" w:hAnsiTheme="minorHAnsi" w:cs="Times New Roman"/>
          <w:sz w:val="22"/>
          <w:szCs w:val="22"/>
        </w:rPr>
        <w:t xml:space="preserve">a </w:t>
      </w:r>
      <w:r w:rsidR="0021303C">
        <w:rPr>
          <w:rFonts w:asciiTheme="minorHAnsi" w:eastAsia="Batang" w:hAnsiTheme="minorHAnsi" w:cs="Times New Roman"/>
          <w:sz w:val="22"/>
          <w:szCs w:val="22"/>
        </w:rPr>
        <w:t>maximum</w:t>
      </w:r>
      <w:r w:rsidR="00331485">
        <w:rPr>
          <w:rFonts w:asciiTheme="minorHAnsi" w:eastAsia="Batang" w:hAnsiTheme="minorHAnsi" w:cs="Times New Roman"/>
          <w:sz w:val="22"/>
          <w:szCs w:val="22"/>
        </w:rPr>
        <w:t xml:space="preserve"> of</w:t>
      </w:r>
      <w:r w:rsidR="0021303C">
        <w:rPr>
          <w:rFonts w:asciiTheme="minorHAnsi" w:eastAsia="Batang" w:hAnsiTheme="minorHAnsi" w:cs="Times New Roman"/>
          <w:sz w:val="22"/>
          <w:szCs w:val="22"/>
        </w:rPr>
        <w:t xml:space="preserve"> CHF 150</w:t>
      </w:r>
      <w:r w:rsidR="00167E31">
        <w:rPr>
          <w:rFonts w:asciiTheme="minorHAnsi" w:eastAsia="Batang" w:hAnsiTheme="minorHAnsi" w:cs="Times New Roman"/>
          <w:sz w:val="22"/>
          <w:szCs w:val="22"/>
        </w:rPr>
        <w:t>K</w:t>
      </w:r>
      <w:r w:rsidR="0021303C">
        <w:rPr>
          <w:rFonts w:asciiTheme="minorHAnsi" w:eastAsia="Batang" w:hAnsiTheme="minorHAnsi" w:cs="Times New Roman"/>
          <w:sz w:val="22"/>
          <w:szCs w:val="22"/>
        </w:rPr>
        <w:t xml:space="preserve"> per year)</w:t>
      </w:r>
      <w:r w:rsidR="00EF42CE">
        <w:rPr>
          <w:rFonts w:asciiTheme="minorHAnsi" w:eastAsia="Batang" w:hAnsiTheme="minorHAnsi" w:cs="Times New Roman"/>
          <w:sz w:val="22"/>
          <w:szCs w:val="22"/>
        </w:rPr>
        <w:t>. Given that</w:t>
      </w:r>
      <w:r w:rsidR="00112D3E">
        <w:rPr>
          <w:rFonts w:asciiTheme="minorHAnsi" w:eastAsia="Batang" w:hAnsiTheme="minorHAnsi" w:cs="Times New Roman"/>
          <w:sz w:val="22"/>
          <w:szCs w:val="22"/>
        </w:rPr>
        <w:t xml:space="preserve"> the</w:t>
      </w:r>
      <w:r w:rsidR="00EF42CE">
        <w:rPr>
          <w:rFonts w:asciiTheme="minorHAnsi" w:eastAsia="Batang" w:hAnsiTheme="minorHAnsi" w:cs="Times New Roman"/>
          <w:sz w:val="22"/>
          <w:szCs w:val="22"/>
        </w:rPr>
        <w:t xml:space="preserve"> </w:t>
      </w:r>
      <w:r w:rsidR="00502A28">
        <w:rPr>
          <w:rFonts w:asciiTheme="minorHAnsi" w:eastAsia="Batang" w:hAnsiTheme="minorHAnsi" w:cs="Times New Roman"/>
          <w:sz w:val="22"/>
          <w:szCs w:val="22"/>
        </w:rPr>
        <w:t>amount</w:t>
      </w:r>
      <w:r w:rsidR="00C002AE">
        <w:rPr>
          <w:rFonts w:asciiTheme="minorHAnsi" w:eastAsia="Batang" w:hAnsiTheme="minorHAnsi" w:cs="Times New Roman"/>
          <w:sz w:val="22"/>
          <w:szCs w:val="22"/>
        </w:rPr>
        <w:t xml:space="preserve"> of </w:t>
      </w:r>
      <w:r w:rsidR="00EF42CE">
        <w:rPr>
          <w:rFonts w:asciiTheme="minorHAnsi" w:eastAsia="Batang" w:hAnsiTheme="minorHAnsi" w:cs="Times New Roman"/>
          <w:sz w:val="22"/>
          <w:szCs w:val="22"/>
        </w:rPr>
        <w:t xml:space="preserve">CHF 90K </w:t>
      </w:r>
      <w:r w:rsidR="00140D08">
        <w:rPr>
          <w:rFonts w:asciiTheme="minorHAnsi" w:eastAsia="Batang" w:hAnsiTheme="minorHAnsi" w:cs="Times New Roman"/>
          <w:sz w:val="22"/>
          <w:szCs w:val="22"/>
        </w:rPr>
        <w:t xml:space="preserve">is already included in the budget </w:t>
      </w:r>
      <w:r w:rsidR="00EF42CE">
        <w:rPr>
          <w:rFonts w:asciiTheme="minorHAnsi" w:eastAsia="Batang" w:hAnsiTheme="minorHAnsi" w:cs="Times New Roman"/>
          <w:sz w:val="22"/>
          <w:szCs w:val="22"/>
        </w:rPr>
        <w:t>(CHF 30K per year)</w:t>
      </w:r>
      <w:r w:rsidR="00140D08">
        <w:rPr>
          <w:rFonts w:asciiTheme="minorHAnsi" w:eastAsia="Batang" w:hAnsiTheme="minorHAnsi" w:cs="Times New Roman"/>
          <w:sz w:val="22"/>
          <w:szCs w:val="22"/>
        </w:rPr>
        <w:t xml:space="preserve">, </w:t>
      </w:r>
      <w:r w:rsidR="00112D3E">
        <w:rPr>
          <w:rFonts w:asciiTheme="minorHAnsi" w:eastAsia="Batang" w:hAnsiTheme="minorHAnsi" w:cs="Times New Roman"/>
          <w:sz w:val="22"/>
          <w:szCs w:val="22"/>
        </w:rPr>
        <w:t xml:space="preserve">an </w:t>
      </w:r>
      <w:r w:rsidR="00140D08">
        <w:rPr>
          <w:rFonts w:asciiTheme="minorHAnsi" w:eastAsia="Batang" w:hAnsiTheme="minorHAnsi" w:cs="Times New Roman"/>
          <w:sz w:val="22"/>
          <w:szCs w:val="22"/>
        </w:rPr>
        <w:t xml:space="preserve">additional </w:t>
      </w:r>
      <w:r w:rsidR="0021303C">
        <w:rPr>
          <w:rFonts w:asciiTheme="minorHAnsi" w:eastAsia="Batang" w:hAnsiTheme="minorHAnsi" w:cs="Times New Roman"/>
          <w:sz w:val="22"/>
          <w:szCs w:val="22"/>
        </w:rPr>
        <w:t>allocat</w:t>
      </w:r>
      <w:r w:rsidR="00140D08">
        <w:rPr>
          <w:rFonts w:asciiTheme="minorHAnsi" w:eastAsia="Batang" w:hAnsiTheme="minorHAnsi" w:cs="Times New Roman"/>
          <w:sz w:val="22"/>
          <w:szCs w:val="22"/>
        </w:rPr>
        <w:t xml:space="preserve">ion of up to </w:t>
      </w:r>
      <w:r w:rsidR="00502A28">
        <w:rPr>
          <w:rFonts w:asciiTheme="minorHAnsi" w:eastAsia="Batang" w:hAnsiTheme="minorHAnsi" w:cs="Times New Roman"/>
          <w:sz w:val="22"/>
          <w:szCs w:val="22"/>
        </w:rPr>
        <w:t xml:space="preserve">CHF </w:t>
      </w:r>
      <w:r w:rsidR="00140D08">
        <w:rPr>
          <w:rFonts w:asciiTheme="minorHAnsi" w:eastAsia="Batang" w:hAnsiTheme="minorHAnsi" w:cs="Times New Roman"/>
          <w:sz w:val="22"/>
          <w:szCs w:val="22"/>
        </w:rPr>
        <w:t>360K (</w:t>
      </w:r>
      <w:r w:rsidR="00502A28">
        <w:rPr>
          <w:rFonts w:asciiTheme="minorHAnsi" w:eastAsia="Batang" w:hAnsiTheme="minorHAnsi" w:cs="Times New Roman"/>
          <w:sz w:val="22"/>
          <w:szCs w:val="22"/>
        </w:rPr>
        <w:t xml:space="preserve">CHF </w:t>
      </w:r>
      <w:r w:rsidR="00140D08">
        <w:rPr>
          <w:rFonts w:asciiTheme="minorHAnsi" w:eastAsia="Batang" w:hAnsiTheme="minorHAnsi" w:cs="Times New Roman"/>
          <w:sz w:val="22"/>
          <w:szCs w:val="22"/>
        </w:rPr>
        <w:t>120K per year) will be need</w:t>
      </w:r>
      <w:r w:rsidR="00112D3E">
        <w:rPr>
          <w:rFonts w:asciiTheme="minorHAnsi" w:eastAsia="Batang" w:hAnsiTheme="minorHAnsi" w:cs="Times New Roman"/>
          <w:sz w:val="22"/>
          <w:szCs w:val="22"/>
        </w:rPr>
        <w:t>ed</w:t>
      </w:r>
      <w:r w:rsidR="00140D08">
        <w:rPr>
          <w:rFonts w:asciiTheme="minorHAnsi" w:eastAsia="Batang" w:hAnsiTheme="minorHAnsi" w:cs="Times New Roman"/>
          <w:sz w:val="22"/>
          <w:szCs w:val="22"/>
        </w:rPr>
        <w:t xml:space="preserve"> to cover this</w:t>
      </w:r>
      <w:r w:rsidR="00CD7225">
        <w:rPr>
          <w:rFonts w:asciiTheme="minorHAnsi" w:eastAsia="Batang" w:hAnsiTheme="minorHAnsi" w:cs="Times New Roman"/>
          <w:sz w:val="22"/>
          <w:szCs w:val="22"/>
        </w:rPr>
        <w:t xml:space="preserve"> </w:t>
      </w:r>
      <w:r w:rsidR="0021303C">
        <w:rPr>
          <w:rFonts w:asciiTheme="minorHAnsi" w:eastAsia="Batang" w:hAnsiTheme="minorHAnsi" w:cs="Times New Roman"/>
          <w:sz w:val="22"/>
          <w:szCs w:val="22"/>
        </w:rPr>
        <w:t xml:space="preserve">in </w:t>
      </w:r>
      <w:r w:rsidR="00331485">
        <w:rPr>
          <w:rFonts w:asciiTheme="minorHAnsi" w:eastAsia="Batang" w:hAnsiTheme="minorHAnsi" w:cs="Times New Roman"/>
          <w:sz w:val="22"/>
          <w:szCs w:val="22"/>
        </w:rPr>
        <w:t xml:space="preserve">the </w:t>
      </w:r>
      <w:r w:rsidR="00B87D61">
        <w:rPr>
          <w:rFonts w:asciiTheme="minorHAnsi" w:eastAsia="Batang" w:hAnsiTheme="minorHAnsi" w:cs="Times New Roman"/>
          <w:sz w:val="22"/>
          <w:szCs w:val="22"/>
        </w:rPr>
        <w:t>2023</w:t>
      </w:r>
      <w:r w:rsidR="0021303C">
        <w:rPr>
          <w:rFonts w:asciiTheme="minorHAnsi" w:eastAsia="Batang" w:hAnsiTheme="minorHAnsi" w:cs="Times New Roman"/>
          <w:sz w:val="22"/>
          <w:szCs w:val="22"/>
        </w:rPr>
        <w:t>-</w:t>
      </w:r>
      <w:r w:rsidR="00B87D61">
        <w:rPr>
          <w:rFonts w:asciiTheme="minorHAnsi" w:eastAsia="Batang" w:hAnsiTheme="minorHAnsi" w:cs="Times New Roman"/>
          <w:sz w:val="22"/>
          <w:szCs w:val="22"/>
        </w:rPr>
        <w:t xml:space="preserve">2025 </w:t>
      </w:r>
      <w:r w:rsidR="0021303C">
        <w:rPr>
          <w:rFonts w:asciiTheme="minorHAnsi" w:eastAsia="Batang" w:hAnsiTheme="minorHAnsi" w:cs="Times New Roman"/>
          <w:sz w:val="22"/>
          <w:szCs w:val="22"/>
        </w:rPr>
        <w:t>triennium.</w:t>
      </w:r>
      <w:r w:rsidR="00CE3E0B">
        <w:rPr>
          <w:rFonts w:asciiTheme="minorHAnsi" w:eastAsia="Batang" w:hAnsiTheme="minorHAnsi" w:cs="Times New Roman"/>
          <w:sz w:val="22"/>
          <w:szCs w:val="22"/>
        </w:rPr>
        <w:t xml:space="preserve"> The Secretariat </w:t>
      </w:r>
      <w:r w:rsidR="00D5668E">
        <w:rPr>
          <w:rFonts w:asciiTheme="minorHAnsi" w:eastAsia="Batang" w:hAnsiTheme="minorHAnsi" w:cs="Times New Roman"/>
          <w:sz w:val="22"/>
          <w:szCs w:val="22"/>
        </w:rPr>
        <w:t>suggest</w:t>
      </w:r>
      <w:r w:rsidR="00331485">
        <w:rPr>
          <w:rFonts w:asciiTheme="minorHAnsi" w:eastAsia="Batang" w:hAnsiTheme="minorHAnsi" w:cs="Times New Roman"/>
          <w:sz w:val="22"/>
          <w:szCs w:val="22"/>
        </w:rPr>
        <w:t>s</w:t>
      </w:r>
      <w:r w:rsidR="00CE3E0B">
        <w:rPr>
          <w:rFonts w:asciiTheme="minorHAnsi" w:eastAsia="Batang" w:hAnsiTheme="minorHAnsi" w:cs="Times New Roman"/>
          <w:sz w:val="22"/>
          <w:szCs w:val="22"/>
        </w:rPr>
        <w:t xml:space="preserve"> </w:t>
      </w:r>
      <w:r w:rsidR="0008391B">
        <w:rPr>
          <w:rFonts w:asciiTheme="minorHAnsi" w:eastAsia="Batang" w:hAnsiTheme="minorHAnsi" w:cs="Times New Roman"/>
          <w:sz w:val="22"/>
          <w:szCs w:val="22"/>
        </w:rPr>
        <w:t xml:space="preserve">to cover this with </w:t>
      </w:r>
      <w:r w:rsidR="00CE3E0B">
        <w:rPr>
          <w:rFonts w:asciiTheme="minorHAnsi" w:eastAsia="Batang" w:hAnsiTheme="minorHAnsi" w:cs="Times New Roman"/>
          <w:sz w:val="22"/>
          <w:szCs w:val="22"/>
        </w:rPr>
        <w:t xml:space="preserve">surplus </w:t>
      </w:r>
      <w:r w:rsidR="0008391B">
        <w:rPr>
          <w:rFonts w:asciiTheme="minorHAnsi" w:eastAsia="Batang" w:hAnsiTheme="minorHAnsi" w:cs="Times New Roman"/>
          <w:sz w:val="22"/>
          <w:szCs w:val="22"/>
        </w:rPr>
        <w:t xml:space="preserve">from the previous triennium </w:t>
      </w:r>
      <w:r w:rsidR="00112D3E">
        <w:rPr>
          <w:rFonts w:asciiTheme="minorHAnsi" w:eastAsia="Batang" w:hAnsiTheme="minorHAnsi" w:cs="Times New Roman"/>
          <w:sz w:val="22"/>
          <w:szCs w:val="22"/>
        </w:rPr>
        <w:t xml:space="preserve">reported </w:t>
      </w:r>
      <w:r w:rsidR="00CE3E0B">
        <w:rPr>
          <w:rFonts w:asciiTheme="minorHAnsi" w:eastAsia="Batang" w:hAnsiTheme="minorHAnsi" w:cs="Times New Roman"/>
          <w:sz w:val="22"/>
          <w:szCs w:val="22"/>
        </w:rPr>
        <w:t xml:space="preserve">in document </w:t>
      </w:r>
      <w:r w:rsidR="00D53015">
        <w:rPr>
          <w:rFonts w:asciiTheme="minorHAnsi" w:eastAsia="Batang" w:hAnsiTheme="minorHAnsi" w:cs="Times New Roman"/>
          <w:sz w:val="22"/>
          <w:szCs w:val="22"/>
        </w:rPr>
        <w:t>SC59</w:t>
      </w:r>
      <w:r w:rsidR="000D311B">
        <w:rPr>
          <w:rFonts w:asciiTheme="minorHAnsi" w:eastAsia="Batang" w:hAnsiTheme="minorHAnsi" w:cs="Times New Roman"/>
          <w:sz w:val="22"/>
          <w:szCs w:val="22"/>
        </w:rPr>
        <w:t>/2022</w:t>
      </w:r>
      <w:r w:rsidR="00D53015">
        <w:rPr>
          <w:rFonts w:asciiTheme="minorHAnsi" w:eastAsia="Batang" w:hAnsiTheme="minorHAnsi" w:cs="Times New Roman"/>
          <w:sz w:val="22"/>
          <w:szCs w:val="22"/>
        </w:rPr>
        <w:t xml:space="preserve"> Doc 8.1 </w:t>
      </w:r>
      <w:r w:rsidR="00D53015" w:rsidRPr="00194B1B">
        <w:rPr>
          <w:rFonts w:asciiTheme="minorHAnsi" w:eastAsia="Batang" w:hAnsiTheme="minorHAnsi" w:cs="Times New Roman"/>
          <w:i/>
          <w:sz w:val="22"/>
          <w:szCs w:val="22"/>
        </w:rPr>
        <w:t>Report on financial matters for 2019</w:t>
      </w:r>
      <w:r w:rsidR="000D311B">
        <w:rPr>
          <w:rFonts w:asciiTheme="minorHAnsi" w:eastAsia="Batang" w:hAnsiTheme="minorHAnsi" w:cs="Times New Roman"/>
          <w:i/>
          <w:sz w:val="22"/>
          <w:szCs w:val="22"/>
        </w:rPr>
        <w:t>-</w:t>
      </w:r>
      <w:r w:rsidR="00D53015" w:rsidRPr="00194B1B">
        <w:rPr>
          <w:rFonts w:asciiTheme="minorHAnsi" w:eastAsia="Batang" w:hAnsiTheme="minorHAnsi" w:cs="Times New Roman"/>
          <w:i/>
          <w:sz w:val="22"/>
          <w:szCs w:val="22"/>
        </w:rPr>
        <w:t>2021</w:t>
      </w:r>
      <w:r w:rsidR="000D311B">
        <w:rPr>
          <w:rFonts w:asciiTheme="minorHAnsi" w:eastAsia="Batang" w:hAnsiTheme="minorHAnsi" w:cs="Times New Roman"/>
          <w:i/>
          <w:sz w:val="22"/>
          <w:szCs w:val="22"/>
        </w:rPr>
        <w:t xml:space="preserve"> and 2022</w:t>
      </w:r>
      <w:r w:rsidR="00994023">
        <w:rPr>
          <w:rFonts w:asciiTheme="minorHAnsi" w:eastAsia="Batang" w:hAnsiTheme="minorHAnsi" w:cs="Times New Roman"/>
          <w:sz w:val="22"/>
          <w:szCs w:val="22"/>
        </w:rPr>
        <w:t xml:space="preserve">. </w:t>
      </w:r>
      <w:r w:rsidR="0068433D">
        <w:rPr>
          <w:rFonts w:asciiTheme="minorHAnsi" w:eastAsia="Batang" w:hAnsiTheme="minorHAnsi" w:cs="Times New Roman"/>
          <w:sz w:val="22"/>
          <w:szCs w:val="22"/>
        </w:rPr>
        <w:t xml:space="preserve">Thus, </w:t>
      </w:r>
      <w:r w:rsidR="00191794">
        <w:rPr>
          <w:rFonts w:asciiTheme="minorHAnsi" w:eastAsia="Batang" w:hAnsiTheme="minorHAnsi" w:cs="Times New Roman"/>
          <w:sz w:val="22"/>
          <w:szCs w:val="22"/>
        </w:rPr>
        <w:t>Scenario A</w:t>
      </w:r>
      <w:r w:rsidR="00994023">
        <w:rPr>
          <w:rFonts w:asciiTheme="minorHAnsi" w:eastAsia="Batang" w:hAnsiTheme="minorHAnsi" w:cs="Times New Roman"/>
          <w:sz w:val="22"/>
          <w:szCs w:val="22"/>
        </w:rPr>
        <w:t xml:space="preserve"> assumes </w:t>
      </w:r>
      <w:r w:rsidR="0008391B">
        <w:rPr>
          <w:rFonts w:asciiTheme="minorHAnsi" w:eastAsia="Batang" w:hAnsiTheme="minorHAnsi" w:cs="Times New Roman"/>
          <w:sz w:val="22"/>
          <w:szCs w:val="22"/>
        </w:rPr>
        <w:t xml:space="preserve">approval of </w:t>
      </w:r>
      <w:r w:rsidR="00994023">
        <w:rPr>
          <w:rFonts w:asciiTheme="minorHAnsi" w:eastAsia="Batang" w:hAnsiTheme="minorHAnsi" w:cs="Times New Roman"/>
          <w:sz w:val="22"/>
          <w:szCs w:val="22"/>
        </w:rPr>
        <w:t xml:space="preserve">the use of </w:t>
      </w:r>
      <w:r w:rsidR="0068433D">
        <w:rPr>
          <w:rFonts w:asciiTheme="minorHAnsi" w:eastAsia="Batang" w:hAnsiTheme="minorHAnsi" w:cs="Times New Roman"/>
          <w:sz w:val="22"/>
          <w:szCs w:val="22"/>
        </w:rPr>
        <w:t xml:space="preserve">2019-2022 </w:t>
      </w:r>
      <w:r w:rsidR="00994023">
        <w:rPr>
          <w:rFonts w:asciiTheme="minorHAnsi" w:eastAsia="Batang" w:hAnsiTheme="minorHAnsi" w:cs="Times New Roman"/>
          <w:sz w:val="22"/>
          <w:szCs w:val="22"/>
        </w:rPr>
        <w:t xml:space="preserve">surplus for this purpose. </w:t>
      </w:r>
    </w:p>
    <w:p w14:paraId="0E6E8492" w14:textId="77777777" w:rsidR="004A172D" w:rsidRPr="0018623B" w:rsidRDefault="004A172D" w:rsidP="00B32E40">
      <w:pPr>
        <w:pStyle w:val="ListParagraph"/>
        <w:rPr>
          <w:rFonts w:asciiTheme="minorHAnsi" w:hAnsiTheme="minorHAnsi"/>
          <w:lang w:val="en-US"/>
        </w:rPr>
      </w:pPr>
    </w:p>
    <w:p w14:paraId="4B153B1C" w14:textId="408CD6DC" w:rsidR="00363957" w:rsidRPr="00951D88" w:rsidRDefault="00951D88"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4.</w:t>
      </w:r>
      <w:r>
        <w:rPr>
          <w:rFonts w:asciiTheme="minorHAnsi" w:eastAsia="Batang" w:hAnsiTheme="minorHAnsi" w:cs="Times New Roman"/>
          <w:sz w:val="22"/>
          <w:szCs w:val="22"/>
        </w:rPr>
        <w:tab/>
      </w:r>
      <w:r w:rsidR="00B32E40" w:rsidRPr="00860943">
        <w:rPr>
          <w:rFonts w:asciiTheme="minorHAnsi" w:eastAsia="Batang" w:hAnsiTheme="minorHAnsi" w:cs="Times New Roman"/>
          <w:sz w:val="22"/>
          <w:szCs w:val="22"/>
        </w:rPr>
        <w:t xml:space="preserve">In the </w:t>
      </w:r>
      <w:r w:rsidR="0021303C">
        <w:rPr>
          <w:rFonts w:asciiTheme="minorHAnsi" w:eastAsia="Batang" w:hAnsiTheme="minorHAnsi" w:cs="Times New Roman"/>
          <w:b/>
          <w:sz w:val="22"/>
          <w:szCs w:val="22"/>
        </w:rPr>
        <w:t>2.8</w:t>
      </w:r>
      <w:r w:rsidR="00B32E40" w:rsidRPr="00951D88">
        <w:rPr>
          <w:rFonts w:asciiTheme="minorHAnsi" w:eastAsia="Batang" w:hAnsiTheme="minorHAnsi" w:cs="Times New Roman"/>
          <w:b/>
          <w:sz w:val="22"/>
          <w:szCs w:val="22"/>
        </w:rPr>
        <w:t>% scenario (B)</w:t>
      </w:r>
      <w:r w:rsidR="00B32E40" w:rsidRPr="00860943">
        <w:rPr>
          <w:rFonts w:asciiTheme="minorHAnsi" w:eastAsia="Batang" w:hAnsiTheme="minorHAnsi" w:cs="Times New Roman"/>
          <w:sz w:val="22"/>
          <w:szCs w:val="22"/>
        </w:rPr>
        <w:t xml:space="preserve">, the total increase in budget would be CHF </w:t>
      </w:r>
      <w:r w:rsidR="0021303C">
        <w:rPr>
          <w:rFonts w:asciiTheme="minorHAnsi" w:eastAsia="Batang" w:hAnsiTheme="minorHAnsi" w:cs="Times New Roman"/>
          <w:sz w:val="22"/>
          <w:szCs w:val="22"/>
        </w:rPr>
        <w:t>43</w:t>
      </w:r>
      <w:r w:rsidR="00D220C7">
        <w:rPr>
          <w:rFonts w:asciiTheme="minorHAnsi" w:eastAsia="Batang" w:hAnsiTheme="minorHAnsi" w:cs="Times New Roman"/>
          <w:sz w:val="22"/>
          <w:szCs w:val="22"/>
        </w:rPr>
        <w:t>8</w:t>
      </w:r>
      <w:r w:rsidR="00806FDA">
        <w:rPr>
          <w:rFonts w:asciiTheme="minorHAnsi" w:eastAsia="Batang" w:hAnsiTheme="minorHAnsi" w:cs="Times New Roman"/>
          <w:sz w:val="22"/>
          <w:szCs w:val="22"/>
        </w:rPr>
        <w:t>K</w:t>
      </w:r>
      <w:r w:rsidR="00806FDA" w:rsidRPr="00860943">
        <w:rPr>
          <w:rFonts w:asciiTheme="minorHAnsi" w:eastAsia="Batang" w:hAnsiTheme="minorHAnsi" w:cs="Times New Roman"/>
          <w:sz w:val="22"/>
          <w:szCs w:val="22"/>
        </w:rPr>
        <w:t xml:space="preserve"> </w:t>
      </w:r>
      <w:r w:rsidR="00B32E40" w:rsidRPr="00860943">
        <w:rPr>
          <w:rFonts w:asciiTheme="minorHAnsi" w:eastAsia="Batang" w:hAnsiTheme="minorHAnsi" w:cs="Times New Roman"/>
          <w:sz w:val="22"/>
          <w:szCs w:val="22"/>
        </w:rPr>
        <w:t>over the triennium</w:t>
      </w:r>
      <w:r w:rsidR="00331485">
        <w:rPr>
          <w:rFonts w:asciiTheme="minorHAnsi" w:eastAsia="Batang" w:hAnsiTheme="minorHAnsi" w:cs="Times New Roman"/>
          <w:sz w:val="22"/>
          <w:szCs w:val="22"/>
        </w:rPr>
        <w:t>,</w:t>
      </w:r>
      <w:r w:rsidR="00B32E40" w:rsidRPr="00860943">
        <w:rPr>
          <w:rFonts w:asciiTheme="minorHAnsi" w:eastAsia="Batang" w:hAnsiTheme="minorHAnsi" w:cs="Times New Roman"/>
          <w:sz w:val="22"/>
          <w:szCs w:val="22"/>
        </w:rPr>
        <w:t xml:space="preserve"> </w:t>
      </w:r>
      <w:r w:rsidR="00363957">
        <w:rPr>
          <w:rFonts w:asciiTheme="minorHAnsi" w:eastAsia="Batang" w:hAnsiTheme="minorHAnsi" w:cs="Times New Roman"/>
          <w:sz w:val="22"/>
          <w:szCs w:val="22"/>
        </w:rPr>
        <w:t xml:space="preserve">amounting to a new budget total of CHF </w:t>
      </w:r>
      <w:r w:rsidR="00A90275">
        <w:rPr>
          <w:rFonts w:asciiTheme="minorHAnsi" w:eastAsia="Batang" w:hAnsiTheme="minorHAnsi" w:cs="Times New Roman"/>
          <w:sz w:val="22"/>
          <w:szCs w:val="22"/>
        </w:rPr>
        <w:t>15,68</w:t>
      </w:r>
      <w:r w:rsidR="00D220C7">
        <w:rPr>
          <w:rFonts w:asciiTheme="minorHAnsi" w:eastAsia="Batang" w:hAnsiTheme="minorHAnsi" w:cs="Times New Roman"/>
          <w:sz w:val="22"/>
          <w:szCs w:val="22"/>
        </w:rPr>
        <w:t>1</w:t>
      </w:r>
      <w:r w:rsidR="005D6FBF">
        <w:rPr>
          <w:rFonts w:asciiTheme="minorHAnsi" w:eastAsia="Batang" w:hAnsiTheme="minorHAnsi" w:cs="Times New Roman"/>
          <w:sz w:val="22"/>
          <w:szCs w:val="22"/>
        </w:rPr>
        <w:t>K</w:t>
      </w:r>
      <w:r w:rsidR="00E75CA2">
        <w:rPr>
          <w:rFonts w:asciiTheme="minorHAnsi" w:eastAsia="Batang" w:hAnsiTheme="minorHAnsi" w:cs="Times New Roman"/>
          <w:sz w:val="22"/>
          <w:szCs w:val="22"/>
        </w:rPr>
        <w:t xml:space="preserve">, </w:t>
      </w:r>
      <w:r w:rsidR="004B2272">
        <w:rPr>
          <w:rFonts w:asciiTheme="minorHAnsi" w:eastAsia="Batang" w:hAnsiTheme="minorHAnsi" w:cs="Times New Roman"/>
          <w:sz w:val="22"/>
          <w:szCs w:val="22"/>
        </w:rPr>
        <w:t xml:space="preserve">with the following additions compared to </w:t>
      </w:r>
      <w:r w:rsidR="00191794">
        <w:rPr>
          <w:rFonts w:asciiTheme="minorHAnsi" w:eastAsia="Batang" w:hAnsiTheme="minorHAnsi" w:cs="Times New Roman"/>
          <w:sz w:val="22"/>
          <w:szCs w:val="22"/>
        </w:rPr>
        <w:t>Scenario A</w:t>
      </w:r>
      <w:r w:rsidR="004B2272">
        <w:rPr>
          <w:rFonts w:asciiTheme="minorHAnsi" w:eastAsia="Batang" w:hAnsiTheme="minorHAnsi" w:cs="Times New Roman"/>
          <w:sz w:val="22"/>
          <w:szCs w:val="22"/>
        </w:rPr>
        <w:t>:</w:t>
      </w:r>
      <w:r w:rsidR="005D6FBF">
        <w:rPr>
          <w:rFonts w:asciiTheme="minorHAnsi" w:eastAsia="Batang" w:hAnsiTheme="minorHAnsi" w:cs="Times New Roman"/>
          <w:sz w:val="22"/>
          <w:szCs w:val="22"/>
        </w:rPr>
        <w:t xml:space="preserve"> </w:t>
      </w:r>
    </w:p>
    <w:p w14:paraId="0889917E" w14:textId="77777777" w:rsidR="00241822" w:rsidRDefault="00241822" w:rsidP="00241822">
      <w:pPr>
        <w:pStyle w:val="MGfulltext"/>
        <w:spacing w:after="0"/>
        <w:ind w:left="850" w:hanging="425"/>
        <w:rPr>
          <w:rFonts w:asciiTheme="minorHAnsi" w:eastAsia="Batang" w:hAnsiTheme="minorHAnsi" w:cs="Times New Roman"/>
          <w:sz w:val="22"/>
          <w:szCs w:val="22"/>
        </w:rPr>
      </w:pPr>
    </w:p>
    <w:p w14:paraId="209F4CF7" w14:textId="03EF60D6" w:rsidR="004B2272" w:rsidRPr="00241822"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a.</w:t>
      </w:r>
      <w:r>
        <w:rPr>
          <w:rFonts w:asciiTheme="minorHAnsi" w:eastAsia="Batang" w:hAnsiTheme="minorHAnsi" w:cs="Times New Roman"/>
          <w:sz w:val="22"/>
          <w:szCs w:val="22"/>
        </w:rPr>
        <w:tab/>
      </w:r>
      <w:r w:rsidR="00C83176">
        <w:rPr>
          <w:rFonts w:asciiTheme="minorHAnsi" w:eastAsia="Batang" w:hAnsiTheme="minorHAnsi" w:cs="Times New Roman"/>
          <w:sz w:val="22"/>
          <w:szCs w:val="22"/>
        </w:rPr>
        <w:t>An i</w:t>
      </w:r>
      <w:r w:rsidR="00C83176" w:rsidRPr="00913CF1">
        <w:rPr>
          <w:rFonts w:asciiTheme="minorHAnsi" w:eastAsia="Batang" w:hAnsiTheme="minorHAnsi" w:cs="Times New Roman"/>
          <w:sz w:val="22"/>
          <w:szCs w:val="22"/>
        </w:rPr>
        <w:t xml:space="preserve">ncrease </w:t>
      </w:r>
      <w:r w:rsidR="004B2272" w:rsidRPr="00913CF1">
        <w:rPr>
          <w:rFonts w:asciiTheme="minorHAnsi" w:eastAsia="Batang" w:hAnsiTheme="minorHAnsi" w:cs="Times New Roman"/>
          <w:sz w:val="22"/>
          <w:szCs w:val="22"/>
        </w:rPr>
        <w:t xml:space="preserve">of staff costs of </w:t>
      </w:r>
      <w:r w:rsidR="00167E31">
        <w:rPr>
          <w:rFonts w:asciiTheme="minorHAnsi" w:eastAsia="Batang" w:hAnsiTheme="minorHAnsi" w:cs="Times New Roman"/>
          <w:sz w:val="22"/>
          <w:szCs w:val="22"/>
        </w:rPr>
        <w:t xml:space="preserve">CHF </w:t>
      </w:r>
      <w:r w:rsidR="0021303C">
        <w:rPr>
          <w:rFonts w:asciiTheme="minorHAnsi" w:eastAsia="Batang" w:hAnsiTheme="minorHAnsi" w:cs="Times New Roman"/>
          <w:sz w:val="22"/>
          <w:szCs w:val="22"/>
        </w:rPr>
        <w:t>21</w:t>
      </w:r>
      <w:r w:rsidR="00D220C7">
        <w:rPr>
          <w:rFonts w:asciiTheme="minorHAnsi" w:eastAsia="Batang" w:hAnsiTheme="minorHAnsi" w:cs="Times New Roman"/>
          <w:sz w:val="22"/>
          <w:szCs w:val="22"/>
        </w:rPr>
        <w:t>0</w:t>
      </w:r>
      <w:r w:rsidR="00167E31">
        <w:rPr>
          <w:rFonts w:asciiTheme="minorHAnsi" w:eastAsia="Batang" w:hAnsiTheme="minorHAnsi" w:cs="Times New Roman"/>
          <w:sz w:val="22"/>
          <w:szCs w:val="22"/>
        </w:rPr>
        <w:t>K</w:t>
      </w:r>
      <w:r w:rsidR="0021303C" w:rsidRPr="00913CF1">
        <w:rPr>
          <w:rFonts w:asciiTheme="minorHAnsi" w:eastAsia="Batang" w:hAnsiTheme="minorHAnsi" w:cs="Times New Roman"/>
          <w:sz w:val="22"/>
          <w:szCs w:val="22"/>
        </w:rPr>
        <w:t xml:space="preserve"> </w:t>
      </w:r>
      <w:r w:rsidR="004B2272" w:rsidRPr="00913CF1">
        <w:rPr>
          <w:rFonts w:asciiTheme="minorHAnsi" w:eastAsia="Batang" w:hAnsiTheme="minorHAnsi" w:cs="Times New Roman"/>
          <w:sz w:val="22"/>
          <w:szCs w:val="22"/>
        </w:rPr>
        <w:t>to include a</w:t>
      </w:r>
      <w:r w:rsidR="009041D7" w:rsidRPr="00913CF1">
        <w:rPr>
          <w:rFonts w:asciiTheme="minorHAnsi" w:eastAsia="Batang" w:hAnsiTheme="minorHAnsi" w:cs="Times New Roman"/>
          <w:sz w:val="22"/>
          <w:szCs w:val="22"/>
        </w:rPr>
        <w:t xml:space="preserve"> p</w:t>
      </w:r>
      <w:r w:rsidR="00673291" w:rsidRPr="00913CF1">
        <w:rPr>
          <w:rFonts w:asciiTheme="minorHAnsi" w:eastAsia="Batang" w:hAnsiTheme="minorHAnsi" w:cs="Times New Roman"/>
          <w:sz w:val="22"/>
          <w:szCs w:val="22"/>
        </w:rPr>
        <w:t xml:space="preserve">rovision </w:t>
      </w:r>
      <w:r w:rsidR="00C86091">
        <w:rPr>
          <w:rFonts w:asciiTheme="minorHAnsi" w:eastAsia="Batang" w:hAnsiTheme="minorHAnsi" w:cs="Times New Roman"/>
          <w:sz w:val="22"/>
          <w:szCs w:val="22"/>
        </w:rPr>
        <w:t>for performance</w:t>
      </w:r>
      <w:r w:rsidR="000376CE">
        <w:rPr>
          <w:rFonts w:asciiTheme="minorHAnsi" w:eastAsia="Batang" w:hAnsiTheme="minorHAnsi" w:cs="Times New Roman"/>
          <w:sz w:val="22"/>
          <w:szCs w:val="22"/>
        </w:rPr>
        <w:t>-</w:t>
      </w:r>
      <w:r w:rsidR="00C86091">
        <w:rPr>
          <w:rFonts w:asciiTheme="minorHAnsi" w:eastAsia="Batang" w:hAnsiTheme="minorHAnsi" w:cs="Times New Roman"/>
          <w:sz w:val="22"/>
          <w:szCs w:val="22"/>
        </w:rPr>
        <w:t xml:space="preserve">based salary increases and promotions as per the </w:t>
      </w:r>
      <w:r w:rsidR="009041D7" w:rsidRPr="00913CF1">
        <w:rPr>
          <w:rFonts w:asciiTheme="minorHAnsi" w:eastAsia="Batang" w:hAnsiTheme="minorHAnsi" w:cs="Times New Roman"/>
          <w:sz w:val="22"/>
          <w:szCs w:val="22"/>
        </w:rPr>
        <w:t xml:space="preserve">IUCN </w:t>
      </w:r>
      <w:r w:rsidR="004B2272" w:rsidRPr="00913CF1">
        <w:rPr>
          <w:rFonts w:asciiTheme="minorHAnsi" w:eastAsia="Batang" w:hAnsiTheme="minorHAnsi" w:cs="Times New Roman"/>
          <w:sz w:val="22"/>
          <w:szCs w:val="22"/>
        </w:rPr>
        <w:t>competency</w:t>
      </w:r>
      <w:r w:rsidR="009041D7" w:rsidRPr="00913CF1">
        <w:rPr>
          <w:rFonts w:asciiTheme="minorHAnsi" w:eastAsia="Batang" w:hAnsiTheme="minorHAnsi" w:cs="Times New Roman"/>
          <w:sz w:val="22"/>
          <w:szCs w:val="22"/>
        </w:rPr>
        <w:t xml:space="preserve"> framework and promotion guidelines</w:t>
      </w:r>
      <w:r w:rsidR="00C86091">
        <w:rPr>
          <w:rFonts w:asciiTheme="minorHAnsi" w:eastAsia="Batang" w:hAnsiTheme="minorHAnsi" w:cs="Times New Roman"/>
          <w:sz w:val="22"/>
          <w:szCs w:val="22"/>
        </w:rPr>
        <w:t xml:space="preserve"> implemented </w:t>
      </w:r>
      <w:r w:rsidR="00554DB1">
        <w:rPr>
          <w:rFonts w:asciiTheme="minorHAnsi" w:eastAsia="Batang" w:hAnsiTheme="minorHAnsi" w:cs="Times New Roman"/>
          <w:sz w:val="22"/>
          <w:szCs w:val="22"/>
        </w:rPr>
        <w:t>by</w:t>
      </w:r>
      <w:r w:rsidR="00C86091">
        <w:rPr>
          <w:rFonts w:asciiTheme="minorHAnsi" w:eastAsia="Batang" w:hAnsiTheme="minorHAnsi" w:cs="Times New Roman"/>
          <w:sz w:val="22"/>
          <w:szCs w:val="22"/>
        </w:rPr>
        <w:t xml:space="preserve"> the Secretariat in 2019</w:t>
      </w:r>
      <w:r w:rsidR="00A60635">
        <w:rPr>
          <w:rFonts w:asciiTheme="minorHAnsi" w:eastAsia="Batang" w:hAnsiTheme="minorHAnsi" w:cs="Times New Roman"/>
          <w:sz w:val="22"/>
          <w:szCs w:val="22"/>
        </w:rPr>
        <w:t>.</w:t>
      </w:r>
      <w:r w:rsidR="00970C63">
        <w:rPr>
          <w:rFonts w:asciiTheme="minorHAnsi" w:eastAsia="Batang" w:hAnsiTheme="minorHAnsi" w:cs="Times New Roman"/>
          <w:sz w:val="22"/>
          <w:szCs w:val="22"/>
        </w:rPr>
        <w:t xml:space="preserve"> </w:t>
      </w:r>
    </w:p>
    <w:p w14:paraId="1A58706E" w14:textId="08AD1C95" w:rsidR="00241822" w:rsidRDefault="00241822" w:rsidP="00241822">
      <w:pPr>
        <w:pStyle w:val="MGfulltext"/>
        <w:spacing w:after="0"/>
        <w:ind w:left="850" w:hanging="425"/>
        <w:rPr>
          <w:rFonts w:asciiTheme="minorHAnsi" w:eastAsia="Batang" w:hAnsiTheme="minorHAnsi" w:cs="Times New Roman"/>
          <w:sz w:val="22"/>
          <w:szCs w:val="22"/>
        </w:rPr>
      </w:pPr>
    </w:p>
    <w:p w14:paraId="4DDDF77D" w14:textId="0A585834" w:rsidR="004B2272" w:rsidRPr="00241822" w:rsidRDefault="00241822" w:rsidP="00241822">
      <w:pPr>
        <w:pStyle w:val="MGfulltext"/>
        <w:spacing w:after="0"/>
        <w:ind w:left="850" w:hanging="425"/>
        <w:rPr>
          <w:rFonts w:asciiTheme="minorHAnsi" w:eastAsia="Batang" w:hAnsiTheme="minorHAnsi" w:cs="Times New Roman"/>
          <w:sz w:val="22"/>
          <w:szCs w:val="22"/>
        </w:rPr>
      </w:pPr>
      <w:r>
        <w:rPr>
          <w:rFonts w:asciiTheme="minorHAnsi" w:eastAsia="Batang" w:hAnsiTheme="minorHAnsi" w:cs="Times New Roman"/>
          <w:sz w:val="22"/>
          <w:szCs w:val="22"/>
        </w:rPr>
        <w:t>b.</w:t>
      </w:r>
      <w:r>
        <w:rPr>
          <w:rFonts w:asciiTheme="minorHAnsi" w:eastAsia="Batang" w:hAnsiTheme="minorHAnsi" w:cs="Times New Roman"/>
          <w:sz w:val="22"/>
          <w:szCs w:val="22"/>
        </w:rPr>
        <w:tab/>
      </w:r>
      <w:r w:rsidR="00C83176">
        <w:rPr>
          <w:rFonts w:asciiTheme="minorHAnsi" w:eastAsia="Batang" w:hAnsiTheme="minorHAnsi" w:cs="Times New Roman"/>
          <w:sz w:val="22"/>
          <w:szCs w:val="22"/>
        </w:rPr>
        <w:t xml:space="preserve">An increase </w:t>
      </w:r>
      <w:r w:rsidR="0021303C">
        <w:rPr>
          <w:rFonts w:asciiTheme="minorHAnsi" w:eastAsia="Batang" w:hAnsiTheme="minorHAnsi" w:cs="Times New Roman"/>
          <w:sz w:val="22"/>
          <w:szCs w:val="22"/>
        </w:rPr>
        <w:t>of CHF 228</w:t>
      </w:r>
      <w:r w:rsidR="00167E31">
        <w:rPr>
          <w:rFonts w:asciiTheme="minorHAnsi" w:eastAsia="Batang" w:hAnsiTheme="minorHAnsi" w:cs="Times New Roman"/>
          <w:sz w:val="22"/>
          <w:szCs w:val="22"/>
        </w:rPr>
        <w:t>K</w:t>
      </w:r>
      <w:r w:rsidR="0021303C">
        <w:rPr>
          <w:rFonts w:asciiTheme="minorHAnsi" w:eastAsia="Batang" w:hAnsiTheme="minorHAnsi" w:cs="Times New Roman"/>
          <w:sz w:val="22"/>
          <w:szCs w:val="22"/>
        </w:rPr>
        <w:t xml:space="preserve"> </w:t>
      </w:r>
      <w:r w:rsidR="00554DB1">
        <w:rPr>
          <w:rFonts w:asciiTheme="minorHAnsi" w:eastAsia="Batang" w:hAnsiTheme="minorHAnsi" w:cs="Times New Roman"/>
          <w:sz w:val="22"/>
          <w:szCs w:val="22"/>
        </w:rPr>
        <w:t xml:space="preserve">to cover the gap created with the inclusion in the budget of a position of Finance and Accounting Assistant. This sum would be </w:t>
      </w:r>
      <w:r w:rsidR="0021303C">
        <w:rPr>
          <w:rFonts w:asciiTheme="minorHAnsi" w:eastAsia="Batang" w:hAnsiTheme="minorHAnsi" w:cs="Times New Roman"/>
          <w:sz w:val="22"/>
          <w:szCs w:val="22"/>
        </w:rPr>
        <w:t xml:space="preserve">allocated to the </w:t>
      </w:r>
      <w:r w:rsidR="00554DB1">
        <w:rPr>
          <w:rFonts w:asciiTheme="minorHAnsi" w:eastAsia="Batang" w:hAnsiTheme="minorHAnsi" w:cs="Times New Roman"/>
          <w:sz w:val="22"/>
          <w:szCs w:val="22"/>
        </w:rPr>
        <w:t>original budget lines from which resources were drawn, as indicated in Resolution XIII.2 paragraph 15, as follows:</w:t>
      </w:r>
      <w:r w:rsidR="0021303C">
        <w:rPr>
          <w:rFonts w:asciiTheme="minorHAnsi" w:eastAsia="Batang" w:hAnsiTheme="minorHAnsi" w:cs="Times New Roman"/>
          <w:sz w:val="22"/>
          <w:szCs w:val="22"/>
        </w:rPr>
        <w:t xml:space="preserve"> </w:t>
      </w:r>
      <w:r w:rsidR="0021303C" w:rsidRPr="005D6FBF">
        <w:rPr>
          <w:rFonts w:asciiTheme="minorHAnsi" w:eastAsia="Batang" w:hAnsiTheme="minorHAnsi" w:cs="Times New Roman"/>
          <w:sz w:val="22"/>
          <w:szCs w:val="22"/>
        </w:rPr>
        <w:t>CHF 120</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Communications, </w:t>
      </w:r>
      <w:r w:rsidR="000376CE" w:rsidRPr="005D6FBF">
        <w:rPr>
          <w:rFonts w:asciiTheme="minorHAnsi" w:eastAsia="Batang" w:hAnsiTheme="minorHAnsi" w:cs="Times New Roman"/>
          <w:sz w:val="22"/>
          <w:szCs w:val="22"/>
        </w:rPr>
        <w:t>Translation, Publications and Reporting Implementation</w:t>
      </w:r>
      <w:r w:rsidR="00C83176">
        <w:rPr>
          <w:rFonts w:asciiTheme="minorHAnsi" w:eastAsia="Batang" w:hAnsiTheme="minorHAnsi" w:cs="Times New Roman"/>
          <w:sz w:val="22"/>
          <w:szCs w:val="22"/>
        </w:rPr>
        <w:t>;</w:t>
      </w:r>
      <w:r w:rsidR="00C83176" w:rsidRPr="005D6FBF">
        <w:rPr>
          <w:rFonts w:asciiTheme="minorHAnsi" w:eastAsia="Batang" w:hAnsiTheme="minorHAnsi" w:cs="Times New Roman"/>
          <w:sz w:val="22"/>
          <w:szCs w:val="22"/>
        </w:rPr>
        <w:t xml:space="preserve"> </w:t>
      </w:r>
      <w:r w:rsidR="0021303C" w:rsidRPr="005D6FBF">
        <w:rPr>
          <w:rFonts w:asciiTheme="minorHAnsi" w:eastAsia="Batang" w:hAnsiTheme="minorHAnsi" w:cs="Times New Roman"/>
          <w:sz w:val="22"/>
          <w:szCs w:val="22"/>
        </w:rPr>
        <w:t>CHF 60</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staff travel (CHF 15</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travel of Secretariat Senior Management, CHF 15</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travel of Resource Mobilization and Outreach and CHF 30</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travel of Regional Advice and Support</w:t>
      </w:r>
      <w:r w:rsidR="00C83176" w:rsidRPr="005D6FBF">
        <w:rPr>
          <w:rFonts w:asciiTheme="minorHAnsi" w:eastAsia="Batang" w:hAnsiTheme="minorHAnsi" w:cs="Times New Roman"/>
          <w:sz w:val="22"/>
          <w:szCs w:val="22"/>
        </w:rPr>
        <w:t>)</w:t>
      </w:r>
      <w:r w:rsidR="00C83176">
        <w:rPr>
          <w:rFonts w:asciiTheme="minorHAnsi" w:eastAsia="Batang" w:hAnsiTheme="minorHAnsi" w:cs="Times New Roman"/>
          <w:sz w:val="22"/>
          <w:szCs w:val="22"/>
        </w:rPr>
        <w:t>;</w:t>
      </w:r>
      <w:r w:rsidR="00C83176" w:rsidRPr="005D6FBF">
        <w:rPr>
          <w:rFonts w:asciiTheme="minorHAnsi" w:eastAsia="Batang" w:hAnsiTheme="minorHAnsi" w:cs="Times New Roman"/>
          <w:sz w:val="22"/>
          <w:szCs w:val="22"/>
        </w:rPr>
        <w:t xml:space="preserve"> </w:t>
      </w:r>
      <w:r w:rsidR="0021303C" w:rsidRPr="005D6FBF">
        <w:rPr>
          <w:rFonts w:asciiTheme="minorHAnsi" w:eastAsia="Batang" w:hAnsiTheme="minorHAnsi" w:cs="Times New Roman"/>
          <w:sz w:val="22"/>
          <w:szCs w:val="22"/>
        </w:rPr>
        <w:t>CHF 15</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STRP </w:t>
      </w:r>
      <w:r w:rsidR="000376CE" w:rsidRPr="005D6FBF">
        <w:rPr>
          <w:rFonts w:asciiTheme="minorHAnsi" w:eastAsia="Batang" w:hAnsiTheme="minorHAnsi" w:cs="Times New Roman"/>
          <w:sz w:val="22"/>
          <w:szCs w:val="22"/>
        </w:rPr>
        <w:t>Implementation</w:t>
      </w:r>
      <w:r w:rsidR="00C83176">
        <w:rPr>
          <w:rFonts w:asciiTheme="minorHAnsi" w:eastAsia="Batang" w:hAnsiTheme="minorHAnsi" w:cs="Times New Roman"/>
          <w:sz w:val="22"/>
          <w:szCs w:val="22"/>
        </w:rPr>
        <w:t>;</w:t>
      </w:r>
      <w:r w:rsidR="00C83176" w:rsidRPr="005D6FBF">
        <w:rPr>
          <w:rFonts w:asciiTheme="minorHAnsi" w:eastAsia="Batang" w:hAnsiTheme="minorHAnsi" w:cs="Times New Roman"/>
          <w:sz w:val="22"/>
          <w:szCs w:val="22"/>
        </w:rPr>
        <w:t xml:space="preserve"> </w:t>
      </w:r>
      <w:r w:rsidR="0021303C" w:rsidRPr="005D6FBF">
        <w:rPr>
          <w:rFonts w:asciiTheme="minorHAnsi" w:eastAsia="Batang" w:hAnsiTheme="minorHAnsi" w:cs="Times New Roman"/>
          <w:sz w:val="22"/>
          <w:szCs w:val="22"/>
        </w:rPr>
        <w:t>and CHF 33</w:t>
      </w:r>
      <w:r w:rsidR="00167E31">
        <w:rPr>
          <w:rFonts w:asciiTheme="minorHAnsi" w:eastAsia="Batang" w:hAnsiTheme="minorHAnsi" w:cs="Times New Roman"/>
          <w:sz w:val="22"/>
          <w:szCs w:val="22"/>
        </w:rPr>
        <w:t>K</w:t>
      </w:r>
      <w:r w:rsidR="0021303C" w:rsidRPr="005D6FBF">
        <w:rPr>
          <w:rFonts w:asciiTheme="minorHAnsi" w:eastAsia="Batang" w:hAnsiTheme="minorHAnsi" w:cs="Times New Roman"/>
          <w:sz w:val="22"/>
          <w:szCs w:val="22"/>
        </w:rPr>
        <w:t xml:space="preserve"> for </w:t>
      </w:r>
      <w:r w:rsidR="000376CE" w:rsidRPr="005D6FBF">
        <w:rPr>
          <w:rFonts w:asciiTheme="minorHAnsi" w:eastAsia="Batang" w:hAnsiTheme="minorHAnsi" w:cs="Times New Roman"/>
          <w:sz w:val="22"/>
          <w:szCs w:val="22"/>
        </w:rPr>
        <w:t xml:space="preserve">Planning </w:t>
      </w:r>
      <w:r w:rsidR="0021303C" w:rsidRPr="005D6FBF">
        <w:rPr>
          <w:rFonts w:asciiTheme="minorHAnsi" w:eastAsia="Batang" w:hAnsiTheme="minorHAnsi" w:cs="Times New Roman"/>
          <w:sz w:val="22"/>
          <w:szCs w:val="22"/>
        </w:rPr>
        <w:t xml:space="preserve">and </w:t>
      </w:r>
      <w:r w:rsidR="000376CE" w:rsidRPr="005D6FBF">
        <w:rPr>
          <w:rFonts w:asciiTheme="minorHAnsi" w:eastAsia="Batang" w:hAnsiTheme="minorHAnsi" w:cs="Times New Roman"/>
          <w:sz w:val="22"/>
          <w:szCs w:val="22"/>
        </w:rPr>
        <w:t>Capacity Building</w:t>
      </w:r>
      <w:r w:rsidR="00C86091">
        <w:rPr>
          <w:rFonts w:asciiTheme="minorHAnsi" w:eastAsia="Batang" w:hAnsiTheme="minorHAnsi" w:cs="Times New Roman"/>
          <w:sz w:val="22"/>
          <w:szCs w:val="22"/>
        </w:rPr>
        <w:t>.</w:t>
      </w:r>
    </w:p>
    <w:p w14:paraId="576C53D8" w14:textId="7B315ECC" w:rsidR="00241822" w:rsidRDefault="00241822" w:rsidP="00241822">
      <w:pPr>
        <w:pStyle w:val="MGfulltext"/>
        <w:spacing w:after="0"/>
        <w:ind w:left="850" w:hanging="425"/>
        <w:rPr>
          <w:rFonts w:asciiTheme="minorHAnsi" w:eastAsia="Batang" w:hAnsiTheme="minorHAnsi" w:cs="Times New Roman"/>
          <w:sz w:val="22"/>
          <w:szCs w:val="22"/>
        </w:rPr>
      </w:pPr>
    </w:p>
    <w:p w14:paraId="1FBA1C1D" w14:textId="140BD7DE" w:rsidR="00BF73A0" w:rsidRPr="00241822" w:rsidRDefault="00737F84" w:rsidP="00737F84">
      <w:pPr>
        <w:pStyle w:val="MGfulltext"/>
        <w:spacing w:after="0"/>
        <w:ind w:left="850" w:hanging="425"/>
        <w:rPr>
          <w:rFonts w:asciiTheme="minorHAnsi" w:eastAsia="Batang" w:hAnsiTheme="minorHAnsi" w:cs="Times New Roman"/>
          <w:sz w:val="22"/>
          <w:szCs w:val="22"/>
        </w:rPr>
      </w:pPr>
      <w:r w:rsidRPr="00DA6C88">
        <w:rPr>
          <w:rFonts w:asciiTheme="minorHAnsi" w:eastAsia="Batang" w:hAnsiTheme="minorHAnsi" w:cs="Times New Roman"/>
          <w:sz w:val="22"/>
          <w:szCs w:val="22"/>
        </w:rPr>
        <w:t>c.</w:t>
      </w:r>
      <w:r w:rsidRPr="00DA6C88">
        <w:rPr>
          <w:rFonts w:asciiTheme="minorHAnsi" w:eastAsia="Batang" w:hAnsiTheme="minorHAnsi" w:cs="Times New Roman"/>
          <w:sz w:val="22"/>
          <w:szCs w:val="22"/>
        </w:rPr>
        <w:tab/>
      </w:r>
      <w:r w:rsidR="005E59C2" w:rsidRPr="00DA6C88">
        <w:rPr>
          <w:rFonts w:asciiTheme="minorHAnsi" w:eastAsia="Batang" w:hAnsiTheme="minorHAnsi" w:cs="Times New Roman"/>
          <w:sz w:val="22"/>
          <w:szCs w:val="22"/>
        </w:rPr>
        <w:t xml:space="preserve">As a result of </w:t>
      </w:r>
      <w:r w:rsidR="000376CE">
        <w:rPr>
          <w:rFonts w:asciiTheme="minorHAnsi" w:eastAsia="Batang" w:hAnsiTheme="minorHAnsi" w:cs="Times New Roman"/>
          <w:sz w:val="22"/>
          <w:szCs w:val="22"/>
        </w:rPr>
        <w:t xml:space="preserve">the </w:t>
      </w:r>
      <w:r w:rsidR="005E59C2" w:rsidRPr="00DA6C88">
        <w:rPr>
          <w:rFonts w:asciiTheme="minorHAnsi" w:eastAsia="Batang" w:hAnsiTheme="minorHAnsi" w:cs="Times New Roman"/>
          <w:sz w:val="22"/>
          <w:szCs w:val="22"/>
        </w:rPr>
        <w:t>above increases, t</w:t>
      </w:r>
      <w:r w:rsidR="00BF73A0" w:rsidRPr="00DA6C88">
        <w:rPr>
          <w:rFonts w:asciiTheme="minorHAnsi" w:eastAsia="Batang" w:hAnsiTheme="minorHAnsi" w:cs="Times New Roman"/>
          <w:sz w:val="22"/>
          <w:szCs w:val="22"/>
        </w:rPr>
        <w:t>otal salary</w:t>
      </w:r>
      <w:r w:rsidR="0091521F">
        <w:rPr>
          <w:rFonts w:asciiTheme="minorHAnsi" w:eastAsia="Batang" w:hAnsiTheme="minorHAnsi" w:cs="Times New Roman"/>
          <w:sz w:val="22"/>
          <w:szCs w:val="22"/>
        </w:rPr>
        <w:t xml:space="preserve"> and related</w:t>
      </w:r>
      <w:r w:rsidR="00BF73A0" w:rsidRPr="00DA6C88">
        <w:rPr>
          <w:rFonts w:asciiTheme="minorHAnsi" w:eastAsia="Batang" w:hAnsiTheme="minorHAnsi" w:cs="Times New Roman"/>
          <w:sz w:val="22"/>
          <w:szCs w:val="22"/>
        </w:rPr>
        <w:t xml:space="preserve"> costs </w:t>
      </w:r>
      <w:r w:rsidR="00C83176">
        <w:rPr>
          <w:rFonts w:asciiTheme="minorHAnsi" w:eastAsia="Batang" w:hAnsiTheme="minorHAnsi" w:cs="Times New Roman"/>
          <w:sz w:val="22"/>
          <w:szCs w:val="22"/>
        </w:rPr>
        <w:t xml:space="preserve">would </w:t>
      </w:r>
      <w:r w:rsidR="00BF73A0" w:rsidRPr="00DA6C88">
        <w:rPr>
          <w:rFonts w:asciiTheme="minorHAnsi" w:eastAsia="Batang" w:hAnsiTheme="minorHAnsi" w:cs="Times New Roman"/>
          <w:sz w:val="22"/>
          <w:szCs w:val="22"/>
        </w:rPr>
        <w:t xml:space="preserve">represent around </w:t>
      </w:r>
      <w:r w:rsidR="003E634B">
        <w:rPr>
          <w:rFonts w:asciiTheme="minorHAnsi" w:eastAsia="Batang" w:hAnsiTheme="minorHAnsi" w:cs="Times New Roman"/>
          <w:sz w:val="22"/>
          <w:szCs w:val="22"/>
        </w:rPr>
        <w:t>70</w:t>
      </w:r>
      <w:r w:rsidR="00BF73A0" w:rsidRPr="00DA6C88">
        <w:rPr>
          <w:rFonts w:asciiTheme="minorHAnsi" w:eastAsia="Batang" w:hAnsiTheme="minorHAnsi" w:cs="Times New Roman"/>
          <w:sz w:val="22"/>
          <w:szCs w:val="22"/>
        </w:rPr>
        <w:t>% of the total core budget</w:t>
      </w:r>
      <w:r w:rsidR="005E59C2" w:rsidRPr="00DA6C88">
        <w:rPr>
          <w:rFonts w:asciiTheme="minorHAnsi" w:eastAsia="Batang" w:hAnsiTheme="minorHAnsi" w:cs="Times New Roman"/>
          <w:sz w:val="22"/>
          <w:szCs w:val="22"/>
        </w:rPr>
        <w:t>.</w:t>
      </w:r>
      <w:r w:rsidR="00BF73A0">
        <w:rPr>
          <w:rFonts w:asciiTheme="minorHAnsi" w:eastAsia="Batang" w:hAnsiTheme="minorHAnsi" w:cs="Times New Roman"/>
          <w:sz w:val="22"/>
          <w:szCs w:val="22"/>
        </w:rPr>
        <w:t xml:space="preserve"> </w:t>
      </w:r>
    </w:p>
    <w:p w14:paraId="7A36D487" w14:textId="4886F5C6" w:rsidR="00B54F35" w:rsidRDefault="00B54F35" w:rsidP="00E76632">
      <w:pPr>
        <w:pStyle w:val="MGfulltext"/>
        <w:spacing w:after="0"/>
        <w:rPr>
          <w:rFonts w:asciiTheme="minorHAnsi" w:hAnsiTheme="minorHAnsi"/>
          <w:sz w:val="22"/>
          <w:szCs w:val="22"/>
        </w:rPr>
      </w:pPr>
    </w:p>
    <w:p w14:paraId="7C8F9587" w14:textId="7B20BB5F" w:rsidR="0045022B" w:rsidRPr="00586541" w:rsidRDefault="0045022B" w:rsidP="00586541">
      <w:pPr>
        <w:pStyle w:val="MGfulltext"/>
        <w:spacing w:after="0"/>
        <w:ind w:left="850" w:hanging="425"/>
        <w:rPr>
          <w:rFonts w:asciiTheme="minorHAnsi" w:eastAsia="Batang" w:hAnsiTheme="minorHAnsi" w:cs="Times New Roman"/>
          <w:sz w:val="22"/>
          <w:szCs w:val="22"/>
        </w:rPr>
      </w:pPr>
      <w:r w:rsidRPr="00586541">
        <w:rPr>
          <w:rFonts w:asciiTheme="minorHAnsi" w:eastAsia="Batang" w:hAnsiTheme="minorHAnsi" w:cs="Times New Roman"/>
          <w:sz w:val="22"/>
          <w:szCs w:val="22"/>
        </w:rPr>
        <w:t>d.</w:t>
      </w:r>
      <w:r w:rsidR="00C83176">
        <w:rPr>
          <w:rFonts w:asciiTheme="minorHAnsi" w:eastAsia="Batang" w:hAnsiTheme="minorHAnsi" w:cs="Times New Roman"/>
          <w:sz w:val="22"/>
          <w:szCs w:val="22"/>
        </w:rPr>
        <w:tab/>
      </w:r>
      <w:r w:rsidRPr="00586541">
        <w:rPr>
          <w:rFonts w:asciiTheme="minorHAnsi" w:eastAsia="Batang" w:hAnsiTheme="minorHAnsi" w:cs="Times New Roman"/>
          <w:sz w:val="22"/>
          <w:szCs w:val="22"/>
        </w:rPr>
        <w:t xml:space="preserve">As in Scenario A, an additional </w:t>
      </w:r>
      <w:r w:rsidR="00502A28" w:rsidRPr="00586541">
        <w:rPr>
          <w:rFonts w:asciiTheme="minorHAnsi" w:eastAsia="Batang" w:hAnsiTheme="minorHAnsi" w:cs="Times New Roman"/>
          <w:sz w:val="22"/>
          <w:szCs w:val="22"/>
        </w:rPr>
        <w:t xml:space="preserve">amount of </w:t>
      </w:r>
      <w:r w:rsidRPr="00586541">
        <w:rPr>
          <w:rFonts w:asciiTheme="minorHAnsi" w:eastAsia="Batang" w:hAnsiTheme="minorHAnsi" w:cs="Times New Roman"/>
          <w:sz w:val="22"/>
          <w:szCs w:val="22"/>
        </w:rPr>
        <w:t xml:space="preserve">CHF 360K will be needed for the provisions </w:t>
      </w:r>
      <w:r w:rsidR="00C83176">
        <w:rPr>
          <w:rFonts w:asciiTheme="minorHAnsi" w:eastAsia="Batang" w:hAnsiTheme="minorHAnsi" w:cs="Times New Roman"/>
          <w:sz w:val="22"/>
          <w:szCs w:val="22"/>
        </w:rPr>
        <w:t>for</w:t>
      </w:r>
      <w:r w:rsidRPr="00586541">
        <w:rPr>
          <w:rFonts w:asciiTheme="minorHAnsi" w:eastAsia="Batang" w:hAnsiTheme="minorHAnsi" w:cs="Times New Roman"/>
          <w:sz w:val="22"/>
          <w:szCs w:val="22"/>
        </w:rPr>
        <w:t xml:space="preserve"> outstanding contributions. The Secretariat suggest</w:t>
      </w:r>
      <w:r w:rsidR="00502A28" w:rsidRPr="00586541">
        <w:rPr>
          <w:rFonts w:asciiTheme="minorHAnsi" w:eastAsia="Batang" w:hAnsiTheme="minorHAnsi" w:cs="Times New Roman"/>
          <w:sz w:val="22"/>
          <w:szCs w:val="22"/>
        </w:rPr>
        <w:t xml:space="preserve">s that </w:t>
      </w:r>
      <w:r w:rsidRPr="00586541">
        <w:rPr>
          <w:rFonts w:asciiTheme="minorHAnsi" w:eastAsia="Batang" w:hAnsiTheme="minorHAnsi" w:cs="Times New Roman"/>
          <w:sz w:val="22"/>
          <w:szCs w:val="22"/>
        </w:rPr>
        <w:t>this is covered from the core budget surplus</w:t>
      </w:r>
      <w:r w:rsidR="00502A28" w:rsidRPr="00586541">
        <w:rPr>
          <w:rFonts w:asciiTheme="minorHAnsi" w:eastAsia="Batang" w:hAnsiTheme="minorHAnsi" w:cs="Times New Roman"/>
          <w:sz w:val="22"/>
          <w:szCs w:val="22"/>
        </w:rPr>
        <w:t xml:space="preserve"> from the previous triennium,</w:t>
      </w:r>
      <w:r w:rsidRPr="00586541">
        <w:rPr>
          <w:rFonts w:asciiTheme="minorHAnsi" w:eastAsia="Batang" w:hAnsiTheme="minorHAnsi" w:cs="Times New Roman"/>
          <w:sz w:val="22"/>
          <w:szCs w:val="22"/>
        </w:rPr>
        <w:t xml:space="preserve"> as presented above in paragraph 3.</w:t>
      </w:r>
      <w:r w:rsidR="00C83176">
        <w:rPr>
          <w:rFonts w:asciiTheme="minorHAnsi" w:eastAsia="Batang" w:hAnsiTheme="minorHAnsi" w:cs="Times New Roman"/>
          <w:sz w:val="22"/>
          <w:szCs w:val="22"/>
        </w:rPr>
        <w:t>p)</w:t>
      </w:r>
      <w:r w:rsidR="00C002AE" w:rsidRPr="00586541">
        <w:rPr>
          <w:rFonts w:asciiTheme="minorHAnsi" w:eastAsia="Batang" w:hAnsiTheme="minorHAnsi" w:cs="Times New Roman"/>
          <w:sz w:val="22"/>
          <w:szCs w:val="22"/>
        </w:rPr>
        <w:t xml:space="preserve"> above.</w:t>
      </w:r>
    </w:p>
    <w:p w14:paraId="5EA1C375" w14:textId="77777777" w:rsidR="0045022B" w:rsidRPr="009041D7" w:rsidRDefault="0045022B" w:rsidP="00E76632">
      <w:pPr>
        <w:pStyle w:val="MGfulltext"/>
        <w:spacing w:after="0"/>
        <w:rPr>
          <w:rFonts w:asciiTheme="minorHAnsi" w:hAnsiTheme="minorHAnsi"/>
          <w:sz w:val="22"/>
          <w:szCs w:val="22"/>
        </w:rPr>
      </w:pPr>
    </w:p>
    <w:p w14:paraId="248435A8" w14:textId="45ED7372" w:rsidR="00C70EC0" w:rsidRDefault="00951D88"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5.</w:t>
      </w:r>
      <w:r>
        <w:rPr>
          <w:rFonts w:asciiTheme="minorHAnsi" w:eastAsia="Batang" w:hAnsiTheme="minorHAnsi" w:cs="Times New Roman"/>
          <w:sz w:val="22"/>
          <w:szCs w:val="22"/>
        </w:rPr>
        <w:tab/>
      </w:r>
      <w:r w:rsidR="00B32E40" w:rsidRPr="00FB1011">
        <w:rPr>
          <w:rFonts w:asciiTheme="minorHAnsi" w:eastAsia="Batang" w:hAnsiTheme="minorHAnsi" w:cs="Times New Roman"/>
          <w:sz w:val="22"/>
          <w:szCs w:val="22"/>
        </w:rPr>
        <w:t xml:space="preserve">In the </w:t>
      </w:r>
      <w:r w:rsidR="006D418B">
        <w:rPr>
          <w:rFonts w:asciiTheme="minorHAnsi" w:eastAsia="Batang" w:hAnsiTheme="minorHAnsi" w:cs="Times New Roman"/>
          <w:b/>
          <w:sz w:val="22"/>
          <w:szCs w:val="22"/>
        </w:rPr>
        <w:t>4.2</w:t>
      </w:r>
      <w:r w:rsidR="00B32E40" w:rsidRPr="00951D88">
        <w:rPr>
          <w:rFonts w:asciiTheme="minorHAnsi" w:eastAsia="Batang" w:hAnsiTheme="minorHAnsi" w:cs="Times New Roman"/>
          <w:b/>
          <w:sz w:val="22"/>
          <w:szCs w:val="22"/>
        </w:rPr>
        <w:t>% scenario (C)</w:t>
      </w:r>
      <w:r w:rsidR="00B32E40" w:rsidRPr="00FB1011">
        <w:rPr>
          <w:rFonts w:asciiTheme="minorHAnsi" w:eastAsia="Batang" w:hAnsiTheme="minorHAnsi" w:cs="Times New Roman"/>
          <w:sz w:val="22"/>
          <w:szCs w:val="22"/>
        </w:rPr>
        <w:t xml:space="preserve">, the total increase in budget would be CHF </w:t>
      </w:r>
      <w:r w:rsidR="006D418B">
        <w:rPr>
          <w:rFonts w:asciiTheme="minorHAnsi" w:eastAsia="Batang" w:hAnsiTheme="minorHAnsi" w:cs="Times New Roman"/>
          <w:sz w:val="22"/>
          <w:szCs w:val="22"/>
        </w:rPr>
        <w:t>67</w:t>
      </w:r>
      <w:r w:rsidR="00D220C7">
        <w:rPr>
          <w:rFonts w:asciiTheme="minorHAnsi" w:eastAsia="Batang" w:hAnsiTheme="minorHAnsi" w:cs="Times New Roman"/>
          <w:sz w:val="22"/>
          <w:szCs w:val="22"/>
        </w:rPr>
        <w:t>4</w:t>
      </w:r>
      <w:r w:rsidR="00ED1012">
        <w:rPr>
          <w:rFonts w:asciiTheme="minorHAnsi" w:eastAsia="Batang" w:hAnsiTheme="minorHAnsi" w:cs="Times New Roman"/>
          <w:sz w:val="22"/>
          <w:szCs w:val="22"/>
        </w:rPr>
        <w:t>K</w:t>
      </w:r>
      <w:r w:rsidR="00ED1012" w:rsidRPr="00FB1011">
        <w:rPr>
          <w:rFonts w:asciiTheme="minorHAnsi" w:eastAsia="Batang" w:hAnsiTheme="minorHAnsi" w:cs="Times New Roman"/>
          <w:sz w:val="22"/>
          <w:szCs w:val="22"/>
        </w:rPr>
        <w:t xml:space="preserve"> </w:t>
      </w:r>
      <w:r w:rsidR="00B32E40" w:rsidRPr="00FB1011">
        <w:rPr>
          <w:rFonts w:asciiTheme="minorHAnsi" w:eastAsia="Batang" w:hAnsiTheme="minorHAnsi" w:cs="Times New Roman"/>
          <w:sz w:val="22"/>
          <w:szCs w:val="22"/>
        </w:rPr>
        <w:t>over the triennium</w:t>
      </w:r>
      <w:r w:rsidR="000376CE">
        <w:rPr>
          <w:rFonts w:asciiTheme="minorHAnsi" w:eastAsia="Batang" w:hAnsiTheme="minorHAnsi" w:cs="Times New Roman"/>
          <w:sz w:val="22"/>
          <w:szCs w:val="22"/>
        </w:rPr>
        <w:t>,</w:t>
      </w:r>
      <w:r w:rsidR="00C70EC0">
        <w:rPr>
          <w:rFonts w:asciiTheme="minorHAnsi" w:eastAsia="Batang" w:hAnsiTheme="minorHAnsi" w:cs="Times New Roman"/>
          <w:sz w:val="22"/>
          <w:szCs w:val="22"/>
        </w:rPr>
        <w:t xml:space="preserve"> amounting to a new budget total of CHF </w:t>
      </w:r>
      <w:r w:rsidR="006D418B">
        <w:rPr>
          <w:rFonts w:asciiTheme="minorHAnsi" w:eastAsia="Batang" w:hAnsiTheme="minorHAnsi" w:cs="Times New Roman"/>
          <w:sz w:val="22"/>
          <w:szCs w:val="22"/>
        </w:rPr>
        <w:t>15,91</w:t>
      </w:r>
      <w:r w:rsidR="00D220C7">
        <w:rPr>
          <w:rFonts w:asciiTheme="minorHAnsi" w:eastAsia="Batang" w:hAnsiTheme="minorHAnsi" w:cs="Times New Roman"/>
          <w:sz w:val="22"/>
          <w:szCs w:val="22"/>
        </w:rPr>
        <w:t>7</w:t>
      </w:r>
      <w:r w:rsidR="00ED1012">
        <w:rPr>
          <w:rFonts w:asciiTheme="minorHAnsi" w:eastAsia="Batang" w:hAnsiTheme="minorHAnsi" w:cs="Times New Roman"/>
          <w:sz w:val="22"/>
          <w:szCs w:val="22"/>
        </w:rPr>
        <w:t>K</w:t>
      </w:r>
      <w:r w:rsidR="00C70EC0">
        <w:rPr>
          <w:rFonts w:asciiTheme="minorHAnsi" w:eastAsia="Batang" w:hAnsiTheme="minorHAnsi" w:cs="Times New Roman"/>
          <w:sz w:val="22"/>
          <w:szCs w:val="22"/>
        </w:rPr>
        <w:t xml:space="preserve">. </w:t>
      </w:r>
      <w:r w:rsidR="00191794">
        <w:rPr>
          <w:rFonts w:asciiTheme="minorHAnsi" w:eastAsia="Batang" w:hAnsiTheme="minorHAnsi" w:cs="Times New Roman"/>
          <w:sz w:val="22"/>
          <w:szCs w:val="22"/>
        </w:rPr>
        <w:t>Scenario C</w:t>
      </w:r>
      <w:r w:rsidR="00CE778B">
        <w:rPr>
          <w:rFonts w:asciiTheme="minorHAnsi" w:eastAsia="Batang" w:hAnsiTheme="minorHAnsi" w:cs="Times New Roman"/>
          <w:sz w:val="22"/>
          <w:szCs w:val="22"/>
        </w:rPr>
        <w:t xml:space="preserve"> includes the </w:t>
      </w:r>
      <w:r w:rsidR="00C70EC0">
        <w:rPr>
          <w:rFonts w:asciiTheme="minorHAnsi" w:eastAsia="Batang" w:hAnsiTheme="minorHAnsi" w:cs="Times New Roman"/>
          <w:sz w:val="22"/>
          <w:szCs w:val="22"/>
        </w:rPr>
        <w:t>addition</w:t>
      </w:r>
      <w:r w:rsidR="00CE778B">
        <w:rPr>
          <w:rFonts w:asciiTheme="minorHAnsi" w:eastAsia="Batang" w:hAnsiTheme="minorHAnsi" w:cs="Times New Roman"/>
          <w:sz w:val="22"/>
          <w:szCs w:val="22"/>
        </w:rPr>
        <w:t>s</w:t>
      </w:r>
      <w:r w:rsidR="00C70EC0">
        <w:rPr>
          <w:rFonts w:asciiTheme="minorHAnsi" w:eastAsia="Batang" w:hAnsiTheme="minorHAnsi" w:cs="Times New Roman"/>
          <w:sz w:val="22"/>
          <w:szCs w:val="22"/>
        </w:rPr>
        <w:t xml:space="preserve"> </w:t>
      </w:r>
      <w:r w:rsidR="00CE778B">
        <w:rPr>
          <w:rFonts w:asciiTheme="minorHAnsi" w:eastAsia="Batang" w:hAnsiTheme="minorHAnsi" w:cs="Times New Roman"/>
          <w:sz w:val="22"/>
          <w:szCs w:val="22"/>
        </w:rPr>
        <w:t>indicated in</w:t>
      </w:r>
      <w:r w:rsidR="00191794">
        <w:rPr>
          <w:rFonts w:asciiTheme="minorHAnsi" w:eastAsia="Batang" w:hAnsiTheme="minorHAnsi" w:cs="Times New Roman"/>
          <w:sz w:val="22"/>
          <w:szCs w:val="22"/>
        </w:rPr>
        <w:t xml:space="preserve"> S</w:t>
      </w:r>
      <w:r w:rsidR="00C70EC0">
        <w:rPr>
          <w:rFonts w:asciiTheme="minorHAnsi" w:eastAsia="Batang" w:hAnsiTheme="minorHAnsi" w:cs="Times New Roman"/>
          <w:sz w:val="22"/>
          <w:szCs w:val="22"/>
        </w:rPr>
        <w:t xml:space="preserve">cenario B, </w:t>
      </w:r>
      <w:r w:rsidR="00CE778B">
        <w:rPr>
          <w:rFonts w:asciiTheme="minorHAnsi" w:eastAsia="Batang" w:hAnsiTheme="minorHAnsi" w:cs="Times New Roman"/>
          <w:sz w:val="22"/>
          <w:szCs w:val="22"/>
        </w:rPr>
        <w:t xml:space="preserve">and also </w:t>
      </w:r>
      <w:r w:rsidR="00C70EC0">
        <w:rPr>
          <w:rFonts w:asciiTheme="minorHAnsi" w:eastAsia="Batang" w:hAnsiTheme="minorHAnsi" w:cs="Times New Roman"/>
          <w:sz w:val="22"/>
          <w:szCs w:val="22"/>
        </w:rPr>
        <w:t xml:space="preserve">includes </w:t>
      </w:r>
      <w:r w:rsidR="00CE778B">
        <w:rPr>
          <w:rFonts w:asciiTheme="minorHAnsi" w:eastAsia="Batang" w:hAnsiTheme="minorHAnsi" w:cs="Times New Roman"/>
          <w:sz w:val="22"/>
          <w:szCs w:val="22"/>
        </w:rPr>
        <w:t xml:space="preserve">an allocation </w:t>
      </w:r>
      <w:r w:rsidR="00C70EC0">
        <w:rPr>
          <w:rFonts w:asciiTheme="minorHAnsi" w:eastAsia="Batang" w:hAnsiTheme="minorHAnsi" w:cs="Times New Roman"/>
          <w:sz w:val="22"/>
          <w:szCs w:val="22"/>
        </w:rPr>
        <w:t xml:space="preserve">of CHF 236K in </w:t>
      </w:r>
      <w:r w:rsidR="00C7587C">
        <w:rPr>
          <w:rFonts w:asciiTheme="minorHAnsi" w:eastAsia="Batang" w:hAnsiTheme="minorHAnsi" w:cs="Times New Roman"/>
          <w:sz w:val="22"/>
          <w:szCs w:val="22"/>
        </w:rPr>
        <w:t xml:space="preserve">2025 </w:t>
      </w:r>
      <w:r w:rsidR="00C70EC0">
        <w:rPr>
          <w:rFonts w:asciiTheme="minorHAnsi" w:eastAsia="Batang" w:hAnsiTheme="minorHAnsi" w:cs="Times New Roman"/>
          <w:sz w:val="22"/>
          <w:szCs w:val="22"/>
        </w:rPr>
        <w:t xml:space="preserve">for </w:t>
      </w:r>
      <w:r w:rsidR="00CE778B">
        <w:rPr>
          <w:rFonts w:asciiTheme="minorHAnsi" w:eastAsia="Batang" w:hAnsiTheme="minorHAnsi" w:cs="Times New Roman"/>
          <w:sz w:val="22"/>
          <w:szCs w:val="22"/>
        </w:rPr>
        <w:t xml:space="preserve">costs associated with servicing </w:t>
      </w:r>
      <w:r w:rsidR="00776105">
        <w:rPr>
          <w:rFonts w:asciiTheme="minorHAnsi" w:eastAsia="Batang" w:hAnsiTheme="minorHAnsi" w:cs="Times New Roman"/>
          <w:sz w:val="22"/>
          <w:szCs w:val="22"/>
        </w:rPr>
        <w:t xml:space="preserve">COP15 </w:t>
      </w:r>
      <w:r w:rsidR="00C70EC0">
        <w:rPr>
          <w:rFonts w:asciiTheme="minorHAnsi" w:eastAsia="Batang" w:hAnsiTheme="minorHAnsi" w:cs="Times New Roman"/>
          <w:sz w:val="22"/>
          <w:szCs w:val="22"/>
        </w:rPr>
        <w:t xml:space="preserve">(interpretation, translation, report writing, printing and conference facilities as well as conference operating costs). </w:t>
      </w:r>
      <w:r w:rsidR="00CE778B">
        <w:rPr>
          <w:rFonts w:asciiTheme="minorHAnsi" w:eastAsia="Batang" w:hAnsiTheme="minorHAnsi" w:cs="Times New Roman"/>
          <w:sz w:val="22"/>
          <w:szCs w:val="22"/>
        </w:rPr>
        <w:t xml:space="preserve">This is a standard inclusion in budgets for comparable </w:t>
      </w:r>
      <w:r w:rsidR="00745918">
        <w:rPr>
          <w:rFonts w:asciiTheme="minorHAnsi" w:eastAsia="Batang" w:hAnsiTheme="minorHAnsi" w:cs="Times New Roman"/>
          <w:sz w:val="22"/>
          <w:szCs w:val="22"/>
        </w:rPr>
        <w:t>C</w:t>
      </w:r>
      <w:r w:rsidR="00CE778B">
        <w:rPr>
          <w:rFonts w:asciiTheme="minorHAnsi" w:eastAsia="Batang" w:hAnsiTheme="minorHAnsi" w:cs="Times New Roman"/>
          <w:sz w:val="22"/>
          <w:szCs w:val="22"/>
        </w:rPr>
        <w:t>onventions, such as the Convention on Migratory Species and the Convention on International Trade in Endangered Species of Wild Fauna and Flora</w:t>
      </w:r>
      <w:r w:rsidR="00104F7B">
        <w:rPr>
          <w:rFonts w:asciiTheme="minorHAnsi" w:eastAsia="Batang" w:hAnsiTheme="minorHAnsi" w:cs="Times New Roman"/>
          <w:sz w:val="22"/>
          <w:szCs w:val="22"/>
        </w:rPr>
        <w:t>.</w:t>
      </w:r>
      <w:r w:rsidR="0023550A">
        <w:rPr>
          <w:rFonts w:asciiTheme="minorHAnsi" w:eastAsia="Batang" w:hAnsiTheme="minorHAnsi" w:cs="Times New Roman"/>
          <w:sz w:val="22"/>
          <w:szCs w:val="22"/>
        </w:rPr>
        <w:t xml:space="preserve"> Without this budgetary allocation, the costs must be </w:t>
      </w:r>
      <w:r w:rsidR="00A62ABF">
        <w:rPr>
          <w:rFonts w:asciiTheme="minorHAnsi" w:eastAsia="Batang" w:hAnsiTheme="minorHAnsi" w:cs="Times New Roman"/>
          <w:sz w:val="22"/>
          <w:szCs w:val="22"/>
        </w:rPr>
        <w:t>covered</w:t>
      </w:r>
      <w:r w:rsidR="0023550A">
        <w:rPr>
          <w:rFonts w:asciiTheme="minorHAnsi" w:eastAsia="Batang" w:hAnsiTheme="minorHAnsi" w:cs="Times New Roman"/>
          <w:sz w:val="22"/>
          <w:szCs w:val="22"/>
        </w:rPr>
        <w:t xml:space="preserve"> by the host country. </w:t>
      </w:r>
    </w:p>
    <w:p w14:paraId="7F0B362F" w14:textId="77777777" w:rsidR="00B32E40" w:rsidRDefault="00B32E40" w:rsidP="00B32E40">
      <w:pPr>
        <w:pStyle w:val="MGfulltext"/>
        <w:spacing w:after="0"/>
        <w:rPr>
          <w:rFonts w:asciiTheme="minorHAnsi" w:eastAsia="Batang" w:hAnsiTheme="minorHAnsi" w:cs="Times New Roman"/>
          <w:sz w:val="22"/>
          <w:szCs w:val="22"/>
        </w:rPr>
      </w:pPr>
    </w:p>
    <w:p w14:paraId="76FA84CF" w14:textId="3D45BB88" w:rsidR="0045022B" w:rsidRPr="00586541" w:rsidRDefault="00C83176" w:rsidP="00586541">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6.</w:t>
      </w:r>
      <w:r w:rsidR="0045022B" w:rsidRPr="00586541">
        <w:rPr>
          <w:rFonts w:asciiTheme="minorHAnsi" w:eastAsia="Batang" w:hAnsiTheme="minorHAnsi" w:cs="Times New Roman"/>
          <w:sz w:val="22"/>
          <w:szCs w:val="22"/>
        </w:rPr>
        <w:tab/>
        <w:t>As in Scenario</w:t>
      </w:r>
      <w:r>
        <w:rPr>
          <w:rFonts w:asciiTheme="minorHAnsi" w:eastAsia="Batang" w:hAnsiTheme="minorHAnsi" w:cs="Times New Roman"/>
          <w:sz w:val="22"/>
          <w:szCs w:val="22"/>
        </w:rPr>
        <w:t>s</w:t>
      </w:r>
      <w:r w:rsidR="0045022B" w:rsidRPr="00586541">
        <w:rPr>
          <w:rFonts w:asciiTheme="minorHAnsi" w:eastAsia="Batang" w:hAnsiTheme="minorHAnsi" w:cs="Times New Roman"/>
          <w:sz w:val="22"/>
          <w:szCs w:val="22"/>
        </w:rPr>
        <w:t xml:space="preserve"> A and B, an additional </w:t>
      </w:r>
      <w:r w:rsidR="00502A28" w:rsidRPr="00586541">
        <w:rPr>
          <w:rFonts w:asciiTheme="minorHAnsi" w:eastAsia="Batang" w:hAnsiTheme="minorHAnsi" w:cs="Times New Roman"/>
          <w:sz w:val="22"/>
          <w:szCs w:val="22"/>
        </w:rPr>
        <w:t xml:space="preserve">amount of </w:t>
      </w:r>
      <w:r w:rsidR="0045022B" w:rsidRPr="00586541">
        <w:rPr>
          <w:rFonts w:asciiTheme="minorHAnsi" w:eastAsia="Batang" w:hAnsiTheme="minorHAnsi" w:cs="Times New Roman"/>
          <w:sz w:val="22"/>
          <w:szCs w:val="22"/>
        </w:rPr>
        <w:t xml:space="preserve">CHF 360K will be needed for the provisions </w:t>
      </w:r>
      <w:r>
        <w:rPr>
          <w:rFonts w:asciiTheme="minorHAnsi" w:eastAsia="Batang" w:hAnsiTheme="minorHAnsi" w:cs="Times New Roman"/>
          <w:sz w:val="22"/>
          <w:szCs w:val="22"/>
        </w:rPr>
        <w:t>for</w:t>
      </w:r>
      <w:r w:rsidR="0045022B" w:rsidRPr="00586541">
        <w:rPr>
          <w:rFonts w:asciiTheme="minorHAnsi" w:eastAsia="Batang" w:hAnsiTheme="minorHAnsi" w:cs="Times New Roman"/>
          <w:sz w:val="22"/>
          <w:szCs w:val="22"/>
        </w:rPr>
        <w:t xml:space="preserve"> outstanding contributions. The Secretariat suggest</w:t>
      </w:r>
      <w:r w:rsidR="00502A28" w:rsidRPr="00586541">
        <w:rPr>
          <w:rFonts w:asciiTheme="minorHAnsi" w:eastAsia="Batang" w:hAnsiTheme="minorHAnsi" w:cs="Times New Roman"/>
          <w:sz w:val="22"/>
          <w:szCs w:val="22"/>
        </w:rPr>
        <w:t>s that</w:t>
      </w:r>
      <w:r w:rsidR="0045022B" w:rsidRPr="00586541">
        <w:rPr>
          <w:rFonts w:asciiTheme="minorHAnsi" w:eastAsia="Batang" w:hAnsiTheme="minorHAnsi" w:cs="Times New Roman"/>
          <w:sz w:val="22"/>
          <w:szCs w:val="22"/>
        </w:rPr>
        <w:t xml:space="preserve"> this is covered from core budget surplus </w:t>
      </w:r>
      <w:r w:rsidR="00502A28" w:rsidRPr="00586541">
        <w:rPr>
          <w:rFonts w:asciiTheme="minorHAnsi" w:eastAsia="Batang" w:hAnsiTheme="minorHAnsi" w:cs="Times New Roman"/>
          <w:sz w:val="22"/>
          <w:szCs w:val="22"/>
        </w:rPr>
        <w:t xml:space="preserve">from the previous triennium, </w:t>
      </w:r>
      <w:r w:rsidR="0045022B" w:rsidRPr="00586541">
        <w:rPr>
          <w:rFonts w:asciiTheme="minorHAnsi" w:eastAsia="Batang" w:hAnsiTheme="minorHAnsi" w:cs="Times New Roman"/>
          <w:sz w:val="22"/>
          <w:szCs w:val="22"/>
        </w:rPr>
        <w:t>as presented above in paragraph 3.</w:t>
      </w:r>
      <w:r w:rsidRPr="00586541">
        <w:rPr>
          <w:rFonts w:asciiTheme="minorHAnsi" w:eastAsia="Batang" w:hAnsiTheme="minorHAnsi" w:cs="Times New Roman"/>
          <w:sz w:val="22"/>
          <w:szCs w:val="22"/>
        </w:rPr>
        <w:t>p)</w:t>
      </w:r>
      <w:r w:rsidR="00C002AE" w:rsidRPr="00586541">
        <w:rPr>
          <w:rFonts w:asciiTheme="minorHAnsi" w:eastAsia="Batang" w:hAnsiTheme="minorHAnsi" w:cs="Times New Roman"/>
          <w:sz w:val="22"/>
          <w:szCs w:val="22"/>
        </w:rPr>
        <w:t xml:space="preserve"> above.</w:t>
      </w:r>
    </w:p>
    <w:p w14:paraId="643FCFA8" w14:textId="58134994" w:rsidR="00C6766B" w:rsidRDefault="00C6766B" w:rsidP="00B32E40">
      <w:pPr>
        <w:pStyle w:val="MGfulltext"/>
        <w:spacing w:after="0"/>
        <w:rPr>
          <w:rFonts w:asciiTheme="minorHAnsi" w:eastAsia="Batang" w:hAnsiTheme="minorHAnsi" w:cs="Times New Roman"/>
          <w:b/>
          <w:sz w:val="22"/>
          <w:szCs w:val="22"/>
        </w:rPr>
      </w:pPr>
    </w:p>
    <w:p w14:paraId="6C2AA634" w14:textId="09AD9BD4" w:rsidR="005E4BF4" w:rsidRDefault="005E4BF4" w:rsidP="00B32E40">
      <w:pPr>
        <w:pStyle w:val="MGfulltext"/>
        <w:spacing w:after="0"/>
        <w:rPr>
          <w:rFonts w:asciiTheme="minorHAnsi" w:eastAsia="Batang" w:hAnsiTheme="minorHAnsi" w:cs="Times New Roman"/>
          <w:b/>
          <w:sz w:val="22"/>
          <w:szCs w:val="22"/>
        </w:rPr>
      </w:pPr>
      <w:r>
        <w:rPr>
          <w:rFonts w:asciiTheme="minorHAnsi" w:eastAsia="Batang" w:hAnsiTheme="minorHAnsi" w:cs="Times New Roman"/>
          <w:b/>
          <w:sz w:val="22"/>
          <w:szCs w:val="22"/>
        </w:rPr>
        <w:t>Structure of the core budget scenarios</w:t>
      </w:r>
    </w:p>
    <w:p w14:paraId="3B36FFEB" w14:textId="77777777" w:rsidR="005E4BF4" w:rsidRDefault="005E4BF4" w:rsidP="00B32E40">
      <w:pPr>
        <w:pStyle w:val="MGfulltext"/>
        <w:spacing w:after="0"/>
        <w:rPr>
          <w:rFonts w:asciiTheme="minorHAnsi" w:eastAsia="Batang" w:hAnsiTheme="minorHAnsi" w:cs="Times New Roman"/>
          <w:b/>
          <w:sz w:val="22"/>
          <w:szCs w:val="22"/>
        </w:rPr>
      </w:pPr>
    </w:p>
    <w:p w14:paraId="4804AAEB" w14:textId="373820A8" w:rsidR="005E4BF4" w:rsidRDefault="00C83176"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7</w:t>
      </w:r>
      <w:r w:rsidR="00951D88">
        <w:rPr>
          <w:rFonts w:asciiTheme="minorHAnsi" w:eastAsia="Batang" w:hAnsiTheme="minorHAnsi" w:cs="Times New Roman"/>
          <w:sz w:val="22"/>
          <w:szCs w:val="22"/>
        </w:rPr>
        <w:t>.</w:t>
      </w:r>
      <w:r w:rsidR="00951D88">
        <w:rPr>
          <w:rFonts w:asciiTheme="minorHAnsi" w:eastAsia="Batang" w:hAnsiTheme="minorHAnsi" w:cs="Times New Roman"/>
          <w:sz w:val="22"/>
          <w:szCs w:val="22"/>
        </w:rPr>
        <w:tab/>
      </w:r>
      <w:r w:rsidR="00CF4437">
        <w:rPr>
          <w:rFonts w:asciiTheme="minorHAnsi" w:eastAsia="Batang" w:hAnsiTheme="minorHAnsi" w:cs="Times New Roman"/>
          <w:sz w:val="22"/>
          <w:szCs w:val="22"/>
        </w:rPr>
        <w:t xml:space="preserve">To maintain </w:t>
      </w:r>
      <w:r w:rsidR="00673291">
        <w:rPr>
          <w:rFonts w:asciiTheme="minorHAnsi" w:eastAsia="Batang" w:hAnsiTheme="minorHAnsi" w:cs="Times New Roman"/>
          <w:sz w:val="22"/>
          <w:szCs w:val="22"/>
        </w:rPr>
        <w:t xml:space="preserve">the current </w:t>
      </w:r>
      <w:r w:rsidR="00CF4437">
        <w:rPr>
          <w:rFonts w:asciiTheme="minorHAnsi" w:eastAsia="Batang" w:hAnsiTheme="minorHAnsi" w:cs="Times New Roman"/>
          <w:sz w:val="22"/>
          <w:szCs w:val="22"/>
        </w:rPr>
        <w:t>approach showin</w:t>
      </w:r>
      <w:r w:rsidR="000376CE">
        <w:rPr>
          <w:rFonts w:asciiTheme="minorHAnsi" w:eastAsia="Batang" w:hAnsiTheme="minorHAnsi" w:cs="Times New Roman"/>
          <w:sz w:val="22"/>
          <w:szCs w:val="22"/>
        </w:rPr>
        <w:t>g expenditures per department/</w:t>
      </w:r>
      <w:r w:rsidR="00CF4437">
        <w:rPr>
          <w:rFonts w:asciiTheme="minorHAnsi" w:eastAsia="Batang" w:hAnsiTheme="minorHAnsi" w:cs="Times New Roman"/>
          <w:sz w:val="22"/>
          <w:szCs w:val="22"/>
        </w:rPr>
        <w:t xml:space="preserve">category, </w:t>
      </w:r>
      <w:r w:rsidR="004F20C4">
        <w:rPr>
          <w:rFonts w:asciiTheme="minorHAnsi" w:eastAsia="Batang" w:hAnsiTheme="minorHAnsi" w:cs="Times New Roman"/>
          <w:sz w:val="22"/>
          <w:szCs w:val="22"/>
        </w:rPr>
        <w:t xml:space="preserve">the Secretariat proposes to maintain </w:t>
      </w:r>
      <w:r w:rsidR="00F14404">
        <w:rPr>
          <w:rFonts w:asciiTheme="minorHAnsi" w:eastAsia="Batang" w:hAnsiTheme="minorHAnsi" w:cs="Times New Roman"/>
          <w:sz w:val="22"/>
          <w:szCs w:val="22"/>
        </w:rPr>
        <w:t>the</w:t>
      </w:r>
      <w:r w:rsidR="004F20C4">
        <w:rPr>
          <w:rFonts w:asciiTheme="minorHAnsi" w:eastAsia="Batang" w:hAnsiTheme="minorHAnsi" w:cs="Times New Roman"/>
          <w:sz w:val="22"/>
          <w:szCs w:val="22"/>
        </w:rPr>
        <w:t xml:space="preserve"> same</w:t>
      </w:r>
      <w:r w:rsidR="00F14404">
        <w:rPr>
          <w:rFonts w:asciiTheme="minorHAnsi" w:eastAsia="Batang" w:hAnsiTheme="minorHAnsi" w:cs="Times New Roman"/>
          <w:sz w:val="22"/>
          <w:szCs w:val="22"/>
        </w:rPr>
        <w:t xml:space="preserve"> broad structure of the budget as</w:t>
      </w:r>
      <w:r w:rsidR="004F20C4">
        <w:rPr>
          <w:rFonts w:asciiTheme="minorHAnsi" w:eastAsia="Batang" w:hAnsiTheme="minorHAnsi" w:cs="Times New Roman"/>
          <w:sz w:val="22"/>
          <w:szCs w:val="22"/>
        </w:rPr>
        <w:t xml:space="preserve"> that of the </w:t>
      </w:r>
      <w:r w:rsidR="00F14404">
        <w:rPr>
          <w:rFonts w:asciiTheme="minorHAnsi" w:eastAsia="Batang" w:hAnsiTheme="minorHAnsi" w:cs="Times New Roman"/>
          <w:sz w:val="22"/>
          <w:szCs w:val="22"/>
        </w:rPr>
        <w:t>previous triennium.</w:t>
      </w:r>
    </w:p>
    <w:p w14:paraId="761DDD53" w14:textId="77777777" w:rsidR="00B54F35" w:rsidRDefault="00B54F35" w:rsidP="00951D88">
      <w:pPr>
        <w:pStyle w:val="MGfulltext"/>
        <w:spacing w:after="0"/>
        <w:ind w:left="425" w:hanging="425"/>
        <w:rPr>
          <w:rFonts w:asciiTheme="minorHAnsi" w:eastAsia="Batang" w:hAnsiTheme="minorHAnsi" w:cs="Times New Roman"/>
          <w:sz w:val="22"/>
          <w:szCs w:val="22"/>
        </w:rPr>
      </w:pPr>
    </w:p>
    <w:p w14:paraId="72C09ED4" w14:textId="6B0C2CF3" w:rsidR="00F14404" w:rsidRDefault="00C83176"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8</w:t>
      </w:r>
      <w:r w:rsidR="00951D88">
        <w:rPr>
          <w:rFonts w:asciiTheme="minorHAnsi" w:eastAsia="Batang" w:hAnsiTheme="minorHAnsi" w:cs="Times New Roman"/>
          <w:sz w:val="22"/>
          <w:szCs w:val="22"/>
        </w:rPr>
        <w:t>.</w:t>
      </w:r>
      <w:r w:rsidR="00951D88">
        <w:rPr>
          <w:rFonts w:asciiTheme="minorHAnsi" w:eastAsia="Batang" w:hAnsiTheme="minorHAnsi" w:cs="Times New Roman"/>
          <w:sz w:val="22"/>
          <w:szCs w:val="22"/>
        </w:rPr>
        <w:tab/>
      </w:r>
      <w:r w:rsidR="00F14404">
        <w:rPr>
          <w:rFonts w:asciiTheme="minorHAnsi" w:eastAsia="Batang" w:hAnsiTheme="minorHAnsi" w:cs="Times New Roman"/>
          <w:sz w:val="22"/>
          <w:szCs w:val="22"/>
        </w:rPr>
        <w:t xml:space="preserve">The main </w:t>
      </w:r>
      <w:r w:rsidR="0045022B">
        <w:rPr>
          <w:rFonts w:asciiTheme="minorHAnsi" w:eastAsia="Batang" w:hAnsiTheme="minorHAnsi" w:cs="Times New Roman"/>
          <w:sz w:val="22"/>
          <w:szCs w:val="22"/>
        </w:rPr>
        <w:t xml:space="preserve">presentation </w:t>
      </w:r>
      <w:r w:rsidR="00F14404">
        <w:rPr>
          <w:rFonts w:asciiTheme="minorHAnsi" w:eastAsia="Batang" w:hAnsiTheme="minorHAnsi" w:cs="Times New Roman"/>
          <w:sz w:val="22"/>
          <w:szCs w:val="22"/>
        </w:rPr>
        <w:t xml:space="preserve">changes </w:t>
      </w:r>
      <w:r w:rsidR="0045022B">
        <w:rPr>
          <w:rFonts w:asciiTheme="minorHAnsi" w:eastAsia="Batang" w:hAnsiTheme="minorHAnsi" w:cs="Times New Roman"/>
          <w:sz w:val="22"/>
          <w:szCs w:val="22"/>
        </w:rPr>
        <w:t xml:space="preserve">resulting from Standing Committee decisions </w:t>
      </w:r>
      <w:r w:rsidR="00F14404">
        <w:rPr>
          <w:rFonts w:asciiTheme="minorHAnsi" w:eastAsia="Batang" w:hAnsiTheme="minorHAnsi" w:cs="Times New Roman"/>
          <w:sz w:val="22"/>
          <w:szCs w:val="22"/>
        </w:rPr>
        <w:t>are:</w:t>
      </w:r>
    </w:p>
    <w:p w14:paraId="629A1796" w14:textId="77777777" w:rsidR="00AD65E1" w:rsidRDefault="00AD65E1" w:rsidP="00AD65E1">
      <w:pPr>
        <w:pStyle w:val="MGfulltext"/>
        <w:spacing w:after="0"/>
        <w:ind w:left="850" w:hanging="425"/>
        <w:rPr>
          <w:rFonts w:asciiTheme="minorHAnsi" w:eastAsia="Batang" w:hAnsiTheme="minorHAnsi" w:cs="Times New Roman"/>
          <w:sz w:val="22"/>
          <w:szCs w:val="22"/>
        </w:rPr>
      </w:pPr>
    </w:p>
    <w:p w14:paraId="17BD4D7B" w14:textId="4D2555C5" w:rsidR="00E57D9D" w:rsidRDefault="00E57D9D" w:rsidP="0074102A">
      <w:pPr>
        <w:pStyle w:val="MGfulltext"/>
        <w:numPr>
          <w:ilvl w:val="0"/>
          <w:numId w:val="39"/>
        </w:numPr>
        <w:spacing w:after="0"/>
        <w:ind w:left="851" w:hanging="425"/>
        <w:rPr>
          <w:rFonts w:asciiTheme="minorHAnsi" w:hAnsiTheme="minorHAnsi"/>
          <w:sz w:val="22"/>
          <w:szCs w:val="22"/>
        </w:rPr>
      </w:pPr>
      <w:r>
        <w:rPr>
          <w:rFonts w:asciiTheme="minorHAnsi" w:eastAsia="Batang" w:hAnsiTheme="minorHAnsi" w:cs="Times New Roman"/>
          <w:sz w:val="22"/>
          <w:szCs w:val="22"/>
        </w:rPr>
        <w:t>P</w:t>
      </w:r>
      <w:r w:rsidRPr="00E57D9D">
        <w:rPr>
          <w:rFonts w:asciiTheme="minorHAnsi" w:hAnsiTheme="minorHAnsi"/>
          <w:sz w:val="22"/>
          <w:szCs w:val="22"/>
        </w:rPr>
        <w:t xml:space="preserve">rovisions have been </w:t>
      </w:r>
      <w:r w:rsidR="008F7E80">
        <w:rPr>
          <w:rFonts w:asciiTheme="minorHAnsi" w:hAnsiTheme="minorHAnsi"/>
          <w:sz w:val="22"/>
          <w:szCs w:val="22"/>
        </w:rPr>
        <w:t>separated</w:t>
      </w:r>
      <w:r w:rsidRPr="00E57D9D">
        <w:rPr>
          <w:rFonts w:asciiTheme="minorHAnsi" w:hAnsiTheme="minorHAnsi"/>
          <w:sz w:val="22"/>
          <w:szCs w:val="22"/>
        </w:rPr>
        <w:t xml:space="preserve"> in two budget lines: </w:t>
      </w:r>
      <w:r w:rsidRPr="00920091">
        <w:rPr>
          <w:rFonts w:asciiTheme="minorHAnsi" w:hAnsiTheme="minorHAnsi"/>
          <w:sz w:val="22"/>
          <w:szCs w:val="22"/>
        </w:rPr>
        <w:t xml:space="preserve">1) staff provisions and 2) provisions for outstanding </w:t>
      </w:r>
      <w:r w:rsidR="006E7605">
        <w:rPr>
          <w:rFonts w:asciiTheme="minorHAnsi" w:hAnsiTheme="minorHAnsi"/>
          <w:sz w:val="22"/>
          <w:szCs w:val="22"/>
        </w:rPr>
        <w:t>contributions</w:t>
      </w:r>
      <w:r w:rsidRPr="00E57D9D">
        <w:rPr>
          <w:rFonts w:asciiTheme="minorHAnsi" w:hAnsiTheme="minorHAnsi"/>
          <w:sz w:val="22"/>
          <w:szCs w:val="22"/>
        </w:rPr>
        <w:t xml:space="preserve"> to allow better management and transparency in the use of provisions (as per </w:t>
      </w:r>
      <w:r w:rsidR="008F7E80">
        <w:rPr>
          <w:rFonts w:asciiTheme="minorHAnsi" w:hAnsiTheme="minorHAnsi"/>
          <w:sz w:val="22"/>
          <w:szCs w:val="22"/>
        </w:rPr>
        <w:t xml:space="preserve">Standing Committee </w:t>
      </w:r>
      <w:r w:rsidRPr="00E57D9D">
        <w:rPr>
          <w:rFonts w:asciiTheme="minorHAnsi" w:hAnsiTheme="minorHAnsi"/>
          <w:sz w:val="22"/>
          <w:szCs w:val="22"/>
        </w:rPr>
        <w:t>Decision SC58-31)</w:t>
      </w:r>
      <w:r w:rsidR="00A60635">
        <w:rPr>
          <w:rFonts w:asciiTheme="minorHAnsi" w:hAnsiTheme="minorHAnsi"/>
          <w:sz w:val="22"/>
          <w:szCs w:val="22"/>
        </w:rPr>
        <w:t>.</w:t>
      </w:r>
    </w:p>
    <w:p w14:paraId="5EF310C4" w14:textId="77777777" w:rsidR="00E57D9D" w:rsidRDefault="00E57D9D" w:rsidP="0074102A">
      <w:pPr>
        <w:pStyle w:val="MGfulltext"/>
        <w:spacing w:after="0"/>
        <w:ind w:left="851" w:hanging="425"/>
        <w:rPr>
          <w:rFonts w:asciiTheme="minorHAnsi" w:hAnsiTheme="minorHAnsi"/>
          <w:sz w:val="22"/>
          <w:szCs w:val="22"/>
        </w:rPr>
      </w:pPr>
    </w:p>
    <w:p w14:paraId="4C87B6F9" w14:textId="00AB6DF5" w:rsidR="00F14404" w:rsidRPr="00E57D9D" w:rsidRDefault="0074102A" w:rsidP="0074102A">
      <w:pPr>
        <w:pStyle w:val="MGfulltext"/>
        <w:numPr>
          <w:ilvl w:val="0"/>
          <w:numId w:val="39"/>
        </w:numPr>
        <w:spacing w:after="0"/>
        <w:ind w:left="851" w:hanging="425"/>
        <w:rPr>
          <w:rFonts w:asciiTheme="minorHAnsi" w:hAnsiTheme="minorHAnsi"/>
          <w:sz w:val="22"/>
          <w:szCs w:val="22"/>
        </w:rPr>
      </w:pPr>
      <w:r>
        <w:rPr>
          <w:rFonts w:asciiTheme="minorHAnsi" w:hAnsiTheme="minorHAnsi"/>
          <w:sz w:val="22"/>
          <w:szCs w:val="22"/>
        </w:rPr>
        <w:t>The m</w:t>
      </w:r>
      <w:r w:rsidR="00235147">
        <w:rPr>
          <w:rFonts w:asciiTheme="minorHAnsi" w:hAnsiTheme="minorHAnsi"/>
          <w:sz w:val="22"/>
          <w:szCs w:val="22"/>
        </w:rPr>
        <w:t>erged b</w:t>
      </w:r>
      <w:r w:rsidR="00E9040B" w:rsidRPr="00E9040B">
        <w:rPr>
          <w:rFonts w:asciiTheme="minorHAnsi" w:hAnsiTheme="minorHAnsi"/>
          <w:sz w:val="22"/>
          <w:szCs w:val="22"/>
        </w:rPr>
        <w:t>udget line “salaries, social costs and other benefits” includes “other benefits” for each budget area</w:t>
      </w:r>
      <w:r w:rsidR="00235147">
        <w:rPr>
          <w:rFonts w:asciiTheme="minorHAnsi" w:hAnsiTheme="minorHAnsi"/>
          <w:sz w:val="22"/>
          <w:szCs w:val="22"/>
        </w:rPr>
        <w:t xml:space="preserve">, recognizing that this change in location of the funding between budget lines </w:t>
      </w:r>
      <w:r w:rsidR="00C002AE">
        <w:rPr>
          <w:rFonts w:asciiTheme="minorHAnsi" w:hAnsiTheme="minorHAnsi"/>
          <w:sz w:val="22"/>
          <w:szCs w:val="22"/>
        </w:rPr>
        <w:t xml:space="preserve">and </w:t>
      </w:r>
      <w:r w:rsidR="00235147">
        <w:rPr>
          <w:rFonts w:asciiTheme="minorHAnsi" w:hAnsiTheme="minorHAnsi"/>
          <w:sz w:val="22"/>
          <w:szCs w:val="22"/>
        </w:rPr>
        <w:t>does not reflect a change to funding levels (as per Decision SC59-27)</w:t>
      </w:r>
      <w:r w:rsidR="00A60635">
        <w:rPr>
          <w:rFonts w:asciiTheme="minorHAnsi" w:hAnsiTheme="minorHAnsi"/>
          <w:sz w:val="22"/>
          <w:szCs w:val="22"/>
        </w:rPr>
        <w:t>.</w:t>
      </w:r>
    </w:p>
    <w:p w14:paraId="0D83545D" w14:textId="77777777" w:rsidR="00AD65E1" w:rsidRDefault="00AD65E1" w:rsidP="00AD65E1">
      <w:pPr>
        <w:pStyle w:val="MGfulltext"/>
        <w:spacing w:after="0"/>
        <w:ind w:left="850" w:hanging="425"/>
        <w:rPr>
          <w:rFonts w:asciiTheme="minorHAnsi" w:eastAsia="Batang" w:hAnsiTheme="minorHAnsi" w:cs="Times New Roman"/>
          <w:sz w:val="22"/>
          <w:szCs w:val="22"/>
        </w:rPr>
      </w:pPr>
    </w:p>
    <w:p w14:paraId="746A3E3F" w14:textId="3A3F7598" w:rsidR="001936D6" w:rsidRDefault="00E57D9D" w:rsidP="0074102A">
      <w:pPr>
        <w:pStyle w:val="MGfulltext"/>
        <w:spacing w:after="0"/>
        <w:ind w:left="851" w:hanging="425"/>
        <w:rPr>
          <w:rFonts w:asciiTheme="minorHAnsi" w:eastAsia="Batang" w:hAnsiTheme="minorHAnsi" w:cs="Times New Roman"/>
          <w:sz w:val="22"/>
          <w:szCs w:val="22"/>
        </w:rPr>
      </w:pPr>
      <w:r>
        <w:rPr>
          <w:rFonts w:asciiTheme="minorHAnsi" w:eastAsia="Batang" w:hAnsiTheme="minorHAnsi" w:cs="Times New Roman"/>
          <w:sz w:val="22"/>
          <w:szCs w:val="22"/>
        </w:rPr>
        <w:t>c</w:t>
      </w:r>
      <w:r w:rsidR="00AD65E1">
        <w:rPr>
          <w:rFonts w:asciiTheme="minorHAnsi" w:eastAsia="Batang" w:hAnsiTheme="minorHAnsi" w:cs="Times New Roman"/>
          <w:sz w:val="22"/>
          <w:szCs w:val="22"/>
        </w:rPr>
        <w:t>.</w:t>
      </w:r>
      <w:r w:rsidR="00AD65E1">
        <w:rPr>
          <w:rFonts w:asciiTheme="minorHAnsi" w:eastAsia="Batang" w:hAnsiTheme="minorHAnsi" w:cs="Times New Roman"/>
          <w:sz w:val="22"/>
          <w:szCs w:val="22"/>
        </w:rPr>
        <w:tab/>
      </w:r>
      <w:r w:rsidR="00F14404">
        <w:rPr>
          <w:rFonts w:asciiTheme="minorHAnsi" w:eastAsia="Batang" w:hAnsiTheme="minorHAnsi" w:cs="Times New Roman"/>
          <w:sz w:val="22"/>
          <w:szCs w:val="22"/>
        </w:rPr>
        <w:t xml:space="preserve">Budgeting staff in the department they </w:t>
      </w:r>
      <w:r w:rsidR="00673291">
        <w:rPr>
          <w:rFonts w:asciiTheme="minorHAnsi" w:eastAsia="Batang" w:hAnsiTheme="minorHAnsi" w:cs="Times New Roman"/>
          <w:sz w:val="22"/>
          <w:szCs w:val="22"/>
        </w:rPr>
        <w:t xml:space="preserve">currently </w:t>
      </w:r>
      <w:r w:rsidR="00F14404">
        <w:rPr>
          <w:rFonts w:asciiTheme="minorHAnsi" w:eastAsia="Batang" w:hAnsiTheme="minorHAnsi" w:cs="Times New Roman"/>
          <w:sz w:val="22"/>
          <w:szCs w:val="22"/>
        </w:rPr>
        <w:t xml:space="preserve">work for as per </w:t>
      </w:r>
      <w:r w:rsidR="008C0B07">
        <w:rPr>
          <w:rFonts w:asciiTheme="minorHAnsi" w:eastAsia="Batang" w:hAnsiTheme="minorHAnsi" w:cs="Times New Roman"/>
          <w:sz w:val="22"/>
          <w:szCs w:val="22"/>
        </w:rPr>
        <w:t>t</w:t>
      </w:r>
      <w:r w:rsidR="00F14404">
        <w:rPr>
          <w:rFonts w:asciiTheme="minorHAnsi" w:eastAsia="Batang" w:hAnsiTheme="minorHAnsi" w:cs="Times New Roman"/>
          <w:sz w:val="22"/>
          <w:szCs w:val="22"/>
        </w:rPr>
        <w:t>able</w:t>
      </w:r>
      <w:r w:rsidR="008C0B07">
        <w:rPr>
          <w:rFonts w:asciiTheme="minorHAnsi" w:eastAsia="Batang" w:hAnsiTheme="minorHAnsi" w:cs="Times New Roman"/>
          <w:sz w:val="22"/>
          <w:szCs w:val="22"/>
        </w:rPr>
        <w:t xml:space="preserve"> 1 below</w:t>
      </w:r>
      <w:r w:rsidR="00F14404" w:rsidRPr="00D41049">
        <w:rPr>
          <w:rFonts w:asciiTheme="minorHAnsi" w:eastAsia="Batang" w:hAnsiTheme="minorHAnsi" w:cs="Times New Roman"/>
          <w:sz w:val="22"/>
          <w:szCs w:val="22"/>
        </w:rPr>
        <w:t>.</w:t>
      </w:r>
      <w:r w:rsidR="0074102A">
        <w:rPr>
          <w:rFonts w:asciiTheme="minorHAnsi" w:eastAsia="Batang" w:hAnsiTheme="minorHAnsi" w:cs="Times New Roman"/>
          <w:sz w:val="22"/>
          <w:szCs w:val="22"/>
        </w:rPr>
        <w:t xml:space="preserve"> </w:t>
      </w:r>
      <w:r w:rsidR="001936D6" w:rsidRPr="00D41049">
        <w:rPr>
          <w:rFonts w:asciiTheme="minorHAnsi" w:eastAsia="Batang" w:hAnsiTheme="minorHAnsi" w:cs="Times New Roman"/>
          <w:sz w:val="22"/>
          <w:szCs w:val="22"/>
        </w:rPr>
        <w:t xml:space="preserve">Table 1 reflects how the current </w:t>
      </w:r>
      <w:r w:rsidR="00786D6D" w:rsidRPr="00D41049">
        <w:rPr>
          <w:rFonts w:asciiTheme="minorHAnsi" w:eastAsia="Batang" w:hAnsiTheme="minorHAnsi" w:cs="Times New Roman"/>
          <w:sz w:val="22"/>
          <w:szCs w:val="22"/>
        </w:rPr>
        <w:t xml:space="preserve">core-funded </w:t>
      </w:r>
      <w:r w:rsidR="001936D6" w:rsidRPr="00D41049">
        <w:rPr>
          <w:rFonts w:asciiTheme="minorHAnsi" w:eastAsia="Batang" w:hAnsiTheme="minorHAnsi" w:cs="Times New Roman"/>
          <w:sz w:val="22"/>
          <w:szCs w:val="22"/>
        </w:rPr>
        <w:t>positions</w:t>
      </w:r>
      <w:r w:rsidR="00CA1CBE" w:rsidRPr="00D41049">
        <w:rPr>
          <w:rFonts w:asciiTheme="minorHAnsi" w:eastAsia="Batang" w:hAnsiTheme="minorHAnsi" w:cs="Times New Roman"/>
          <w:sz w:val="22"/>
          <w:szCs w:val="22"/>
        </w:rPr>
        <w:t xml:space="preserve"> are budgeted</w:t>
      </w:r>
      <w:r w:rsidR="004F20C4" w:rsidRPr="00D41049">
        <w:rPr>
          <w:rFonts w:asciiTheme="minorHAnsi" w:eastAsia="Batang" w:hAnsiTheme="minorHAnsi" w:cs="Times New Roman"/>
          <w:sz w:val="22"/>
          <w:szCs w:val="22"/>
        </w:rPr>
        <w:t xml:space="preserve"> in the proposed scenarios</w:t>
      </w:r>
      <w:r w:rsidR="00CA1CBE" w:rsidRPr="00D41049">
        <w:rPr>
          <w:rFonts w:asciiTheme="minorHAnsi" w:eastAsia="Batang" w:hAnsiTheme="minorHAnsi" w:cs="Times New Roman"/>
          <w:sz w:val="22"/>
          <w:szCs w:val="22"/>
        </w:rPr>
        <w:t>, making explicit the allocation of salaries to the different budget lines.</w:t>
      </w:r>
      <w:r w:rsidR="00786D6D">
        <w:rPr>
          <w:rFonts w:asciiTheme="minorHAnsi" w:eastAsia="Batang" w:hAnsiTheme="minorHAnsi" w:cs="Times New Roman"/>
          <w:sz w:val="22"/>
          <w:szCs w:val="22"/>
        </w:rPr>
        <w:t xml:space="preserve"> </w:t>
      </w:r>
    </w:p>
    <w:p w14:paraId="72EB5186" w14:textId="77777777" w:rsidR="00C6766B" w:rsidRPr="00586541" w:rsidRDefault="00C6766B" w:rsidP="00AD65E1">
      <w:pPr>
        <w:pStyle w:val="MGfulltext"/>
        <w:tabs>
          <w:tab w:val="left" w:pos="1190"/>
        </w:tabs>
        <w:spacing w:after="0"/>
        <w:rPr>
          <w:rFonts w:asciiTheme="minorHAnsi" w:hAnsiTheme="minorHAnsi"/>
          <w:bCs/>
          <w:sz w:val="22"/>
          <w:szCs w:val="22"/>
          <w:lang w:eastAsia="en-GB"/>
        </w:rPr>
      </w:pPr>
    </w:p>
    <w:p w14:paraId="36EC715F" w14:textId="22A71947" w:rsidR="00AD65E1" w:rsidRPr="00AD65E1" w:rsidRDefault="00AD65E1" w:rsidP="00AD65E1">
      <w:pPr>
        <w:pStyle w:val="MGfulltext"/>
        <w:tabs>
          <w:tab w:val="left" w:pos="1190"/>
        </w:tabs>
        <w:spacing w:after="0"/>
        <w:rPr>
          <w:rFonts w:asciiTheme="minorHAnsi" w:eastAsia="Batang" w:hAnsiTheme="minorHAnsi" w:cs="Times New Roman"/>
          <w:i/>
          <w:sz w:val="22"/>
          <w:szCs w:val="22"/>
        </w:rPr>
      </w:pPr>
      <w:r w:rsidRPr="00AD65E1">
        <w:rPr>
          <w:rFonts w:asciiTheme="minorHAnsi" w:hAnsiTheme="minorHAnsi"/>
          <w:bCs/>
          <w:i/>
          <w:sz w:val="22"/>
          <w:szCs w:val="22"/>
          <w:lang w:eastAsia="en-GB"/>
        </w:rPr>
        <w:t>Table 1: Current Staffing Table (scenario A)</w:t>
      </w:r>
    </w:p>
    <w:tbl>
      <w:tblPr>
        <w:tblW w:w="7230" w:type="dxa"/>
        <w:tblInd w:w="-5" w:type="dxa"/>
        <w:tblLook w:val="04A0" w:firstRow="1" w:lastRow="0" w:firstColumn="1" w:lastColumn="0" w:noHBand="0" w:noVBand="1"/>
      </w:tblPr>
      <w:tblGrid>
        <w:gridCol w:w="4536"/>
        <w:gridCol w:w="2694"/>
      </w:tblGrid>
      <w:tr w:rsidR="00AD65E1" w:rsidRPr="00AD65E1" w14:paraId="53E1409E" w14:textId="77777777" w:rsidTr="00EB3CA7">
        <w:trPr>
          <w:trHeight w:val="264"/>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0AA0" w14:textId="65C0640E" w:rsidR="00AD65E1" w:rsidRPr="00AD65E1" w:rsidRDefault="00AD65E1" w:rsidP="00EB3CA7">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Secretariat Senior Management</w:t>
            </w:r>
            <w:r w:rsidR="00D9337B">
              <w:rPr>
                <w:rFonts w:asciiTheme="minorHAnsi" w:eastAsia="Times New Roman" w:hAnsiTheme="minorHAnsi" w:cs="Arial"/>
                <w:lang w:eastAsia="en-GB"/>
              </w:rPr>
              <w:t xml:space="preserve"> </w:t>
            </w:r>
            <w:r w:rsidR="00EB3CA7">
              <w:rPr>
                <w:rFonts w:asciiTheme="minorHAnsi" w:eastAsia="Times New Roman" w:hAnsiTheme="minorHAnsi" w:cs="Arial"/>
                <w:lang w:eastAsia="en-GB"/>
              </w:rPr>
              <w:t>and</w:t>
            </w:r>
            <w:r w:rsidR="00D9337B">
              <w:rPr>
                <w:rFonts w:asciiTheme="minorHAnsi" w:eastAsia="Times New Roman" w:hAnsiTheme="minorHAnsi" w:cs="Arial"/>
                <w:lang w:eastAsia="en-GB"/>
              </w:rPr>
              <w:t xml:space="preserve"> Governance</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7392700B" w14:textId="6184B6C8" w:rsidR="00AD65E1" w:rsidRPr="00AD65E1" w:rsidRDefault="00AD65E1" w:rsidP="00ED1012">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 xml:space="preserve">1 S, 1 </w:t>
            </w:r>
            <w:r w:rsidR="00ED1012">
              <w:rPr>
                <w:rFonts w:asciiTheme="minorHAnsi" w:eastAsia="Times New Roman" w:hAnsiTheme="minorHAnsi" w:cs="Arial"/>
                <w:lang w:eastAsia="en-GB"/>
              </w:rPr>
              <w:t>D</w:t>
            </w:r>
            <w:r w:rsidRPr="00AD65E1">
              <w:rPr>
                <w:rFonts w:asciiTheme="minorHAnsi" w:eastAsia="Times New Roman" w:hAnsiTheme="minorHAnsi" w:cs="Arial"/>
                <w:lang w:eastAsia="en-GB"/>
              </w:rPr>
              <w:t>, 1 P2, 2 A3</w:t>
            </w:r>
          </w:p>
        </w:tc>
      </w:tr>
      <w:tr w:rsidR="00AD65E1" w:rsidRPr="00AD65E1" w14:paraId="2D60F217" w14:textId="77777777" w:rsidTr="00EB3CA7">
        <w:trPr>
          <w:trHeight w:val="264"/>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0378D986" w14:textId="77777777" w:rsidR="00AD65E1" w:rsidRPr="00AD65E1" w:rsidRDefault="00AD65E1" w:rsidP="004A01E5">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Resource Mobilization and Outreach</w:t>
            </w:r>
          </w:p>
        </w:tc>
        <w:tc>
          <w:tcPr>
            <w:tcW w:w="2694" w:type="dxa"/>
            <w:tcBorders>
              <w:top w:val="nil"/>
              <w:left w:val="nil"/>
              <w:bottom w:val="single" w:sz="4" w:space="0" w:color="auto"/>
              <w:right w:val="single" w:sz="4" w:space="0" w:color="auto"/>
            </w:tcBorders>
            <w:shd w:val="clear" w:color="auto" w:fill="auto"/>
            <w:noWrap/>
            <w:vAlign w:val="bottom"/>
            <w:hideMark/>
          </w:tcPr>
          <w:p w14:paraId="4E3DA147" w14:textId="7F81728F" w:rsidR="00AD65E1" w:rsidRPr="00AD65E1" w:rsidRDefault="00ED1012" w:rsidP="00E57D9D">
            <w:pPr>
              <w:ind w:left="0" w:firstLine="0"/>
              <w:rPr>
                <w:rFonts w:asciiTheme="minorHAnsi" w:eastAsia="Times New Roman" w:hAnsiTheme="minorHAnsi" w:cs="Arial"/>
                <w:lang w:eastAsia="en-GB"/>
              </w:rPr>
            </w:pPr>
            <w:r>
              <w:rPr>
                <w:rFonts w:asciiTheme="minorHAnsi" w:eastAsia="Times New Roman" w:hAnsiTheme="minorHAnsi" w:cs="Arial"/>
                <w:lang w:eastAsia="en-GB"/>
              </w:rPr>
              <w:t>2</w:t>
            </w:r>
            <w:r w:rsidRPr="00AD65E1">
              <w:rPr>
                <w:rFonts w:asciiTheme="minorHAnsi" w:eastAsia="Times New Roman" w:hAnsiTheme="minorHAnsi" w:cs="Arial"/>
                <w:lang w:eastAsia="en-GB"/>
              </w:rPr>
              <w:t xml:space="preserve"> </w:t>
            </w:r>
            <w:r w:rsidR="00235147" w:rsidRPr="00AD65E1">
              <w:rPr>
                <w:rFonts w:asciiTheme="minorHAnsi" w:eastAsia="Times New Roman" w:hAnsiTheme="minorHAnsi" w:cs="Arial"/>
                <w:lang w:eastAsia="en-GB"/>
              </w:rPr>
              <w:t>P</w:t>
            </w:r>
            <w:r w:rsidR="00235147">
              <w:rPr>
                <w:rFonts w:asciiTheme="minorHAnsi" w:eastAsia="Times New Roman" w:hAnsiTheme="minorHAnsi" w:cs="Arial"/>
                <w:lang w:eastAsia="en-GB"/>
              </w:rPr>
              <w:t>2</w:t>
            </w:r>
            <w:r w:rsidR="00AD65E1" w:rsidRPr="00AD65E1">
              <w:rPr>
                <w:rFonts w:asciiTheme="minorHAnsi" w:eastAsia="Times New Roman" w:hAnsiTheme="minorHAnsi" w:cs="Arial"/>
                <w:lang w:eastAsia="en-GB"/>
              </w:rPr>
              <w:t>, 1 A3</w:t>
            </w:r>
          </w:p>
        </w:tc>
      </w:tr>
      <w:tr w:rsidR="00AD65E1" w:rsidRPr="00AD65E1" w14:paraId="306AF9BA" w14:textId="77777777" w:rsidTr="00EB3CA7">
        <w:trPr>
          <w:trHeight w:val="264"/>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7B343943" w14:textId="77777777" w:rsidR="00AD65E1" w:rsidRPr="00AD65E1" w:rsidRDefault="00AD65E1" w:rsidP="004A01E5">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Regional Advice and Support</w:t>
            </w:r>
          </w:p>
        </w:tc>
        <w:tc>
          <w:tcPr>
            <w:tcW w:w="2694" w:type="dxa"/>
            <w:tcBorders>
              <w:top w:val="nil"/>
              <w:left w:val="nil"/>
              <w:bottom w:val="single" w:sz="4" w:space="0" w:color="auto"/>
              <w:right w:val="single" w:sz="4" w:space="0" w:color="auto"/>
            </w:tcBorders>
            <w:shd w:val="clear" w:color="auto" w:fill="auto"/>
            <w:noWrap/>
            <w:vAlign w:val="bottom"/>
            <w:hideMark/>
          </w:tcPr>
          <w:p w14:paraId="1D85C889" w14:textId="5A62E0BA" w:rsidR="00AD65E1" w:rsidRPr="00AD65E1" w:rsidRDefault="00AD65E1" w:rsidP="00ED1012">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 xml:space="preserve">4 M1, 4 </w:t>
            </w:r>
            <w:r w:rsidR="00554DB1" w:rsidRPr="009102AE">
              <w:rPr>
                <w:rFonts w:asciiTheme="minorHAnsi" w:eastAsia="Times New Roman" w:hAnsiTheme="minorHAnsi" w:cs="Arial"/>
                <w:lang w:eastAsia="en-GB"/>
              </w:rPr>
              <w:t>J</w:t>
            </w:r>
            <w:r w:rsidR="00ED1012" w:rsidRPr="009102AE">
              <w:rPr>
                <w:rFonts w:asciiTheme="minorHAnsi" w:eastAsia="Times New Roman" w:hAnsiTheme="minorHAnsi" w:cs="Arial"/>
                <w:lang w:eastAsia="en-GB"/>
              </w:rPr>
              <w:t>P</w:t>
            </w:r>
          </w:p>
        </w:tc>
      </w:tr>
      <w:tr w:rsidR="00AD65E1" w:rsidRPr="00AD65E1" w14:paraId="6827E0A9" w14:textId="77777777" w:rsidTr="00EB3CA7">
        <w:trPr>
          <w:trHeight w:val="264"/>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12FB12C4" w14:textId="77777777" w:rsidR="00AD65E1" w:rsidRPr="00AD65E1" w:rsidRDefault="00AD65E1" w:rsidP="004A01E5">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Science and Policy</w:t>
            </w:r>
          </w:p>
        </w:tc>
        <w:tc>
          <w:tcPr>
            <w:tcW w:w="2694" w:type="dxa"/>
            <w:tcBorders>
              <w:top w:val="nil"/>
              <w:left w:val="nil"/>
              <w:bottom w:val="single" w:sz="4" w:space="0" w:color="auto"/>
              <w:right w:val="single" w:sz="4" w:space="0" w:color="auto"/>
            </w:tcBorders>
            <w:shd w:val="clear" w:color="auto" w:fill="auto"/>
            <w:noWrap/>
            <w:vAlign w:val="bottom"/>
            <w:hideMark/>
          </w:tcPr>
          <w:p w14:paraId="450B938A" w14:textId="1C81F5C2" w:rsidR="00AD65E1" w:rsidRPr="00AD65E1" w:rsidRDefault="00AD65E1" w:rsidP="00ED1012">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 xml:space="preserve">1 M1, 2 </w:t>
            </w:r>
            <w:r w:rsidR="00ED1012" w:rsidRPr="00AD65E1">
              <w:rPr>
                <w:rFonts w:asciiTheme="minorHAnsi" w:eastAsia="Times New Roman" w:hAnsiTheme="minorHAnsi" w:cs="Arial"/>
                <w:lang w:eastAsia="en-GB"/>
              </w:rPr>
              <w:t>P</w:t>
            </w:r>
            <w:r w:rsidR="00ED1012">
              <w:rPr>
                <w:rFonts w:asciiTheme="minorHAnsi" w:eastAsia="Times New Roman" w:hAnsiTheme="minorHAnsi" w:cs="Arial"/>
                <w:lang w:eastAsia="en-GB"/>
              </w:rPr>
              <w:t>2</w:t>
            </w:r>
            <w:r w:rsidRPr="00AD65E1">
              <w:rPr>
                <w:rFonts w:asciiTheme="minorHAnsi" w:eastAsia="Times New Roman" w:hAnsiTheme="minorHAnsi" w:cs="Arial"/>
                <w:lang w:eastAsia="en-GB"/>
              </w:rPr>
              <w:t xml:space="preserve">, 1 </w:t>
            </w:r>
            <w:r w:rsidR="00ED1012">
              <w:rPr>
                <w:rFonts w:asciiTheme="minorHAnsi" w:eastAsia="Times New Roman" w:hAnsiTheme="minorHAnsi" w:cs="Arial"/>
                <w:lang w:eastAsia="en-GB"/>
              </w:rPr>
              <w:t>P1</w:t>
            </w:r>
          </w:p>
        </w:tc>
      </w:tr>
      <w:tr w:rsidR="00AD65E1" w:rsidRPr="00AD65E1" w14:paraId="3EF297BC" w14:textId="77777777" w:rsidTr="00EB3CA7">
        <w:trPr>
          <w:trHeight w:val="264"/>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5CE290D4" w14:textId="77777777" w:rsidR="00AD65E1" w:rsidRPr="00AD65E1" w:rsidRDefault="00AD65E1" w:rsidP="004A01E5">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Administration</w:t>
            </w:r>
          </w:p>
        </w:tc>
        <w:tc>
          <w:tcPr>
            <w:tcW w:w="2694" w:type="dxa"/>
            <w:tcBorders>
              <w:top w:val="nil"/>
              <w:left w:val="nil"/>
              <w:bottom w:val="single" w:sz="4" w:space="0" w:color="auto"/>
              <w:right w:val="single" w:sz="4" w:space="0" w:color="auto"/>
            </w:tcBorders>
            <w:shd w:val="clear" w:color="auto" w:fill="auto"/>
            <w:noWrap/>
            <w:vAlign w:val="bottom"/>
            <w:hideMark/>
          </w:tcPr>
          <w:p w14:paraId="7ADB0242" w14:textId="7800F4CE" w:rsidR="00AD65E1" w:rsidRPr="00AD65E1" w:rsidRDefault="00AD65E1" w:rsidP="00E57D9D">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 xml:space="preserve">1 P2, 1 </w:t>
            </w:r>
            <w:r w:rsidR="00235147" w:rsidRPr="00AD65E1">
              <w:rPr>
                <w:rFonts w:asciiTheme="minorHAnsi" w:eastAsia="Times New Roman" w:hAnsiTheme="minorHAnsi" w:cs="Arial"/>
                <w:lang w:eastAsia="en-GB"/>
              </w:rPr>
              <w:t>P</w:t>
            </w:r>
            <w:r w:rsidR="00235147">
              <w:rPr>
                <w:rFonts w:asciiTheme="minorHAnsi" w:eastAsia="Times New Roman" w:hAnsiTheme="minorHAnsi" w:cs="Arial"/>
                <w:lang w:eastAsia="en-GB"/>
              </w:rPr>
              <w:t>1</w:t>
            </w:r>
            <w:r w:rsidR="00235147" w:rsidRPr="00AD65E1">
              <w:rPr>
                <w:rFonts w:asciiTheme="minorHAnsi" w:eastAsia="Times New Roman" w:hAnsiTheme="minorHAnsi" w:cs="Arial"/>
                <w:lang w:eastAsia="en-GB"/>
              </w:rPr>
              <w:t xml:space="preserve"> </w:t>
            </w:r>
            <w:r w:rsidRPr="00AD65E1">
              <w:rPr>
                <w:rFonts w:asciiTheme="minorHAnsi" w:eastAsia="Times New Roman" w:hAnsiTheme="minorHAnsi" w:cs="Arial"/>
                <w:lang w:eastAsia="en-GB"/>
              </w:rPr>
              <w:t>(50%)</w:t>
            </w:r>
            <w:r w:rsidR="00ED1012">
              <w:rPr>
                <w:rFonts w:asciiTheme="minorHAnsi" w:eastAsia="Times New Roman" w:hAnsiTheme="minorHAnsi" w:cs="Arial"/>
                <w:lang w:eastAsia="en-GB"/>
              </w:rPr>
              <w:t xml:space="preserve">, 1 </w:t>
            </w:r>
            <w:r w:rsidR="00235147">
              <w:rPr>
                <w:rFonts w:asciiTheme="minorHAnsi" w:eastAsia="Times New Roman" w:hAnsiTheme="minorHAnsi" w:cs="Arial"/>
                <w:lang w:eastAsia="en-GB"/>
              </w:rPr>
              <w:t>A3</w:t>
            </w:r>
          </w:p>
        </w:tc>
      </w:tr>
      <w:tr w:rsidR="00AD65E1" w:rsidRPr="00AD65E1" w14:paraId="770BBAF3" w14:textId="77777777" w:rsidTr="00EB3CA7">
        <w:trPr>
          <w:trHeight w:val="264"/>
        </w:trPr>
        <w:tc>
          <w:tcPr>
            <w:tcW w:w="453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BB3E794" w14:textId="77777777" w:rsidR="00AD65E1" w:rsidRPr="00AD65E1" w:rsidRDefault="00AD65E1" w:rsidP="004A01E5">
            <w:pPr>
              <w:ind w:left="0" w:firstLine="0"/>
              <w:rPr>
                <w:rFonts w:asciiTheme="minorHAnsi" w:eastAsia="Times New Roman" w:hAnsiTheme="minorHAnsi" w:cs="Arial"/>
                <w:b/>
                <w:bCs/>
                <w:lang w:eastAsia="en-GB"/>
              </w:rPr>
            </w:pPr>
            <w:r w:rsidRPr="00AD65E1">
              <w:rPr>
                <w:rFonts w:asciiTheme="minorHAnsi" w:eastAsia="Times New Roman" w:hAnsiTheme="minorHAnsi" w:cs="Arial"/>
                <w:b/>
                <w:bCs/>
                <w:lang w:eastAsia="en-GB"/>
              </w:rPr>
              <w:t>Total</w:t>
            </w:r>
          </w:p>
        </w:tc>
        <w:tc>
          <w:tcPr>
            <w:tcW w:w="2694" w:type="dxa"/>
            <w:tcBorders>
              <w:top w:val="single" w:sz="4" w:space="0" w:color="auto"/>
              <w:left w:val="nil"/>
              <w:bottom w:val="single" w:sz="4" w:space="0" w:color="auto"/>
              <w:right w:val="single" w:sz="4" w:space="0" w:color="auto"/>
            </w:tcBorders>
            <w:shd w:val="clear" w:color="000000" w:fill="BFBFBF"/>
            <w:noWrap/>
            <w:vAlign w:val="bottom"/>
            <w:hideMark/>
          </w:tcPr>
          <w:p w14:paraId="3FC80244" w14:textId="0FB1E72F" w:rsidR="00AD65E1" w:rsidRPr="00AD65E1" w:rsidRDefault="00FE188B" w:rsidP="004A01E5">
            <w:pPr>
              <w:ind w:left="0" w:firstLine="0"/>
              <w:rPr>
                <w:rFonts w:asciiTheme="minorHAnsi" w:eastAsia="Times New Roman" w:hAnsiTheme="minorHAnsi" w:cs="Arial"/>
                <w:b/>
                <w:bCs/>
                <w:lang w:eastAsia="en-GB"/>
              </w:rPr>
            </w:pPr>
            <w:r w:rsidRPr="00AD65E1">
              <w:rPr>
                <w:rFonts w:asciiTheme="minorHAnsi" w:eastAsia="Times New Roman" w:hAnsiTheme="minorHAnsi" w:cs="Arial"/>
                <w:b/>
                <w:bCs/>
                <w:lang w:eastAsia="en-GB"/>
              </w:rPr>
              <w:t>2</w:t>
            </w:r>
            <w:r>
              <w:rPr>
                <w:rFonts w:asciiTheme="minorHAnsi" w:eastAsia="Times New Roman" w:hAnsiTheme="minorHAnsi" w:cs="Arial"/>
                <w:b/>
                <w:bCs/>
                <w:lang w:eastAsia="en-GB"/>
              </w:rPr>
              <w:t>2.5</w:t>
            </w:r>
            <w:r w:rsidRPr="00AD65E1">
              <w:rPr>
                <w:rFonts w:asciiTheme="minorHAnsi" w:eastAsia="Times New Roman" w:hAnsiTheme="minorHAnsi" w:cs="Arial"/>
                <w:b/>
                <w:bCs/>
                <w:lang w:eastAsia="en-GB"/>
              </w:rPr>
              <w:t xml:space="preserve"> </w:t>
            </w:r>
            <w:r w:rsidR="00AD65E1" w:rsidRPr="00AD65E1">
              <w:rPr>
                <w:rFonts w:asciiTheme="minorHAnsi" w:eastAsia="Times New Roman" w:hAnsiTheme="minorHAnsi" w:cs="Arial"/>
                <w:b/>
                <w:bCs/>
                <w:lang w:eastAsia="en-GB"/>
              </w:rPr>
              <w:t>staff</w:t>
            </w:r>
          </w:p>
        </w:tc>
      </w:tr>
    </w:tbl>
    <w:p w14:paraId="180FEAB9" w14:textId="77777777" w:rsidR="00AD65E1" w:rsidRPr="00AD65E1" w:rsidRDefault="00AD65E1" w:rsidP="00AD65E1">
      <w:pPr>
        <w:pStyle w:val="MGfulltext"/>
        <w:spacing w:after="0"/>
        <w:ind w:left="567" w:hanging="567"/>
        <w:rPr>
          <w:rFonts w:asciiTheme="minorHAnsi" w:eastAsia="Batang" w:hAnsiTheme="minorHAnsi" w:cs="Times New Roman"/>
          <w:b/>
          <w:sz w:val="22"/>
          <w:szCs w:val="22"/>
        </w:rPr>
      </w:pPr>
      <w:r w:rsidRPr="00AD65E1">
        <w:rPr>
          <w:rFonts w:asciiTheme="minorHAnsi" w:hAnsiTheme="minorHAnsi"/>
          <w:sz w:val="22"/>
          <w:szCs w:val="22"/>
          <w:lang w:eastAsia="en-GB"/>
        </w:rPr>
        <w:t>Note: Levels as per IUCN HR policy and guidelines on position classification.</w:t>
      </w:r>
    </w:p>
    <w:p w14:paraId="35AC8B28" w14:textId="53BBBAE3" w:rsidR="00AD65E1" w:rsidRPr="00AD65E1" w:rsidRDefault="00AD65E1" w:rsidP="00AD65E1">
      <w:pPr>
        <w:ind w:left="0" w:firstLine="0"/>
        <w:rPr>
          <w:rFonts w:asciiTheme="minorHAnsi" w:eastAsia="Times New Roman" w:hAnsiTheme="minorHAnsi" w:cs="Arial"/>
          <w:lang w:eastAsia="en-GB"/>
        </w:rPr>
      </w:pPr>
      <w:r w:rsidRPr="00AD65E1">
        <w:rPr>
          <w:rFonts w:asciiTheme="minorHAnsi" w:eastAsia="Times New Roman" w:hAnsiTheme="minorHAnsi" w:cs="Arial"/>
          <w:lang w:eastAsia="en-GB"/>
        </w:rPr>
        <w:t xml:space="preserve">S = Secretary General; </w:t>
      </w:r>
      <w:r w:rsidR="00E57D9D">
        <w:rPr>
          <w:rFonts w:asciiTheme="minorHAnsi" w:eastAsia="Times New Roman" w:hAnsiTheme="minorHAnsi" w:cs="Arial"/>
          <w:lang w:eastAsia="en-GB"/>
        </w:rPr>
        <w:t xml:space="preserve">D and </w:t>
      </w:r>
      <w:r w:rsidRPr="00AD65E1">
        <w:rPr>
          <w:rFonts w:asciiTheme="minorHAnsi" w:eastAsia="Times New Roman" w:hAnsiTheme="minorHAnsi" w:cs="Arial"/>
          <w:lang w:eastAsia="en-GB"/>
        </w:rPr>
        <w:t>M1-M2 = management positions;</w:t>
      </w:r>
      <w:r>
        <w:rPr>
          <w:rFonts w:asciiTheme="minorHAnsi" w:eastAsia="Times New Roman" w:hAnsiTheme="minorHAnsi" w:cs="Arial"/>
          <w:lang w:eastAsia="en-GB"/>
        </w:rPr>
        <w:t xml:space="preserve"> </w:t>
      </w:r>
      <w:r w:rsidRPr="00AD65E1">
        <w:rPr>
          <w:rFonts w:asciiTheme="minorHAnsi" w:eastAsia="Times New Roman" w:hAnsiTheme="minorHAnsi" w:cs="Arial"/>
          <w:lang w:eastAsia="en-GB"/>
        </w:rPr>
        <w:t xml:space="preserve">P1-P2 = professional positions; </w:t>
      </w:r>
      <w:r w:rsidR="00DA6C88">
        <w:rPr>
          <w:rFonts w:asciiTheme="minorHAnsi" w:eastAsia="Times New Roman" w:hAnsiTheme="minorHAnsi" w:cs="Arial"/>
          <w:lang w:eastAsia="en-GB"/>
        </w:rPr>
        <w:br/>
      </w:r>
      <w:r w:rsidRPr="00AD65E1">
        <w:rPr>
          <w:rFonts w:asciiTheme="minorHAnsi" w:eastAsia="Times New Roman" w:hAnsiTheme="minorHAnsi" w:cs="Arial"/>
          <w:lang w:eastAsia="en-GB"/>
        </w:rPr>
        <w:t>A1-A3 = administrative support positions</w:t>
      </w:r>
      <w:r w:rsidR="00D07DDD">
        <w:rPr>
          <w:rFonts w:asciiTheme="minorHAnsi" w:eastAsia="Times New Roman" w:hAnsiTheme="minorHAnsi" w:cs="Arial"/>
          <w:lang w:eastAsia="en-GB"/>
        </w:rPr>
        <w:t xml:space="preserve">; </w:t>
      </w:r>
      <w:r w:rsidR="00DA6C88" w:rsidRPr="00DA6C88">
        <w:rPr>
          <w:rFonts w:asciiTheme="minorHAnsi" w:eastAsia="Times New Roman" w:hAnsiTheme="minorHAnsi" w:cs="Arial"/>
          <w:lang w:eastAsia="en-GB"/>
        </w:rPr>
        <w:t>J</w:t>
      </w:r>
      <w:r w:rsidR="00D07DDD" w:rsidRPr="00DA6C88">
        <w:rPr>
          <w:rFonts w:asciiTheme="minorHAnsi" w:eastAsia="Times New Roman" w:hAnsiTheme="minorHAnsi" w:cs="Arial"/>
          <w:lang w:eastAsia="en-GB"/>
        </w:rPr>
        <w:t>P</w:t>
      </w:r>
      <w:r w:rsidR="00D07DDD">
        <w:rPr>
          <w:rFonts w:asciiTheme="minorHAnsi" w:eastAsia="Times New Roman" w:hAnsiTheme="minorHAnsi" w:cs="Arial"/>
          <w:lang w:eastAsia="en-GB"/>
        </w:rPr>
        <w:t xml:space="preserve"> = </w:t>
      </w:r>
      <w:r w:rsidR="002F484A">
        <w:rPr>
          <w:rFonts w:asciiTheme="minorHAnsi" w:eastAsia="Times New Roman" w:hAnsiTheme="minorHAnsi" w:cs="Arial"/>
          <w:lang w:eastAsia="en-GB"/>
        </w:rPr>
        <w:t>junior</w:t>
      </w:r>
      <w:r w:rsidR="00D07DDD">
        <w:rPr>
          <w:rFonts w:asciiTheme="minorHAnsi" w:eastAsia="Times New Roman" w:hAnsiTheme="minorHAnsi" w:cs="Arial"/>
          <w:lang w:eastAsia="en-GB"/>
        </w:rPr>
        <w:t xml:space="preserve"> professional</w:t>
      </w:r>
      <w:r w:rsidR="003B7342">
        <w:rPr>
          <w:rFonts w:asciiTheme="minorHAnsi" w:eastAsia="Times New Roman" w:hAnsiTheme="minorHAnsi" w:cs="Arial"/>
          <w:lang w:eastAsia="en-GB"/>
        </w:rPr>
        <w:t xml:space="preserve"> position</w:t>
      </w:r>
      <w:r w:rsidR="00D07DDD">
        <w:rPr>
          <w:rFonts w:asciiTheme="minorHAnsi" w:eastAsia="Times New Roman" w:hAnsiTheme="minorHAnsi" w:cs="Arial"/>
          <w:lang w:eastAsia="en-GB"/>
        </w:rPr>
        <w:t>s</w:t>
      </w:r>
      <w:r w:rsidR="00F336F0">
        <w:rPr>
          <w:rFonts w:asciiTheme="minorHAnsi" w:eastAsia="Times New Roman" w:hAnsiTheme="minorHAnsi" w:cs="Arial"/>
          <w:lang w:eastAsia="en-GB"/>
        </w:rPr>
        <w:t>.</w:t>
      </w:r>
    </w:p>
    <w:p w14:paraId="0687EAA2" w14:textId="77777777" w:rsidR="0062284A" w:rsidRDefault="0062284A" w:rsidP="0062284A">
      <w:pPr>
        <w:tabs>
          <w:tab w:val="left" w:pos="3586"/>
        </w:tabs>
        <w:rPr>
          <w:rFonts w:asciiTheme="minorHAnsi" w:eastAsia="Times New Roman" w:hAnsiTheme="minorHAnsi" w:cs="Arial"/>
          <w:lang w:eastAsia="en-GB"/>
        </w:rPr>
      </w:pPr>
    </w:p>
    <w:p w14:paraId="3763501A" w14:textId="36FEB53D" w:rsidR="00AD65E1" w:rsidRPr="003B7342" w:rsidRDefault="00AD65E1" w:rsidP="0062284A">
      <w:pPr>
        <w:tabs>
          <w:tab w:val="left" w:pos="3586"/>
        </w:tabs>
        <w:rPr>
          <w:rFonts w:asciiTheme="minorHAnsi" w:eastAsia="Times New Roman" w:hAnsiTheme="minorHAnsi" w:cs="Arial"/>
          <w:lang w:val="en-US" w:eastAsia="en-GB"/>
        </w:rPr>
      </w:pPr>
    </w:p>
    <w:p w14:paraId="6C882A11" w14:textId="647BC3B8" w:rsidR="00B32E40" w:rsidRPr="00FB1011" w:rsidRDefault="00B32E40" w:rsidP="00B32E40">
      <w:pPr>
        <w:pStyle w:val="MGfulltext"/>
        <w:spacing w:after="0"/>
        <w:ind w:left="567" w:hanging="567"/>
        <w:rPr>
          <w:rFonts w:asciiTheme="minorHAnsi" w:eastAsia="Batang" w:hAnsiTheme="minorHAnsi" w:cs="Times New Roman"/>
          <w:b/>
          <w:sz w:val="22"/>
          <w:szCs w:val="22"/>
        </w:rPr>
      </w:pPr>
      <w:r w:rsidRPr="007236B4">
        <w:rPr>
          <w:rFonts w:asciiTheme="minorHAnsi" w:eastAsia="Batang" w:hAnsiTheme="minorHAnsi" w:cs="Times New Roman"/>
          <w:b/>
          <w:sz w:val="22"/>
          <w:szCs w:val="22"/>
        </w:rPr>
        <w:t>Non-core</w:t>
      </w:r>
      <w:r w:rsidR="00E631A8" w:rsidRPr="007236B4">
        <w:rPr>
          <w:rFonts w:asciiTheme="minorHAnsi" w:eastAsia="Batang" w:hAnsiTheme="minorHAnsi" w:cs="Times New Roman"/>
          <w:b/>
          <w:sz w:val="22"/>
          <w:szCs w:val="22"/>
        </w:rPr>
        <w:t xml:space="preserve"> funds to be raised</w:t>
      </w:r>
    </w:p>
    <w:p w14:paraId="3EC2C4CA" w14:textId="77777777" w:rsidR="00B32E40" w:rsidRDefault="00B32E40" w:rsidP="00B32E40">
      <w:pPr>
        <w:pStyle w:val="MGfulltext"/>
        <w:spacing w:after="0"/>
        <w:rPr>
          <w:rFonts w:asciiTheme="minorHAnsi" w:eastAsia="Batang" w:hAnsiTheme="minorHAnsi" w:cs="Times New Roman"/>
          <w:sz w:val="22"/>
          <w:szCs w:val="22"/>
        </w:rPr>
      </w:pPr>
    </w:p>
    <w:p w14:paraId="5104418A" w14:textId="7B104C85" w:rsidR="007A653C" w:rsidRPr="00951D88" w:rsidRDefault="0074102A" w:rsidP="00951D88">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9</w:t>
      </w:r>
      <w:r w:rsidR="00951D88">
        <w:rPr>
          <w:rFonts w:asciiTheme="minorHAnsi" w:eastAsia="Batang" w:hAnsiTheme="minorHAnsi" w:cs="Times New Roman"/>
          <w:sz w:val="22"/>
          <w:szCs w:val="22"/>
        </w:rPr>
        <w:t>.</w:t>
      </w:r>
      <w:r w:rsidR="00951D88">
        <w:rPr>
          <w:rFonts w:asciiTheme="minorHAnsi" w:eastAsia="Batang" w:hAnsiTheme="minorHAnsi" w:cs="Times New Roman"/>
          <w:sz w:val="22"/>
          <w:szCs w:val="22"/>
        </w:rPr>
        <w:tab/>
      </w:r>
      <w:r w:rsidR="007236B4" w:rsidRPr="00951D88">
        <w:rPr>
          <w:rFonts w:asciiTheme="minorHAnsi" w:eastAsia="Batang" w:hAnsiTheme="minorHAnsi" w:cs="Times New Roman"/>
          <w:sz w:val="22"/>
          <w:szCs w:val="22"/>
        </w:rPr>
        <w:t xml:space="preserve">In addition to the core budget, non-core funding priorities </w:t>
      </w:r>
      <w:r w:rsidR="007A653C" w:rsidRPr="00951D88">
        <w:rPr>
          <w:rFonts w:asciiTheme="minorHAnsi" w:eastAsia="Batang" w:hAnsiTheme="minorHAnsi" w:cs="Times New Roman"/>
          <w:sz w:val="22"/>
          <w:szCs w:val="22"/>
        </w:rPr>
        <w:t xml:space="preserve">for the Secretariat are decided by the Conference of the </w:t>
      </w:r>
      <w:r w:rsidR="00EB3CA7">
        <w:rPr>
          <w:rFonts w:asciiTheme="minorHAnsi" w:eastAsia="Batang" w:hAnsiTheme="minorHAnsi" w:cs="Times New Roman"/>
          <w:sz w:val="22"/>
          <w:szCs w:val="22"/>
        </w:rPr>
        <w:t xml:space="preserve">Contracting </w:t>
      </w:r>
      <w:r w:rsidR="007A653C" w:rsidRPr="00951D88">
        <w:rPr>
          <w:rFonts w:asciiTheme="minorHAnsi" w:eastAsia="Batang" w:hAnsiTheme="minorHAnsi" w:cs="Times New Roman"/>
          <w:sz w:val="22"/>
          <w:szCs w:val="22"/>
        </w:rPr>
        <w:t>Parties. These include core areas of the Secretariat’s work and priorities identified in the Resolutions adopted by the Conference of the Parties.</w:t>
      </w:r>
    </w:p>
    <w:p w14:paraId="2B5321E7" w14:textId="77777777" w:rsidR="00B32E40" w:rsidRPr="00FB1011" w:rsidRDefault="00B32E40" w:rsidP="00B32E40">
      <w:pPr>
        <w:pStyle w:val="ListParagraph"/>
        <w:ind w:left="567"/>
        <w:rPr>
          <w:rFonts w:asciiTheme="minorHAnsi" w:hAnsiTheme="minorHAnsi"/>
        </w:rPr>
      </w:pPr>
    </w:p>
    <w:p w14:paraId="2F485B6F" w14:textId="77777777" w:rsidR="00B32E40" w:rsidRPr="00FB1011" w:rsidRDefault="00B32E40" w:rsidP="00B32E40">
      <w:pPr>
        <w:ind w:left="540" w:hanging="540"/>
        <w:rPr>
          <w:rFonts w:asciiTheme="minorHAnsi" w:hAnsiTheme="minorHAnsi"/>
          <w:b/>
        </w:rPr>
      </w:pPr>
      <w:r w:rsidRPr="00FB1011">
        <w:rPr>
          <w:rFonts w:asciiTheme="minorHAnsi" w:hAnsiTheme="minorHAnsi"/>
          <w:b/>
        </w:rPr>
        <w:t xml:space="preserve">Draft </w:t>
      </w:r>
      <w:r w:rsidR="009F1E3B">
        <w:rPr>
          <w:rFonts w:asciiTheme="minorHAnsi" w:hAnsiTheme="minorHAnsi"/>
          <w:b/>
        </w:rPr>
        <w:t>r</w:t>
      </w:r>
      <w:r w:rsidRPr="00FB1011">
        <w:rPr>
          <w:rFonts w:asciiTheme="minorHAnsi" w:hAnsiTheme="minorHAnsi"/>
          <w:b/>
        </w:rPr>
        <w:t>esolution on financial and budgetary matters</w:t>
      </w:r>
    </w:p>
    <w:p w14:paraId="05E873DD" w14:textId="77777777" w:rsidR="00B32E40" w:rsidRPr="00FB1011" w:rsidRDefault="00B32E40" w:rsidP="00B32E40">
      <w:pPr>
        <w:rPr>
          <w:rFonts w:asciiTheme="minorHAnsi" w:hAnsiTheme="minorHAnsi"/>
          <w:b/>
        </w:rPr>
      </w:pPr>
    </w:p>
    <w:p w14:paraId="62451A8E" w14:textId="42B606B6" w:rsidR="00396932" w:rsidRDefault="0074102A" w:rsidP="00EB3CA7">
      <w:pPr>
        <w:pStyle w:val="MGfulltext"/>
        <w:spacing w:after="0"/>
        <w:ind w:left="425" w:hanging="425"/>
        <w:rPr>
          <w:rFonts w:asciiTheme="minorHAnsi" w:eastAsia="Batang" w:hAnsiTheme="minorHAnsi" w:cs="Times New Roman"/>
          <w:sz w:val="22"/>
          <w:szCs w:val="22"/>
        </w:rPr>
      </w:pPr>
      <w:r>
        <w:rPr>
          <w:rFonts w:asciiTheme="minorHAnsi" w:eastAsia="Batang" w:hAnsiTheme="minorHAnsi" w:cs="Times New Roman"/>
          <w:sz w:val="22"/>
          <w:szCs w:val="22"/>
        </w:rPr>
        <w:t>10</w:t>
      </w:r>
      <w:r w:rsidR="00951D88">
        <w:rPr>
          <w:rFonts w:asciiTheme="minorHAnsi" w:eastAsia="Batang" w:hAnsiTheme="minorHAnsi" w:cs="Times New Roman"/>
          <w:sz w:val="22"/>
          <w:szCs w:val="22"/>
        </w:rPr>
        <w:t>.</w:t>
      </w:r>
      <w:r w:rsidR="00951D88">
        <w:rPr>
          <w:rFonts w:asciiTheme="minorHAnsi" w:eastAsia="Batang" w:hAnsiTheme="minorHAnsi" w:cs="Times New Roman"/>
          <w:sz w:val="22"/>
          <w:szCs w:val="22"/>
        </w:rPr>
        <w:tab/>
      </w:r>
      <w:r w:rsidR="00B32E40" w:rsidRPr="00951D88">
        <w:rPr>
          <w:rFonts w:asciiTheme="minorHAnsi" w:eastAsia="Batang" w:hAnsiTheme="minorHAnsi" w:cs="Times New Roman"/>
          <w:sz w:val="22"/>
          <w:szCs w:val="22"/>
        </w:rPr>
        <w:t xml:space="preserve">The </w:t>
      </w:r>
      <w:r w:rsidR="009F1E3B" w:rsidRPr="00951D88">
        <w:rPr>
          <w:rFonts w:asciiTheme="minorHAnsi" w:eastAsia="Batang" w:hAnsiTheme="minorHAnsi" w:cs="Times New Roman"/>
          <w:sz w:val="22"/>
          <w:szCs w:val="22"/>
        </w:rPr>
        <w:t>d</w:t>
      </w:r>
      <w:r w:rsidR="00B32E40" w:rsidRPr="00951D88">
        <w:rPr>
          <w:rFonts w:asciiTheme="minorHAnsi" w:eastAsia="Batang" w:hAnsiTheme="minorHAnsi" w:cs="Times New Roman"/>
          <w:sz w:val="22"/>
          <w:szCs w:val="22"/>
        </w:rPr>
        <w:t xml:space="preserve">raft </w:t>
      </w:r>
      <w:r w:rsidR="009F1E3B" w:rsidRPr="00951D88">
        <w:rPr>
          <w:rFonts w:asciiTheme="minorHAnsi" w:eastAsia="Batang" w:hAnsiTheme="minorHAnsi" w:cs="Times New Roman"/>
          <w:sz w:val="22"/>
          <w:szCs w:val="22"/>
        </w:rPr>
        <w:t>r</w:t>
      </w:r>
      <w:r w:rsidR="00B32E40" w:rsidRPr="00951D88">
        <w:rPr>
          <w:rFonts w:asciiTheme="minorHAnsi" w:eastAsia="Batang" w:hAnsiTheme="minorHAnsi" w:cs="Times New Roman"/>
          <w:sz w:val="22"/>
          <w:szCs w:val="22"/>
        </w:rPr>
        <w:t xml:space="preserve">esolution for </w:t>
      </w:r>
      <w:r w:rsidR="00E57D9D" w:rsidRPr="00951D88">
        <w:rPr>
          <w:rFonts w:asciiTheme="minorHAnsi" w:eastAsia="Batang" w:hAnsiTheme="minorHAnsi" w:cs="Times New Roman"/>
          <w:sz w:val="22"/>
          <w:szCs w:val="22"/>
        </w:rPr>
        <w:t>COP1</w:t>
      </w:r>
      <w:r w:rsidR="00E57D9D">
        <w:rPr>
          <w:rFonts w:asciiTheme="minorHAnsi" w:eastAsia="Batang" w:hAnsiTheme="minorHAnsi" w:cs="Times New Roman"/>
          <w:sz w:val="22"/>
          <w:szCs w:val="22"/>
        </w:rPr>
        <w:t>4</w:t>
      </w:r>
      <w:r w:rsidR="00E57D9D" w:rsidRPr="00951D88">
        <w:rPr>
          <w:rFonts w:asciiTheme="minorHAnsi" w:eastAsia="Batang" w:hAnsiTheme="minorHAnsi" w:cs="Times New Roman"/>
          <w:sz w:val="22"/>
          <w:szCs w:val="22"/>
        </w:rPr>
        <w:t xml:space="preserve"> </w:t>
      </w:r>
      <w:r w:rsidR="00B32E40" w:rsidRPr="00951D88">
        <w:rPr>
          <w:rFonts w:asciiTheme="minorHAnsi" w:eastAsia="Batang" w:hAnsiTheme="minorHAnsi" w:cs="Times New Roman"/>
          <w:sz w:val="22"/>
          <w:szCs w:val="22"/>
        </w:rPr>
        <w:t xml:space="preserve">on financial and budgetary matters is </w:t>
      </w:r>
      <w:r w:rsidR="00BF11F9">
        <w:rPr>
          <w:rFonts w:asciiTheme="minorHAnsi" w:eastAsia="Batang" w:hAnsiTheme="minorHAnsi" w:cs="Times New Roman"/>
          <w:sz w:val="22"/>
          <w:szCs w:val="22"/>
        </w:rPr>
        <w:t>presented below</w:t>
      </w:r>
      <w:r w:rsidR="0079408E" w:rsidRPr="00951D88">
        <w:rPr>
          <w:rFonts w:asciiTheme="minorHAnsi" w:eastAsia="Batang" w:hAnsiTheme="minorHAnsi" w:cs="Times New Roman"/>
          <w:sz w:val="22"/>
          <w:szCs w:val="22"/>
        </w:rPr>
        <w:t>.</w:t>
      </w:r>
      <w:r w:rsidR="00B32E40" w:rsidRPr="00951D88">
        <w:rPr>
          <w:rFonts w:asciiTheme="minorHAnsi" w:eastAsia="Batang" w:hAnsiTheme="minorHAnsi" w:cs="Times New Roman"/>
          <w:sz w:val="22"/>
          <w:szCs w:val="22"/>
        </w:rPr>
        <w:t xml:space="preserve"> </w:t>
      </w:r>
    </w:p>
    <w:p w14:paraId="5CB6109C" w14:textId="4C47318F" w:rsidR="00E76632" w:rsidRDefault="00B32E40" w:rsidP="00396932">
      <w:pPr>
        <w:pStyle w:val="MGfulltext"/>
        <w:spacing w:after="0"/>
        <w:rPr>
          <w:rFonts w:asciiTheme="minorHAnsi" w:hAnsiTheme="minorHAnsi"/>
        </w:rPr>
      </w:pPr>
      <w:r w:rsidRPr="00A43C3B">
        <w:rPr>
          <w:rFonts w:asciiTheme="minorHAnsi" w:hAnsiTheme="minorHAnsi"/>
        </w:rPr>
        <w:br w:type="page"/>
      </w:r>
      <w:bookmarkStart w:id="0" w:name="OLE_LINK3"/>
    </w:p>
    <w:p w14:paraId="56F32EDA" w14:textId="524B2BD4" w:rsidR="00B32E40" w:rsidRPr="00E76632" w:rsidRDefault="00B32E40" w:rsidP="00B32E40">
      <w:pPr>
        <w:ind w:left="540" w:hanging="540"/>
        <w:rPr>
          <w:rFonts w:asciiTheme="minorHAnsi" w:hAnsiTheme="minorHAnsi"/>
          <w:b/>
          <w:sz w:val="24"/>
          <w:szCs w:val="24"/>
        </w:rPr>
      </w:pPr>
      <w:r w:rsidRPr="00E76632">
        <w:rPr>
          <w:rFonts w:asciiTheme="minorHAnsi" w:hAnsiTheme="minorHAnsi"/>
          <w:b/>
          <w:sz w:val="24"/>
          <w:szCs w:val="24"/>
        </w:rPr>
        <w:lastRenderedPageBreak/>
        <w:t>Draft Resolution 1</w:t>
      </w:r>
      <w:r w:rsidR="001E12A2" w:rsidRPr="00E76632">
        <w:rPr>
          <w:rFonts w:asciiTheme="minorHAnsi" w:hAnsiTheme="minorHAnsi"/>
          <w:b/>
          <w:sz w:val="24"/>
          <w:szCs w:val="24"/>
        </w:rPr>
        <w:t>4</w:t>
      </w:r>
      <w:r w:rsidRPr="00E76632">
        <w:rPr>
          <w:rFonts w:asciiTheme="minorHAnsi" w:hAnsiTheme="minorHAnsi"/>
          <w:b/>
          <w:sz w:val="24"/>
          <w:szCs w:val="24"/>
        </w:rPr>
        <w:t>.xx</w:t>
      </w:r>
    </w:p>
    <w:bookmarkEnd w:id="0"/>
    <w:p w14:paraId="60062E3A" w14:textId="70924434" w:rsidR="00B32E40" w:rsidRPr="00E76632" w:rsidRDefault="00B32E40" w:rsidP="00E76632">
      <w:pPr>
        <w:ind w:left="0" w:firstLine="0"/>
        <w:rPr>
          <w:rFonts w:asciiTheme="minorHAnsi" w:hAnsiTheme="minorHAnsi"/>
          <w:b/>
          <w:sz w:val="24"/>
          <w:szCs w:val="24"/>
        </w:rPr>
      </w:pPr>
      <w:r w:rsidRPr="00E76632">
        <w:rPr>
          <w:rFonts w:asciiTheme="minorHAnsi" w:hAnsiTheme="minorHAnsi"/>
          <w:b/>
          <w:sz w:val="24"/>
          <w:szCs w:val="24"/>
        </w:rPr>
        <w:t>Financial and budgetary matters</w:t>
      </w:r>
    </w:p>
    <w:p w14:paraId="25EE3484" w14:textId="77777777" w:rsidR="00A81CC0" w:rsidRPr="00A43C3B" w:rsidRDefault="00A81CC0" w:rsidP="00A81CC0">
      <w:pPr>
        <w:rPr>
          <w:rFonts w:asciiTheme="minorHAnsi" w:hAnsiTheme="minorHAnsi"/>
          <w:b/>
        </w:rPr>
      </w:pPr>
    </w:p>
    <w:p w14:paraId="3E616B1E" w14:textId="77777777" w:rsidR="00A81CC0" w:rsidRPr="0090568C" w:rsidRDefault="00A81CC0" w:rsidP="00A81CC0">
      <w:pPr>
        <w:pStyle w:val="ListParagraph"/>
        <w:numPr>
          <w:ilvl w:val="0"/>
          <w:numId w:val="37"/>
        </w:numPr>
        <w:ind w:left="425" w:hanging="425"/>
        <w:rPr>
          <w:rFonts w:asciiTheme="minorHAnsi" w:hAnsiTheme="minorHAnsi"/>
        </w:rPr>
      </w:pPr>
      <w:r w:rsidRPr="0090568C">
        <w:rPr>
          <w:rFonts w:asciiTheme="minorHAnsi" w:hAnsiTheme="minorHAnsi"/>
        </w:rPr>
        <w:t>RECALLING the budgetary provisions established by paragraphs 5 and 6 of Article 6 of the Convention;</w:t>
      </w:r>
    </w:p>
    <w:p w14:paraId="3A573C75" w14:textId="77777777" w:rsidR="00A81CC0" w:rsidRPr="0090568C" w:rsidRDefault="00A81CC0" w:rsidP="00A81CC0">
      <w:pPr>
        <w:pStyle w:val="ListParagraph"/>
        <w:ind w:left="425"/>
        <w:rPr>
          <w:rFonts w:asciiTheme="minorHAnsi" w:hAnsiTheme="minorHAnsi"/>
        </w:rPr>
      </w:pPr>
    </w:p>
    <w:p w14:paraId="3FB7372F" w14:textId="3A1EBF93" w:rsidR="00A81CC0" w:rsidRDefault="00A81CC0" w:rsidP="00A81CC0">
      <w:pPr>
        <w:rPr>
          <w:rFonts w:asciiTheme="minorHAnsi" w:hAnsiTheme="minorHAnsi"/>
        </w:rPr>
      </w:pPr>
      <w:r>
        <w:rPr>
          <w:rFonts w:asciiTheme="minorHAnsi" w:hAnsiTheme="minorHAnsi"/>
        </w:rPr>
        <w:t>2.</w:t>
      </w:r>
      <w:r>
        <w:rPr>
          <w:rFonts w:asciiTheme="minorHAnsi" w:hAnsiTheme="minorHAnsi"/>
        </w:rPr>
        <w:tab/>
      </w:r>
      <w:r w:rsidRPr="00835346">
        <w:rPr>
          <w:rFonts w:asciiTheme="minorHAnsi" w:hAnsiTheme="minorHAnsi"/>
        </w:rPr>
        <w:t xml:space="preserve">RECALLING </w:t>
      </w:r>
      <w:r w:rsidRPr="005C2ADF">
        <w:rPr>
          <w:rFonts w:asciiTheme="minorHAnsi" w:hAnsiTheme="minorHAnsi"/>
        </w:rPr>
        <w:t xml:space="preserve">Resolution XII.7 on </w:t>
      </w:r>
      <w:r w:rsidRPr="005C2ADF">
        <w:rPr>
          <w:rFonts w:asciiTheme="minorHAnsi" w:hAnsiTheme="minorHAnsi"/>
          <w:i/>
        </w:rPr>
        <w:t>Resource mobilization and partnership framework of the Ramsar Convention</w:t>
      </w:r>
      <w:r w:rsidRPr="00F353E8">
        <w:rPr>
          <w:rFonts w:asciiTheme="minorHAnsi" w:hAnsiTheme="minorHAnsi"/>
          <w:i/>
        </w:rPr>
        <w:t xml:space="preserve"> </w:t>
      </w:r>
      <w:r w:rsidRPr="00F353E8">
        <w:rPr>
          <w:rFonts w:asciiTheme="minorHAnsi" w:hAnsiTheme="minorHAnsi"/>
        </w:rPr>
        <w:t xml:space="preserve">and the related provisions of </w:t>
      </w:r>
      <w:r w:rsidRPr="00F353E8">
        <w:t xml:space="preserve">Resolution XIII.2 on </w:t>
      </w:r>
      <w:r w:rsidRPr="00E8761D">
        <w:rPr>
          <w:i/>
        </w:rPr>
        <w:t>Financial and budgetary matters</w:t>
      </w:r>
      <w:r w:rsidR="005C2ADF">
        <w:rPr>
          <w:i/>
        </w:rPr>
        <w:t xml:space="preserve"> </w:t>
      </w:r>
      <w:r w:rsidR="005C2ADF" w:rsidRPr="005C2ADF">
        <w:t>and Resolution ExCOP3.2</w:t>
      </w:r>
      <w:r w:rsidR="005C2ADF" w:rsidRPr="005C2ADF">
        <w:rPr>
          <w:i/>
        </w:rPr>
        <w:t xml:space="preserve"> </w:t>
      </w:r>
      <w:r w:rsidR="005C2ADF" w:rsidRPr="00586541">
        <w:t>on</w:t>
      </w:r>
      <w:r w:rsidR="005C2ADF" w:rsidRPr="005C2ADF">
        <w:rPr>
          <w:i/>
        </w:rPr>
        <w:t xml:space="preserve"> Financial and budgetary matters: 2022 core budget</w:t>
      </w:r>
      <w:r w:rsidRPr="00835346">
        <w:rPr>
          <w:rFonts w:asciiTheme="minorHAnsi" w:hAnsiTheme="minorHAnsi"/>
        </w:rPr>
        <w:t>;</w:t>
      </w:r>
      <w:r>
        <w:rPr>
          <w:rFonts w:asciiTheme="minorHAnsi" w:hAnsiTheme="minorHAnsi"/>
        </w:rPr>
        <w:t xml:space="preserve"> </w:t>
      </w:r>
    </w:p>
    <w:p w14:paraId="66F67D47" w14:textId="77777777" w:rsidR="005C2ADF" w:rsidRPr="001D42CA" w:rsidRDefault="005C2ADF" w:rsidP="00A81CC0">
      <w:pPr>
        <w:rPr>
          <w:rFonts w:asciiTheme="minorHAnsi" w:hAnsiTheme="minorHAnsi"/>
        </w:rPr>
      </w:pPr>
    </w:p>
    <w:p w14:paraId="39FBB711" w14:textId="471EE36A" w:rsidR="00A81CC0" w:rsidRPr="001D42CA" w:rsidRDefault="00A81CC0" w:rsidP="00A81CC0">
      <w:pPr>
        <w:rPr>
          <w:rFonts w:asciiTheme="minorHAnsi" w:hAnsiTheme="minorHAnsi"/>
        </w:rPr>
      </w:pPr>
      <w:r>
        <w:rPr>
          <w:rFonts w:asciiTheme="minorHAnsi" w:hAnsiTheme="minorHAnsi"/>
        </w:rPr>
        <w:t>3</w:t>
      </w:r>
      <w:r w:rsidRPr="001D42CA">
        <w:rPr>
          <w:rFonts w:asciiTheme="minorHAnsi" w:hAnsiTheme="minorHAnsi"/>
        </w:rPr>
        <w:t>.</w:t>
      </w:r>
      <w:r w:rsidRPr="001D42CA">
        <w:rPr>
          <w:rFonts w:asciiTheme="minorHAnsi" w:hAnsiTheme="minorHAnsi"/>
        </w:rPr>
        <w:tab/>
        <w:t>ACKNOWLEDGING WITH APPRECIATION the prompt payment by the majority of Contracting Parties of their contributions to the core budget of the Convention</w:t>
      </w:r>
      <w:r>
        <w:rPr>
          <w:rFonts w:asciiTheme="minorHAnsi" w:hAnsiTheme="minorHAnsi"/>
        </w:rPr>
        <w:t>;</w:t>
      </w:r>
      <w:r w:rsidRPr="001D42CA">
        <w:rPr>
          <w:rFonts w:asciiTheme="minorHAnsi" w:hAnsiTheme="minorHAnsi"/>
        </w:rPr>
        <w:t xml:space="preserve"> but NOTING WITH CONCERN that a number of Parties have significant outstanding contributions (</w:t>
      </w:r>
      <w:r>
        <w:rPr>
          <w:rFonts w:asciiTheme="minorHAnsi" w:hAnsiTheme="minorHAnsi"/>
        </w:rPr>
        <w:t xml:space="preserve">see document </w:t>
      </w:r>
      <w:r w:rsidRPr="001D42CA">
        <w:t>COP1</w:t>
      </w:r>
      <w:r>
        <w:t>4</w:t>
      </w:r>
      <w:r w:rsidRPr="001D42CA">
        <w:t xml:space="preserve"> Doc.</w:t>
      </w:r>
      <w:r>
        <w:t>xx</w:t>
      </w:r>
      <w:r w:rsidR="005C2ADF">
        <w:t xml:space="preserve">, </w:t>
      </w:r>
      <w:r w:rsidR="005C2ADF" w:rsidRPr="005C2ADF">
        <w:rPr>
          <w:i/>
        </w:rPr>
        <w:t>Report on financial and budgetary matters</w:t>
      </w:r>
      <w:r w:rsidRPr="001D42CA">
        <w:rPr>
          <w:rFonts w:asciiTheme="minorHAnsi" w:hAnsiTheme="minorHAnsi"/>
        </w:rPr>
        <w:t>);</w:t>
      </w:r>
    </w:p>
    <w:p w14:paraId="08AADB53" w14:textId="77777777" w:rsidR="00A81CC0" w:rsidRPr="001D42CA" w:rsidRDefault="00A81CC0" w:rsidP="00A81CC0">
      <w:pPr>
        <w:rPr>
          <w:rFonts w:asciiTheme="minorHAnsi" w:hAnsiTheme="minorHAnsi"/>
        </w:rPr>
      </w:pPr>
    </w:p>
    <w:p w14:paraId="1DACB1F5" w14:textId="77777777" w:rsidR="00A81CC0" w:rsidRPr="001D42CA" w:rsidRDefault="00A81CC0" w:rsidP="00A81CC0">
      <w:pPr>
        <w:rPr>
          <w:rFonts w:asciiTheme="minorHAnsi" w:hAnsiTheme="minorHAnsi"/>
        </w:rPr>
      </w:pPr>
      <w:r>
        <w:rPr>
          <w:rFonts w:asciiTheme="minorHAnsi" w:hAnsiTheme="minorHAnsi"/>
        </w:rPr>
        <w:t>4</w:t>
      </w:r>
      <w:r w:rsidRPr="001D42CA">
        <w:rPr>
          <w:rFonts w:asciiTheme="minorHAnsi" w:hAnsiTheme="minorHAnsi"/>
        </w:rPr>
        <w:t>.</w:t>
      </w:r>
      <w:r w:rsidRPr="001D42CA">
        <w:rPr>
          <w:rFonts w:asciiTheme="minorHAnsi" w:hAnsiTheme="minorHAnsi"/>
        </w:rPr>
        <w:tab/>
        <w:t>NOTING WITH GRATITUDE the additional voluntary financial contributions made by many Contracting Parties</w:t>
      </w:r>
      <w:r w:rsidRPr="000F0A5B">
        <w:rPr>
          <w:rFonts w:asciiTheme="minorHAnsi" w:hAnsiTheme="minorHAnsi"/>
        </w:rPr>
        <w:t xml:space="preserve">, including those from Contracting Parties of Africa </w:t>
      </w:r>
      <w:r w:rsidRPr="000F0A5B">
        <w:t xml:space="preserve">specifically earmarked for African Regional Initiatives (in accordance with paragraph 23 of Resolution X.2 on </w:t>
      </w:r>
      <w:r w:rsidRPr="000F0A5B">
        <w:rPr>
          <w:i/>
        </w:rPr>
        <w:t>Financial and budgetary matters</w:t>
      </w:r>
      <w:r w:rsidRPr="000F0A5B">
        <w:t>)</w:t>
      </w:r>
      <w:r w:rsidRPr="000F0A5B">
        <w:rPr>
          <w:rFonts w:asciiTheme="minorHAnsi" w:hAnsiTheme="minorHAnsi"/>
        </w:rPr>
        <w:t>,</w:t>
      </w:r>
      <w:r w:rsidRPr="001D42CA">
        <w:rPr>
          <w:rFonts w:asciiTheme="minorHAnsi" w:hAnsiTheme="minorHAnsi"/>
        </w:rPr>
        <w:t xml:space="preserve"> and also the contributions made by non-governmental organizations and private companies for activities undertaken by the Secretariat;</w:t>
      </w:r>
    </w:p>
    <w:p w14:paraId="0533BD54" w14:textId="77777777" w:rsidR="00A81CC0" w:rsidRPr="001D42CA" w:rsidRDefault="00A81CC0" w:rsidP="00A81CC0">
      <w:pPr>
        <w:rPr>
          <w:rFonts w:asciiTheme="minorHAnsi" w:hAnsiTheme="minorHAnsi"/>
        </w:rPr>
      </w:pPr>
    </w:p>
    <w:p w14:paraId="2CF2F145" w14:textId="77777777" w:rsidR="00A81CC0" w:rsidRPr="001D42CA" w:rsidRDefault="00A81CC0" w:rsidP="00A81CC0">
      <w:pPr>
        <w:rPr>
          <w:rFonts w:asciiTheme="minorHAnsi" w:hAnsiTheme="minorHAnsi"/>
        </w:rPr>
      </w:pPr>
      <w:r>
        <w:rPr>
          <w:rFonts w:asciiTheme="minorHAnsi" w:hAnsiTheme="minorHAnsi"/>
        </w:rPr>
        <w:t>5</w:t>
      </w:r>
      <w:r w:rsidRPr="001D42CA">
        <w:rPr>
          <w:rFonts w:asciiTheme="minorHAnsi" w:hAnsiTheme="minorHAnsi"/>
        </w:rPr>
        <w:t>.</w:t>
      </w:r>
      <w:r w:rsidRPr="001D42CA">
        <w:rPr>
          <w:rFonts w:asciiTheme="minorHAnsi" w:hAnsiTheme="minorHAnsi"/>
        </w:rPr>
        <w:tab/>
        <w:t xml:space="preserve">RECALLING the </w:t>
      </w:r>
      <w:r w:rsidRPr="001D42CA">
        <w:rPr>
          <w:rFonts w:asciiTheme="minorHAnsi" w:hAnsiTheme="minorHAnsi"/>
          <w:i/>
        </w:rPr>
        <w:t>Delegation of Authority to the Secretary General of the Convention on Wetlands</w:t>
      </w:r>
      <w:r w:rsidRPr="001D42CA">
        <w:rPr>
          <w:rFonts w:asciiTheme="minorHAnsi" w:hAnsiTheme="minorHAnsi"/>
        </w:rPr>
        <w:t xml:space="preserve"> signed by the Director General of the International Union for Conservation of Nature (IUCN) and the Chairman of the Convention’s Standing Committee on 29 January 1993, and the </w:t>
      </w:r>
      <w:r w:rsidRPr="001D42CA">
        <w:rPr>
          <w:rFonts w:asciiTheme="minorHAnsi" w:hAnsiTheme="minorHAnsi"/>
          <w:i/>
        </w:rPr>
        <w:t>Supplementary Note to Delegation of Authority</w:t>
      </w:r>
      <w:r w:rsidRPr="001D42CA">
        <w:rPr>
          <w:rFonts w:asciiTheme="minorHAnsi" w:hAnsiTheme="minorHAnsi"/>
        </w:rPr>
        <w:t xml:space="preserve"> signed on the same date;</w:t>
      </w:r>
    </w:p>
    <w:p w14:paraId="7F1EAEEB" w14:textId="77777777" w:rsidR="00A81CC0" w:rsidRPr="001D42CA" w:rsidRDefault="00A81CC0" w:rsidP="00A81CC0">
      <w:pPr>
        <w:rPr>
          <w:rFonts w:asciiTheme="minorHAnsi" w:hAnsiTheme="minorHAnsi"/>
        </w:rPr>
      </w:pPr>
    </w:p>
    <w:p w14:paraId="572958D1" w14:textId="77777777" w:rsidR="00A81CC0" w:rsidRPr="001D42CA" w:rsidRDefault="00A81CC0" w:rsidP="00A81CC0">
      <w:pPr>
        <w:rPr>
          <w:rFonts w:asciiTheme="minorHAnsi" w:hAnsiTheme="minorHAnsi"/>
        </w:rPr>
      </w:pPr>
      <w:r>
        <w:rPr>
          <w:rFonts w:asciiTheme="minorHAnsi" w:hAnsiTheme="minorHAnsi"/>
        </w:rPr>
        <w:t>6</w:t>
      </w:r>
      <w:r w:rsidRPr="001D42CA">
        <w:rPr>
          <w:rFonts w:asciiTheme="minorHAnsi" w:hAnsiTheme="minorHAnsi"/>
        </w:rPr>
        <w:t>.</w:t>
      </w:r>
      <w:r w:rsidRPr="001D42CA">
        <w:rPr>
          <w:rFonts w:asciiTheme="minorHAnsi" w:hAnsiTheme="minorHAnsi"/>
        </w:rPr>
        <w:tab/>
        <w:t>ACKNOWLEDGING WITH APPRECIATION the financial and administrative services provided to the Secretariat by IUCN, underpinned by the Services Agreement between Ramsar and IUCN revised in 2009;</w:t>
      </w:r>
    </w:p>
    <w:p w14:paraId="6841360C" w14:textId="77777777" w:rsidR="00A81CC0" w:rsidRPr="001D42CA" w:rsidRDefault="00A81CC0" w:rsidP="00A81CC0">
      <w:pPr>
        <w:pStyle w:val="ListParagraph"/>
        <w:ind w:left="425"/>
        <w:rPr>
          <w:rFonts w:asciiTheme="minorHAnsi" w:hAnsiTheme="minorHAnsi"/>
        </w:rPr>
      </w:pPr>
    </w:p>
    <w:p w14:paraId="28C34852" w14:textId="3697B360" w:rsidR="00A81CC0" w:rsidRDefault="00A81CC0" w:rsidP="00A81CC0">
      <w:pPr>
        <w:rPr>
          <w:rFonts w:asciiTheme="minorHAnsi" w:hAnsiTheme="minorHAnsi"/>
        </w:rPr>
      </w:pPr>
      <w:r>
        <w:rPr>
          <w:rFonts w:asciiTheme="minorHAnsi" w:hAnsiTheme="minorHAnsi"/>
        </w:rPr>
        <w:t>7</w:t>
      </w:r>
      <w:r w:rsidRPr="001D42CA">
        <w:rPr>
          <w:rFonts w:asciiTheme="minorHAnsi" w:hAnsiTheme="minorHAnsi"/>
        </w:rPr>
        <w:t>.</w:t>
      </w:r>
      <w:r w:rsidRPr="001D42CA">
        <w:rPr>
          <w:rFonts w:asciiTheme="minorHAnsi" w:hAnsiTheme="minorHAnsi"/>
        </w:rPr>
        <w:tab/>
        <w:t xml:space="preserve">NOTING that Contracting Parties have been kept informed of the financial situation of the Secretariat through the audited annual financial statements for the years from </w:t>
      </w:r>
      <w:r>
        <w:rPr>
          <w:rFonts w:asciiTheme="minorHAnsi" w:hAnsiTheme="minorHAnsi"/>
        </w:rPr>
        <w:t>2018 to 2021</w:t>
      </w:r>
      <w:r w:rsidRPr="001D42CA">
        <w:rPr>
          <w:rFonts w:asciiTheme="minorHAnsi" w:hAnsiTheme="minorHAnsi"/>
        </w:rPr>
        <w:t xml:space="preserve"> and the reports of the Standing Committee meetings from </w:t>
      </w:r>
      <w:r>
        <w:rPr>
          <w:rFonts w:asciiTheme="minorHAnsi" w:hAnsiTheme="minorHAnsi"/>
        </w:rPr>
        <w:t xml:space="preserve">2019 to </w:t>
      </w:r>
      <w:r w:rsidR="00183021">
        <w:rPr>
          <w:rFonts w:asciiTheme="minorHAnsi" w:hAnsiTheme="minorHAnsi"/>
        </w:rPr>
        <w:t>2022</w:t>
      </w:r>
      <w:r w:rsidRPr="001D42CA">
        <w:rPr>
          <w:rFonts w:asciiTheme="minorHAnsi" w:hAnsiTheme="minorHAnsi"/>
        </w:rPr>
        <w:t xml:space="preserve">; </w:t>
      </w:r>
      <w:r>
        <w:rPr>
          <w:rFonts w:asciiTheme="minorHAnsi" w:hAnsiTheme="minorHAnsi"/>
        </w:rPr>
        <w:t>and</w:t>
      </w:r>
    </w:p>
    <w:p w14:paraId="66BA4316" w14:textId="77777777" w:rsidR="00A81CC0" w:rsidRDefault="00A81CC0" w:rsidP="00A81CC0">
      <w:pPr>
        <w:rPr>
          <w:rFonts w:asciiTheme="minorHAnsi" w:hAnsiTheme="minorHAnsi"/>
        </w:rPr>
      </w:pPr>
    </w:p>
    <w:p w14:paraId="12AC7FE8" w14:textId="77777777" w:rsidR="00A81CC0" w:rsidRPr="001D42CA" w:rsidRDefault="00A81CC0" w:rsidP="00A81CC0">
      <w:pPr>
        <w:rPr>
          <w:rFonts w:asciiTheme="minorHAnsi" w:hAnsiTheme="minorHAnsi"/>
        </w:rPr>
      </w:pPr>
      <w:r>
        <w:rPr>
          <w:rFonts w:asciiTheme="minorHAnsi" w:hAnsiTheme="minorHAnsi"/>
        </w:rPr>
        <w:t>8.</w:t>
      </w:r>
      <w:r>
        <w:rPr>
          <w:rFonts w:asciiTheme="minorHAnsi" w:hAnsiTheme="minorHAnsi"/>
        </w:rPr>
        <w:tab/>
        <w:t>R</w:t>
      </w:r>
      <w:r w:rsidRPr="001D42CA">
        <w:rPr>
          <w:rFonts w:asciiTheme="minorHAnsi" w:hAnsiTheme="minorHAnsi"/>
        </w:rPr>
        <w:t>ECOGNIZING the need to continue to strengthen financial partnerships with relevant international organizations and other entities, and to explore additional funding opportunities through their</w:t>
      </w:r>
      <w:r>
        <w:rPr>
          <w:rFonts w:asciiTheme="minorHAnsi" w:hAnsiTheme="minorHAnsi"/>
        </w:rPr>
        <w:t xml:space="preserve"> existing financial mechanisms;</w:t>
      </w:r>
    </w:p>
    <w:p w14:paraId="7EB3A3BF" w14:textId="77777777" w:rsidR="00A81CC0" w:rsidRPr="001D42CA" w:rsidRDefault="00A81CC0" w:rsidP="00A81CC0">
      <w:pPr>
        <w:ind w:left="426" w:hanging="426"/>
        <w:rPr>
          <w:rFonts w:asciiTheme="minorHAnsi" w:hAnsiTheme="minorHAnsi"/>
        </w:rPr>
      </w:pPr>
    </w:p>
    <w:p w14:paraId="4C9DC6A1" w14:textId="77777777" w:rsidR="00A81CC0" w:rsidRPr="001D42CA" w:rsidRDefault="00A81CC0" w:rsidP="00A81CC0">
      <w:pPr>
        <w:keepNext/>
        <w:ind w:left="426" w:hanging="426"/>
        <w:jc w:val="center"/>
        <w:rPr>
          <w:rFonts w:asciiTheme="minorHAnsi" w:hAnsiTheme="minorHAnsi"/>
        </w:rPr>
      </w:pPr>
      <w:r w:rsidRPr="001D42CA">
        <w:rPr>
          <w:rFonts w:asciiTheme="minorHAnsi" w:hAnsiTheme="minorHAnsi"/>
        </w:rPr>
        <w:t>THE CONFERENCE OF THE CONTRACTING PARTIES</w:t>
      </w:r>
    </w:p>
    <w:p w14:paraId="5BD9EC39" w14:textId="77777777" w:rsidR="00A81CC0" w:rsidRPr="001D42CA" w:rsidRDefault="00A81CC0" w:rsidP="00A81CC0">
      <w:pPr>
        <w:keepNext/>
        <w:ind w:left="567" w:hanging="567"/>
        <w:rPr>
          <w:rFonts w:asciiTheme="minorHAnsi" w:hAnsiTheme="minorHAnsi"/>
        </w:rPr>
      </w:pPr>
    </w:p>
    <w:p w14:paraId="52482976" w14:textId="77777777" w:rsidR="00A81CC0" w:rsidRPr="001D42CA" w:rsidRDefault="00A81CC0" w:rsidP="00A81CC0">
      <w:pPr>
        <w:rPr>
          <w:rFonts w:asciiTheme="minorHAnsi" w:hAnsiTheme="minorHAnsi"/>
        </w:rPr>
      </w:pPr>
      <w:r>
        <w:rPr>
          <w:rFonts w:asciiTheme="minorHAnsi" w:hAnsiTheme="minorHAnsi"/>
        </w:rPr>
        <w:t>9</w:t>
      </w:r>
      <w:r w:rsidRPr="001D42CA">
        <w:rPr>
          <w:rFonts w:asciiTheme="minorHAnsi" w:hAnsiTheme="minorHAnsi"/>
        </w:rPr>
        <w:t>.</w:t>
      </w:r>
      <w:r w:rsidRPr="001D42CA">
        <w:rPr>
          <w:rFonts w:asciiTheme="minorHAnsi" w:hAnsiTheme="minorHAnsi"/>
        </w:rPr>
        <w:tab/>
        <w:t>APPRECIATES that, since the 1</w:t>
      </w:r>
      <w:r>
        <w:rPr>
          <w:rFonts w:asciiTheme="minorHAnsi" w:hAnsiTheme="minorHAnsi"/>
        </w:rPr>
        <w:t>3</w:t>
      </w:r>
      <w:r w:rsidRPr="001D42CA">
        <w:rPr>
          <w:rFonts w:asciiTheme="minorHAnsi" w:hAnsiTheme="minorHAnsi"/>
        </w:rPr>
        <w:t xml:space="preserve">th </w:t>
      </w:r>
      <w:r>
        <w:rPr>
          <w:rFonts w:asciiTheme="minorHAnsi" w:hAnsiTheme="minorHAnsi"/>
        </w:rPr>
        <w:t>m</w:t>
      </w:r>
      <w:r w:rsidRPr="001D42CA">
        <w:rPr>
          <w:rFonts w:asciiTheme="minorHAnsi" w:hAnsiTheme="minorHAnsi"/>
        </w:rPr>
        <w:t>eeting of the Conference of the Contracting Parties (COP1</w:t>
      </w:r>
      <w:r>
        <w:rPr>
          <w:rFonts w:asciiTheme="minorHAnsi" w:hAnsiTheme="minorHAnsi"/>
        </w:rPr>
        <w:t>3</w:t>
      </w:r>
      <w:r w:rsidRPr="001D42CA">
        <w:rPr>
          <w:rFonts w:asciiTheme="minorHAnsi" w:hAnsiTheme="minorHAnsi"/>
        </w:rPr>
        <w:t>)</w:t>
      </w:r>
      <w:r>
        <w:rPr>
          <w:rFonts w:asciiTheme="minorHAnsi" w:hAnsiTheme="minorHAnsi"/>
        </w:rPr>
        <w:t>,</w:t>
      </w:r>
      <w:r w:rsidRPr="001D42CA">
        <w:rPr>
          <w:rFonts w:asciiTheme="minorHAnsi" w:hAnsiTheme="minorHAnsi"/>
        </w:rPr>
        <w:t xml:space="preserve"> in 201</w:t>
      </w:r>
      <w:r>
        <w:rPr>
          <w:rFonts w:asciiTheme="minorHAnsi" w:hAnsiTheme="minorHAnsi"/>
        </w:rPr>
        <w:t>8</w:t>
      </w:r>
      <w:r w:rsidRPr="001D42CA">
        <w:rPr>
          <w:rFonts w:asciiTheme="minorHAnsi" w:hAnsiTheme="minorHAnsi"/>
        </w:rPr>
        <w:t xml:space="preserve">, the Secretariat has </w:t>
      </w:r>
      <w:r>
        <w:rPr>
          <w:rFonts w:asciiTheme="minorHAnsi" w:hAnsiTheme="minorHAnsi"/>
        </w:rPr>
        <w:t xml:space="preserve">continued to substantially improve its management of </w:t>
      </w:r>
      <w:r w:rsidRPr="001D42CA">
        <w:rPr>
          <w:rFonts w:asciiTheme="minorHAnsi" w:hAnsiTheme="minorHAnsi"/>
        </w:rPr>
        <w:t>the Convention’s funds</w:t>
      </w:r>
      <w:r>
        <w:rPr>
          <w:rFonts w:asciiTheme="minorHAnsi" w:hAnsiTheme="minorHAnsi"/>
        </w:rPr>
        <w:t>,</w:t>
      </w:r>
      <w:r w:rsidRPr="001D42CA">
        <w:rPr>
          <w:rFonts w:asciiTheme="minorHAnsi" w:hAnsiTheme="minorHAnsi"/>
        </w:rPr>
        <w:t xml:space="preserve"> prudently, efficiently and openly;</w:t>
      </w:r>
    </w:p>
    <w:p w14:paraId="356B7D24" w14:textId="77777777" w:rsidR="00A81CC0" w:rsidRPr="001D42CA" w:rsidRDefault="00A81CC0" w:rsidP="00A81CC0">
      <w:pPr>
        <w:rPr>
          <w:rFonts w:asciiTheme="minorHAnsi" w:hAnsiTheme="minorHAnsi"/>
        </w:rPr>
      </w:pPr>
    </w:p>
    <w:p w14:paraId="77ACAFC8" w14:textId="4FC41269" w:rsidR="00A81CC0" w:rsidRPr="001D42CA" w:rsidRDefault="00A81CC0" w:rsidP="00A81CC0">
      <w:pPr>
        <w:rPr>
          <w:rFonts w:asciiTheme="minorHAnsi" w:hAnsiTheme="minorHAnsi"/>
        </w:rPr>
      </w:pPr>
      <w:r>
        <w:rPr>
          <w:rFonts w:asciiTheme="minorHAnsi" w:hAnsiTheme="minorHAnsi"/>
        </w:rPr>
        <w:t>10</w:t>
      </w:r>
      <w:r w:rsidRPr="001D42CA">
        <w:rPr>
          <w:rFonts w:asciiTheme="minorHAnsi" w:hAnsiTheme="minorHAnsi"/>
        </w:rPr>
        <w:t>.</w:t>
      </w:r>
      <w:r w:rsidRPr="001D42CA">
        <w:rPr>
          <w:rFonts w:asciiTheme="minorHAnsi" w:hAnsiTheme="minorHAnsi"/>
        </w:rPr>
        <w:tab/>
        <w:t xml:space="preserve">EXPRESSES ITS GRATITUDE to the Contracting Parties that have served in the Subgroup on Finance of the Standing Committee during the </w:t>
      </w:r>
      <w:r>
        <w:rPr>
          <w:rFonts w:asciiTheme="minorHAnsi" w:hAnsiTheme="minorHAnsi"/>
        </w:rPr>
        <w:t>2019-2021</w:t>
      </w:r>
      <w:r w:rsidRPr="00F353E8">
        <w:rPr>
          <w:rFonts w:asciiTheme="minorHAnsi" w:hAnsiTheme="minorHAnsi"/>
        </w:rPr>
        <w:t xml:space="preserve"> </w:t>
      </w:r>
      <w:r w:rsidRPr="001D42CA">
        <w:rPr>
          <w:rFonts w:asciiTheme="minorHAnsi" w:hAnsiTheme="minorHAnsi"/>
        </w:rPr>
        <w:t>triennium</w:t>
      </w:r>
      <w:r w:rsidR="00977A64">
        <w:rPr>
          <w:rFonts w:asciiTheme="minorHAnsi" w:hAnsiTheme="minorHAnsi"/>
        </w:rPr>
        <w:t xml:space="preserve"> and 2022</w:t>
      </w:r>
      <w:r w:rsidRPr="001D42CA">
        <w:rPr>
          <w:rFonts w:asciiTheme="minorHAnsi" w:hAnsiTheme="minorHAnsi"/>
        </w:rPr>
        <w:t xml:space="preserve">, and in particular to </w:t>
      </w:r>
      <w:r>
        <w:rPr>
          <w:rFonts w:asciiTheme="minorHAnsi" w:hAnsiTheme="minorHAnsi"/>
        </w:rPr>
        <w:t>Mexico</w:t>
      </w:r>
      <w:r w:rsidRPr="001D42CA">
        <w:rPr>
          <w:rFonts w:asciiTheme="minorHAnsi" w:hAnsiTheme="minorHAnsi"/>
        </w:rPr>
        <w:t>, which has acted as Chair of the Subgroup;</w:t>
      </w:r>
    </w:p>
    <w:p w14:paraId="36E08677" w14:textId="77777777" w:rsidR="00A81CC0" w:rsidRPr="001D42CA" w:rsidRDefault="00A81CC0" w:rsidP="00A81CC0">
      <w:pPr>
        <w:rPr>
          <w:rFonts w:asciiTheme="minorHAnsi" w:hAnsiTheme="minorHAnsi"/>
        </w:rPr>
      </w:pPr>
    </w:p>
    <w:p w14:paraId="5E9351FB" w14:textId="40E6466F" w:rsidR="00A81CC0" w:rsidRPr="001D42CA" w:rsidRDefault="00A81CC0" w:rsidP="00A81CC0">
      <w:pPr>
        <w:rPr>
          <w:rFonts w:asciiTheme="minorHAnsi" w:hAnsiTheme="minorHAnsi"/>
        </w:rPr>
      </w:pPr>
      <w:r w:rsidRPr="001D42CA">
        <w:rPr>
          <w:rFonts w:asciiTheme="minorHAnsi" w:hAnsiTheme="minorHAnsi"/>
        </w:rPr>
        <w:t>1</w:t>
      </w:r>
      <w:r>
        <w:rPr>
          <w:rFonts w:asciiTheme="minorHAnsi" w:hAnsiTheme="minorHAnsi"/>
        </w:rPr>
        <w:t>1</w:t>
      </w:r>
      <w:r w:rsidRPr="001D42CA">
        <w:rPr>
          <w:rFonts w:asciiTheme="minorHAnsi" w:hAnsiTheme="minorHAnsi"/>
        </w:rPr>
        <w:t>.</w:t>
      </w:r>
      <w:r w:rsidRPr="001D42CA">
        <w:rPr>
          <w:rFonts w:asciiTheme="minorHAnsi" w:hAnsiTheme="minorHAnsi"/>
        </w:rPr>
        <w:tab/>
        <w:t xml:space="preserve">DECIDES that the </w:t>
      </w:r>
      <w:r w:rsidRPr="001D42CA">
        <w:rPr>
          <w:rFonts w:asciiTheme="minorHAnsi" w:hAnsiTheme="minorHAnsi"/>
          <w:i/>
        </w:rPr>
        <w:t>Terms of Reference for the Financial Administration of the Convention</w:t>
      </w:r>
      <w:r w:rsidRPr="001D42CA">
        <w:rPr>
          <w:rFonts w:asciiTheme="minorHAnsi" w:hAnsiTheme="minorHAnsi"/>
        </w:rPr>
        <w:t xml:space="preserve"> contained in Annex 3 to Resolution 5.2</w:t>
      </w:r>
      <w:r>
        <w:rPr>
          <w:rFonts w:asciiTheme="minorHAnsi" w:hAnsiTheme="minorHAnsi"/>
        </w:rPr>
        <w:t xml:space="preserve"> on </w:t>
      </w:r>
      <w:r w:rsidRPr="009F7A19">
        <w:rPr>
          <w:rFonts w:asciiTheme="minorHAnsi" w:hAnsiTheme="minorHAnsi"/>
          <w:i/>
        </w:rPr>
        <w:t>Financial and budgetary matters</w:t>
      </w:r>
      <w:r w:rsidRPr="001D42CA">
        <w:rPr>
          <w:rFonts w:asciiTheme="minorHAnsi" w:hAnsiTheme="minorHAnsi"/>
        </w:rPr>
        <w:t xml:space="preserve"> (1993)</w:t>
      </w:r>
      <w:r>
        <w:rPr>
          <w:rFonts w:asciiTheme="minorHAnsi" w:hAnsiTheme="minorHAnsi"/>
        </w:rPr>
        <w:t>,</w:t>
      </w:r>
      <w:r w:rsidRPr="001D42CA">
        <w:rPr>
          <w:rFonts w:asciiTheme="minorHAnsi" w:hAnsiTheme="minorHAnsi"/>
        </w:rPr>
        <w:t xml:space="preserve"> </w:t>
      </w:r>
      <w:r w:rsidR="00696039">
        <w:rPr>
          <w:rFonts w:asciiTheme="minorHAnsi" w:hAnsiTheme="minorHAnsi"/>
        </w:rPr>
        <w:t>is to</w:t>
      </w:r>
      <w:r w:rsidR="00696039" w:rsidRPr="001D42CA">
        <w:rPr>
          <w:rFonts w:asciiTheme="minorHAnsi" w:hAnsiTheme="minorHAnsi"/>
        </w:rPr>
        <w:t xml:space="preserve"> </w:t>
      </w:r>
      <w:r w:rsidRPr="001D42CA">
        <w:rPr>
          <w:rFonts w:asciiTheme="minorHAnsi" w:hAnsiTheme="minorHAnsi"/>
        </w:rPr>
        <w:t xml:space="preserve">be applied </w:t>
      </w:r>
      <w:r w:rsidRPr="001D42CA">
        <w:rPr>
          <w:rFonts w:asciiTheme="minorHAnsi" w:hAnsiTheme="minorHAnsi"/>
          <w:i/>
        </w:rPr>
        <w:t>in toto</w:t>
      </w:r>
      <w:r w:rsidRPr="001D42CA">
        <w:rPr>
          <w:rFonts w:asciiTheme="minorHAnsi" w:hAnsiTheme="minorHAnsi"/>
        </w:rPr>
        <w:t xml:space="preserve"> to the </w:t>
      </w:r>
      <w:r w:rsidR="00977A64">
        <w:rPr>
          <w:rFonts w:asciiTheme="minorHAnsi" w:hAnsiTheme="minorHAnsi"/>
        </w:rPr>
        <w:t>2023</w:t>
      </w:r>
      <w:r>
        <w:rPr>
          <w:rFonts w:asciiTheme="minorHAnsi" w:hAnsiTheme="minorHAnsi"/>
        </w:rPr>
        <w:t>-</w:t>
      </w:r>
      <w:r w:rsidR="00977A64">
        <w:rPr>
          <w:rFonts w:asciiTheme="minorHAnsi" w:hAnsiTheme="minorHAnsi"/>
        </w:rPr>
        <w:t>2025</w:t>
      </w:r>
      <w:r w:rsidR="00977A64" w:rsidRPr="001D42CA">
        <w:rPr>
          <w:rFonts w:asciiTheme="minorHAnsi" w:hAnsiTheme="minorHAnsi"/>
        </w:rPr>
        <w:t xml:space="preserve"> </w:t>
      </w:r>
      <w:r>
        <w:rPr>
          <w:rFonts w:asciiTheme="minorHAnsi" w:hAnsiTheme="minorHAnsi"/>
        </w:rPr>
        <w:t>triennium</w:t>
      </w:r>
      <w:r w:rsidRPr="001D42CA">
        <w:rPr>
          <w:rFonts w:asciiTheme="minorHAnsi" w:hAnsiTheme="minorHAnsi"/>
        </w:rPr>
        <w:t>;</w:t>
      </w:r>
    </w:p>
    <w:p w14:paraId="54BCE05A" w14:textId="77777777" w:rsidR="00A81CC0" w:rsidRPr="001D42CA" w:rsidRDefault="00A81CC0" w:rsidP="00A81CC0">
      <w:pPr>
        <w:rPr>
          <w:rFonts w:asciiTheme="minorHAnsi" w:hAnsiTheme="minorHAnsi"/>
        </w:rPr>
      </w:pPr>
    </w:p>
    <w:p w14:paraId="6CF7B230" w14:textId="77777777" w:rsidR="00A81CC0" w:rsidRPr="001D42CA" w:rsidRDefault="00A81CC0" w:rsidP="00A81CC0">
      <w:pPr>
        <w:rPr>
          <w:rFonts w:asciiTheme="minorHAnsi" w:hAnsiTheme="minorHAnsi"/>
        </w:rPr>
      </w:pPr>
      <w:r w:rsidRPr="001D42CA">
        <w:rPr>
          <w:rFonts w:asciiTheme="minorHAnsi" w:hAnsiTheme="minorHAnsi"/>
        </w:rPr>
        <w:t>1</w:t>
      </w:r>
      <w:r>
        <w:rPr>
          <w:rFonts w:asciiTheme="minorHAnsi" w:hAnsiTheme="minorHAnsi"/>
        </w:rPr>
        <w:t>2</w:t>
      </w:r>
      <w:r w:rsidRPr="001D42CA">
        <w:rPr>
          <w:rFonts w:asciiTheme="minorHAnsi" w:hAnsiTheme="minorHAnsi"/>
        </w:rPr>
        <w:t>.</w:t>
      </w:r>
      <w:r w:rsidRPr="001D42CA">
        <w:rPr>
          <w:rFonts w:asciiTheme="minorHAnsi" w:hAnsiTheme="minorHAnsi"/>
        </w:rPr>
        <w:tab/>
        <w:t xml:space="preserve">FURTHER DECIDES that the Subgroup on Finance will </w:t>
      </w:r>
      <w:r>
        <w:rPr>
          <w:rFonts w:asciiTheme="minorHAnsi" w:hAnsiTheme="minorHAnsi"/>
        </w:rPr>
        <w:t xml:space="preserve">be </w:t>
      </w:r>
      <w:r w:rsidRPr="001D42CA">
        <w:rPr>
          <w:rFonts w:asciiTheme="minorHAnsi" w:hAnsiTheme="minorHAnsi"/>
        </w:rPr>
        <w:t>continue</w:t>
      </w:r>
      <w:r>
        <w:rPr>
          <w:rFonts w:asciiTheme="minorHAnsi" w:hAnsiTheme="minorHAnsi"/>
        </w:rPr>
        <w:t>d</w:t>
      </w:r>
      <w:r w:rsidRPr="001D42CA">
        <w:rPr>
          <w:rFonts w:asciiTheme="minorHAnsi" w:hAnsiTheme="minorHAnsi"/>
        </w:rPr>
        <w:t xml:space="preserve"> </w:t>
      </w:r>
      <w:r>
        <w:rPr>
          <w:rFonts w:asciiTheme="minorHAnsi" w:hAnsiTheme="minorHAnsi"/>
        </w:rPr>
        <w:t>and</w:t>
      </w:r>
      <w:r w:rsidRPr="001D42CA">
        <w:rPr>
          <w:rFonts w:asciiTheme="minorHAnsi" w:hAnsiTheme="minorHAnsi"/>
        </w:rPr>
        <w:t xml:space="preserve"> operate under the aegis of the Standing Committee and with the roles and responsibilities specified in Resolution VI.17</w:t>
      </w:r>
      <w:r>
        <w:rPr>
          <w:rFonts w:asciiTheme="minorHAnsi" w:hAnsiTheme="minorHAnsi"/>
        </w:rPr>
        <w:t xml:space="preserve"> on </w:t>
      </w:r>
      <w:r w:rsidRPr="0051043B">
        <w:rPr>
          <w:rFonts w:asciiTheme="minorHAnsi" w:hAnsiTheme="minorHAnsi"/>
          <w:i/>
        </w:rPr>
        <w:t>Financial and budgetary matters</w:t>
      </w:r>
      <w:r w:rsidRPr="001D42CA">
        <w:rPr>
          <w:rFonts w:asciiTheme="minorHAnsi" w:hAnsiTheme="minorHAnsi"/>
        </w:rPr>
        <w:t xml:space="preserve"> (1996), and will include one Standing Committee representative from each Ramsar region plus the immediate</w:t>
      </w:r>
      <w:r>
        <w:rPr>
          <w:rFonts w:asciiTheme="minorHAnsi" w:hAnsiTheme="minorHAnsi"/>
        </w:rPr>
        <w:t>ly</w:t>
      </w:r>
      <w:r w:rsidRPr="001D42CA">
        <w:rPr>
          <w:rFonts w:asciiTheme="minorHAnsi" w:hAnsiTheme="minorHAnsi"/>
        </w:rPr>
        <w:t xml:space="preserve"> prior </w:t>
      </w:r>
      <w:r>
        <w:rPr>
          <w:rFonts w:asciiTheme="minorHAnsi" w:hAnsiTheme="minorHAnsi"/>
        </w:rPr>
        <w:t xml:space="preserve">Chair of the Subgroup on </w:t>
      </w:r>
      <w:r w:rsidRPr="001D42CA">
        <w:rPr>
          <w:rFonts w:asciiTheme="minorHAnsi" w:hAnsiTheme="minorHAnsi"/>
        </w:rPr>
        <w:t xml:space="preserve">Finance, as well as any other interested Contracting Parties, bearing in mind the desirability of equitable regional participation and the need to keep the group to a manageable size, and will designate one of its members as its Chair; and NOTES that travel support for eligible Contracting Parties to attend Subgroup meetings </w:t>
      </w:r>
      <w:r>
        <w:rPr>
          <w:rFonts w:asciiTheme="minorHAnsi" w:hAnsiTheme="minorHAnsi"/>
        </w:rPr>
        <w:t>will</w:t>
      </w:r>
      <w:r w:rsidRPr="001D42CA">
        <w:rPr>
          <w:rFonts w:asciiTheme="minorHAnsi" w:hAnsiTheme="minorHAnsi"/>
        </w:rPr>
        <w:t xml:space="preserve"> be limited to the regional representatives of the Standing Committee;</w:t>
      </w:r>
    </w:p>
    <w:p w14:paraId="757BBEF0" w14:textId="77777777" w:rsidR="00A81CC0" w:rsidRPr="001D42CA" w:rsidRDefault="00A81CC0" w:rsidP="00A81CC0">
      <w:pPr>
        <w:pStyle w:val="ListParagraph"/>
        <w:ind w:left="425"/>
        <w:rPr>
          <w:rFonts w:asciiTheme="minorHAnsi" w:hAnsiTheme="minorHAnsi"/>
        </w:rPr>
      </w:pPr>
    </w:p>
    <w:p w14:paraId="275905C9" w14:textId="5CD9785F" w:rsidR="00A81CC0" w:rsidRPr="001D42CA" w:rsidRDefault="00A81CC0" w:rsidP="00A81CC0">
      <w:pPr>
        <w:rPr>
          <w:rFonts w:asciiTheme="minorHAnsi" w:hAnsiTheme="minorHAnsi"/>
        </w:rPr>
      </w:pPr>
      <w:r w:rsidRPr="001D42CA">
        <w:rPr>
          <w:rFonts w:asciiTheme="minorHAnsi" w:hAnsiTheme="minorHAnsi"/>
        </w:rPr>
        <w:t>1</w:t>
      </w:r>
      <w:r>
        <w:rPr>
          <w:rFonts w:asciiTheme="minorHAnsi" w:hAnsiTheme="minorHAnsi"/>
        </w:rPr>
        <w:t>3</w:t>
      </w:r>
      <w:r w:rsidRPr="001D42CA">
        <w:rPr>
          <w:rFonts w:asciiTheme="minorHAnsi" w:hAnsiTheme="minorHAnsi"/>
        </w:rPr>
        <w:t>.</w:t>
      </w:r>
      <w:r w:rsidRPr="001D42CA">
        <w:rPr>
          <w:rFonts w:asciiTheme="minorHAnsi" w:hAnsiTheme="minorHAnsi"/>
        </w:rPr>
        <w:tab/>
        <w:t xml:space="preserve">NOTES that the </w:t>
      </w:r>
      <w:r w:rsidR="00977A64">
        <w:rPr>
          <w:rFonts w:asciiTheme="minorHAnsi" w:hAnsiTheme="minorHAnsi"/>
        </w:rPr>
        <w:t>2023</w:t>
      </w:r>
      <w:r>
        <w:rPr>
          <w:rFonts w:asciiTheme="minorHAnsi" w:hAnsiTheme="minorHAnsi"/>
        </w:rPr>
        <w:t>-</w:t>
      </w:r>
      <w:r w:rsidR="00977A64">
        <w:rPr>
          <w:rFonts w:asciiTheme="minorHAnsi" w:hAnsiTheme="minorHAnsi"/>
        </w:rPr>
        <w:t>2025</w:t>
      </w:r>
      <w:r w:rsidR="00977A64" w:rsidRPr="001D42CA">
        <w:rPr>
          <w:rFonts w:asciiTheme="minorHAnsi" w:hAnsiTheme="minorHAnsi"/>
        </w:rPr>
        <w:t xml:space="preserve"> </w:t>
      </w:r>
      <w:r w:rsidRPr="001D42CA">
        <w:rPr>
          <w:rFonts w:asciiTheme="minorHAnsi" w:hAnsiTheme="minorHAnsi"/>
        </w:rPr>
        <w:t xml:space="preserve">budget includes a core element funded by contributions from Contracting Parties, and that the </w:t>
      </w:r>
      <w:r w:rsidRPr="001D42CA">
        <w:rPr>
          <w:rFonts w:asciiTheme="minorHAnsi" w:eastAsia="Batang" w:hAnsiTheme="minorHAnsi"/>
        </w:rPr>
        <w:t>Secretariat will seek additional non-core resources in line with the priorities identified by the Conference of the Parties</w:t>
      </w:r>
      <w:r w:rsidRPr="000F0A5B">
        <w:rPr>
          <w:rFonts w:asciiTheme="minorHAnsi" w:hAnsiTheme="minorHAnsi"/>
        </w:rPr>
        <w:t>; and REQUESTS that the Secretariat continue to develop new approaches and tools to secure voluntary financial support for currently unfunded priority projects;</w:t>
      </w:r>
    </w:p>
    <w:p w14:paraId="1D3FA898" w14:textId="77777777" w:rsidR="00A81CC0" w:rsidRPr="001D42CA" w:rsidRDefault="00A81CC0" w:rsidP="00A81CC0">
      <w:pPr>
        <w:pStyle w:val="MGfulltext"/>
        <w:spacing w:after="0"/>
        <w:ind w:left="425" w:hanging="425"/>
        <w:rPr>
          <w:rFonts w:asciiTheme="minorHAnsi" w:hAnsiTheme="minorHAnsi"/>
          <w:lang w:val="en-GB"/>
        </w:rPr>
      </w:pPr>
    </w:p>
    <w:p w14:paraId="2E338804" w14:textId="78978151" w:rsidR="00A81CC0" w:rsidRPr="00F353E8" w:rsidRDefault="00A81CC0" w:rsidP="00A81CC0">
      <w:pPr>
        <w:rPr>
          <w:rFonts w:asciiTheme="minorHAnsi" w:hAnsiTheme="minorHAnsi"/>
        </w:rPr>
      </w:pPr>
      <w:r w:rsidRPr="00832990">
        <w:rPr>
          <w:rFonts w:asciiTheme="minorHAnsi" w:hAnsiTheme="minorHAnsi"/>
        </w:rPr>
        <w:t>14.</w:t>
      </w:r>
      <w:r w:rsidRPr="00832990">
        <w:rPr>
          <w:rFonts w:asciiTheme="minorHAnsi" w:hAnsiTheme="minorHAnsi"/>
        </w:rPr>
        <w:tab/>
        <w:t xml:space="preserve">APPROVES the core </w:t>
      </w:r>
      <w:r w:rsidRPr="00F353E8">
        <w:rPr>
          <w:rFonts w:asciiTheme="minorHAnsi" w:hAnsiTheme="minorHAnsi"/>
        </w:rPr>
        <w:t xml:space="preserve">budget for the </w:t>
      </w:r>
      <w:r w:rsidR="00977A64" w:rsidRPr="00F353E8">
        <w:rPr>
          <w:rFonts w:asciiTheme="minorHAnsi" w:hAnsiTheme="minorHAnsi"/>
        </w:rPr>
        <w:t>202</w:t>
      </w:r>
      <w:r w:rsidR="00977A64">
        <w:rPr>
          <w:rFonts w:asciiTheme="minorHAnsi" w:hAnsiTheme="minorHAnsi"/>
        </w:rPr>
        <w:t>3</w:t>
      </w:r>
      <w:r w:rsidRPr="00F353E8">
        <w:rPr>
          <w:rFonts w:asciiTheme="minorHAnsi" w:hAnsiTheme="minorHAnsi"/>
        </w:rPr>
        <w:t>-</w:t>
      </w:r>
      <w:r w:rsidR="00977A64" w:rsidRPr="00F353E8">
        <w:rPr>
          <w:rFonts w:asciiTheme="minorHAnsi" w:hAnsiTheme="minorHAnsi"/>
        </w:rPr>
        <w:t>202</w:t>
      </w:r>
      <w:r w:rsidR="00977A64">
        <w:rPr>
          <w:rFonts w:asciiTheme="minorHAnsi" w:hAnsiTheme="minorHAnsi"/>
        </w:rPr>
        <w:t>5</w:t>
      </w:r>
      <w:r w:rsidR="00977A64" w:rsidRPr="00F353E8">
        <w:rPr>
          <w:rFonts w:asciiTheme="minorHAnsi" w:hAnsiTheme="minorHAnsi"/>
        </w:rPr>
        <w:t xml:space="preserve"> </w:t>
      </w:r>
      <w:r w:rsidRPr="00F353E8">
        <w:rPr>
          <w:rFonts w:asciiTheme="minorHAnsi" w:hAnsiTheme="minorHAnsi"/>
        </w:rPr>
        <w:t>triennium as presented in Annex 1</w:t>
      </w:r>
      <w:r w:rsidRPr="00F353E8">
        <w:rPr>
          <w:rFonts w:asciiTheme="minorHAnsi" w:eastAsia="Batang" w:hAnsiTheme="minorHAnsi"/>
        </w:rPr>
        <w:t xml:space="preserve"> of the present Resolution</w:t>
      </w:r>
      <w:r w:rsidRPr="00F353E8">
        <w:rPr>
          <w:rFonts w:asciiTheme="minorHAnsi" w:hAnsiTheme="minorHAnsi"/>
        </w:rPr>
        <w:t>, to enable the implementation of the Ramsar Strategic Plan 2016-2024;</w:t>
      </w:r>
    </w:p>
    <w:p w14:paraId="09F5CF28" w14:textId="77777777" w:rsidR="00A81CC0" w:rsidRPr="00F353E8" w:rsidRDefault="00A81CC0" w:rsidP="00A81CC0">
      <w:pPr>
        <w:rPr>
          <w:rFonts w:asciiTheme="minorHAnsi" w:hAnsiTheme="minorHAnsi"/>
        </w:rPr>
      </w:pPr>
    </w:p>
    <w:p w14:paraId="3618F2DF" w14:textId="75F4DA4E" w:rsidR="00A81CC0" w:rsidRPr="002F2782" w:rsidRDefault="00A81CC0" w:rsidP="00A81CC0">
      <w:pPr>
        <w:rPr>
          <w:rFonts w:asciiTheme="minorHAnsi" w:hAnsiTheme="minorHAnsi"/>
        </w:rPr>
      </w:pPr>
      <w:r w:rsidRPr="00F353E8">
        <w:rPr>
          <w:rFonts w:asciiTheme="minorHAnsi" w:hAnsiTheme="minorHAnsi"/>
        </w:rPr>
        <w:t>15.</w:t>
      </w:r>
      <w:r w:rsidRPr="00F353E8">
        <w:rPr>
          <w:rFonts w:asciiTheme="minorHAnsi" w:hAnsiTheme="minorHAnsi"/>
        </w:rPr>
        <w:tab/>
      </w:r>
      <w:r w:rsidRPr="00835346">
        <w:rPr>
          <w:rFonts w:asciiTheme="minorHAnsi" w:hAnsiTheme="minorHAnsi"/>
        </w:rPr>
        <w:t>APPROVES</w:t>
      </w:r>
      <w:r w:rsidRPr="00F353E8">
        <w:rPr>
          <w:rFonts w:asciiTheme="minorHAnsi" w:hAnsiTheme="minorHAnsi"/>
        </w:rPr>
        <w:t xml:space="preserve"> the use of surplus from the core budget for the 2019-2021 triennium of CHF 228,000 to supplement the approved </w:t>
      </w:r>
      <w:r w:rsidR="00977A64">
        <w:rPr>
          <w:rFonts w:asciiTheme="minorHAnsi" w:hAnsiTheme="minorHAnsi"/>
        </w:rPr>
        <w:t>2023-2025</w:t>
      </w:r>
      <w:r w:rsidRPr="00F353E8">
        <w:rPr>
          <w:rFonts w:asciiTheme="minorHAnsi" w:hAnsiTheme="minorHAnsi"/>
        </w:rPr>
        <w:t xml:space="preserve"> triennium budget in the following areas: CHF 120,000 for Communications, Translation</w:t>
      </w:r>
      <w:r w:rsidRPr="005B1EF1">
        <w:rPr>
          <w:rFonts w:asciiTheme="minorHAnsi" w:hAnsiTheme="minorHAnsi"/>
        </w:rPr>
        <w:t xml:space="preserve">, Publications and Reporting Implementation, CHF 60,000 for staff travel (CHF 15,000 for travel of Secretariat Senior Management, CHF 15,000 for travel of Resource Mobilization and Outreach and CHF 30,000 for travel of Regional Advice and Support), CHF 15,000 for STRP Implementation, and CHF 33,000 for Planning and Capacity Building; and REQUESTS the </w:t>
      </w:r>
      <w:r w:rsidRPr="002F2782">
        <w:rPr>
          <w:rFonts w:asciiTheme="minorHAnsi" w:hAnsiTheme="minorHAnsi"/>
        </w:rPr>
        <w:t xml:space="preserve">Secretariat to achieve a balanced budget by the end of the </w:t>
      </w:r>
      <w:r w:rsidR="00977A64">
        <w:rPr>
          <w:rFonts w:asciiTheme="minorHAnsi" w:hAnsiTheme="minorHAnsi"/>
        </w:rPr>
        <w:t>2023-2025</w:t>
      </w:r>
      <w:r w:rsidRPr="002F2782">
        <w:rPr>
          <w:rFonts w:asciiTheme="minorHAnsi" w:hAnsiTheme="minorHAnsi"/>
        </w:rPr>
        <w:t xml:space="preserve"> triennium</w:t>
      </w:r>
      <w:r>
        <w:rPr>
          <w:rStyle w:val="FootnoteReference"/>
          <w:rFonts w:asciiTheme="minorHAnsi" w:hAnsiTheme="minorHAnsi"/>
        </w:rPr>
        <w:footnoteReference w:id="2"/>
      </w:r>
      <w:r w:rsidRPr="002F2782">
        <w:rPr>
          <w:rFonts w:asciiTheme="minorHAnsi" w:hAnsiTheme="minorHAnsi"/>
        </w:rPr>
        <w:t>;</w:t>
      </w:r>
    </w:p>
    <w:p w14:paraId="762A1778" w14:textId="77777777" w:rsidR="00A81CC0" w:rsidRPr="002F2782" w:rsidRDefault="00A81CC0" w:rsidP="00A81CC0">
      <w:pPr>
        <w:rPr>
          <w:rFonts w:asciiTheme="minorHAnsi" w:hAnsiTheme="minorHAnsi"/>
        </w:rPr>
      </w:pPr>
    </w:p>
    <w:p w14:paraId="47D35B37" w14:textId="723822BA" w:rsidR="00A81CC0" w:rsidRDefault="00A81CC0" w:rsidP="00A81CC0">
      <w:pPr>
        <w:tabs>
          <w:tab w:val="left" w:pos="3665"/>
        </w:tabs>
        <w:rPr>
          <w:rFonts w:asciiTheme="minorHAnsi" w:hAnsiTheme="minorHAnsi"/>
        </w:rPr>
      </w:pPr>
      <w:r w:rsidRPr="002F2782">
        <w:rPr>
          <w:rFonts w:asciiTheme="minorHAnsi" w:hAnsiTheme="minorHAnsi"/>
        </w:rPr>
        <w:t>16.</w:t>
      </w:r>
      <w:r>
        <w:rPr>
          <w:rFonts w:asciiTheme="minorHAnsi" w:hAnsiTheme="minorHAnsi"/>
        </w:rPr>
        <w:tab/>
      </w:r>
      <w:r w:rsidRPr="002F2782">
        <w:rPr>
          <w:rFonts w:asciiTheme="minorHAnsi" w:hAnsiTheme="minorHAnsi"/>
        </w:rPr>
        <w:t xml:space="preserve">APPROVES the </w:t>
      </w:r>
      <w:r w:rsidRPr="00835346">
        <w:rPr>
          <w:rFonts w:asciiTheme="minorHAnsi" w:hAnsiTheme="minorHAnsi"/>
        </w:rPr>
        <w:t xml:space="preserve">use of CHF </w:t>
      </w:r>
      <w:r w:rsidR="00B87D61">
        <w:rPr>
          <w:rFonts w:asciiTheme="minorHAnsi" w:hAnsiTheme="minorHAnsi"/>
        </w:rPr>
        <w:t>36</w:t>
      </w:r>
      <w:r w:rsidR="00B87D61" w:rsidRPr="00835346">
        <w:rPr>
          <w:rFonts w:asciiTheme="minorHAnsi" w:hAnsiTheme="minorHAnsi"/>
        </w:rPr>
        <w:t>0</w:t>
      </w:r>
      <w:r w:rsidRPr="00835346">
        <w:rPr>
          <w:rFonts w:asciiTheme="minorHAnsi" w:hAnsiTheme="minorHAnsi"/>
        </w:rPr>
        <w:t xml:space="preserve">,000 from surplus from the 2019-2021 triennium </w:t>
      </w:r>
      <w:r w:rsidRPr="002F2782">
        <w:rPr>
          <w:rFonts w:asciiTheme="minorHAnsi" w:hAnsiTheme="minorHAnsi"/>
        </w:rPr>
        <w:t xml:space="preserve">to </w:t>
      </w:r>
      <w:r w:rsidRPr="00835346">
        <w:rPr>
          <w:rFonts w:asciiTheme="minorHAnsi" w:hAnsiTheme="minorHAnsi"/>
        </w:rPr>
        <w:t xml:space="preserve">increase the provision on outstanding contributions for the </w:t>
      </w:r>
      <w:r w:rsidR="00977A64">
        <w:rPr>
          <w:rFonts w:asciiTheme="minorHAnsi" w:hAnsiTheme="minorHAnsi"/>
        </w:rPr>
        <w:t>2023-2025</w:t>
      </w:r>
      <w:r w:rsidRPr="002F2782">
        <w:rPr>
          <w:rFonts w:asciiTheme="minorHAnsi" w:hAnsiTheme="minorHAnsi"/>
        </w:rPr>
        <w:t xml:space="preserve"> </w:t>
      </w:r>
      <w:r w:rsidRPr="00835346">
        <w:rPr>
          <w:rFonts w:asciiTheme="minorHAnsi" w:hAnsiTheme="minorHAnsi"/>
        </w:rPr>
        <w:t>triennium;</w:t>
      </w:r>
    </w:p>
    <w:p w14:paraId="125F3A4E" w14:textId="77777777" w:rsidR="00A81CC0" w:rsidRDefault="00A81CC0" w:rsidP="00A81CC0">
      <w:pPr>
        <w:tabs>
          <w:tab w:val="left" w:pos="3665"/>
        </w:tabs>
        <w:rPr>
          <w:rFonts w:asciiTheme="minorHAnsi" w:hAnsiTheme="minorHAnsi"/>
        </w:rPr>
      </w:pPr>
      <w:r>
        <w:rPr>
          <w:rFonts w:asciiTheme="minorHAnsi" w:hAnsiTheme="minorHAnsi"/>
        </w:rPr>
        <w:tab/>
      </w:r>
    </w:p>
    <w:p w14:paraId="6A4C7655" w14:textId="77777777" w:rsidR="00A81CC0" w:rsidRPr="005B1EF1" w:rsidRDefault="00A81CC0" w:rsidP="00A81CC0">
      <w:pPr>
        <w:rPr>
          <w:rFonts w:asciiTheme="minorHAnsi" w:hAnsiTheme="minorHAnsi"/>
        </w:rPr>
      </w:pPr>
      <w:r>
        <w:rPr>
          <w:rFonts w:asciiTheme="minorHAnsi" w:hAnsiTheme="minorHAnsi"/>
        </w:rPr>
        <w:t>17.</w:t>
      </w:r>
      <w:r>
        <w:rPr>
          <w:rFonts w:asciiTheme="minorHAnsi" w:hAnsiTheme="minorHAnsi"/>
        </w:rPr>
        <w:tab/>
      </w:r>
      <w:r w:rsidRPr="005B1EF1">
        <w:rPr>
          <w:rFonts w:asciiTheme="minorHAnsi" w:hAnsiTheme="minorHAnsi"/>
        </w:rPr>
        <w:t>URGES Contracting Parties with outstanding contributions to make a renewed effort to settle them as expeditiously as possible to enhance the financial sustainability of the Convention through contributions by all Contracting Parties;</w:t>
      </w:r>
    </w:p>
    <w:p w14:paraId="12649D55" w14:textId="77777777" w:rsidR="00A81CC0" w:rsidRPr="005B1EF1" w:rsidRDefault="00A81CC0" w:rsidP="00A81CC0">
      <w:pPr>
        <w:rPr>
          <w:rFonts w:asciiTheme="minorHAnsi" w:hAnsiTheme="minorHAnsi"/>
        </w:rPr>
      </w:pPr>
    </w:p>
    <w:p w14:paraId="38F4826C" w14:textId="77777777" w:rsidR="00A81CC0" w:rsidRPr="005B1EF1" w:rsidRDefault="00A81CC0" w:rsidP="00A81CC0">
      <w:pPr>
        <w:rPr>
          <w:rFonts w:asciiTheme="minorHAnsi" w:hAnsiTheme="minorHAnsi"/>
        </w:rPr>
      </w:pPr>
      <w:r w:rsidRPr="005B1EF1">
        <w:rPr>
          <w:rFonts w:asciiTheme="minorHAnsi" w:hAnsiTheme="minorHAnsi"/>
        </w:rPr>
        <w:t>18.</w:t>
      </w:r>
      <w:r w:rsidRPr="005B1EF1">
        <w:rPr>
          <w:rFonts w:asciiTheme="minorHAnsi" w:hAnsiTheme="minorHAnsi"/>
        </w:rPr>
        <w:tab/>
        <w:t>REQUESTS that the Secretariat contact Contracting Parties that have outstanding contributions in excess of three years and assist them to identify appropriate options to rectify the situation and to request a plan for making payment of contributions, and report back at each meeting of the Standing Committee and the Conference of the Contracting Parties on activities taken in this regard and results achieved; and AGREES that the Standing Committee should continue to consider appropriate action concerning Parties that have neither paid their outstanding contributions nor submitted a payment plan for this purpose;</w:t>
      </w:r>
    </w:p>
    <w:p w14:paraId="173C3A16" w14:textId="77777777" w:rsidR="00A81CC0" w:rsidRPr="005B1EF1" w:rsidRDefault="00A81CC0" w:rsidP="00A81CC0">
      <w:pPr>
        <w:rPr>
          <w:rFonts w:asciiTheme="minorHAnsi" w:hAnsiTheme="minorHAnsi"/>
        </w:rPr>
      </w:pPr>
    </w:p>
    <w:p w14:paraId="7C8D1117" w14:textId="77777777" w:rsidR="00A81CC0" w:rsidRDefault="00A81CC0" w:rsidP="00A81CC0">
      <w:pPr>
        <w:rPr>
          <w:rFonts w:asciiTheme="minorHAnsi" w:hAnsiTheme="minorHAnsi"/>
        </w:rPr>
      </w:pPr>
      <w:r w:rsidRPr="005B1EF1">
        <w:rPr>
          <w:rFonts w:asciiTheme="minorHAnsi" w:hAnsiTheme="minorHAnsi"/>
        </w:rPr>
        <w:t>19.</w:t>
      </w:r>
      <w:r w:rsidRPr="005B1EF1">
        <w:rPr>
          <w:rFonts w:asciiTheme="minorHAnsi" w:hAnsiTheme="minorHAnsi"/>
        </w:rPr>
        <w:tab/>
        <w:t>REQUESTS regional representatives in the Standing Committee to engage Parties from their respective regions with outstanding contributions to encourage them to identify appropriate options to rectify the situation;</w:t>
      </w:r>
    </w:p>
    <w:p w14:paraId="4AD59AE9" w14:textId="77777777" w:rsidR="00A81CC0" w:rsidRDefault="00A81CC0" w:rsidP="00A81CC0">
      <w:pPr>
        <w:rPr>
          <w:rFonts w:asciiTheme="minorHAnsi" w:hAnsiTheme="minorHAnsi"/>
        </w:rPr>
      </w:pPr>
    </w:p>
    <w:p w14:paraId="7FA4CAB6" w14:textId="08050A33" w:rsidR="00A81CC0" w:rsidRPr="001D42CA" w:rsidRDefault="00A81CC0" w:rsidP="00A81CC0">
      <w:pPr>
        <w:rPr>
          <w:rFonts w:asciiTheme="minorHAnsi" w:hAnsiTheme="minorHAnsi"/>
        </w:rPr>
      </w:pPr>
      <w:r>
        <w:rPr>
          <w:rFonts w:asciiTheme="minorHAnsi" w:hAnsiTheme="minorHAnsi"/>
        </w:rPr>
        <w:lastRenderedPageBreak/>
        <w:t>20.</w:t>
      </w:r>
      <w:r>
        <w:rPr>
          <w:rFonts w:asciiTheme="minorHAnsi" w:hAnsiTheme="minorHAnsi"/>
        </w:rPr>
        <w:tab/>
      </w:r>
      <w:r w:rsidRPr="00972918">
        <w:rPr>
          <w:rFonts w:asciiTheme="minorHAnsi" w:hAnsiTheme="minorHAnsi"/>
        </w:rPr>
        <w:t xml:space="preserve">NOTES </w:t>
      </w:r>
      <w:r>
        <w:rPr>
          <w:rFonts w:asciiTheme="minorHAnsi" w:hAnsiTheme="minorHAnsi"/>
        </w:rPr>
        <w:t>WITH CONCERN</w:t>
      </w:r>
      <w:r w:rsidRPr="00972918">
        <w:rPr>
          <w:rFonts w:asciiTheme="minorHAnsi" w:hAnsiTheme="minorHAnsi"/>
        </w:rPr>
        <w:t xml:space="preserve"> the situation with </w:t>
      </w:r>
      <w:r w:rsidR="00696039">
        <w:rPr>
          <w:rFonts w:asciiTheme="minorHAnsi" w:hAnsiTheme="minorHAnsi"/>
        </w:rPr>
        <w:t>non-core</w:t>
      </w:r>
      <w:r w:rsidR="00696039" w:rsidRPr="00972918">
        <w:rPr>
          <w:rFonts w:asciiTheme="minorHAnsi" w:hAnsiTheme="minorHAnsi"/>
        </w:rPr>
        <w:t xml:space="preserve"> </w:t>
      </w:r>
      <w:r w:rsidRPr="00972918">
        <w:rPr>
          <w:rFonts w:asciiTheme="minorHAnsi" w:hAnsiTheme="minorHAnsi"/>
        </w:rPr>
        <w:t>contributions from Contracting Parties; and ENCOURAGES Contracting Parties and others to increase such contributions;</w:t>
      </w:r>
    </w:p>
    <w:p w14:paraId="7001A1CC" w14:textId="77777777" w:rsidR="00A81CC0" w:rsidRPr="001D42CA" w:rsidRDefault="00A81CC0" w:rsidP="00A81CC0">
      <w:pPr>
        <w:rPr>
          <w:rFonts w:asciiTheme="minorHAnsi" w:hAnsiTheme="minorHAnsi"/>
        </w:rPr>
      </w:pPr>
    </w:p>
    <w:p w14:paraId="09A90EB7" w14:textId="77777777" w:rsidR="00A81CC0" w:rsidRDefault="00A81CC0" w:rsidP="00A81CC0">
      <w:pPr>
        <w:rPr>
          <w:rFonts w:asciiTheme="minorHAnsi" w:hAnsiTheme="minorHAnsi"/>
        </w:rPr>
      </w:pPr>
      <w:r>
        <w:rPr>
          <w:rFonts w:asciiTheme="minorHAnsi" w:hAnsiTheme="minorHAnsi"/>
        </w:rPr>
        <w:t>21</w:t>
      </w:r>
      <w:r w:rsidRPr="001D42CA">
        <w:rPr>
          <w:rFonts w:asciiTheme="minorHAnsi" w:hAnsiTheme="minorHAnsi"/>
        </w:rPr>
        <w:t>.</w:t>
      </w:r>
      <w:r w:rsidRPr="001D42CA">
        <w:rPr>
          <w:rFonts w:asciiTheme="minorHAnsi" w:hAnsiTheme="minorHAnsi"/>
        </w:rPr>
        <w:tab/>
        <w:t>ENCOURAGES Contracting Parties</w:t>
      </w:r>
      <w:r>
        <w:rPr>
          <w:rFonts w:asciiTheme="minorHAnsi" w:hAnsiTheme="minorHAnsi"/>
        </w:rPr>
        <w:t xml:space="preserve"> and INVITES </w:t>
      </w:r>
      <w:r w:rsidRPr="001D42CA">
        <w:rPr>
          <w:rFonts w:asciiTheme="minorHAnsi" w:hAnsiTheme="minorHAnsi"/>
        </w:rPr>
        <w:t xml:space="preserve">other governments, financial institutions, </w:t>
      </w:r>
      <w:r>
        <w:rPr>
          <w:rFonts w:asciiTheme="minorHAnsi" w:hAnsiTheme="minorHAnsi"/>
        </w:rPr>
        <w:t>I</w:t>
      </w:r>
      <w:r w:rsidRPr="001D42CA">
        <w:rPr>
          <w:rFonts w:asciiTheme="minorHAnsi" w:hAnsiTheme="minorHAnsi"/>
        </w:rPr>
        <w:t xml:space="preserve">nternational </w:t>
      </w:r>
      <w:r>
        <w:rPr>
          <w:rFonts w:asciiTheme="minorHAnsi" w:hAnsiTheme="minorHAnsi"/>
        </w:rPr>
        <w:t>O</w:t>
      </w:r>
      <w:r w:rsidRPr="001D42CA">
        <w:rPr>
          <w:rFonts w:asciiTheme="minorHAnsi" w:hAnsiTheme="minorHAnsi"/>
        </w:rPr>
        <w:t xml:space="preserve">rganization </w:t>
      </w:r>
      <w:r>
        <w:rPr>
          <w:rFonts w:asciiTheme="minorHAnsi" w:hAnsiTheme="minorHAnsi"/>
        </w:rPr>
        <w:t>P</w:t>
      </w:r>
      <w:r w:rsidRPr="001D42CA">
        <w:rPr>
          <w:rFonts w:asciiTheme="minorHAnsi" w:hAnsiTheme="minorHAnsi"/>
        </w:rPr>
        <w:t xml:space="preserve">artners and other implementing partners to </w:t>
      </w:r>
      <w:r>
        <w:rPr>
          <w:rFonts w:asciiTheme="minorHAnsi" w:hAnsiTheme="minorHAnsi"/>
        </w:rPr>
        <w:t xml:space="preserve">support </w:t>
      </w:r>
      <w:r w:rsidRPr="001D42CA">
        <w:rPr>
          <w:rFonts w:asciiTheme="minorHAnsi" w:hAnsiTheme="minorHAnsi"/>
        </w:rPr>
        <w:t xml:space="preserve">the implementation of the Ramsar </w:t>
      </w:r>
      <w:r>
        <w:rPr>
          <w:rFonts w:asciiTheme="minorHAnsi" w:hAnsiTheme="minorHAnsi"/>
        </w:rPr>
        <w:t>Convention;</w:t>
      </w:r>
    </w:p>
    <w:p w14:paraId="35A642D8" w14:textId="77777777" w:rsidR="00A81CC0" w:rsidRPr="001D42CA" w:rsidRDefault="00A81CC0" w:rsidP="00A81CC0">
      <w:pPr>
        <w:rPr>
          <w:rFonts w:asciiTheme="minorHAnsi" w:hAnsiTheme="minorHAnsi"/>
        </w:rPr>
      </w:pPr>
    </w:p>
    <w:p w14:paraId="465F336E" w14:textId="3888AE55" w:rsidR="00A81CC0" w:rsidRPr="001D42CA" w:rsidRDefault="00A81CC0" w:rsidP="00A81CC0">
      <w:pPr>
        <w:rPr>
          <w:rFonts w:asciiTheme="minorHAnsi" w:hAnsiTheme="minorHAnsi"/>
        </w:rPr>
      </w:pPr>
      <w:r>
        <w:rPr>
          <w:rFonts w:asciiTheme="minorHAnsi" w:hAnsiTheme="minorHAnsi"/>
        </w:rPr>
        <w:t>22</w:t>
      </w:r>
      <w:r w:rsidRPr="001D42CA">
        <w:rPr>
          <w:rFonts w:asciiTheme="minorHAnsi" w:hAnsiTheme="minorHAnsi"/>
        </w:rPr>
        <w:t>.</w:t>
      </w:r>
      <w:r w:rsidRPr="001D42CA">
        <w:rPr>
          <w:rFonts w:asciiTheme="minorHAnsi" w:hAnsiTheme="minorHAnsi"/>
        </w:rPr>
        <w:tab/>
      </w:r>
      <w:r>
        <w:rPr>
          <w:rFonts w:asciiTheme="minorHAnsi" w:hAnsiTheme="minorHAnsi"/>
        </w:rPr>
        <w:t xml:space="preserve">NOTES the resource mobilization </w:t>
      </w:r>
      <w:r w:rsidR="002E533D" w:rsidRPr="00586541">
        <w:rPr>
          <w:rFonts w:asciiTheme="minorHAnsi" w:hAnsiTheme="minorHAnsi"/>
        </w:rPr>
        <w:t>w</w:t>
      </w:r>
      <w:r w:rsidR="00BD39A9" w:rsidRPr="00586541">
        <w:rPr>
          <w:rFonts w:asciiTheme="minorHAnsi" w:hAnsiTheme="minorHAnsi"/>
        </w:rPr>
        <w:t>ork</w:t>
      </w:r>
      <w:r w:rsidR="0074102A" w:rsidRPr="00586541">
        <w:rPr>
          <w:rFonts w:asciiTheme="minorHAnsi" w:hAnsiTheme="minorHAnsi"/>
        </w:rPr>
        <w:t xml:space="preserve"> </w:t>
      </w:r>
      <w:r w:rsidR="00BD39A9" w:rsidRPr="00586541">
        <w:rPr>
          <w:rFonts w:asciiTheme="minorHAnsi" w:hAnsiTheme="minorHAnsi"/>
        </w:rPr>
        <w:t xml:space="preserve">plan </w:t>
      </w:r>
      <w:r w:rsidRPr="00586541">
        <w:rPr>
          <w:rFonts w:asciiTheme="minorHAnsi" w:hAnsiTheme="minorHAnsi"/>
        </w:rPr>
        <w:t xml:space="preserve">for the Convention approved by the Standing Committee and REQUESTS the Secretariat to update it to reflect the priorities identified </w:t>
      </w:r>
      <w:r w:rsidR="002E533D" w:rsidRPr="00586541">
        <w:rPr>
          <w:rFonts w:asciiTheme="minorHAnsi" w:hAnsiTheme="minorHAnsi"/>
        </w:rPr>
        <w:t xml:space="preserve">by the </w:t>
      </w:r>
      <w:r w:rsidR="0074102A" w:rsidRPr="00586541">
        <w:rPr>
          <w:rFonts w:asciiTheme="minorHAnsi" w:hAnsiTheme="minorHAnsi"/>
        </w:rPr>
        <w:t xml:space="preserve">Contracting Parties at </w:t>
      </w:r>
      <w:r w:rsidR="002E533D" w:rsidRPr="00586541">
        <w:rPr>
          <w:rFonts w:asciiTheme="minorHAnsi" w:hAnsiTheme="minorHAnsi"/>
        </w:rPr>
        <w:t>COP14</w:t>
      </w:r>
      <w:r w:rsidRPr="00586541">
        <w:rPr>
          <w:rFonts w:asciiTheme="minorHAnsi" w:hAnsiTheme="minorHAnsi"/>
        </w:rPr>
        <w:t xml:space="preserve"> and make it available to the Standing Committee at its 62nd</w:t>
      </w:r>
      <w:r w:rsidRPr="00DA71FC">
        <w:rPr>
          <w:rFonts w:asciiTheme="minorHAnsi" w:hAnsiTheme="minorHAnsi"/>
        </w:rPr>
        <w:t xml:space="preserve"> meeting, for its consideration</w:t>
      </w:r>
      <w:r>
        <w:rPr>
          <w:rFonts w:asciiTheme="minorHAnsi" w:hAnsiTheme="minorHAnsi"/>
        </w:rPr>
        <w:t>;</w:t>
      </w:r>
    </w:p>
    <w:p w14:paraId="4D44F06E" w14:textId="77777777" w:rsidR="00A81CC0" w:rsidRPr="001D42CA" w:rsidRDefault="00A81CC0" w:rsidP="00A81CC0">
      <w:pPr>
        <w:pStyle w:val="ListParagraph"/>
        <w:ind w:left="425"/>
        <w:rPr>
          <w:rFonts w:asciiTheme="minorHAnsi" w:hAnsiTheme="minorHAnsi"/>
        </w:rPr>
      </w:pPr>
    </w:p>
    <w:p w14:paraId="68C89442" w14:textId="77777777" w:rsidR="00A81CC0" w:rsidRPr="00C46A99" w:rsidRDefault="00A81CC0" w:rsidP="00A81CC0">
      <w:pPr>
        <w:rPr>
          <w:rFonts w:asciiTheme="minorHAnsi" w:hAnsiTheme="minorHAnsi"/>
        </w:rPr>
      </w:pPr>
      <w:r w:rsidRPr="00A10FC2">
        <w:rPr>
          <w:rFonts w:asciiTheme="minorHAnsi" w:hAnsiTheme="minorHAnsi"/>
        </w:rPr>
        <w:t>23.</w:t>
      </w:r>
      <w:r w:rsidRPr="00A10FC2">
        <w:rPr>
          <w:rFonts w:asciiTheme="minorHAnsi" w:hAnsiTheme="minorHAnsi"/>
        </w:rPr>
        <w:tab/>
      </w:r>
      <w:r w:rsidRPr="00C46A99">
        <w:rPr>
          <w:rFonts w:asciiTheme="minorHAnsi" w:hAnsiTheme="minorHAnsi"/>
        </w:rPr>
        <w:t>NOTES WITH APPRECIATION the alignment of the Secretariat with International Union for Conservation of Nature (IUCN) policies and procedures for managing non-core funding;</w:t>
      </w:r>
    </w:p>
    <w:p w14:paraId="71ECA22F" w14:textId="77777777" w:rsidR="00A81CC0" w:rsidRPr="00C46A99" w:rsidRDefault="00A81CC0" w:rsidP="00A81CC0">
      <w:pPr>
        <w:rPr>
          <w:rFonts w:asciiTheme="minorHAnsi" w:hAnsiTheme="minorHAnsi"/>
        </w:rPr>
      </w:pPr>
    </w:p>
    <w:p w14:paraId="1E16C8BB" w14:textId="59B8E9EA" w:rsidR="00A81CC0" w:rsidRPr="00C46A99" w:rsidRDefault="00A81CC0" w:rsidP="00A81CC0">
      <w:pPr>
        <w:rPr>
          <w:rFonts w:asciiTheme="minorHAnsi" w:hAnsiTheme="minorHAnsi"/>
        </w:rPr>
      </w:pPr>
      <w:r w:rsidRPr="00C46A99">
        <w:rPr>
          <w:rFonts w:asciiTheme="minorHAnsi" w:hAnsiTheme="minorHAnsi"/>
        </w:rPr>
        <w:t>24.</w:t>
      </w:r>
      <w:r w:rsidRPr="00C46A99">
        <w:rPr>
          <w:rFonts w:asciiTheme="minorHAnsi" w:hAnsiTheme="minorHAnsi"/>
        </w:rPr>
        <w:tab/>
        <w:t>REQUESTS the Secretariat to provide to the Ramsar Regional Initiatives (RRIs) in Africa, on an annual basis, the available balance of the African voluntary contribution fund; and INVITES those RRIs to submit requests to the Secretariat as part of the</w:t>
      </w:r>
      <w:r w:rsidR="005A6559">
        <w:rPr>
          <w:rFonts w:asciiTheme="minorHAnsi" w:hAnsiTheme="minorHAnsi"/>
        </w:rPr>
        <w:t>ir</w:t>
      </w:r>
      <w:r w:rsidRPr="00C46A99">
        <w:rPr>
          <w:rFonts w:asciiTheme="minorHAnsi" w:hAnsiTheme="minorHAnsi"/>
        </w:rPr>
        <w:t xml:space="preserve"> reports to access available funds in accordance with the provisions of Resolution </w:t>
      </w:r>
      <w:r w:rsidR="00285571">
        <w:rPr>
          <w:rFonts w:asciiTheme="minorHAnsi" w:hAnsiTheme="minorHAnsi"/>
        </w:rPr>
        <w:t>14.</w:t>
      </w:r>
      <w:r w:rsidR="00BD39A9">
        <w:rPr>
          <w:rFonts w:asciiTheme="minorHAnsi" w:hAnsiTheme="minorHAnsi"/>
        </w:rPr>
        <w:t>xx</w:t>
      </w:r>
      <w:r w:rsidRPr="00C46A99">
        <w:rPr>
          <w:rFonts w:asciiTheme="minorHAnsi" w:hAnsiTheme="minorHAnsi"/>
        </w:rPr>
        <w:t xml:space="preserve"> on </w:t>
      </w:r>
      <w:r w:rsidRPr="00C46A99">
        <w:rPr>
          <w:i/>
        </w:rPr>
        <w:t xml:space="preserve">Ramsar Regional Initiatives </w:t>
      </w:r>
      <w:r w:rsidR="00BD39A9">
        <w:rPr>
          <w:i/>
        </w:rPr>
        <w:t>2023-2025</w:t>
      </w:r>
      <w:r w:rsidRPr="00C46A99">
        <w:rPr>
          <w:rFonts w:asciiTheme="minorHAnsi" w:hAnsiTheme="minorHAnsi"/>
        </w:rPr>
        <w:t>;</w:t>
      </w:r>
    </w:p>
    <w:p w14:paraId="6B1F77E3" w14:textId="77777777" w:rsidR="00A81CC0" w:rsidRPr="00C46A99" w:rsidRDefault="00A81CC0" w:rsidP="00A81CC0">
      <w:pPr>
        <w:rPr>
          <w:rFonts w:asciiTheme="minorHAnsi" w:hAnsiTheme="minorHAnsi"/>
        </w:rPr>
      </w:pPr>
    </w:p>
    <w:p w14:paraId="31472405" w14:textId="2122441D" w:rsidR="00A81CC0" w:rsidRPr="00C46A99" w:rsidRDefault="00A81CC0" w:rsidP="00A81CC0">
      <w:pPr>
        <w:rPr>
          <w:rFonts w:asciiTheme="minorHAnsi" w:hAnsiTheme="minorHAnsi"/>
        </w:rPr>
      </w:pPr>
      <w:r w:rsidRPr="00C46A99">
        <w:rPr>
          <w:rFonts w:asciiTheme="minorHAnsi" w:hAnsiTheme="minorHAnsi"/>
        </w:rPr>
        <w:t>25.</w:t>
      </w:r>
      <w:r w:rsidRPr="00C46A99">
        <w:rPr>
          <w:rFonts w:asciiTheme="minorHAnsi" w:hAnsiTheme="minorHAnsi"/>
        </w:rPr>
        <w:tab/>
        <w:t xml:space="preserve">INVITES the </w:t>
      </w:r>
      <w:r w:rsidR="008155A3">
        <w:rPr>
          <w:rFonts w:asciiTheme="minorHAnsi" w:hAnsiTheme="minorHAnsi"/>
        </w:rPr>
        <w:t xml:space="preserve">African </w:t>
      </w:r>
      <w:r w:rsidRPr="00C46A99">
        <w:rPr>
          <w:rFonts w:asciiTheme="minorHAnsi" w:hAnsiTheme="minorHAnsi"/>
        </w:rPr>
        <w:t>regional representatives in the Standing Committee to decide on the use of those funds</w:t>
      </w:r>
      <w:r w:rsidR="008155A3">
        <w:rPr>
          <w:rFonts w:asciiTheme="minorHAnsi" w:hAnsiTheme="minorHAnsi"/>
        </w:rPr>
        <w:t xml:space="preserve"> referenced in para</w:t>
      </w:r>
      <w:r w:rsidR="005A6559">
        <w:rPr>
          <w:rFonts w:asciiTheme="minorHAnsi" w:hAnsiTheme="minorHAnsi"/>
        </w:rPr>
        <w:t>graph</w:t>
      </w:r>
      <w:r w:rsidR="008155A3">
        <w:rPr>
          <w:rFonts w:asciiTheme="minorHAnsi" w:hAnsiTheme="minorHAnsi"/>
        </w:rPr>
        <w:t xml:space="preserve"> 24</w:t>
      </w:r>
      <w:r w:rsidR="005A6559">
        <w:rPr>
          <w:rFonts w:asciiTheme="minorHAnsi" w:hAnsiTheme="minorHAnsi"/>
        </w:rPr>
        <w:t xml:space="preserve"> of the present Resolution,</w:t>
      </w:r>
      <w:r w:rsidRPr="00C46A99">
        <w:rPr>
          <w:rFonts w:asciiTheme="minorHAnsi" w:hAnsiTheme="minorHAnsi"/>
        </w:rPr>
        <w:t xml:space="preserve"> based on the requests submitted by the RRIs</w:t>
      </w:r>
      <w:r w:rsidR="005A6559">
        <w:rPr>
          <w:rFonts w:asciiTheme="minorHAnsi" w:hAnsiTheme="minorHAnsi"/>
        </w:rPr>
        <w:t>,</w:t>
      </w:r>
      <w:r w:rsidRPr="00C46A99">
        <w:rPr>
          <w:rFonts w:asciiTheme="minorHAnsi" w:hAnsiTheme="minorHAnsi"/>
        </w:rPr>
        <w:t xml:space="preserve"> and inform the Secretariat accordingly;</w:t>
      </w:r>
    </w:p>
    <w:p w14:paraId="113DA4AB" w14:textId="77777777" w:rsidR="00A81CC0" w:rsidRPr="00C46A99" w:rsidRDefault="00A81CC0" w:rsidP="00A81CC0">
      <w:pPr>
        <w:rPr>
          <w:rFonts w:asciiTheme="minorHAnsi" w:hAnsiTheme="minorHAnsi"/>
        </w:rPr>
      </w:pPr>
    </w:p>
    <w:p w14:paraId="04E2E73A" w14:textId="1097C25F" w:rsidR="00A81CC0" w:rsidRPr="00C46A99" w:rsidRDefault="00A81CC0" w:rsidP="00A81CC0">
      <w:r w:rsidRPr="00C46A99">
        <w:rPr>
          <w:rFonts w:eastAsia="Times New Roman"/>
          <w:color w:val="262626"/>
          <w:lang w:val="en-US"/>
        </w:rPr>
        <w:t>26.</w:t>
      </w:r>
      <w:r w:rsidRPr="00C46A99">
        <w:rPr>
          <w:rFonts w:eastAsia="Times New Roman"/>
          <w:color w:val="262626"/>
          <w:lang w:val="en-US"/>
        </w:rPr>
        <w:tab/>
        <w:t>REAFFIRMS the decision taken by the 13</w:t>
      </w:r>
      <w:r w:rsidRPr="00835346">
        <w:rPr>
          <w:color w:val="262626"/>
          <w:lang w:val="en-US"/>
        </w:rPr>
        <w:t>th</w:t>
      </w:r>
      <w:r w:rsidRPr="00C46A99">
        <w:rPr>
          <w:rFonts w:eastAsia="Times New Roman"/>
          <w:color w:val="262626"/>
          <w:lang w:val="en-US"/>
        </w:rPr>
        <w:t xml:space="preserve"> meeting of the Conference of the Contracting Parties that requests the Secretariat within ‎its existing legal framework and mandate to assist, as appropriate, Contracting Parties in the administration of non-core funded projects, including but not limited to successful fundraising for </w:t>
      </w:r>
      <w:r w:rsidR="005A6559">
        <w:rPr>
          <w:rFonts w:eastAsia="Times New Roman"/>
          <w:color w:val="262626"/>
          <w:lang w:val="en-US"/>
        </w:rPr>
        <w:t>RRIs</w:t>
      </w:r>
      <w:r w:rsidRPr="00C46A99">
        <w:rPr>
          <w:rFonts w:eastAsia="Times New Roman"/>
          <w:color w:val="262626"/>
          <w:lang w:val="en-US"/>
        </w:rPr>
        <w:t>; and that furt</w:t>
      </w:r>
      <w:r w:rsidR="00285571">
        <w:rPr>
          <w:rFonts w:eastAsia="Times New Roman"/>
          <w:color w:val="262626"/>
          <w:lang w:val="en-US"/>
        </w:rPr>
        <w:t>her instructs Secretariat staff</w:t>
      </w:r>
      <w:r w:rsidRPr="00C46A99">
        <w:rPr>
          <w:rFonts w:eastAsia="Times New Roman"/>
          <w:color w:val="262626"/>
          <w:lang w:val="en-US"/>
        </w:rPr>
        <w:t xml:space="preserve"> identified in Annex </w:t>
      </w:r>
      <w:r w:rsidR="00B36736">
        <w:rPr>
          <w:rFonts w:eastAsia="Times New Roman"/>
          <w:color w:val="262626"/>
          <w:lang w:val="en-US"/>
        </w:rPr>
        <w:t>3</w:t>
      </w:r>
      <w:r w:rsidRPr="00C46A99">
        <w:rPr>
          <w:rFonts w:eastAsia="Times New Roman"/>
          <w:color w:val="262626"/>
          <w:lang w:val="en-US"/>
        </w:rPr>
        <w:t xml:space="preserve">, supported with core funds, not to be involved in the day-to-day administration of non-core funded projects as this role would be the responsibility of any Secretariat staff supported with non-core </w:t>
      </w:r>
      <w:r>
        <w:rPr>
          <w:rFonts w:eastAsia="Times New Roman"/>
          <w:color w:val="262626"/>
          <w:lang w:val="en-US"/>
        </w:rPr>
        <w:t>funds for that specific purpose;</w:t>
      </w:r>
    </w:p>
    <w:p w14:paraId="0FCD4AE7" w14:textId="77777777" w:rsidR="00A81CC0" w:rsidRPr="00C46A99" w:rsidRDefault="00A81CC0" w:rsidP="00A81CC0">
      <w:pPr>
        <w:rPr>
          <w:rFonts w:asciiTheme="minorHAnsi" w:hAnsiTheme="minorHAnsi"/>
        </w:rPr>
      </w:pPr>
    </w:p>
    <w:p w14:paraId="51BF478C" w14:textId="77777777" w:rsidR="00A81CC0" w:rsidRPr="00C46A99" w:rsidRDefault="00A81CC0" w:rsidP="00A81CC0">
      <w:pPr>
        <w:rPr>
          <w:rFonts w:asciiTheme="minorHAnsi" w:hAnsiTheme="minorHAnsi"/>
        </w:rPr>
      </w:pPr>
      <w:r w:rsidRPr="00C46A99">
        <w:rPr>
          <w:rFonts w:asciiTheme="minorHAnsi" w:hAnsiTheme="minorHAnsi"/>
        </w:rPr>
        <w:t>27.</w:t>
      </w:r>
      <w:r w:rsidRPr="00C46A99">
        <w:rPr>
          <w:rFonts w:asciiTheme="minorHAnsi" w:hAnsiTheme="minorHAnsi"/>
        </w:rPr>
        <w:tab/>
        <w:t>AUTHORIZES</w:t>
      </w:r>
      <w:r>
        <w:rPr>
          <w:rFonts w:asciiTheme="minorHAnsi" w:hAnsiTheme="minorHAnsi"/>
        </w:rPr>
        <w:t xml:space="preserve"> </w:t>
      </w:r>
      <w:r w:rsidRPr="00C46A99">
        <w:rPr>
          <w:rFonts w:asciiTheme="minorHAnsi" w:hAnsiTheme="minorHAnsi"/>
        </w:rPr>
        <w:t>the Standing Committee, with the advice of its Subgroup on Finance, to transfer core budget allocations between budget lines as may be required in the light of significant positive or negative changes during the triennium to costs, rates of inflation, interest and tax income projected in the budget, without increasing the assessed contributions of Parties or increasing the charges paid to IUCN above a maximum of 13% of the budget;</w:t>
      </w:r>
    </w:p>
    <w:p w14:paraId="3228B893" w14:textId="77777777" w:rsidR="00A81CC0" w:rsidRPr="00C46A99" w:rsidRDefault="00A81CC0" w:rsidP="00A81CC0">
      <w:pPr>
        <w:rPr>
          <w:rFonts w:asciiTheme="minorHAnsi" w:hAnsiTheme="minorHAnsi"/>
        </w:rPr>
      </w:pPr>
    </w:p>
    <w:p w14:paraId="5F3DBCC3" w14:textId="77777777" w:rsidR="00A81CC0" w:rsidRPr="001D42CA" w:rsidRDefault="00A81CC0" w:rsidP="00A81CC0">
      <w:pPr>
        <w:rPr>
          <w:rFonts w:asciiTheme="minorHAnsi" w:hAnsiTheme="minorHAnsi"/>
        </w:rPr>
      </w:pPr>
      <w:r w:rsidRPr="00C46A99">
        <w:rPr>
          <w:rFonts w:asciiTheme="minorHAnsi" w:hAnsiTheme="minorHAnsi"/>
        </w:rPr>
        <w:t>28.</w:t>
      </w:r>
      <w:r w:rsidRPr="00C46A99">
        <w:rPr>
          <w:rFonts w:asciiTheme="minorHAnsi" w:hAnsiTheme="minorHAnsi"/>
        </w:rPr>
        <w:tab/>
        <w:t xml:space="preserve">RECOGNIZES the benefits of flexibility in travel budget lines to deliver on the Secretariat Work Plan for the triennium; and REAFFIRMS the decision taken at the </w:t>
      </w:r>
      <w:r w:rsidRPr="00C75F2D">
        <w:rPr>
          <w:rFonts w:asciiTheme="minorHAnsi" w:hAnsiTheme="minorHAnsi"/>
        </w:rPr>
        <w:t>13</w:t>
      </w:r>
      <w:r w:rsidRPr="00835346">
        <w:rPr>
          <w:rFonts w:asciiTheme="minorHAnsi" w:hAnsiTheme="minorHAnsi"/>
        </w:rPr>
        <w:t>th</w:t>
      </w:r>
      <w:r w:rsidRPr="00C46A99">
        <w:rPr>
          <w:rFonts w:asciiTheme="minorHAnsi" w:hAnsiTheme="minorHAnsi"/>
        </w:rPr>
        <w:t xml:space="preserve"> meeting of the Conference </w:t>
      </w:r>
      <w:r>
        <w:rPr>
          <w:rFonts w:asciiTheme="minorHAnsi" w:hAnsiTheme="minorHAnsi"/>
        </w:rPr>
        <w:t>of the Contracting Parties that</w:t>
      </w:r>
      <w:r w:rsidRPr="00C46A99">
        <w:rPr>
          <w:rFonts w:asciiTheme="minorHAnsi" w:hAnsiTheme="minorHAnsi"/>
        </w:rPr>
        <w:t xml:space="preserve"> authorizes the Secretary General to transfer resources between travel budget lines, ensuring that the Subgroup on Finance is informed and that such transfers are reported to the Standing Committee at its next meeting;</w:t>
      </w:r>
    </w:p>
    <w:p w14:paraId="5E7F6B1E" w14:textId="77777777" w:rsidR="00A81CC0" w:rsidRPr="001D42CA" w:rsidRDefault="00A81CC0" w:rsidP="00A81CC0">
      <w:pPr>
        <w:pStyle w:val="ListParagraph"/>
        <w:ind w:left="425"/>
        <w:rPr>
          <w:rFonts w:asciiTheme="minorHAnsi" w:hAnsiTheme="minorHAnsi"/>
        </w:rPr>
      </w:pPr>
    </w:p>
    <w:p w14:paraId="593D356A" w14:textId="69019F15" w:rsidR="00A81CC0" w:rsidRPr="001D42CA" w:rsidRDefault="00A81CC0" w:rsidP="00A81CC0">
      <w:pPr>
        <w:rPr>
          <w:rFonts w:asciiTheme="minorHAnsi" w:hAnsiTheme="minorHAnsi"/>
        </w:rPr>
      </w:pPr>
      <w:r>
        <w:rPr>
          <w:rFonts w:asciiTheme="minorHAnsi" w:hAnsiTheme="minorHAnsi"/>
        </w:rPr>
        <w:t>29</w:t>
      </w:r>
      <w:r w:rsidRPr="001D42CA">
        <w:rPr>
          <w:rFonts w:asciiTheme="minorHAnsi" w:hAnsiTheme="minorHAnsi"/>
        </w:rPr>
        <w:t>.</w:t>
      </w:r>
      <w:r w:rsidRPr="001D42CA">
        <w:rPr>
          <w:rFonts w:asciiTheme="minorHAnsi" w:hAnsiTheme="minorHAnsi"/>
        </w:rPr>
        <w:tab/>
        <w:t xml:space="preserve">DECIDES that the contribution of each Contracting Party to the core budget should be in accordance with the most recent scale of assessments for the contribution of Member States to the United Nations budget as approved by the UN General Assembly, except in the case of Contracting Parties which, in applying the UN scale of assessments, would make annual contributions to the Ramsar Convention core budget of less than CHF 1,000, in which case the annual contribution is to </w:t>
      </w:r>
      <w:r>
        <w:rPr>
          <w:rFonts w:asciiTheme="minorHAnsi" w:hAnsiTheme="minorHAnsi"/>
        </w:rPr>
        <w:t>be that amount</w:t>
      </w:r>
      <w:r w:rsidR="00821F47">
        <w:rPr>
          <w:rFonts w:asciiTheme="minorHAnsi" w:hAnsiTheme="minorHAnsi"/>
        </w:rPr>
        <w:t>. Estimated core budget contributions</w:t>
      </w:r>
      <w:r w:rsidR="005A6559">
        <w:rPr>
          <w:rFonts w:asciiTheme="minorHAnsi" w:hAnsiTheme="minorHAnsi"/>
        </w:rPr>
        <w:t xml:space="preserve"> for</w:t>
      </w:r>
      <w:r w:rsidR="007863D1">
        <w:rPr>
          <w:rFonts w:asciiTheme="minorHAnsi" w:hAnsiTheme="minorHAnsi"/>
        </w:rPr>
        <w:t xml:space="preserve"> the </w:t>
      </w:r>
      <w:r w:rsidR="005A6559">
        <w:rPr>
          <w:rFonts w:asciiTheme="minorHAnsi" w:hAnsiTheme="minorHAnsi"/>
        </w:rPr>
        <w:t xml:space="preserve">2023-2025 </w:t>
      </w:r>
      <w:r w:rsidR="007863D1">
        <w:rPr>
          <w:rFonts w:asciiTheme="minorHAnsi" w:hAnsiTheme="minorHAnsi"/>
        </w:rPr>
        <w:t xml:space="preserve">triennium </w:t>
      </w:r>
      <w:r w:rsidR="00502A28">
        <w:rPr>
          <w:rFonts w:asciiTheme="minorHAnsi" w:hAnsiTheme="minorHAnsi"/>
        </w:rPr>
        <w:t>are presented</w:t>
      </w:r>
      <w:r w:rsidR="00821F47">
        <w:rPr>
          <w:rFonts w:asciiTheme="minorHAnsi" w:hAnsiTheme="minorHAnsi"/>
        </w:rPr>
        <w:t xml:space="preserve"> in Annex </w:t>
      </w:r>
      <w:r w:rsidR="00502A28">
        <w:rPr>
          <w:rFonts w:asciiTheme="minorHAnsi" w:hAnsiTheme="minorHAnsi"/>
        </w:rPr>
        <w:t>2 of the present Resolution</w:t>
      </w:r>
      <w:r>
        <w:rPr>
          <w:rFonts w:asciiTheme="minorHAnsi" w:hAnsiTheme="minorHAnsi"/>
        </w:rPr>
        <w:t>;</w:t>
      </w:r>
      <w:r w:rsidR="00821F47">
        <w:rPr>
          <w:rFonts w:asciiTheme="minorHAnsi" w:hAnsiTheme="minorHAnsi"/>
        </w:rPr>
        <w:t xml:space="preserve"> </w:t>
      </w:r>
    </w:p>
    <w:p w14:paraId="1C370358" w14:textId="77777777" w:rsidR="00A81CC0" w:rsidRPr="001D42CA" w:rsidRDefault="00A81CC0" w:rsidP="00A81CC0">
      <w:pPr>
        <w:rPr>
          <w:rFonts w:asciiTheme="minorHAnsi" w:hAnsiTheme="minorHAnsi"/>
        </w:rPr>
      </w:pPr>
    </w:p>
    <w:p w14:paraId="058806A9" w14:textId="77777777" w:rsidR="00A81CC0" w:rsidRDefault="00A81CC0" w:rsidP="00A81CC0">
      <w:pPr>
        <w:rPr>
          <w:rFonts w:asciiTheme="minorHAnsi" w:hAnsiTheme="minorHAnsi"/>
        </w:rPr>
      </w:pPr>
      <w:r>
        <w:rPr>
          <w:rFonts w:asciiTheme="minorHAnsi" w:hAnsiTheme="minorHAnsi"/>
        </w:rPr>
        <w:t>30</w:t>
      </w:r>
      <w:r w:rsidRPr="001D42CA">
        <w:rPr>
          <w:rFonts w:asciiTheme="minorHAnsi" w:hAnsiTheme="minorHAnsi"/>
        </w:rPr>
        <w:t>.</w:t>
      </w:r>
      <w:r w:rsidRPr="001D42CA">
        <w:rPr>
          <w:rFonts w:asciiTheme="minorHAnsi" w:hAnsiTheme="minorHAnsi"/>
        </w:rPr>
        <w:tab/>
        <w:t>URGES all Contracting Parties to pay their contributions promptly by 1 January of each year, or as soon thereafter as that country’s budget cycle will permit;</w:t>
      </w:r>
    </w:p>
    <w:p w14:paraId="4E744401" w14:textId="77777777" w:rsidR="00A81CC0" w:rsidRDefault="00A81CC0" w:rsidP="00A81CC0">
      <w:pPr>
        <w:rPr>
          <w:rFonts w:asciiTheme="minorHAnsi" w:hAnsiTheme="minorHAnsi"/>
        </w:rPr>
      </w:pPr>
    </w:p>
    <w:p w14:paraId="5D61C68F" w14:textId="15B9A3D9" w:rsidR="00A81CC0" w:rsidRPr="001D42CA" w:rsidRDefault="00A81CC0" w:rsidP="00A81CC0">
      <w:pPr>
        <w:rPr>
          <w:rFonts w:asciiTheme="minorHAnsi" w:hAnsiTheme="minorHAnsi"/>
        </w:rPr>
      </w:pPr>
      <w:r>
        <w:rPr>
          <w:rFonts w:asciiTheme="minorHAnsi" w:hAnsiTheme="minorHAnsi"/>
        </w:rPr>
        <w:t>31.</w:t>
      </w:r>
      <w:r>
        <w:rPr>
          <w:rFonts w:asciiTheme="minorHAnsi" w:hAnsiTheme="minorHAnsi"/>
        </w:rPr>
        <w:tab/>
      </w:r>
      <w:r w:rsidRPr="001D42CA">
        <w:rPr>
          <w:rFonts w:asciiTheme="minorHAnsi" w:hAnsiTheme="minorHAnsi"/>
        </w:rPr>
        <w:t xml:space="preserve">EXPRESSES </w:t>
      </w:r>
      <w:r>
        <w:rPr>
          <w:rFonts w:asciiTheme="minorHAnsi" w:hAnsiTheme="minorHAnsi"/>
        </w:rPr>
        <w:t>GRATITUDE</w:t>
      </w:r>
      <w:r w:rsidRPr="001D42CA">
        <w:rPr>
          <w:rFonts w:asciiTheme="minorHAnsi" w:hAnsiTheme="minorHAnsi"/>
        </w:rPr>
        <w:t xml:space="preserve"> to the governments of </w:t>
      </w:r>
      <w:r>
        <w:rPr>
          <w:rFonts w:asciiTheme="minorHAnsi" w:hAnsiTheme="minorHAnsi"/>
        </w:rPr>
        <w:t>Finland, Germany, Norway</w:t>
      </w:r>
      <w:r w:rsidR="007863D1">
        <w:rPr>
          <w:rFonts w:asciiTheme="minorHAnsi" w:hAnsiTheme="minorHAnsi"/>
        </w:rPr>
        <w:t>, the Russian Federation</w:t>
      </w:r>
      <w:r w:rsidRPr="001D42CA">
        <w:rPr>
          <w:rFonts w:asciiTheme="minorHAnsi" w:hAnsiTheme="minorHAnsi"/>
        </w:rPr>
        <w:t xml:space="preserve"> and the United States of America and to Danone and the Nagao Natural Environment Foundation for their voluntary contributions to non-core activities;</w:t>
      </w:r>
    </w:p>
    <w:p w14:paraId="0B0B40E2" w14:textId="77777777" w:rsidR="00A81CC0" w:rsidRPr="001D42CA" w:rsidRDefault="00A81CC0" w:rsidP="00A81CC0">
      <w:pPr>
        <w:rPr>
          <w:rFonts w:asciiTheme="minorHAnsi" w:hAnsiTheme="minorHAnsi"/>
        </w:rPr>
      </w:pPr>
    </w:p>
    <w:p w14:paraId="49C4C4EA" w14:textId="77777777" w:rsidR="00A81CC0" w:rsidRPr="001D42CA" w:rsidRDefault="00A81CC0" w:rsidP="00A81CC0">
      <w:pPr>
        <w:rPr>
          <w:rFonts w:asciiTheme="minorHAnsi" w:hAnsiTheme="minorHAnsi"/>
        </w:rPr>
      </w:pPr>
      <w:r>
        <w:rPr>
          <w:rFonts w:asciiTheme="minorHAnsi" w:hAnsiTheme="minorHAnsi"/>
        </w:rPr>
        <w:t>32</w:t>
      </w:r>
      <w:r w:rsidRPr="001D42CA">
        <w:rPr>
          <w:rFonts w:asciiTheme="minorHAnsi" w:hAnsiTheme="minorHAnsi"/>
        </w:rPr>
        <w:t>.</w:t>
      </w:r>
      <w:r w:rsidRPr="001D42CA">
        <w:rPr>
          <w:rFonts w:asciiTheme="minorHAnsi" w:hAnsiTheme="minorHAnsi"/>
        </w:rPr>
        <w:tab/>
        <w:t xml:space="preserve">REAFFIRMS the decision taken at </w:t>
      </w:r>
      <w:r>
        <w:rPr>
          <w:rFonts w:asciiTheme="minorHAnsi" w:hAnsiTheme="minorHAnsi"/>
        </w:rPr>
        <w:t xml:space="preserve">the 11th meeting of the Conference of Contracting Parties (in </w:t>
      </w:r>
      <w:r w:rsidRPr="001D42CA">
        <w:rPr>
          <w:rFonts w:asciiTheme="minorHAnsi" w:hAnsiTheme="minorHAnsi"/>
        </w:rPr>
        <w:t xml:space="preserve">Resolution XI.2 on </w:t>
      </w:r>
      <w:r w:rsidRPr="001D42CA">
        <w:rPr>
          <w:rFonts w:asciiTheme="minorHAnsi" w:hAnsiTheme="minorHAnsi"/>
          <w:i/>
        </w:rPr>
        <w:t>Financial and budgetary matters</w:t>
      </w:r>
      <w:r w:rsidRPr="001D42CA">
        <w:rPr>
          <w:rFonts w:asciiTheme="minorHAnsi" w:hAnsiTheme="minorHAnsi"/>
        </w:rPr>
        <w:t>) that the Reserve Fund:</w:t>
      </w:r>
    </w:p>
    <w:p w14:paraId="1CC3224C" w14:textId="77777777" w:rsidR="00A81CC0" w:rsidRPr="001D42CA" w:rsidRDefault="00A81CC0" w:rsidP="00A81CC0">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provides for unforeseen and unavoidable expenditures;</w:t>
      </w:r>
    </w:p>
    <w:p w14:paraId="0507768F" w14:textId="77777777" w:rsidR="00A81CC0" w:rsidRPr="001D42CA" w:rsidRDefault="00A81CC0" w:rsidP="00A81CC0">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receives realized triennial core budget surpluses (or deficits);</w:t>
      </w:r>
    </w:p>
    <w:p w14:paraId="0A5C013A" w14:textId="77777777" w:rsidR="00A81CC0" w:rsidRPr="001D42CA" w:rsidRDefault="00A81CC0" w:rsidP="00A81CC0">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not be lower than 6% of the annual core budget of the Convention and not greater than 15%;</w:t>
      </w:r>
      <w:r>
        <w:rPr>
          <w:rFonts w:asciiTheme="minorHAnsi" w:eastAsia="Batang" w:hAnsiTheme="minorHAnsi" w:cs="Times New Roman"/>
          <w:sz w:val="22"/>
          <w:szCs w:val="22"/>
          <w:lang w:val="en-GB"/>
        </w:rPr>
        <w:t xml:space="preserve"> and</w:t>
      </w:r>
    </w:p>
    <w:p w14:paraId="06A7C72B" w14:textId="77777777" w:rsidR="00A81CC0" w:rsidRPr="001D42CA" w:rsidRDefault="00A81CC0" w:rsidP="00A81CC0">
      <w:pPr>
        <w:pStyle w:val="MGfulltext"/>
        <w:numPr>
          <w:ilvl w:val="1"/>
          <w:numId w:val="30"/>
        </w:numPr>
        <w:spacing w:after="0"/>
        <w:ind w:left="850" w:hanging="425"/>
        <w:rPr>
          <w:rFonts w:asciiTheme="minorHAnsi" w:eastAsia="Batang" w:hAnsiTheme="minorHAnsi" w:cs="Times New Roman"/>
          <w:sz w:val="22"/>
          <w:szCs w:val="22"/>
          <w:lang w:val="en-GB"/>
        </w:rPr>
      </w:pPr>
      <w:r w:rsidRPr="001D42CA">
        <w:rPr>
          <w:rFonts w:asciiTheme="minorHAnsi" w:eastAsia="Batang" w:hAnsiTheme="minorHAnsi" w:cs="Times New Roman"/>
          <w:sz w:val="22"/>
          <w:szCs w:val="22"/>
          <w:lang w:val="en-GB"/>
        </w:rPr>
        <w:t>should be administered by the Secretary General with the approval of the Subgroup on Finance established by the Standing Committee;</w:t>
      </w:r>
    </w:p>
    <w:p w14:paraId="6D907FD4" w14:textId="77777777" w:rsidR="00A81CC0" w:rsidRPr="001D42CA" w:rsidRDefault="00A81CC0" w:rsidP="00A81CC0">
      <w:pPr>
        <w:ind w:left="426" w:hanging="426"/>
        <w:rPr>
          <w:rFonts w:asciiTheme="minorHAnsi" w:hAnsiTheme="minorHAnsi"/>
        </w:rPr>
      </w:pPr>
    </w:p>
    <w:p w14:paraId="5B84E598" w14:textId="0DCF6B31" w:rsidR="00A81CC0" w:rsidRPr="001D42CA" w:rsidRDefault="00A81CC0" w:rsidP="00A81CC0">
      <w:pPr>
        <w:rPr>
          <w:rFonts w:asciiTheme="minorHAnsi" w:hAnsiTheme="minorHAnsi"/>
        </w:rPr>
      </w:pPr>
      <w:r>
        <w:rPr>
          <w:rFonts w:asciiTheme="minorHAnsi" w:hAnsiTheme="minorHAnsi"/>
        </w:rPr>
        <w:t>33.</w:t>
      </w:r>
      <w:r w:rsidRPr="001D42CA">
        <w:rPr>
          <w:rFonts w:asciiTheme="minorHAnsi" w:hAnsiTheme="minorHAnsi"/>
        </w:rPr>
        <w:tab/>
        <w:t xml:space="preserve">REQUESTS the Secretariat to endeavour to maintain the Reserve Fund over the </w:t>
      </w:r>
      <w:r w:rsidR="00977A64">
        <w:rPr>
          <w:rFonts w:asciiTheme="minorHAnsi" w:hAnsiTheme="minorHAnsi"/>
        </w:rPr>
        <w:t>2023-2025</w:t>
      </w:r>
      <w:r w:rsidRPr="001D42CA">
        <w:rPr>
          <w:rFonts w:asciiTheme="minorHAnsi" w:hAnsiTheme="minorHAnsi"/>
        </w:rPr>
        <w:t xml:space="preserve"> triennium and to report annually to the Standing Committee on its status and to seek the concurrence of the Subgroup on Finance prior to any use of the Fund;</w:t>
      </w:r>
    </w:p>
    <w:p w14:paraId="1468E28C" w14:textId="77777777" w:rsidR="00A81CC0" w:rsidRPr="001D42CA" w:rsidRDefault="00A81CC0" w:rsidP="00A81CC0">
      <w:pPr>
        <w:rPr>
          <w:rFonts w:asciiTheme="minorHAnsi" w:hAnsiTheme="minorHAnsi"/>
        </w:rPr>
      </w:pPr>
    </w:p>
    <w:p w14:paraId="16C7BEAC" w14:textId="694FE27B" w:rsidR="00A81CC0" w:rsidRPr="001D42CA" w:rsidRDefault="00A81CC0" w:rsidP="00A81CC0">
      <w:pPr>
        <w:rPr>
          <w:rFonts w:asciiTheme="minorHAnsi" w:hAnsiTheme="minorHAnsi"/>
        </w:rPr>
      </w:pPr>
      <w:r>
        <w:rPr>
          <w:rFonts w:asciiTheme="minorHAnsi" w:hAnsiTheme="minorHAnsi"/>
        </w:rPr>
        <w:t>34</w:t>
      </w:r>
      <w:r w:rsidRPr="001D42CA">
        <w:rPr>
          <w:rFonts w:asciiTheme="minorHAnsi" w:hAnsiTheme="minorHAnsi"/>
        </w:rPr>
        <w:t>.</w:t>
      </w:r>
      <w:r w:rsidRPr="001D42CA">
        <w:rPr>
          <w:rFonts w:asciiTheme="minorHAnsi" w:hAnsiTheme="minorHAnsi"/>
        </w:rPr>
        <w:tab/>
      </w:r>
      <w:r>
        <w:rPr>
          <w:rFonts w:asciiTheme="minorHAnsi" w:hAnsiTheme="minorHAnsi"/>
        </w:rPr>
        <w:t xml:space="preserve">REAFFIRMS the decision taken at the </w:t>
      </w:r>
      <w:r w:rsidRPr="00EA042E">
        <w:rPr>
          <w:rFonts w:asciiTheme="minorHAnsi" w:hAnsiTheme="minorHAnsi"/>
        </w:rPr>
        <w:t>13</w:t>
      </w:r>
      <w:r w:rsidRPr="00835346">
        <w:rPr>
          <w:rFonts w:asciiTheme="minorHAnsi" w:hAnsiTheme="minorHAnsi"/>
        </w:rPr>
        <w:t>th</w:t>
      </w:r>
      <w:r>
        <w:rPr>
          <w:rFonts w:asciiTheme="minorHAnsi" w:hAnsiTheme="minorHAnsi"/>
        </w:rPr>
        <w:t xml:space="preserve"> meeting of the Conference of the Contracting Parties (in Resolution XII.2 on </w:t>
      </w:r>
      <w:r w:rsidRPr="007061A4">
        <w:rPr>
          <w:rFonts w:asciiTheme="minorHAnsi" w:hAnsiTheme="minorHAnsi"/>
          <w:i/>
        </w:rPr>
        <w:t>Financial and budgetary matters</w:t>
      </w:r>
      <w:r>
        <w:rPr>
          <w:rFonts w:asciiTheme="minorHAnsi" w:hAnsiTheme="minorHAnsi"/>
        </w:rPr>
        <w:t>) that</w:t>
      </w:r>
      <w:r w:rsidRPr="001D42CA">
        <w:rPr>
          <w:rFonts w:asciiTheme="minorHAnsi" w:hAnsiTheme="minorHAnsi"/>
        </w:rPr>
        <w:t xml:space="preserve"> </w:t>
      </w:r>
      <w:r>
        <w:rPr>
          <w:rFonts w:asciiTheme="minorHAnsi" w:hAnsiTheme="minorHAnsi"/>
        </w:rPr>
        <w:t xml:space="preserve">authorizes </w:t>
      </w:r>
      <w:r w:rsidRPr="001D42CA">
        <w:rPr>
          <w:rFonts w:asciiTheme="minorHAnsi" w:hAnsiTheme="minorHAnsi"/>
        </w:rPr>
        <w:t xml:space="preserve">the Secretary General, within the rules of IUCN, to adjust the staffing levels, numbers and structure of the Secretariat </w:t>
      </w:r>
      <w:r>
        <w:rPr>
          <w:rFonts w:asciiTheme="minorHAnsi" w:hAnsiTheme="minorHAnsi"/>
        </w:rPr>
        <w:t xml:space="preserve">presented </w:t>
      </w:r>
      <w:r w:rsidRPr="001D42CA">
        <w:rPr>
          <w:rFonts w:asciiTheme="minorHAnsi" w:hAnsiTheme="minorHAnsi"/>
        </w:rPr>
        <w:t xml:space="preserve">in </w:t>
      </w:r>
      <w:r w:rsidRPr="00586541">
        <w:rPr>
          <w:rFonts w:asciiTheme="minorHAnsi" w:hAnsiTheme="minorHAnsi"/>
        </w:rPr>
        <w:t xml:space="preserve">Annex </w:t>
      </w:r>
      <w:r w:rsidR="00B36736" w:rsidRPr="00586541">
        <w:rPr>
          <w:rFonts w:asciiTheme="minorHAnsi" w:hAnsiTheme="minorHAnsi"/>
        </w:rPr>
        <w:t>3</w:t>
      </w:r>
      <w:r w:rsidR="0046217F">
        <w:rPr>
          <w:rFonts w:asciiTheme="minorHAnsi" w:hAnsiTheme="minorHAnsi"/>
        </w:rPr>
        <w:t xml:space="preserve"> of the present Resolution</w:t>
      </w:r>
      <w:r w:rsidRPr="00BB26C7">
        <w:rPr>
          <w:rFonts w:asciiTheme="minorHAnsi" w:hAnsiTheme="minorHAnsi"/>
        </w:rPr>
        <w:t>,</w:t>
      </w:r>
      <w:r w:rsidRPr="001D42CA">
        <w:rPr>
          <w:rFonts w:asciiTheme="minorHAnsi" w:hAnsiTheme="minorHAnsi"/>
        </w:rPr>
        <w:t xml:space="preserve"> provided </w:t>
      </w:r>
      <w:r>
        <w:rPr>
          <w:rFonts w:asciiTheme="minorHAnsi" w:hAnsiTheme="minorHAnsi"/>
        </w:rPr>
        <w:t xml:space="preserve">that the adjustments </w:t>
      </w:r>
      <w:r w:rsidRPr="001D42CA">
        <w:rPr>
          <w:rFonts w:asciiTheme="minorHAnsi" w:hAnsiTheme="minorHAnsi"/>
        </w:rPr>
        <w:t xml:space="preserve">are within the costs indicated and </w:t>
      </w:r>
      <w:r>
        <w:rPr>
          <w:rFonts w:asciiTheme="minorHAnsi" w:hAnsiTheme="minorHAnsi"/>
        </w:rPr>
        <w:t xml:space="preserve">made </w:t>
      </w:r>
      <w:r w:rsidRPr="001D42CA">
        <w:rPr>
          <w:rFonts w:asciiTheme="minorHAnsi" w:hAnsiTheme="minorHAnsi"/>
        </w:rPr>
        <w:t xml:space="preserve">in accordance with the 1993 </w:t>
      </w:r>
      <w:r w:rsidRPr="001D42CA">
        <w:rPr>
          <w:rFonts w:asciiTheme="minorHAnsi" w:hAnsiTheme="minorHAnsi"/>
          <w:i/>
        </w:rPr>
        <w:t>Delegation of Authority to the Secretary General of the Convention on Wetlands</w:t>
      </w:r>
      <w:r w:rsidRPr="001D42CA">
        <w:rPr>
          <w:rFonts w:asciiTheme="minorHAnsi" w:hAnsiTheme="minorHAnsi"/>
        </w:rPr>
        <w:t xml:space="preserve"> and its </w:t>
      </w:r>
      <w:r w:rsidRPr="001D42CA">
        <w:rPr>
          <w:rFonts w:asciiTheme="minorHAnsi" w:hAnsiTheme="minorHAnsi"/>
          <w:i/>
        </w:rPr>
        <w:t>Supplementary Note</w:t>
      </w:r>
      <w:r w:rsidRPr="001D42CA">
        <w:rPr>
          <w:rFonts w:asciiTheme="minorHAnsi" w:hAnsiTheme="minorHAnsi"/>
        </w:rPr>
        <w:t>;</w:t>
      </w:r>
    </w:p>
    <w:p w14:paraId="07EA8D9A" w14:textId="77777777" w:rsidR="00A81CC0" w:rsidRPr="001D42CA" w:rsidRDefault="00A81CC0" w:rsidP="00A81CC0">
      <w:pPr>
        <w:rPr>
          <w:rFonts w:asciiTheme="minorHAnsi" w:hAnsiTheme="minorHAnsi"/>
        </w:rPr>
      </w:pPr>
    </w:p>
    <w:p w14:paraId="4C46FA80" w14:textId="66E7E4FD" w:rsidR="00A81CC0" w:rsidRPr="001D42CA" w:rsidRDefault="00A81CC0" w:rsidP="00A81CC0">
      <w:pPr>
        <w:rPr>
          <w:rFonts w:asciiTheme="minorHAnsi" w:hAnsiTheme="minorHAnsi"/>
        </w:rPr>
      </w:pPr>
      <w:r>
        <w:rPr>
          <w:rFonts w:asciiTheme="minorHAnsi" w:hAnsiTheme="minorHAnsi"/>
        </w:rPr>
        <w:t>35</w:t>
      </w:r>
      <w:r w:rsidRPr="001D42CA">
        <w:rPr>
          <w:rFonts w:asciiTheme="minorHAnsi" w:hAnsiTheme="minorHAnsi"/>
        </w:rPr>
        <w:t>.</w:t>
      </w:r>
      <w:r w:rsidRPr="001D42CA">
        <w:rPr>
          <w:rFonts w:asciiTheme="minorHAnsi" w:hAnsiTheme="minorHAnsi"/>
        </w:rPr>
        <w:tab/>
      </w:r>
      <w:r w:rsidRPr="00EC60B6">
        <w:rPr>
          <w:rFonts w:asciiTheme="minorHAnsi" w:hAnsiTheme="minorHAnsi"/>
        </w:rPr>
        <w:t xml:space="preserve">NOTES with appreciation the transparency and accountability regarding Secretariat operations that the Secretary General has fostered during the past triennium; NOTES that, as a means to further enhance these efforts, the Secretariat has established a section of the Convention website to publish information to ensure transparency and accountability, including </w:t>
      </w:r>
      <w:r w:rsidRPr="00EC60B6">
        <w:rPr>
          <w:rFonts w:asciiTheme="minorHAnsi" w:hAnsiTheme="minorHAnsi"/>
          <w:i/>
        </w:rPr>
        <w:t>inter alia</w:t>
      </w:r>
      <w:r w:rsidRPr="00EC60B6">
        <w:rPr>
          <w:rFonts w:asciiTheme="minorHAnsi" w:hAnsiTheme="minorHAnsi"/>
        </w:rPr>
        <w:t>: completed and accepted audit reports; financial rules and regulations; annual reports of the Secretary General to the Standing Committee; procedures for engagement with the private sector; materials related to staff codes of conduct and professional ethics; the 1993 delegation of authority and its supplementary note; anti-fraud policies; anti-harassment policies; whistle-blower rules and protections; policies on conflict of interest; policies on gender equity and equality; and any other relevant inform</w:t>
      </w:r>
      <w:r w:rsidRPr="001D42CA">
        <w:rPr>
          <w:rFonts w:asciiTheme="minorHAnsi" w:hAnsiTheme="minorHAnsi"/>
        </w:rPr>
        <w:t>ation;</w:t>
      </w:r>
      <w:r>
        <w:rPr>
          <w:rFonts w:asciiTheme="minorHAnsi" w:hAnsiTheme="minorHAnsi"/>
        </w:rPr>
        <w:t xml:space="preserve"> and REQUESTS that the Secretariat pursue these efforts in </w:t>
      </w:r>
      <w:r w:rsidR="00812249">
        <w:rPr>
          <w:rFonts w:asciiTheme="minorHAnsi" w:hAnsiTheme="minorHAnsi"/>
        </w:rPr>
        <w:t>2023</w:t>
      </w:r>
      <w:r>
        <w:rPr>
          <w:rFonts w:asciiTheme="minorHAnsi" w:hAnsiTheme="minorHAnsi"/>
        </w:rPr>
        <w:t>-</w:t>
      </w:r>
      <w:r w:rsidR="00812249">
        <w:rPr>
          <w:rFonts w:asciiTheme="minorHAnsi" w:hAnsiTheme="minorHAnsi"/>
        </w:rPr>
        <w:t>2025</w:t>
      </w:r>
      <w:r>
        <w:rPr>
          <w:rFonts w:asciiTheme="minorHAnsi" w:hAnsiTheme="minorHAnsi"/>
        </w:rPr>
        <w:t>;</w:t>
      </w:r>
    </w:p>
    <w:p w14:paraId="5A04EB1F" w14:textId="77777777" w:rsidR="00A81CC0" w:rsidRPr="001D42CA" w:rsidRDefault="00A81CC0" w:rsidP="00A81CC0">
      <w:pPr>
        <w:rPr>
          <w:rFonts w:asciiTheme="minorHAnsi" w:hAnsiTheme="minorHAnsi"/>
        </w:rPr>
      </w:pPr>
    </w:p>
    <w:p w14:paraId="09BCF050" w14:textId="77777777" w:rsidR="00A81CC0" w:rsidRPr="001D42CA" w:rsidRDefault="00A81CC0" w:rsidP="00A81CC0">
      <w:pPr>
        <w:rPr>
          <w:rFonts w:asciiTheme="minorHAnsi" w:hAnsiTheme="minorHAnsi"/>
        </w:rPr>
      </w:pPr>
      <w:r>
        <w:rPr>
          <w:rFonts w:asciiTheme="minorHAnsi" w:hAnsiTheme="minorHAnsi"/>
        </w:rPr>
        <w:t>36</w:t>
      </w:r>
      <w:r w:rsidRPr="001D42CA">
        <w:rPr>
          <w:rFonts w:asciiTheme="minorHAnsi" w:hAnsiTheme="minorHAnsi"/>
        </w:rPr>
        <w:t>.</w:t>
      </w:r>
      <w:r w:rsidRPr="001D42CA">
        <w:rPr>
          <w:rFonts w:asciiTheme="minorHAnsi" w:hAnsiTheme="minorHAnsi"/>
        </w:rPr>
        <w:tab/>
        <w:t xml:space="preserve">REQUESTS the Secretariat to consider Contracting Parties </w:t>
      </w:r>
      <w:r>
        <w:rPr>
          <w:rFonts w:asciiTheme="minorHAnsi" w:hAnsiTheme="minorHAnsi"/>
        </w:rPr>
        <w:t xml:space="preserve">that are </w:t>
      </w:r>
      <w:r w:rsidRPr="001D42CA">
        <w:rPr>
          <w:rFonts w:asciiTheme="minorHAnsi" w:hAnsiTheme="minorHAnsi"/>
        </w:rPr>
        <w:t xml:space="preserve">on the UN Conference on Trade and Development’s </w:t>
      </w:r>
      <w:r>
        <w:rPr>
          <w:rFonts w:asciiTheme="minorHAnsi" w:hAnsiTheme="minorHAnsi"/>
        </w:rPr>
        <w:t>L</w:t>
      </w:r>
      <w:r w:rsidRPr="001D42CA">
        <w:rPr>
          <w:rFonts w:asciiTheme="minorHAnsi" w:hAnsiTheme="minorHAnsi"/>
        </w:rPr>
        <w:t>ist of Small Island Developing States (SIDS) as eligible for sponsorship for delegate travel, whether or not they are formally classified as such on economic grounds in the OECD Development Assistance Committee (DAC) list; and</w:t>
      </w:r>
    </w:p>
    <w:p w14:paraId="305BDDB1" w14:textId="77777777" w:rsidR="00A81CC0" w:rsidRPr="001D42CA" w:rsidRDefault="00A81CC0" w:rsidP="00A81CC0">
      <w:pPr>
        <w:rPr>
          <w:rFonts w:asciiTheme="minorHAnsi" w:hAnsiTheme="minorHAnsi"/>
        </w:rPr>
      </w:pPr>
    </w:p>
    <w:p w14:paraId="4F54A4B8" w14:textId="6948B1E6" w:rsidR="00A81CC0" w:rsidRDefault="00A81CC0" w:rsidP="00A81CC0">
      <w:pPr>
        <w:rPr>
          <w:rFonts w:asciiTheme="minorHAnsi" w:hAnsiTheme="minorHAnsi"/>
        </w:rPr>
      </w:pPr>
      <w:r>
        <w:rPr>
          <w:rFonts w:asciiTheme="minorHAnsi" w:hAnsiTheme="minorHAnsi"/>
        </w:rPr>
        <w:t>37</w:t>
      </w:r>
      <w:r w:rsidRPr="001D42CA">
        <w:rPr>
          <w:rFonts w:asciiTheme="minorHAnsi" w:hAnsiTheme="minorHAnsi"/>
        </w:rPr>
        <w:t>.</w:t>
      </w:r>
      <w:r w:rsidRPr="001D42CA">
        <w:rPr>
          <w:rFonts w:asciiTheme="minorHAnsi" w:hAnsiTheme="minorHAnsi"/>
        </w:rPr>
        <w:tab/>
        <w:t>CONFIRMS that th</w:t>
      </w:r>
      <w:r>
        <w:rPr>
          <w:rFonts w:asciiTheme="minorHAnsi" w:hAnsiTheme="minorHAnsi"/>
        </w:rPr>
        <w:t>e present</w:t>
      </w:r>
      <w:r w:rsidRPr="001D42CA">
        <w:rPr>
          <w:rFonts w:asciiTheme="minorHAnsi" w:hAnsiTheme="minorHAnsi"/>
        </w:rPr>
        <w:t xml:space="preserve"> Resolution and its annexes supersede Resolution XII</w:t>
      </w:r>
      <w:r>
        <w:rPr>
          <w:rFonts w:asciiTheme="minorHAnsi" w:hAnsiTheme="minorHAnsi"/>
        </w:rPr>
        <w:t>I</w:t>
      </w:r>
      <w:r w:rsidRPr="001D42CA">
        <w:rPr>
          <w:rFonts w:asciiTheme="minorHAnsi" w:hAnsiTheme="minorHAnsi"/>
        </w:rPr>
        <w:t>.</w:t>
      </w:r>
      <w:r>
        <w:rPr>
          <w:rFonts w:asciiTheme="minorHAnsi" w:hAnsiTheme="minorHAnsi"/>
        </w:rPr>
        <w:t xml:space="preserve">2 on </w:t>
      </w:r>
      <w:r>
        <w:rPr>
          <w:rFonts w:asciiTheme="minorHAnsi" w:hAnsiTheme="minorHAnsi"/>
          <w:i/>
        </w:rPr>
        <w:t>Financial and budgetary matters,</w:t>
      </w:r>
      <w:r w:rsidRPr="001D42CA">
        <w:rPr>
          <w:rFonts w:asciiTheme="minorHAnsi" w:hAnsiTheme="minorHAnsi"/>
        </w:rPr>
        <w:t xml:space="preserve"> </w:t>
      </w:r>
      <w:r w:rsidR="001D684B">
        <w:rPr>
          <w:rFonts w:asciiTheme="minorHAnsi" w:hAnsiTheme="minorHAnsi"/>
        </w:rPr>
        <w:t xml:space="preserve">Resolution ExCOP3.2 on </w:t>
      </w:r>
      <w:r w:rsidR="001D684B" w:rsidRPr="00BD39A9">
        <w:rPr>
          <w:rFonts w:asciiTheme="minorHAnsi" w:hAnsiTheme="minorHAnsi"/>
          <w:i/>
        </w:rPr>
        <w:t>Financial and budgetary matters: 2022 core budget</w:t>
      </w:r>
      <w:r w:rsidR="001D684B" w:rsidRPr="001D684B">
        <w:rPr>
          <w:rFonts w:asciiTheme="minorHAnsi" w:hAnsiTheme="minorHAnsi"/>
        </w:rPr>
        <w:t xml:space="preserve"> </w:t>
      </w:r>
      <w:r w:rsidRPr="001D42CA">
        <w:rPr>
          <w:rFonts w:asciiTheme="minorHAnsi" w:hAnsiTheme="minorHAnsi"/>
        </w:rPr>
        <w:t xml:space="preserve">and </w:t>
      </w:r>
      <w:r w:rsidRPr="00835346">
        <w:rPr>
          <w:rFonts w:asciiTheme="minorHAnsi" w:hAnsiTheme="minorHAnsi"/>
        </w:rPr>
        <w:t>paragraph 11</w:t>
      </w:r>
      <w:r w:rsidRPr="00EA042E">
        <w:rPr>
          <w:rFonts w:asciiTheme="minorHAnsi" w:hAnsiTheme="minorHAnsi"/>
        </w:rPr>
        <w:t>.a of</w:t>
      </w:r>
      <w:r w:rsidRPr="001D42CA">
        <w:rPr>
          <w:rFonts w:asciiTheme="minorHAnsi" w:hAnsiTheme="minorHAnsi"/>
        </w:rPr>
        <w:t xml:space="preserve"> Resolution VI.17</w:t>
      </w:r>
      <w:r w:rsidR="0046217F">
        <w:rPr>
          <w:rFonts w:asciiTheme="minorHAnsi" w:hAnsiTheme="minorHAnsi"/>
        </w:rPr>
        <w:t xml:space="preserve"> on </w:t>
      </w:r>
      <w:r w:rsidR="0046217F" w:rsidRPr="00BD39A9">
        <w:rPr>
          <w:rFonts w:asciiTheme="minorHAnsi" w:hAnsiTheme="minorHAnsi"/>
          <w:i/>
        </w:rPr>
        <w:t>Financial and budgetary matters</w:t>
      </w:r>
      <w:r w:rsidRPr="001D42CA">
        <w:rPr>
          <w:rFonts w:asciiTheme="minorHAnsi" w:hAnsiTheme="minorHAnsi"/>
        </w:rPr>
        <w:t>.</w:t>
      </w:r>
    </w:p>
    <w:p w14:paraId="693A8931" w14:textId="77777777" w:rsidR="007D61FD" w:rsidRDefault="007D61FD">
      <w:pPr>
        <w:rPr>
          <w:rFonts w:cs="Arial"/>
          <w:b/>
          <w:sz w:val="24"/>
          <w:szCs w:val="24"/>
        </w:rPr>
      </w:pPr>
      <w:r>
        <w:rPr>
          <w:rFonts w:cs="Arial"/>
          <w:b/>
          <w:sz w:val="24"/>
          <w:szCs w:val="24"/>
        </w:rPr>
        <w:br w:type="page"/>
      </w:r>
    </w:p>
    <w:p w14:paraId="40F4F327" w14:textId="09C5181B" w:rsidR="00ED2630" w:rsidRDefault="0049707C" w:rsidP="00A217FF">
      <w:pPr>
        <w:pStyle w:val="ListParagraph"/>
        <w:ind w:left="0" w:firstLine="0"/>
        <w:contextualSpacing w:val="0"/>
        <w:rPr>
          <w:rFonts w:cs="Arial"/>
          <w:b/>
          <w:sz w:val="24"/>
          <w:szCs w:val="24"/>
        </w:rPr>
      </w:pPr>
      <w:r w:rsidRPr="00A217FF">
        <w:rPr>
          <w:rFonts w:cs="Arial"/>
          <w:b/>
          <w:sz w:val="24"/>
          <w:szCs w:val="24"/>
        </w:rPr>
        <w:lastRenderedPageBreak/>
        <w:t xml:space="preserve">Annex </w:t>
      </w:r>
      <w:r w:rsidR="009730C7">
        <w:rPr>
          <w:rFonts w:cs="Arial"/>
          <w:b/>
          <w:sz w:val="24"/>
          <w:szCs w:val="24"/>
        </w:rPr>
        <w:t>1</w:t>
      </w:r>
      <w:r w:rsidR="009730C7">
        <w:rPr>
          <w:rStyle w:val="FootnoteReference"/>
          <w:rFonts w:cs="Arial"/>
          <w:b/>
          <w:sz w:val="24"/>
          <w:szCs w:val="24"/>
        </w:rPr>
        <w:footnoteReference w:id="3"/>
      </w:r>
    </w:p>
    <w:p w14:paraId="13B6AA51" w14:textId="30ACF0D6" w:rsidR="00701C8A" w:rsidRDefault="0049707C" w:rsidP="00A217FF">
      <w:pPr>
        <w:pStyle w:val="ListParagraph"/>
        <w:ind w:left="0" w:firstLine="0"/>
        <w:contextualSpacing w:val="0"/>
        <w:rPr>
          <w:rFonts w:cs="Arial"/>
          <w:b/>
          <w:sz w:val="24"/>
          <w:szCs w:val="24"/>
        </w:rPr>
      </w:pPr>
      <w:r w:rsidRPr="00A217FF">
        <w:rPr>
          <w:rFonts w:cs="Arial"/>
          <w:b/>
          <w:sz w:val="24"/>
          <w:szCs w:val="24"/>
        </w:rPr>
        <w:t xml:space="preserve">Proposed budget scenarios for </w:t>
      </w:r>
      <w:r w:rsidR="00235147">
        <w:rPr>
          <w:rFonts w:cs="Arial"/>
          <w:b/>
          <w:sz w:val="24"/>
          <w:szCs w:val="24"/>
        </w:rPr>
        <w:t>2023</w:t>
      </w:r>
      <w:r w:rsidR="00A26E01">
        <w:rPr>
          <w:rFonts w:cs="Arial"/>
          <w:b/>
          <w:sz w:val="24"/>
          <w:szCs w:val="24"/>
        </w:rPr>
        <w:t>-</w:t>
      </w:r>
      <w:r w:rsidR="00235147">
        <w:rPr>
          <w:rFonts w:cs="Arial"/>
          <w:b/>
          <w:sz w:val="24"/>
          <w:szCs w:val="24"/>
        </w:rPr>
        <w:t>2025</w:t>
      </w:r>
    </w:p>
    <w:p w14:paraId="6EE9E3BD" w14:textId="77777777" w:rsidR="00396932" w:rsidRDefault="00396932" w:rsidP="00A217FF">
      <w:pPr>
        <w:pStyle w:val="ListParagraph"/>
        <w:ind w:left="0" w:firstLine="0"/>
        <w:contextualSpacing w:val="0"/>
        <w:rPr>
          <w:rFonts w:cs="Arial"/>
          <w:b/>
        </w:rPr>
      </w:pPr>
    </w:p>
    <w:p w14:paraId="3BE53CA9" w14:textId="2D4C13E5" w:rsidR="0049707C" w:rsidRDefault="0049707C" w:rsidP="00A217FF">
      <w:pPr>
        <w:pStyle w:val="ListParagraph"/>
        <w:ind w:left="0" w:firstLine="0"/>
        <w:contextualSpacing w:val="0"/>
        <w:rPr>
          <w:rFonts w:cs="Arial"/>
          <w:b/>
        </w:rPr>
      </w:pPr>
      <w:r>
        <w:rPr>
          <w:rFonts w:cs="Arial"/>
          <w:b/>
        </w:rPr>
        <w:t xml:space="preserve">Scenario A, 0% increase compared to </w:t>
      </w:r>
      <w:r w:rsidR="00701C8A">
        <w:rPr>
          <w:rFonts w:cs="Arial"/>
          <w:b/>
        </w:rPr>
        <w:t>2019-2021</w:t>
      </w:r>
      <w:r>
        <w:rPr>
          <w:rFonts w:cs="Arial"/>
          <w:b/>
        </w:rPr>
        <w:t xml:space="preserve">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C03DD1" w:rsidRPr="00A217FF" w14:paraId="6C9FD006" w14:textId="0385A6AC" w:rsidTr="00FA2EB9">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tcPr>
          <w:p w14:paraId="27A52C7E" w14:textId="77777777" w:rsidR="00C03DD1" w:rsidRPr="00FA2EB9" w:rsidRDefault="00C03DD1" w:rsidP="008023CD">
            <w:pPr>
              <w:ind w:left="0" w:firstLine="0"/>
              <w:rPr>
                <w:rFonts w:asciiTheme="minorHAnsi" w:eastAsia="Times New Roman" w:hAnsiTheme="minorHAnsi" w:cs="Arial"/>
                <w:b/>
                <w:bCs/>
                <w:color w:val="1F497D"/>
                <w:sz w:val="20"/>
                <w:szCs w:val="20"/>
                <w:lang w:eastAsia="en-GB"/>
              </w:rPr>
            </w:pPr>
            <w:r w:rsidRPr="00FA2EB9">
              <w:rPr>
                <w:rFonts w:asciiTheme="minorHAnsi" w:eastAsia="Times New Roman" w:hAnsiTheme="minorHAnsi" w:cs="Arial"/>
                <w:b/>
                <w:bCs/>
                <w:color w:val="1F497D"/>
                <w:sz w:val="20"/>
                <w:szCs w:val="20"/>
                <w:lang w:eastAsia="en-GB"/>
              </w:rPr>
              <w:t xml:space="preserve">Ramsar Proposed Budget </w:t>
            </w:r>
            <w:r w:rsidR="00235147" w:rsidRPr="00FA2EB9">
              <w:rPr>
                <w:rFonts w:asciiTheme="minorHAnsi" w:eastAsia="Times New Roman" w:hAnsiTheme="minorHAnsi" w:cs="Arial"/>
                <w:b/>
                <w:bCs/>
                <w:color w:val="1F497D"/>
                <w:sz w:val="20"/>
                <w:szCs w:val="20"/>
                <w:lang w:eastAsia="en-GB"/>
              </w:rPr>
              <w:t>2023</w:t>
            </w:r>
            <w:r w:rsidRPr="00FA2EB9">
              <w:rPr>
                <w:rFonts w:asciiTheme="minorHAnsi" w:eastAsia="Times New Roman" w:hAnsiTheme="minorHAnsi" w:cs="Arial"/>
                <w:b/>
                <w:bCs/>
                <w:color w:val="1F497D"/>
                <w:sz w:val="20"/>
                <w:szCs w:val="20"/>
                <w:lang w:eastAsia="en-GB"/>
              </w:rPr>
              <w:t>-</w:t>
            </w:r>
            <w:r w:rsidR="00235147" w:rsidRPr="00FA2EB9">
              <w:rPr>
                <w:rFonts w:asciiTheme="minorHAnsi" w:eastAsia="Times New Roman" w:hAnsiTheme="minorHAnsi" w:cs="Arial"/>
                <w:b/>
                <w:bCs/>
                <w:color w:val="1F497D"/>
                <w:sz w:val="20"/>
                <w:szCs w:val="20"/>
                <w:lang w:eastAsia="en-GB"/>
              </w:rPr>
              <w:t>2025</w:t>
            </w:r>
          </w:p>
          <w:p w14:paraId="6454FB41" w14:textId="47F020F2" w:rsidR="00FA2EB9" w:rsidRPr="002D28C5" w:rsidRDefault="00FA2EB9" w:rsidP="008023CD">
            <w:pPr>
              <w:ind w:left="0" w:firstLine="0"/>
              <w:rPr>
                <w:rFonts w:asciiTheme="minorHAnsi" w:eastAsia="Times New Roman" w:hAnsiTheme="minorHAnsi" w:cs="Arial"/>
                <w:b/>
                <w:bCs/>
                <w:color w:val="1F497D"/>
                <w:sz w:val="24"/>
                <w:szCs w:val="24"/>
                <w:lang w:eastAsia="en-GB"/>
              </w:rPr>
            </w:pPr>
            <w:r w:rsidRPr="00A217FF">
              <w:rPr>
                <w:rFonts w:asciiTheme="minorHAnsi" w:eastAsia="Times New Roman" w:hAnsiTheme="minorHAnsi" w:cs="Arial"/>
                <w:b/>
                <w:bCs/>
                <w:color w:val="1F497D"/>
                <w:sz w:val="20"/>
                <w:szCs w:val="20"/>
                <w:lang w:eastAsia="en-GB"/>
              </w:rPr>
              <w:t>CHF 000'S</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2B37E0FA" w14:textId="58179E51"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8023CD" w:rsidRPr="00A217FF">
              <w:rPr>
                <w:rFonts w:asciiTheme="minorHAnsi" w:eastAsia="Times New Roman" w:hAnsiTheme="minorHAnsi" w:cs="Arial"/>
                <w:b/>
                <w:bCs/>
                <w:color w:val="1F497D"/>
                <w:sz w:val="20"/>
                <w:szCs w:val="20"/>
                <w:lang w:eastAsia="en-GB"/>
              </w:rPr>
              <w:t>20</w:t>
            </w:r>
            <w:r w:rsidR="008023CD">
              <w:rPr>
                <w:rFonts w:asciiTheme="minorHAnsi" w:eastAsia="Times New Roman" w:hAnsiTheme="minorHAnsi" w:cs="Arial"/>
                <w:b/>
                <w:bCs/>
                <w:color w:val="1F497D"/>
                <w:sz w:val="20"/>
                <w:szCs w:val="20"/>
                <w:lang w:eastAsia="en-GB"/>
              </w:rPr>
              <w:t>2</w:t>
            </w:r>
            <w:r w:rsidR="00235147">
              <w:rPr>
                <w:rFonts w:asciiTheme="minorHAnsi" w:eastAsia="Times New Roman" w:hAnsiTheme="minorHAnsi" w:cs="Arial"/>
                <w:b/>
                <w:bCs/>
                <w:color w:val="1F497D"/>
                <w:sz w:val="20"/>
                <w:szCs w:val="20"/>
                <w:lang w:eastAsia="en-GB"/>
              </w:rPr>
              <w:t>3</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19BEB409" w14:textId="28902F59"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235147" w:rsidRPr="00A217FF">
              <w:rPr>
                <w:rFonts w:asciiTheme="minorHAnsi" w:eastAsia="Times New Roman" w:hAnsiTheme="minorHAnsi" w:cs="Arial"/>
                <w:b/>
                <w:bCs/>
                <w:color w:val="1F497D"/>
                <w:sz w:val="20"/>
                <w:szCs w:val="20"/>
                <w:lang w:eastAsia="en-GB"/>
              </w:rPr>
              <w:t>20</w:t>
            </w:r>
            <w:r w:rsidR="00235147">
              <w:rPr>
                <w:rFonts w:asciiTheme="minorHAnsi" w:eastAsia="Times New Roman" w:hAnsiTheme="minorHAnsi" w:cs="Arial"/>
                <w:b/>
                <w:bCs/>
                <w:color w:val="1F497D"/>
                <w:sz w:val="20"/>
                <w:szCs w:val="20"/>
                <w:lang w:eastAsia="en-GB"/>
              </w:rPr>
              <w:t>24</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440D6F3F" w14:textId="2E4F1DD4"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235147" w:rsidRPr="00A217FF">
              <w:rPr>
                <w:rFonts w:asciiTheme="minorHAnsi" w:eastAsia="Times New Roman" w:hAnsiTheme="minorHAnsi" w:cs="Arial"/>
                <w:b/>
                <w:bCs/>
                <w:color w:val="1F497D"/>
                <w:sz w:val="20"/>
                <w:szCs w:val="20"/>
                <w:lang w:eastAsia="en-GB"/>
              </w:rPr>
              <w:t>20</w:t>
            </w:r>
            <w:r w:rsidR="00235147">
              <w:rPr>
                <w:rFonts w:asciiTheme="minorHAnsi" w:eastAsia="Times New Roman" w:hAnsiTheme="minorHAnsi" w:cs="Arial"/>
                <w:b/>
                <w:bCs/>
                <w:color w:val="1F497D"/>
                <w:sz w:val="20"/>
                <w:szCs w:val="20"/>
                <w:lang w:eastAsia="en-GB"/>
              </w:rPr>
              <w:t>25</w:t>
            </w:r>
          </w:p>
        </w:tc>
        <w:tc>
          <w:tcPr>
            <w:tcW w:w="1063" w:type="dxa"/>
            <w:tcBorders>
              <w:top w:val="single" w:sz="4" w:space="0" w:color="auto"/>
              <w:left w:val="nil"/>
              <w:bottom w:val="single" w:sz="4" w:space="0" w:color="auto"/>
              <w:right w:val="single" w:sz="4" w:space="0" w:color="auto"/>
            </w:tcBorders>
            <w:shd w:val="clear" w:color="000000" w:fill="EBF1DE"/>
            <w:vAlign w:val="center"/>
          </w:tcPr>
          <w:p w14:paraId="5271A3A5" w14:textId="5C35D5FE" w:rsidR="00C03DD1" w:rsidRPr="00A217FF" w:rsidRDefault="00C03DD1" w:rsidP="008023CD">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235147" w:rsidRPr="00A217FF">
              <w:rPr>
                <w:rFonts w:asciiTheme="minorHAnsi" w:eastAsia="Times New Roman" w:hAnsiTheme="minorHAnsi" w:cs="Arial"/>
                <w:b/>
                <w:bCs/>
                <w:color w:val="1F497D"/>
                <w:sz w:val="20"/>
                <w:szCs w:val="20"/>
                <w:lang w:eastAsia="en-GB"/>
              </w:rPr>
              <w:t>20</w:t>
            </w:r>
            <w:r w:rsidR="00235147">
              <w:rPr>
                <w:rFonts w:asciiTheme="minorHAnsi" w:eastAsia="Times New Roman" w:hAnsiTheme="minorHAnsi" w:cs="Arial"/>
                <w:b/>
                <w:bCs/>
                <w:color w:val="1F497D"/>
                <w:sz w:val="20"/>
                <w:szCs w:val="20"/>
                <w:lang w:eastAsia="en-GB"/>
              </w:rPr>
              <w:t>23</w:t>
            </w:r>
            <w:r w:rsidRPr="00A217FF">
              <w:rPr>
                <w:rFonts w:asciiTheme="minorHAnsi" w:eastAsia="Times New Roman" w:hAnsiTheme="minorHAnsi" w:cs="Arial"/>
                <w:b/>
                <w:bCs/>
                <w:color w:val="1F497D"/>
                <w:sz w:val="20"/>
                <w:szCs w:val="20"/>
                <w:lang w:eastAsia="en-GB"/>
              </w:rPr>
              <w:t>-</w:t>
            </w:r>
            <w:r w:rsidR="00235147" w:rsidRPr="00A217FF">
              <w:rPr>
                <w:rFonts w:asciiTheme="minorHAnsi" w:eastAsia="Times New Roman" w:hAnsiTheme="minorHAnsi" w:cs="Arial"/>
                <w:b/>
                <w:bCs/>
                <w:color w:val="1F497D"/>
                <w:sz w:val="20"/>
                <w:szCs w:val="20"/>
                <w:lang w:eastAsia="en-GB"/>
              </w:rPr>
              <w:t>20</w:t>
            </w:r>
            <w:r w:rsidR="00235147">
              <w:rPr>
                <w:rFonts w:asciiTheme="minorHAnsi" w:eastAsia="Times New Roman" w:hAnsiTheme="minorHAnsi" w:cs="Arial"/>
                <w:b/>
                <w:bCs/>
                <w:color w:val="1F497D"/>
                <w:sz w:val="20"/>
                <w:szCs w:val="20"/>
                <w:lang w:eastAsia="en-GB"/>
              </w:rPr>
              <w:t>25</w:t>
            </w:r>
          </w:p>
        </w:tc>
      </w:tr>
      <w:tr w:rsidR="00C03DD1" w:rsidRPr="00A217FF" w14:paraId="0F11F4FE" w14:textId="56663DBC" w:rsidTr="00FA2EB9">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70D7" w14:textId="40C2F1F9"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FD290CA" w14:textId="73D15551"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C09876C" w14:textId="3FCE9906"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49D25C2" w14:textId="73F60299"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BE500E" w14:textId="554C877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C03DD1" w:rsidRPr="00A217FF" w14:paraId="3B0344A9" w14:textId="78D29D1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EF067D3" w14:textId="31862307"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tcPr>
          <w:p w14:paraId="27CBE24B" w14:textId="185F5CE0"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w:t>
            </w:r>
            <w:r w:rsidR="0024521E" w:rsidRPr="00A217FF">
              <w:rPr>
                <w:rFonts w:asciiTheme="minorHAnsi" w:eastAsia="Times New Roman" w:hAnsiTheme="minorHAnsi" w:cs="Arial"/>
                <w:sz w:val="20"/>
                <w:szCs w:val="20"/>
                <w:lang w:eastAsia="en-GB"/>
              </w:rPr>
              <w:t>77</w:t>
            </w:r>
            <w:r w:rsidR="0024521E">
              <w:rPr>
                <w:rFonts w:asciiTheme="minorHAnsi" w:eastAsia="Times New Roman" w:hAnsiTheme="minorHAnsi"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53B52C83" w14:textId="1D7AAA8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w:t>
            </w:r>
            <w:r w:rsidR="0024521E" w:rsidRPr="00A217FF">
              <w:rPr>
                <w:rFonts w:asciiTheme="minorHAnsi" w:eastAsia="Times New Roman" w:hAnsiTheme="minorHAnsi" w:cs="Arial"/>
                <w:sz w:val="20"/>
                <w:szCs w:val="20"/>
                <w:lang w:eastAsia="en-GB"/>
              </w:rPr>
              <w:t>77</w:t>
            </w:r>
            <w:r w:rsidR="0024521E">
              <w:rPr>
                <w:rFonts w:asciiTheme="minorHAnsi" w:eastAsia="Times New Roman" w:hAnsiTheme="minorHAnsi" w:cs="Arial"/>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6879928D" w14:textId="05EDF7BC"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3,</w:t>
            </w:r>
            <w:r w:rsidR="0024521E" w:rsidRPr="00A217FF">
              <w:rPr>
                <w:rFonts w:asciiTheme="minorHAnsi" w:eastAsia="Times New Roman" w:hAnsiTheme="minorHAnsi" w:cs="Arial"/>
                <w:color w:val="000000"/>
                <w:sz w:val="20"/>
                <w:szCs w:val="20"/>
                <w:lang w:eastAsia="en-GB"/>
              </w:rPr>
              <w:t>77</w:t>
            </w:r>
            <w:r w:rsidR="0024521E">
              <w:rPr>
                <w:rFonts w:asciiTheme="minorHAnsi" w:eastAsia="Times New Roman" w:hAnsiTheme="minorHAnsi" w:cs="Arial"/>
                <w:color w:val="000000"/>
                <w:sz w:val="20"/>
                <w:szCs w:val="20"/>
                <w:lang w:eastAsia="en-GB"/>
              </w:rPr>
              <w:t>8</w:t>
            </w:r>
          </w:p>
        </w:tc>
        <w:tc>
          <w:tcPr>
            <w:tcW w:w="1063" w:type="dxa"/>
            <w:tcBorders>
              <w:top w:val="nil"/>
              <w:left w:val="nil"/>
              <w:bottom w:val="single" w:sz="4" w:space="0" w:color="auto"/>
              <w:right w:val="single" w:sz="4" w:space="0" w:color="auto"/>
            </w:tcBorders>
            <w:shd w:val="clear" w:color="auto" w:fill="auto"/>
            <w:noWrap/>
            <w:vAlign w:val="center"/>
          </w:tcPr>
          <w:p w14:paraId="1AF819D2" w14:textId="15459B3A"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11,</w:t>
            </w:r>
            <w:r w:rsidR="0024521E" w:rsidRPr="00A217FF">
              <w:rPr>
                <w:rFonts w:asciiTheme="minorHAnsi" w:eastAsia="Times New Roman" w:hAnsiTheme="minorHAnsi" w:cs="Arial"/>
                <w:sz w:val="20"/>
                <w:szCs w:val="20"/>
                <w:lang w:eastAsia="en-GB"/>
              </w:rPr>
              <w:t>33</w:t>
            </w:r>
            <w:r w:rsidR="0024521E">
              <w:rPr>
                <w:rFonts w:asciiTheme="minorHAnsi" w:eastAsia="Times New Roman" w:hAnsiTheme="minorHAnsi" w:cs="Arial"/>
                <w:sz w:val="20"/>
                <w:szCs w:val="20"/>
                <w:lang w:eastAsia="en-GB"/>
              </w:rPr>
              <w:t>4</w:t>
            </w:r>
          </w:p>
        </w:tc>
      </w:tr>
      <w:tr w:rsidR="00C03DD1" w:rsidRPr="00A217FF" w14:paraId="69CEA36A" w14:textId="6D28135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76DEA27" w14:textId="07EB6303"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EB3CA7"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1EBC9D15" w14:textId="2A60AED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24521E" w:rsidRPr="00A217FF">
              <w:rPr>
                <w:rFonts w:asciiTheme="minorHAnsi" w:eastAsia="Times New Roman" w:hAnsiTheme="minorHAnsi" w:cs="Arial"/>
                <w:sz w:val="20"/>
                <w:szCs w:val="20"/>
                <w:lang w:eastAsia="en-GB"/>
              </w:rPr>
              <w:t>06</w:t>
            </w:r>
            <w:r w:rsidR="0024521E">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44E2E9F9" w14:textId="5A1FBBAD"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w:t>
            </w:r>
            <w:r w:rsidR="0024521E" w:rsidRPr="00A217FF">
              <w:rPr>
                <w:rFonts w:asciiTheme="minorHAnsi" w:eastAsia="Times New Roman" w:hAnsiTheme="minorHAnsi" w:cs="Arial"/>
                <w:sz w:val="20"/>
                <w:szCs w:val="20"/>
                <w:lang w:eastAsia="en-GB"/>
              </w:rPr>
              <w:t>06</w:t>
            </w:r>
            <w:r w:rsidR="0024521E">
              <w:rPr>
                <w:rFonts w:asciiTheme="minorHAnsi" w:eastAsia="Times New Roman" w:hAnsiTheme="minorHAnsi" w:cs="Arial"/>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5036C9E7" w14:textId="0E6FD2B0"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w:t>
            </w:r>
            <w:r w:rsidR="0024521E" w:rsidRPr="00A217FF">
              <w:rPr>
                <w:rFonts w:asciiTheme="minorHAnsi" w:eastAsia="Times New Roman" w:hAnsiTheme="minorHAnsi" w:cs="Arial"/>
                <w:color w:val="000000"/>
                <w:sz w:val="20"/>
                <w:szCs w:val="20"/>
                <w:lang w:eastAsia="en-GB"/>
              </w:rPr>
              <w:t>06</w:t>
            </w:r>
            <w:r w:rsidR="0024521E">
              <w:rPr>
                <w:rFonts w:asciiTheme="minorHAnsi" w:eastAsia="Times New Roman" w:hAnsiTheme="minorHAnsi" w:cs="Arial"/>
                <w:color w:val="000000"/>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tcPr>
          <w:p w14:paraId="60EC7197" w14:textId="72F2608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w:t>
            </w:r>
            <w:r w:rsidR="0024521E" w:rsidRPr="00A217FF">
              <w:rPr>
                <w:rFonts w:asciiTheme="minorHAnsi" w:eastAsia="Times New Roman" w:hAnsiTheme="minorHAnsi" w:cs="Arial"/>
                <w:sz w:val="20"/>
                <w:szCs w:val="20"/>
                <w:lang w:eastAsia="en-GB"/>
              </w:rPr>
              <w:t>19</w:t>
            </w:r>
            <w:r w:rsidR="0024521E">
              <w:rPr>
                <w:rFonts w:asciiTheme="minorHAnsi" w:eastAsia="Times New Roman" w:hAnsiTheme="minorHAnsi" w:cs="Arial"/>
                <w:sz w:val="20"/>
                <w:szCs w:val="20"/>
                <w:lang w:eastAsia="en-GB"/>
              </w:rPr>
              <w:t>8</w:t>
            </w:r>
          </w:p>
        </w:tc>
      </w:tr>
      <w:tr w:rsidR="00C03DD1" w:rsidRPr="00A217FF" w14:paraId="6743758F" w14:textId="471CCC7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760197C" w14:textId="18F8BD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tcPr>
          <w:p w14:paraId="7CBE8D2C" w14:textId="264AA716"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225</w:t>
            </w:r>
          </w:p>
        </w:tc>
        <w:tc>
          <w:tcPr>
            <w:tcW w:w="1063" w:type="dxa"/>
            <w:tcBorders>
              <w:top w:val="nil"/>
              <w:left w:val="nil"/>
              <w:bottom w:val="single" w:sz="4" w:space="0" w:color="auto"/>
              <w:right w:val="single" w:sz="4" w:space="0" w:color="auto"/>
            </w:tcBorders>
            <w:shd w:val="clear" w:color="auto" w:fill="auto"/>
            <w:noWrap/>
            <w:vAlign w:val="center"/>
          </w:tcPr>
          <w:p w14:paraId="353ADD1A" w14:textId="5320A44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225</w:t>
            </w:r>
          </w:p>
        </w:tc>
        <w:tc>
          <w:tcPr>
            <w:tcW w:w="1063" w:type="dxa"/>
            <w:tcBorders>
              <w:top w:val="nil"/>
              <w:left w:val="nil"/>
              <w:bottom w:val="single" w:sz="4" w:space="0" w:color="auto"/>
              <w:right w:val="single" w:sz="4" w:space="0" w:color="auto"/>
            </w:tcBorders>
            <w:shd w:val="clear" w:color="auto" w:fill="auto"/>
            <w:noWrap/>
            <w:vAlign w:val="center"/>
          </w:tcPr>
          <w:p w14:paraId="2E40FBB3" w14:textId="2306B37E"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225</w:t>
            </w:r>
          </w:p>
        </w:tc>
        <w:tc>
          <w:tcPr>
            <w:tcW w:w="1063" w:type="dxa"/>
            <w:tcBorders>
              <w:top w:val="nil"/>
              <w:left w:val="nil"/>
              <w:bottom w:val="single" w:sz="4" w:space="0" w:color="auto"/>
              <w:right w:val="single" w:sz="4" w:space="0" w:color="auto"/>
            </w:tcBorders>
            <w:shd w:val="clear" w:color="auto" w:fill="auto"/>
            <w:noWrap/>
            <w:vAlign w:val="center"/>
          </w:tcPr>
          <w:p w14:paraId="0E04BFEC" w14:textId="1B4AE382"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675</w:t>
            </w:r>
          </w:p>
        </w:tc>
      </w:tr>
      <w:tr w:rsidR="00C03DD1" w:rsidRPr="00A217FF" w14:paraId="1F58C44D" w14:textId="4688A4F1" w:rsidTr="00FA2EB9">
        <w:tc>
          <w:tcPr>
            <w:tcW w:w="4962" w:type="dxa"/>
            <w:tcBorders>
              <w:top w:val="nil"/>
              <w:left w:val="single" w:sz="4" w:space="0" w:color="auto"/>
              <w:bottom w:val="nil"/>
              <w:right w:val="single" w:sz="4" w:space="0" w:color="auto"/>
            </w:tcBorders>
            <w:shd w:val="clear" w:color="auto" w:fill="auto"/>
            <w:noWrap/>
            <w:vAlign w:val="center"/>
          </w:tcPr>
          <w:p w14:paraId="2201CAF7" w14:textId="7B62056D"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tcPr>
          <w:p w14:paraId="39D41B4E" w14:textId="67E29B05"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tcPr>
          <w:p w14:paraId="1928544F" w14:textId="7B89933E"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tcPr>
          <w:p w14:paraId="3B370D6D" w14:textId="0A0BA36F"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tcPr>
          <w:p w14:paraId="4A0AE750" w14:textId="1987CE8C"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36</w:t>
            </w:r>
          </w:p>
        </w:tc>
      </w:tr>
      <w:tr w:rsidR="00C03DD1" w:rsidRPr="00A217FF" w14:paraId="0CA4ACC0" w14:textId="5E6F5EC6"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2B6F8874" w14:textId="564F1EE7"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0D292BE" w14:textId="36B19934"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59548399" w14:textId="51D0148F"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A497919" w14:textId="456F16F2"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0FB778DF" w14:textId="7A77150A"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15,243</w:t>
            </w:r>
          </w:p>
        </w:tc>
      </w:tr>
      <w:tr w:rsidR="00C03DD1" w:rsidRPr="00A217FF" w14:paraId="0322AA29" w14:textId="3DFA3111" w:rsidTr="00FA2EB9">
        <w:trPr>
          <w:trHeight w:val="397"/>
        </w:trPr>
        <w:tc>
          <w:tcPr>
            <w:tcW w:w="4962" w:type="dxa"/>
            <w:tcBorders>
              <w:top w:val="nil"/>
              <w:left w:val="single" w:sz="4" w:space="0" w:color="auto"/>
              <w:bottom w:val="single" w:sz="4" w:space="0" w:color="auto"/>
              <w:right w:val="single" w:sz="4" w:space="0" w:color="auto"/>
            </w:tcBorders>
            <w:shd w:val="clear" w:color="auto" w:fill="auto"/>
            <w:noWrap/>
            <w:vAlign w:val="bottom"/>
          </w:tcPr>
          <w:p w14:paraId="2483FBE5" w14:textId="6C322A9E"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tcPr>
          <w:p w14:paraId="7663583B" w14:textId="4F2F7F44"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5C3CB9AE" w14:textId="273C4BAA"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20AC37EE" w14:textId="1AB4DAD8" w:rsidR="00C03DD1" w:rsidRPr="00A217FF" w:rsidRDefault="00C03DD1" w:rsidP="00A217FF">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tcPr>
          <w:p w14:paraId="09EA78A3" w14:textId="34617AE8" w:rsidR="00C03DD1" w:rsidRPr="00A217FF" w:rsidRDefault="00C03DD1"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w:t>
            </w:r>
          </w:p>
        </w:tc>
      </w:tr>
      <w:tr w:rsidR="00C03DD1" w:rsidRPr="00A217FF" w14:paraId="5F0671D0" w14:textId="341BFF8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63E6890F" w14:textId="163A0632" w:rsidR="00C03DD1" w:rsidRPr="00A217FF" w:rsidRDefault="00A217FF" w:rsidP="00A217FF">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w:t>
            </w:r>
            <w:r w:rsidR="00C03DD1" w:rsidRPr="00A217FF">
              <w:rPr>
                <w:rFonts w:asciiTheme="minorHAnsi" w:eastAsia="Times New Roman" w:hAnsiTheme="minorHAnsi" w:cs="Arial"/>
                <w:b/>
                <w:bCs/>
                <w:color w:val="000000"/>
                <w:sz w:val="20"/>
                <w:szCs w:val="20"/>
                <w:lang w:eastAsia="en-GB"/>
              </w:rPr>
              <w:t xml:space="preserve"> Secretariat Senior Management</w:t>
            </w:r>
            <w:r w:rsidR="008C718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tcPr>
          <w:p w14:paraId="1E24FE10" w14:textId="576F37BF"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050</w:t>
            </w:r>
          </w:p>
        </w:tc>
        <w:tc>
          <w:tcPr>
            <w:tcW w:w="1063" w:type="dxa"/>
            <w:tcBorders>
              <w:top w:val="nil"/>
              <w:left w:val="nil"/>
              <w:bottom w:val="single" w:sz="4" w:space="0" w:color="auto"/>
              <w:right w:val="single" w:sz="4" w:space="0" w:color="auto"/>
            </w:tcBorders>
            <w:shd w:val="clear" w:color="000000" w:fill="C4D79B"/>
            <w:noWrap/>
            <w:vAlign w:val="center"/>
          </w:tcPr>
          <w:p w14:paraId="0C336EBA" w14:textId="60BA8682"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062</w:t>
            </w:r>
          </w:p>
        </w:tc>
        <w:tc>
          <w:tcPr>
            <w:tcW w:w="1063" w:type="dxa"/>
            <w:tcBorders>
              <w:top w:val="nil"/>
              <w:left w:val="nil"/>
              <w:bottom w:val="single" w:sz="4" w:space="0" w:color="auto"/>
              <w:right w:val="single" w:sz="4" w:space="0" w:color="auto"/>
            </w:tcBorders>
            <w:shd w:val="clear" w:color="000000" w:fill="C4D79B"/>
            <w:noWrap/>
            <w:vAlign w:val="center"/>
          </w:tcPr>
          <w:p w14:paraId="2C2B90EA" w14:textId="6EC7072F"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057</w:t>
            </w:r>
          </w:p>
        </w:tc>
        <w:tc>
          <w:tcPr>
            <w:tcW w:w="1063" w:type="dxa"/>
            <w:tcBorders>
              <w:top w:val="nil"/>
              <w:left w:val="nil"/>
              <w:bottom w:val="single" w:sz="4" w:space="0" w:color="auto"/>
              <w:right w:val="single" w:sz="4" w:space="0" w:color="auto"/>
            </w:tcBorders>
            <w:shd w:val="clear" w:color="000000" w:fill="C4D79B"/>
            <w:noWrap/>
            <w:vAlign w:val="center"/>
          </w:tcPr>
          <w:p w14:paraId="1E633574" w14:textId="646B8DBC"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w:t>
            </w:r>
            <w:r w:rsidR="0024521E">
              <w:rPr>
                <w:rFonts w:asciiTheme="minorHAnsi" w:eastAsia="Times New Roman" w:hAnsiTheme="minorHAnsi" w:cs="Arial"/>
                <w:b/>
                <w:bCs/>
                <w:color w:val="000000"/>
                <w:sz w:val="20"/>
                <w:szCs w:val="20"/>
                <w:lang w:eastAsia="en-GB"/>
              </w:rPr>
              <w:t>169</w:t>
            </w:r>
          </w:p>
        </w:tc>
      </w:tr>
      <w:tr w:rsidR="00C03DD1" w:rsidRPr="00A217FF" w14:paraId="085455BF" w14:textId="0D78333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492E21" w14:textId="0D294249"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337B5B3E" w14:textId="02E0ADF6"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1,010</w:t>
            </w:r>
          </w:p>
        </w:tc>
        <w:tc>
          <w:tcPr>
            <w:tcW w:w="1063" w:type="dxa"/>
            <w:tcBorders>
              <w:top w:val="nil"/>
              <w:left w:val="nil"/>
              <w:bottom w:val="single" w:sz="4" w:space="0" w:color="auto"/>
              <w:right w:val="single" w:sz="4" w:space="0" w:color="auto"/>
            </w:tcBorders>
            <w:shd w:val="clear" w:color="auto" w:fill="auto"/>
            <w:noWrap/>
            <w:vAlign w:val="center"/>
          </w:tcPr>
          <w:p w14:paraId="1E68164B" w14:textId="007E55C4"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1,022</w:t>
            </w:r>
          </w:p>
        </w:tc>
        <w:tc>
          <w:tcPr>
            <w:tcW w:w="1063" w:type="dxa"/>
            <w:tcBorders>
              <w:top w:val="nil"/>
              <w:left w:val="nil"/>
              <w:bottom w:val="single" w:sz="4" w:space="0" w:color="auto"/>
              <w:right w:val="single" w:sz="4" w:space="0" w:color="auto"/>
            </w:tcBorders>
            <w:shd w:val="clear" w:color="auto" w:fill="auto"/>
            <w:noWrap/>
            <w:vAlign w:val="center"/>
          </w:tcPr>
          <w:p w14:paraId="1A2BFAA3" w14:textId="1C8015F8" w:rsidR="00C03DD1" w:rsidRPr="00A217FF" w:rsidRDefault="00A22E7B"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1,017</w:t>
            </w:r>
          </w:p>
        </w:tc>
        <w:tc>
          <w:tcPr>
            <w:tcW w:w="1063" w:type="dxa"/>
            <w:tcBorders>
              <w:top w:val="nil"/>
              <w:left w:val="nil"/>
              <w:bottom w:val="single" w:sz="4" w:space="0" w:color="auto"/>
              <w:right w:val="single" w:sz="4" w:space="0" w:color="auto"/>
            </w:tcBorders>
            <w:shd w:val="clear" w:color="auto" w:fill="auto"/>
            <w:noWrap/>
            <w:vAlign w:val="center"/>
          </w:tcPr>
          <w:p w14:paraId="243B0C51" w14:textId="4EBCCA59" w:rsidR="00C03DD1" w:rsidRPr="00A217FF" w:rsidRDefault="00A22E7B"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00F776A9">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049</w:t>
            </w:r>
          </w:p>
        </w:tc>
      </w:tr>
      <w:tr w:rsidR="00C03DD1" w:rsidRPr="00A217FF" w14:paraId="7C1BB8A0" w14:textId="183DD24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66A3D75" w14:textId="7070F3C3" w:rsidR="00C03DD1" w:rsidRPr="00A217FF" w:rsidRDefault="00F776A9"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C46667" w14:textId="3844770D" w:rsidR="00C03DD1" w:rsidRPr="00A217FF" w:rsidRDefault="00F776A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0D996067" w14:textId="35980743" w:rsidR="00C03DD1" w:rsidRPr="00A217FF" w:rsidRDefault="00F776A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501400DF" w14:textId="245B7181" w:rsidR="00C03DD1" w:rsidRPr="00A217FF" w:rsidRDefault="00F776A9"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tcPr>
          <w:p w14:paraId="2A72405B" w14:textId="631E255F" w:rsidR="00C03DD1" w:rsidRPr="00A217FF" w:rsidRDefault="00F776A9"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120</w:t>
            </w:r>
          </w:p>
        </w:tc>
      </w:tr>
      <w:tr w:rsidR="00C03DD1" w:rsidRPr="00A217FF" w14:paraId="5E836945" w14:textId="7923D565"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E86BC99" w14:textId="352EB6C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B. </w:t>
            </w:r>
            <w:r w:rsidR="00C03DD1" w:rsidRPr="00A217FF">
              <w:rPr>
                <w:rFonts w:asciiTheme="minorHAnsi" w:eastAsia="Times New Roman" w:hAnsiTheme="minorHAnsi" w:cs="Arial"/>
                <w:b/>
                <w:bCs/>
                <w:sz w:val="20"/>
                <w:szCs w:val="20"/>
                <w:lang w:eastAsia="en-GB"/>
              </w:rPr>
              <w:t>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tcPr>
          <w:p w14:paraId="21FE17C5" w14:textId="168CA09B"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508</w:t>
            </w:r>
          </w:p>
        </w:tc>
        <w:tc>
          <w:tcPr>
            <w:tcW w:w="1063" w:type="dxa"/>
            <w:tcBorders>
              <w:top w:val="nil"/>
              <w:left w:val="nil"/>
              <w:bottom w:val="single" w:sz="4" w:space="0" w:color="auto"/>
              <w:right w:val="single" w:sz="4" w:space="0" w:color="auto"/>
            </w:tcBorders>
            <w:shd w:val="clear" w:color="000000" w:fill="C4D79B"/>
            <w:noWrap/>
            <w:vAlign w:val="center"/>
          </w:tcPr>
          <w:p w14:paraId="2BE2A068" w14:textId="09ACF7CE"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508</w:t>
            </w:r>
          </w:p>
        </w:tc>
        <w:tc>
          <w:tcPr>
            <w:tcW w:w="1063" w:type="dxa"/>
            <w:tcBorders>
              <w:top w:val="nil"/>
              <w:left w:val="nil"/>
              <w:bottom w:val="single" w:sz="4" w:space="0" w:color="auto"/>
              <w:right w:val="single" w:sz="4" w:space="0" w:color="auto"/>
            </w:tcBorders>
            <w:shd w:val="clear" w:color="000000" w:fill="C4D79B"/>
            <w:noWrap/>
            <w:vAlign w:val="center"/>
          </w:tcPr>
          <w:p w14:paraId="30308655" w14:textId="07EC554A" w:rsidR="00C03DD1" w:rsidRPr="00A217FF" w:rsidRDefault="0024521E"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508</w:t>
            </w:r>
          </w:p>
        </w:tc>
        <w:tc>
          <w:tcPr>
            <w:tcW w:w="1063" w:type="dxa"/>
            <w:tcBorders>
              <w:top w:val="nil"/>
              <w:left w:val="nil"/>
              <w:bottom w:val="single" w:sz="4" w:space="0" w:color="auto"/>
              <w:right w:val="single" w:sz="4" w:space="0" w:color="auto"/>
            </w:tcBorders>
            <w:shd w:val="clear" w:color="000000" w:fill="C4D79B"/>
            <w:noWrap/>
            <w:vAlign w:val="center"/>
          </w:tcPr>
          <w:p w14:paraId="509E2878" w14:textId="1090B0D5" w:rsidR="00C03DD1" w:rsidRPr="00A217FF" w:rsidRDefault="00F776A9"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524</w:t>
            </w:r>
          </w:p>
        </w:tc>
      </w:tr>
      <w:tr w:rsidR="00C03DD1" w:rsidRPr="00A217FF" w14:paraId="099DAA96" w14:textId="388875D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726A688F" w14:textId="19DC90A8"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773A36BF" w14:textId="557F8886" w:rsidR="00C03DD1" w:rsidRPr="00A217FF" w:rsidRDefault="00F776A9"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r w:rsidR="004F1CDC">
              <w:rPr>
                <w:rFonts w:asciiTheme="minorHAnsi" w:eastAsia="Times New Roman" w:hAnsiTheme="minorHAnsi" w:cs="Arial"/>
                <w:sz w:val="20"/>
                <w:szCs w:val="20"/>
                <w:lang w:eastAsia="en-GB"/>
              </w:rPr>
              <w:t>2</w:t>
            </w:r>
          </w:p>
        </w:tc>
        <w:tc>
          <w:tcPr>
            <w:tcW w:w="1063" w:type="dxa"/>
            <w:tcBorders>
              <w:top w:val="nil"/>
              <w:left w:val="nil"/>
              <w:bottom w:val="single" w:sz="4" w:space="0" w:color="auto"/>
              <w:right w:val="single" w:sz="4" w:space="0" w:color="auto"/>
            </w:tcBorders>
            <w:shd w:val="clear" w:color="auto" w:fill="auto"/>
            <w:noWrap/>
            <w:vAlign w:val="center"/>
          </w:tcPr>
          <w:p w14:paraId="0F5346E2" w14:textId="3DA63621"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352</w:t>
            </w:r>
          </w:p>
        </w:tc>
        <w:tc>
          <w:tcPr>
            <w:tcW w:w="1063" w:type="dxa"/>
            <w:tcBorders>
              <w:top w:val="nil"/>
              <w:left w:val="nil"/>
              <w:bottom w:val="single" w:sz="4" w:space="0" w:color="auto"/>
              <w:right w:val="single" w:sz="4" w:space="0" w:color="auto"/>
            </w:tcBorders>
            <w:shd w:val="clear" w:color="auto" w:fill="auto"/>
            <w:noWrap/>
            <w:vAlign w:val="center"/>
          </w:tcPr>
          <w:p w14:paraId="08D30B92" w14:textId="2C775333" w:rsidR="00C03DD1" w:rsidRPr="00A217FF" w:rsidRDefault="002452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352</w:t>
            </w:r>
          </w:p>
        </w:tc>
        <w:tc>
          <w:tcPr>
            <w:tcW w:w="1063" w:type="dxa"/>
            <w:tcBorders>
              <w:top w:val="nil"/>
              <w:left w:val="nil"/>
              <w:bottom w:val="single" w:sz="4" w:space="0" w:color="auto"/>
              <w:right w:val="single" w:sz="4" w:space="0" w:color="auto"/>
            </w:tcBorders>
            <w:shd w:val="clear" w:color="auto" w:fill="auto"/>
            <w:noWrap/>
            <w:vAlign w:val="center"/>
          </w:tcPr>
          <w:p w14:paraId="236F8DBF" w14:textId="6AD33D58" w:rsidR="00C03DD1" w:rsidRPr="00A217FF" w:rsidRDefault="00F776A9"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24521E">
              <w:rPr>
                <w:rFonts w:asciiTheme="minorHAnsi" w:eastAsia="Times New Roman" w:hAnsiTheme="minorHAnsi" w:cs="Arial"/>
                <w:sz w:val="20"/>
                <w:szCs w:val="20"/>
                <w:lang w:eastAsia="en-GB"/>
              </w:rPr>
              <w:t>056</w:t>
            </w:r>
          </w:p>
        </w:tc>
      </w:tr>
      <w:tr w:rsidR="00C03DD1" w:rsidRPr="00A217FF" w14:paraId="1AB52642" w14:textId="54380B00"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8890B3C" w14:textId="042E030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EB3CA7">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tcPr>
          <w:p w14:paraId="4C80CA59" w14:textId="4C0E3A32"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03DF921A" w14:textId="72C6B4AD"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2F493C9" w14:textId="06A493CC"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6BD66387" w14:textId="4DBDD516"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90</w:t>
            </w:r>
          </w:p>
        </w:tc>
      </w:tr>
      <w:tr w:rsidR="00C03DD1" w:rsidRPr="00A217FF" w14:paraId="2A814A98" w14:textId="0F832C1B"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2898154" w14:textId="0E2E831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tcPr>
          <w:p w14:paraId="603334B4" w14:textId="353455E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779B848" w14:textId="33D007D6"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w:t>
            </w: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039F624D" w14:textId="4EC967D2"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148AC3AC" w14:textId="1FA0BD48"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180</w:t>
            </w:r>
          </w:p>
        </w:tc>
      </w:tr>
      <w:tr w:rsidR="00C03DD1" w:rsidRPr="00A217FF" w14:paraId="1E260324" w14:textId="3B58198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D176A08" w14:textId="2A8A588C"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EB3CA7"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tcPr>
          <w:p w14:paraId="464B9351" w14:textId="748A2C66"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tcPr>
          <w:p w14:paraId="5C5F5F2B" w14:textId="44E54F95"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tcPr>
          <w:p w14:paraId="51D2DF2B" w14:textId="2C2ACF49" w:rsidR="00C03DD1" w:rsidRPr="00A217FF" w:rsidRDefault="002452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tcPr>
          <w:p w14:paraId="21C859B4" w14:textId="33B4A966" w:rsidR="00C03DD1" w:rsidRPr="00A217FF" w:rsidRDefault="0024521E"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168</w:t>
            </w:r>
          </w:p>
        </w:tc>
      </w:tr>
      <w:tr w:rsidR="00A6664E" w:rsidRPr="00A217FF" w14:paraId="56EA109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0C8478" w14:textId="6F91B3DD"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5442B01B" w14:textId="1BE9AFDB"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1D6AE4B6" w14:textId="23A9FF9C"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28D4D8FC" w14:textId="2EDEB0C2"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0894FE3D" w14:textId="0453ABAD"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r>
      <w:tr w:rsidR="00C03DD1" w:rsidRPr="00A217FF" w14:paraId="0BC459A1" w14:textId="7C1AEAC0"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353511F" w14:textId="0D5B5C2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C. </w:t>
            </w:r>
            <w:r w:rsidR="00C03DD1" w:rsidRPr="00A217FF">
              <w:rPr>
                <w:rFonts w:asciiTheme="minorHAnsi" w:eastAsia="Times New Roman" w:hAnsiTheme="minorHAnsi" w:cs="Arial"/>
                <w:b/>
                <w:bCs/>
                <w:sz w:val="20"/>
                <w:szCs w:val="20"/>
                <w:lang w:eastAsia="en-GB"/>
              </w:rPr>
              <w:t>Regional Advice and Support</w:t>
            </w:r>
          </w:p>
        </w:tc>
        <w:tc>
          <w:tcPr>
            <w:tcW w:w="1063" w:type="dxa"/>
            <w:tcBorders>
              <w:top w:val="nil"/>
              <w:left w:val="nil"/>
              <w:bottom w:val="single" w:sz="4" w:space="0" w:color="auto"/>
              <w:right w:val="single" w:sz="4" w:space="0" w:color="auto"/>
            </w:tcBorders>
            <w:shd w:val="clear" w:color="000000" w:fill="C4D79B"/>
            <w:noWrap/>
            <w:vAlign w:val="center"/>
          </w:tcPr>
          <w:p w14:paraId="1E5BF252" w14:textId="34D37098"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309</w:t>
            </w:r>
          </w:p>
        </w:tc>
        <w:tc>
          <w:tcPr>
            <w:tcW w:w="1063" w:type="dxa"/>
            <w:tcBorders>
              <w:top w:val="nil"/>
              <w:left w:val="nil"/>
              <w:bottom w:val="single" w:sz="4" w:space="0" w:color="auto"/>
              <w:right w:val="single" w:sz="4" w:space="0" w:color="auto"/>
            </w:tcBorders>
            <w:shd w:val="clear" w:color="000000" w:fill="C4D79B"/>
            <w:noWrap/>
            <w:vAlign w:val="center"/>
          </w:tcPr>
          <w:p w14:paraId="486C0862" w14:textId="2E934196" w:rsidR="00C03DD1" w:rsidRPr="00A217FF" w:rsidRDefault="00A6664E" w:rsidP="00A6664E">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316</w:t>
            </w:r>
          </w:p>
        </w:tc>
        <w:tc>
          <w:tcPr>
            <w:tcW w:w="1063" w:type="dxa"/>
            <w:tcBorders>
              <w:top w:val="nil"/>
              <w:left w:val="nil"/>
              <w:bottom w:val="single" w:sz="4" w:space="0" w:color="auto"/>
              <w:right w:val="single" w:sz="4" w:space="0" w:color="auto"/>
            </w:tcBorders>
            <w:shd w:val="clear" w:color="000000" w:fill="C4D79B"/>
            <w:noWrap/>
            <w:vAlign w:val="center"/>
          </w:tcPr>
          <w:p w14:paraId="738A7436" w14:textId="6247E8D3"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318</w:t>
            </w:r>
          </w:p>
        </w:tc>
        <w:tc>
          <w:tcPr>
            <w:tcW w:w="1063" w:type="dxa"/>
            <w:tcBorders>
              <w:top w:val="nil"/>
              <w:left w:val="nil"/>
              <w:bottom w:val="single" w:sz="4" w:space="0" w:color="auto"/>
              <w:right w:val="single" w:sz="4" w:space="0" w:color="auto"/>
            </w:tcBorders>
            <w:shd w:val="clear" w:color="000000" w:fill="C4D79B"/>
            <w:noWrap/>
            <w:vAlign w:val="center"/>
          </w:tcPr>
          <w:p w14:paraId="219928F1" w14:textId="7BBBDA3A"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w:t>
            </w:r>
            <w:r w:rsidR="0024521E">
              <w:rPr>
                <w:rFonts w:asciiTheme="minorHAnsi" w:eastAsia="Times New Roman" w:hAnsiTheme="minorHAnsi" w:cs="Arial"/>
                <w:b/>
                <w:bCs/>
                <w:color w:val="000000"/>
                <w:sz w:val="20"/>
                <w:szCs w:val="20"/>
                <w:lang w:eastAsia="en-GB"/>
              </w:rPr>
              <w:t>943</w:t>
            </w:r>
          </w:p>
        </w:tc>
      </w:tr>
      <w:tr w:rsidR="00C03DD1" w:rsidRPr="00A217FF" w14:paraId="079E6B2B" w14:textId="1B43D971"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6AF322F" w14:textId="70AFD70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0A24ED80" w14:textId="24DA3B2F"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24521E">
              <w:rPr>
                <w:rFonts w:asciiTheme="minorHAnsi" w:eastAsia="Times New Roman" w:hAnsiTheme="minorHAnsi" w:cs="Arial"/>
                <w:sz w:val="20"/>
                <w:szCs w:val="20"/>
                <w:lang w:eastAsia="en-GB"/>
              </w:rPr>
              <w:t>242</w:t>
            </w:r>
          </w:p>
        </w:tc>
        <w:tc>
          <w:tcPr>
            <w:tcW w:w="1063" w:type="dxa"/>
            <w:tcBorders>
              <w:top w:val="nil"/>
              <w:left w:val="nil"/>
              <w:bottom w:val="single" w:sz="4" w:space="0" w:color="auto"/>
              <w:right w:val="single" w:sz="4" w:space="0" w:color="auto"/>
            </w:tcBorders>
            <w:shd w:val="clear" w:color="auto" w:fill="auto"/>
            <w:noWrap/>
            <w:vAlign w:val="center"/>
          </w:tcPr>
          <w:p w14:paraId="45B7F25C" w14:textId="631D40BB"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24521E">
              <w:rPr>
                <w:rFonts w:asciiTheme="minorHAnsi" w:eastAsia="Times New Roman" w:hAnsiTheme="minorHAnsi" w:cs="Arial"/>
                <w:sz w:val="20"/>
                <w:szCs w:val="20"/>
                <w:lang w:eastAsia="en-GB"/>
              </w:rPr>
              <w:t>249</w:t>
            </w:r>
          </w:p>
        </w:tc>
        <w:tc>
          <w:tcPr>
            <w:tcW w:w="1063" w:type="dxa"/>
            <w:tcBorders>
              <w:top w:val="nil"/>
              <w:left w:val="nil"/>
              <w:bottom w:val="single" w:sz="4" w:space="0" w:color="auto"/>
              <w:right w:val="single" w:sz="4" w:space="0" w:color="auto"/>
            </w:tcBorders>
            <w:shd w:val="clear" w:color="auto" w:fill="auto"/>
            <w:noWrap/>
            <w:vAlign w:val="center"/>
          </w:tcPr>
          <w:p w14:paraId="3CD9895D" w14:textId="74492AC9"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w:t>
            </w:r>
            <w:r w:rsidR="0024521E">
              <w:rPr>
                <w:rFonts w:asciiTheme="minorHAnsi" w:eastAsia="Times New Roman" w:hAnsiTheme="minorHAnsi" w:cs="Arial"/>
                <w:color w:val="000000"/>
                <w:sz w:val="20"/>
                <w:szCs w:val="20"/>
                <w:lang w:eastAsia="en-GB"/>
              </w:rPr>
              <w:t>251</w:t>
            </w:r>
          </w:p>
        </w:tc>
        <w:tc>
          <w:tcPr>
            <w:tcW w:w="1063" w:type="dxa"/>
            <w:tcBorders>
              <w:top w:val="nil"/>
              <w:left w:val="nil"/>
              <w:bottom w:val="single" w:sz="4" w:space="0" w:color="auto"/>
              <w:right w:val="single" w:sz="4" w:space="0" w:color="auto"/>
            </w:tcBorders>
            <w:shd w:val="clear" w:color="auto" w:fill="auto"/>
            <w:noWrap/>
            <w:vAlign w:val="center"/>
          </w:tcPr>
          <w:p w14:paraId="00779BBE" w14:textId="35FB4D97"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w:t>
            </w:r>
            <w:r w:rsidR="0024521E">
              <w:rPr>
                <w:rFonts w:asciiTheme="minorHAnsi" w:eastAsia="Times New Roman" w:hAnsiTheme="minorHAnsi" w:cs="Arial"/>
                <w:sz w:val="20"/>
                <w:szCs w:val="20"/>
                <w:lang w:eastAsia="en-GB"/>
              </w:rPr>
              <w:t>742</w:t>
            </w:r>
          </w:p>
        </w:tc>
      </w:tr>
      <w:tr w:rsidR="00C03DD1" w:rsidRPr="00A217FF" w14:paraId="4390C151" w14:textId="6B0745F2"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820B5D" w14:textId="54DD52A8" w:rsidR="00C03DD1"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EFAE3B7" w14:textId="49B8E2ED"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67</w:t>
            </w:r>
          </w:p>
        </w:tc>
        <w:tc>
          <w:tcPr>
            <w:tcW w:w="1063" w:type="dxa"/>
            <w:tcBorders>
              <w:top w:val="nil"/>
              <w:left w:val="nil"/>
              <w:bottom w:val="single" w:sz="4" w:space="0" w:color="auto"/>
              <w:right w:val="single" w:sz="4" w:space="0" w:color="auto"/>
            </w:tcBorders>
            <w:shd w:val="clear" w:color="auto" w:fill="auto"/>
            <w:noWrap/>
            <w:vAlign w:val="center"/>
          </w:tcPr>
          <w:p w14:paraId="49FE9515" w14:textId="54E68D84"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67</w:t>
            </w:r>
          </w:p>
        </w:tc>
        <w:tc>
          <w:tcPr>
            <w:tcW w:w="1063" w:type="dxa"/>
            <w:tcBorders>
              <w:top w:val="nil"/>
              <w:left w:val="nil"/>
              <w:bottom w:val="single" w:sz="4" w:space="0" w:color="auto"/>
              <w:right w:val="single" w:sz="4" w:space="0" w:color="auto"/>
            </w:tcBorders>
            <w:shd w:val="clear" w:color="auto" w:fill="auto"/>
            <w:noWrap/>
            <w:vAlign w:val="center"/>
          </w:tcPr>
          <w:p w14:paraId="46AA29E9" w14:textId="2BCFDE9D"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67</w:t>
            </w:r>
          </w:p>
        </w:tc>
        <w:tc>
          <w:tcPr>
            <w:tcW w:w="1063" w:type="dxa"/>
            <w:tcBorders>
              <w:top w:val="nil"/>
              <w:left w:val="nil"/>
              <w:bottom w:val="single" w:sz="4" w:space="0" w:color="auto"/>
              <w:right w:val="single" w:sz="4" w:space="0" w:color="auto"/>
            </w:tcBorders>
            <w:shd w:val="clear" w:color="auto" w:fill="auto"/>
            <w:noWrap/>
            <w:vAlign w:val="center"/>
          </w:tcPr>
          <w:p w14:paraId="09169CF9" w14:textId="609C08D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201</w:t>
            </w:r>
          </w:p>
        </w:tc>
      </w:tr>
      <w:tr w:rsidR="00C03DD1" w:rsidRPr="00A217FF" w14:paraId="39DF8A6C" w14:textId="383740B3"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355177F" w14:textId="75AEE7C3"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w:t>
            </w:r>
            <w:r w:rsidR="00C03DD1" w:rsidRPr="00A217FF">
              <w:rPr>
                <w:rFonts w:asciiTheme="minorHAnsi" w:eastAsia="Times New Roman" w:hAnsiTheme="minorHAnsi" w:cs="Arial"/>
                <w:b/>
                <w:bCs/>
                <w:sz w:val="20"/>
                <w:szCs w:val="20"/>
                <w:lang w:eastAsia="en-GB"/>
              </w:rPr>
              <w:t xml:space="preserve"> Support to Regional Initiatives</w:t>
            </w:r>
          </w:p>
        </w:tc>
        <w:tc>
          <w:tcPr>
            <w:tcW w:w="1063" w:type="dxa"/>
            <w:tcBorders>
              <w:top w:val="nil"/>
              <w:left w:val="nil"/>
              <w:bottom w:val="single" w:sz="4" w:space="0" w:color="auto"/>
              <w:right w:val="single" w:sz="4" w:space="0" w:color="auto"/>
            </w:tcBorders>
            <w:shd w:val="clear" w:color="000000" w:fill="C4D79B"/>
            <w:noWrap/>
            <w:vAlign w:val="center"/>
          </w:tcPr>
          <w:p w14:paraId="1273192A" w14:textId="5D0B4DAF"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6499124F" w14:textId="15B013E9"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5F60476D" w14:textId="1EF88340"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tcPr>
          <w:p w14:paraId="0BA0FB90" w14:textId="3ECFEB2B"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300</w:t>
            </w:r>
          </w:p>
        </w:tc>
      </w:tr>
      <w:tr w:rsidR="00C03DD1" w:rsidRPr="00A217FF" w14:paraId="09586A72" w14:textId="28E3D30C"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CE132C" w14:textId="18284148" w:rsidR="00C03DD1" w:rsidRPr="00A217FF" w:rsidRDefault="00C03DD1" w:rsidP="00EB3CA7">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EB3CA7" w:rsidRPr="00A217FF">
              <w:rPr>
                <w:rFonts w:asciiTheme="minorHAnsi" w:eastAsia="Times New Roman" w:hAnsiTheme="minorHAnsi" w:cs="Arial"/>
                <w:sz w:val="20"/>
                <w:szCs w:val="20"/>
                <w:lang w:eastAsia="en-GB"/>
              </w:rPr>
              <w:t>Networks and Centr</w:t>
            </w:r>
            <w:r w:rsidR="00EB3CA7">
              <w:rPr>
                <w:rFonts w:asciiTheme="minorHAnsi" w:eastAsia="Times New Roman" w:hAnsiTheme="minorHAnsi" w:cs="Arial"/>
                <w:sz w:val="20"/>
                <w:szCs w:val="20"/>
                <w:lang w:eastAsia="en-GB"/>
              </w:rPr>
              <w:t>e</w:t>
            </w:r>
            <w:r w:rsidR="00EB3CA7"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tcPr>
          <w:p w14:paraId="2FC252D5" w14:textId="497D9DF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4CF072AB" w14:textId="7321382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3F6BFA4A" w14:textId="5C736DC8"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tcPr>
          <w:p w14:paraId="2C6DBF80" w14:textId="53476E31"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300</w:t>
            </w:r>
          </w:p>
        </w:tc>
      </w:tr>
      <w:tr w:rsidR="00C03DD1" w:rsidRPr="00A217FF" w14:paraId="3FE911C2" w14:textId="11C0DC34"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1FF83BD5" w14:textId="54C318BD"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E. </w:t>
            </w:r>
            <w:r w:rsidR="00C03DD1" w:rsidRPr="00A217FF">
              <w:rPr>
                <w:rFonts w:asciiTheme="minorHAnsi" w:eastAsia="Times New Roman" w:hAnsiTheme="minorHAnsi" w:cs="Arial"/>
                <w:b/>
                <w:bCs/>
                <w:sz w:val="20"/>
                <w:szCs w:val="20"/>
                <w:lang w:eastAsia="en-GB"/>
              </w:rPr>
              <w:t>Science and Policy</w:t>
            </w:r>
          </w:p>
        </w:tc>
        <w:tc>
          <w:tcPr>
            <w:tcW w:w="1063" w:type="dxa"/>
            <w:tcBorders>
              <w:top w:val="nil"/>
              <w:left w:val="nil"/>
              <w:bottom w:val="single" w:sz="4" w:space="0" w:color="auto"/>
              <w:right w:val="single" w:sz="4" w:space="0" w:color="auto"/>
            </w:tcBorders>
            <w:shd w:val="clear" w:color="000000" w:fill="C4D79B"/>
            <w:noWrap/>
            <w:vAlign w:val="center"/>
          </w:tcPr>
          <w:p w14:paraId="111C187F" w14:textId="04DC7B57"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840</w:t>
            </w:r>
          </w:p>
        </w:tc>
        <w:tc>
          <w:tcPr>
            <w:tcW w:w="1063" w:type="dxa"/>
            <w:tcBorders>
              <w:top w:val="nil"/>
              <w:left w:val="nil"/>
              <w:bottom w:val="single" w:sz="4" w:space="0" w:color="auto"/>
              <w:right w:val="single" w:sz="4" w:space="0" w:color="auto"/>
            </w:tcBorders>
            <w:shd w:val="clear" w:color="000000" w:fill="C4D79B"/>
            <w:noWrap/>
            <w:vAlign w:val="center"/>
          </w:tcPr>
          <w:p w14:paraId="7DE489DD" w14:textId="19747826"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817</w:t>
            </w:r>
          </w:p>
        </w:tc>
        <w:tc>
          <w:tcPr>
            <w:tcW w:w="1063" w:type="dxa"/>
            <w:tcBorders>
              <w:top w:val="nil"/>
              <w:left w:val="nil"/>
              <w:bottom w:val="single" w:sz="4" w:space="0" w:color="auto"/>
              <w:right w:val="single" w:sz="4" w:space="0" w:color="auto"/>
            </w:tcBorders>
            <w:shd w:val="clear" w:color="000000" w:fill="C4D79B"/>
            <w:noWrap/>
            <w:vAlign w:val="center"/>
          </w:tcPr>
          <w:p w14:paraId="4389D94C" w14:textId="2431FE7B"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820</w:t>
            </w:r>
          </w:p>
        </w:tc>
        <w:tc>
          <w:tcPr>
            <w:tcW w:w="1063" w:type="dxa"/>
            <w:tcBorders>
              <w:top w:val="nil"/>
              <w:left w:val="nil"/>
              <w:bottom w:val="single" w:sz="4" w:space="0" w:color="auto"/>
              <w:right w:val="single" w:sz="4" w:space="0" w:color="auto"/>
            </w:tcBorders>
            <w:shd w:val="clear" w:color="000000" w:fill="C4D79B"/>
            <w:noWrap/>
            <w:vAlign w:val="center"/>
          </w:tcPr>
          <w:p w14:paraId="1A6215BF" w14:textId="6E3130A7" w:rsidR="00C03DD1" w:rsidRPr="00A217FF" w:rsidRDefault="00A6664E"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2,</w:t>
            </w:r>
            <w:r w:rsidR="0024521E">
              <w:rPr>
                <w:rFonts w:asciiTheme="minorHAnsi" w:eastAsia="Times New Roman" w:hAnsiTheme="minorHAnsi" w:cs="Arial"/>
                <w:b/>
                <w:bCs/>
                <w:color w:val="000000"/>
                <w:sz w:val="20"/>
                <w:szCs w:val="20"/>
                <w:lang w:eastAsia="en-GB"/>
              </w:rPr>
              <w:t>477</w:t>
            </w:r>
          </w:p>
        </w:tc>
      </w:tr>
      <w:tr w:rsidR="00C03DD1" w:rsidRPr="00A217FF" w14:paraId="52DEE688" w14:textId="69BAD5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B5B235B" w14:textId="7024713F"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26838C5" w14:textId="41198462"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652</w:t>
            </w:r>
          </w:p>
        </w:tc>
        <w:tc>
          <w:tcPr>
            <w:tcW w:w="1063" w:type="dxa"/>
            <w:tcBorders>
              <w:top w:val="nil"/>
              <w:left w:val="nil"/>
              <w:bottom w:val="single" w:sz="4" w:space="0" w:color="auto"/>
              <w:right w:val="single" w:sz="4" w:space="0" w:color="auto"/>
            </w:tcBorders>
            <w:shd w:val="clear" w:color="auto" w:fill="auto"/>
            <w:noWrap/>
            <w:vAlign w:val="center"/>
          </w:tcPr>
          <w:p w14:paraId="1356A7D3" w14:textId="0AF87F3E"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649</w:t>
            </w:r>
          </w:p>
        </w:tc>
        <w:tc>
          <w:tcPr>
            <w:tcW w:w="1063" w:type="dxa"/>
            <w:tcBorders>
              <w:top w:val="nil"/>
              <w:left w:val="nil"/>
              <w:bottom w:val="single" w:sz="4" w:space="0" w:color="auto"/>
              <w:right w:val="single" w:sz="4" w:space="0" w:color="auto"/>
            </w:tcBorders>
            <w:shd w:val="clear" w:color="auto" w:fill="auto"/>
            <w:noWrap/>
            <w:vAlign w:val="center"/>
          </w:tcPr>
          <w:p w14:paraId="7E70FD59" w14:textId="7A36269E" w:rsidR="00C03DD1" w:rsidRPr="00A217FF" w:rsidRDefault="002452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652</w:t>
            </w:r>
          </w:p>
        </w:tc>
        <w:tc>
          <w:tcPr>
            <w:tcW w:w="1063" w:type="dxa"/>
            <w:tcBorders>
              <w:top w:val="nil"/>
              <w:left w:val="nil"/>
              <w:bottom w:val="single" w:sz="4" w:space="0" w:color="auto"/>
              <w:right w:val="single" w:sz="4" w:space="0" w:color="auto"/>
            </w:tcBorders>
            <w:shd w:val="clear" w:color="auto" w:fill="auto"/>
            <w:noWrap/>
            <w:vAlign w:val="center"/>
          </w:tcPr>
          <w:p w14:paraId="4FB44C46" w14:textId="2E527BC0" w:rsidR="00C03DD1" w:rsidRPr="00A217FF" w:rsidRDefault="00A6664E" w:rsidP="008F481B">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w:t>
            </w:r>
            <w:r w:rsidR="0024521E">
              <w:rPr>
                <w:rFonts w:asciiTheme="minorHAnsi" w:eastAsia="Times New Roman" w:hAnsiTheme="minorHAnsi" w:cs="Arial"/>
                <w:sz w:val="20"/>
                <w:szCs w:val="20"/>
                <w:lang w:eastAsia="en-GB"/>
              </w:rPr>
              <w:t>953</w:t>
            </w:r>
          </w:p>
        </w:tc>
      </w:tr>
      <w:tr w:rsidR="00C03DD1" w:rsidRPr="00A217FF" w14:paraId="3C0CD86A" w14:textId="031BF71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A639823" w14:textId="63A4C6DA"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tcPr>
          <w:p w14:paraId="69D06130" w14:textId="4A83BAF5"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A2D4C8B" w14:textId="3AA82012"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36DE7618" w14:textId="5EE32EED"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0F654B77" w14:textId="4C8C1283"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105</w:t>
            </w:r>
          </w:p>
        </w:tc>
      </w:tr>
      <w:tr w:rsidR="00A6664E" w:rsidRPr="00A217FF" w14:paraId="14DDB628"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5FCF27C" w14:textId="308FD12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13EF47A8" w14:textId="34A4F276"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D9CABE1" w14:textId="276A82AB"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E7ACB40" w14:textId="0D0C84D0"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7D44166" w14:textId="365D4ADC"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w:t>
            </w:r>
          </w:p>
        </w:tc>
      </w:tr>
      <w:tr w:rsidR="00C03DD1" w:rsidRPr="00A217FF" w14:paraId="1F77BB1C" w14:textId="78FC629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3D73F96" w14:textId="5DAFDBC4"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03AF389C" w14:textId="2386B671"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741B6759" w14:textId="1ABB6E6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5A58C7C1" w14:textId="52978AFA"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tcPr>
          <w:p w14:paraId="1AF40BDC" w14:textId="0FEEAE0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150</w:t>
            </w:r>
          </w:p>
        </w:tc>
      </w:tr>
      <w:tr w:rsidR="00C03DD1" w:rsidRPr="00A217FF" w14:paraId="7F06EEA6" w14:textId="322BB2B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F51DFE3" w14:textId="2236B9D7"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 (</w:t>
            </w:r>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tcPr>
          <w:p w14:paraId="1306E295" w14:textId="34AF1251"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80</w:t>
            </w:r>
          </w:p>
        </w:tc>
        <w:tc>
          <w:tcPr>
            <w:tcW w:w="1063" w:type="dxa"/>
            <w:tcBorders>
              <w:top w:val="nil"/>
              <w:left w:val="nil"/>
              <w:bottom w:val="single" w:sz="4" w:space="0" w:color="auto"/>
              <w:right w:val="single" w:sz="4" w:space="0" w:color="auto"/>
            </w:tcBorders>
            <w:shd w:val="clear" w:color="auto" w:fill="auto"/>
            <w:noWrap/>
            <w:vAlign w:val="center"/>
          </w:tcPr>
          <w:p w14:paraId="0A2F1CD0" w14:textId="3B5E8864"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4C711142" w14:textId="34A32B70" w:rsidR="00C03DD1" w:rsidRPr="00A217FF"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28AFE593" w14:textId="72C6299F" w:rsidR="00C03DD1" w:rsidRPr="00A217FF"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200</w:t>
            </w:r>
          </w:p>
        </w:tc>
      </w:tr>
      <w:tr w:rsidR="00A6664E" w:rsidRPr="00A217FF" w14:paraId="1FE06AF0"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D467EE3" w14:textId="3CECC253" w:rsidR="00A6664E" w:rsidRPr="00A217FF" w:rsidRDefault="00A6664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47EA847" w14:textId="70D4F54A"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A0A6F28" w14:textId="1E273ABF"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D571052" w14:textId="59E42F2F" w:rsidR="00A6664E" w:rsidRPr="00A217FF" w:rsidDel="00A6664E" w:rsidRDefault="00A6664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019FBDF" w14:textId="309ED239" w:rsidR="00A6664E" w:rsidRPr="00A217FF" w:rsidDel="00A6664E" w:rsidRDefault="00A6664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w:t>
            </w:r>
          </w:p>
        </w:tc>
      </w:tr>
      <w:tr w:rsidR="00C03DD1" w:rsidRPr="00A217FF" w14:paraId="5D65BA73" w14:textId="2A5C8E72"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47FE43A0" w14:textId="6EAB5395"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G. </w:t>
            </w:r>
            <w:r w:rsidR="00C03DD1" w:rsidRPr="00A217FF">
              <w:rPr>
                <w:rFonts w:asciiTheme="minorHAnsi" w:eastAsia="Times New Roman" w:hAnsiTheme="minorHAnsi" w:cs="Arial"/>
                <w:b/>
                <w:bCs/>
                <w:sz w:val="20"/>
                <w:szCs w:val="20"/>
                <w:lang w:eastAsia="en-GB"/>
              </w:rPr>
              <w:t>Administration</w:t>
            </w:r>
          </w:p>
        </w:tc>
        <w:tc>
          <w:tcPr>
            <w:tcW w:w="1063" w:type="dxa"/>
            <w:tcBorders>
              <w:top w:val="nil"/>
              <w:left w:val="nil"/>
              <w:bottom w:val="single" w:sz="4" w:space="0" w:color="auto"/>
              <w:right w:val="single" w:sz="4" w:space="0" w:color="auto"/>
            </w:tcBorders>
            <w:shd w:val="clear" w:color="000000" w:fill="C4D79B"/>
            <w:noWrap/>
            <w:vAlign w:val="center"/>
          </w:tcPr>
          <w:p w14:paraId="00752B91" w14:textId="2D623FAE"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474</w:t>
            </w:r>
          </w:p>
        </w:tc>
        <w:tc>
          <w:tcPr>
            <w:tcW w:w="1063" w:type="dxa"/>
            <w:tcBorders>
              <w:top w:val="nil"/>
              <w:left w:val="nil"/>
              <w:bottom w:val="single" w:sz="4" w:space="0" w:color="auto"/>
              <w:right w:val="single" w:sz="4" w:space="0" w:color="auto"/>
            </w:tcBorders>
            <w:shd w:val="clear" w:color="000000" w:fill="C4D79B"/>
            <w:noWrap/>
            <w:vAlign w:val="center"/>
          </w:tcPr>
          <w:p w14:paraId="2A15165F" w14:textId="68F66C30" w:rsidR="00C03DD1" w:rsidRPr="00A217FF" w:rsidRDefault="002452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478</w:t>
            </w:r>
          </w:p>
        </w:tc>
        <w:tc>
          <w:tcPr>
            <w:tcW w:w="1063" w:type="dxa"/>
            <w:tcBorders>
              <w:top w:val="nil"/>
              <w:left w:val="nil"/>
              <w:bottom w:val="single" w:sz="4" w:space="0" w:color="auto"/>
              <w:right w:val="single" w:sz="4" w:space="0" w:color="auto"/>
            </w:tcBorders>
            <w:shd w:val="clear" w:color="000000" w:fill="C4D79B"/>
            <w:noWrap/>
            <w:vAlign w:val="center"/>
          </w:tcPr>
          <w:p w14:paraId="0607F2F0" w14:textId="5A8DCE8B" w:rsidR="00C03DD1" w:rsidRPr="00A217FF" w:rsidRDefault="0024521E" w:rsidP="008F481B">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478</w:t>
            </w:r>
          </w:p>
        </w:tc>
        <w:tc>
          <w:tcPr>
            <w:tcW w:w="1063" w:type="dxa"/>
            <w:tcBorders>
              <w:top w:val="nil"/>
              <w:left w:val="nil"/>
              <w:bottom w:val="single" w:sz="4" w:space="0" w:color="auto"/>
              <w:right w:val="single" w:sz="4" w:space="0" w:color="auto"/>
            </w:tcBorders>
            <w:shd w:val="clear" w:color="000000" w:fill="C4D79B"/>
            <w:noWrap/>
            <w:vAlign w:val="center"/>
          </w:tcPr>
          <w:p w14:paraId="79FF978B" w14:textId="0D39986B" w:rsidR="00C03DD1" w:rsidRPr="00A217FF" w:rsidRDefault="00A6664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w:t>
            </w:r>
            <w:r w:rsidR="0024521E">
              <w:rPr>
                <w:rFonts w:asciiTheme="minorHAnsi" w:eastAsia="Times New Roman" w:hAnsiTheme="minorHAnsi" w:cs="Arial"/>
                <w:b/>
                <w:bCs/>
                <w:color w:val="000000"/>
                <w:sz w:val="20"/>
                <w:szCs w:val="20"/>
                <w:lang w:eastAsia="en-GB"/>
              </w:rPr>
              <w:t>430</w:t>
            </w:r>
          </w:p>
        </w:tc>
      </w:tr>
      <w:tr w:rsidR="00C03DD1" w:rsidRPr="00A217FF" w14:paraId="403CBB40" w14:textId="65C2F8A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2AEB541" w14:textId="75990640"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24521E">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Social Costs</w:t>
            </w:r>
            <w:r w:rsidR="0024521E">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tcPr>
          <w:p w14:paraId="236C5289" w14:textId="0A91CD19"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331</w:t>
            </w:r>
          </w:p>
        </w:tc>
        <w:tc>
          <w:tcPr>
            <w:tcW w:w="1063" w:type="dxa"/>
            <w:tcBorders>
              <w:top w:val="nil"/>
              <w:left w:val="nil"/>
              <w:bottom w:val="single" w:sz="4" w:space="0" w:color="auto"/>
              <w:right w:val="single" w:sz="4" w:space="0" w:color="auto"/>
            </w:tcBorders>
            <w:shd w:val="clear" w:color="auto" w:fill="auto"/>
            <w:noWrap/>
            <w:vAlign w:val="center"/>
          </w:tcPr>
          <w:p w14:paraId="0DA71608" w14:textId="1675F7B3"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331</w:t>
            </w:r>
          </w:p>
        </w:tc>
        <w:tc>
          <w:tcPr>
            <w:tcW w:w="1063" w:type="dxa"/>
            <w:tcBorders>
              <w:top w:val="nil"/>
              <w:left w:val="nil"/>
              <w:bottom w:val="single" w:sz="4" w:space="0" w:color="auto"/>
              <w:right w:val="single" w:sz="4" w:space="0" w:color="auto"/>
            </w:tcBorders>
            <w:shd w:val="clear" w:color="auto" w:fill="auto"/>
            <w:noWrap/>
            <w:vAlign w:val="center"/>
          </w:tcPr>
          <w:p w14:paraId="5E04F697" w14:textId="46AC49AC" w:rsidR="00C03DD1" w:rsidRPr="00A217FF" w:rsidRDefault="002452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331</w:t>
            </w:r>
          </w:p>
        </w:tc>
        <w:tc>
          <w:tcPr>
            <w:tcW w:w="1063" w:type="dxa"/>
            <w:tcBorders>
              <w:top w:val="nil"/>
              <w:left w:val="nil"/>
              <w:bottom w:val="single" w:sz="4" w:space="0" w:color="auto"/>
              <w:right w:val="single" w:sz="4" w:space="0" w:color="auto"/>
            </w:tcBorders>
            <w:shd w:val="clear" w:color="auto" w:fill="auto"/>
            <w:noWrap/>
            <w:vAlign w:val="center"/>
          </w:tcPr>
          <w:p w14:paraId="7F74D5D8" w14:textId="5A931570"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993</w:t>
            </w:r>
          </w:p>
        </w:tc>
      </w:tr>
      <w:tr w:rsidR="00C03DD1" w:rsidRPr="00A217FF" w14:paraId="0B43B4FE" w14:textId="4607E5E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0B6CECB" w14:textId="6D324E6D"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Staff Hiring and Departure Costs</w:t>
            </w:r>
          </w:p>
        </w:tc>
        <w:tc>
          <w:tcPr>
            <w:tcW w:w="1063" w:type="dxa"/>
            <w:tcBorders>
              <w:top w:val="nil"/>
              <w:left w:val="nil"/>
              <w:bottom w:val="single" w:sz="4" w:space="0" w:color="auto"/>
              <w:right w:val="single" w:sz="4" w:space="0" w:color="auto"/>
            </w:tcBorders>
            <w:shd w:val="clear" w:color="auto" w:fill="auto"/>
            <w:noWrap/>
            <w:vAlign w:val="center"/>
          </w:tcPr>
          <w:p w14:paraId="0027FF57" w14:textId="57AA4E3D"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48</w:t>
            </w:r>
          </w:p>
        </w:tc>
        <w:tc>
          <w:tcPr>
            <w:tcW w:w="1063" w:type="dxa"/>
            <w:tcBorders>
              <w:top w:val="nil"/>
              <w:left w:val="nil"/>
              <w:bottom w:val="single" w:sz="4" w:space="0" w:color="auto"/>
              <w:right w:val="single" w:sz="4" w:space="0" w:color="auto"/>
            </w:tcBorders>
            <w:shd w:val="clear" w:color="auto" w:fill="auto"/>
            <w:noWrap/>
            <w:vAlign w:val="center"/>
          </w:tcPr>
          <w:p w14:paraId="197B6BEC" w14:textId="3B887139"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52</w:t>
            </w:r>
          </w:p>
        </w:tc>
        <w:tc>
          <w:tcPr>
            <w:tcW w:w="1063" w:type="dxa"/>
            <w:tcBorders>
              <w:top w:val="nil"/>
              <w:left w:val="nil"/>
              <w:bottom w:val="single" w:sz="4" w:space="0" w:color="auto"/>
              <w:right w:val="single" w:sz="4" w:space="0" w:color="auto"/>
            </w:tcBorders>
            <w:shd w:val="clear" w:color="auto" w:fill="auto"/>
            <w:noWrap/>
            <w:vAlign w:val="center"/>
          </w:tcPr>
          <w:p w14:paraId="2EE80E5E" w14:textId="7C6C633B" w:rsidR="00C03DD1" w:rsidRPr="00A217FF" w:rsidRDefault="002452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52</w:t>
            </w:r>
          </w:p>
        </w:tc>
        <w:tc>
          <w:tcPr>
            <w:tcW w:w="1063" w:type="dxa"/>
            <w:tcBorders>
              <w:top w:val="nil"/>
              <w:left w:val="nil"/>
              <w:bottom w:val="single" w:sz="4" w:space="0" w:color="auto"/>
              <w:right w:val="single" w:sz="4" w:space="0" w:color="auto"/>
            </w:tcBorders>
            <w:shd w:val="clear" w:color="auto" w:fill="auto"/>
            <w:noWrap/>
            <w:vAlign w:val="center"/>
          </w:tcPr>
          <w:p w14:paraId="177C011F" w14:textId="6527D23B" w:rsidR="00C03DD1" w:rsidRPr="00A217FF" w:rsidRDefault="002452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152</w:t>
            </w:r>
          </w:p>
        </w:tc>
      </w:tr>
      <w:tr w:rsidR="00C03DD1" w:rsidRPr="00A217FF" w14:paraId="2D16EA4A" w14:textId="73027CA6"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EBD1192" w14:textId="4CAF4743" w:rsidR="00C03DD1" w:rsidRPr="00A217FF" w:rsidRDefault="00EB3CA7"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Equipment/Office Supplies</w:t>
            </w:r>
          </w:p>
        </w:tc>
        <w:tc>
          <w:tcPr>
            <w:tcW w:w="1063" w:type="dxa"/>
            <w:tcBorders>
              <w:top w:val="nil"/>
              <w:left w:val="nil"/>
              <w:bottom w:val="single" w:sz="4" w:space="0" w:color="auto"/>
              <w:right w:val="single" w:sz="4" w:space="0" w:color="auto"/>
            </w:tcBorders>
            <w:shd w:val="clear" w:color="auto" w:fill="auto"/>
            <w:noWrap/>
            <w:vAlign w:val="center"/>
          </w:tcPr>
          <w:p w14:paraId="4657DE83" w14:textId="63395613"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tcPr>
          <w:p w14:paraId="3400300A" w14:textId="27F453A3"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tcPr>
          <w:p w14:paraId="063FD16B" w14:textId="2D77DC7A" w:rsidR="00C03DD1" w:rsidRPr="00A217FF" w:rsidRDefault="0024521E" w:rsidP="00E44F1E">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9</w:t>
            </w:r>
            <w:r>
              <w:rPr>
                <w:rFonts w:asciiTheme="minorHAnsi" w:eastAsia="Times New Roman" w:hAnsiTheme="minorHAnsi" w:cs="Arial"/>
                <w:color w:val="000000"/>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951AAEB" w14:textId="694C48AF" w:rsidR="00C03DD1" w:rsidRPr="00A217FF" w:rsidRDefault="0024521E" w:rsidP="00E44F1E">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28</w:t>
            </w:r>
            <w:r>
              <w:rPr>
                <w:rFonts w:asciiTheme="minorHAnsi" w:eastAsia="Times New Roman" w:hAnsiTheme="minorHAnsi" w:cs="Arial"/>
                <w:sz w:val="20"/>
                <w:szCs w:val="20"/>
                <w:lang w:eastAsia="en-GB"/>
              </w:rPr>
              <w:t>5</w:t>
            </w:r>
          </w:p>
        </w:tc>
      </w:tr>
      <w:tr w:rsidR="00C03DD1" w:rsidRPr="00A217FF" w14:paraId="76AEB817" w14:textId="4BA067C5"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6326E874" w14:textId="075CA922" w:rsidR="00C03DD1" w:rsidRPr="00A217FF" w:rsidRDefault="00EB3CA7"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Planning and Capacity Building</w:t>
            </w:r>
          </w:p>
        </w:tc>
        <w:tc>
          <w:tcPr>
            <w:tcW w:w="1063" w:type="dxa"/>
            <w:tcBorders>
              <w:top w:val="nil"/>
              <w:left w:val="nil"/>
              <w:bottom w:val="single" w:sz="4" w:space="0" w:color="auto"/>
              <w:right w:val="single" w:sz="4" w:space="0" w:color="auto"/>
            </w:tcBorders>
            <w:shd w:val="clear" w:color="auto" w:fill="auto"/>
            <w:noWrap/>
            <w:vAlign w:val="center"/>
          </w:tcPr>
          <w:p w14:paraId="66B0A698" w14:textId="42097DE8"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1F40A1C" w14:textId="73A04998" w:rsidR="00C03DD1" w:rsidRPr="00A217FF" w:rsidRDefault="00C03DD1" w:rsidP="00DA6C88">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r w:rsidR="00E44F1E">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2A349570" w14:textId="026E1A4D" w:rsidR="00C03DD1" w:rsidRPr="00A217FF" w:rsidRDefault="00E44F1E" w:rsidP="00DA6C88">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3E55A52E" w14:textId="2E99EEDB"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0</w:t>
            </w:r>
          </w:p>
        </w:tc>
      </w:tr>
      <w:tr w:rsidR="00C03DD1" w:rsidRPr="00A217FF" w14:paraId="11034EA0" w14:textId="4209CE4E"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27D93727" w14:textId="270F4E22" w:rsidR="00C03DD1" w:rsidRPr="00A217FF" w:rsidRDefault="00C03DD1"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H. Standing Committee Services</w:t>
            </w:r>
          </w:p>
        </w:tc>
        <w:tc>
          <w:tcPr>
            <w:tcW w:w="1063" w:type="dxa"/>
            <w:tcBorders>
              <w:top w:val="nil"/>
              <w:left w:val="nil"/>
              <w:bottom w:val="single" w:sz="4" w:space="0" w:color="auto"/>
              <w:right w:val="single" w:sz="4" w:space="0" w:color="auto"/>
            </w:tcBorders>
            <w:shd w:val="clear" w:color="000000" w:fill="C4D79B"/>
            <w:noWrap/>
            <w:vAlign w:val="center"/>
          </w:tcPr>
          <w:p w14:paraId="5325A31E" w14:textId="6E82B2B9"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tcPr>
          <w:p w14:paraId="65EF8878" w14:textId="4ADBD4E2"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tcPr>
          <w:p w14:paraId="315343E1" w14:textId="4AC38BED"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tcPr>
          <w:p w14:paraId="625FD1DF" w14:textId="28045F2A" w:rsidR="00C03DD1" w:rsidRPr="00A217FF" w:rsidRDefault="00C03DD1" w:rsidP="00A217FF">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450</w:t>
            </w:r>
          </w:p>
        </w:tc>
      </w:tr>
      <w:tr w:rsidR="00C03DD1" w:rsidRPr="00A217FF" w14:paraId="2B0921B8" w14:textId="161AD64E"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EC1835" w14:textId="70E65A25"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tcPr>
          <w:p w14:paraId="6A69790D" w14:textId="576119D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6B55D2B8" w14:textId="404CA4F5"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5681C55E" w14:textId="3F8A863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tcPr>
          <w:p w14:paraId="4B7D8FF9" w14:textId="1135299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135</w:t>
            </w:r>
          </w:p>
        </w:tc>
      </w:tr>
      <w:tr w:rsidR="00C03DD1" w:rsidRPr="00A217FF" w14:paraId="6DC8EDC7" w14:textId="6673757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85F56A7" w14:textId="27E64DA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B3CA7"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1C8C1119" w14:textId="398CCAA3"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4478AA0C" w14:textId="697145B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64207083" w14:textId="051A9FCE"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tcPr>
          <w:p w14:paraId="4B894FD8" w14:textId="0911A604"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30</w:t>
            </w:r>
          </w:p>
        </w:tc>
      </w:tr>
      <w:tr w:rsidR="00C03DD1" w:rsidRPr="00A217FF" w14:paraId="3BFACF6D" w14:textId="76784DAA"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5056E31A" w14:textId="46E40CF2"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w:t>
            </w:r>
            <w:r w:rsidR="00EB3CA7">
              <w:rPr>
                <w:rFonts w:asciiTheme="minorHAnsi" w:eastAsia="Times New Roman" w:hAnsiTheme="minorHAnsi" w:cs="Arial"/>
                <w:sz w:val="20"/>
                <w:szCs w:val="20"/>
                <w:lang w:eastAsia="en-GB"/>
              </w:rPr>
              <w:t xml:space="preserve">tanding </w:t>
            </w:r>
            <w:r w:rsidRPr="00A217FF">
              <w:rPr>
                <w:rFonts w:asciiTheme="minorHAnsi" w:eastAsia="Times New Roman" w:hAnsiTheme="minorHAnsi" w:cs="Arial"/>
                <w:sz w:val="20"/>
                <w:szCs w:val="20"/>
                <w:lang w:eastAsia="en-GB"/>
              </w:rPr>
              <w:t>C</w:t>
            </w:r>
            <w:r w:rsidR="00EB3CA7">
              <w:rPr>
                <w:rFonts w:asciiTheme="minorHAnsi" w:eastAsia="Times New Roman" w:hAnsiTheme="minorHAnsi" w:cs="Arial"/>
                <w:sz w:val="20"/>
                <w:szCs w:val="20"/>
                <w:lang w:eastAsia="en-GB"/>
              </w:rPr>
              <w:t>ommittee</w:t>
            </w:r>
            <w:r w:rsidRPr="00A217FF">
              <w:rPr>
                <w:rFonts w:asciiTheme="minorHAnsi" w:eastAsia="Times New Roman" w:hAnsiTheme="minorHAnsi" w:cs="Arial"/>
                <w:sz w:val="20"/>
                <w:szCs w:val="20"/>
                <w:lang w:eastAsia="en-GB"/>
              </w:rPr>
              <w:t xml:space="preserve"> </w:t>
            </w:r>
            <w:r w:rsidR="00EB3CA7" w:rsidRPr="00A217FF">
              <w:rPr>
                <w:rFonts w:asciiTheme="minorHAnsi" w:eastAsia="Times New Roman" w:hAnsiTheme="minorHAnsi" w:cs="Arial"/>
                <w:sz w:val="20"/>
                <w:szCs w:val="20"/>
                <w:lang w:eastAsia="en-GB"/>
              </w:rPr>
              <w:t>Translation</w:t>
            </w:r>
          </w:p>
        </w:tc>
        <w:tc>
          <w:tcPr>
            <w:tcW w:w="1063" w:type="dxa"/>
            <w:tcBorders>
              <w:top w:val="nil"/>
              <w:left w:val="nil"/>
              <w:bottom w:val="single" w:sz="4" w:space="0" w:color="auto"/>
              <w:right w:val="single" w:sz="4" w:space="0" w:color="auto"/>
            </w:tcBorders>
            <w:shd w:val="clear" w:color="auto" w:fill="auto"/>
            <w:noWrap/>
            <w:vAlign w:val="center"/>
          </w:tcPr>
          <w:p w14:paraId="3053475F" w14:textId="1EE93CE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05E5C2B5" w14:textId="2F385387"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5A6B6043" w14:textId="3E7F2842"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tcPr>
          <w:p w14:paraId="6458C141" w14:textId="52F93BFD"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180</w:t>
            </w:r>
          </w:p>
        </w:tc>
      </w:tr>
      <w:tr w:rsidR="00C03DD1" w:rsidRPr="00A217FF" w14:paraId="7F5F1F53" w14:textId="77D59E44" w:rsidTr="00466A7B">
        <w:tc>
          <w:tcPr>
            <w:tcW w:w="4962" w:type="dxa"/>
            <w:tcBorders>
              <w:top w:val="nil"/>
              <w:left w:val="single" w:sz="4" w:space="0" w:color="auto"/>
              <w:bottom w:val="single" w:sz="4" w:space="0" w:color="auto"/>
              <w:right w:val="single" w:sz="4" w:space="0" w:color="auto"/>
            </w:tcBorders>
            <w:shd w:val="clear" w:color="auto" w:fill="auto"/>
            <w:noWrap/>
            <w:vAlign w:val="center"/>
          </w:tcPr>
          <w:p w14:paraId="1FF46942" w14:textId="44DC70D6" w:rsidR="00466A7B"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Simultaneous </w:t>
            </w:r>
            <w:r w:rsidR="00A61FC0" w:rsidRPr="00A217FF">
              <w:rPr>
                <w:rFonts w:asciiTheme="minorHAnsi" w:eastAsia="Times New Roman" w:hAnsiTheme="minorHAnsi" w:cs="Arial"/>
                <w:sz w:val="20"/>
                <w:szCs w:val="20"/>
                <w:lang w:eastAsia="en-GB"/>
              </w:rPr>
              <w:t xml:space="preserve">Interpretation </w:t>
            </w:r>
            <w:r w:rsidRPr="00A217FF">
              <w:rPr>
                <w:rFonts w:asciiTheme="minorHAnsi" w:eastAsia="Times New Roman" w:hAnsiTheme="minorHAnsi" w:cs="Arial"/>
                <w:sz w:val="20"/>
                <w:szCs w:val="20"/>
                <w:lang w:eastAsia="en-GB"/>
              </w:rPr>
              <w:t xml:space="preserve">at SC </w:t>
            </w:r>
            <w:r w:rsidR="00A61FC0"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tcPr>
          <w:p w14:paraId="7E76C896" w14:textId="3CBF4FAF"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2DFA2ADD" w14:textId="2DE4C752"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714B2A3D" w14:textId="48F659ED" w:rsidR="00C03DD1" w:rsidRPr="00A217FF" w:rsidRDefault="00C03DD1" w:rsidP="00A217FF">
            <w:pPr>
              <w:ind w:left="0" w:firstLine="0"/>
              <w:jc w:val="right"/>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tcPr>
          <w:p w14:paraId="6BA04AB6" w14:textId="6BA235C9" w:rsidR="00C03DD1" w:rsidRPr="00A217FF" w:rsidRDefault="00C03DD1" w:rsidP="00A217FF">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105</w:t>
            </w:r>
          </w:p>
        </w:tc>
      </w:tr>
      <w:tr w:rsidR="00FA2EB9" w:rsidRPr="00A217FF" w14:paraId="0D1A1F86" w14:textId="77777777" w:rsidTr="00466A7B">
        <w:tc>
          <w:tcPr>
            <w:tcW w:w="4962" w:type="dxa"/>
            <w:tcBorders>
              <w:top w:val="single" w:sz="4" w:space="0" w:color="auto"/>
              <w:bottom w:val="single" w:sz="4" w:space="0" w:color="auto"/>
            </w:tcBorders>
            <w:shd w:val="clear" w:color="auto" w:fill="auto"/>
            <w:noWrap/>
            <w:vAlign w:val="center"/>
          </w:tcPr>
          <w:p w14:paraId="2942D263" w14:textId="77777777" w:rsidR="00FA2EB9" w:rsidRDefault="00FA2EB9" w:rsidP="00A217FF">
            <w:pPr>
              <w:ind w:left="0" w:firstLine="0"/>
              <w:rPr>
                <w:rFonts w:asciiTheme="minorHAnsi" w:eastAsia="Times New Roman" w:hAnsiTheme="minorHAnsi" w:cs="Arial"/>
                <w:sz w:val="20"/>
                <w:szCs w:val="20"/>
                <w:lang w:eastAsia="en-GB"/>
              </w:rPr>
            </w:pPr>
          </w:p>
          <w:p w14:paraId="487FB9C5" w14:textId="5EFFFA46" w:rsidR="00FA2EB9" w:rsidRDefault="00FA2EB9" w:rsidP="00A217FF">
            <w:pPr>
              <w:ind w:left="0" w:firstLine="0"/>
              <w:rPr>
                <w:rFonts w:asciiTheme="minorHAnsi" w:eastAsia="Times New Roman" w:hAnsiTheme="minorHAnsi" w:cs="Arial"/>
                <w:sz w:val="20"/>
                <w:szCs w:val="20"/>
                <w:lang w:eastAsia="en-GB"/>
              </w:rPr>
            </w:pPr>
          </w:p>
          <w:p w14:paraId="17ABF50D" w14:textId="7B7B6933" w:rsidR="00FA2EB9" w:rsidRPr="00A217FF" w:rsidRDefault="00FA2EB9" w:rsidP="00A217FF">
            <w:pPr>
              <w:ind w:left="0" w:firstLine="0"/>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3AE4A028"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6FE0ED5A"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c>
          <w:tcPr>
            <w:tcW w:w="1063" w:type="dxa"/>
            <w:tcBorders>
              <w:top w:val="single" w:sz="4" w:space="0" w:color="auto"/>
              <w:bottom w:val="single" w:sz="4" w:space="0" w:color="auto"/>
            </w:tcBorders>
            <w:shd w:val="clear" w:color="auto" w:fill="auto"/>
            <w:noWrap/>
            <w:vAlign w:val="center"/>
          </w:tcPr>
          <w:p w14:paraId="22FE9932" w14:textId="77777777" w:rsidR="00FA2EB9" w:rsidRPr="00A217FF" w:rsidRDefault="00FA2EB9" w:rsidP="00A217FF">
            <w:pPr>
              <w:ind w:left="0" w:firstLine="0"/>
              <w:jc w:val="right"/>
              <w:rPr>
                <w:rFonts w:asciiTheme="minorHAnsi" w:eastAsia="Times New Roman" w:hAnsiTheme="minorHAnsi" w:cs="Arial"/>
                <w:color w:val="000000"/>
                <w:sz w:val="20"/>
                <w:szCs w:val="20"/>
                <w:lang w:eastAsia="en-GB"/>
              </w:rPr>
            </w:pPr>
          </w:p>
        </w:tc>
        <w:tc>
          <w:tcPr>
            <w:tcW w:w="1063" w:type="dxa"/>
            <w:tcBorders>
              <w:top w:val="single" w:sz="4" w:space="0" w:color="auto"/>
              <w:bottom w:val="single" w:sz="4" w:space="0" w:color="auto"/>
            </w:tcBorders>
            <w:shd w:val="clear" w:color="auto" w:fill="auto"/>
            <w:noWrap/>
            <w:vAlign w:val="center"/>
          </w:tcPr>
          <w:p w14:paraId="1C47E49D" w14:textId="77777777" w:rsidR="00FA2EB9" w:rsidRPr="00A217FF" w:rsidRDefault="00FA2EB9" w:rsidP="00A217FF">
            <w:pPr>
              <w:ind w:left="0" w:firstLine="0"/>
              <w:jc w:val="right"/>
              <w:rPr>
                <w:rFonts w:asciiTheme="minorHAnsi" w:eastAsia="Times New Roman" w:hAnsiTheme="minorHAnsi" w:cs="Arial"/>
                <w:sz w:val="20"/>
                <w:szCs w:val="20"/>
                <w:lang w:eastAsia="en-GB"/>
              </w:rPr>
            </w:pPr>
          </w:p>
        </w:tc>
      </w:tr>
      <w:tr w:rsidR="00C03DD1" w:rsidRPr="00A217FF" w14:paraId="5813F032" w14:textId="21D196A3" w:rsidTr="00466A7B">
        <w:tc>
          <w:tcPr>
            <w:tcW w:w="4962" w:type="dxa"/>
            <w:tcBorders>
              <w:top w:val="single" w:sz="4" w:space="0" w:color="auto"/>
              <w:left w:val="single" w:sz="4" w:space="0" w:color="auto"/>
              <w:bottom w:val="single" w:sz="4" w:space="0" w:color="auto"/>
              <w:right w:val="single" w:sz="4" w:space="0" w:color="auto"/>
            </w:tcBorders>
            <w:shd w:val="clear" w:color="000000" w:fill="C4D79B"/>
            <w:vAlign w:val="center"/>
          </w:tcPr>
          <w:p w14:paraId="7F41B30D" w14:textId="468ACA4D"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lastRenderedPageBreak/>
              <w:t xml:space="preserve">I. </w:t>
            </w:r>
            <w:r w:rsidR="00C03DD1" w:rsidRPr="00A217FF">
              <w:rPr>
                <w:rFonts w:asciiTheme="minorHAnsi" w:eastAsia="Times New Roman" w:hAnsiTheme="minorHAnsi" w:cs="Arial"/>
                <w:b/>
                <w:bCs/>
                <w:sz w:val="20"/>
                <w:szCs w:val="20"/>
                <w:lang w:eastAsia="en-GB"/>
              </w:rPr>
              <w:t>IUCN Administrative Service Charges (maximum)</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67EFC53" w14:textId="54F3BA76"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541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0A2C6B5" w14:textId="25452D71"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541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1FADDD54" w14:textId="69ED1A18"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541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6C10B59B" w14:textId="480F06F3"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1,623</w:t>
            </w:r>
          </w:p>
        </w:tc>
      </w:tr>
      <w:tr w:rsidR="00C03DD1" w:rsidRPr="00A217FF" w14:paraId="77F2B0B6" w14:textId="24BFFCBF"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F295CB" w14:textId="5179D196" w:rsidR="00C03DD1" w:rsidRPr="00A217FF" w:rsidRDefault="00C03DD1" w:rsidP="00A61FC0">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A61FC0">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A61FC0"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tcPr>
          <w:p w14:paraId="6869483D" w14:textId="601341BC"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tcPr>
          <w:p w14:paraId="2A052E8B" w14:textId="5DCDBF88"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tcPr>
          <w:p w14:paraId="23D750EE" w14:textId="3939B65F"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tcPr>
          <w:p w14:paraId="16488A6A" w14:textId="76163EEA"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1,623</w:t>
            </w:r>
          </w:p>
        </w:tc>
      </w:tr>
      <w:tr w:rsidR="00C03DD1" w:rsidRPr="00A217FF" w14:paraId="61B3DF3E" w14:textId="3F06089F" w:rsidTr="00FA2EB9">
        <w:tc>
          <w:tcPr>
            <w:tcW w:w="4962" w:type="dxa"/>
            <w:tcBorders>
              <w:top w:val="nil"/>
              <w:left w:val="single" w:sz="4" w:space="0" w:color="auto"/>
              <w:bottom w:val="single" w:sz="4" w:space="0" w:color="auto"/>
              <w:right w:val="single" w:sz="4" w:space="0" w:color="auto"/>
            </w:tcBorders>
            <w:shd w:val="clear" w:color="000000" w:fill="C4D79B"/>
            <w:noWrap/>
            <w:vAlign w:val="center"/>
          </w:tcPr>
          <w:p w14:paraId="34723CC4" w14:textId="5C0C5B16" w:rsidR="00C03DD1" w:rsidRPr="00A217FF" w:rsidRDefault="00A217FF" w:rsidP="00A217FF">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 xml:space="preserve">J. </w:t>
            </w:r>
            <w:r w:rsidR="00C03DD1" w:rsidRPr="00A217FF">
              <w:rPr>
                <w:rFonts w:asciiTheme="minorHAnsi" w:eastAsia="Times New Roman" w:hAnsiTheme="minorHAnsi" w:cs="Arial"/>
                <w:b/>
                <w:bCs/>
                <w:sz w:val="20"/>
                <w:szCs w:val="20"/>
                <w:lang w:eastAsia="en-GB"/>
              </w:rPr>
              <w:t>Miscellaneous - Reserve Fund</w:t>
            </w:r>
          </w:p>
        </w:tc>
        <w:tc>
          <w:tcPr>
            <w:tcW w:w="1063" w:type="dxa"/>
            <w:tcBorders>
              <w:top w:val="nil"/>
              <w:left w:val="nil"/>
              <w:bottom w:val="single" w:sz="4" w:space="0" w:color="auto"/>
              <w:right w:val="single" w:sz="4" w:space="0" w:color="auto"/>
            </w:tcBorders>
            <w:shd w:val="clear" w:color="000000" w:fill="C4D79B"/>
            <w:noWrap/>
            <w:vAlign w:val="center"/>
          </w:tcPr>
          <w:p w14:paraId="1D91EE6B" w14:textId="4E78802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02742FBA" w14:textId="2E8D58C9" w:rsidR="00C03DD1" w:rsidRPr="00A217FF" w:rsidRDefault="00635E05"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3E57B688" w14:textId="2CBB9DD2"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tcPr>
          <w:p w14:paraId="46024F95" w14:textId="7F93F07B" w:rsidR="00C03DD1" w:rsidRPr="00A217FF" w:rsidRDefault="00E44F1E" w:rsidP="00A217FF">
            <w:pPr>
              <w:ind w:left="0" w:firstLine="0"/>
              <w:jc w:val="right"/>
              <w:rPr>
                <w:rFonts w:asciiTheme="minorHAnsi" w:eastAsia="Times New Roman" w:hAnsiTheme="minorHAnsi" w:cs="Arial"/>
                <w:b/>
                <w:bCs/>
                <w:color w:val="000000"/>
                <w:sz w:val="20"/>
                <w:szCs w:val="20"/>
                <w:lang w:eastAsia="en-GB"/>
              </w:rPr>
            </w:pPr>
            <w:r>
              <w:rPr>
                <w:rFonts w:asciiTheme="minorHAnsi" w:eastAsia="Times New Roman" w:hAnsiTheme="minorHAnsi" w:cs="Arial"/>
                <w:b/>
                <w:bCs/>
                <w:color w:val="000000"/>
                <w:sz w:val="20"/>
                <w:szCs w:val="20"/>
                <w:lang w:eastAsia="en-GB"/>
              </w:rPr>
              <w:t>32</w:t>
            </w:r>
            <w:r w:rsidR="00635E05">
              <w:rPr>
                <w:rFonts w:asciiTheme="minorHAnsi" w:eastAsia="Times New Roman" w:hAnsiTheme="minorHAnsi" w:cs="Arial"/>
                <w:b/>
                <w:bCs/>
                <w:color w:val="000000"/>
                <w:sz w:val="20"/>
                <w:szCs w:val="20"/>
                <w:lang w:eastAsia="en-GB"/>
              </w:rPr>
              <w:t>7</w:t>
            </w:r>
          </w:p>
        </w:tc>
      </w:tr>
      <w:tr w:rsidR="00C03DD1" w:rsidRPr="00A217FF" w14:paraId="4F283CE9" w14:textId="62A4C124"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C883EBD" w14:textId="25DA925F" w:rsidR="00C03DD1" w:rsidRPr="00A217FF" w:rsidRDefault="00E44F1E" w:rsidP="00A217F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C03DD1"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tcPr>
          <w:p w14:paraId="21DBC41C" w14:textId="512D6E1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FF2BC9" w14:textId="56E4C5F6"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063F67AF" w14:textId="218B6043"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tcPr>
          <w:p w14:paraId="497957C0" w14:textId="7AF8A169"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60</w:t>
            </w:r>
          </w:p>
        </w:tc>
      </w:tr>
      <w:tr w:rsidR="00E44F1E" w:rsidRPr="00A217FF" w14:paraId="5D822294"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25F8E9B4" w14:textId="697D9A3D" w:rsidR="00E44F1E" w:rsidRPr="00A217FF" w:rsidRDefault="00E44F1E" w:rsidP="00696039">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Provisions for </w:t>
            </w:r>
            <w:r w:rsidR="00A61FC0">
              <w:rPr>
                <w:rFonts w:asciiTheme="minorHAnsi" w:eastAsia="Times New Roman" w:hAnsiTheme="minorHAnsi" w:cs="Arial"/>
                <w:sz w:val="20"/>
                <w:szCs w:val="20"/>
                <w:lang w:eastAsia="en-GB"/>
              </w:rPr>
              <w:t xml:space="preserve">Outstanding </w:t>
            </w:r>
            <w:r w:rsidR="00696039">
              <w:rPr>
                <w:rFonts w:asciiTheme="minorHAnsi" w:eastAsia="Times New Roman" w:hAnsiTheme="minorHAnsi" w:cs="Arial"/>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tcPr>
          <w:p w14:paraId="592A619A" w14:textId="10AD3798"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9EF2829" w14:textId="43718C1C"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6E49737" w14:textId="7A566C6C" w:rsidR="00E44F1E"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3A8A0F85" w14:textId="50E810E1" w:rsidR="00E44F1E"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90</w:t>
            </w:r>
          </w:p>
        </w:tc>
      </w:tr>
      <w:tr w:rsidR="00C03DD1" w:rsidRPr="00A217FF" w14:paraId="4251B5C8" w14:textId="214A7EB0" w:rsidTr="00FA2EB9">
        <w:tc>
          <w:tcPr>
            <w:tcW w:w="4962" w:type="dxa"/>
            <w:tcBorders>
              <w:top w:val="single" w:sz="4" w:space="0" w:color="auto"/>
              <w:left w:val="single" w:sz="4" w:space="0" w:color="auto"/>
              <w:bottom w:val="nil"/>
              <w:right w:val="single" w:sz="4" w:space="0" w:color="auto"/>
            </w:tcBorders>
            <w:shd w:val="clear" w:color="auto" w:fill="auto"/>
            <w:noWrap/>
            <w:vAlign w:val="center"/>
          </w:tcPr>
          <w:p w14:paraId="55B5A084" w14:textId="56954C8D" w:rsidR="00C03DD1" w:rsidRPr="00A217FF" w:rsidRDefault="00C03DD1" w:rsidP="00A217FF">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tcPr>
          <w:p w14:paraId="33DBDB0B" w14:textId="2F552664" w:rsidR="00C03DD1" w:rsidRPr="00A217FF" w:rsidRDefault="00E44F1E"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46F0ED7" w14:textId="1293043C"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tcPr>
          <w:p w14:paraId="0398F96B" w14:textId="75EB6227" w:rsidR="00C03DD1" w:rsidRPr="00A217FF" w:rsidRDefault="00E44F1E" w:rsidP="00A217FF">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tcPr>
          <w:p w14:paraId="1EA530E6" w14:textId="2D161EC1" w:rsidR="00C03DD1" w:rsidRPr="00A217FF" w:rsidRDefault="001F3C9F" w:rsidP="00A217FF">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177</w:t>
            </w:r>
          </w:p>
        </w:tc>
      </w:tr>
      <w:tr w:rsidR="00C03DD1" w:rsidRPr="00A217FF" w14:paraId="02D9A33F" w14:textId="03FF7767"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tcPr>
          <w:p w14:paraId="53B78568" w14:textId="1E972734" w:rsidR="00C03DD1" w:rsidRPr="00A217FF" w:rsidRDefault="00C03DD1" w:rsidP="00A217FF">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4285D91F" w14:textId="3FE06533"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23E75B25" w14:textId="2D9ECB0C"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single" w:sz="4" w:space="0" w:color="auto"/>
              <w:left w:val="nil"/>
              <w:bottom w:val="single" w:sz="4" w:space="0" w:color="auto"/>
              <w:right w:val="single" w:sz="4" w:space="0" w:color="auto"/>
            </w:tcBorders>
            <w:shd w:val="clear" w:color="000000" w:fill="C4D79B"/>
            <w:noWrap/>
            <w:vAlign w:val="center"/>
          </w:tcPr>
          <w:p w14:paraId="7DA06EF5" w14:textId="6A572E79"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5,081</w:t>
            </w:r>
          </w:p>
        </w:tc>
        <w:tc>
          <w:tcPr>
            <w:tcW w:w="1063" w:type="dxa"/>
            <w:tcBorders>
              <w:top w:val="nil"/>
              <w:left w:val="nil"/>
              <w:bottom w:val="single" w:sz="4" w:space="0" w:color="auto"/>
              <w:right w:val="single" w:sz="4" w:space="0" w:color="auto"/>
            </w:tcBorders>
            <w:shd w:val="clear" w:color="000000" w:fill="C4D79B"/>
            <w:noWrap/>
            <w:vAlign w:val="center"/>
          </w:tcPr>
          <w:p w14:paraId="0ECDA903" w14:textId="38A69963" w:rsidR="00C03DD1" w:rsidRPr="00586541" w:rsidRDefault="00C03DD1" w:rsidP="00A217FF">
            <w:pPr>
              <w:ind w:left="0" w:firstLine="0"/>
              <w:jc w:val="right"/>
              <w:rPr>
                <w:rFonts w:asciiTheme="minorHAnsi" w:eastAsia="Times New Roman" w:hAnsiTheme="minorHAnsi" w:cs="Arial"/>
                <w:b/>
                <w:bCs/>
                <w:color w:val="000000"/>
                <w:lang w:eastAsia="en-GB"/>
              </w:rPr>
            </w:pPr>
            <w:r w:rsidRPr="00586541">
              <w:rPr>
                <w:rFonts w:asciiTheme="minorHAnsi" w:eastAsia="Times New Roman" w:hAnsiTheme="minorHAnsi" w:cs="Arial"/>
                <w:b/>
                <w:bCs/>
                <w:color w:val="000000"/>
                <w:lang w:eastAsia="en-GB"/>
              </w:rPr>
              <w:t>15,243</w:t>
            </w:r>
          </w:p>
        </w:tc>
      </w:tr>
    </w:tbl>
    <w:p w14:paraId="28B80F3F" w14:textId="77777777" w:rsidR="00024026" w:rsidRDefault="00024026" w:rsidP="002D28C5">
      <w:pPr>
        <w:rPr>
          <w:rFonts w:cs="Arial"/>
          <w:b/>
        </w:rPr>
      </w:pPr>
    </w:p>
    <w:p w14:paraId="77DBED33" w14:textId="77777777" w:rsidR="00FA2EB9" w:rsidRDefault="00FA2EB9">
      <w:pPr>
        <w:rPr>
          <w:rFonts w:cs="Arial"/>
          <w:b/>
        </w:rPr>
      </w:pPr>
      <w:r>
        <w:rPr>
          <w:rFonts w:cs="Arial"/>
          <w:b/>
        </w:rPr>
        <w:br w:type="page"/>
      </w:r>
    </w:p>
    <w:p w14:paraId="7258627A" w14:textId="4D1D4B3B" w:rsidR="00C72A9C" w:rsidRDefault="00C72A9C" w:rsidP="002D28C5">
      <w:pPr>
        <w:rPr>
          <w:rFonts w:cs="Arial"/>
          <w:b/>
        </w:rPr>
      </w:pPr>
      <w:r w:rsidRPr="002D28C5">
        <w:rPr>
          <w:rFonts w:cs="Arial"/>
          <w:b/>
        </w:rPr>
        <w:lastRenderedPageBreak/>
        <w:t xml:space="preserve">Scenario B, </w:t>
      </w:r>
      <w:r w:rsidR="00D8263D">
        <w:rPr>
          <w:rFonts w:cs="Arial"/>
          <w:b/>
        </w:rPr>
        <w:t>2.8</w:t>
      </w:r>
      <w:r w:rsidR="00701C8A">
        <w:rPr>
          <w:rFonts w:cs="Arial"/>
          <w:b/>
        </w:rPr>
        <w:t xml:space="preserve"> </w:t>
      </w:r>
      <w:r w:rsidRPr="002D28C5">
        <w:rPr>
          <w:rFonts w:cs="Arial"/>
          <w:b/>
        </w:rPr>
        <w:t>% increase</w:t>
      </w:r>
      <w:r w:rsidR="003A7B77" w:rsidRPr="003A7B77">
        <w:t xml:space="preserve"> </w:t>
      </w:r>
      <w:r w:rsidR="003A7B77" w:rsidRPr="003A7B77">
        <w:rPr>
          <w:rFonts w:cs="Arial"/>
          <w:b/>
        </w:rPr>
        <w:t>compared to 2019-2021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2D28C5" w:rsidRPr="00A217FF" w14:paraId="5398F927" w14:textId="4B77E9C2"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0755FC2B" w14:textId="77777777" w:rsidR="002D28C5" w:rsidRPr="00FA2EB9" w:rsidRDefault="002D28C5" w:rsidP="004E4C83">
            <w:pPr>
              <w:ind w:left="0" w:firstLine="0"/>
              <w:rPr>
                <w:rFonts w:eastAsia="Times New Roman" w:cs="Arial"/>
                <w:b/>
                <w:bCs/>
                <w:color w:val="1F497D"/>
                <w:sz w:val="20"/>
                <w:szCs w:val="20"/>
                <w:lang w:eastAsia="en-GB"/>
              </w:rPr>
            </w:pPr>
            <w:r w:rsidRPr="00FA2EB9">
              <w:rPr>
                <w:rFonts w:eastAsia="Times New Roman" w:cs="Arial"/>
                <w:b/>
                <w:bCs/>
                <w:color w:val="1F497D"/>
                <w:sz w:val="20"/>
                <w:szCs w:val="20"/>
                <w:lang w:eastAsia="en-GB"/>
              </w:rPr>
              <w:t>2.</w:t>
            </w:r>
            <w:r w:rsidR="00E44F1E" w:rsidRPr="00FA2EB9">
              <w:rPr>
                <w:rFonts w:eastAsia="Times New Roman" w:cs="Arial"/>
                <w:b/>
                <w:bCs/>
                <w:color w:val="1F497D"/>
                <w:sz w:val="20"/>
                <w:szCs w:val="20"/>
                <w:lang w:eastAsia="en-GB"/>
              </w:rPr>
              <w:t>8</w:t>
            </w:r>
            <w:r w:rsidRPr="00FA2EB9">
              <w:rPr>
                <w:rFonts w:eastAsia="Times New Roman" w:cs="Arial"/>
                <w:b/>
                <w:bCs/>
                <w:color w:val="1F497D"/>
                <w:sz w:val="20"/>
                <w:szCs w:val="20"/>
                <w:lang w:eastAsia="en-GB"/>
              </w:rPr>
              <w:t xml:space="preserve">% increase, Proposed Budget </w:t>
            </w:r>
            <w:r w:rsidR="00452DF8" w:rsidRPr="00FA2EB9">
              <w:rPr>
                <w:rFonts w:eastAsia="Times New Roman" w:cs="Arial"/>
                <w:b/>
                <w:bCs/>
                <w:color w:val="1F497D"/>
                <w:sz w:val="20"/>
                <w:szCs w:val="20"/>
                <w:lang w:eastAsia="en-GB"/>
              </w:rPr>
              <w:t>2023</w:t>
            </w:r>
            <w:r w:rsidRPr="00FA2EB9">
              <w:rPr>
                <w:rFonts w:eastAsia="Times New Roman" w:cs="Arial"/>
                <w:b/>
                <w:bCs/>
                <w:color w:val="1F497D"/>
                <w:sz w:val="20"/>
                <w:szCs w:val="20"/>
                <w:lang w:eastAsia="en-GB"/>
              </w:rPr>
              <w:t>-</w:t>
            </w:r>
            <w:r w:rsidR="00452DF8" w:rsidRPr="00FA2EB9">
              <w:rPr>
                <w:rFonts w:eastAsia="Times New Roman" w:cs="Arial"/>
                <w:b/>
                <w:bCs/>
                <w:color w:val="1F497D"/>
                <w:sz w:val="20"/>
                <w:szCs w:val="20"/>
                <w:lang w:eastAsia="en-GB"/>
              </w:rPr>
              <w:t>2025</w:t>
            </w:r>
          </w:p>
          <w:p w14:paraId="43C6E42C" w14:textId="3E298C22" w:rsidR="00FA2EB9" w:rsidRPr="002D28C5" w:rsidRDefault="00FA2EB9" w:rsidP="004E4C83">
            <w:pPr>
              <w:ind w:left="0" w:firstLine="0"/>
              <w:rPr>
                <w:rFonts w:eastAsia="Times New Roman" w:cs="Arial"/>
                <w:b/>
                <w:bCs/>
                <w:color w:val="1F497D"/>
                <w:sz w:val="24"/>
                <w:szCs w:val="24"/>
                <w:lang w:eastAsia="en-GB"/>
              </w:rPr>
            </w:pPr>
            <w:r w:rsidRPr="00A217FF">
              <w:rPr>
                <w:rFonts w:asciiTheme="minorHAnsi" w:eastAsia="Times New Roman" w:hAnsiTheme="minorHAnsi" w:cs="Arial"/>
                <w:b/>
                <w:bCs/>
                <w:color w:val="1F497D"/>
                <w:sz w:val="20"/>
                <w:szCs w:val="20"/>
                <w:lang w:eastAsia="en-GB"/>
              </w:rPr>
              <w:t>CHF 000'S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02C5482" w14:textId="38F0F1B6" w:rsidR="002D28C5" w:rsidRPr="00A217FF" w:rsidRDefault="002D28C5" w:rsidP="00D57BC7">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452DF8" w:rsidRPr="00A217FF">
              <w:rPr>
                <w:rFonts w:asciiTheme="minorHAnsi" w:eastAsia="Times New Roman" w:hAnsiTheme="minorHAnsi" w:cs="Arial"/>
                <w:b/>
                <w:bCs/>
                <w:color w:val="1F497D"/>
                <w:sz w:val="20"/>
                <w:szCs w:val="20"/>
                <w:lang w:eastAsia="en-GB"/>
              </w:rPr>
              <w:t>20</w:t>
            </w:r>
            <w:r w:rsidR="00452DF8">
              <w:rPr>
                <w:rFonts w:asciiTheme="minorHAnsi" w:eastAsia="Times New Roman" w:hAnsiTheme="minorHAnsi" w:cs="Arial"/>
                <w:b/>
                <w:bCs/>
                <w:color w:val="1F497D"/>
                <w:sz w:val="20"/>
                <w:szCs w:val="20"/>
                <w:lang w:eastAsia="en-GB"/>
              </w:rPr>
              <w:t>23</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FB2E7F9" w14:textId="502BEAB2" w:rsidR="002D28C5" w:rsidRPr="00A217FF" w:rsidRDefault="002D28C5" w:rsidP="00A26E01">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452DF8" w:rsidRPr="00A217FF">
              <w:rPr>
                <w:rFonts w:asciiTheme="minorHAnsi" w:eastAsia="Times New Roman" w:hAnsiTheme="minorHAnsi" w:cs="Arial"/>
                <w:b/>
                <w:bCs/>
                <w:color w:val="1F497D"/>
                <w:sz w:val="20"/>
                <w:szCs w:val="20"/>
                <w:lang w:eastAsia="en-GB"/>
              </w:rPr>
              <w:t>202</w:t>
            </w:r>
            <w:r w:rsidR="00452DF8">
              <w:rPr>
                <w:rFonts w:asciiTheme="minorHAnsi" w:eastAsia="Times New Roman" w:hAnsiTheme="minorHAnsi" w:cs="Arial"/>
                <w:b/>
                <w:bCs/>
                <w:color w:val="1F497D"/>
                <w:sz w:val="20"/>
                <w:szCs w:val="20"/>
                <w:lang w:eastAsia="en-GB"/>
              </w:rPr>
              <w:t>4</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0D7A391D" w14:textId="4DE3E8C5" w:rsidR="002D28C5" w:rsidRPr="00A217FF" w:rsidRDefault="002D28C5" w:rsidP="004E4C83">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452DF8" w:rsidRPr="00A217FF">
              <w:rPr>
                <w:rFonts w:asciiTheme="minorHAnsi" w:eastAsia="Times New Roman" w:hAnsiTheme="minorHAnsi" w:cs="Arial"/>
                <w:b/>
                <w:bCs/>
                <w:color w:val="1F497D"/>
                <w:sz w:val="20"/>
                <w:szCs w:val="20"/>
                <w:lang w:eastAsia="en-GB"/>
              </w:rPr>
              <w:t>202</w:t>
            </w:r>
            <w:r w:rsidR="00452DF8">
              <w:rPr>
                <w:rFonts w:asciiTheme="minorHAnsi" w:eastAsia="Times New Roman" w:hAnsiTheme="minorHAnsi" w:cs="Arial"/>
                <w:b/>
                <w:bCs/>
                <w:color w:val="1F497D"/>
                <w:sz w:val="20"/>
                <w:szCs w:val="20"/>
                <w:lang w:eastAsia="en-GB"/>
              </w:rPr>
              <w:t>5</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4EDD88A" w14:textId="5D76611C" w:rsidR="002D28C5" w:rsidRPr="00A217FF" w:rsidRDefault="002D28C5" w:rsidP="00DC0EBF">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452DF8" w:rsidRPr="00A217FF">
              <w:rPr>
                <w:rFonts w:asciiTheme="minorHAnsi" w:eastAsia="Times New Roman" w:hAnsiTheme="minorHAnsi" w:cs="Arial"/>
                <w:b/>
                <w:bCs/>
                <w:color w:val="1F497D"/>
                <w:sz w:val="20"/>
                <w:szCs w:val="20"/>
                <w:lang w:eastAsia="en-GB"/>
              </w:rPr>
              <w:t>20</w:t>
            </w:r>
            <w:r w:rsidR="00452DF8">
              <w:rPr>
                <w:rFonts w:asciiTheme="minorHAnsi" w:eastAsia="Times New Roman" w:hAnsiTheme="minorHAnsi" w:cs="Arial"/>
                <w:b/>
                <w:bCs/>
                <w:color w:val="1F497D"/>
                <w:sz w:val="20"/>
                <w:szCs w:val="20"/>
                <w:lang w:eastAsia="en-GB"/>
              </w:rPr>
              <w:t>23</w:t>
            </w:r>
            <w:r w:rsidRPr="00A217FF">
              <w:rPr>
                <w:rFonts w:asciiTheme="minorHAnsi" w:eastAsia="Times New Roman" w:hAnsiTheme="minorHAnsi" w:cs="Arial"/>
                <w:b/>
                <w:bCs/>
                <w:color w:val="1F497D"/>
                <w:sz w:val="20"/>
                <w:szCs w:val="20"/>
                <w:lang w:eastAsia="en-GB"/>
              </w:rPr>
              <w:t>-</w:t>
            </w:r>
            <w:r w:rsidR="00452DF8" w:rsidRPr="00A217FF">
              <w:rPr>
                <w:rFonts w:asciiTheme="minorHAnsi" w:eastAsia="Times New Roman" w:hAnsiTheme="minorHAnsi" w:cs="Arial"/>
                <w:b/>
                <w:bCs/>
                <w:color w:val="1F497D"/>
                <w:sz w:val="20"/>
                <w:szCs w:val="20"/>
                <w:lang w:eastAsia="en-GB"/>
              </w:rPr>
              <w:t>20</w:t>
            </w:r>
            <w:r w:rsidR="00452DF8">
              <w:rPr>
                <w:rFonts w:asciiTheme="minorHAnsi" w:eastAsia="Times New Roman" w:hAnsiTheme="minorHAnsi" w:cs="Arial"/>
                <w:b/>
                <w:bCs/>
                <w:color w:val="1F497D"/>
                <w:sz w:val="20"/>
                <w:szCs w:val="20"/>
                <w:lang w:eastAsia="en-GB"/>
              </w:rPr>
              <w:t>25</w:t>
            </w:r>
          </w:p>
        </w:tc>
      </w:tr>
      <w:tr w:rsidR="002D28C5" w:rsidRPr="00A217FF" w14:paraId="5AFF6A98" w14:textId="0F4A30D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88BD5" w14:textId="26433716"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C9286C" w14:textId="7BA5100B"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07A00" w14:textId="06657A06"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CF4FF67" w14:textId="7E06EDC0"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F71579" w14:textId="6ADBDA14" w:rsidR="002D28C5" w:rsidRPr="00A217FF" w:rsidRDefault="002D28C5" w:rsidP="00A26E01">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2D28C5" w:rsidRPr="00A217FF" w14:paraId="23DF108E" w14:textId="23A2088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A9266F" w14:textId="2C419B60"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5B34224D" w14:textId="1168557A"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3,878</w:t>
            </w:r>
          </w:p>
        </w:tc>
        <w:tc>
          <w:tcPr>
            <w:tcW w:w="1063" w:type="dxa"/>
            <w:tcBorders>
              <w:top w:val="nil"/>
              <w:left w:val="nil"/>
              <w:bottom w:val="single" w:sz="4" w:space="0" w:color="auto"/>
              <w:right w:val="single" w:sz="4" w:space="0" w:color="auto"/>
            </w:tcBorders>
            <w:shd w:val="clear" w:color="auto" w:fill="auto"/>
            <w:noWrap/>
            <w:vAlign w:val="center"/>
            <w:hideMark/>
          </w:tcPr>
          <w:p w14:paraId="7A14C3BA" w14:textId="6AA3DE24"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3,878</w:t>
            </w:r>
          </w:p>
        </w:tc>
        <w:tc>
          <w:tcPr>
            <w:tcW w:w="1063" w:type="dxa"/>
            <w:tcBorders>
              <w:top w:val="nil"/>
              <w:left w:val="nil"/>
              <w:bottom w:val="single" w:sz="4" w:space="0" w:color="auto"/>
              <w:right w:val="single" w:sz="4" w:space="0" w:color="auto"/>
            </w:tcBorders>
            <w:shd w:val="clear" w:color="auto" w:fill="auto"/>
            <w:noWrap/>
            <w:vAlign w:val="center"/>
            <w:hideMark/>
          </w:tcPr>
          <w:p w14:paraId="09A5BC05" w14:textId="2B8E0D74" w:rsidR="002D28C5" w:rsidRPr="00586541" w:rsidRDefault="00DD4C66"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3,878</w:t>
            </w:r>
          </w:p>
        </w:tc>
        <w:tc>
          <w:tcPr>
            <w:tcW w:w="1063" w:type="dxa"/>
            <w:tcBorders>
              <w:top w:val="nil"/>
              <w:left w:val="nil"/>
              <w:bottom w:val="single" w:sz="4" w:space="0" w:color="auto"/>
              <w:right w:val="single" w:sz="4" w:space="0" w:color="auto"/>
            </w:tcBorders>
            <w:shd w:val="clear" w:color="auto" w:fill="auto"/>
            <w:noWrap/>
            <w:vAlign w:val="center"/>
            <w:hideMark/>
          </w:tcPr>
          <w:p w14:paraId="362AD2A0" w14:textId="03A6F715" w:rsidR="002D28C5" w:rsidRPr="00586541" w:rsidRDefault="00DD4C66" w:rsidP="008F481B">
            <w:pPr>
              <w:ind w:left="0" w:firstLine="0"/>
              <w:jc w:val="right"/>
              <w:rPr>
                <w:rFonts w:eastAsia="Times New Roman" w:cs="Arial"/>
                <w:sz w:val="20"/>
                <w:szCs w:val="20"/>
                <w:lang w:eastAsia="en-GB"/>
              </w:rPr>
            </w:pPr>
            <w:r w:rsidRPr="00586541">
              <w:rPr>
                <w:rFonts w:eastAsia="Times New Roman" w:cs="Arial"/>
                <w:sz w:val="20"/>
                <w:szCs w:val="20"/>
                <w:lang w:eastAsia="en-GB"/>
              </w:rPr>
              <w:t>11,63</w:t>
            </w:r>
            <w:r w:rsidR="00232904" w:rsidRPr="00586541">
              <w:rPr>
                <w:rFonts w:eastAsia="Times New Roman" w:cs="Arial"/>
                <w:sz w:val="20"/>
                <w:szCs w:val="20"/>
                <w:lang w:eastAsia="en-GB"/>
              </w:rPr>
              <w:t>4</w:t>
            </w:r>
          </w:p>
        </w:tc>
      </w:tr>
      <w:tr w:rsidR="002D28C5" w:rsidRPr="00A217FF" w14:paraId="4AC649CB" w14:textId="07C46AC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8AD58D" w14:textId="54904B2F"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DB30B4"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4C2F6461" w14:textId="37618F3C"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1,094</w:t>
            </w:r>
          </w:p>
        </w:tc>
        <w:tc>
          <w:tcPr>
            <w:tcW w:w="1063" w:type="dxa"/>
            <w:tcBorders>
              <w:top w:val="nil"/>
              <w:left w:val="nil"/>
              <w:bottom w:val="single" w:sz="4" w:space="0" w:color="auto"/>
              <w:right w:val="single" w:sz="4" w:space="0" w:color="auto"/>
            </w:tcBorders>
            <w:shd w:val="clear" w:color="auto" w:fill="auto"/>
            <w:noWrap/>
            <w:vAlign w:val="center"/>
            <w:hideMark/>
          </w:tcPr>
          <w:p w14:paraId="512AB521" w14:textId="34C0C9E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1,094</w:t>
            </w:r>
          </w:p>
        </w:tc>
        <w:tc>
          <w:tcPr>
            <w:tcW w:w="1063" w:type="dxa"/>
            <w:tcBorders>
              <w:top w:val="nil"/>
              <w:left w:val="nil"/>
              <w:bottom w:val="single" w:sz="4" w:space="0" w:color="auto"/>
              <w:right w:val="single" w:sz="4" w:space="0" w:color="auto"/>
            </w:tcBorders>
            <w:shd w:val="clear" w:color="auto" w:fill="auto"/>
            <w:noWrap/>
            <w:vAlign w:val="center"/>
            <w:hideMark/>
          </w:tcPr>
          <w:p w14:paraId="6E738F4C" w14:textId="630DE22E" w:rsidR="002D28C5" w:rsidRPr="00586541" w:rsidRDefault="00D57BC7"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1,094</w:t>
            </w:r>
          </w:p>
        </w:tc>
        <w:tc>
          <w:tcPr>
            <w:tcW w:w="1063" w:type="dxa"/>
            <w:tcBorders>
              <w:top w:val="nil"/>
              <w:left w:val="nil"/>
              <w:bottom w:val="single" w:sz="4" w:space="0" w:color="auto"/>
              <w:right w:val="single" w:sz="4" w:space="0" w:color="auto"/>
            </w:tcBorders>
            <w:shd w:val="clear" w:color="auto" w:fill="auto"/>
            <w:noWrap/>
            <w:vAlign w:val="center"/>
            <w:hideMark/>
          </w:tcPr>
          <w:p w14:paraId="624D4E6B" w14:textId="26AADAF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3,282</w:t>
            </w:r>
          </w:p>
        </w:tc>
      </w:tr>
      <w:tr w:rsidR="002D28C5" w:rsidRPr="00A217FF" w14:paraId="244B953D" w14:textId="625762B4"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09D24E" w14:textId="15417A0A"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77D5C0D7" w14:textId="0BF37D0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5E53F562" w14:textId="170FE2D0"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55F9A56A" w14:textId="577D0FAA" w:rsidR="002D28C5" w:rsidRPr="00586541" w:rsidRDefault="002D28C5"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654BB42A" w14:textId="73CEDF3F"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729</w:t>
            </w:r>
          </w:p>
        </w:tc>
      </w:tr>
      <w:tr w:rsidR="002D28C5" w:rsidRPr="00A217FF" w14:paraId="5E275124" w14:textId="363B2D91" w:rsidTr="00FA2EB9">
        <w:tc>
          <w:tcPr>
            <w:tcW w:w="4962" w:type="dxa"/>
            <w:tcBorders>
              <w:top w:val="nil"/>
              <w:left w:val="single" w:sz="4" w:space="0" w:color="auto"/>
              <w:bottom w:val="nil"/>
              <w:right w:val="single" w:sz="4" w:space="0" w:color="auto"/>
            </w:tcBorders>
            <w:shd w:val="clear" w:color="auto" w:fill="auto"/>
            <w:noWrap/>
            <w:vAlign w:val="center"/>
            <w:hideMark/>
          </w:tcPr>
          <w:p w14:paraId="02A900CF" w14:textId="4D72861B"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hideMark/>
          </w:tcPr>
          <w:p w14:paraId="2890A8CB" w14:textId="039E66C3" w:rsidR="002D28C5" w:rsidRPr="00586541" w:rsidRDefault="002D28C5" w:rsidP="00DC0EBF">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D57BC7" w:rsidRPr="00586541">
              <w:rPr>
                <w:rFonts w:eastAsia="Times New Roman" w:cs="Arial"/>
                <w:sz w:val="20"/>
                <w:szCs w:val="20"/>
                <w:lang w:eastAsia="en-GB"/>
              </w:rPr>
              <w:t>2</w:t>
            </w:r>
          </w:p>
        </w:tc>
        <w:tc>
          <w:tcPr>
            <w:tcW w:w="1063" w:type="dxa"/>
            <w:tcBorders>
              <w:top w:val="nil"/>
              <w:left w:val="nil"/>
              <w:bottom w:val="single" w:sz="4" w:space="0" w:color="auto"/>
              <w:right w:val="single" w:sz="4" w:space="0" w:color="auto"/>
            </w:tcBorders>
            <w:shd w:val="clear" w:color="auto" w:fill="auto"/>
            <w:noWrap/>
            <w:vAlign w:val="center"/>
            <w:hideMark/>
          </w:tcPr>
          <w:p w14:paraId="50A831F0" w14:textId="6ED8E914"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5F90ABE3" w14:textId="1272A4D8" w:rsidR="002D28C5" w:rsidRPr="00586541" w:rsidRDefault="00D57BC7"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4C1F0C4A" w14:textId="532AC09E"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36</w:t>
            </w:r>
          </w:p>
        </w:tc>
      </w:tr>
      <w:tr w:rsidR="002D28C5" w:rsidRPr="00A217FF" w14:paraId="71E51F6C" w14:textId="715C1A74"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60BF40" w14:textId="174FD64A"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95C6AE" w14:textId="024DC2F6" w:rsidR="002D28C5" w:rsidRPr="00024026" w:rsidRDefault="00CB2EC4" w:rsidP="00DC0EBF">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BF3BF2E" w14:textId="4DD5A6A2" w:rsidR="002D28C5" w:rsidRPr="00024026" w:rsidRDefault="00CB2EC4" w:rsidP="00227C59">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20FA0382" w14:textId="2CD98C2A" w:rsidR="002D28C5" w:rsidRPr="00024026" w:rsidRDefault="00CB2EC4" w:rsidP="009A141C">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26543C1" w14:textId="0CB70FE6" w:rsidR="002D28C5" w:rsidRPr="00024026" w:rsidRDefault="00CB2EC4" w:rsidP="008F481B">
            <w:pPr>
              <w:ind w:left="0" w:firstLine="0"/>
              <w:jc w:val="right"/>
              <w:rPr>
                <w:rFonts w:eastAsia="Times New Roman" w:cs="Arial"/>
                <w:b/>
                <w:bCs/>
                <w:color w:val="000000"/>
                <w:lang w:eastAsia="en-GB"/>
              </w:rPr>
            </w:pPr>
            <w:r w:rsidRPr="00024026">
              <w:rPr>
                <w:rFonts w:eastAsia="Times New Roman" w:cs="Arial"/>
                <w:b/>
                <w:bCs/>
                <w:color w:val="000000"/>
                <w:lang w:eastAsia="en-GB"/>
              </w:rPr>
              <w:t>15,68</w:t>
            </w:r>
            <w:r w:rsidR="00232904" w:rsidRPr="00024026">
              <w:rPr>
                <w:rFonts w:eastAsia="Times New Roman" w:cs="Arial"/>
                <w:b/>
                <w:bCs/>
                <w:color w:val="000000"/>
                <w:lang w:eastAsia="en-GB"/>
              </w:rPr>
              <w:t>1</w:t>
            </w:r>
          </w:p>
        </w:tc>
      </w:tr>
      <w:tr w:rsidR="002D28C5" w:rsidRPr="00A217FF" w14:paraId="435D72A2" w14:textId="56C0A380" w:rsidTr="00FA2EB9">
        <w:trPr>
          <w:trHeight w:val="389"/>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DF36A0B" w14:textId="756FD670"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hideMark/>
          </w:tcPr>
          <w:p w14:paraId="7E3812EA" w14:textId="5E828218"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483AA301" w14:textId="4FC5B2DA"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0C8C2AEB" w14:textId="6E6B30C1" w:rsidR="002D28C5" w:rsidRPr="00024026" w:rsidRDefault="002D28C5"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78572CC5" w14:textId="213A5AF8" w:rsidR="002D28C5" w:rsidRPr="00024026" w:rsidRDefault="002D28C5" w:rsidP="00A26E01">
            <w:pPr>
              <w:ind w:left="0" w:firstLine="0"/>
              <w:rPr>
                <w:rFonts w:asciiTheme="minorHAnsi" w:eastAsia="Times New Roman" w:hAnsiTheme="minorHAnsi" w:cs="Arial"/>
                <w:b/>
                <w:bCs/>
                <w:sz w:val="20"/>
                <w:szCs w:val="20"/>
                <w:lang w:eastAsia="en-GB"/>
              </w:rPr>
            </w:pPr>
            <w:r w:rsidRPr="00024026">
              <w:rPr>
                <w:rFonts w:asciiTheme="minorHAnsi" w:eastAsia="Times New Roman" w:hAnsiTheme="minorHAnsi" w:cs="Arial"/>
                <w:b/>
                <w:bCs/>
                <w:sz w:val="20"/>
                <w:szCs w:val="20"/>
                <w:lang w:eastAsia="en-GB"/>
              </w:rPr>
              <w:t> </w:t>
            </w:r>
          </w:p>
        </w:tc>
      </w:tr>
      <w:tr w:rsidR="002D28C5" w:rsidRPr="00A217FF" w14:paraId="4AC46831" w14:textId="6BB1569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3038E6F" w14:textId="317C9101" w:rsidR="002D28C5" w:rsidRPr="00A217FF" w:rsidRDefault="002D28C5" w:rsidP="00A26E01">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 Secretariat Senior Management</w:t>
            </w:r>
            <w:r w:rsidR="00D57BC7">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A7C3381" w14:textId="21785A19"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064</w:t>
            </w:r>
          </w:p>
        </w:tc>
        <w:tc>
          <w:tcPr>
            <w:tcW w:w="1063" w:type="dxa"/>
            <w:tcBorders>
              <w:top w:val="nil"/>
              <w:left w:val="nil"/>
              <w:bottom w:val="single" w:sz="4" w:space="0" w:color="auto"/>
              <w:right w:val="single" w:sz="4" w:space="0" w:color="auto"/>
            </w:tcBorders>
            <w:shd w:val="clear" w:color="000000" w:fill="C4D79B"/>
            <w:noWrap/>
            <w:vAlign w:val="center"/>
            <w:hideMark/>
          </w:tcPr>
          <w:p w14:paraId="39D0CD61" w14:textId="21252C47"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087</w:t>
            </w:r>
          </w:p>
        </w:tc>
        <w:tc>
          <w:tcPr>
            <w:tcW w:w="1063" w:type="dxa"/>
            <w:tcBorders>
              <w:top w:val="nil"/>
              <w:left w:val="nil"/>
              <w:bottom w:val="single" w:sz="4" w:space="0" w:color="auto"/>
              <w:right w:val="single" w:sz="4" w:space="0" w:color="auto"/>
            </w:tcBorders>
            <w:shd w:val="clear" w:color="000000" w:fill="C4D79B"/>
            <w:noWrap/>
            <w:vAlign w:val="center"/>
            <w:hideMark/>
          </w:tcPr>
          <w:p w14:paraId="1A63E333" w14:textId="2A20664D"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091</w:t>
            </w:r>
          </w:p>
        </w:tc>
        <w:tc>
          <w:tcPr>
            <w:tcW w:w="1063" w:type="dxa"/>
            <w:tcBorders>
              <w:top w:val="nil"/>
              <w:left w:val="nil"/>
              <w:bottom w:val="single" w:sz="4" w:space="0" w:color="auto"/>
              <w:right w:val="single" w:sz="4" w:space="0" w:color="auto"/>
            </w:tcBorders>
            <w:shd w:val="clear" w:color="000000" w:fill="C4D79B"/>
            <w:noWrap/>
            <w:vAlign w:val="center"/>
            <w:hideMark/>
          </w:tcPr>
          <w:p w14:paraId="050FD0A8" w14:textId="2A07EF48" w:rsidR="002D28C5" w:rsidRPr="00024026" w:rsidRDefault="00D57BC7">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w:t>
            </w:r>
            <w:r w:rsidR="00452DF8" w:rsidRPr="00024026">
              <w:rPr>
                <w:rFonts w:asciiTheme="minorHAnsi" w:eastAsia="Times New Roman" w:hAnsiTheme="minorHAnsi" w:cs="Arial"/>
                <w:b/>
                <w:bCs/>
                <w:color w:val="000000"/>
                <w:sz w:val="20"/>
                <w:szCs w:val="20"/>
                <w:lang w:eastAsia="en-GB"/>
              </w:rPr>
              <w:t>242</w:t>
            </w:r>
          </w:p>
        </w:tc>
      </w:tr>
      <w:tr w:rsidR="002D28C5" w:rsidRPr="00A217FF" w14:paraId="488EF434" w14:textId="22CA0FE3"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BDDEB40" w14:textId="0D73577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B96F315" w14:textId="1CEEBCC2"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52DF8" w:rsidRPr="00024026">
              <w:rPr>
                <w:rFonts w:asciiTheme="minorHAnsi" w:eastAsia="Times New Roman" w:hAnsiTheme="minorHAnsi" w:cs="Arial"/>
                <w:sz w:val="20"/>
                <w:szCs w:val="20"/>
                <w:lang w:eastAsia="en-GB"/>
              </w:rPr>
              <w:t>019</w:t>
            </w:r>
          </w:p>
        </w:tc>
        <w:tc>
          <w:tcPr>
            <w:tcW w:w="1063" w:type="dxa"/>
            <w:tcBorders>
              <w:top w:val="nil"/>
              <w:left w:val="nil"/>
              <w:bottom w:val="single" w:sz="4" w:space="0" w:color="auto"/>
              <w:right w:val="single" w:sz="4" w:space="0" w:color="auto"/>
            </w:tcBorders>
            <w:shd w:val="clear" w:color="auto" w:fill="auto"/>
            <w:noWrap/>
            <w:vAlign w:val="center"/>
            <w:hideMark/>
          </w:tcPr>
          <w:p w14:paraId="28F837C9" w14:textId="0DCC1A1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52DF8" w:rsidRPr="00024026">
              <w:rPr>
                <w:rFonts w:asciiTheme="minorHAnsi" w:eastAsia="Times New Roman" w:hAnsiTheme="minorHAnsi" w:cs="Arial"/>
                <w:sz w:val="20"/>
                <w:szCs w:val="20"/>
                <w:lang w:eastAsia="en-GB"/>
              </w:rPr>
              <w:t>042</w:t>
            </w:r>
          </w:p>
        </w:tc>
        <w:tc>
          <w:tcPr>
            <w:tcW w:w="1063" w:type="dxa"/>
            <w:tcBorders>
              <w:top w:val="nil"/>
              <w:left w:val="nil"/>
              <w:bottom w:val="single" w:sz="4" w:space="0" w:color="auto"/>
              <w:right w:val="single" w:sz="4" w:space="0" w:color="auto"/>
            </w:tcBorders>
            <w:shd w:val="clear" w:color="auto" w:fill="auto"/>
            <w:noWrap/>
            <w:vAlign w:val="center"/>
            <w:hideMark/>
          </w:tcPr>
          <w:p w14:paraId="5580D49D" w14:textId="6A12E137"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452DF8" w:rsidRPr="00024026">
              <w:rPr>
                <w:rFonts w:asciiTheme="minorHAnsi" w:eastAsia="Times New Roman" w:hAnsiTheme="minorHAnsi" w:cs="Arial"/>
                <w:color w:val="000000"/>
                <w:sz w:val="20"/>
                <w:szCs w:val="20"/>
                <w:lang w:eastAsia="en-GB"/>
              </w:rPr>
              <w:t>046</w:t>
            </w:r>
          </w:p>
        </w:tc>
        <w:tc>
          <w:tcPr>
            <w:tcW w:w="1063" w:type="dxa"/>
            <w:tcBorders>
              <w:top w:val="nil"/>
              <w:left w:val="nil"/>
              <w:bottom w:val="single" w:sz="4" w:space="0" w:color="auto"/>
              <w:right w:val="single" w:sz="4" w:space="0" w:color="auto"/>
            </w:tcBorders>
            <w:shd w:val="clear" w:color="auto" w:fill="auto"/>
            <w:noWrap/>
            <w:vAlign w:val="center"/>
            <w:hideMark/>
          </w:tcPr>
          <w:p w14:paraId="4A696686" w14:textId="5E57CB7D"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A22E7B">
              <w:rPr>
                <w:rFonts w:asciiTheme="minorHAnsi" w:eastAsia="Times New Roman" w:hAnsiTheme="minorHAnsi" w:cs="Arial"/>
                <w:sz w:val="20"/>
                <w:szCs w:val="20"/>
                <w:lang w:eastAsia="en-GB"/>
              </w:rPr>
              <w:t>10</w:t>
            </w:r>
            <w:r w:rsidR="00452DF8" w:rsidRPr="00024026">
              <w:rPr>
                <w:rFonts w:asciiTheme="minorHAnsi" w:eastAsia="Times New Roman" w:hAnsiTheme="minorHAnsi" w:cs="Arial"/>
                <w:sz w:val="20"/>
                <w:szCs w:val="20"/>
                <w:lang w:eastAsia="en-GB"/>
              </w:rPr>
              <w:t>7</w:t>
            </w:r>
          </w:p>
        </w:tc>
      </w:tr>
      <w:tr w:rsidR="002D28C5" w:rsidRPr="00A217FF" w14:paraId="3E0F7017" w14:textId="1D5FC8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3B3A58" w14:textId="7CADAF9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0E3A1870" w14:textId="2E372AF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65C84BB0" w14:textId="15776B25"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00C9852" w14:textId="21562D21"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0E3C6586" w14:textId="020E17CB"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72BF8A76" w14:textId="211B6595"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714BF4D9" w14:textId="7E904EF9"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B. 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hideMark/>
          </w:tcPr>
          <w:p w14:paraId="09FD2883" w14:textId="6A23D632" w:rsidR="002D28C5" w:rsidRPr="00024026" w:rsidRDefault="00452DF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556</w:t>
            </w:r>
          </w:p>
        </w:tc>
        <w:tc>
          <w:tcPr>
            <w:tcW w:w="1063" w:type="dxa"/>
            <w:tcBorders>
              <w:top w:val="nil"/>
              <w:left w:val="nil"/>
              <w:bottom w:val="single" w:sz="4" w:space="0" w:color="auto"/>
              <w:right w:val="single" w:sz="4" w:space="0" w:color="auto"/>
            </w:tcBorders>
            <w:shd w:val="clear" w:color="000000" w:fill="C4D79B"/>
            <w:noWrap/>
            <w:vAlign w:val="center"/>
            <w:hideMark/>
          </w:tcPr>
          <w:p w14:paraId="5007F0D9" w14:textId="7BDD2091" w:rsidR="002D28C5" w:rsidRPr="00024026" w:rsidRDefault="00452DF8" w:rsidP="003932B5">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560</w:t>
            </w:r>
          </w:p>
        </w:tc>
        <w:tc>
          <w:tcPr>
            <w:tcW w:w="1063" w:type="dxa"/>
            <w:tcBorders>
              <w:top w:val="nil"/>
              <w:left w:val="nil"/>
              <w:bottom w:val="single" w:sz="4" w:space="0" w:color="auto"/>
              <w:right w:val="single" w:sz="4" w:space="0" w:color="auto"/>
            </w:tcBorders>
            <w:shd w:val="clear" w:color="000000" w:fill="C4D79B"/>
            <w:noWrap/>
            <w:vAlign w:val="center"/>
            <w:hideMark/>
          </w:tcPr>
          <w:p w14:paraId="5BAF84B4" w14:textId="6D3743CC" w:rsidR="002D28C5" w:rsidRPr="00024026" w:rsidRDefault="00452DF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563</w:t>
            </w:r>
          </w:p>
        </w:tc>
        <w:tc>
          <w:tcPr>
            <w:tcW w:w="1063" w:type="dxa"/>
            <w:tcBorders>
              <w:top w:val="nil"/>
              <w:left w:val="nil"/>
              <w:bottom w:val="single" w:sz="4" w:space="0" w:color="auto"/>
              <w:right w:val="single" w:sz="4" w:space="0" w:color="auto"/>
            </w:tcBorders>
            <w:shd w:val="clear" w:color="000000" w:fill="C4D79B"/>
            <w:noWrap/>
            <w:vAlign w:val="center"/>
            <w:hideMark/>
          </w:tcPr>
          <w:p w14:paraId="7782DF5A" w14:textId="7A8D7E27"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679</w:t>
            </w:r>
          </w:p>
        </w:tc>
      </w:tr>
      <w:tr w:rsidR="002D28C5" w:rsidRPr="00A217FF" w14:paraId="608AE6C9" w14:textId="2C47E18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2FB9FE" w14:textId="212D956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6FF191D" w14:textId="6CC883C6" w:rsidR="002D28C5" w:rsidRPr="00024026" w:rsidRDefault="00452DF8"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355</w:t>
            </w:r>
          </w:p>
        </w:tc>
        <w:tc>
          <w:tcPr>
            <w:tcW w:w="1063" w:type="dxa"/>
            <w:tcBorders>
              <w:top w:val="nil"/>
              <w:left w:val="nil"/>
              <w:bottom w:val="single" w:sz="4" w:space="0" w:color="auto"/>
              <w:right w:val="single" w:sz="4" w:space="0" w:color="auto"/>
            </w:tcBorders>
            <w:shd w:val="clear" w:color="auto" w:fill="auto"/>
            <w:noWrap/>
            <w:vAlign w:val="center"/>
            <w:hideMark/>
          </w:tcPr>
          <w:p w14:paraId="3373778E" w14:textId="0354B50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A22E7B">
              <w:rPr>
                <w:rFonts w:asciiTheme="minorHAnsi" w:eastAsia="Times New Roman" w:hAnsiTheme="minorHAnsi" w:cs="Arial"/>
                <w:sz w:val="20"/>
                <w:szCs w:val="20"/>
                <w:lang w:eastAsia="en-GB"/>
              </w:rPr>
              <w:t>5</w:t>
            </w:r>
            <w:r w:rsidRPr="00024026">
              <w:rPr>
                <w:rFonts w:asciiTheme="minorHAnsi" w:eastAsia="Times New Roman" w:hAnsiTheme="minorHAnsi" w:cs="Arial"/>
                <w:sz w:val="20"/>
                <w:szCs w:val="20"/>
                <w:lang w:eastAsia="en-GB"/>
              </w:rPr>
              <w:t>9</w:t>
            </w:r>
          </w:p>
        </w:tc>
        <w:tc>
          <w:tcPr>
            <w:tcW w:w="1063" w:type="dxa"/>
            <w:tcBorders>
              <w:top w:val="nil"/>
              <w:left w:val="nil"/>
              <w:bottom w:val="single" w:sz="4" w:space="0" w:color="auto"/>
              <w:right w:val="single" w:sz="4" w:space="0" w:color="auto"/>
            </w:tcBorders>
            <w:shd w:val="clear" w:color="auto" w:fill="auto"/>
            <w:noWrap/>
            <w:vAlign w:val="center"/>
            <w:hideMark/>
          </w:tcPr>
          <w:p w14:paraId="6FBE4C8A" w14:textId="20D7C81A" w:rsidR="002D28C5" w:rsidRPr="00024026" w:rsidRDefault="009261DB"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362</w:t>
            </w:r>
          </w:p>
        </w:tc>
        <w:tc>
          <w:tcPr>
            <w:tcW w:w="1063" w:type="dxa"/>
            <w:tcBorders>
              <w:top w:val="nil"/>
              <w:left w:val="nil"/>
              <w:bottom w:val="single" w:sz="4" w:space="0" w:color="auto"/>
              <w:right w:val="single" w:sz="4" w:space="0" w:color="auto"/>
            </w:tcBorders>
            <w:shd w:val="clear" w:color="auto" w:fill="auto"/>
            <w:noWrap/>
            <w:vAlign w:val="center"/>
            <w:hideMark/>
          </w:tcPr>
          <w:p w14:paraId="728B2EAF" w14:textId="73336770"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A22E7B">
              <w:rPr>
                <w:rFonts w:asciiTheme="minorHAnsi" w:eastAsia="Times New Roman" w:hAnsiTheme="minorHAnsi" w:cs="Arial"/>
                <w:sz w:val="20"/>
                <w:szCs w:val="20"/>
                <w:lang w:eastAsia="en-GB"/>
              </w:rPr>
              <w:t>076</w:t>
            </w:r>
          </w:p>
        </w:tc>
      </w:tr>
      <w:tr w:rsidR="002D28C5" w:rsidRPr="00A217FF" w14:paraId="39F89FE1" w14:textId="2D07A6D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8FF31D" w14:textId="28B8896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CE4746">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hideMark/>
          </w:tcPr>
          <w:p w14:paraId="346E6DC3" w14:textId="3170DA4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0B759D99" w14:textId="51735A0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A2B9C32" w14:textId="51514570"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36140B0C" w14:textId="35E1A870"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0124F43" w14:textId="695057A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21A5062" w14:textId="1998F50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168A8AAF" w14:textId="1BFDD73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5BF70F33" w14:textId="7436AE4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300EF723" w14:textId="70C99ED4"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92BCADD" w14:textId="01DF29B9"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62B6FEF9" w14:textId="045284F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977820D" w14:textId="3EB9C85A"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CE4746"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hideMark/>
          </w:tcPr>
          <w:p w14:paraId="08C4F5DB" w14:textId="377DA4E4"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hideMark/>
          </w:tcPr>
          <w:p w14:paraId="071890D4" w14:textId="63744574" w:rsidR="002D28C5" w:rsidRPr="00024026" w:rsidRDefault="00452DF8"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hideMark/>
          </w:tcPr>
          <w:p w14:paraId="5478C651" w14:textId="1D62C2D2" w:rsidR="002D28C5" w:rsidRPr="00024026" w:rsidRDefault="00A22E7B"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w:t>
            </w:r>
            <w:r w:rsidR="00452DF8" w:rsidRPr="00024026">
              <w:rPr>
                <w:rFonts w:asciiTheme="minorHAnsi" w:eastAsia="Times New Roman" w:hAnsiTheme="minorHAnsi" w:cs="Arial"/>
                <w:color w:val="000000"/>
                <w:sz w:val="20"/>
                <w:szCs w:val="20"/>
                <w:lang w:eastAsia="en-GB"/>
              </w:rPr>
              <w:t>6</w:t>
            </w:r>
          </w:p>
        </w:tc>
        <w:tc>
          <w:tcPr>
            <w:tcW w:w="1063" w:type="dxa"/>
            <w:tcBorders>
              <w:top w:val="nil"/>
              <w:left w:val="nil"/>
              <w:bottom w:val="single" w:sz="4" w:space="0" w:color="auto"/>
              <w:right w:val="single" w:sz="4" w:space="0" w:color="auto"/>
            </w:tcBorders>
            <w:shd w:val="clear" w:color="auto" w:fill="auto"/>
            <w:noWrap/>
            <w:vAlign w:val="center"/>
            <w:hideMark/>
          </w:tcPr>
          <w:p w14:paraId="385CFF32" w14:textId="4BB5A57B" w:rsidR="002D28C5" w:rsidRPr="00024026" w:rsidRDefault="00452DF8">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168</w:t>
            </w:r>
          </w:p>
        </w:tc>
      </w:tr>
      <w:tr w:rsidR="00D57BC7" w:rsidRPr="00A217FF" w14:paraId="30BEC109"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1536CB24" w14:textId="445DEF21"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721BCFC2" w14:textId="4C83C52A"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2FFE41B6" w14:textId="1D5AB7F2"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482B9CE3" w14:textId="742D8F81" w:rsidR="00D57BC7" w:rsidRPr="00024026" w:rsidDel="00D57BC7"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4C2E8C07" w14:textId="73200E37" w:rsidR="00D57BC7" w:rsidRPr="00024026" w:rsidDel="00D57BC7"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r>
      <w:tr w:rsidR="002D28C5" w:rsidRPr="00A217FF" w14:paraId="2A732388" w14:textId="08B5802E"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2160802F" w14:textId="6CC427E2"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C. Regional Advice and Support</w:t>
            </w:r>
          </w:p>
        </w:tc>
        <w:tc>
          <w:tcPr>
            <w:tcW w:w="1063" w:type="dxa"/>
            <w:tcBorders>
              <w:top w:val="nil"/>
              <w:left w:val="nil"/>
              <w:bottom w:val="single" w:sz="4" w:space="0" w:color="auto"/>
              <w:right w:val="single" w:sz="4" w:space="0" w:color="auto"/>
            </w:tcBorders>
            <w:shd w:val="clear" w:color="000000" w:fill="C4D79B"/>
            <w:noWrap/>
            <w:vAlign w:val="center"/>
            <w:hideMark/>
          </w:tcPr>
          <w:p w14:paraId="0E2249DE" w14:textId="129A400B"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331</w:t>
            </w:r>
          </w:p>
        </w:tc>
        <w:tc>
          <w:tcPr>
            <w:tcW w:w="1063" w:type="dxa"/>
            <w:tcBorders>
              <w:top w:val="nil"/>
              <w:left w:val="nil"/>
              <w:bottom w:val="single" w:sz="4" w:space="0" w:color="auto"/>
              <w:right w:val="single" w:sz="4" w:space="0" w:color="auto"/>
            </w:tcBorders>
            <w:shd w:val="clear" w:color="000000" w:fill="C4D79B"/>
            <w:noWrap/>
            <w:vAlign w:val="center"/>
            <w:hideMark/>
          </w:tcPr>
          <w:p w14:paraId="5478855E" w14:textId="4297B01A"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350</w:t>
            </w:r>
          </w:p>
        </w:tc>
        <w:tc>
          <w:tcPr>
            <w:tcW w:w="1063" w:type="dxa"/>
            <w:tcBorders>
              <w:top w:val="nil"/>
              <w:left w:val="nil"/>
              <w:bottom w:val="single" w:sz="4" w:space="0" w:color="auto"/>
              <w:right w:val="single" w:sz="4" w:space="0" w:color="auto"/>
            </w:tcBorders>
            <w:shd w:val="clear" w:color="000000" w:fill="C4D79B"/>
            <w:noWrap/>
            <w:vAlign w:val="center"/>
            <w:hideMark/>
          </w:tcPr>
          <w:p w14:paraId="2EA13813" w14:textId="504BA192"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452DF8" w:rsidRPr="00024026">
              <w:rPr>
                <w:rFonts w:asciiTheme="minorHAnsi" w:eastAsia="Times New Roman" w:hAnsiTheme="minorHAnsi" w:cs="Arial"/>
                <w:b/>
                <w:bCs/>
                <w:color w:val="000000"/>
                <w:sz w:val="20"/>
                <w:szCs w:val="20"/>
                <w:lang w:eastAsia="en-GB"/>
              </w:rPr>
              <w:t>364</w:t>
            </w:r>
          </w:p>
        </w:tc>
        <w:tc>
          <w:tcPr>
            <w:tcW w:w="1063" w:type="dxa"/>
            <w:tcBorders>
              <w:top w:val="nil"/>
              <w:left w:val="nil"/>
              <w:bottom w:val="single" w:sz="4" w:space="0" w:color="auto"/>
              <w:right w:val="single" w:sz="4" w:space="0" w:color="auto"/>
            </w:tcBorders>
            <w:shd w:val="clear" w:color="000000" w:fill="C4D79B"/>
            <w:noWrap/>
            <w:vAlign w:val="center"/>
            <w:hideMark/>
          </w:tcPr>
          <w:p w14:paraId="79F0EAF8" w14:textId="21CB6033" w:rsidR="002D28C5" w:rsidRPr="00024026" w:rsidRDefault="00452DF8">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4,045</w:t>
            </w:r>
          </w:p>
        </w:tc>
      </w:tr>
      <w:tr w:rsidR="002D28C5" w:rsidRPr="00A217FF" w14:paraId="48DCCF7C" w14:textId="243390A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26E091" w14:textId="12365AED"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5481CB14" w14:textId="4A4ADF45"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52DF8" w:rsidRPr="00024026">
              <w:rPr>
                <w:rFonts w:asciiTheme="minorHAnsi" w:eastAsia="Times New Roman" w:hAnsiTheme="minorHAnsi" w:cs="Arial"/>
                <w:sz w:val="20"/>
                <w:szCs w:val="20"/>
                <w:lang w:eastAsia="en-GB"/>
              </w:rPr>
              <w:t>254</w:t>
            </w:r>
          </w:p>
        </w:tc>
        <w:tc>
          <w:tcPr>
            <w:tcW w:w="1063" w:type="dxa"/>
            <w:tcBorders>
              <w:top w:val="nil"/>
              <w:left w:val="nil"/>
              <w:bottom w:val="single" w:sz="4" w:space="0" w:color="auto"/>
              <w:right w:val="single" w:sz="4" w:space="0" w:color="auto"/>
            </w:tcBorders>
            <w:shd w:val="clear" w:color="auto" w:fill="auto"/>
            <w:noWrap/>
            <w:vAlign w:val="center"/>
            <w:hideMark/>
          </w:tcPr>
          <w:p w14:paraId="1258A525" w14:textId="35643FDC"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452DF8" w:rsidRPr="00024026">
              <w:rPr>
                <w:rFonts w:asciiTheme="minorHAnsi" w:eastAsia="Times New Roman" w:hAnsiTheme="minorHAnsi" w:cs="Arial"/>
                <w:sz w:val="20"/>
                <w:szCs w:val="20"/>
                <w:lang w:eastAsia="en-GB"/>
              </w:rPr>
              <w:t>273</w:t>
            </w:r>
          </w:p>
        </w:tc>
        <w:tc>
          <w:tcPr>
            <w:tcW w:w="1063" w:type="dxa"/>
            <w:tcBorders>
              <w:top w:val="nil"/>
              <w:left w:val="nil"/>
              <w:bottom w:val="single" w:sz="4" w:space="0" w:color="auto"/>
              <w:right w:val="single" w:sz="4" w:space="0" w:color="auto"/>
            </w:tcBorders>
            <w:shd w:val="clear" w:color="auto" w:fill="auto"/>
            <w:noWrap/>
            <w:vAlign w:val="center"/>
            <w:hideMark/>
          </w:tcPr>
          <w:p w14:paraId="6DC43EFA" w14:textId="43BDB1F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452DF8" w:rsidRPr="00024026">
              <w:rPr>
                <w:rFonts w:asciiTheme="minorHAnsi" w:eastAsia="Times New Roman" w:hAnsiTheme="minorHAnsi" w:cs="Arial"/>
                <w:color w:val="000000"/>
                <w:sz w:val="20"/>
                <w:szCs w:val="20"/>
                <w:lang w:eastAsia="en-GB"/>
              </w:rPr>
              <w:t>28</w:t>
            </w:r>
            <w:r w:rsidR="00A22E7B">
              <w:rPr>
                <w:rFonts w:asciiTheme="minorHAnsi" w:eastAsia="Times New Roman" w:hAnsiTheme="minorHAnsi" w:cs="Arial"/>
                <w:color w:val="000000"/>
                <w:sz w:val="20"/>
                <w:szCs w:val="20"/>
                <w:lang w:eastAsia="en-GB"/>
              </w:rPr>
              <w:t>7</w:t>
            </w:r>
          </w:p>
        </w:tc>
        <w:tc>
          <w:tcPr>
            <w:tcW w:w="1063" w:type="dxa"/>
            <w:tcBorders>
              <w:top w:val="nil"/>
              <w:left w:val="nil"/>
              <w:bottom w:val="single" w:sz="4" w:space="0" w:color="auto"/>
              <w:right w:val="single" w:sz="4" w:space="0" w:color="auto"/>
            </w:tcBorders>
            <w:shd w:val="clear" w:color="auto" w:fill="auto"/>
            <w:noWrap/>
            <w:vAlign w:val="center"/>
            <w:hideMark/>
          </w:tcPr>
          <w:p w14:paraId="1CB0E20D" w14:textId="5716AC6B" w:rsidR="002D28C5" w:rsidRPr="00024026" w:rsidRDefault="00D57BC7">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452DF8" w:rsidRPr="00024026">
              <w:rPr>
                <w:rFonts w:asciiTheme="minorHAnsi" w:eastAsia="Times New Roman" w:hAnsiTheme="minorHAnsi" w:cs="Arial"/>
                <w:sz w:val="20"/>
                <w:szCs w:val="20"/>
                <w:lang w:eastAsia="en-GB"/>
              </w:rPr>
              <w:t>814</w:t>
            </w:r>
          </w:p>
        </w:tc>
      </w:tr>
      <w:tr w:rsidR="002D28C5" w:rsidRPr="00A217FF" w14:paraId="38935CBC" w14:textId="2D07AB51"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A109BD1" w14:textId="31B9FC7E" w:rsidR="002D28C5"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4A367D9D" w14:textId="47184A62"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277DBDF6" w14:textId="09EA7EED"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1DED5C9D" w14:textId="0413FE1A"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3606A922" w14:textId="0E07E12C"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231</w:t>
            </w:r>
          </w:p>
        </w:tc>
      </w:tr>
      <w:tr w:rsidR="002D28C5" w:rsidRPr="00A217FF" w14:paraId="320FBB3E" w14:textId="5E999E8C"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08597AE8" w14:textId="1A441AFE"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 Support to Regional Initiatives</w:t>
            </w:r>
          </w:p>
        </w:tc>
        <w:tc>
          <w:tcPr>
            <w:tcW w:w="1063" w:type="dxa"/>
            <w:tcBorders>
              <w:top w:val="nil"/>
              <w:left w:val="nil"/>
              <w:bottom w:val="single" w:sz="4" w:space="0" w:color="auto"/>
              <w:right w:val="single" w:sz="4" w:space="0" w:color="auto"/>
            </w:tcBorders>
            <w:shd w:val="clear" w:color="000000" w:fill="C4D79B"/>
            <w:noWrap/>
            <w:vAlign w:val="center"/>
            <w:hideMark/>
          </w:tcPr>
          <w:p w14:paraId="6BCCCB41" w14:textId="5F561186"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2A9E6690" w14:textId="03EB38E5"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9D17629" w14:textId="71F25C4A"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13AEC030" w14:textId="79CB7E70" w:rsidR="002D28C5" w:rsidRPr="00024026" w:rsidRDefault="00D57BC7"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300</w:t>
            </w:r>
          </w:p>
        </w:tc>
      </w:tr>
      <w:tr w:rsidR="002D28C5" w:rsidRPr="00A217FF" w14:paraId="3111F120" w14:textId="2C390EC9"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08F1025" w14:textId="151CE07B" w:rsidR="002D28C5" w:rsidRPr="00A217FF" w:rsidRDefault="002D28C5" w:rsidP="00CE4746">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CE4746" w:rsidRPr="00A217FF">
              <w:rPr>
                <w:rFonts w:asciiTheme="minorHAnsi" w:eastAsia="Times New Roman" w:hAnsiTheme="minorHAnsi" w:cs="Arial"/>
                <w:sz w:val="20"/>
                <w:szCs w:val="20"/>
                <w:lang w:eastAsia="en-GB"/>
              </w:rPr>
              <w:t xml:space="preserve">Networks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Centr</w:t>
            </w:r>
            <w:r w:rsidR="00CE4746">
              <w:rPr>
                <w:rFonts w:asciiTheme="minorHAnsi" w:eastAsia="Times New Roman" w:hAnsiTheme="minorHAnsi" w:cs="Arial"/>
                <w:sz w:val="20"/>
                <w:szCs w:val="20"/>
                <w:lang w:eastAsia="en-GB"/>
              </w:rPr>
              <w:t>e</w:t>
            </w:r>
            <w:r w:rsidR="00CE4746"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hideMark/>
          </w:tcPr>
          <w:p w14:paraId="2B6B0E05" w14:textId="0EBE7CC3"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505A098" w14:textId="3CC4F1DF"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3EECBB4" w14:textId="6A7FD838" w:rsidR="002D28C5" w:rsidRPr="00024026" w:rsidRDefault="00D57BC7"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B095BC1" w14:textId="4596BEE0" w:rsidR="002D28C5" w:rsidRPr="00024026" w:rsidRDefault="00D57BC7"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53B910F" w14:textId="23C526A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85C35C3" w14:textId="23F90FAF"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E. Science and Policy</w:t>
            </w:r>
          </w:p>
        </w:tc>
        <w:tc>
          <w:tcPr>
            <w:tcW w:w="1063" w:type="dxa"/>
            <w:tcBorders>
              <w:top w:val="nil"/>
              <w:left w:val="nil"/>
              <w:bottom w:val="single" w:sz="4" w:space="0" w:color="auto"/>
              <w:right w:val="single" w:sz="4" w:space="0" w:color="auto"/>
            </w:tcBorders>
            <w:shd w:val="clear" w:color="000000" w:fill="C4D79B"/>
            <w:noWrap/>
            <w:vAlign w:val="center"/>
            <w:hideMark/>
          </w:tcPr>
          <w:p w14:paraId="24874B37" w14:textId="1BE15E90" w:rsidR="002D28C5" w:rsidRPr="00586541" w:rsidRDefault="00452DF8"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850</w:t>
            </w:r>
          </w:p>
        </w:tc>
        <w:tc>
          <w:tcPr>
            <w:tcW w:w="1063" w:type="dxa"/>
            <w:tcBorders>
              <w:top w:val="nil"/>
              <w:left w:val="nil"/>
              <w:bottom w:val="single" w:sz="4" w:space="0" w:color="auto"/>
              <w:right w:val="single" w:sz="4" w:space="0" w:color="auto"/>
            </w:tcBorders>
            <w:shd w:val="clear" w:color="000000" w:fill="C4D79B"/>
            <w:noWrap/>
            <w:vAlign w:val="center"/>
            <w:hideMark/>
          </w:tcPr>
          <w:p w14:paraId="755D3A7E" w14:textId="2FF57E0D" w:rsidR="002D28C5" w:rsidRPr="00586541" w:rsidRDefault="00452DF8"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834</w:t>
            </w:r>
          </w:p>
        </w:tc>
        <w:tc>
          <w:tcPr>
            <w:tcW w:w="1063" w:type="dxa"/>
            <w:tcBorders>
              <w:top w:val="nil"/>
              <w:left w:val="nil"/>
              <w:bottom w:val="single" w:sz="4" w:space="0" w:color="auto"/>
              <w:right w:val="single" w:sz="4" w:space="0" w:color="auto"/>
            </w:tcBorders>
            <w:shd w:val="clear" w:color="000000" w:fill="C4D79B"/>
            <w:noWrap/>
            <w:vAlign w:val="center"/>
            <w:hideMark/>
          </w:tcPr>
          <w:p w14:paraId="1499F8D9" w14:textId="77F173FD" w:rsidR="002D28C5" w:rsidRPr="00586541" w:rsidRDefault="00452DF8"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843</w:t>
            </w:r>
          </w:p>
        </w:tc>
        <w:tc>
          <w:tcPr>
            <w:tcW w:w="1063" w:type="dxa"/>
            <w:tcBorders>
              <w:top w:val="nil"/>
              <w:left w:val="nil"/>
              <w:bottom w:val="single" w:sz="4" w:space="0" w:color="auto"/>
              <w:right w:val="single" w:sz="4" w:space="0" w:color="auto"/>
            </w:tcBorders>
            <w:shd w:val="clear" w:color="000000" w:fill="C4D79B"/>
            <w:noWrap/>
            <w:vAlign w:val="center"/>
            <w:hideMark/>
          </w:tcPr>
          <w:p w14:paraId="71EC6715" w14:textId="04FBA4C1" w:rsidR="002D28C5" w:rsidRPr="00586541" w:rsidRDefault="00D57BC7"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2,</w:t>
            </w:r>
            <w:r w:rsidR="00452DF8" w:rsidRPr="00586541">
              <w:rPr>
                <w:rFonts w:eastAsia="Times New Roman" w:cs="Arial"/>
                <w:b/>
                <w:bCs/>
                <w:color w:val="000000"/>
                <w:sz w:val="20"/>
                <w:szCs w:val="20"/>
                <w:lang w:eastAsia="en-GB"/>
              </w:rPr>
              <w:t>527</w:t>
            </w:r>
          </w:p>
        </w:tc>
      </w:tr>
      <w:tr w:rsidR="002D28C5" w:rsidRPr="00A217FF" w14:paraId="0F4B6D37" w14:textId="30480DC6"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938ACD0" w14:textId="44EC2CB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CE4746"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7E4A8286" w14:textId="337B856D"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657</w:t>
            </w:r>
          </w:p>
        </w:tc>
        <w:tc>
          <w:tcPr>
            <w:tcW w:w="1063" w:type="dxa"/>
            <w:tcBorders>
              <w:top w:val="nil"/>
              <w:left w:val="nil"/>
              <w:bottom w:val="single" w:sz="4" w:space="0" w:color="auto"/>
              <w:right w:val="single" w:sz="4" w:space="0" w:color="auto"/>
            </w:tcBorders>
            <w:shd w:val="clear" w:color="auto" w:fill="auto"/>
            <w:noWrap/>
            <w:vAlign w:val="center"/>
            <w:hideMark/>
          </w:tcPr>
          <w:p w14:paraId="0B7E3C27" w14:textId="24BA7B7E"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661</w:t>
            </w:r>
          </w:p>
        </w:tc>
        <w:tc>
          <w:tcPr>
            <w:tcW w:w="1063" w:type="dxa"/>
            <w:tcBorders>
              <w:top w:val="nil"/>
              <w:left w:val="nil"/>
              <w:bottom w:val="single" w:sz="4" w:space="0" w:color="auto"/>
              <w:right w:val="single" w:sz="4" w:space="0" w:color="auto"/>
            </w:tcBorders>
            <w:shd w:val="clear" w:color="auto" w:fill="auto"/>
            <w:noWrap/>
            <w:vAlign w:val="center"/>
            <w:hideMark/>
          </w:tcPr>
          <w:p w14:paraId="04D6662F" w14:textId="212062E6"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670</w:t>
            </w:r>
          </w:p>
        </w:tc>
        <w:tc>
          <w:tcPr>
            <w:tcW w:w="1063" w:type="dxa"/>
            <w:tcBorders>
              <w:top w:val="nil"/>
              <w:left w:val="nil"/>
              <w:bottom w:val="single" w:sz="4" w:space="0" w:color="auto"/>
              <w:right w:val="single" w:sz="4" w:space="0" w:color="auto"/>
            </w:tcBorders>
            <w:shd w:val="clear" w:color="auto" w:fill="auto"/>
            <w:noWrap/>
            <w:vAlign w:val="center"/>
            <w:hideMark/>
          </w:tcPr>
          <w:p w14:paraId="301ACD86" w14:textId="727EC806"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52DF8" w:rsidRPr="00586541">
              <w:rPr>
                <w:rFonts w:eastAsia="Times New Roman" w:cs="Arial"/>
                <w:sz w:val="20"/>
                <w:szCs w:val="20"/>
                <w:lang w:eastAsia="en-GB"/>
              </w:rPr>
              <w:t>988</w:t>
            </w:r>
          </w:p>
        </w:tc>
      </w:tr>
      <w:tr w:rsidR="002D28C5" w:rsidRPr="00A217FF" w14:paraId="65C1082C" w14:textId="3657BD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390C79" w14:textId="07E4FA85"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7FA04FB3" w14:textId="52BED8C6"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441E8CC0" w14:textId="7E8EF5F9"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630A6C01" w14:textId="4D7F4DB0"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21DE3C6E" w14:textId="27D43913" w:rsidR="002D28C5" w:rsidRPr="00586541" w:rsidRDefault="00D57BC7" w:rsidP="00A26E01">
            <w:pPr>
              <w:ind w:left="0" w:firstLine="0"/>
              <w:jc w:val="right"/>
              <w:rPr>
                <w:rFonts w:eastAsia="Times New Roman" w:cs="Arial"/>
                <w:sz w:val="20"/>
                <w:szCs w:val="20"/>
                <w:lang w:eastAsia="en-GB"/>
              </w:rPr>
            </w:pPr>
            <w:r w:rsidRPr="00586541">
              <w:rPr>
                <w:rFonts w:eastAsia="Times New Roman" w:cs="Arial"/>
                <w:sz w:val="20"/>
                <w:szCs w:val="20"/>
                <w:lang w:eastAsia="en-GB"/>
              </w:rPr>
              <w:t>120</w:t>
            </w:r>
          </w:p>
        </w:tc>
      </w:tr>
      <w:tr w:rsidR="00D57BC7" w:rsidRPr="00A217FF" w14:paraId="02DE9D96"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46217270" w14:textId="7FC4C9D7" w:rsidR="00D57BC7" w:rsidRPr="00A217FF" w:rsidRDefault="00D57BC7"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0C301872" w14:textId="3153E89B"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2C267427" w14:textId="06CFA65C"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A42D27C" w14:textId="1FC14CDF"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091C27A" w14:textId="51E47E17" w:rsidR="00D57BC7" w:rsidRPr="00586541" w:rsidDel="00D57BC7"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w:t>
            </w:r>
          </w:p>
        </w:tc>
      </w:tr>
      <w:tr w:rsidR="002D28C5" w:rsidRPr="00A217FF" w14:paraId="04EE3072" w14:textId="3FFB3A2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9637360" w14:textId="17FC5AF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CE4746"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374DF93A" w14:textId="1AA86AC6"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455EE742" w14:textId="4A14EA19"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4DAA9DD" w14:textId="1F65957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33B369CA" w14:textId="17234AD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150</w:t>
            </w:r>
          </w:p>
        </w:tc>
      </w:tr>
      <w:tr w:rsidR="002D28C5" w:rsidRPr="00A217FF" w14:paraId="2EBCD909" w14:textId="6536CB9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0C53285" w14:textId="52EAF4D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 (</w:t>
            </w:r>
            <w:r w:rsidR="00CE4746"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CE4746"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682FFF7E" w14:textId="139E431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80</w:t>
            </w:r>
          </w:p>
        </w:tc>
        <w:tc>
          <w:tcPr>
            <w:tcW w:w="1063" w:type="dxa"/>
            <w:tcBorders>
              <w:top w:val="nil"/>
              <w:left w:val="nil"/>
              <w:bottom w:val="single" w:sz="4" w:space="0" w:color="auto"/>
              <w:right w:val="single" w:sz="4" w:space="0" w:color="auto"/>
            </w:tcBorders>
            <w:shd w:val="clear" w:color="auto" w:fill="auto"/>
            <w:noWrap/>
            <w:vAlign w:val="center"/>
            <w:hideMark/>
          </w:tcPr>
          <w:p w14:paraId="14696330" w14:textId="398114F0"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2A0ED6D2" w14:textId="280D0285"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653FA7A" w14:textId="16267F29"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200</w:t>
            </w:r>
          </w:p>
        </w:tc>
      </w:tr>
      <w:tr w:rsidR="008F481B" w:rsidRPr="00A217FF" w14:paraId="203EFABA"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0FCDDA67" w14:textId="54CBC594" w:rsidR="008F481B" w:rsidRPr="00A217FF" w:rsidRDefault="008F481B"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67406B72" w14:textId="36979427"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2D66DFF0" w14:textId="6753B37A"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5EA9C6C3" w14:textId="1B7F7C72"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323B191B" w14:textId="033D949F" w:rsidR="008F481B" w:rsidRPr="00586541" w:rsidDel="00DD4C66" w:rsidRDefault="008F481B" w:rsidP="00A26E01">
            <w:pPr>
              <w:ind w:left="0" w:firstLine="0"/>
              <w:jc w:val="right"/>
              <w:rPr>
                <w:rFonts w:eastAsia="Times New Roman" w:cs="Arial"/>
                <w:sz w:val="20"/>
                <w:szCs w:val="20"/>
                <w:lang w:eastAsia="en-GB"/>
              </w:rPr>
            </w:pPr>
            <w:r w:rsidRPr="00586541">
              <w:rPr>
                <w:rFonts w:eastAsia="Times New Roman" w:cs="Arial"/>
                <w:sz w:val="20"/>
                <w:szCs w:val="20"/>
                <w:lang w:eastAsia="en-GB"/>
              </w:rPr>
              <w:t>54</w:t>
            </w:r>
          </w:p>
        </w:tc>
      </w:tr>
      <w:tr w:rsidR="002D28C5" w:rsidRPr="00A217FF" w14:paraId="3C9D7856" w14:textId="76C87F67"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1DDF0962" w14:textId="022DCB36"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G.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1077C9A6" w14:textId="04CC9069" w:rsidR="002D28C5" w:rsidRPr="00586541" w:rsidRDefault="00452DF8"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526</w:t>
            </w:r>
          </w:p>
        </w:tc>
        <w:tc>
          <w:tcPr>
            <w:tcW w:w="1063" w:type="dxa"/>
            <w:tcBorders>
              <w:top w:val="nil"/>
              <w:left w:val="nil"/>
              <w:bottom w:val="single" w:sz="4" w:space="0" w:color="auto"/>
              <w:right w:val="single" w:sz="4" w:space="0" w:color="auto"/>
            </w:tcBorders>
            <w:shd w:val="clear" w:color="000000" w:fill="C4D79B"/>
            <w:noWrap/>
            <w:vAlign w:val="center"/>
            <w:hideMark/>
          </w:tcPr>
          <w:p w14:paraId="5E7F9EFF" w14:textId="36CCB3EF" w:rsidR="002D28C5" w:rsidRPr="00586541" w:rsidRDefault="00452DF8" w:rsidP="00145BDD">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496</w:t>
            </w:r>
          </w:p>
        </w:tc>
        <w:tc>
          <w:tcPr>
            <w:tcW w:w="1063" w:type="dxa"/>
            <w:tcBorders>
              <w:top w:val="nil"/>
              <w:left w:val="nil"/>
              <w:bottom w:val="single" w:sz="4" w:space="0" w:color="auto"/>
              <w:right w:val="single" w:sz="4" w:space="0" w:color="auto"/>
            </w:tcBorders>
            <w:shd w:val="clear" w:color="000000" w:fill="C4D79B"/>
            <w:noWrap/>
            <w:vAlign w:val="center"/>
            <w:hideMark/>
          </w:tcPr>
          <w:p w14:paraId="61039798" w14:textId="661F9C9B" w:rsidR="002D28C5" w:rsidRPr="00586541" w:rsidRDefault="00452DF8"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466</w:t>
            </w:r>
          </w:p>
        </w:tc>
        <w:tc>
          <w:tcPr>
            <w:tcW w:w="1063" w:type="dxa"/>
            <w:tcBorders>
              <w:top w:val="nil"/>
              <w:left w:val="nil"/>
              <w:bottom w:val="single" w:sz="4" w:space="0" w:color="auto"/>
              <w:right w:val="single" w:sz="4" w:space="0" w:color="auto"/>
            </w:tcBorders>
            <w:shd w:val="clear" w:color="000000" w:fill="C4D79B"/>
            <w:noWrap/>
            <w:vAlign w:val="center"/>
            <w:hideMark/>
          </w:tcPr>
          <w:p w14:paraId="61DB7ED4" w14:textId="65C7DCC5" w:rsidR="002D28C5" w:rsidRPr="00586541" w:rsidRDefault="00145BDD"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w:t>
            </w:r>
            <w:r w:rsidR="00452DF8" w:rsidRPr="00586541">
              <w:rPr>
                <w:rFonts w:eastAsia="Times New Roman" w:cs="Arial"/>
                <w:b/>
                <w:bCs/>
                <w:color w:val="000000"/>
                <w:sz w:val="20"/>
                <w:szCs w:val="20"/>
                <w:lang w:eastAsia="en-GB"/>
              </w:rPr>
              <w:t>488</w:t>
            </w:r>
          </w:p>
        </w:tc>
      </w:tr>
      <w:tr w:rsidR="002D28C5" w:rsidRPr="00A217FF" w14:paraId="18CD64CD" w14:textId="03B8C4A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01E559C" w14:textId="3F6D521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452DF8">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D6132D" w:rsidRPr="00A217FF">
              <w:rPr>
                <w:rFonts w:asciiTheme="minorHAnsi" w:eastAsia="Times New Roman" w:hAnsiTheme="minorHAnsi" w:cs="Arial"/>
                <w:sz w:val="20"/>
                <w:szCs w:val="20"/>
                <w:lang w:eastAsia="en-GB"/>
              </w:rPr>
              <w:t>Social Costs</w:t>
            </w:r>
            <w:r w:rsidR="00452DF8">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26C6F766" w14:textId="5FF27AF1"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335</w:t>
            </w:r>
          </w:p>
        </w:tc>
        <w:tc>
          <w:tcPr>
            <w:tcW w:w="1063" w:type="dxa"/>
            <w:tcBorders>
              <w:top w:val="nil"/>
              <w:left w:val="nil"/>
              <w:bottom w:val="single" w:sz="4" w:space="0" w:color="auto"/>
              <w:right w:val="single" w:sz="4" w:space="0" w:color="auto"/>
            </w:tcBorders>
            <w:shd w:val="clear" w:color="auto" w:fill="auto"/>
            <w:noWrap/>
            <w:vAlign w:val="center"/>
            <w:hideMark/>
          </w:tcPr>
          <w:p w14:paraId="3A0DC099" w14:textId="2278D6AE"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338</w:t>
            </w:r>
          </w:p>
        </w:tc>
        <w:tc>
          <w:tcPr>
            <w:tcW w:w="1063" w:type="dxa"/>
            <w:tcBorders>
              <w:top w:val="nil"/>
              <w:left w:val="nil"/>
              <w:bottom w:val="single" w:sz="4" w:space="0" w:color="auto"/>
              <w:right w:val="single" w:sz="4" w:space="0" w:color="auto"/>
            </w:tcBorders>
            <w:shd w:val="clear" w:color="auto" w:fill="auto"/>
            <w:noWrap/>
            <w:vAlign w:val="center"/>
            <w:hideMark/>
          </w:tcPr>
          <w:p w14:paraId="3CA28CD1" w14:textId="2D2B46D5" w:rsidR="002D28C5" w:rsidRPr="00586541" w:rsidRDefault="00452DF8">
            <w:pPr>
              <w:ind w:left="0" w:firstLine="0"/>
              <w:jc w:val="right"/>
              <w:rPr>
                <w:rFonts w:eastAsia="Times New Roman" w:cs="Arial"/>
                <w:sz w:val="20"/>
                <w:szCs w:val="20"/>
                <w:lang w:eastAsia="en-GB"/>
              </w:rPr>
            </w:pPr>
            <w:r w:rsidRPr="00586541">
              <w:rPr>
                <w:rFonts w:eastAsia="Times New Roman" w:cs="Arial"/>
                <w:sz w:val="20"/>
                <w:szCs w:val="20"/>
                <w:lang w:eastAsia="en-GB"/>
              </w:rPr>
              <w:t>341</w:t>
            </w:r>
          </w:p>
        </w:tc>
        <w:tc>
          <w:tcPr>
            <w:tcW w:w="1063" w:type="dxa"/>
            <w:tcBorders>
              <w:top w:val="nil"/>
              <w:left w:val="nil"/>
              <w:bottom w:val="single" w:sz="4" w:space="0" w:color="auto"/>
              <w:right w:val="single" w:sz="4" w:space="0" w:color="auto"/>
            </w:tcBorders>
            <w:shd w:val="clear" w:color="auto" w:fill="auto"/>
            <w:noWrap/>
            <w:vAlign w:val="center"/>
            <w:hideMark/>
          </w:tcPr>
          <w:p w14:paraId="43010298" w14:textId="70491D09"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452DF8" w:rsidRPr="00586541">
              <w:rPr>
                <w:rFonts w:eastAsia="Times New Roman" w:cs="Arial"/>
                <w:sz w:val="20"/>
                <w:szCs w:val="20"/>
                <w:lang w:eastAsia="en-GB"/>
              </w:rPr>
              <w:t>014</w:t>
            </w:r>
          </w:p>
        </w:tc>
      </w:tr>
      <w:tr w:rsidR="002D28C5" w:rsidRPr="00A217FF" w14:paraId="615CA861" w14:textId="5CE25160"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E5816A4" w14:textId="34A50FD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Staff </w:t>
            </w:r>
            <w:r w:rsidR="00D6132D" w:rsidRPr="00A217FF">
              <w:rPr>
                <w:rFonts w:asciiTheme="minorHAnsi" w:eastAsia="Times New Roman" w:hAnsiTheme="minorHAnsi" w:cs="Arial"/>
                <w:sz w:val="20"/>
                <w:szCs w:val="20"/>
                <w:lang w:eastAsia="en-GB"/>
              </w:rPr>
              <w:t xml:space="preserve">Hiring </w:t>
            </w:r>
            <w:r w:rsidRPr="00A217FF">
              <w:rPr>
                <w:rFonts w:asciiTheme="minorHAnsi" w:eastAsia="Times New Roman" w:hAnsiTheme="minorHAnsi" w:cs="Arial"/>
                <w:sz w:val="20"/>
                <w:szCs w:val="20"/>
                <w:lang w:eastAsia="en-GB"/>
              </w:rPr>
              <w:t xml:space="preserve">and </w:t>
            </w:r>
            <w:r w:rsidR="00D6132D" w:rsidRPr="00A217FF">
              <w:rPr>
                <w:rFonts w:asciiTheme="minorHAnsi" w:eastAsia="Times New Roman" w:hAnsiTheme="minorHAnsi" w:cs="Arial"/>
                <w:sz w:val="20"/>
                <w:szCs w:val="20"/>
                <w:lang w:eastAsia="en-GB"/>
              </w:rPr>
              <w:t>Departure Costs</w:t>
            </w:r>
          </w:p>
        </w:tc>
        <w:tc>
          <w:tcPr>
            <w:tcW w:w="1063" w:type="dxa"/>
            <w:tcBorders>
              <w:top w:val="nil"/>
              <w:left w:val="nil"/>
              <w:bottom w:val="single" w:sz="4" w:space="0" w:color="auto"/>
              <w:right w:val="single" w:sz="4" w:space="0" w:color="auto"/>
            </w:tcBorders>
            <w:shd w:val="clear" w:color="auto" w:fill="auto"/>
            <w:noWrap/>
            <w:vAlign w:val="center"/>
            <w:hideMark/>
          </w:tcPr>
          <w:p w14:paraId="24696294" w14:textId="3FEBE34C"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85</w:t>
            </w:r>
          </w:p>
        </w:tc>
        <w:tc>
          <w:tcPr>
            <w:tcW w:w="1063" w:type="dxa"/>
            <w:tcBorders>
              <w:top w:val="nil"/>
              <w:left w:val="nil"/>
              <w:bottom w:val="single" w:sz="4" w:space="0" w:color="auto"/>
              <w:right w:val="single" w:sz="4" w:space="0" w:color="auto"/>
            </w:tcBorders>
            <w:shd w:val="clear" w:color="auto" w:fill="auto"/>
            <w:noWrap/>
            <w:vAlign w:val="center"/>
            <w:hideMark/>
          </w:tcPr>
          <w:p w14:paraId="79F788CD" w14:textId="577BAC5B"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52</w:t>
            </w:r>
          </w:p>
        </w:tc>
        <w:tc>
          <w:tcPr>
            <w:tcW w:w="1063" w:type="dxa"/>
            <w:tcBorders>
              <w:top w:val="nil"/>
              <w:left w:val="nil"/>
              <w:bottom w:val="single" w:sz="4" w:space="0" w:color="auto"/>
              <w:right w:val="single" w:sz="4" w:space="0" w:color="auto"/>
            </w:tcBorders>
            <w:shd w:val="clear" w:color="auto" w:fill="auto"/>
            <w:noWrap/>
            <w:vAlign w:val="center"/>
            <w:hideMark/>
          </w:tcPr>
          <w:p w14:paraId="284813CA" w14:textId="3E8FFF6B"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19</w:t>
            </w:r>
          </w:p>
        </w:tc>
        <w:tc>
          <w:tcPr>
            <w:tcW w:w="1063" w:type="dxa"/>
            <w:tcBorders>
              <w:top w:val="nil"/>
              <w:left w:val="nil"/>
              <w:bottom w:val="single" w:sz="4" w:space="0" w:color="auto"/>
              <w:right w:val="single" w:sz="4" w:space="0" w:color="auto"/>
            </w:tcBorders>
            <w:shd w:val="clear" w:color="auto" w:fill="auto"/>
            <w:noWrap/>
            <w:vAlign w:val="center"/>
            <w:hideMark/>
          </w:tcPr>
          <w:p w14:paraId="702BF4D6" w14:textId="354675FA"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156</w:t>
            </w:r>
          </w:p>
        </w:tc>
      </w:tr>
      <w:tr w:rsidR="002D28C5" w:rsidRPr="00A217FF" w14:paraId="7D376023" w14:textId="3539B22B"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7E41A3" w14:textId="2F6ECE47" w:rsidR="002D28C5" w:rsidRPr="00A217FF" w:rsidRDefault="00DD4C66" w:rsidP="00DC0EBF">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w:t>
            </w:r>
            <w:r w:rsidR="002D28C5" w:rsidRPr="00A217FF">
              <w:rPr>
                <w:rFonts w:asciiTheme="minorHAnsi" w:eastAsia="Times New Roman" w:hAnsiTheme="minorHAnsi" w:cs="Arial"/>
                <w:sz w:val="20"/>
                <w:szCs w:val="20"/>
                <w:lang w:eastAsia="en-GB"/>
              </w:rPr>
              <w:t>quipment</w:t>
            </w:r>
            <w:r>
              <w:rPr>
                <w:rFonts w:asciiTheme="minorHAnsi" w:eastAsia="Times New Roman" w:hAnsiTheme="minorHAnsi" w:cs="Arial"/>
                <w:sz w:val="20"/>
                <w:szCs w:val="20"/>
                <w:lang w:eastAsia="en-GB"/>
              </w:rPr>
              <w:t>/Office Supplies</w:t>
            </w:r>
          </w:p>
        </w:tc>
        <w:tc>
          <w:tcPr>
            <w:tcW w:w="1063" w:type="dxa"/>
            <w:tcBorders>
              <w:top w:val="nil"/>
              <w:left w:val="nil"/>
              <w:bottom w:val="single" w:sz="4" w:space="0" w:color="auto"/>
              <w:right w:val="single" w:sz="4" w:space="0" w:color="auto"/>
            </w:tcBorders>
            <w:shd w:val="clear" w:color="auto" w:fill="auto"/>
            <w:noWrap/>
            <w:vAlign w:val="center"/>
            <w:hideMark/>
          </w:tcPr>
          <w:p w14:paraId="6DA8C063" w14:textId="201AB211"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7DE97C50" w14:textId="3B2DFABC"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01530E10" w14:textId="6B28C3F2"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6A4F3F2C" w14:textId="15F209BC" w:rsidR="002D28C5" w:rsidRPr="00586541" w:rsidRDefault="00452DF8" w:rsidP="00A26E01">
            <w:pPr>
              <w:ind w:left="0" w:firstLine="0"/>
              <w:jc w:val="right"/>
              <w:rPr>
                <w:rFonts w:eastAsia="Times New Roman" w:cs="Arial"/>
                <w:sz w:val="20"/>
                <w:szCs w:val="20"/>
                <w:lang w:eastAsia="en-GB"/>
              </w:rPr>
            </w:pPr>
            <w:r w:rsidRPr="00586541">
              <w:rPr>
                <w:rFonts w:eastAsia="Times New Roman" w:cs="Arial"/>
                <w:sz w:val="20"/>
                <w:szCs w:val="20"/>
                <w:lang w:eastAsia="en-GB"/>
              </w:rPr>
              <w:t>285</w:t>
            </w:r>
          </w:p>
        </w:tc>
      </w:tr>
      <w:tr w:rsidR="002D28C5" w:rsidRPr="00A217FF" w14:paraId="58EE9761" w14:textId="4490CFBA"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700C42" w14:textId="4E3D364C"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Planning and Capacity </w:t>
            </w:r>
            <w:r w:rsidR="00D6132D" w:rsidRPr="00A217FF">
              <w:rPr>
                <w:rFonts w:asciiTheme="minorHAnsi" w:eastAsia="Times New Roman" w:hAnsiTheme="minorHAnsi" w:cs="Arial"/>
                <w:sz w:val="20"/>
                <w:szCs w:val="20"/>
                <w:lang w:eastAsia="en-GB"/>
              </w:rPr>
              <w:t>Building</w:t>
            </w:r>
          </w:p>
        </w:tc>
        <w:tc>
          <w:tcPr>
            <w:tcW w:w="1063" w:type="dxa"/>
            <w:tcBorders>
              <w:top w:val="nil"/>
              <w:left w:val="nil"/>
              <w:bottom w:val="single" w:sz="4" w:space="0" w:color="auto"/>
              <w:right w:val="single" w:sz="4" w:space="0" w:color="auto"/>
            </w:tcBorders>
            <w:shd w:val="clear" w:color="auto" w:fill="auto"/>
            <w:noWrap/>
            <w:vAlign w:val="center"/>
            <w:hideMark/>
          </w:tcPr>
          <w:p w14:paraId="75932F64" w14:textId="0FFFE99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A8E135A" w14:textId="67B18EE3"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27893FA2" w14:textId="21C3816B"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AFED2" w14:textId="6448AF60" w:rsidR="002D28C5" w:rsidRPr="00586541" w:rsidRDefault="00DD4C66"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w:t>
            </w:r>
          </w:p>
        </w:tc>
      </w:tr>
      <w:tr w:rsidR="002D28C5" w:rsidRPr="00A217FF" w14:paraId="3D1031ED" w14:textId="5D3AA5DF"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4323CF4" w14:textId="331CF2BE"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H. Standing Committee Services</w:t>
            </w:r>
          </w:p>
        </w:tc>
        <w:tc>
          <w:tcPr>
            <w:tcW w:w="1063" w:type="dxa"/>
            <w:tcBorders>
              <w:top w:val="nil"/>
              <w:left w:val="nil"/>
              <w:bottom w:val="single" w:sz="4" w:space="0" w:color="auto"/>
              <w:right w:val="single" w:sz="4" w:space="0" w:color="auto"/>
            </w:tcBorders>
            <w:shd w:val="clear" w:color="000000" w:fill="C4D79B"/>
            <w:noWrap/>
            <w:vAlign w:val="center"/>
            <w:hideMark/>
          </w:tcPr>
          <w:p w14:paraId="265938E1" w14:textId="789925DC" w:rsidR="002D28C5" w:rsidRPr="00024026" w:rsidRDefault="002D28C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hideMark/>
          </w:tcPr>
          <w:p w14:paraId="47E7DA38" w14:textId="264E5AAA" w:rsidR="002D28C5" w:rsidRPr="00024026" w:rsidRDefault="002D28C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hideMark/>
          </w:tcPr>
          <w:p w14:paraId="24AB5EF4" w14:textId="26F8FB69" w:rsidR="002D28C5" w:rsidRPr="00024026" w:rsidRDefault="002D28C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hideMark/>
          </w:tcPr>
          <w:p w14:paraId="5D666A7D" w14:textId="38D1A1D8" w:rsidR="002D28C5" w:rsidRPr="00024026" w:rsidRDefault="002D28C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450</w:t>
            </w:r>
          </w:p>
        </w:tc>
      </w:tr>
      <w:tr w:rsidR="002D28C5" w:rsidRPr="00A217FF" w14:paraId="7264847B" w14:textId="71C437ED"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5815E2" w14:textId="69B16FF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hideMark/>
          </w:tcPr>
          <w:p w14:paraId="1B4C4F34" w14:textId="7510056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9873809" w14:textId="02ACF46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337D8950" w14:textId="4027CF5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720985F2" w14:textId="5249BC28"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046C702A" w14:textId="41AB8535"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3B4E5C" w14:textId="3D76ECE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D6132D"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1F39D3A6" w14:textId="635A3400"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087951F0" w14:textId="1689CE40"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3149145E" w14:textId="3FBA367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5B9F2C1E" w14:textId="65C7EBBC"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r>
      <w:tr w:rsidR="002D28C5" w:rsidRPr="00A217FF" w14:paraId="391F772E" w14:textId="7F2F54DC"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F17B900" w14:textId="2F26D4D9" w:rsidR="002D28C5" w:rsidRPr="00A217FF" w:rsidRDefault="00D6132D"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Standing Committee</w:t>
            </w:r>
            <w:r w:rsidR="00CC23C3">
              <w:rPr>
                <w:rFonts w:asciiTheme="minorHAnsi" w:eastAsia="Times New Roman" w:hAnsiTheme="minorHAnsi" w:cs="Arial"/>
                <w:sz w:val="20"/>
                <w:szCs w:val="20"/>
                <w:lang w:eastAsia="en-GB"/>
              </w:rPr>
              <w:t xml:space="preserve"> T</w:t>
            </w:r>
            <w:r w:rsidR="002D28C5" w:rsidRPr="00A217FF">
              <w:rPr>
                <w:rFonts w:asciiTheme="minorHAnsi" w:eastAsia="Times New Roman" w:hAnsiTheme="minorHAnsi" w:cs="Arial"/>
                <w:sz w:val="20"/>
                <w:szCs w:val="20"/>
                <w:lang w:eastAsia="en-GB"/>
              </w:rPr>
              <w:t>ranslation</w:t>
            </w:r>
          </w:p>
        </w:tc>
        <w:tc>
          <w:tcPr>
            <w:tcW w:w="1063" w:type="dxa"/>
            <w:tcBorders>
              <w:top w:val="nil"/>
              <w:left w:val="nil"/>
              <w:bottom w:val="single" w:sz="4" w:space="0" w:color="auto"/>
              <w:right w:val="single" w:sz="4" w:space="0" w:color="auto"/>
            </w:tcBorders>
            <w:shd w:val="clear" w:color="auto" w:fill="auto"/>
            <w:noWrap/>
            <w:vAlign w:val="center"/>
            <w:hideMark/>
          </w:tcPr>
          <w:p w14:paraId="5C210240" w14:textId="70E7D58E"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9603580" w14:textId="08F8A42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7AF1710C" w14:textId="45BDE726"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B8ADBD0" w14:textId="21597021"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180</w:t>
            </w:r>
          </w:p>
        </w:tc>
      </w:tr>
      <w:tr w:rsidR="002D28C5" w:rsidRPr="00A217FF" w14:paraId="14627A12" w14:textId="7C51BE5E"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72BF788" w14:textId="0C65D8F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Simultaneous </w:t>
            </w:r>
            <w:r w:rsidR="00D6132D" w:rsidRPr="00A217FF">
              <w:rPr>
                <w:rFonts w:asciiTheme="minorHAnsi" w:eastAsia="Times New Roman" w:hAnsiTheme="minorHAnsi" w:cs="Arial"/>
                <w:sz w:val="20"/>
                <w:szCs w:val="20"/>
                <w:lang w:eastAsia="en-GB"/>
              </w:rPr>
              <w:t xml:space="preserve">Interpretation </w:t>
            </w:r>
            <w:r w:rsidRPr="00A217FF">
              <w:rPr>
                <w:rFonts w:asciiTheme="minorHAnsi" w:eastAsia="Times New Roman" w:hAnsiTheme="minorHAnsi" w:cs="Arial"/>
                <w:sz w:val="20"/>
                <w:szCs w:val="20"/>
                <w:lang w:eastAsia="en-GB"/>
              </w:rPr>
              <w:t xml:space="preserve">at SC </w:t>
            </w:r>
            <w:r w:rsidR="00D6132D"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3CC3CB63" w14:textId="48AD335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E5E6A89" w14:textId="37971D0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4729CDE1" w14:textId="3B420EAE"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29CC0EDA" w14:textId="703A0153"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105</w:t>
            </w:r>
          </w:p>
        </w:tc>
      </w:tr>
      <w:tr w:rsidR="002D28C5" w:rsidRPr="00A217FF" w14:paraId="736E3829" w14:textId="2AC10550" w:rsidTr="00FA2EB9">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F1B2D9" w14:textId="2D901E23"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I. IUCN Administrative Service Charges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7366EC0C" w14:textId="537CD6FB"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4E7A718F" w14:textId="7750449B"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4A6355B0" w14:textId="5D64DDF3"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5FDB1980" w14:textId="01A3A5FF"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1,623</w:t>
            </w:r>
          </w:p>
        </w:tc>
      </w:tr>
      <w:tr w:rsidR="002D28C5" w:rsidRPr="00A217FF" w14:paraId="1AA52CFC" w14:textId="0D7B9167"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66D75FA" w14:textId="07D878EA" w:rsidR="002D28C5" w:rsidRPr="00A217FF" w:rsidRDefault="002D28C5" w:rsidP="00D6132D">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D6132D">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w:t>
            </w:r>
            <w:r w:rsidR="00D6132D" w:rsidRPr="00A217FF">
              <w:rPr>
                <w:rFonts w:asciiTheme="minorHAnsi" w:eastAsia="Times New Roman" w:hAnsiTheme="minorHAnsi" w:cs="Arial"/>
                <w:sz w:val="20"/>
                <w:szCs w:val="20"/>
                <w:lang w:eastAsia="en-GB"/>
              </w:rPr>
              <w:t>Services</w:t>
            </w:r>
          </w:p>
        </w:tc>
        <w:tc>
          <w:tcPr>
            <w:tcW w:w="1063" w:type="dxa"/>
            <w:tcBorders>
              <w:top w:val="nil"/>
              <w:left w:val="nil"/>
              <w:bottom w:val="single" w:sz="4" w:space="0" w:color="auto"/>
              <w:right w:val="single" w:sz="4" w:space="0" w:color="auto"/>
            </w:tcBorders>
            <w:shd w:val="clear" w:color="auto" w:fill="auto"/>
            <w:noWrap/>
            <w:vAlign w:val="center"/>
            <w:hideMark/>
          </w:tcPr>
          <w:p w14:paraId="1053E60B" w14:textId="7E23DEA1"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7DACEEE3" w14:textId="4120D321"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6E5571D3" w14:textId="23507C1F"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5EFC9320" w14:textId="61B670A6"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1,623</w:t>
            </w:r>
          </w:p>
        </w:tc>
      </w:tr>
      <w:tr w:rsidR="002D28C5" w:rsidRPr="00A217FF" w14:paraId="5712B2E6" w14:textId="7F44C926" w:rsidTr="00FA2EB9">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BB8AC6" w14:textId="5885CD92"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J. Miscellaneous - Reserve Fund</w:t>
            </w:r>
          </w:p>
        </w:tc>
        <w:tc>
          <w:tcPr>
            <w:tcW w:w="1063" w:type="dxa"/>
            <w:tcBorders>
              <w:top w:val="nil"/>
              <w:left w:val="nil"/>
              <w:bottom w:val="single" w:sz="4" w:space="0" w:color="auto"/>
              <w:right w:val="single" w:sz="4" w:space="0" w:color="auto"/>
            </w:tcBorders>
            <w:shd w:val="clear" w:color="000000" w:fill="C4D79B"/>
            <w:noWrap/>
            <w:vAlign w:val="center"/>
            <w:hideMark/>
          </w:tcPr>
          <w:p w14:paraId="2EC7B5DB" w14:textId="2F0C83C5"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E9869ED" w14:textId="016C3DA7"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78247AFE" w14:textId="2D9DAB88" w:rsidR="002D28C5" w:rsidRPr="00024026" w:rsidRDefault="00DD4C66"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2A8F5092" w14:textId="3085E6AB"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327</w:t>
            </w:r>
          </w:p>
        </w:tc>
      </w:tr>
      <w:tr w:rsidR="002D28C5" w:rsidRPr="00A217FF" w14:paraId="4A7476CB" w14:textId="49206908" w:rsidTr="00FA2EB9">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36614CC" w14:textId="07E9794E" w:rsidR="002D28C5"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2D28C5"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hideMark/>
          </w:tcPr>
          <w:p w14:paraId="7E389785" w14:textId="322B921A"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5C19B91C" w14:textId="4C90C743"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61DF414F" w14:textId="69392AAE"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4CD9613E" w14:textId="51275124"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r>
      <w:tr w:rsidR="00DD4C66" w:rsidRPr="00A217FF" w14:paraId="251F1BDB" w14:textId="77777777" w:rsidTr="00FA2EB9">
        <w:tc>
          <w:tcPr>
            <w:tcW w:w="4962" w:type="dxa"/>
            <w:tcBorders>
              <w:top w:val="nil"/>
              <w:left w:val="single" w:sz="4" w:space="0" w:color="auto"/>
              <w:bottom w:val="single" w:sz="4" w:space="0" w:color="auto"/>
              <w:right w:val="single" w:sz="4" w:space="0" w:color="auto"/>
            </w:tcBorders>
            <w:shd w:val="clear" w:color="auto" w:fill="auto"/>
            <w:noWrap/>
            <w:vAlign w:val="center"/>
          </w:tcPr>
          <w:p w14:paraId="31A8E799" w14:textId="3F821909" w:rsidR="00DD4C66" w:rsidRPr="00A217FF" w:rsidRDefault="00DD4C66"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 for </w:t>
            </w:r>
            <w:r w:rsidR="00D6132D">
              <w:rPr>
                <w:rFonts w:asciiTheme="minorHAnsi" w:eastAsia="Times New Roman" w:hAnsiTheme="minorHAnsi" w:cs="Arial"/>
                <w:sz w:val="20"/>
                <w:szCs w:val="20"/>
                <w:lang w:eastAsia="en-GB"/>
              </w:rPr>
              <w:t>Outstanding Contributions</w:t>
            </w:r>
          </w:p>
        </w:tc>
        <w:tc>
          <w:tcPr>
            <w:tcW w:w="1063" w:type="dxa"/>
            <w:tcBorders>
              <w:top w:val="nil"/>
              <w:left w:val="nil"/>
              <w:bottom w:val="single" w:sz="4" w:space="0" w:color="auto"/>
              <w:right w:val="single" w:sz="4" w:space="0" w:color="auto"/>
            </w:tcBorders>
            <w:shd w:val="clear" w:color="auto" w:fill="auto"/>
            <w:noWrap/>
            <w:vAlign w:val="center"/>
          </w:tcPr>
          <w:p w14:paraId="37C9B74B" w14:textId="38492723"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50898280" w14:textId="232C6B76"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6604290" w14:textId="345CDD38" w:rsidR="00DD4C66"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75E674E3" w14:textId="073F96D7" w:rsidR="00DD4C66"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618222C" w14:textId="101BA582" w:rsidTr="00FA2EB9">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0FE1978" w14:textId="7B6A33C4"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5F23F49F" w14:textId="6C60BC8D"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016C647D" w14:textId="1BEEEE0A"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3657B207" w14:textId="490CDB1D" w:rsidR="002D28C5" w:rsidRPr="00024026" w:rsidRDefault="00DD4C66"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5D558D3C" w14:textId="3223013E" w:rsidR="002D28C5" w:rsidRPr="00024026" w:rsidRDefault="00DD4C66"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17</w:t>
            </w:r>
            <w:r w:rsidR="00A22E7B">
              <w:rPr>
                <w:rFonts w:asciiTheme="minorHAnsi" w:eastAsia="Times New Roman" w:hAnsiTheme="minorHAnsi" w:cs="Arial"/>
                <w:sz w:val="20"/>
                <w:szCs w:val="20"/>
                <w:lang w:eastAsia="en-GB"/>
              </w:rPr>
              <w:t>7</w:t>
            </w:r>
          </w:p>
        </w:tc>
      </w:tr>
      <w:tr w:rsidR="002D28C5" w:rsidRPr="00A217FF" w14:paraId="67E49016" w14:textId="34716100" w:rsidTr="00FA2EB9">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6E3B0A0" w14:textId="0FA92F71"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FBBE44" w14:textId="3AC6FA79"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0FBF363C" w14:textId="7E83B6CA"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35905545" w14:textId="1E08647D" w:rsidR="002D28C5" w:rsidRPr="00024026" w:rsidRDefault="00DD4C66"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nil"/>
              <w:left w:val="nil"/>
              <w:bottom w:val="single" w:sz="4" w:space="0" w:color="auto"/>
              <w:right w:val="single" w:sz="4" w:space="0" w:color="auto"/>
            </w:tcBorders>
            <w:shd w:val="clear" w:color="000000" w:fill="C4D79B"/>
            <w:noWrap/>
            <w:vAlign w:val="center"/>
            <w:hideMark/>
          </w:tcPr>
          <w:p w14:paraId="7D23F7C1" w14:textId="4303C1B0" w:rsidR="002D28C5" w:rsidRPr="00024026" w:rsidRDefault="00DD4C66">
            <w:pPr>
              <w:ind w:left="0" w:firstLine="0"/>
              <w:jc w:val="right"/>
              <w:rPr>
                <w:rFonts w:eastAsia="Times New Roman" w:cs="Arial"/>
                <w:b/>
                <w:bCs/>
                <w:color w:val="000000"/>
                <w:lang w:eastAsia="en-GB"/>
              </w:rPr>
            </w:pPr>
            <w:r w:rsidRPr="00024026">
              <w:rPr>
                <w:rFonts w:eastAsia="Times New Roman" w:cs="Arial"/>
                <w:b/>
                <w:bCs/>
                <w:color w:val="000000"/>
                <w:lang w:eastAsia="en-GB"/>
              </w:rPr>
              <w:t>15,68</w:t>
            </w:r>
            <w:r w:rsidR="004A6343" w:rsidRPr="00024026">
              <w:rPr>
                <w:rFonts w:eastAsia="Times New Roman" w:cs="Arial"/>
                <w:b/>
                <w:bCs/>
                <w:color w:val="000000"/>
                <w:lang w:eastAsia="en-GB"/>
              </w:rPr>
              <w:t>1</w:t>
            </w:r>
          </w:p>
        </w:tc>
      </w:tr>
    </w:tbl>
    <w:p w14:paraId="4D0E093B" w14:textId="77777777" w:rsidR="009F1947" w:rsidRDefault="009F1947">
      <w:pPr>
        <w:rPr>
          <w:rFonts w:cs="Arial"/>
          <w:b/>
        </w:rPr>
      </w:pPr>
      <w:r>
        <w:rPr>
          <w:rFonts w:cs="Arial"/>
          <w:b/>
        </w:rPr>
        <w:br w:type="page"/>
      </w:r>
    </w:p>
    <w:p w14:paraId="23FC1338" w14:textId="51F20747" w:rsidR="00C03DD1" w:rsidRDefault="00C03DD1" w:rsidP="00DA6C88">
      <w:pPr>
        <w:ind w:left="0" w:firstLine="0"/>
        <w:rPr>
          <w:rFonts w:cs="Arial"/>
          <w:b/>
        </w:rPr>
      </w:pPr>
      <w:r w:rsidRPr="002D28C5">
        <w:rPr>
          <w:rFonts w:cs="Arial"/>
          <w:b/>
        </w:rPr>
        <w:lastRenderedPageBreak/>
        <w:t xml:space="preserve">Scenario C, </w:t>
      </w:r>
      <w:r w:rsidR="008C3149">
        <w:rPr>
          <w:rFonts w:cs="Arial"/>
          <w:b/>
        </w:rPr>
        <w:t>4.2</w:t>
      </w:r>
      <w:r w:rsidRPr="002D28C5">
        <w:rPr>
          <w:rFonts w:cs="Arial"/>
          <w:b/>
        </w:rPr>
        <w:t>% increase</w:t>
      </w:r>
      <w:r w:rsidR="003A7B77">
        <w:rPr>
          <w:rFonts w:cs="Arial"/>
          <w:b/>
        </w:rPr>
        <w:t xml:space="preserve"> </w:t>
      </w:r>
      <w:r w:rsidR="003A7B77" w:rsidRPr="003A7B77">
        <w:rPr>
          <w:rFonts w:cs="Arial"/>
          <w:b/>
        </w:rPr>
        <w:t>compared to 2019-2021 triennium</w:t>
      </w:r>
    </w:p>
    <w:tbl>
      <w:tblPr>
        <w:tblW w:w="9214" w:type="dxa"/>
        <w:tblInd w:w="-147" w:type="dxa"/>
        <w:tblLayout w:type="fixed"/>
        <w:tblLook w:val="04A0" w:firstRow="1" w:lastRow="0" w:firstColumn="1" w:lastColumn="0" w:noHBand="0" w:noVBand="1"/>
      </w:tblPr>
      <w:tblGrid>
        <w:gridCol w:w="4962"/>
        <w:gridCol w:w="1063"/>
        <w:gridCol w:w="1063"/>
        <w:gridCol w:w="1063"/>
        <w:gridCol w:w="1063"/>
      </w:tblGrid>
      <w:tr w:rsidR="002D28C5" w:rsidRPr="00A217FF" w14:paraId="0E8A69A7" w14:textId="637C3488" w:rsidTr="009F1947">
        <w:tc>
          <w:tcPr>
            <w:tcW w:w="4962"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64C77A26" w14:textId="77777777" w:rsidR="002D28C5" w:rsidRPr="009F1947" w:rsidRDefault="002D28C5" w:rsidP="00DC0EBF">
            <w:pPr>
              <w:ind w:left="0" w:firstLine="0"/>
              <w:rPr>
                <w:rFonts w:eastAsia="Times New Roman" w:cs="Arial"/>
                <w:b/>
                <w:bCs/>
                <w:color w:val="1F497D"/>
                <w:sz w:val="20"/>
                <w:szCs w:val="20"/>
                <w:lang w:eastAsia="en-GB"/>
              </w:rPr>
            </w:pPr>
            <w:r w:rsidRPr="009F1947">
              <w:rPr>
                <w:rFonts w:eastAsia="Times New Roman" w:cs="Arial"/>
                <w:b/>
                <w:bCs/>
                <w:color w:val="1F497D"/>
                <w:sz w:val="20"/>
                <w:szCs w:val="20"/>
                <w:lang w:eastAsia="en-GB"/>
              </w:rPr>
              <w:t>4.</w:t>
            </w:r>
            <w:r w:rsidR="00DC0EBF" w:rsidRPr="009F1947">
              <w:rPr>
                <w:rFonts w:eastAsia="Times New Roman" w:cs="Arial"/>
                <w:b/>
                <w:bCs/>
                <w:color w:val="1F497D"/>
                <w:sz w:val="20"/>
                <w:szCs w:val="20"/>
                <w:lang w:eastAsia="en-GB"/>
              </w:rPr>
              <w:t>2</w:t>
            </w:r>
            <w:r w:rsidRPr="009F1947">
              <w:rPr>
                <w:rFonts w:eastAsia="Times New Roman" w:cs="Arial"/>
                <w:b/>
                <w:bCs/>
                <w:color w:val="1F497D"/>
                <w:sz w:val="20"/>
                <w:szCs w:val="20"/>
                <w:lang w:eastAsia="en-GB"/>
              </w:rPr>
              <w:t xml:space="preserve">% increase, Proposed Budget </w:t>
            </w:r>
            <w:r w:rsidR="00635E05" w:rsidRPr="009F1947">
              <w:rPr>
                <w:rFonts w:eastAsia="Times New Roman" w:cs="Arial"/>
                <w:b/>
                <w:bCs/>
                <w:color w:val="1F497D"/>
                <w:sz w:val="20"/>
                <w:szCs w:val="20"/>
                <w:lang w:eastAsia="en-GB"/>
              </w:rPr>
              <w:t>2023</w:t>
            </w:r>
            <w:r w:rsidRPr="009F1947">
              <w:rPr>
                <w:rFonts w:eastAsia="Times New Roman" w:cs="Arial"/>
                <w:b/>
                <w:bCs/>
                <w:color w:val="1F497D"/>
                <w:sz w:val="20"/>
                <w:szCs w:val="20"/>
                <w:lang w:eastAsia="en-GB"/>
              </w:rPr>
              <w:t>-</w:t>
            </w:r>
            <w:r w:rsidR="00635E05" w:rsidRPr="009F1947">
              <w:rPr>
                <w:rFonts w:eastAsia="Times New Roman" w:cs="Arial"/>
                <w:b/>
                <w:bCs/>
                <w:color w:val="1F497D"/>
                <w:sz w:val="20"/>
                <w:szCs w:val="20"/>
                <w:lang w:eastAsia="en-GB"/>
              </w:rPr>
              <w:t>2025</w:t>
            </w:r>
          </w:p>
          <w:p w14:paraId="187A02A5" w14:textId="25A055D8" w:rsidR="009F1947" w:rsidRPr="002D28C5" w:rsidRDefault="009F1947" w:rsidP="00DC0EBF">
            <w:pPr>
              <w:ind w:left="0" w:firstLine="0"/>
              <w:rPr>
                <w:rFonts w:eastAsia="Times New Roman" w:cs="Arial"/>
                <w:b/>
                <w:bCs/>
                <w:color w:val="1F497D"/>
                <w:sz w:val="24"/>
                <w:szCs w:val="24"/>
                <w:lang w:eastAsia="en-GB"/>
              </w:rPr>
            </w:pPr>
            <w:r w:rsidRPr="009F1947">
              <w:rPr>
                <w:rFonts w:asciiTheme="minorHAnsi" w:eastAsia="Times New Roman" w:hAnsiTheme="minorHAnsi" w:cs="Arial"/>
                <w:b/>
                <w:bCs/>
                <w:color w:val="1F497D"/>
                <w:sz w:val="20"/>
                <w:szCs w:val="20"/>
                <w:lang w:eastAsia="en-GB"/>
              </w:rPr>
              <w:t>CHF 000'S</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1BC4295E" w14:textId="185C4012" w:rsidR="002D28C5" w:rsidRPr="00A217FF" w:rsidRDefault="002D28C5" w:rsidP="00C2135F">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635E05" w:rsidRPr="00A217FF">
              <w:rPr>
                <w:rFonts w:asciiTheme="minorHAnsi" w:eastAsia="Times New Roman" w:hAnsiTheme="minorHAnsi" w:cs="Arial"/>
                <w:b/>
                <w:bCs/>
                <w:color w:val="1F497D"/>
                <w:sz w:val="20"/>
                <w:szCs w:val="20"/>
                <w:lang w:eastAsia="en-GB"/>
              </w:rPr>
              <w:t>20</w:t>
            </w:r>
            <w:r w:rsidR="00635E05">
              <w:rPr>
                <w:rFonts w:asciiTheme="minorHAnsi" w:eastAsia="Times New Roman" w:hAnsiTheme="minorHAnsi" w:cs="Arial"/>
                <w:b/>
                <w:bCs/>
                <w:color w:val="1F497D"/>
                <w:sz w:val="20"/>
                <w:szCs w:val="20"/>
                <w:lang w:eastAsia="en-GB"/>
              </w:rPr>
              <w:t>23</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4F73C22E" w14:textId="3529F11C" w:rsidR="002D28C5" w:rsidRPr="00A217FF" w:rsidRDefault="002D28C5" w:rsidP="00A26E01">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Budget </w:t>
            </w:r>
            <w:r w:rsidR="00635E05" w:rsidRPr="00A217FF">
              <w:rPr>
                <w:rFonts w:asciiTheme="minorHAnsi" w:eastAsia="Times New Roman" w:hAnsiTheme="minorHAnsi" w:cs="Arial"/>
                <w:b/>
                <w:bCs/>
                <w:color w:val="1F497D"/>
                <w:sz w:val="20"/>
                <w:szCs w:val="20"/>
                <w:lang w:eastAsia="en-GB"/>
              </w:rPr>
              <w:t>202</w:t>
            </w:r>
            <w:r w:rsidR="00635E05">
              <w:rPr>
                <w:rFonts w:asciiTheme="minorHAnsi" w:eastAsia="Times New Roman" w:hAnsiTheme="minorHAnsi" w:cs="Arial"/>
                <w:b/>
                <w:bCs/>
                <w:color w:val="1F497D"/>
                <w:sz w:val="20"/>
                <w:szCs w:val="20"/>
                <w:lang w:eastAsia="en-GB"/>
              </w:rPr>
              <w:t>4</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26ED400B" w14:textId="25137F3D" w:rsidR="002D28C5" w:rsidRPr="00A217FF" w:rsidRDefault="002D28C5" w:rsidP="00A26E01">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Budget 202</w:t>
            </w:r>
            <w:r w:rsidR="00635E05">
              <w:rPr>
                <w:rFonts w:asciiTheme="minorHAnsi" w:eastAsia="Times New Roman" w:hAnsiTheme="minorHAnsi" w:cs="Arial"/>
                <w:b/>
                <w:bCs/>
                <w:color w:val="1F497D"/>
                <w:sz w:val="20"/>
                <w:szCs w:val="20"/>
                <w:lang w:eastAsia="en-GB"/>
              </w:rPr>
              <w:t>5</w:t>
            </w:r>
          </w:p>
        </w:tc>
        <w:tc>
          <w:tcPr>
            <w:tcW w:w="1063" w:type="dxa"/>
            <w:tcBorders>
              <w:top w:val="single" w:sz="4" w:space="0" w:color="auto"/>
              <w:left w:val="nil"/>
              <w:bottom w:val="single" w:sz="4" w:space="0" w:color="auto"/>
              <w:right w:val="single" w:sz="4" w:space="0" w:color="auto"/>
            </w:tcBorders>
            <w:shd w:val="clear" w:color="000000" w:fill="EBF1DE"/>
            <w:vAlign w:val="center"/>
            <w:hideMark/>
          </w:tcPr>
          <w:p w14:paraId="76BEBDF5" w14:textId="49A5E828" w:rsidR="002D28C5" w:rsidRPr="00A217FF" w:rsidRDefault="002D28C5" w:rsidP="00DC0EBF">
            <w:pPr>
              <w:ind w:left="0" w:firstLine="0"/>
              <w:jc w:val="center"/>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 xml:space="preserve">Total Budget </w:t>
            </w:r>
            <w:r w:rsidR="00635E05" w:rsidRPr="00A217FF">
              <w:rPr>
                <w:rFonts w:asciiTheme="minorHAnsi" w:eastAsia="Times New Roman" w:hAnsiTheme="minorHAnsi" w:cs="Arial"/>
                <w:b/>
                <w:bCs/>
                <w:color w:val="1F497D"/>
                <w:sz w:val="20"/>
                <w:szCs w:val="20"/>
                <w:lang w:eastAsia="en-GB"/>
              </w:rPr>
              <w:t>20</w:t>
            </w:r>
            <w:r w:rsidR="00635E05">
              <w:rPr>
                <w:rFonts w:asciiTheme="minorHAnsi" w:eastAsia="Times New Roman" w:hAnsiTheme="minorHAnsi" w:cs="Arial"/>
                <w:b/>
                <w:bCs/>
                <w:color w:val="1F497D"/>
                <w:sz w:val="20"/>
                <w:szCs w:val="20"/>
                <w:lang w:eastAsia="en-GB"/>
              </w:rPr>
              <w:t>23</w:t>
            </w:r>
            <w:r w:rsidRPr="00A217FF">
              <w:rPr>
                <w:rFonts w:asciiTheme="minorHAnsi" w:eastAsia="Times New Roman" w:hAnsiTheme="minorHAnsi" w:cs="Arial"/>
                <w:b/>
                <w:bCs/>
                <w:color w:val="1F497D"/>
                <w:sz w:val="20"/>
                <w:szCs w:val="20"/>
                <w:lang w:eastAsia="en-GB"/>
              </w:rPr>
              <w:t>-</w:t>
            </w:r>
            <w:r w:rsidR="00635E05" w:rsidRPr="00A217FF">
              <w:rPr>
                <w:rFonts w:asciiTheme="minorHAnsi" w:eastAsia="Times New Roman" w:hAnsiTheme="minorHAnsi" w:cs="Arial"/>
                <w:b/>
                <w:bCs/>
                <w:color w:val="1F497D"/>
                <w:sz w:val="20"/>
                <w:szCs w:val="20"/>
                <w:lang w:eastAsia="en-GB"/>
              </w:rPr>
              <w:t>202</w:t>
            </w:r>
            <w:r w:rsidR="00635E05">
              <w:rPr>
                <w:rFonts w:asciiTheme="minorHAnsi" w:eastAsia="Times New Roman" w:hAnsiTheme="minorHAnsi" w:cs="Arial"/>
                <w:b/>
                <w:bCs/>
                <w:color w:val="1F497D"/>
                <w:sz w:val="20"/>
                <w:szCs w:val="20"/>
                <w:lang w:eastAsia="en-GB"/>
              </w:rPr>
              <w:t>5</w:t>
            </w:r>
          </w:p>
        </w:tc>
      </w:tr>
      <w:tr w:rsidR="002D28C5" w:rsidRPr="00A217FF" w14:paraId="2AD458ED" w14:textId="5E9D2A2F" w:rsidTr="009F1947">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C779" w14:textId="027AC787"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INCOME</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4B74C44" w14:textId="3B45432F"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6F5A856" w14:textId="6B2F444E"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947F110" w14:textId="0F5C5A34" w:rsidR="002D28C5" w:rsidRPr="00A217FF" w:rsidRDefault="002D28C5" w:rsidP="00A26E01">
            <w:pPr>
              <w:ind w:left="0" w:firstLine="0"/>
              <w:jc w:val="right"/>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7F7DC89" w14:textId="64FD25BA" w:rsidR="002D28C5" w:rsidRPr="00A217FF" w:rsidRDefault="002D28C5" w:rsidP="00A26E01">
            <w:pPr>
              <w:ind w:left="0" w:firstLine="0"/>
              <w:jc w:val="right"/>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w:t>
            </w:r>
          </w:p>
        </w:tc>
      </w:tr>
      <w:tr w:rsidR="002D28C5" w:rsidRPr="00A217FF" w14:paraId="14E6B3CE" w14:textId="5EF03C09"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F6437D1" w14:textId="4E683034"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Parties’ 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32BE1DD9" w14:textId="00A00FA9" w:rsidR="002D28C5" w:rsidRPr="00586541" w:rsidRDefault="00012800"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sidR="00DC0EBF" w:rsidRPr="00586541">
              <w:rPr>
                <w:rFonts w:eastAsia="Times New Roman" w:cs="Arial"/>
                <w:sz w:val="20"/>
                <w:szCs w:val="20"/>
                <w:lang w:eastAsia="en-GB"/>
              </w:rPr>
              <w:t>878</w:t>
            </w:r>
          </w:p>
        </w:tc>
        <w:tc>
          <w:tcPr>
            <w:tcW w:w="1063" w:type="dxa"/>
            <w:tcBorders>
              <w:top w:val="nil"/>
              <w:left w:val="nil"/>
              <w:bottom w:val="single" w:sz="4" w:space="0" w:color="auto"/>
              <w:right w:val="single" w:sz="4" w:space="0" w:color="auto"/>
            </w:tcBorders>
            <w:shd w:val="clear" w:color="auto" w:fill="auto"/>
            <w:noWrap/>
            <w:vAlign w:val="center"/>
            <w:hideMark/>
          </w:tcPr>
          <w:p w14:paraId="428BEE44" w14:textId="17858483" w:rsidR="002D28C5" w:rsidRPr="00586541" w:rsidRDefault="00DC0EBF" w:rsidP="00A26E01">
            <w:pPr>
              <w:ind w:left="0" w:firstLine="0"/>
              <w:jc w:val="right"/>
              <w:rPr>
                <w:rFonts w:eastAsia="Times New Roman" w:cs="Arial"/>
                <w:sz w:val="20"/>
                <w:szCs w:val="20"/>
                <w:lang w:eastAsia="en-GB"/>
              </w:rPr>
            </w:pPr>
            <w:r w:rsidRPr="00586541">
              <w:rPr>
                <w:rFonts w:eastAsia="Times New Roman" w:cs="Arial"/>
                <w:sz w:val="20"/>
                <w:szCs w:val="20"/>
                <w:lang w:eastAsia="en-GB"/>
              </w:rPr>
              <w:t>3,878</w:t>
            </w:r>
          </w:p>
        </w:tc>
        <w:tc>
          <w:tcPr>
            <w:tcW w:w="1063" w:type="dxa"/>
            <w:tcBorders>
              <w:top w:val="nil"/>
              <w:left w:val="nil"/>
              <w:bottom w:val="single" w:sz="4" w:space="0" w:color="auto"/>
              <w:right w:val="single" w:sz="4" w:space="0" w:color="auto"/>
            </w:tcBorders>
            <w:shd w:val="clear" w:color="auto" w:fill="auto"/>
            <w:noWrap/>
            <w:vAlign w:val="center"/>
            <w:hideMark/>
          </w:tcPr>
          <w:p w14:paraId="0D4077C7" w14:textId="7CC832B9" w:rsidR="002D28C5" w:rsidRPr="00586541" w:rsidRDefault="00DC0EBF" w:rsidP="00C2135F">
            <w:pPr>
              <w:ind w:left="0" w:firstLine="0"/>
              <w:jc w:val="right"/>
              <w:rPr>
                <w:rFonts w:eastAsia="Times New Roman" w:cs="Arial"/>
                <w:sz w:val="20"/>
                <w:szCs w:val="20"/>
                <w:lang w:eastAsia="en-GB"/>
              </w:rPr>
            </w:pPr>
            <w:r w:rsidRPr="00586541">
              <w:rPr>
                <w:rFonts w:eastAsia="Times New Roman" w:cs="Arial"/>
                <w:sz w:val="20"/>
                <w:szCs w:val="20"/>
                <w:lang w:eastAsia="en-GB"/>
              </w:rPr>
              <w:t>4,</w:t>
            </w:r>
            <w:r w:rsidR="00635E05" w:rsidRPr="00586541">
              <w:rPr>
                <w:rFonts w:eastAsia="Times New Roman" w:cs="Arial"/>
                <w:sz w:val="20"/>
                <w:szCs w:val="20"/>
                <w:lang w:eastAsia="en-GB"/>
              </w:rPr>
              <w:t>090</w:t>
            </w:r>
          </w:p>
        </w:tc>
        <w:tc>
          <w:tcPr>
            <w:tcW w:w="1063" w:type="dxa"/>
            <w:tcBorders>
              <w:top w:val="nil"/>
              <w:left w:val="nil"/>
              <w:bottom w:val="single" w:sz="4" w:space="0" w:color="auto"/>
              <w:right w:val="single" w:sz="4" w:space="0" w:color="auto"/>
            </w:tcBorders>
            <w:shd w:val="clear" w:color="auto" w:fill="auto"/>
            <w:noWrap/>
            <w:vAlign w:val="center"/>
            <w:hideMark/>
          </w:tcPr>
          <w:p w14:paraId="7D3FD54C" w14:textId="69B8B700" w:rsidR="002D28C5" w:rsidRPr="00586541" w:rsidRDefault="00DC0EBF">
            <w:pPr>
              <w:ind w:left="0" w:firstLine="0"/>
              <w:jc w:val="right"/>
              <w:rPr>
                <w:rFonts w:eastAsia="Times New Roman" w:cs="Arial"/>
                <w:sz w:val="20"/>
                <w:szCs w:val="20"/>
                <w:lang w:eastAsia="en-GB"/>
              </w:rPr>
            </w:pPr>
            <w:r w:rsidRPr="00586541">
              <w:rPr>
                <w:rFonts w:eastAsia="Times New Roman" w:cs="Arial"/>
                <w:sz w:val="20"/>
                <w:szCs w:val="20"/>
                <w:lang w:eastAsia="en-GB"/>
              </w:rPr>
              <w:t>11,</w:t>
            </w:r>
            <w:r w:rsidR="00635E05" w:rsidRPr="00586541">
              <w:rPr>
                <w:rFonts w:eastAsia="Times New Roman" w:cs="Arial"/>
                <w:sz w:val="20"/>
                <w:szCs w:val="20"/>
                <w:lang w:eastAsia="en-GB"/>
              </w:rPr>
              <w:t>846</w:t>
            </w:r>
          </w:p>
        </w:tc>
      </w:tr>
      <w:tr w:rsidR="002D28C5" w:rsidRPr="00A217FF" w14:paraId="19877DE8" w14:textId="1E07811A"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18CAE97" w14:textId="33B81549"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 xml:space="preserve">Voluntary </w:t>
            </w:r>
            <w:r w:rsidR="00ED1CB9" w:rsidRPr="00A217FF">
              <w:rPr>
                <w:rFonts w:asciiTheme="minorHAnsi" w:eastAsia="Times New Roman" w:hAnsiTheme="minorHAnsi" w:cs="Arial"/>
                <w:color w:val="000000"/>
                <w:sz w:val="20"/>
                <w:szCs w:val="20"/>
                <w:lang w:eastAsia="en-GB"/>
              </w:rPr>
              <w:t>Contributions</w:t>
            </w:r>
          </w:p>
        </w:tc>
        <w:tc>
          <w:tcPr>
            <w:tcW w:w="1063" w:type="dxa"/>
            <w:tcBorders>
              <w:top w:val="nil"/>
              <w:left w:val="nil"/>
              <w:bottom w:val="single" w:sz="4" w:space="0" w:color="auto"/>
              <w:right w:val="single" w:sz="4" w:space="0" w:color="auto"/>
            </w:tcBorders>
            <w:shd w:val="clear" w:color="auto" w:fill="auto"/>
            <w:noWrap/>
            <w:vAlign w:val="center"/>
            <w:hideMark/>
          </w:tcPr>
          <w:p w14:paraId="3D12BF02" w14:textId="4FD98E02" w:rsidR="002D28C5" w:rsidRPr="00586541" w:rsidRDefault="00DC0EB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1,094</w:t>
            </w:r>
          </w:p>
        </w:tc>
        <w:tc>
          <w:tcPr>
            <w:tcW w:w="1063" w:type="dxa"/>
            <w:tcBorders>
              <w:top w:val="nil"/>
              <w:left w:val="nil"/>
              <w:bottom w:val="single" w:sz="4" w:space="0" w:color="auto"/>
              <w:right w:val="single" w:sz="4" w:space="0" w:color="auto"/>
            </w:tcBorders>
            <w:shd w:val="clear" w:color="auto" w:fill="auto"/>
            <w:noWrap/>
            <w:vAlign w:val="center"/>
            <w:hideMark/>
          </w:tcPr>
          <w:p w14:paraId="133675CA" w14:textId="6829CB2D"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1,094</w:t>
            </w:r>
          </w:p>
        </w:tc>
        <w:tc>
          <w:tcPr>
            <w:tcW w:w="1063" w:type="dxa"/>
            <w:tcBorders>
              <w:top w:val="nil"/>
              <w:left w:val="nil"/>
              <w:bottom w:val="single" w:sz="4" w:space="0" w:color="auto"/>
              <w:right w:val="single" w:sz="4" w:space="0" w:color="auto"/>
            </w:tcBorders>
            <w:shd w:val="clear" w:color="auto" w:fill="auto"/>
            <w:noWrap/>
            <w:vAlign w:val="center"/>
            <w:hideMark/>
          </w:tcPr>
          <w:p w14:paraId="2B51737E" w14:textId="6E517C8C" w:rsidR="002D28C5" w:rsidRPr="00586541" w:rsidRDefault="00C2135F" w:rsidP="001B1F55">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635E05" w:rsidRPr="00586541">
              <w:rPr>
                <w:rFonts w:eastAsia="Times New Roman" w:cs="Arial"/>
                <w:sz w:val="20"/>
                <w:szCs w:val="20"/>
                <w:lang w:eastAsia="en-GB"/>
              </w:rPr>
              <w:t>118</w:t>
            </w:r>
          </w:p>
        </w:tc>
        <w:tc>
          <w:tcPr>
            <w:tcW w:w="1063" w:type="dxa"/>
            <w:tcBorders>
              <w:top w:val="nil"/>
              <w:left w:val="nil"/>
              <w:bottom w:val="single" w:sz="4" w:space="0" w:color="auto"/>
              <w:right w:val="single" w:sz="4" w:space="0" w:color="auto"/>
            </w:tcBorders>
            <w:shd w:val="clear" w:color="auto" w:fill="auto"/>
            <w:noWrap/>
            <w:vAlign w:val="center"/>
            <w:hideMark/>
          </w:tcPr>
          <w:p w14:paraId="6EC86995" w14:textId="4724093C"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3,</w:t>
            </w:r>
            <w:r w:rsidR="00635E05" w:rsidRPr="00586541">
              <w:rPr>
                <w:rFonts w:eastAsia="Times New Roman" w:cs="Arial"/>
                <w:sz w:val="20"/>
                <w:szCs w:val="20"/>
                <w:lang w:eastAsia="en-GB"/>
              </w:rPr>
              <w:t>306</w:t>
            </w:r>
          </w:p>
        </w:tc>
      </w:tr>
      <w:tr w:rsidR="002D28C5" w:rsidRPr="00A217FF" w14:paraId="5C5C1B1D" w14:textId="63F6A940"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DF5DBA9" w14:textId="20F096BE"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Tax</w:t>
            </w:r>
          </w:p>
        </w:tc>
        <w:tc>
          <w:tcPr>
            <w:tcW w:w="1063" w:type="dxa"/>
            <w:tcBorders>
              <w:top w:val="nil"/>
              <w:left w:val="nil"/>
              <w:bottom w:val="single" w:sz="4" w:space="0" w:color="auto"/>
              <w:right w:val="single" w:sz="4" w:space="0" w:color="auto"/>
            </w:tcBorders>
            <w:shd w:val="clear" w:color="auto" w:fill="auto"/>
            <w:noWrap/>
            <w:vAlign w:val="center"/>
            <w:hideMark/>
          </w:tcPr>
          <w:p w14:paraId="5BF8CCF1" w14:textId="48D3B7C3"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72DB1EC7" w14:textId="7D3D8B47"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5B38A157" w14:textId="3D152206" w:rsidR="002D28C5" w:rsidRPr="00586541" w:rsidRDefault="002D28C5"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243</w:t>
            </w:r>
          </w:p>
        </w:tc>
        <w:tc>
          <w:tcPr>
            <w:tcW w:w="1063" w:type="dxa"/>
            <w:tcBorders>
              <w:top w:val="nil"/>
              <w:left w:val="nil"/>
              <w:bottom w:val="single" w:sz="4" w:space="0" w:color="auto"/>
              <w:right w:val="single" w:sz="4" w:space="0" w:color="auto"/>
            </w:tcBorders>
            <w:shd w:val="clear" w:color="auto" w:fill="auto"/>
            <w:noWrap/>
            <w:vAlign w:val="center"/>
            <w:hideMark/>
          </w:tcPr>
          <w:p w14:paraId="269279EC" w14:textId="6EC70423"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729</w:t>
            </w:r>
          </w:p>
        </w:tc>
      </w:tr>
      <w:tr w:rsidR="002D28C5" w:rsidRPr="00A217FF" w14:paraId="5B86EE9C" w14:textId="11FE8CFA" w:rsidTr="009F1947">
        <w:tc>
          <w:tcPr>
            <w:tcW w:w="4962" w:type="dxa"/>
            <w:tcBorders>
              <w:top w:val="nil"/>
              <w:left w:val="single" w:sz="4" w:space="0" w:color="auto"/>
              <w:bottom w:val="nil"/>
              <w:right w:val="single" w:sz="4" w:space="0" w:color="auto"/>
            </w:tcBorders>
            <w:shd w:val="clear" w:color="auto" w:fill="auto"/>
            <w:noWrap/>
            <w:vAlign w:val="center"/>
            <w:hideMark/>
          </w:tcPr>
          <w:p w14:paraId="54891335" w14:textId="08C7E3E1" w:rsidR="002D28C5" w:rsidRPr="00A217FF" w:rsidRDefault="002D28C5" w:rsidP="00A26E01">
            <w:pPr>
              <w:ind w:left="0" w:firstLine="0"/>
              <w:rPr>
                <w:rFonts w:asciiTheme="minorHAnsi" w:eastAsia="Times New Roman" w:hAnsiTheme="minorHAnsi" w:cs="Arial"/>
                <w:color w:val="000000"/>
                <w:sz w:val="20"/>
                <w:szCs w:val="20"/>
                <w:lang w:eastAsia="en-GB"/>
              </w:rPr>
            </w:pPr>
            <w:r w:rsidRPr="00A217FF">
              <w:rPr>
                <w:rFonts w:asciiTheme="minorHAnsi" w:eastAsia="Times New Roman" w:hAnsiTheme="minorHAnsi" w:cs="Arial"/>
                <w:color w:val="000000"/>
                <w:sz w:val="20"/>
                <w:szCs w:val="20"/>
                <w:lang w:eastAsia="en-GB"/>
              </w:rPr>
              <w:t>Income Interest</w:t>
            </w:r>
          </w:p>
        </w:tc>
        <w:tc>
          <w:tcPr>
            <w:tcW w:w="1063" w:type="dxa"/>
            <w:tcBorders>
              <w:top w:val="nil"/>
              <w:left w:val="nil"/>
              <w:bottom w:val="single" w:sz="4" w:space="0" w:color="auto"/>
              <w:right w:val="single" w:sz="4" w:space="0" w:color="auto"/>
            </w:tcBorders>
            <w:shd w:val="clear" w:color="auto" w:fill="auto"/>
            <w:noWrap/>
            <w:vAlign w:val="center"/>
            <w:hideMark/>
          </w:tcPr>
          <w:p w14:paraId="29B2B2C5" w14:textId="34F349F9" w:rsidR="002D28C5" w:rsidRPr="00586541" w:rsidRDefault="00C2135F" w:rsidP="00C2135F">
            <w:pPr>
              <w:ind w:left="0" w:firstLine="0"/>
              <w:jc w:val="right"/>
              <w:rPr>
                <w:rFonts w:eastAsia="Times New Roman" w:cs="Arial"/>
                <w:sz w:val="20"/>
                <w:szCs w:val="20"/>
                <w:lang w:eastAsia="en-GB"/>
              </w:rPr>
            </w:pPr>
            <w:r w:rsidRPr="00586541">
              <w:rPr>
                <w:rFonts w:eastAsia="Times New Roman" w:cs="Arial"/>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4780F33A" w14:textId="7469A51A"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38FFD2BC" w14:textId="13EFD9DF" w:rsidR="002D28C5" w:rsidRPr="00586541" w:rsidRDefault="00C2135F" w:rsidP="00A26E01">
            <w:pPr>
              <w:ind w:left="0" w:firstLine="0"/>
              <w:jc w:val="right"/>
              <w:rPr>
                <w:rFonts w:eastAsia="Times New Roman" w:cs="Arial"/>
                <w:color w:val="000000"/>
                <w:sz w:val="20"/>
                <w:szCs w:val="20"/>
                <w:lang w:eastAsia="en-GB"/>
              </w:rPr>
            </w:pPr>
            <w:r w:rsidRPr="00586541">
              <w:rPr>
                <w:rFonts w:eastAsia="Times New Roman" w:cs="Arial"/>
                <w:color w:val="000000"/>
                <w:sz w:val="20"/>
                <w:szCs w:val="20"/>
                <w:lang w:eastAsia="en-GB"/>
              </w:rPr>
              <w:t>12</w:t>
            </w:r>
          </w:p>
        </w:tc>
        <w:tc>
          <w:tcPr>
            <w:tcW w:w="1063" w:type="dxa"/>
            <w:tcBorders>
              <w:top w:val="nil"/>
              <w:left w:val="nil"/>
              <w:bottom w:val="single" w:sz="4" w:space="0" w:color="auto"/>
              <w:right w:val="single" w:sz="4" w:space="0" w:color="auto"/>
            </w:tcBorders>
            <w:shd w:val="clear" w:color="auto" w:fill="auto"/>
            <w:noWrap/>
            <w:vAlign w:val="center"/>
            <w:hideMark/>
          </w:tcPr>
          <w:p w14:paraId="494447E5" w14:textId="73860A90"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36</w:t>
            </w:r>
          </w:p>
        </w:tc>
      </w:tr>
      <w:tr w:rsidR="002D28C5" w:rsidRPr="00A217FF" w14:paraId="5D093FBC" w14:textId="36BFBA85" w:rsidTr="009F1947">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27CCF61" w14:textId="6D730D30"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INCOME</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692CADFA" w14:textId="78502C3F" w:rsidR="002D28C5" w:rsidRPr="00024026" w:rsidRDefault="002D28C5" w:rsidP="00C2135F">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C2135F" w:rsidRPr="00024026">
              <w:rPr>
                <w:rFonts w:eastAsia="Times New Roman" w:cs="Arial"/>
                <w:b/>
                <w:bCs/>
                <w:color w:val="000000"/>
                <w:lang w:eastAsia="en-GB"/>
              </w:rPr>
              <w:t>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21B45AE" w14:textId="36BE697E" w:rsidR="002D28C5" w:rsidRPr="00024026" w:rsidRDefault="002D28C5" w:rsidP="00C2135F">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C2135F" w:rsidRPr="00024026">
              <w:rPr>
                <w:rFonts w:eastAsia="Times New Roman" w:cs="Arial"/>
                <w:b/>
                <w:bCs/>
                <w:color w:val="000000"/>
                <w:lang w:eastAsia="en-GB"/>
              </w:rPr>
              <w:t>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1B4D19B3" w14:textId="41E1E34F" w:rsidR="002D28C5" w:rsidRPr="00024026" w:rsidRDefault="002D28C5" w:rsidP="00C2135F">
            <w:pPr>
              <w:ind w:left="0" w:firstLine="0"/>
              <w:jc w:val="right"/>
              <w:rPr>
                <w:rFonts w:eastAsia="Times New Roman" w:cs="Arial"/>
                <w:b/>
                <w:bCs/>
                <w:color w:val="000000"/>
                <w:lang w:eastAsia="en-GB"/>
              </w:rPr>
            </w:pPr>
            <w:r w:rsidRPr="00024026">
              <w:rPr>
                <w:rFonts w:eastAsia="Times New Roman" w:cs="Arial"/>
                <w:b/>
                <w:bCs/>
                <w:color w:val="000000"/>
                <w:lang w:eastAsia="en-GB"/>
              </w:rPr>
              <w:t>5,</w:t>
            </w:r>
            <w:r w:rsidR="00C2135F" w:rsidRPr="00024026">
              <w:rPr>
                <w:rFonts w:eastAsia="Times New Roman" w:cs="Arial"/>
                <w:b/>
                <w:bCs/>
                <w:color w:val="000000"/>
                <w:lang w:eastAsia="en-GB"/>
              </w:rPr>
              <w:t>463</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77DFBAAC" w14:textId="11DA340E" w:rsidR="002D28C5" w:rsidRPr="00024026" w:rsidRDefault="00C2135F">
            <w:pPr>
              <w:ind w:left="0" w:firstLine="0"/>
              <w:jc w:val="right"/>
              <w:rPr>
                <w:rFonts w:eastAsia="Times New Roman" w:cs="Arial"/>
                <w:b/>
                <w:bCs/>
                <w:color w:val="000000"/>
                <w:lang w:eastAsia="en-GB"/>
              </w:rPr>
            </w:pPr>
            <w:r w:rsidRPr="00024026">
              <w:rPr>
                <w:rFonts w:eastAsia="Times New Roman" w:cs="Arial"/>
                <w:b/>
                <w:bCs/>
                <w:color w:val="000000"/>
                <w:lang w:eastAsia="en-GB"/>
              </w:rPr>
              <w:t>15,91</w:t>
            </w:r>
            <w:r w:rsidR="00012800" w:rsidRPr="00024026">
              <w:rPr>
                <w:rFonts w:eastAsia="Times New Roman" w:cs="Arial"/>
                <w:b/>
                <w:bCs/>
                <w:color w:val="000000"/>
                <w:lang w:eastAsia="en-GB"/>
              </w:rPr>
              <w:t>7</w:t>
            </w:r>
          </w:p>
        </w:tc>
      </w:tr>
      <w:tr w:rsidR="00ED2630" w:rsidRPr="00A217FF" w14:paraId="1250ADB5" w14:textId="22212FE8" w:rsidTr="009F1947">
        <w:trPr>
          <w:trHeight w:val="34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6DEF4D3" w14:textId="74633F07" w:rsidR="00ED2630" w:rsidRPr="00A217FF" w:rsidRDefault="00ED2630"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EXPENDITURES</w:t>
            </w:r>
          </w:p>
        </w:tc>
        <w:tc>
          <w:tcPr>
            <w:tcW w:w="1063" w:type="dxa"/>
            <w:tcBorders>
              <w:top w:val="nil"/>
              <w:left w:val="nil"/>
              <w:bottom w:val="single" w:sz="4" w:space="0" w:color="auto"/>
              <w:right w:val="single" w:sz="4" w:space="0" w:color="auto"/>
            </w:tcBorders>
            <w:shd w:val="clear" w:color="auto" w:fill="auto"/>
            <w:noWrap/>
            <w:vAlign w:val="bottom"/>
            <w:hideMark/>
          </w:tcPr>
          <w:p w14:paraId="72632136" w14:textId="1E75F105" w:rsidR="00ED2630" w:rsidRPr="00024026" w:rsidRDefault="00ED2630"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5FFDF74C" w14:textId="2DAC21DD" w:rsidR="00ED2630" w:rsidRPr="00024026" w:rsidRDefault="00ED2630"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2D0500FE" w14:textId="3F9BD4FB" w:rsidR="00ED2630" w:rsidRPr="00024026" w:rsidRDefault="00ED2630" w:rsidP="00A26E01">
            <w:pPr>
              <w:ind w:left="0" w:firstLine="0"/>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 </w:t>
            </w:r>
          </w:p>
        </w:tc>
        <w:tc>
          <w:tcPr>
            <w:tcW w:w="1063" w:type="dxa"/>
            <w:tcBorders>
              <w:top w:val="nil"/>
              <w:left w:val="nil"/>
              <w:bottom w:val="single" w:sz="4" w:space="0" w:color="auto"/>
              <w:right w:val="single" w:sz="4" w:space="0" w:color="auto"/>
            </w:tcBorders>
            <w:shd w:val="clear" w:color="auto" w:fill="auto"/>
            <w:noWrap/>
            <w:vAlign w:val="bottom"/>
            <w:hideMark/>
          </w:tcPr>
          <w:p w14:paraId="3403D6B5" w14:textId="584675C7" w:rsidR="00ED2630" w:rsidRPr="00024026" w:rsidRDefault="00ED2630" w:rsidP="00A26E01">
            <w:pPr>
              <w:ind w:left="0" w:firstLine="0"/>
              <w:rPr>
                <w:rFonts w:asciiTheme="minorHAnsi" w:eastAsia="Times New Roman" w:hAnsiTheme="minorHAnsi" w:cs="Arial"/>
                <w:b/>
                <w:bCs/>
                <w:sz w:val="20"/>
                <w:szCs w:val="20"/>
                <w:lang w:eastAsia="en-GB"/>
              </w:rPr>
            </w:pPr>
            <w:r w:rsidRPr="00024026">
              <w:rPr>
                <w:rFonts w:asciiTheme="minorHAnsi" w:eastAsia="Times New Roman" w:hAnsiTheme="minorHAnsi" w:cs="Arial"/>
                <w:b/>
                <w:bCs/>
                <w:sz w:val="20"/>
                <w:szCs w:val="20"/>
                <w:lang w:eastAsia="en-GB"/>
              </w:rPr>
              <w:t> </w:t>
            </w:r>
          </w:p>
        </w:tc>
      </w:tr>
      <w:tr w:rsidR="002D28C5" w:rsidRPr="00A217FF" w14:paraId="16257017" w14:textId="50FE76B0"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3C24A4F6" w14:textId="65396E4F" w:rsidR="002D28C5" w:rsidRPr="00A217FF" w:rsidRDefault="002D28C5" w:rsidP="00A26E01">
            <w:pPr>
              <w:ind w:left="0" w:firstLine="0"/>
              <w:rPr>
                <w:rFonts w:asciiTheme="minorHAnsi" w:eastAsia="Times New Roman" w:hAnsiTheme="minorHAnsi" w:cs="Arial"/>
                <w:b/>
                <w:bCs/>
                <w:color w:val="000000"/>
                <w:sz w:val="20"/>
                <w:szCs w:val="20"/>
                <w:lang w:eastAsia="en-GB"/>
              </w:rPr>
            </w:pPr>
            <w:r w:rsidRPr="00A217FF">
              <w:rPr>
                <w:rFonts w:asciiTheme="minorHAnsi" w:eastAsia="Times New Roman" w:hAnsiTheme="minorHAnsi" w:cs="Arial"/>
                <w:b/>
                <w:bCs/>
                <w:color w:val="000000"/>
                <w:sz w:val="20"/>
                <w:szCs w:val="20"/>
                <w:lang w:eastAsia="en-GB"/>
              </w:rPr>
              <w:t>A. Secretariat Senior Management</w:t>
            </w:r>
            <w:r w:rsidR="00C2135F">
              <w:rPr>
                <w:rFonts w:asciiTheme="minorHAnsi" w:eastAsia="Times New Roman" w:hAnsiTheme="minorHAnsi" w:cs="Arial"/>
                <w:b/>
                <w:bCs/>
                <w:color w:val="000000"/>
                <w:sz w:val="20"/>
                <w:szCs w:val="20"/>
                <w:lang w:eastAsia="en-GB"/>
              </w:rPr>
              <w:t xml:space="preserve"> &amp; Governance</w:t>
            </w:r>
          </w:p>
        </w:tc>
        <w:tc>
          <w:tcPr>
            <w:tcW w:w="1063" w:type="dxa"/>
            <w:tcBorders>
              <w:top w:val="nil"/>
              <w:left w:val="nil"/>
              <w:bottom w:val="single" w:sz="4" w:space="0" w:color="auto"/>
              <w:right w:val="single" w:sz="4" w:space="0" w:color="auto"/>
            </w:tcBorders>
            <w:shd w:val="clear" w:color="000000" w:fill="C4D79B"/>
            <w:noWrap/>
            <w:vAlign w:val="center"/>
            <w:hideMark/>
          </w:tcPr>
          <w:p w14:paraId="64D951A6" w14:textId="4C831EBC"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064</w:t>
            </w:r>
          </w:p>
        </w:tc>
        <w:tc>
          <w:tcPr>
            <w:tcW w:w="1063" w:type="dxa"/>
            <w:tcBorders>
              <w:top w:val="nil"/>
              <w:left w:val="nil"/>
              <w:bottom w:val="single" w:sz="4" w:space="0" w:color="auto"/>
              <w:right w:val="single" w:sz="4" w:space="0" w:color="auto"/>
            </w:tcBorders>
            <w:shd w:val="clear" w:color="000000" w:fill="C4D79B"/>
            <w:noWrap/>
            <w:vAlign w:val="center"/>
            <w:hideMark/>
          </w:tcPr>
          <w:p w14:paraId="001E36CF" w14:textId="5D3EE744"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087</w:t>
            </w:r>
          </w:p>
        </w:tc>
        <w:tc>
          <w:tcPr>
            <w:tcW w:w="1063" w:type="dxa"/>
            <w:tcBorders>
              <w:top w:val="nil"/>
              <w:left w:val="nil"/>
              <w:bottom w:val="single" w:sz="4" w:space="0" w:color="auto"/>
              <w:right w:val="single" w:sz="4" w:space="0" w:color="auto"/>
            </w:tcBorders>
            <w:shd w:val="clear" w:color="000000" w:fill="C4D79B"/>
            <w:noWrap/>
            <w:vAlign w:val="center"/>
            <w:hideMark/>
          </w:tcPr>
          <w:p w14:paraId="22294D16" w14:textId="513AF4CB"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091</w:t>
            </w:r>
          </w:p>
        </w:tc>
        <w:tc>
          <w:tcPr>
            <w:tcW w:w="1063" w:type="dxa"/>
            <w:tcBorders>
              <w:top w:val="nil"/>
              <w:left w:val="nil"/>
              <w:bottom w:val="single" w:sz="4" w:space="0" w:color="auto"/>
              <w:right w:val="single" w:sz="4" w:space="0" w:color="auto"/>
            </w:tcBorders>
            <w:shd w:val="clear" w:color="000000" w:fill="C4D79B"/>
            <w:noWrap/>
            <w:vAlign w:val="center"/>
            <w:hideMark/>
          </w:tcPr>
          <w:p w14:paraId="257F0D14" w14:textId="3F5BD31B" w:rsidR="002D28C5" w:rsidRPr="00024026" w:rsidRDefault="00C2135F">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w:t>
            </w:r>
            <w:r w:rsidR="00635E05" w:rsidRPr="00024026">
              <w:rPr>
                <w:rFonts w:asciiTheme="minorHAnsi" w:eastAsia="Times New Roman" w:hAnsiTheme="minorHAnsi" w:cs="Arial"/>
                <w:b/>
                <w:bCs/>
                <w:color w:val="000000"/>
                <w:sz w:val="20"/>
                <w:szCs w:val="20"/>
                <w:lang w:eastAsia="en-GB"/>
              </w:rPr>
              <w:t>242</w:t>
            </w:r>
          </w:p>
        </w:tc>
      </w:tr>
      <w:tr w:rsidR="002D28C5" w:rsidRPr="00A217FF" w14:paraId="5DFE2A69" w14:textId="73C556D4"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549E232" w14:textId="40BE7D4A"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635E05">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D1CB9" w:rsidRPr="00A217FF">
              <w:rPr>
                <w:rFonts w:asciiTheme="minorHAnsi" w:eastAsia="Times New Roman" w:hAnsiTheme="minorHAnsi" w:cs="Arial"/>
                <w:sz w:val="20"/>
                <w:szCs w:val="20"/>
                <w:lang w:eastAsia="en-GB"/>
              </w:rPr>
              <w:t>Social Costs</w:t>
            </w:r>
            <w:r w:rsidR="00635E05">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6E7768B6" w14:textId="66D9487C"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5E05" w:rsidRPr="00024026">
              <w:rPr>
                <w:rFonts w:asciiTheme="minorHAnsi" w:eastAsia="Times New Roman" w:hAnsiTheme="minorHAnsi" w:cs="Arial"/>
                <w:sz w:val="20"/>
                <w:szCs w:val="20"/>
                <w:lang w:eastAsia="en-GB"/>
              </w:rPr>
              <w:t>019</w:t>
            </w:r>
          </w:p>
        </w:tc>
        <w:tc>
          <w:tcPr>
            <w:tcW w:w="1063" w:type="dxa"/>
            <w:tcBorders>
              <w:top w:val="nil"/>
              <w:left w:val="nil"/>
              <w:bottom w:val="single" w:sz="4" w:space="0" w:color="auto"/>
              <w:right w:val="single" w:sz="4" w:space="0" w:color="auto"/>
            </w:tcBorders>
            <w:shd w:val="clear" w:color="auto" w:fill="auto"/>
            <w:noWrap/>
            <w:vAlign w:val="center"/>
            <w:hideMark/>
          </w:tcPr>
          <w:p w14:paraId="75F8F212" w14:textId="38BEBDA0"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5E05" w:rsidRPr="00024026">
              <w:rPr>
                <w:rFonts w:asciiTheme="minorHAnsi" w:eastAsia="Times New Roman" w:hAnsiTheme="minorHAnsi" w:cs="Arial"/>
                <w:sz w:val="20"/>
                <w:szCs w:val="20"/>
                <w:lang w:eastAsia="en-GB"/>
              </w:rPr>
              <w:t>042</w:t>
            </w:r>
          </w:p>
        </w:tc>
        <w:tc>
          <w:tcPr>
            <w:tcW w:w="1063" w:type="dxa"/>
            <w:tcBorders>
              <w:top w:val="nil"/>
              <w:left w:val="nil"/>
              <w:bottom w:val="single" w:sz="4" w:space="0" w:color="auto"/>
              <w:right w:val="single" w:sz="4" w:space="0" w:color="auto"/>
            </w:tcBorders>
            <w:shd w:val="clear" w:color="auto" w:fill="auto"/>
            <w:noWrap/>
            <w:vAlign w:val="center"/>
            <w:hideMark/>
          </w:tcPr>
          <w:p w14:paraId="6A6B825D" w14:textId="087D7147" w:rsidR="002D28C5" w:rsidRPr="00024026"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635E05" w:rsidRPr="00024026">
              <w:rPr>
                <w:rFonts w:asciiTheme="minorHAnsi" w:eastAsia="Times New Roman" w:hAnsiTheme="minorHAnsi" w:cs="Arial"/>
                <w:color w:val="000000"/>
                <w:sz w:val="20"/>
                <w:szCs w:val="20"/>
                <w:lang w:eastAsia="en-GB"/>
              </w:rPr>
              <w:t>046</w:t>
            </w:r>
          </w:p>
        </w:tc>
        <w:tc>
          <w:tcPr>
            <w:tcW w:w="1063" w:type="dxa"/>
            <w:tcBorders>
              <w:top w:val="nil"/>
              <w:left w:val="nil"/>
              <w:bottom w:val="single" w:sz="4" w:space="0" w:color="auto"/>
              <w:right w:val="single" w:sz="4" w:space="0" w:color="auto"/>
            </w:tcBorders>
            <w:shd w:val="clear" w:color="auto" w:fill="auto"/>
            <w:noWrap/>
            <w:vAlign w:val="center"/>
            <w:hideMark/>
          </w:tcPr>
          <w:p w14:paraId="3975244B" w14:textId="01FE7EDE" w:rsidR="002D28C5" w:rsidRPr="00024026" w:rsidRDefault="00C2135F">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635E05" w:rsidRPr="00024026">
              <w:rPr>
                <w:rFonts w:asciiTheme="minorHAnsi" w:eastAsia="Times New Roman" w:hAnsiTheme="minorHAnsi" w:cs="Arial"/>
                <w:sz w:val="20"/>
                <w:szCs w:val="20"/>
                <w:lang w:eastAsia="en-GB"/>
              </w:rPr>
              <w:t>107</w:t>
            </w:r>
          </w:p>
        </w:tc>
      </w:tr>
      <w:tr w:rsidR="002D28C5" w:rsidRPr="00A217FF" w14:paraId="61A0C5E5" w14:textId="414A50B3"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AADDDD3" w14:textId="693A46BA" w:rsidR="002D28C5" w:rsidRPr="00A217FF" w:rsidRDefault="00C2135F"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7B23E621" w14:textId="7BB847B4"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2B407135" w14:textId="67A3AC8A"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6243C369" w14:textId="0D1F168F" w:rsidR="002D28C5" w:rsidRPr="00024026"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5CAC8615" w14:textId="7CB1190D"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135</w:t>
            </w:r>
          </w:p>
        </w:tc>
      </w:tr>
      <w:tr w:rsidR="002D28C5" w:rsidRPr="00A217FF" w14:paraId="40867B85" w14:textId="10E9A4B7"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6FD4BC1A" w14:textId="5B06C721"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B. Resource Mobilization and Outreach</w:t>
            </w:r>
          </w:p>
        </w:tc>
        <w:tc>
          <w:tcPr>
            <w:tcW w:w="1063" w:type="dxa"/>
            <w:tcBorders>
              <w:top w:val="nil"/>
              <w:left w:val="nil"/>
              <w:bottom w:val="single" w:sz="4" w:space="0" w:color="auto"/>
              <w:right w:val="single" w:sz="4" w:space="0" w:color="auto"/>
            </w:tcBorders>
            <w:shd w:val="clear" w:color="000000" w:fill="C4D79B"/>
            <w:noWrap/>
            <w:vAlign w:val="center"/>
            <w:hideMark/>
          </w:tcPr>
          <w:p w14:paraId="4F413073" w14:textId="1B55C4CC"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556</w:t>
            </w:r>
          </w:p>
        </w:tc>
        <w:tc>
          <w:tcPr>
            <w:tcW w:w="1063" w:type="dxa"/>
            <w:tcBorders>
              <w:top w:val="nil"/>
              <w:left w:val="nil"/>
              <w:bottom w:val="single" w:sz="4" w:space="0" w:color="auto"/>
              <w:right w:val="single" w:sz="4" w:space="0" w:color="auto"/>
            </w:tcBorders>
            <w:shd w:val="clear" w:color="000000" w:fill="C4D79B"/>
            <w:noWrap/>
            <w:vAlign w:val="center"/>
            <w:hideMark/>
          </w:tcPr>
          <w:p w14:paraId="12EC8120" w14:textId="446B77CA" w:rsidR="002D28C5" w:rsidRPr="00024026" w:rsidRDefault="00635E05" w:rsidP="003932B5">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560</w:t>
            </w:r>
          </w:p>
        </w:tc>
        <w:tc>
          <w:tcPr>
            <w:tcW w:w="1063" w:type="dxa"/>
            <w:tcBorders>
              <w:top w:val="nil"/>
              <w:left w:val="nil"/>
              <w:bottom w:val="single" w:sz="4" w:space="0" w:color="auto"/>
              <w:right w:val="single" w:sz="4" w:space="0" w:color="auto"/>
            </w:tcBorders>
            <w:shd w:val="clear" w:color="000000" w:fill="C4D79B"/>
            <w:noWrap/>
            <w:vAlign w:val="center"/>
            <w:hideMark/>
          </w:tcPr>
          <w:p w14:paraId="162257D5" w14:textId="69DF5B45" w:rsidR="002D28C5" w:rsidRPr="00024026" w:rsidRDefault="00635E05"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563</w:t>
            </w:r>
          </w:p>
        </w:tc>
        <w:tc>
          <w:tcPr>
            <w:tcW w:w="1063" w:type="dxa"/>
            <w:tcBorders>
              <w:top w:val="nil"/>
              <w:left w:val="nil"/>
              <w:bottom w:val="single" w:sz="4" w:space="0" w:color="auto"/>
              <w:right w:val="single" w:sz="4" w:space="0" w:color="auto"/>
            </w:tcBorders>
            <w:shd w:val="clear" w:color="000000" w:fill="C4D79B"/>
            <w:noWrap/>
            <w:vAlign w:val="center"/>
            <w:hideMark/>
          </w:tcPr>
          <w:p w14:paraId="3E904A7D" w14:textId="512F4319" w:rsidR="002D28C5" w:rsidRPr="00024026" w:rsidRDefault="00C2135F">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679</w:t>
            </w:r>
          </w:p>
        </w:tc>
      </w:tr>
      <w:tr w:rsidR="002D28C5" w:rsidRPr="00A217FF" w14:paraId="46600185" w14:textId="37E5CE1C"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23D7C8E" w14:textId="1D2DE98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635E05">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D1CB9" w:rsidRPr="00A217FF">
              <w:rPr>
                <w:rFonts w:asciiTheme="minorHAnsi" w:eastAsia="Times New Roman" w:hAnsiTheme="minorHAnsi" w:cs="Arial"/>
                <w:sz w:val="20"/>
                <w:szCs w:val="20"/>
                <w:lang w:eastAsia="en-GB"/>
              </w:rPr>
              <w:t>Social Costs</w:t>
            </w:r>
            <w:r w:rsidR="00635E05">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0BE001E5" w14:textId="0565AD67"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355</w:t>
            </w:r>
          </w:p>
        </w:tc>
        <w:tc>
          <w:tcPr>
            <w:tcW w:w="1063" w:type="dxa"/>
            <w:tcBorders>
              <w:top w:val="nil"/>
              <w:left w:val="nil"/>
              <w:bottom w:val="single" w:sz="4" w:space="0" w:color="auto"/>
              <w:right w:val="single" w:sz="4" w:space="0" w:color="auto"/>
            </w:tcBorders>
            <w:shd w:val="clear" w:color="auto" w:fill="auto"/>
            <w:noWrap/>
            <w:vAlign w:val="center"/>
            <w:hideMark/>
          </w:tcPr>
          <w:p w14:paraId="2BB56B69" w14:textId="28BA0077"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359</w:t>
            </w:r>
          </w:p>
        </w:tc>
        <w:tc>
          <w:tcPr>
            <w:tcW w:w="1063" w:type="dxa"/>
            <w:tcBorders>
              <w:top w:val="nil"/>
              <w:left w:val="nil"/>
              <w:bottom w:val="single" w:sz="4" w:space="0" w:color="auto"/>
              <w:right w:val="single" w:sz="4" w:space="0" w:color="auto"/>
            </w:tcBorders>
            <w:shd w:val="clear" w:color="auto" w:fill="auto"/>
            <w:noWrap/>
            <w:vAlign w:val="center"/>
            <w:hideMark/>
          </w:tcPr>
          <w:p w14:paraId="69E674F9" w14:textId="02B0A9FA" w:rsidR="002D28C5" w:rsidRPr="00024026" w:rsidRDefault="00635E0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362</w:t>
            </w:r>
          </w:p>
        </w:tc>
        <w:tc>
          <w:tcPr>
            <w:tcW w:w="1063" w:type="dxa"/>
            <w:tcBorders>
              <w:top w:val="nil"/>
              <w:left w:val="nil"/>
              <w:bottom w:val="single" w:sz="4" w:space="0" w:color="auto"/>
              <w:right w:val="single" w:sz="4" w:space="0" w:color="auto"/>
            </w:tcBorders>
            <w:shd w:val="clear" w:color="auto" w:fill="auto"/>
            <w:noWrap/>
            <w:vAlign w:val="center"/>
            <w:hideMark/>
          </w:tcPr>
          <w:p w14:paraId="49225D3E" w14:textId="11882B72" w:rsidR="002D28C5" w:rsidRPr="00024026" w:rsidRDefault="00C2135F">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5E05" w:rsidRPr="00024026">
              <w:rPr>
                <w:rFonts w:asciiTheme="minorHAnsi" w:eastAsia="Times New Roman" w:hAnsiTheme="minorHAnsi" w:cs="Arial"/>
                <w:sz w:val="20"/>
                <w:szCs w:val="20"/>
                <w:lang w:eastAsia="en-GB"/>
              </w:rPr>
              <w:t>076</w:t>
            </w:r>
          </w:p>
        </w:tc>
      </w:tr>
      <w:tr w:rsidR="002D28C5" w:rsidRPr="00A217FF" w14:paraId="5850160C" w14:textId="795108DF"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A48BC17" w14:textId="63738DBF"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CEPA Program</w:t>
            </w:r>
            <w:r w:rsidR="00ED1CB9">
              <w:rPr>
                <w:rFonts w:asciiTheme="minorHAnsi" w:eastAsia="Times New Roman" w:hAnsiTheme="minorHAnsi" w:cs="Arial"/>
                <w:sz w:val="20"/>
                <w:szCs w:val="20"/>
                <w:lang w:eastAsia="en-GB"/>
              </w:rPr>
              <w:t>me</w:t>
            </w:r>
          </w:p>
        </w:tc>
        <w:tc>
          <w:tcPr>
            <w:tcW w:w="1063" w:type="dxa"/>
            <w:tcBorders>
              <w:top w:val="nil"/>
              <w:left w:val="nil"/>
              <w:bottom w:val="single" w:sz="4" w:space="0" w:color="auto"/>
              <w:right w:val="single" w:sz="4" w:space="0" w:color="auto"/>
            </w:tcBorders>
            <w:shd w:val="clear" w:color="auto" w:fill="auto"/>
            <w:noWrap/>
            <w:vAlign w:val="center"/>
            <w:hideMark/>
          </w:tcPr>
          <w:p w14:paraId="13648158" w14:textId="10C1D81D"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11C2CF49" w14:textId="778C8475"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7996CD7A" w14:textId="64C277FC"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hideMark/>
          </w:tcPr>
          <w:p w14:paraId="2955B6BC" w14:textId="1381E594"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31AE1ED0" w14:textId="3345345D"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36ABCB4" w14:textId="34CE565D"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Comms, Translations, Publications and Reporting 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00D5FFEA" w14:textId="6AD3F14B"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2CC7622A" w14:textId="5FDCBD56"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780DBAE6" w14:textId="32586615" w:rsidR="002D28C5" w:rsidRPr="00024026" w:rsidRDefault="002D28C5"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1C8067F" w14:textId="0451054E" w:rsidR="002D28C5" w:rsidRPr="00024026" w:rsidRDefault="002D28C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B4F1057" w14:textId="19CDBC0F"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FE0E1E2" w14:textId="29DE3C13"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Web/IT </w:t>
            </w:r>
            <w:r w:rsidR="00ED1CB9" w:rsidRPr="00A217FF">
              <w:rPr>
                <w:rFonts w:asciiTheme="minorHAnsi" w:eastAsia="Times New Roman" w:hAnsiTheme="minorHAnsi" w:cs="Arial"/>
                <w:sz w:val="20"/>
                <w:szCs w:val="20"/>
                <w:lang w:eastAsia="en-GB"/>
              </w:rPr>
              <w:t xml:space="preserve">Support </w:t>
            </w:r>
            <w:r w:rsidRPr="00A217FF">
              <w:rPr>
                <w:rFonts w:asciiTheme="minorHAnsi" w:eastAsia="Times New Roman" w:hAnsiTheme="minorHAnsi" w:cs="Arial"/>
                <w:sz w:val="20"/>
                <w:szCs w:val="20"/>
                <w:lang w:eastAsia="en-GB"/>
              </w:rPr>
              <w:t>and Development</w:t>
            </w:r>
          </w:p>
        </w:tc>
        <w:tc>
          <w:tcPr>
            <w:tcW w:w="1063" w:type="dxa"/>
            <w:tcBorders>
              <w:top w:val="nil"/>
              <w:left w:val="nil"/>
              <w:bottom w:val="single" w:sz="4" w:space="0" w:color="auto"/>
              <w:right w:val="single" w:sz="4" w:space="0" w:color="auto"/>
            </w:tcBorders>
            <w:shd w:val="clear" w:color="auto" w:fill="auto"/>
            <w:noWrap/>
            <w:vAlign w:val="center"/>
            <w:hideMark/>
          </w:tcPr>
          <w:p w14:paraId="71469083" w14:textId="4EC72D69"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hideMark/>
          </w:tcPr>
          <w:p w14:paraId="3B22E3B5" w14:textId="2FF7802B"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hideMark/>
          </w:tcPr>
          <w:p w14:paraId="448662CE" w14:textId="76851F5F" w:rsidR="002D28C5" w:rsidRPr="00024026" w:rsidRDefault="007B7B47" w:rsidP="00A26E01">
            <w:pPr>
              <w:ind w:left="0" w:firstLine="0"/>
              <w:jc w:val="right"/>
              <w:rPr>
                <w:rFonts w:asciiTheme="minorHAnsi" w:eastAsia="Times New Roman" w:hAnsiTheme="minorHAnsi" w:cs="Arial"/>
                <w:color w:val="000000"/>
                <w:sz w:val="20"/>
                <w:szCs w:val="20"/>
                <w:lang w:eastAsia="en-GB"/>
              </w:rPr>
            </w:pPr>
            <w:r>
              <w:rPr>
                <w:rFonts w:asciiTheme="minorHAnsi" w:eastAsia="Times New Roman" w:hAnsiTheme="minorHAnsi" w:cs="Arial"/>
                <w:color w:val="000000"/>
                <w:sz w:val="20"/>
                <w:szCs w:val="20"/>
                <w:lang w:eastAsia="en-GB"/>
              </w:rPr>
              <w:t>56</w:t>
            </w:r>
          </w:p>
        </w:tc>
        <w:tc>
          <w:tcPr>
            <w:tcW w:w="1063" w:type="dxa"/>
            <w:tcBorders>
              <w:top w:val="nil"/>
              <w:left w:val="nil"/>
              <w:bottom w:val="single" w:sz="4" w:space="0" w:color="auto"/>
              <w:right w:val="single" w:sz="4" w:space="0" w:color="auto"/>
            </w:tcBorders>
            <w:shd w:val="clear" w:color="auto" w:fill="auto"/>
            <w:noWrap/>
            <w:vAlign w:val="center"/>
            <w:hideMark/>
          </w:tcPr>
          <w:p w14:paraId="728960AF" w14:textId="0CADE4C1" w:rsidR="002D28C5" w:rsidRPr="00024026" w:rsidRDefault="00635E05">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168</w:t>
            </w:r>
          </w:p>
        </w:tc>
      </w:tr>
      <w:tr w:rsidR="00C2135F" w:rsidRPr="00A217FF" w14:paraId="6566F508" w14:textId="77777777" w:rsidTr="009F1947">
        <w:tc>
          <w:tcPr>
            <w:tcW w:w="4962" w:type="dxa"/>
            <w:tcBorders>
              <w:top w:val="nil"/>
              <w:left w:val="single" w:sz="4" w:space="0" w:color="auto"/>
              <w:bottom w:val="single" w:sz="4" w:space="0" w:color="auto"/>
              <w:right w:val="single" w:sz="4" w:space="0" w:color="auto"/>
            </w:tcBorders>
            <w:shd w:val="clear" w:color="auto" w:fill="auto"/>
            <w:noWrap/>
            <w:vAlign w:val="center"/>
          </w:tcPr>
          <w:p w14:paraId="59A227CF" w14:textId="1EB7DBB6" w:rsidR="00C2135F" w:rsidRPr="00A217FF" w:rsidRDefault="00C2135F"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3CDE12CE" w14:textId="4479B996" w:rsidR="00C2135F" w:rsidRPr="00024026" w:rsidDel="00C2135F"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2E84442D" w14:textId="389EA553" w:rsidR="00C2135F" w:rsidRPr="00024026" w:rsidDel="00C2135F"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233835EF" w14:textId="38635723" w:rsidR="00C2135F" w:rsidRPr="00024026" w:rsidDel="00C2135F"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15</w:t>
            </w:r>
          </w:p>
        </w:tc>
        <w:tc>
          <w:tcPr>
            <w:tcW w:w="1063" w:type="dxa"/>
            <w:tcBorders>
              <w:top w:val="nil"/>
              <w:left w:val="nil"/>
              <w:bottom w:val="single" w:sz="4" w:space="0" w:color="auto"/>
              <w:right w:val="single" w:sz="4" w:space="0" w:color="auto"/>
            </w:tcBorders>
            <w:shd w:val="clear" w:color="auto" w:fill="auto"/>
            <w:noWrap/>
            <w:vAlign w:val="center"/>
          </w:tcPr>
          <w:p w14:paraId="3E79E585" w14:textId="405F2536" w:rsidR="00C2135F" w:rsidRPr="00024026" w:rsidDel="00C2135F"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45</w:t>
            </w:r>
          </w:p>
        </w:tc>
      </w:tr>
      <w:tr w:rsidR="002D28C5" w:rsidRPr="00A217FF" w14:paraId="4810EC20" w14:textId="4E8C7FA0"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3328956" w14:textId="04B43B8F"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C. Regional Advice and Support</w:t>
            </w:r>
          </w:p>
        </w:tc>
        <w:tc>
          <w:tcPr>
            <w:tcW w:w="1063" w:type="dxa"/>
            <w:tcBorders>
              <w:top w:val="nil"/>
              <w:left w:val="nil"/>
              <w:bottom w:val="single" w:sz="4" w:space="0" w:color="auto"/>
              <w:right w:val="single" w:sz="4" w:space="0" w:color="auto"/>
            </w:tcBorders>
            <w:shd w:val="clear" w:color="000000" w:fill="C4D79B"/>
            <w:noWrap/>
            <w:vAlign w:val="center"/>
            <w:hideMark/>
          </w:tcPr>
          <w:p w14:paraId="04CB76C5" w14:textId="062D6F66"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331</w:t>
            </w:r>
          </w:p>
        </w:tc>
        <w:tc>
          <w:tcPr>
            <w:tcW w:w="1063" w:type="dxa"/>
            <w:tcBorders>
              <w:top w:val="nil"/>
              <w:left w:val="nil"/>
              <w:bottom w:val="single" w:sz="4" w:space="0" w:color="auto"/>
              <w:right w:val="single" w:sz="4" w:space="0" w:color="auto"/>
            </w:tcBorders>
            <w:shd w:val="clear" w:color="000000" w:fill="C4D79B"/>
            <w:noWrap/>
            <w:vAlign w:val="center"/>
            <w:hideMark/>
          </w:tcPr>
          <w:p w14:paraId="0C9824D5" w14:textId="181740C6"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350</w:t>
            </w:r>
          </w:p>
        </w:tc>
        <w:tc>
          <w:tcPr>
            <w:tcW w:w="1063" w:type="dxa"/>
            <w:tcBorders>
              <w:top w:val="nil"/>
              <w:left w:val="nil"/>
              <w:bottom w:val="single" w:sz="4" w:space="0" w:color="auto"/>
              <w:right w:val="single" w:sz="4" w:space="0" w:color="auto"/>
            </w:tcBorders>
            <w:shd w:val="clear" w:color="000000" w:fill="C4D79B"/>
            <w:noWrap/>
            <w:vAlign w:val="center"/>
            <w:hideMark/>
          </w:tcPr>
          <w:p w14:paraId="43C9BADF" w14:textId="4F1C9F8E"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w:t>
            </w:r>
            <w:r w:rsidR="00635E05" w:rsidRPr="00024026">
              <w:rPr>
                <w:rFonts w:asciiTheme="minorHAnsi" w:eastAsia="Times New Roman" w:hAnsiTheme="minorHAnsi" w:cs="Arial"/>
                <w:b/>
                <w:bCs/>
                <w:color w:val="000000"/>
                <w:sz w:val="20"/>
                <w:szCs w:val="20"/>
                <w:lang w:eastAsia="en-GB"/>
              </w:rPr>
              <w:t>364</w:t>
            </w:r>
          </w:p>
        </w:tc>
        <w:tc>
          <w:tcPr>
            <w:tcW w:w="1063" w:type="dxa"/>
            <w:tcBorders>
              <w:top w:val="nil"/>
              <w:left w:val="nil"/>
              <w:bottom w:val="single" w:sz="4" w:space="0" w:color="auto"/>
              <w:right w:val="single" w:sz="4" w:space="0" w:color="auto"/>
            </w:tcBorders>
            <w:shd w:val="clear" w:color="000000" w:fill="C4D79B"/>
            <w:noWrap/>
            <w:vAlign w:val="center"/>
            <w:hideMark/>
          </w:tcPr>
          <w:p w14:paraId="2D12DF65" w14:textId="6822514F" w:rsidR="002D28C5" w:rsidRPr="00024026" w:rsidRDefault="00635E05">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4,045</w:t>
            </w:r>
          </w:p>
        </w:tc>
      </w:tr>
      <w:tr w:rsidR="002D28C5" w:rsidRPr="00A217FF" w14:paraId="20C41486" w14:textId="29687788"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C3F5793" w14:textId="0796390A"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635E05">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D1CB9" w:rsidRPr="00A217FF">
              <w:rPr>
                <w:rFonts w:asciiTheme="minorHAnsi" w:eastAsia="Times New Roman" w:hAnsiTheme="minorHAnsi" w:cs="Arial"/>
                <w:sz w:val="20"/>
                <w:szCs w:val="20"/>
                <w:lang w:eastAsia="en-GB"/>
              </w:rPr>
              <w:t>Social Costs</w:t>
            </w:r>
            <w:r w:rsidR="00635E05">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50F74F9" w14:textId="2916F958"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5E05" w:rsidRPr="00024026">
              <w:rPr>
                <w:rFonts w:asciiTheme="minorHAnsi" w:eastAsia="Times New Roman" w:hAnsiTheme="minorHAnsi" w:cs="Arial"/>
                <w:sz w:val="20"/>
                <w:szCs w:val="20"/>
                <w:lang w:eastAsia="en-GB"/>
              </w:rPr>
              <w:t>254</w:t>
            </w:r>
          </w:p>
        </w:tc>
        <w:tc>
          <w:tcPr>
            <w:tcW w:w="1063" w:type="dxa"/>
            <w:tcBorders>
              <w:top w:val="nil"/>
              <w:left w:val="nil"/>
              <w:bottom w:val="single" w:sz="4" w:space="0" w:color="auto"/>
              <w:right w:val="single" w:sz="4" w:space="0" w:color="auto"/>
            </w:tcBorders>
            <w:shd w:val="clear" w:color="auto" w:fill="auto"/>
            <w:noWrap/>
            <w:vAlign w:val="center"/>
            <w:hideMark/>
          </w:tcPr>
          <w:p w14:paraId="2D0754BE" w14:textId="71686E19"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w:t>
            </w:r>
            <w:r w:rsidR="00635E05" w:rsidRPr="00024026">
              <w:rPr>
                <w:rFonts w:asciiTheme="minorHAnsi" w:eastAsia="Times New Roman" w:hAnsiTheme="minorHAnsi" w:cs="Arial"/>
                <w:sz w:val="20"/>
                <w:szCs w:val="20"/>
                <w:lang w:eastAsia="en-GB"/>
              </w:rPr>
              <w:t>273</w:t>
            </w:r>
          </w:p>
        </w:tc>
        <w:tc>
          <w:tcPr>
            <w:tcW w:w="1063" w:type="dxa"/>
            <w:tcBorders>
              <w:top w:val="nil"/>
              <w:left w:val="nil"/>
              <w:bottom w:val="single" w:sz="4" w:space="0" w:color="auto"/>
              <w:right w:val="single" w:sz="4" w:space="0" w:color="auto"/>
            </w:tcBorders>
            <w:shd w:val="clear" w:color="auto" w:fill="auto"/>
            <w:noWrap/>
            <w:vAlign w:val="center"/>
            <w:hideMark/>
          </w:tcPr>
          <w:p w14:paraId="0D4AC02A" w14:textId="4E5499B6" w:rsidR="002D28C5" w:rsidRPr="00024026"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w:t>
            </w:r>
            <w:r w:rsidR="00635E05" w:rsidRPr="00024026">
              <w:rPr>
                <w:rFonts w:asciiTheme="minorHAnsi" w:eastAsia="Times New Roman" w:hAnsiTheme="minorHAnsi" w:cs="Arial"/>
                <w:color w:val="000000"/>
                <w:sz w:val="20"/>
                <w:szCs w:val="20"/>
                <w:lang w:eastAsia="en-GB"/>
              </w:rPr>
              <w:t>287</w:t>
            </w:r>
          </w:p>
        </w:tc>
        <w:tc>
          <w:tcPr>
            <w:tcW w:w="1063" w:type="dxa"/>
            <w:tcBorders>
              <w:top w:val="nil"/>
              <w:left w:val="nil"/>
              <w:bottom w:val="single" w:sz="4" w:space="0" w:color="auto"/>
              <w:right w:val="single" w:sz="4" w:space="0" w:color="auto"/>
            </w:tcBorders>
            <w:shd w:val="clear" w:color="auto" w:fill="auto"/>
            <w:noWrap/>
            <w:vAlign w:val="center"/>
            <w:hideMark/>
          </w:tcPr>
          <w:p w14:paraId="07BAB526" w14:textId="096F704D" w:rsidR="002D28C5" w:rsidRPr="00024026" w:rsidRDefault="00C2135F">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w:t>
            </w:r>
            <w:r w:rsidR="00635E05" w:rsidRPr="00024026">
              <w:rPr>
                <w:rFonts w:asciiTheme="minorHAnsi" w:eastAsia="Times New Roman" w:hAnsiTheme="minorHAnsi" w:cs="Arial"/>
                <w:sz w:val="20"/>
                <w:szCs w:val="20"/>
                <w:lang w:eastAsia="en-GB"/>
              </w:rPr>
              <w:t>814</w:t>
            </w:r>
          </w:p>
        </w:tc>
      </w:tr>
      <w:tr w:rsidR="002D28C5" w:rsidRPr="00A217FF" w14:paraId="0F4760AC" w14:textId="32363D4E"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D54287B" w14:textId="0F59CD99" w:rsidR="002D28C5" w:rsidRPr="00A217FF" w:rsidRDefault="00C2135F"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hideMark/>
          </w:tcPr>
          <w:p w14:paraId="40A1BB51" w14:textId="03312321"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179BFAF4" w14:textId="0F1D537A"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55F72507" w14:textId="7318226C" w:rsidR="002D28C5" w:rsidRPr="00024026"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77</w:t>
            </w:r>
          </w:p>
        </w:tc>
        <w:tc>
          <w:tcPr>
            <w:tcW w:w="1063" w:type="dxa"/>
            <w:tcBorders>
              <w:top w:val="nil"/>
              <w:left w:val="nil"/>
              <w:bottom w:val="single" w:sz="4" w:space="0" w:color="auto"/>
              <w:right w:val="single" w:sz="4" w:space="0" w:color="auto"/>
            </w:tcBorders>
            <w:shd w:val="clear" w:color="auto" w:fill="auto"/>
            <w:noWrap/>
            <w:vAlign w:val="center"/>
            <w:hideMark/>
          </w:tcPr>
          <w:p w14:paraId="055454D7" w14:textId="7FED756D"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231</w:t>
            </w:r>
          </w:p>
        </w:tc>
      </w:tr>
      <w:tr w:rsidR="002D28C5" w:rsidRPr="00A217FF" w14:paraId="3F30175B" w14:textId="5C69FED8"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0547289" w14:textId="65DAB0A0"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D. Support to Regional Initiatives</w:t>
            </w:r>
          </w:p>
        </w:tc>
        <w:tc>
          <w:tcPr>
            <w:tcW w:w="1063" w:type="dxa"/>
            <w:tcBorders>
              <w:top w:val="nil"/>
              <w:left w:val="nil"/>
              <w:bottom w:val="single" w:sz="4" w:space="0" w:color="auto"/>
              <w:right w:val="single" w:sz="4" w:space="0" w:color="auto"/>
            </w:tcBorders>
            <w:shd w:val="clear" w:color="000000" w:fill="C4D79B"/>
            <w:noWrap/>
            <w:vAlign w:val="center"/>
            <w:hideMark/>
          </w:tcPr>
          <w:p w14:paraId="02BAD9A0" w14:textId="53BEE1E3"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553B7929" w14:textId="5CECB514"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65A3EFEA" w14:textId="7FEBA484"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100</w:t>
            </w:r>
          </w:p>
        </w:tc>
        <w:tc>
          <w:tcPr>
            <w:tcW w:w="1063" w:type="dxa"/>
            <w:tcBorders>
              <w:top w:val="nil"/>
              <w:left w:val="nil"/>
              <w:bottom w:val="single" w:sz="4" w:space="0" w:color="auto"/>
              <w:right w:val="single" w:sz="4" w:space="0" w:color="auto"/>
            </w:tcBorders>
            <w:shd w:val="clear" w:color="000000" w:fill="C4D79B"/>
            <w:noWrap/>
            <w:vAlign w:val="center"/>
            <w:hideMark/>
          </w:tcPr>
          <w:p w14:paraId="5D37C291" w14:textId="0E135D82" w:rsidR="002D28C5" w:rsidRPr="00024026" w:rsidRDefault="00C2135F"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300</w:t>
            </w:r>
          </w:p>
        </w:tc>
      </w:tr>
      <w:tr w:rsidR="002D28C5" w:rsidRPr="00A217FF" w14:paraId="5974455C" w14:textId="69D5B75A"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2FCE05E" w14:textId="536C2EDB" w:rsidR="002D28C5" w:rsidRPr="00A217FF" w:rsidRDefault="002D28C5" w:rsidP="00ED1CB9">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Regional </w:t>
            </w:r>
            <w:r w:rsidR="00ED1CB9" w:rsidRPr="00A217FF">
              <w:rPr>
                <w:rFonts w:asciiTheme="minorHAnsi" w:eastAsia="Times New Roman" w:hAnsiTheme="minorHAnsi" w:cs="Arial"/>
                <w:sz w:val="20"/>
                <w:szCs w:val="20"/>
                <w:lang w:eastAsia="en-GB"/>
              </w:rPr>
              <w:t xml:space="preserve">Networks </w:t>
            </w:r>
            <w:r w:rsidRPr="00A217FF">
              <w:rPr>
                <w:rFonts w:asciiTheme="minorHAnsi" w:eastAsia="Times New Roman" w:hAnsiTheme="minorHAnsi" w:cs="Arial"/>
                <w:sz w:val="20"/>
                <w:szCs w:val="20"/>
                <w:lang w:eastAsia="en-GB"/>
              </w:rPr>
              <w:t xml:space="preserve">and </w:t>
            </w:r>
            <w:r w:rsidR="00ED1CB9" w:rsidRPr="00A217FF">
              <w:rPr>
                <w:rFonts w:asciiTheme="minorHAnsi" w:eastAsia="Times New Roman" w:hAnsiTheme="minorHAnsi" w:cs="Arial"/>
                <w:sz w:val="20"/>
                <w:szCs w:val="20"/>
                <w:lang w:eastAsia="en-GB"/>
              </w:rPr>
              <w:t>Centr</w:t>
            </w:r>
            <w:r w:rsidR="00ED1CB9">
              <w:rPr>
                <w:rFonts w:asciiTheme="minorHAnsi" w:eastAsia="Times New Roman" w:hAnsiTheme="minorHAnsi" w:cs="Arial"/>
                <w:sz w:val="20"/>
                <w:szCs w:val="20"/>
                <w:lang w:eastAsia="en-GB"/>
              </w:rPr>
              <w:t>e</w:t>
            </w:r>
            <w:r w:rsidR="00ED1CB9" w:rsidRPr="00A217FF">
              <w:rPr>
                <w:rFonts w:asciiTheme="minorHAnsi" w:eastAsia="Times New Roman" w:hAnsiTheme="minorHAnsi" w:cs="Arial"/>
                <w:sz w:val="20"/>
                <w:szCs w:val="20"/>
                <w:lang w:eastAsia="en-GB"/>
              </w:rPr>
              <w:t>s</w:t>
            </w:r>
          </w:p>
        </w:tc>
        <w:tc>
          <w:tcPr>
            <w:tcW w:w="1063" w:type="dxa"/>
            <w:tcBorders>
              <w:top w:val="nil"/>
              <w:left w:val="nil"/>
              <w:bottom w:val="single" w:sz="4" w:space="0" w:color="auto"/>
              <w:right w:val="single" w:sz="4" w:space="0" w:color="auto"/>
            </w:tcBorders>
            <w:shd w:val="clear" w:color="auto" w:fill="auto"/>
            <w:noWrap/>
            <w:vAlign w:val="center"/>
            <w:hideMark/>
          </w:tcPr>
          <w:p w14:paraId="2A38359D" w14:textId="17F6F9F4"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496D9C1B" w14:textId="78DFC22E"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0D0A8A02" w14:textId="3B2955EC" w:rsidR="002D28C5" w:rsidRPr="00024026" w:rsidRDefault="00C2135F"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100</w:t>
            </w:r>
          </w:p>
        </w:tc>
        <w:tc>
          <w:tcPr>
            <w:tcW w:w="1063" w:type="dxa"/>
            <w:tcBorders>
              <w:top w:val="nil"/>
              <w:left w:val="nil"/>
              <w:bottom w:val="single" w:sz="4" w:space="0" w:color="auto"/>
              <w:right w:val="single" w:sz="4" w:space="0" w:color="auto"/>
            </w:tcBorders>
            <w:shd w:val="clear" w:color="auto" w:fill="auto"/>
            <w:noWrap/>
            <w:vAlign w:val="center"/>
            <w:hideMark/>
          </w:tcPr>
          <w:p w14:paraId="685D2C2A" w14:textId="3BD21846" w:rsidR="002D28C5" w:rsidRPr="00024026" w:rsidRDefault="00C2135F"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300</w:t>
            </w:r>
          </w:p>
        </w:tc>
      </w:tr>
      <w:tr w:rsidR="002D28C5" w:rsidRPr="00A217FF" w14:paraId="1449BE65" w14:textId="52EE05DB"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5C95CF29" w14:textId="46E7F25A"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E. Science and Policy</w:t>
            </w:r>
          </w:p>
        </w:tc>
        <w:tc>
          <w:tcPr>
            <w:tcW w:w="1063" w:type="dxa"/>
            <w:tcBorders>
              <w:top w:val="nil"/>
              <w:left w:val="nil"/>
              <w:bottom w:val="single" w:sz="4" w:space="0" w:color="auto"/>
              <w:right w:val="single" w:sz="4" w:space="0" w:color="auto"/>
            </w:tcBorders>
            <w:shd w:val="clear" w:color="000000" w:fill="C4D79B"/>
            <w:noWrap/>
            <w:vAlign w:val="center"/>
            <w:hideMark/>
          </w:tcPr>
          <w:p w14:paraId="7A393195" w14:textId="1333ED4D" w:rsidR="002D28C5" w:rsidRPr="00586541" w:rsidRDefault="00635E0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850</w:t>
            </w:r>
          </w:p>
        </w:tc>
        <w:tc>
          <w:tcPr>
            <w:tcW w:w="1063" w:type="dxa"/>
            <w:tcBorders>
              <w:top w:val="nil"/>
              <w:left w:val="nil"/>
              <w:bottom w:val="single" w:sz="4" w:space="0" w:color="auto"/>
              <w:right w:val="single" w:sz="4" w:space="0" w:color="auto"/>
            </w:tcBorders>
            <w:shd w:val="clear" w:color="000000" w:fill="C4D79B"/>
            <w:noWrap/>
            <w:vAlign w:val="center"/>
            <w:hideMark/>
          </w:tcPr>
          <w:p w14:paraId="7F300B39" w14:textId="4A2366B5" w:rsidR="002D28C5" w:rsidRPr="00586541" w:rsidRDefault="00635E0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834</w:t>
            </w:r>
          </w:p>
        </w:tc>
        <w:tc>
          <w:tcPr>
            <w:tcW w:w="1063" w:type="dxa"/>
            <w:tcBorders>
              <w:top w:val="nil"/>
              <w:left w:val="nil"/>
              <w:bottom w:val="single" w:sz="4" w:space="0" w:color="auto"/>
              <w:right w:val="single" w:sz="4" w:space="0" w:color="auto"/>
            </w:tcBorders>
            <w:shd w:val="clear" w:color="000000" w:fill="C4D79B"/>
            <w:noWrap/>
            <w:vAlign w:val="center"/>
            <w:hideMark/>
          </w:tcPr>
          <w:p w14:paraId="712B91B3" w14:textId="73A5C085" w:rsidR="002D28C5" w:rsidRPr="00586541" w:rsidRDefault="007B7B47" w:rsidP="00A26E01">
            <w:pPr>
              <w:ind w:left="0" w:firstLine="0"/>
              <w:jc w:val="right"/>
              <w:rPr>
                <w:rFonts w:eastAsia="Times New Roman" w:cs="Arial"/>
                <w:b/>
                <w:bCs/>
                <w:color w:val="000000"/>
                <w:sz w:val="20"/>
                <w:szCs w:val="20"/>
                <w:lang w:eastAsia="en-GB"/>
              </w:rPr>
            </w:pPr>
            <w:r>
              <w:rPr>
                <w:rFonts w:eastAsia="Times New Roman" w:cs="Arial"/>
                <w:b/>
                <w:bCs/>
                <w:color w:val="000000"/>
                <w:sz w:val="20"/>
                <w:szCs w:val="20"/>
                <w:lang w:eastAsia="en-GB"/>
              </w:rPr>
              <w:t>8</w:t>
            </w:r>
            <w:r w:rsidR="00635E05" w:rsidRPr="00586541">
              <w:rPr>
                <w:rFonts w:eastAsia="Times New Roman" w:cs="Arial"/>
                <w:b/>
                <w:bCs/>
                <w:color w:val="000000"/>
                <w:sz w:val="20"/>
                <w:szCs w:val="20"/>
                <w:lang w:eastAsia="en-GB"/>
              </w:rPr>
              <w:t>43</w:t>
            </w:r>
          </w:p>
        </w:tc>
        <w:tc>
          <w:tcPr>
            <w:tcW w:w="1063" w:type="dxa"/>
            <w:tcBorders>
              <w:top w:val="nil"/>
              <w:left w:val="nil"/>
              <w:bottom w:val="single" w:sz="4" w:space="0" w:color="auto"/>
              <w:right w:val="single" w:sz="4" w:space="0" w:color="auto"/>
            </w:tcBorders>
            <w:shd w:val="clear" w:color="000000" w:fill="C4D79B"/>
            <w:noWrap/>
            <w:vAlign w:val="center"/>
            <w:hideMark/>
          </w:tcPr>
          <w:p w14:paraId="2F8173F1" w14:textId="5AE31670" w:rsidR="002D28C5" w:rsidRPr="00586541" w:rsidRDefault="00C2135F"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2,</w:t>
            </w:r>
            <w:r w:rsidR="00635E05" w:rsidRPr="00586541">
              <w:rPr>
                <w:rFonts w:eastAsia="Times New Roman" w:cs="Arial"/>
                <w:b/>
                <w:bCs/>
                <w:color w:val="000000"/>
                <w:sz w:val="20"/>
                <w:szCs w:val="20"/>
                <w:lang w:eastAsia="en-GB"/>
              </w:rPr>
              <w:t>527</w:t>
            </w:r>
          </w:p>
        </w:tc>
      </w:tr>
      <w:tr w:rsidR="002D28C5" w:rsidRPr="00A217FF" w14:paraId="2EF83037" w14:textId="20C95831"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C19D3FF" w14:textId="54E0BFD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635E05">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D1CB9" w:rsidRPr="00A217FF">
              <w:rPr>
                <w:rFonts w:asciiTheme="minorHAnsi" w:eastAsia="Times New Roman" w:hAnsiTheme="minorHAnsi" w:cs="Arial"/>
                <w:sz w:val="20"/>
                <w:szCs w:val="20"/>
                <w:lang w:eastAsia="en-GB"/>
              </w:rPr>
              <w:t>Social Costs</w:t>
            </w:r>
            <w:r w:rsidR="00635E05">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35E6DD64" w14:textId="4D2CB6A8"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657</w:t>
            </w:r>
          </w:p>
        </w:tc>
        <w:tc>
          <w:tcPr>
            <w:tcW w:w="1063" w:type="dxa"/>
            <w:tcBorders>
              <w:top w:val="nil"/>
              <w:left w:val="nil"/>
              <w:bottom w:val="single" w:sz="4" w:space="0" w:color="auto"/>
              <w:right w:val="single" w:sz="4" w:space="0" w:color="auto"/>
            </w:tcBorders>
            <w:shd w:val="clear" w:color="auto" w:fill="auto"/>
            <w:noWrap/>
            <w:vAlign w:val="center"/>
            <w:hideMark/>
          </w:tcPr>
          <w:p w14:paraId="74C813A0" w14:textId="4768282B"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661</w:t>
            </w:r>
          </w:p>
        </w:tc>
        <w:tc>
          <w:tcPr>
            <w:tcW w:w="1063" w:type="dxa"/>
            <w:tcBorders>
              <w:top w:val="nil"/>
              <w:left w:val="nil"/>
              <w:bottom w:val="single" w:sz="4" w:space="0" w:color="auto"/>
              <w:right w:val="single" w:sz="4" w:space="0" w:color="auto"/>
            </w:tcBorders>
            <w:shd w:val="clear" w:color="auto" w:fill="auto"/>
            <w:noWrap/>
            <w:vAlign w:val="center"/>
            <w:hideMark/>
          </w:tcPr>
          <w:p w14:paraId="3AA5DA36" w14:textId="01D9CAFF"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670</w:t>
            </w:r>
          </w:p>
        </w:tc>
        <w:tc>
          <w:tcPr>
            <w:tcW w:w="1063" w:type="dxa"/>
            <w:tcBorders>
              <w:top w:val="nil"/>
              <w:left w:val="nil"/>
              <w:bottom w:val="single" w:sz="4" w:space="0" w:color="auto"/>
              <w:right w:val="single" w:sz="4" w:space="0" w:color="auto"/>
            </w:tcBorders>
            <w:shd w:val="clear" w:color="auto" w:fill="auto"/>
            <w:noWrap/>
            <w:vAlign w:val="center"/>
            <w:hideMark/>
          </w:tcPr>
          <w:p w14:paraId="07B1117A" w14:textId="1B4D5628"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635E05" w:rsidRPr="00586541">
              <w:rPr>
                <w:rFonts w:eastAsia="Times New Roman" w:cs="Arial"/>
                <w:sz w:val="20"/>
                <w:szCs w:val="20"/>
                <w:lang w:eastAsia="en-GB"/>
              </w:rPr>
              <w:t>988</w:t>
            </w:r>
          </w:p>
        </w:tc>
      </w:tr>
      <w:tr w:rsidR="002D28C5" w:rsidRPr="00A217FF" w14:paraId="64A80D2B" w14:textId="118835D3"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6769347" w14:textId="48062880"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D1CB9" w:rsidRPr="00A217FF">
              <w:rPr>
                <w:rFonts w:asciiTheme="minorHAnsi" w:eastAsia="Times New Roman" w:hAnsiTheme="minorHAnsi" w:cs="Arial"/>
                <w:sz w:val="20"/>
                <w:szCs w:val="20"/>
                <w:lang w:eastAsia="en-GB"/>
              </w:rPr>
              <w:t>Implementation</w:t>
            </w:r>
          </w:p>
        </w:tc>
        <w:tc>
          <w:tcPr>
            <w:tcW w:w="1063" w:type="dxa"/>
            <w:tcBorders>
              <w:top w:val="nil"/>
              <w:left w:val="nil"/>
              <w:bottom w:val="single" w:sz="4" w:space="0" w:color="auto"/>
              <w:right w:val="single" w:sz="4" w:space="0" w:color="auto"/>
            </w:tcBorders>
            <w:shd w:val="clear" w:color="auto" w:fill="auto"/>
            <w:noWrap/>
            <w:vAlign w:val="center"/>
            <w:hideMark/>
          </w:tcPr>
          <w:p w14:paraId="1DFCED2D" w14:textId="38B3D471"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B239DC9" w14:textId="65E9D44E"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7068D19A" w14:textId="5682ABB2"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40</w:t>
            </w:r>
          </w:p>
        </w:tc>
        <w:tc>
          <w:tcPr>
            <w:tcW w:w="1063" w:type="dxa"/>
            <w:tcBorders>
              <w:top w:val="nil"/>
              <w:left w:val="nil"/>
              <w:bottom w:val="single" w:sz="4" w:space="0" w:color="auto"/>
              <w:right w:val="single" w:sz="4" w:space="0" w:color="auto"/>
            </w:tcBorders>
            <w:shd w:val="clear" w:color="auto" w:fill="auto"/>
            <w:noWrap/>
            <w:vAlign w:val="center"/>
            <w:hideMark/>
          </w:tcPr>
          <w:p w14:paraId="003DF9E2" w14:textId="6E01B310"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120</w:t>
            </w:r>
          </w:p>
        </w:tc>
      </w:tr>
      <w:tr w:rsidR="00C2135F" w:rsidRPr="00A217FF" w14:paraId="7DE29CB0" w14:textId="77777777" w:rsidTr="009F1947">
        <w:tc>
          <w:tcPr>
            <w:tcW w:w="4962" w:type="dxa"/>
            <w:tcBorders>
              <w:top w:val="nil"/>
              <w:left w:val="single" w:sz="4" w:space="0" w:color="auto"/>
              <w:bottom w:val="single" w:sz="4" w:space="0" w:color="auto"/>
              <w:right w:val="single" w:sz="4" w:space="0" w:color="auto"/>
            </w:tcBorders>
            <w:shd w:val="clear" w:color="auto" w:fill="auto"/>
            <w:noWrap/>
            <w:vAlign w:val="center"/>
          </w:tcPr>
          <w:p w14:paraId="2C09E8C9" w14:textId="6A5AEBEB" w:rsidR="00C2135F" w:rsidRPr="00A217FF" w:rsidRDefault="00C2135F"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 STRP Chair</w:t>
            </w:r>
          </w:p>
        </w:tc>
        <w:tc>
          <w:tcPr>
            <w:tcW w:w="1063" w:type="dxa"/>
            <w:tcBorders>
              <w:top w:val="nil"/>
              <w:left w:val="nil"/>
              <w:bottom w:val="single" w:sz="4" w:space="0" w:color="auto"/>
              <w:right w:val="single" w:sz="4" w:space="0" w:color="auto"/>
            </w:tcBorders>
            <w:shd w:val="clear" w:color="auto" w:fill="auto"/>
            <w:noWrap/>
            <w:vAlign w:val="center"/>
          </w:tcPr>
          <w:p w14:paraId="13342E0E" w14:textId="4454AA1F"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53D78A0E" w14:textId="414EE4AF"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0ED8130E" w14:textId="5C2EB6B3"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5</w:t>
            </w:r>
          </w:p>
        </w:tc>
        <w:tc>
          <w:tcPr>
            <w:tcW w:w="1063" w:type="dxa"/>
            <w:tcBorders>
              <w:top w:val="nil"/>
              <w:left w:val="nil"/>
              <w:bottom w:val="single" w:sz="4" w:space="0" w:color="auto"/>
              <w:right w:val="single" w:sz="4" w:space="0" w:color="auto"/>
            </w:tcBorders>
            <w:shd w:val="clear" w:color="auto" w:fill="auto"/>
            <w:noWrap/>
            <w:vAlign w:val="center"/>
          </w:tcPr>
          <w:p w14:paraId="125FBD01" w14:textId="54655CC1"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w:t>
            </w:r>
          </w:p>
        </w:tc>
      </w:tr>
      <w:tr w:rsidR="002D28C5" w:rsidRPr="00A217FF" w14:paraId="283B8124" w14:textId="6BDC0EE9"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E0E2210" w14:textId="3C94833F"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STRP </w:t>
            </w:r>
            <w:r w:rsidR="00ED1CB9"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1F3D6FD8" w14:textId="6D6FBEE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12F87582" w14:textId="72FB12D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60C0AD01" w14:textId="250E65B3"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50</w:t>
            </w:r>
          </w:p>
        </w:tc>
        <w:tc>
          <w:tcPr>
            <w:tcW w:w="1063" w:type="dxa"/>
            <w:tcBorders>
              <w:top w:val="nil"/>
              <w:left w:val="nil"/>
              <w:bottom w:val="single" w:sz="4" w:space="0" w:color="auto"/>
              <w:right w:val="single" w:sz="4" w:space="0" w:color="auto"/>
            </w:tcBorders>
            <w:shd w:val="clear" w:color="auto" w:fill="auto"/>
            <w:noWrap/>
            <w:vAlign w:val="center"/>
            <w:hideMark/>
          </w:tcPr>
          <w:p w14:paraId="5AB9E2B8" w14:textId="3460424B"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150</w:t>
            </w:r>
          </w:p>
        </w:tc>
      </w:tr>
      <w:tr w:rsidR="002D28C5" w:rsidRPr="00A217FF" w14:paraId="4FFCD3E8" w14:textId="7B83E1B6"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DD602D2" w14:textId="65A00A68"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Ramsar Sites Information Service (</w:t>
            </w:r>
            <w:r w:rsidR="00ED1CB9" w:rsidRPr="00A217FF">
              <w:rPr>
                <w:rFonts w:asciiTheme="minorHAnsi" w:eastAsia="Times New Roman" w:hAnsiTheme="minorHAnsi" w:cs="Arial"/>
                <w:sz w:val="20"/>
                <w:szCs w:val="20"/>
                <w:lang w:eastAsia="en-GB"/>
              </w:rPr>
              <w:t xml:space="preserve">Maintenance </w:t>
            </w:r>
            <w:r w:rsidRPr="00A217FF">
              <w:rPr>
                <w:rFonts w:asciiTheme="minorHAnsi" w:eastAsia="Times New Roman" w:hAnsiTheme="minorHAnsi" w:cs="Arial"/>
                <w:sz w:val="20"/>
                <w:szCs w:val="20"/>
                <w:lang w:eastAsia="en-GB"/>
              </w:rPr>
              <w:t xml:space="preserve">and </w:t>
            </w:r>
            <w:r w:rsidR="00ED1CB9" w:rsidRPr="00A217FF">
              <w:rPr>
                <w:rFonts w:asciiTheme="minorHAnsi" w:eastAsia="Times New Roman" w:hAnsiTheme="minorHAnsi" w:cs="Arial"/>
                <w:sz w:val="20"/>
                <w:szCs w:val="20"/>
                <w:lang w:eastAsia="en-GB"/>
              </w:rPr>
              <w:t>Development</w:t>
            </w:r>
            <w:r w:rsidRPr="00A217FF">
              <w:rPr>
                <w:rFonts w:asciiTheme="minorHAnsi" w:eastAsia="Times New Roman" w:hAnsiTheme="minorHAnsi" w:cs="Arial"/>
                <w:sz w:val="20"/>
                <w:szCs w:val="20"/>
                <w:lang w:eastAsia="en-GB"/>
              </w:rPr>
              <w:t>)</w:t>
            </w:r>
          </w:p>
        </w:tc>
        <w:tc>
          <w:tcPr>
            <w:tcW w:w="1063" w:type="dxa"/>
            <w:tcBorders>
              <w:top w:val="nil"/>
              <w:left w:val="nil"/>
              <w:bottom w:val="single" w:sz="4" w:space="0" w:color="auto"/>
              <w:right w:val="single" w:sz="4" w:space="0" w:color="auto"/>
            </w:tcBorders>
            <w:shd w:val="clear" w:color="auto" w:fill="auto"/>
            <w:noWrap/>
            <w:vAlign w:val="center"/>
            <w:hideMark/>
          </w:tcPr>
          <w:p w14:paraId="6636E35D" w14:textId="523F6020"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80</w:t>
            </w:r>
          </w:p>
        </w:tc>
        <w:tc>
          <w:tcPr>
            <w:tcW w:w="1063" w:type="dxa"/>
            <w:tcBorders>
              <w:top w:val="nil"/>
              <w:left w:val="nil"/>
              <w:bottom w:val="single" w:sz="4" w:space="0" w:color="auto"/>
              <w:right w:val="single" w:sz="4" w:space="0" w:color="auto"/>
            </w:tcBorders>
            <w:shd w:val="clear" w:color="auto" w:fill="auto"/>
            <w:noWrap/>
            <w:vAlign w:val="center"/>
            <w:hideMark/>
          </w:tcPr>
          <w:p w14:paraId="62BD6603" w14:textId="64579A71"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16FF6B44" w14:textId="0FCCD3B2"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5FC2D1F0" w14:textId="3FE203B2"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200</w:t>
            </w:r>
          </w:p>
        </w:tc>
      </w:tr>
      <w:tr w:rsidR="00C2135F" w:rsidRPr="00A217FF" w14:paraId="357FF20E" w14:textId="77777777" w:rsidTr="009F1947">
        <w:tc>
          <w:tcPr>
            <w:tcW w:w="4962" w:type="dxa"/>
            <w:tcBorders>
              <w:top w:val="nil"/>
              <w:left w:val="single" w:sz="4" w:space="0" w:color="auto"/>
              <w:bottom w:val="single" w:sz="4" w:space="0" w:color="auto"/>
              <w:right w:val="single" w:sz="4" w:space="0" w:color="auto"/>
            </w:tcBorders>
            <w:shd w:val="clear" w:color="auto" w:fill="auto"/>
            <w:noWrap/>
            <w:vAlign w:val="center"/>
          </w:tcPr>
          <w:p w14:paraId="6BED3952" w14:textId="15E9E6EF" w:rsidR="00C2135F" w:rsidRPr="00A217FF" w:rsidRDefault="00C2135F"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Travel</w:t>
            </w:r>
          </w:p>
        </w:tc>
        <w:tc>
          <w:tcPr>
            <w:tcW w:w="1063" w:type="dxa"/>
            <w:tcBorders>
              <w:top w:val="nil"/>
              <w:left w:val="nil"/>
              <w:bottom w:val="single" w:sz="4" w:space="0" w:color="auto"/>
              <w:right w:val="single" w:sz="4" w:space="0" w:color="auto"/>
            </w:tcBorders>
            <w:shd w:val="clear" w:color="auto" w:fill="auto"/>
            <w:noWrap/>
            <w:vAlign w:val="center"/>
          </w:tcPr>
          <w:p w14:paraId="06BCFE8C" w14:textId="75275683"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1B7DE8CC" w14:textId="0FABF253"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4858ACD4" w14:textId="58F6D495"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w:t>
            </w:r>
          </w:p>
        </w:tc>
        <w:tc>
          <w:tcPr>
            <w:tcW w:w="1063" w:type="dxa"/>
            <w:tcBorders>
              <w:top w:val="nil"/>
              <w:left w:val="nil"/>
              <w:bottom w:val="single" w:sz="4" w:space="0" w:color="auto"/>
              <w:right w:val="single" w:sz="4" w:space="0" w:color="auto"/>
            </w:tcBorders>
            <w:shd w:val="clear" w:color="auto" w:fill="auto"/>
            <w:noWrap/>
            <w:vAlign w:val="center"/>
          </w:tcPr>
          <w:p w14:paraId="0CEB2F3D" w14:textId="33524971" w:rsidR="00C2135F" w:rsidRPr="00586541" w:rsidDel="00C2135F"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54</w:t>
            </w:r>
          </w:p>
        </w:tc>
      </w:tr>
      <w:tr w:rsidR="002D28C5" w:rsidRPr="00A217FF" w14:paraId="07357409" w14:textId="4A254301"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315A3E74" w14:textId="0D770E31"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G. Administration</w:t>
            </w:r>
          </w:p>
        </w:tc>
        <w:tc>
          <w:tcPr>
            <w:tcW w:w="1063" w:type="dxa"/>
            <w:tcBorders>
              <w:top w:val="nil"/>
              <w:left w:val="nil"/>
              <w:bottom w:val="single" w:sz="4" w:space="0" w:color="auto"/>
              <w:right w:val="single" w:sz="4" w:space="0" w:color="auto"/>
            </w:tcBorders>
            <w:shd w:val="clear" w:color="000000" w:fill="C4D79B"/>
            <w:noWrap/>
            <w:vAlign w:val="center"/>
            <w:hideMark/>
          </w:tcPr>
          <w:p w14:paraId="6E1AB371" w14:textId="00EEF4E2" w:rsidR="002D28C5" w:rsidRPr="00586541" w:rsidRDefault="00635E0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526</w:t>
            </w:r>
          </w:p>
        </w:tc>
        <w:tc>
          <w:tcPr>
            <w:tcW w:w="1063" w:type="dxa"/>
            <w:tcBorders>
              <w:top w:val="nil"/>
              <w:left w:val="nil"/>
              <w:bottom w:val="single" w:sz="4" w:space="0" w:color="auto"/>
              <w:right w:val="single" w:sz="4" w:space="0" w:color="auto"/>
            </w:tcBorders>
            <w:shd w:val="clear" w:color="000000" w:fill="C4D79B"/>
            <w:noWrap/>
            <w:vAlign w:val="center"/>
            <w:hideMark/>
          </w:tcPr>
          <w:p w14:paraId="1162E4F3" w14:textId="6A353CFE" w:rsidR="002D28C5" w:rsidRPr="00586541" w:rsidRDefault="00635E0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496</w:t>
            </w:r>
          </w:p>
        </w:tc>
        <w:tc>
          <w:tcPr>
            <w:tcW w:w="1063" w:type="dxa"/>
            <w:tcBorders>
              <w:top w:val="nil"/>
              <w:left w:val="nil"/>
              <w:bottom w:val="single" w:sz="4" w:space="0" w:color="auto"/>
              <w:right w:val="single" w:sz="4" w:space="0" w:color="auto"/>
            </w:tcBorders>
            <w:shd w:val="clear" w:color="000000" w:fill="C4D79B"/>
            <w:noWrap/>
            <w:vAlign w:val="center"/>
            <w:hideMark/>
          </w:tcPr>
          <w:p w14:paraId="19F5EB29" w14:textId="1771D3A3" w:rsidR="002D28C5" w:rsidRPr="00586541" w:rsidRDefault="00635E0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466</w:t>
            </w:r>
          </w:p>
        </w:tc>
        <w:tc>
          <w:tcPr>
            <w:tcW w:w="1063" w:type="dxa"/>
            <w:tcBorders>
              <w:top w:val="nil"/>
              <w:left w:val="nil"/>
              <w:bottom w:val="single" w:sz="4" w:space="0" w:color="auto"/>
              <w:right w:val="single" w:sz="4" w:space="0" w:color="auto"/>
            </w:tcBorders>
            <w:shd w:val="clear" w:color="000000" w:fill="C4D79B"/>
            <w:noWrap/>
            <w:vAlign w:val="center"/>
            <w:hideMark/>
          </w:tcPr>
          <w:p w14:paraId="0A4B562B" w14:textId="04D0E0B8" w:rsidR="002D28C5" w:rsidRPr="00586541" w:rsidRDefault="00C2135F"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w:t>
            </w:r>
            <w:r w:rsidR="00635E05" w:rsidRPr="00586541">
              <w:rPr>
                <w:rFonts w:eastAsia="Times New Roman" w:cs="Arial"/>
                <w:b/>
                <w:bCs/>
                <w:color w:val="000000"/>
                <w:sz w:val="20"/>
                <w:szCs w:val="20"/>
                <w:lang w:eastAsia="en-GB"/>
              </w:rPr>
              <w:t>488</w:t>
            </w:r>
          </w:p>
        </w:tc>
      </w:tr>
      <w:tr w:rsidR="002D28C5" w:rsidRPr="00A217FF" w14:paraId="50DF8877" w14:textId="5D68EC14"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8B12A87" w14:textId="5C49B7C7"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Salaries</w:t>
            </w:r>
            <w:r w:rsidR="00635E05">
              <w:rPr>
                <w:rFonts w:asciiTheme="minorHAnsi" w:eastAsia="Times New Roman" w:hAnsiTheme="minorHAnsi" w:cs="Arial"/>
                <w:sz w:val="20"/>
                <w:szCs w:val="20"/>
                <w:lang w:eastAsia="en-GB"/>
              </w:rPr>
              <w:t>,</w:t>
            </w:r>
            <w:r w:rsidRPr="00A217FF">
              <w:rPr>
                <w:rFonts w:asciiTheme="minorHAnsi" w:eastAsia="Times New Roman" w:hAnsiTheme="minorHAnsi" w:cs="Arial"/>
                <w:sz w:val="20"/>
                <w:szCs w:val="20"/>
                <w:lang w:eastAsia="en-GB"/>
              </w:rPr>
              <w:t xml:space="preserve"> </w:t>
            </w:r>
            <w:r w:rsidR="00ED1CB9" w:rsidRPr="00A217FF">
              <w:rPr>
                <w:rFonts w:asciiTheme="minorHAnsi" w:eastAsia="Times New Roman" w:hAnsiTheme="minorHAnsi" w:cs="Arial"/>
                <w:sz w:val="20"/>
                <w:szCs w:val="20"/>
                <w:lang w:eastAsia="en-GB"/>
              </w:rPr>
              <w:t>Social Costs</w:t>
            </w:r>
            <w:r w:rsidR="00635E05">
              <w:rPr>
                <w:rFonts w:asciiTheme="minorHAnsi" w:eastAsia="Times New Roman" w:hAnsiTheme="minorHAnsi" w:cs="Arial"/>
                <w:sz w:val="20"/>
                <w:szCs w:val="20"/>
                <w:lang w:eastAsia="en-GB"/>
              </w:rPr>
              <w:t xml:space="preserve"> and other Benefits</w:t>
            </w:r>
          </w:p>
        </w:tc>
        <w:tc>
          <w:tcPr>
            <w:tcW w:w="1063" w:type="dxa"/>
            <w:tcBorders>
              <w:top w:val="nil"/>
              <w:left w:val="nil"/>
              <w:bottom w:val="single" w:sz="4" w:space="0" w:color="auto"/>
              <w:right w:val="single" w:sz="4" w:space="0" w:color="auto"/>
            </w:tcBorders>
            <w:shd w:val="clear" w:color="auto" w:fill="auto"/>
            <w:noWrap/>
            <w:vAlign w:val="center"/>
            <w:hideMark/>
          </w:tcPr>
          <w:p w14:paraId="2FB94BCB" w14:textId="131C2B55"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335</w:t>
            </w:r>
          </w:p>
        </w:tc>
        <w:tc>
          <w:tcPr>
            <w:tcW w:w="1063" w:type="dxa"/>
            <w:tcBorders>
              <w:top w:val="nil"/>
              <w:left w:val="nil"/>
              <w:bottom w:val="single" w:sz="4" w:space="0" w:color="auto"/>
              <w:right w:val="single" w:sz="4" w:space="0" w:color="auto"/>
            </w:tcBorders>
            <w:shd w:val="clear" w:color="auto" w:fill="auto"/>
            <w:noWrap/>
            <w:vAlign w:val="center"/>
            <w:hideMark/>
          </w:tcPr>
          <w:p w14:paraId="729D80E9" w14:textId="1B988A73" w:rsidR="002D28C5" w:rsidRPr="00586541" w:rsidRDefault="00635E05">
            <w:pPr>
              <w:ind w:left="0" w:firstLine="0"/>
              <w:jc w:val="right"/>
              <w:rPr>
                <w:rFonts w:eastAsia="Times New Roman" w:cs="Arial"/>
                <w:sz w:val="20"/>
                <w:szCs w:val="20"/>
                <w:lang w:eastAsia="en-GB"/>
              </w:rPr>
            </w:pPr>
            <w:r w:rsidRPr="00586541">
              <w:rPr>
                <w:rFonts w:eastAsia="Times New Roman" w:cs="Arial"/>
                <w:sz w:val="20"/>
                <w:szCs w:val="20"/>
                <w:lang w:eastAsia="en-GB"/>
              </w:rPr>
              <w:t>338</w:t>
            </w:r>
          </w:p>
        </w:tc>
        <w:tc>
          <w:tcPr>
            <w:tcW w:w="1063" w:type="dxa"/>
            <w:tcBorders>
              <w:top w:val="nil"/>
              <w:left w:val="nil"/>
              <w:bottom w:val="single" w:sz="4" w:space="0" w:color="auto"/>
              <w:right w:val="single" w:sz="4" w:space="0" w:color="auto"/>
            </w:tcBorders>
            <w:shd w:val="clear" w:color="auto" w:fill="auto"/>
            <w:noWrap/>
            <w:vAlign w:val="center"/>
            <w:hideMark/>
          </w:tcPr>
          <w:p w14:paraId="1F676681" w14:textId="267E0C1F" w:rsidR="002D28C5" w:rsidRPr="00586541" w:rsidRDefault="00635E05">
            <w:pPr>
              <w:ind w:left="0" w:firstLine="0"/>
              <w:jc w:val="right"/>
              <w:rPr>
                <w:rFonts w:eastAsia="Times New Roman" w:cs="Arial"/>
                <w:sz w:val="20"/>
                <w:szCs w:val="20"/>
                <w:lang w:eastAsia="en-GB"/>
              </w:rPr>
            </w:pPr>
            <w:r w:rsidRPr="00586541">
              <w:rPr>
                <w:rFonts w:eastAsia="Times New Roman" w:cs="Arial"/>
                <w:sz w:val="20"/>
                <w:szCs w:val="20"/>
                <w:lang w:eastAsia="en-GB"/>
              </w:rPr>
              <w:t>341</w:t>
            </w:r>
          </w:p>
        </w:tc>
        <w:tc>
          <w:tcPr>
            <w:tcW w:w="1063" w:type="dxa"/>
            <w:tcBorders>
              <w:top w:val="nil"/>
              <w:left w:val="nil"/>
              <w:bottom w:val="single" w:sz="4" w:space="0" w:color="auto"/>
              <w:right w:val="single" w:sz="4" w:space="0" w:color="auto"/>
            </w:tcBorders>
            <w:shd w:val="clear" w:color="auto" w:fill="auto"/>
            <w:noWrap/>
            <w:vAlign w:val="center"/>
            <w:hideMark/>
          </w:tcPr>
          <w:p w14:paraId="5CD42014" w14:textId="4CA3CA3E" w:rsidR="002D28C5" w:rsidRPr="00586541" w:rsidRDefault="00C2135F" w:rsidP="00A26E01">
            <w:pPr>
              <w:ind w:left="0" w:firstLine="0"/>
              <w:jc w:val="right"/>
              <w:rPr>
                <w:rFonts w:eastAsia="Times New Roman" w:cs="Arial"/>
                <w:sz w:val="20"/>
                <w:szCs w:val="20"/>
                <w:lang w:eastAsia="en-GB"/>
              </w:rPr>
            </w:pPr>
            <w:r w:rsidRPr="00586541">
              <w:rPr>
                <w:rFonts w:eastAsia="Times New Roman" w:cs="Arial"/>
                <w:sz w:val="20"/>
                <w:szCs w:val="20"/>
                <w:lang w:eastAsia="en-GB"/>
              </w:rPr>
              <w:t>1,</w:t>
            </w:r>
            <w:r w:rsidR="00635E05" w:rsidRPr="00586541">
              <w:rPr>
                <w:rFonts w:eastAsia="Times New Roman" w:cs="Arial"/>
                <w:sz w:val="20"/>
                <w:szCs w:val="20"/>
                <w:lang w:eastAsia="en-GB"/>
              </w:rPr>
              <w:t>014</w:t>
            </w:r>
          </w:p>
        </w:tc>
      </w:tr>
      <w:tr w:rsidR="002D28C5" w:rsidRPr="00A217FF" w14:paraId="0AD190CE" w14:textId="43E86307"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D22E75E" w14:textId="65A6F7E2"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Staff </w:t>
            </w:r>
            <w:r w:rsidR="00ED1CB9" w:rsidRPr="00A217FF">
              <w:rPr>
                <w:rFonts w:asciiTheme="minorHAnsi" w:eastAsia="Times New Roman" w:hAnsiTheme="minorHAnsi" w:cs="Arial"/>
                <w:sz w:val="20"/>
                <w:szCs w:val="20"/>
                <w:lang w:eastAsia="en-GB"/>
              </w:rPr>
              <w:t xml:space="preserve">Hiring </w:t>
            </w:r>
            <w:r w:rsidRPr="00A217FF">
              <w:rPr>
                <w:rFonts w:asciiTheme="minorHAnsi" w:eastAsia="Times New Roman" w:hAnsiTheme="minorHAnsi" w:cs="Arial"/>
                <w:sz w:val="20"/>
                <w:szCs w:val="20"/>
                <w:lang w:eastAsia="en-GB"/>
              </w:rPr>
              <w:t xml:space="preserve">and </w:t>
            </w:r>
            <w:r w:rsidR="00ED1CB9" w:rsidRPr="00A217FF">
              <w:rPr>
                <w:rFonts w:asciiTheme="minorHAnsi" w:eastAsia="Times New Roman" w:hAnsiTheme="minorHAnsi" w:cs="Arial"/>
                <w:sz w:val="20"/>
                <w:szCs w:val="20"/>
                <w:lang w:eastAsia="en-GB"/>
              </w:rPr>
              <w:t>Departure Costs</w:t>
            </w:r>
          </w:p>
        </w:tc>
        <w:tc>
          <w:tcPr>
            <w:tcW w:w="1063" w:type="dxa"/>
            <w:tcBorders>
              <w:top w:val="nil"/>
              <w:left w:val="nil"/>
              <w:bottom w:val="single" w:sz="4" w:space="0" w:color="auto"/>
              <w:right w:val="single" w:sz="4" w:space="0" w:color="auto"/>
            </w:tcBorders>
            <w:shd w:val="clear" w:color="auto" w:fill="auto"/>
            <w:noWrap/>
            <w:vAlign w:val="center"/>
            <w:hideMark/>
          </w:tcPr>
          <w:p w14:paraId="2F12C915" w14:textId="42928337"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85</w:t>
            </w:r>
          </w:p>
        </w:tc>
        <w:tc>
          <w:tcPr>
            <w:tcW w:w="1063" w:type="dxa"/>
            <w:tcBorders>
              <w:top w:val="nil"/>
              <w:left w:val="nil"/>
              <w:bottom w:val="single" w:sz="4" w:space="0" w:color="auto"/>
              <w:right w:val="single" w:sz="4" w:space="0" w:color="auto"/>
            </w:tcBorders>
            <w:shd w:val="clear" w:color="auto" w:fill="auto"/>
            <w:noWrap/>
            <w:vAlign w:val="center"/>
            <w:hideMark/>
          </w:tcPr>
          <w:p w14:paraId="7EB8EC7D" w14:textId="09C0B4E4"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52</w:t>
            </w:r>
          </w:p>
        </w:tc>
        <w:tc>
          <w:tcPr>
            <w:tcW w:w="1063" w:type="dxa"/>
            <w:tcBorders>
              <w:top w:val="nil"/>
              <w:left w:val="nil"/>
              <w:bottom w:val="single" w:sz="4" w:space="0" w:color="auto"/>
              <w:right w:val="single" w:sz="4" w:space="0" w:color="auto"/>
            </w:tcBorders>
            <w:shd w:val="clear" w:color="auto" w:fill="auto"/>
            <w:noWrap/>
            <w:vAlign w:val="center"/>
            <w:hideMark/>
          </w:tcPr>
          <w:p w14:paraId="17556AA7" w14:textId="40E8557C"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19</w:t>
            </w:r>
          </w:p>
        </w:tc>
        <w:tc>
          <w:tcPr>
            <w:tcW w:w="1063" w:type="dxa"/>
            <w:tcBorders>
              <w:top w:val="nil"/>
              <w:left w:val="nil"/>
              <w:bottom w:val="single" w:sz="4" w:space="0" w:color="auto"/>
              <w:right w:val="single" w:sz="4" w:space="0" w:color="auto"/>
            </w:tcBorders>
            <w:shd w:val="clear" w:color="auto" w:fill="auto"/>
            <w:noWrap/>
            <w:vAlign w:val="center"/>
            <w:hideMark/>
          </w:tcPr>
          <w:p w14:paraId="42E94A3B" w14:textId="2C245AE7"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156</w:t>
            </w:r>
          </w:p>
        </w:tc>
      </w:tr>
      <w:tr w:rsidR="002D28C5" w:rsidRPr="00A217FF" w14:paraId="21A124A7" w14:textId="35CF38B8"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58E91B0" w14:textId="3BE4CBD1" w:rsidR="002D28C5" w:rsidRPr="00A217FF" w:rsidRDefault="00814B59"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Equipment/Office Supplies</w:t>
            </w:r>
          </w:p>
        </w:tc>
        <w:tc>
          <w:tcPr>
            <w:tcW w:w="1063" w:type="dxa"/>
            <w:tcBorders>
              <w:top w:val="nil"/>
              <w:left w:val="nil"/>
              <w:bottom w:val="single" w:sz="4" w:space="0" w:color="auto"/>
              <w:right w:val="single" w:sz="4" w:space="0" w:color="auto"/>
            </w:tcBorders>
            <w:shd w:val="clear" w:color="auto" w:fill="auto"/>
            <w:noWrap/>
            <w:vAlign w:val="center"/>
            <w:hideMark/>
          </w:tcPr>
          <w:p w14:paraId="1977D432" w14:textId="071DF7F8"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2514520A" w14:textId="23BEA53C"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179C153D" w14:textId="09C01621"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95</w:t>
            </w:r>
          </w:p>
        </w:tc>
        <w:tc>
          <w:tcPr>
            <w:tcW w:w="1063" w:type="dxa"/>
            <w:tcBorders>
              <w:top w:val="nil"/>
              <w:left w:val="nil"/>
              <w:bottom w:val="single" w:sz="4" w:space="0" w:color="auto"/>
              <w:right w:val="single" w:sz="4" w:space="0" w:color="auto"/>
            </w:tcBorders>
            <w:shd w:val="clear" w:color="auto" w:fill="auto"/>
            <w:noWrap/>
            <w:vAlign w:val="center"/>
            <w:hideMark/>
          </w:tcPr>
          <w:p w14:paraId="59E78333" w14:textId="291DAB09" w:rsidR="002D28C5" w:rsidRPr="00586541" w:rsidRDefault="00635E0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285</w:t>
            </w:r>
          </w:p>
        </w:tc>
      </w:tr>
      <w:tr w:rsidR="002D28C5" w:rsidRPr="00A217FF" w14:paraId="6C4C7DCE" w14:textId="53325417"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E07EE70" w14:textId="58D7D35E"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Planning and Capacity </w:t>
            </w:r>
            <w:r w:rsidR="00ED1CB9" w:rsidRPr="00A217FF">
              <w:rPr>
                <w:rFonts w:asciiTheme="minorHAnsi" w:eastAsia="Times New Roman" w:hAnsiTheme="minorHAnsi" w:cs="Arial"/>
                <w:sz w:val="20"/>
                <w:szCs w:val="20"/>
                <w:lang w:eastAsia="en-GB"/>
              </w:rPr>
              <w:t>Building</w:t>
            </w:r>
          </w:p>
        </w:tc>
        <w:tc>
          <w:tcPr>
            <w:tcW w:w="1063" w:type="dxa"/>
            <w:tcBorders>
              <w:top w:val="nil"/>
              <w:left w:val="nil"/>
              <w:bottom w:val="single" w:sz="4" w:space="0" w:color="auto"/>
              <w:right w:val="single" w:sz="4" w:space="0" w:color="auto"/>
            </w:tcBorders>
            <w:shd w:val="clear" w:color="auto" w:fill="auto"/>
            <w:noWrap/>
            <w:vAlign w:val="center"/>
            <w:hideMark/>
          </w:tcPr>
          <w:p w14:paraId="51531B60" w14:textId="496E46DD" w:rsidR="002D28C5" w:rsidRPr="00586541" w:rsidRDefault="00814B59"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7C4DFFCC" w14:textId="26A16D52" w:rsidR="002D28C5" w:rsidRPr="00586541" w:rsidRDefault="00814B59"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575B31B7" w14:textId="19EB9EE2" w:rsidR="002D28C5" w:rsidRPr="00586541" w:rsidRDefault="00814B59" w:rsidP="00A26E01">
            <w:pPr>
              <w:ind w:left="0" w:firstLine="0"/>
              <w:jc w:val="right"/>
              <w:rPr>
                <w:rFonts w:eastAsia="Times New Roman" w:cs="Arial"/>
                <w:sz w:val="20"/>
                <w:szCs w:val="20"/>
                <w:lang w:eastAsia="en-GB"/>
              </w:rPr>
            </w:pPr>
            <w:r w:rsidRPr="00586541">
              <w:rPr>
                <w:rFonts w:eastAsia="Times New Roman" w:cs="Arial"/>
                <w:sz w:val="20"/>
                <w:szCs w:val="20"/>
                <w:lang w:eastAsia="en-GB"/>
              </w:rPr>
              <w:t>11</w:t>
            </w:r>
          </w:p>
        </w:tc>
        <w:tc>
          <w:tcPr>
            <w:tcW w:w="1063" w:type="dxa"/>
            <w:tcBorders>
              <w:top w:val="nil"/>
              <w:left w:val="nil"/>
              <w:bottom w:val="single" w:sz="4" w:space="0" w:color="auto"/>
              <w:right w:val="single" w:sz="4" w:space="0" w:color="auto"/>
            </w:tcBorders>
            <w:shd w:val="clear" w:color="auto" w:fill="auto"/>
            <w:noWrap/>
            <w:vAlign w:val="center"/>
            <w:hideMark/>
          </w:tcPr>
          <w:p w14:paraId="608F1604" w14:textId="7F3B1180" w:rsidR="002D28C5" w:rsidRPr="00586541" w:rsidRDefault="00814B59" w:rsidP="00A26E01">
            <w:pPr>
              <w:ind w:left="0" w:firstLine="0"/>
              <w:jc w:val="right"/>
              <w:rPr>
                <w:rFonts w:eastAsia="Times New Roman" w:cs="Arial"/>
                <w:sz w:val="20"/>
                <w:szCs w:val="20"/>
                <w:lang w:eastAsia="en-GB"/>
              </w:rPr>
            </w:pPr>
            <w:r w:rsidRPr="00586541">
              <w:rPr>
                <w:rFonts w:eastAsia="Times New Roman" w:cs="Arial"/>
                <w:sz w:val="20"/>
                <w:szCs w:val="20"/>
                <w:lang w:eastAsia="en-GB"/>
              </w:rPr>
              <w:t>33</w:t>
            </w:r>
          </w:p>
        </w:tc>
      </w:tr>
      <w:tr w:rsidR="002D28C5" w:rsidRPr="00A217FF" w14:paraId="4C7839BC" w14:textId="582631E3"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D832652" w14:textId="4CD0D72A"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H. Standing Committee Services</w:t>
            </w:r>
          </w:p>
        </w:tc>
        <w:tc>
          <w:tcPr>
            <w:tcW w:w="1063" w:type="dxa"/>
            <w:tcBorders>
              <w:top w:val="nil"/>
              <w:left w:val="nil"/>
              <w:bottom w:val="single" w:sz="4" w:space="0" w:color="auto"/>
              <w:right w:val="single" w:sz="4" w:space="0" w:color="auto"/>
            </w:tcBorders>
            <w:shd w:val="clear" w:color="000000" w:fill="C4D79B"/>
            <w:noWrap/>
            <w:vAlign w:val="center"/>
            <w:hideMark/>
          </w:tcPr>
          <w:p w14:paraId="3B61F394" w14:textId="02DB33D0" w:rsidR="002D28C5" w:rsidRPr="00586541" w:rsidRDefault="002D28C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hideMark/>
          </w:tcPr>
          <w:p w14:paraId="37CA3BCC" w14:textId="2E5F65F7" w:rsidR="002D28C5" w:rsidRPr="00586541" w:rsidRDefault="002D28C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150</w:t>
            </w:r>
          </w:p>
        </w:tc>
        <w:tc>
          <w:tcPr>
            <w:tcW w:w="1063" w:type="dxa"/>
            <w:tcBorders>
              <w:top w:val="nil"/>
              <w:left w:val="nil"/>
              <w:bottom w:val="single" w:sz="4" w:space="0" w:color="auto"/>
              <w:right w:val="single" w:sz="4" w:space="0" w:color="auto"/>
            </w:tcBorders>
            <w:shd w:val="clear" w:color="000000" w:fill="C4D79B"/>
            <w:noWrap/>
            <w:vAlign w:val="center"/>
            <w:hideMark/>
          </w:tcPr>
          <w:p w14:paraId="6464E270" w14:textId="1CD77F70" w:rsidR="002D28C5" w:rsidRPr="00586541" w:rsidRDefault="002D28C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386</w:t>
            </w:r>
          </w:p>
        </w:tc>
        <w:tc>
          <w:tcPr>
            <w:tcW w:w="1063" w:type="dxa"/>
            <w:tcBorders>
              <w:top w:val="nil"/>
              <w:left w:val="nil"/>
              <w:bottom w:val="single" w:sz="4" w:space="0" w:color="auto"/>
              <w:right w:val="single" w:sz="4" w:space="0" w:color="auto"/>
            </w:tcBorders>
            <w:shd w:val="clear" w:color="000000" w:fill="C4D79B"/>
            <w:noWrap/>
            <w:vAlign w:val="center"/>
            <w:hideMark/>
          </w:tcPr>
          <w:p w14:paraId="0D4FE105" w14:textId="1240B9D7" w:rsidR="002D28C5" w:rsidRPr="00586541" w:rsidRDefault="002D28C5" w:rsidP="00A26E01">
            <w:pPr>
              <w:ind w:left="0" w:firstLine="0"/>
              <w:jc w:val="right"/>
              <w:rPr>
                <w:rFonts w:eastAsia="Times New Roman" w:cs="Arial"/>
                <w:b/>
                <w:bCs/>
                <w:color w:val="000000"/>
                <w:sz w:val="20"/>
                <w:szCs w:val="20"/>
                <w:lang w:eastAsia="en-GB"/>
              </w:rPr>
            </w:pPr>
            <w:r w:rsidRPr="00586541">
              <w:rPr>
                <w:rFonts w:eastAsia="Times New Roman" w:cs="Arial"/>
                <w:b/>
                <w:bCs/>
                <w:color w:val="000000"/>
                <w:sz w:val="20"/>
                <w:szCs w:val="20"/>
                <w:lang w:eastAsia="en-GB"/>
              </w:rPr>
              <w:t>686</w:t>
            </w:r>
          </w:p>
        </w:tc>
      </w:tr>
      <w:tr w:rsidR="002D28C5" w:rsidRPr="00A217FF" w14:paraId="39FA4308" w14:textId="696E145D"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B4BAEA0" w14:textId="778B3271"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D1CB9" w:rsidRPr="00A217FF">
              <w:rPr>
                <w:rFonts w:asciiTheme="minorHAnsi" w:eastAsia="Times New Roman" w:hAnsiTheme="minorHAnsi" w:cs="Arial"/>
                <w:sz w:val="20"/>
                <w:szCs w:val="20"/>
                <w:lang w:eastAsia="en-GB"/>
              </w:rPr>
              <w:t>Delegates’ Support</w:t>
            </w:r>
          </w:p>
        </w:tc>
        <w:tc>
          <w:tcPr>
            <w:tcW w:w="1063" w:type="dxa"/>
            <w:tcBorders>
              <w:top w:val="nil"/>
              <w:left w:val="nil"/>
              <w:bottom w:val="single" w:sz="4" w:space="0" w:color="auto"/>
              <w:right w:val="single" w:sz="4" w:space="0" w:color="auto"/>
            </w:tcBorders>
            <w:shd w:val="clear" w:color="auto" w:fill="auto"/>
            <w:noWrap/>
            <w:vAlign w:val="center"/>
            <w:hideMark/>
          </w:tcPr>
          <w:p w14:paraId="6176F4FB" w14:textId="6B86AF9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2BA13E9D" w14:textId="290BA55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63EBE96B" w14:textId="3ED331A8"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45</w:t>
            </w:r>
          </w:p>
        </w:tc>
        <w:tc>
          <w:tcPr>
            <w:tcW w:w="1063" w:type="dxa"/>
            <w:tcBorders>
              <w:top w:val="nil"/>
              <w:left w:val="nil"/>
              <w:bottom w:val="single" w:sz="4" w:space="0" w:color="auto"/>
              <w:right w:val="single" w:sz="4" w:space="0" w:color="auto"/>
            </w:tcBorders>
            <w:shd w:val="clear" w:color="auto" w:fill="auto"/>
            <w:noWrap/>
            <w:vAlign w:val="center"/>
            <w:hideMark/>
          </w:tcPr>
          <w:p w14:paraId="6C66ACA6" w14:textId="4724CA3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135</w:t>
            </w:r>
          </w:p>
        </w:tc>
      </w:tr>
      <w:tr w:rsidR="002D28C5" w:rsidRPr="00A217FF" w14:paraId="38D0BF55" w14:textId="60F153B2"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EA64F2" w14:textId="38F95881"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Standing Committee </w:t>
            </w:r>
            <w:r w:rsidR="00ED1CB9"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4B2F65FD" w14:textId="6AC42CCC"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74687F16" w14:textId="02F77A29"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67E06993" w14:textId="6B16278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w:t>
            </w:r>
          </w:p>
        </w:tc>
        <w:tc>
          <w:tcPr>
            <w:tcW w:w="1063" w:type="dxa"/>
            <w:tcBorders>
              <w:top w:val="nil"/>
              <w:left w:val="nil"/>
              <w:bottom w:val="single" w:sz="4" w:space="0" w:color="auto"/>
              <w:right w:val="single" w:sz="4" w:space="0" w:color="auto"/>
            </w:tcBorders>
            <w:shd w:val="clear" w:color="auto" w:fill="auto"/>
            <w:noWrap/>
            <w:vAlign w:val="center"/>
            <w:hideMark/>
          </w:tcPr>
          <w:p w14:paraId="273F0C8A" w14:textId="4BF7151A"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30</w:t>
            </w:r>
          </w:p>
        </w:tc>
      </w:tr>
      <w:tr w:rsidR="002D28C5" w:rsidRPr="00A217FF" w14:paraId="2173F9ED" w14:textId="2DF2854C"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B48F85F" w14:textId="24C36609" w:rsidR="002D28C5" w:rsidRPr="00A217FF" w:rsidRDefault="00ED1CB9"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Standing Committee Translation</w:t>
            </w:r>
          </w:p>
        </w:tc>
        <w:tc>
          <w:tcPr>
            <w:tcW w:w="1063" w:type="dxa"/>
            <w:tcBorders>
              <w:top w:val="nil"/>
              <w:left w:val="nil"/>
              <w:bottom w:val="single" w:sz="4" w:space="0" w:color="auto"/>
              <w:right w:val="single" w:sz="4" w:space="0" w:color="auto"/>
            </w:tcBorders>
            <w:shd w:val="clear" w:color="auto" w:fill="auto"/>
            <w:noWrap/>
            <w:vAlign w:val="center"/>
            <w:hideMark/>
          </w:tcPr>
          <w:p w14:paraId="796D1BD7" w14:textId="0CB08D90"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69D2044F" w14:textId="6C3382F5"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8FC389F" w14:textId="0F33F34F"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60</w:t>
            </w:r>
          </w:p>
        </w:tc>
        <w:tc>
          <w:tcPr>
            <w:tcW w:w="1063" w:type="dxa"/>
            <w:tcBorders>
              <w:top w:val="nil"/>
              <w:left w:val="nil"/>
              <w:bottom w:val="single" w:sz="4" w:space="0" w:color="auto"/>
              <w:right w:val="single" w:sz="4" w:space="0" w:color="auto"/>
            </w:tcBorders>
            <w:shd w:val="clear" w:color="auto" w:fill="auto"/>
            <w:noWrap/>
            <w:vAlign w:val="center"/>
            <w:hideMark/>
          </w:tcPr>
          <w:p w14:paraId="3F14F125" w14:textId="5709CC61"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180</w:t>
            </w:r>
          </w:p>
        </w:tc>
      </w:tr>
      <w:tr w:rsidR="002D28C5" w:rsidRPr="00A217FF" w14:paraId="71FED0F9" w14:textId="64ADAA72"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947B8A2" w14:textId="15AE8F55"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Simultaneous </w:t>
            </w:r>
            <w:r w:rsidR="00ED1CB9" w:rsidRPr="00A217FF">
              <w:rPr>
                <w:rFonts w:asciiTheme="minorHAnsi" w:eastAsia="Times New Roman" w:hAnsiTheme="minorHAnsi" w:cs="Arial"/>
                <w:sz w:val="20"/>
                <w:szCs w:val="20"/>
                <w:lang w:eastAsia="en-GB"/>
              </w:rPr>
              <w:t xml:space="preserve">Interpretation </w:t>
            </w:r>
            <w:r w:rsidRPr="00A217FF">
              <w:rPr>
                <w:rFonts w:asciiTheme="minorHAnsi" w:eastAsia="Times New Roman" w:hAnsiTheme="minorHAnsi" w:cs="Arial"/>
                <w:sz w:val="20"/>
                <w:szCs w:val="20"/>
                <w:lang w:eastAsia="en-GB"/>
              </w:rPr>
              <w:t xml:space="preserve">at SC </w:t>
            </w:r>
            <w:r w:rsidR="00ED1CB9" w:rsidRPr="00A217FF">
              <w:rPr>
                <w:rFonts w:asciiTheme="minorHAnsi" w:eastAsia="Times New Roman" w:hAnsiTheme="minorHAnsi" w:cs="Arial"/>
                <w:sz w:val="20"/>
                <w:szCs w:val="20"/>
                <w:lang w:eastAsia="en-GB"/>
              </w:rPr>
              <w:t>Meetings</w:t>
            </w:r>
          </w:p>
        </w:tc>
        <w:tc>
          <w:tcPr>
            <w:tcW w:w="1063" w:type="dxa"/>
            <w:tcBorders>
              <w:top w:val="nil"/>
              <w:left w:val="nil"/>
              <w:bottom w:val="single" w:sz="4" w:space="0" w:color="auto"/>
              <w:right w:val="single" w:sz="4" w:space="0" w:color="auto"/>
            </w:tcBorders>
            <w:shd w:val="clear" w:color="auto" w:fill="auto"/>
            <w:noWrap/>
            <w:vAlign w:val="center"/>
            <w:hideMark/>
          </w:tcPr>
          <w:p w14:paraId="4F832041" w14:textId="6E6B57D1"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74792BC3" w14:textId="2714EDA8"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6790C2FC" w14:textId="68EDFBE7"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35</w:t>
            </w:r>
          </w:p>
        </w:tc>
        <w:tc>
          <w:tcPr>
            <w:tcW w:w="1063" w:type="dxa"/>
            <w:tcBorders>
              <w:top w:val="nil"/>
              <w:left w:val="nil"/>
              <w:bottom w:val="single" w:sz="4" w:space="0" w:color="auto"/>
              <w:right w:val="single" w:sz="4" w:space="0" w:color="auto"/>
            </w:tcBorders>
            <w:shd w:val="clear" w:color="auto" w:fill="auto"/>
            <w:noWrap/>
            <w:vAlign w:val="center"/>
            <w:hideMark/>
          </w:tcPr>
          <w:p w14:paraId="37953429" w14:textId="0CE5BDC3"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105</w:t>
            </w:r>
          </w:p>
        </w:tc>
      </w:tr>
      <w:tr w:rsidR="002D28C5" w:rsidRPr="002D28C5" w14:paraId="1606DF5F" w14:textId="2F9BD2CF" w:rsidTr="009F1947">
        <w:tc>
          <w:tcPr>
            <w:tcW w:w="4962" w:type="dxa"/>
            <w:tcBorders>
              <w:top w:val="nil"/>
              <w:left w:val="single" w:sz="4" w:space="0" w:color="auto"/>
              <w:bottom w:val="single" w:sz="4" w:space="0" w:color="auto"/>
              <w:right w:val="single" w:sz="4" w:space="0" w:color="auto"/>
            </w:tcBorders>
            <w:shd w:val="clear" w:color="auto" w:fill="auto"/>
            <w:noWrap/>
            <w:vAlign w:val="center"/>
          </w:tcPr>
          <w:p w14:paraId="57A3D69E" w14:textId="535032DD" w:rsidR="002D28C5" w:rsidRPr="002D28C5" w:rsidRDefault="002D28C5" w:rsidP="002D28C5">
            <w:pPr>
              <w:ind w:left="0" w:firstLine="0"/>
              <w:rPr>
                <w:rFonts w:asciiTheme="minorHAnsi" w:eastAsia="Times New Roman" w:hAnsiTheme="minorHAnsi" w:cs="Arial"/>
                <w:sz w:val="20"/>
                <w:szCs w:val="20"/>
                <w:lang w:eastAsia="en-GB"/>
              </w:rPr>
            </w:pPr>
            <w:r w:rsidRPr="002D28C5">
              <w:rPr>
                <w:rFonts w:asciiTheme="minorHAnsi" w:eastAsia="Times New Roman" w:hAnsiTheme="minorHAnsi" w:cs="Arial"/>
                <w:sz w:val="20"/>
                <w:szCs w:val="20"/>
                <w:lang w:eastAsia="en-GB"/>
              </w:rPr>
              <w:t xml:space="preserve">Conference of the </w:t>
            </w:r>
            <w:r w:rsidR="00ED1CB9">
              <w:rPr>
                <w:rFonts w:asciiTheme="minorHAnsi" w:eastAsia="Times New Roman" w:hAnsiTheme="minorHAnsi" w:cs="Arial"/>
                <w:sz w:val="20"/>
                <w:szCs w:val="20"/>
                <w:lang w:eastAsia="en-GB"/>
              </w:rPr>
              <w:t xml:space="preserve">Contracting </w:t>
            </w:r>
            <w:r w:rsidRPr="002D28C5">
              <w:rPr>
                <w:rFonts w:asciiTheme="minorHAnsi" w:eastAsia="Times New Roman" w:hAnsiTheme="minorHAnsi" w:cs="Arial"/>
                <w:sz w:val="20"/>
                <w:szCs w:val="20"/>
                <w:lang w:eastAsia="en-GB"/>
              </w:rPr>
              <w:t>Parties</w:t>
            </w:r>
          </w:p>
        </w:tc>
        <w:tc>
          <w:tcPr>
            <w:tcW w:w="1063" w:type="dxa"/>
            <w:tcBorders>
              <w:top w:val="nil"/>
              <w:left w:val="nil"/>
              <w:bottom w:val="single" w:sz="4" w:space="0" w:color="auto"/>
              <w:right w:val="single" w:sz="4" w:space="0" w:color="auto"/>
            </w:tcBorders>
            <w:shd w:val="clear" w:color="auto" w:fill="auto"/>
            <w:noWrap/>
            <w:vAlign w:val="center"/>
          </w:tcPr>
          <w:p w14:paraId="436D5679" w14:textId="7F5B3BA3"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549B2916" w14:textId="6A0BC76F"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tcPr>
          <w:p w14:paraId="5F84159F" w14:textId="60EEEAD4"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236</w:t>
            </w:r>
          </w:p>
        </w:tc>
        <w:tc>
          <w:tcPr>
            <w:tcW w:w="1063" w:type="dxa"/>
            <w:tcBorders>
              <w:top w:val="nil"/>
              <w:left w:val="nil"/>
              <w:bottom w:val="single" w:sz="4" w:space="0" w:color="auto"/>
              <w:right w:val="single" w:sz="4" w:space="0" w:color="auto"/>
            </w:tcBorders>
            <w:shd w:val="clear" w:color="auto" w:fill="auto"/>
            <w:noWrap/>
            <w:vAlign w:val="center"/>
          </w:tcPr>
          <w:p w14:paraId="693E4C6D" w14:textId="48B3AA5F" w:rsidR="002D28C5" w:rsidRPr="00586541" w:rsidRDefault="002D28C5" w:rsidP="00A26E01">
            <w:pPr>
              <w:ind w:left="0" w:firstLine="0"/>
              <w:jc w:val="right"/>
              <w:rPr>
                <w:rFonts w:eastAsia="Times New Roman" w:cs="Arial"/>
                <w:sz w:val="20"/>
                <w:szCs w:val="20"/>
                <w:lang w:eastAsia="en-GB"/>
              </w:rPr>
            </w:pPr>
            <w:r w:rsidRPr="00586541">
              <w:rPr>
                <w:rFonts w:eastAsia="Times New Roman" w:cs="Arial"/>
                <w:sz w:val="20"/>
                <w:szCs w:val="20"/>
                <w:lang w:eastAsia="en-GB"/>
              </w:rPr>
              <w:t>236</w:t>
            </w:r>
          </w:p>
        </w:tc>
      </w:tr>
      <w:tr w:rsidR="002D28C5" w:rsidRPr="00A217FF" w14:paraId="2C8A6F24" w14:textId="7C96BD9A" w:rsidTr="009F1947">
        <w:tc>
          <w:tcPr>
            <w:tcW w:w="4962" w:type="dxa"/>
            <w:tcBorders>
              <w:top w:val="nil"/>
              <w:left w:val="single" w:sz="4" w:space="0" w:color="auto"/>
              <w:bottom w:val="single" w:sz="4" w:space="0" w:color="auto"/>
              <w:right w:val="single" w:sz="4" w:space="0" w:color="auto"/>
            </w:tcBorders>
            <w:shd w:val="clear" w:color="000000" w:fill="C4D79B"/>
            <w:vAlign w:val="center"/>
            <w:hideMark/>
          </w:tcPr>
          <w:p w14:paraId="20B3F6F6" w14:textId="07F30FF1"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I. IUCN Administrative Service Charges (maximum)</w:t>
            </w:r>
          </w:p>
        </w:tc>
        <w:tc>
          <w:tcPr>
            <w:tcW w:w="1063" w:type="dxa"/>
            <w:tcBorders>
              <w:top w:val="nil"/>
              <w:left w:val="nil"/>
              <w:bottom w:val="single" w:sz="4" w:space="0" w:color="auto"/>
              <w:right w:val="single" w:sz="4" w:space="0" w:color="auto"/>
            </w:tcBorders>
            <w:shd w:val="clear" w:color="000000" w:fill="C4D79B"/>
            <w:noWrap/>
            <w:vAlign w:val="center"/>
            <w:hideMark/>
          </w:tcPr>
          <w:p w14:paraId="3315FEBB" w14:textId="181B4DB2"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6DDA0AB9" w14:textId="6A80523E"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60DA3D49" w14:textId="57E017A6"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541</w:t>
            </w:r>
          </w:p>
        </w:tc>
        <w:tc>
          <w:tcPr>
            <w:tcW w:w="1063" w:type="dxa"/>
            <w:tcBorders>
              <w:top w:val="nil"/>
              <w:left w:val="nil"/>
              <w:bottom w:val="single" w:sz="4" w:space="0" w:color="auto"/>
              <w:right w:val="single" w:sz="4" w:space="0" w:color="auto"/>
            </w:tcBorders>
            <w:shd w:val="clear" w:color="000000" w:fill="C4D79B"/>
            <w:noWrap/>
            <w:vAlign w:val="center"/>
            <w:hideMark/>
          </w:tcPr>
          <w:p w14:paraId="2F6E10E2" w14:textId="4AF81033" w:rsidR="002D28C5" w:rsidRPr="00024026" w:rsidRDefault="001B1F55" w:rsidP="001B1F55">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1,623</w:t>
            </w:r>
          </w:p>
        </w:tc>
      </w:tr>
      <w:tr w:rsidR="002D28C5" w:rsidRPr="00A217FF" w14:paraId="1C2EC2A9" w14:textId="67EC3907"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5D68507" w14:textId="4CFC7C24" w:rsidR="002D28C5" w:rsidRPr="00A217FF" w:rsidRDefault="002D28C5" w:rsidP="00ED1CB9">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 xml:space="preserve">Administration, Human Resources, Finance </w:t>
            </w:r>
            <w:r w:rsidR="00ED1CB9">
              <w:rPr>
                <w:rFonts w:asciiTheme="minorHAnsi" w:eastAsia="Times New Roman" w:hAnsiTheme="minorHAnsi" w:cs="Arial"/>
                <w:sz w:val="20"/>
                <w:szCs w:val="20"/>
                <w:lang w:eastAsia="en-GB"/>
              </w:rPr>
              <w:t>and</w:t>
            </w:r>
            <w:r w:rsidRPr="00A217FF">
              <w:rPr>
                <w:rFonts w:asciiTheme="minorHAnsi" w:eastAsia="Times New Roman" w:hAnsiTheme="minorHAnsi" w:cs="Arial"/>
                <w:sz w:val="20"/>
                <w:szCs w:val="20"/>
                <w:lang w:eastAsia="en-GB"/>
              </w:rPr>
              <w:t xml:space="preserve"> IT services</w:t>
            </w:r>
          </w:p>
        </w:tc>
        <w:tc>
          <w:tcPr>
            <w:tcW w:w="1063" w:type="dxa"/>
            <w:tcBorders>
              <w:top w:val="nil"/>
              <w:left w:val="nil"/>
              <w:bottom w:val="single" w:sz="4" w:space="0" w:color="auto"/>
              <w:right w:val="single" w:sz="4" w:space="0" w:color="auto"/>
            </w:tcBorders>
            <w:shd w:val="clear" w:color="auto" w:fill="auto"/>
            <w:noWrap/>
            <w:vAlign w:val="center"/>
            <w:hideMark/>
          </w:tcPr>
          <w:p w14:paraId="21BA4C4A" w14:textId="299246A7"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030D7832" w14:textId="6BAD2B23"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36C8CA51" w14:textId="6D5CDFF0" w:rsidR="002D28C5" w:rsidRPr="00024026" w:rsidRDefault="00814B59"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541</w:t>
            </w:r>
          </w:p>
        </w:tc>
        <w:tc>
          <w:tcPr>
            <w:tcW w:w="1063" w:type="dxa"/>
            <w:tcBorders>
              <w:top w:val="nil"/>
              <w:left w:val="nil"/>
              <w:bottom w:val="single" w:sz="4" w:space="0" w:color="auto"/>
              <w:right w:val="single" w:sz="4" w:space="0" w:color="auto"/>
            </w:tcBorders>
            <w:shd w:val="clear" w:color="auto" w:fill="auto"/>
            <w:noWrap/>
            <w:vAlign w:val="center"/>
            <w:hideMark/>
          </w:tcPr>
          <w:p w14:paraId="50064916" w14:textId="1F07EEB4"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1,623</w:t>
            </w:r>
          </w:p>
        </w:tc>
      </w:tr>
      <w:tr w:rsidR="002D28C5" w:rsidRPr="00A217FF" w14:paraId="379E782A" w14:textId="7EEE7DE6" w:rsidTr="009F1947">
        <w:tc>
          <w:tcPr>
            <w:tcW w:w="4962" w:type="dxa"/>
            <w:tcBorders>
              <w:top w:val="nil"/>
              <w:left w:val="single" w:sz="4" w:space="0" w:color="auto"/>
              <w:bottom w:val="single" w:sz="4" w:space="0" w:color="auto"/>
              <w:right w:val="single" w:sz="4" w:space="0" w:color="auto"/>
            </w:tcBorders>
            <w:shd w:val="clear" w:color="000000" w:fill="C4D79B"/>
            <w:noWrap/>
            <w:vAlign w:val="center"/>
            <w:hideMark/>
          </w:tcPr>
          <w:p w14:paraId="48EE95ED" w14:textId="6C54B96D" w:rsidR="002D28C5" w:rsidRPr="00A217FF" w:rsidRDefault="002D28C5" w:rsidP="00A26E01">
            <w:pPr>
              <w:ind w:left="0" w:firstLine="0"/>
              <w:rPr>
                <w:rFonts w:asciiTheme="minorHAnsi" w:eastAsia="Times New Roman" w:hAnsiTheme="minorHAnsi" w:cs="Arial"/>
                <w:b/>
                <w:bCs/>
                <w:sz w:val="20"/>
                <w:szCs w:val="20"/>
                <w:lang w:eastAsia="en-GB"/>
              </w:rPr>
            </w:pPr>
            <w:r w:rsidRPr="00A217FF">
              <w:rPr>
                <w:rFonts w:asciiTheme="minorHAnsi" w:eastAsia="Times New Roman" w:hAnsiTheme="minorHAnsi" w:cs="Arial"/>
                <w:b/>
                <w:bCs/>
                <w:sz w:val="20"/>
                <w:szCs w:val="20"/>
                <w:lang w:eastAsia="en-GB"/>
              </w:rPr>
              <w:t>J. Miscellaneous - Reserve Fund</w:t>
            </w:r>
          </w:p>
        </w:tc>
        <w:tc>
          <w:tcPr>
            <w:tcW w:w="1063" w:type="dxa"/>
            <w:tcBorders>
              <w:top w:val="nil"/>
              <w:left w:val="nil"/>
              <w:bottom w:val="single" w:sz="4" w:space="0" w:color="auto"/>
              <w:right w:val="single" w:sz="4" w:space="0" w:color="auto"/>
            </w:tcBorders>
            <w:shd w:val="clear" w:color="000000" w:fill="C4D79B"/>
            <w:noWrap/>
            <w:vAlign w:val="center"/>
            <w:hideMark/>
          </w:tcPr>
          <w:p w14:paraId="03FA7859" w14:textId="0E5D3441"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3AE79A3E" w14:textId="46462AF1"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w:t>
            </w:r>
            <w:r w:rsidR="007B7B47">
              <w:rPr>
                <w:rFonts w:asciiTheme="minorHAnsi" w:eastAsia="Times New Roman" w:hAnsiTheme="minorHAnsi" w:cs="Arial"/>
                <w:b/>
                <w:bCs/>
                <w:color w:val="000000"/>
                <w:sz w:val="20"/>
                <w:szCs w:val="20"/>
                <w:lang w:eastAsia="en-GB"/>
              </w:rPr>
              <w:t>9</w:t>
            </w:r>
          </w:p>
        </w:tc>
        <w:tc>
          <w:tcPr>
            <w:tcW w:w="1063" w:type="dxa"/>
            <w:tcBorders>
              <w:top w:val="nil"/>
              <w:left w:val="nil"/>
              <w:bottom w:val="single" w:sz="4" w:space="0" w:color="auto"/>
              <w:right w:val="single" w:sz="4" w:space="0" w:color="auto"/>
            </w:tcBorders>
            <w:shd w:val="clear" w:color="000000" w:fill="C4D79B"/>
            <w:noWrap/>
            <w:vAlign w:val="center"/>
            <w:hideMark/>
          </w:tcPr>
          <w:p w14:paraId="621500EE" w14:textId="2924C9D0" w:rsidR="002D28C5" w:rsidRPr="00024026" w:rsidRDefault="00814B59"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109</w:t>
            </w:r>
          </w:p>
        </w:tc>
        <w:tc>
          <w:tcPr>
            <w:tcW w:w="1063" w:type="dxa"/>
            <w:tcBorders>
              <w:top w:val="nil"/>
              <w:left w:val="nil"/>
              <w:bottom w:val="single" w:sz="4" w:space="0" w:color="auto"/>
              <w:right w:val="single" w:sz="4" w:space="0" w:color="auto"/>
            </w:tcBorders>
            <w:shd w:val="clear" w:color="000000" w:fill="C4D79B"/>
            <w:noWrap/>
            <w:vAlign w:val="center"/>
            <w:hideMark/>
          </w:tcPr>
          <w:p w14:paraId="5AD1A471" w14:textId="7F6E9BDB" w:rsidR="002D28C5" w:rsidRPr="00024026" w:rsidRDefault="00986B28" w:rsidP="00A26E01">
            <w:pPr>
              <w:ind w:left="0" w:firstLine="0"/>
              <w:jc w:val="right"/>
              <w:rPr>
                <w:rFonts w:asciiTheme="minorHAnsi" w:eastAsia="Times New Roman" w:hAnsiTheme="minorHAnsi" w:cs="Arial"/>
                <w:b/>
                <w:bCs/>
                <w:color w:val="000000"/>
                <w:sz w:val="20"/>
                <w:szCs w:val="20"/>
                <w:lang w:eastAsia="en-GB"/>
              </w:rPr>
            </w:pPr>
            <w:r w:rsidRPr="00024026">
              <w:rPr>
                <w:rFonts w:asciiTheme="minorHAnsi" w:eastAsia="Times New Roman" w:hAnsiTheme="minorHAnsi" w:cs="Arial"/>
                <w:b/>
                <w:bCs/>
                <w:color w:val="000000"/>
                <w:sz w:val="20"/>
                <w:szCs w:val="20"/>
                <w:lang w:eastAsia="en-GB"/>
              </w:rPr>
              <w:t>32</w:t>
            </w:r>
            <w:r>
              <w:rPr>
                <w:rFonts w:asciiTheme="minorHAnsi" w:eastAsia="Times New Roman" w:hAnsiTheme="minorHAnsi" w:cs="Arial"/>
                <w:b/>
                <w:bCs/>
                <w:color w:val="000000"/>
                <w:sz w:val="20"/>
                <w:szCs w:val="20"/>
                <w:lang w:eastAsia="en-GB"/>
              </w:rPr>
              <w:t>7</w:t>
            </w:r>
          </w:p>
        </w:tc>
      </w:tr>
      <w:tr w:rsidR="002D28C5" w:rsidRPr="00A217FF" w14:paraId="39B892BC" w14:textId="4B7B71AA" w:rsidTr="009F1947">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574B96D" w14:textId="390D9EC1" w:rsidR="002D28C5" w:rsidRPr="00A217FF" w:rsidRDefault="00814B59"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Staff </w:t>
            </w:r>
            <w:r w:rsidR="002D28C5" w:rsidRPr="00A217FF">
              <w:rPr>
                <w:rFonts w:asciiTheme="minorHAnsi" w:eastAsia="Times New Roman" w:hAnsiTheme="minorHAnsi" w:cs="Arial"/>
                <w:sz w:val="20"/>
                <w:szCs w:val="20"/>
                <w:lang w:eastAsia="en-GB"/>
              </w:rPr>
              <w:t>Provisions</w:t>
            </w:r>
          </w:p>
        </w:tc>
        <w:tc>
          <w:tcPr>
            <w:tcW w:w="1063" w:type="dxa"/>
            <w:tcBorders>
              <w:top w:val="nil"/>
              <w:left w:val="nil"/>
              <w:bottom w:val="single" w:sz="4" w:space="0" w:color="auto"/>
              <w:right w:val="single" w:sz="4" w:space="0" w:color="auto"/>
            </w:tcBorders>
            <w:shd w:val="clear" w:color="auto" w:fill="auto"/>
            <w:noWrap/>
            <w:vAlign w:val="center"/>
            <w:hideMark/>
          </w:tcPr>
          <w:p w14:paraId="79FA6016" w14:textId="1043E788" w:rsidR="002D28C5" w:rsidRPr="00024026" w:rsidRDefault="007B7B47" w:rsidP="00A26E01">
            <w:pPr>
              <w:ind w:left="0" w:firstLine="0"/>
              <w:jc w:val="right"/>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00814B59" w:rsidRPr="00024026">
              <w:rPr>
                <w:rFonts w:asciiTheme="minorHAnsi" w:eastAsia="Times New Roman" w:hAnsiTheme="minorHAnsi" w:cs="Arial"/>
                <w:sz w:val="20"/>
                <w:szCs w:val="20"/>
                <w:lang w:eastAsia="en-GB"/>
              </w:rPr>
              <w:t>0</w:t>
            </w:r>
          </w:p>
        </w:tc>
        <w:tc>
          <w:tcPr>
            <w:tcW w:w="1063" w:type="dxa"/>
            <w:tcBorders>
              <w:top w:val="nil"/>
              <w:left w:val="nil"/>
              <w:bottom w:val="single" w:sz="4" w:space="0" w:color="auto"/>
              <w:right w:val="single" w:sz="4" w:space="0" w:color="auto"/>
            </w:tcBorders>
            <w:shd w:val="clear" w:color="auto" w:fill="auto"/>
            <w:noWrap/>
            <w:vAlign w:val="center"/>
            <w:hideMark/>
          </w:tcPr>
          <w:p w14:paraId="154535DD" w14:textId="3CC0E6D3"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1B301B28" w14:textId="48910185" w:rsidR="002D28C5" w:rsidRPr="00024026" w:rsidRDefault="00814B59"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20</w:t>
            </w:r>
          </w:p>
        </w:tc>
        <w:tc>
          <w:tcPr>
            <w:tcW w:w="1063" w:type="dxa"/>
            <w:tcBorders>
              <w:top w:val="nil"/>
              <w:left w:val="nil"/>
              <w:bottom w:val="single" w:sz="4" w:space="0" w:color="auto"/>
              <w:right w:val="single" w:sz="4" w:space="0" w:color="auto"/>
            </w:tcBorders>
            <w:shd w:val="clear" w:color="auto" w:fill="auto"/>
            <w:noWrap/>
            <w:vAlign w:val="center"/>
            <w:hideMark/>
          </w:tcPr>
          <w:p w14:paraId="1F8E8608" w14:textId="7DF416EA"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60</w:t>
            </w:r>
          </w:p>
        </w:tc>
      </w:tr>
      <w:tr w:rsidR="00814B59" w:rsidRPr="00A217FF" w14:paraId="39E0D99F" w14:textId="77777777" w:rsidTr="009F1947">
        <w:tc>
          <w:tcPr>
            <w:tcW w:w="4962" w:type="dxa"/>
            <w:tcBorders>
              <w:top w:val="nil"/>
              <w:left w:val="single" w:sz="4" w:space="0" w:color="auto"/>
              <w:bottom w:val="single" w:sz="4" w:space="0" w:color="auto"/>
              <w:right w:val="single" w:sz="4" w:space="0" w:color="auto"/>
            </w:tcBorders>
            <w:shd w:val="clear" w:color="auto" w:fill="auto"/>
            <w:noWrap/>
            <w:vAlign w:val="center"/>
          </w:tcPr>
          <w:p w14:paraId="5604119B" w14:textId="3D214F3A" w:rsidR="00814B59" w:rsidRDefault="00814B59" w:rsidP="00A26E01">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 xml:space="preserve">Provisions for </w:t>
            </w:r>
            <w:r w:rsidR="00ED1CB9">
              <w:rPr>
                <w:rFonts w:asciiTheme="minorHAnsi" w:eastAsia="Times New Roman" w:hAnsiTheme="minorHAnsi" w:cs="Arial"/>
                <w:sz w:val="20"/>
                <w:szCs w:val="20"/>
                <w:lang w:eastAsia="en-GB"/>
              </w:rPr>
              <w:t>Outstanding Contributions</w:t>
            </w:r>
          </w:p>
        </w:tc>
        <w:tc>
          <w:tcPr>
            <w:tcW w:w="1063" w:type="dxa"/>
            <w:tcBorders>
              <w:top w:val="nil"/>
              <w:left w:val="nil"/>
              <w:bottom w:val="single" w:sz="4" w:space="0" w:color="auto"/>
              <w:right w:val="single" w:sz="4" w:space="0" w:color="auto"/>
            </w:tcBorders>
            <w:shd w:val="clear" w:color="auto" w:fill="auto"/>
            <w:noWrap/>
            <w:vAlign w:val="center"/>
          </w:tcPr>
          <w:p w14:paraId="752448DD" w14:textId="371548CC" w:rsidR="00814B59" w:rsidRPr="00024026" w:rsidDel="00814B59"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0C0C3329" w14:textId="4697E17C" w:rsidR="00814B59" w:rsidRPr="00024026" w:rsidDel="00814B59"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B135C86" w14:textId="39246A3E" w:rsidR="00814B59" w:rsidRPr="00024026" w:rsidDel="00814B59" w:rsidRDefault="00814B59"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30</w:t>
            </w:r>
          </w:p>
        </w:tc>
        <w:tc>
          <w:tcPr>
            <w:tcW w:w="1063" w:type="dxa"/>
            <w:tcBorders>
              <w:top w:val="nil"/>
              <w:left w:val="nil"/>
              <w:bottom w:val="single" w:sz="4" w:space="0" w:color="auto"/>
              <w:right w:val="single" w:sz="4" w:space="0" w:color="auto"/>
            </w:tcBorders>
            <w:shd w:val="clear" w:color="auto" w:fill="auto"/>
            <w:noWrap/>
            <w:vAlign w:val="center"/>
          </w:tcPr>
          <w:p w14:paraId="40D15619" w14:textId="203398D2" w:rsidR="00814B59" w:rsidRPr="00024026" w:rsidDel="00814B59"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90</w:t>
            </w:r>
          </w:p>
        </w:tc>
      </w:tr>
      <w:tr w:rsidR="002D28C5" w:rsidRPr="00A217FF" w14:paraId="65D6F29E" w14:textId="6E5D6C91" w:rsidTr="009F1947">
        <w:tc>
          <w:tcPr>
            <w:tcW w:w="4962" w:type="dxa"/>
            <w:tcBorders>
              <w:top w:val="single" w:sz="4" w:space="0" w:color="auto"/>
              <w:left w:val="single" w:sz="4" w:space="0" w:color="auto"/>
              <w:bottom w:val="nil"/>
              <w:right w:val="single" w:sz="4" w:space="0" w:color="auto"/>
            </w:tcBorders>
            <w:shd w:val="clear" w:color="auto" w:fill="auto"/>
            <w:noWrap/>
            <w:vAlign w:val="center"/>
            <w:hideMark/>
          </w:tcPr>
          <w:p w14:paraId="78E2081E" w14:textId="59C47247" w:rsidR="002D28C5" w:rsidRPr="00A217FF" w:rsidRDefault="002D28C5" w:rsidP="00A26E01">
            <w:pPr>
              <w:ind w:left="0" w:firstLine="0"/>
              <w:rPr>
                <w:rFonts w:asciiTheme="minorHAnsi" w:eastAsia="Times New Roman" w:hAnsiTheme="minorHAnsi" w:cs="Arial"/>
                <w:sz w:val="20"/>
                <w:szCs w:val="20"/>
                <w:lang w:eastAsia="en-GB"/>
              </w:rPr>
            </w:pPr>
            <w:r w:rsidRPr="00A217FF">
              <w:rPr>
                <w:rFonts w:asciiTheme="minorHAnsi" w:eastAsia="Times New Roman" w:hAnsiTheme="minorHAnsi" w:cs="Arial"/>
                <w:sz w:val="20"/>
                <w:szCs w:val="20"/>
                <w:lang w:eastAsia="en-GB"/>
              </w:rPr>
              <w:t>Legal Services</w:t>
            </w:r>
          </w:p>
        </w:tc>
        <w:tc>
          <w:tcPr>
            <w:tcW w:w="1063" w:type="dxa"/>
            <w:tcBorders>
              <w:top w:val="nil"/>
              <w:left w:val="nil"/>
              <w:bottom w:val="single" w:sz="4" w:space="0" w:color="auto"/>
              <w:right w:val="single" w:sz="4" w:space="0" w:color="auto"/>
            </w:tcBorders>
            <w:shd w:val="clear" w:color="auto" w:fill="auto"/>
            <w:noWrap/>
            <w:vAlign w:val="center"/>
            <w:hideMark/>
          </w:tcPr>
          <w:p w14:paraId="125E4E3A" w14:textId="182019C7" w:rsidR="002D28C5" w:rsidRPr="00024026" w:rsidRDefault="00814B59"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46EBCD21" w14:textId="723730D6"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59</w:t>
            </w:r>
          </w:p>
        </w:tc>
        <w:tc>
          <w:tcPr>
            <w:tcW w:w="1063" w:type="dxa"/>
            <w:tcBorders>
              <w:top w:val="single" w:sz="4" w:space="0" w:color="auto"/>
              <w:left w:val="nil"/>
              <w:bottom w:val="nil"/>
              <w:right w:val="single" w:sz="4" w:space="0" w:color="auto"/>
            </w:tcBorders>
            <w:shd w:val="clear" w:color="auto" w:fill="auto"/>
            <w:noWrap/>
            <w:vAlign w:val="center"/>
            <w:hideMark/>
          </w:tcPr>
          <w:p w14:paraId="5F293E75" w14:textId="164DAEDC" w:rsidR="002D28C5" w:rsidRPr="00024026" w:rsidRDefault="00814B59" w:rsidP="00A26E01">
            <w:pPr>
              <w:ind w:left="0" w:firstLine="0"/>
              <w:jc w:val="right"/>
              <w:rPr>
                <w:rFonts w:asciiTheme="minorHAnsi" w:eastAsia="Times New Roman" w:hAnsiTheme="minorHAnsi" w:cs="Arial"/>
                <w:color w:val="000000"/>
                <w:sz w:val="20"/>
                <w:szCs w:val="20"/>
                <w:lang w:eastAsia="en-GB"/>
              </w:rPr>
            </w:pPr>
            <w:r w:rsidRPr="00024026">
              <w:rPr>
                <w:rFonts w:asciiTheme="minorHAnsi" w:eastAsia="Times New Roman" w:hAnsiTheme="minorHAnsi" w:cs="Arial"/>
                <w:color w:val="000000"/>
                <w:sz w:val="20"/>
                <w:szCs w:val="20"/>
                <w:lang w:eastAsia="en-GB"/>
              </w:rPr>
              <w:t>59</w:t>
            </w:r>
          </w:p>
        </w:tc>
        <w:tc>
          <w:tcPr>
            <w:tcW w:w="1063" w:type="dxa"/>
            <w:tcBorders>
              <w:top w:val="nil"/>
              <w:left w:val="nil"/>
              <w:bottom w:val="single" w:sz="4" w:space="0" w:color="auto"/>
              <w:right w:val="single" w:sz="4" w:space="0" w:color="auto"/>
            </w:tcBorders>
            <w:shd w:val="clear" w:color="auto" w:fill="auto"/>
            <w:noWrap/>
            <w:vAlign w:val="center"/>
            <w:hideMark/>
          </w:tcPr>
          <w:p w14:paraId="4C4DF5AE" w14:textId="4A598744" w:rsidR="002D28C5" w:rsidRPr="00024026" w:rsidRDefault="00635E05" w:rsidP="00A26E01">
            <w:pPr>
              <w:ind w:left="0" w:firstLine="0"/>
              <w:jc w:val="right"/>
              <w:rPr>
                <w:rFonts w:asciiTheme="minorHAnsi" w:eastAsia="Times New Roman" w:hAnsiTheme="minorHAnsi" w:cs="Arial"/>
                <w:sz w:val="20"/>
                <w:szCs w:val="20"/>
                <w:lang w:eastAsia="en-GB"/>
              </w:rPr>
            </w:pPr>
            <w:r w:rsidRPr="00024026">
              <w:rPr>
                <w:rFonts w:asciiTheme="minorHAnsi" w:eastAsia="Times New Roman" w:hAnsiTheme="minorHAnsi" w:cs="Arial"/>
                <w:sz w:val="20"/>
                <w:szCs w:val="20"/>
                <w:lang w:eastAsia="en-GB"/>
              </w:rPr>
              <w:t>177</w:t>
            </w:r>
          </w:p>
        </w:tc>
      </w:tr>
      <w:tr w:rsidR="002D28C5" w:rsidRPr="00A217FF" w14:paraId="5A5E9D5F" w14:textId="094362B6" w:rsidTr="009F1947">
        <w:tc>
          <w:tcPr>
            <w:tcW w:w="4962"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2269282" w14:textId="111AEBA4" w:rsidR="002D28C5" w:rsidRPr="00A217FF" w:rsidRDefault="002D28C5" w:rsidP="00A26E01">
            <w:pPr>
              <w:ind w:left="0" w:firstLine="0"/>
              <w:rPr>
                <w:rFonts w:asciiTheme="minorHAnsi" w:eastAsia="Times New Roman" w:hAnsiTheme="minorHAnsi" w:cs="Arial"/>
                <w:b/>
                <w:bCs/>
                <w:color w:val="1F497D"/>
                <w:sz w:val="20"/>
                <w:szCs w:val="20"/>
                <w:lang w:eastAsia="en-GB"/>
              </w:rPr>
            </w:pPr>
            <w:r w:rsidRPr="00A217FF">
              <w:rPr>
                <w:rFonts w:asciiTheme="minorHAnsi" w:eastAsia="Times New Roman" w:hAnsiTheme="minorHAnsi" w:cs="Arial"/>
                <w:b/>
                <w:bCs/>
                <w:color w:val="1F497D"/>
                <w:sz w:val="20"/>
                <w:szCs w:val="20"/>
                <w:lang w:eastAsia="en-GB"/>
              </w:rPr>
              <w:t>TOTAL EXPENDITURES</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1CCF496A" w14:textId="70F612CF" w:rsidR="002D28C5" w:rsidRPr="00024026" w:rsidRDefault="00814B59"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57402639" w14:textId="2B3C8BCE" w:rsidR="002D28C5" w:rsidRPr="00024026" w:rsidRDefault="00814B59" w:rsidP="00A26E01">
            <w:pPr>
              <w:ind w:left="0" w:firstLine="0"/>
              <w:jc w:val="right"/>
              <w:rPr>
                <w:rFonts w:eastAsia="Times New Roman" w:cs="Arial"/>
                <w:b/>
                <w:bCs/>
                <w:color w:val="000000"/>
                <w:lang w:eastAsia="en-GB"/>
              </w:rPr>
            </w:pPr>
            <w:r w:rsidRPr="00024026">
              <w:rPr>
                <w:rFonts w:eastAsia="Times New Roman" w:cs="Arial"/>
                <w:b/>
                <w:bCs/>
                <w:color w:val="000000"/>
                <w:lang w:eastAsia="en-GB"/>
              </w:rPr>
              <w:t>5,227</w:t>
            </w:r>
          </w:p>
        </w:tc>
        <w:tc>
          <w:tcPr>
            <w:tcW w:w="1063" w:type="dxa"/>
            <w:tcBorders>
              <w:top w:val="single" w:sz="4" w:space="0" w:color="auto"/>
              <w:left w:val="nil"/>
              <w:bottom w:val="single" w:sz="4" w:space="0" w:color="auto"/>
              <w:right w:val="single" w:sz="4" w:space="0" w:color="auto"/>
            </w:tcBorders>
            <w:shd w:val="clear" w:color="000000" w:fill="C4D79B"/>
            <w:noWrap/>
            <w:vAlign w:val="center"/>
            <w:hideMark/>
          </w:tcPr>
          <w:p w14:paraId="53074AD2" w14:textId="4CCC3A5F" w:rsidR="002D28C5" w:rsidRPr="00024026" w:rsidRDefault="00814B59">
            <w:pPr>
              <w:ind w:left="0" w:firstLine="0"/>
              <w:jc w:val="right"/>
              <w:rPr>
                <w:rFonts w:eastAsia="Times New Roman" w:cs="Arial"/>
                <w:b/>
                <w:bCs/>
                <w:color w:val="000000"/>
                <w:lang w:eastAsia="en-GB"/>
              </w:rPr>
            </w:pPr>
            <w:r w:rsidRPr="00024026">
              <w:rPr>
                <w:rFonts w:eastAsia="Times New Roman" w:cs="Arial"/>
                <w:b/>
                <w:bCs/>
                <w:color w:val="000000"/>
                <w:lang w:eastAsia="en-GB"/>
              </w:rPr>
              <w:t>5,46</w:t>
            </w:r>
            <w:r w:rsidR="00012800" w:rsidRPr="00024026">
              <w:rPr>
                <w:rFonts w:eastAsia="Times New Roman" w:cs="Arial"/>
                <w:b/>
                <w:bCs/>
                <w:color w:val="000000"/>
                <w:lang w:eastAsia="en-GB"/>
              </w:rPr>
              <w:t>3</w:t>
            </w:r>
          </w:p>
        </w:tc>
        <w:tc>
          <w:tcPr>
            <w:tcW w:w="1063" w:type="dxa"/>
            <w:tcBorders>
              <w:top w:val="nil"/>
              <w:left w:val="nil"/>
              <w:bottom w:val="single" w:sz="4" w:space="0" w:color="auto"/>
              <w:right w:val="single" w:sz="4" w:space="0" w:color="auto"/>
            </w:tcBorders>
            <w:shd w:val="clear" w:color="000000" w:fill="C4D79B"/>
            <w:noWrap/>
            <w:vAlign w:val="center"/>
            <w:hideMark/>
          </w:tcPr>
          <w:p w14:paraId="59CE4CA1" w14:textId="51E834DD" w:rsidR="002D28C5" w:rsidRPr="00024026" w:rsidRDefault="00814B59">
            <w:pPr>
              <w:ind w:left="0" w:firstLine="0"/>
              <w:jc w:val="right"/>
              <w:rPr>
                <w:rFonts w:eastAsia="Times New Roman" w:cs="Arial"/>
                <w:b/>
                <w:bCs/>
                <w:color w:val="000000"/>
                <w:lang w:eastAsia="en-GB"/>
              </w:rPr>
            </w:pPr>
            <w:r w:rsidRPr="00024026">
              <w:rPr>
                <w:rFonts w:eastAsia="Times New Roman" w:cs="Arial"/>
                <w:b/>
                <w:bCs/>
                <w:color w:val="000000"/>
                <w:lang w:eastAsia="en-GB"/>
              </w:rPr>
              <w:t>15,91</w:t>
            </w:r>
            <w:r w:rsidR="00012800" w:rsidRPr="00024026">
              <w:rPr>
                <w:rFonts w:eastAsia="Times New Roman" w:cs="Arial"/>
                <w:b/>
                <w:bCs/>
                <w:color w:val="000000"/>
                <w:lang w:eastAsia="en-GB"/>
              </w:rPr>
              <w:t>7</w:t>
            </w:r>
          </w:p>
        </w:tc>
      </w:tr>
    </w:tbl>
    <w:p w14:paraId="6A55F249" w14:textId="77777777" w:rsidR="007D61FD" w:rsidRDefault="007D61FD">
      <w:pPr>
        <w:rPr>
          <w:rFonts w:cs="Arial"/>
          <w:b/>
          <w:sz w:val="24"/>
          <w:szCs w:val="24"/>
        </w:rPr>
      </w:pPr>
      <w:r>
        <w:rPr>
          <w:rFonts w:cs="Arial"/>
          <w:b/>
          <w:sz w:val="24"/>
          <w:szCs w:val="24"/>
        </w:rPr>
        <w:br w:type="page"/>
      </w:r>
    </w:p>
    <w:p w14:paraId="1B13DE5E" w14:textId="426091DC" w:rsidR="00FE49DA" w:rsidRDefault="00FE49DA" w:rsidP="00FE49DA">
      <w:pPr>
        <w:pStyle w:val="ListParagraph"/>
        <w:ind w:left="0" w:firstLine="0"/>
        <w:contextualSpacing w:val="0"/>
        <w:rPr>
          <w:rFonts w:cs="Arial"/>
          <w:b/>
          <w:sz w:val="24"/>
          <w:szCs w:val="24"/>
        </w:rPr>
      </w:pPr>
      <w:r w:rsidRPr="00A217FF">
        <w:rPr>
          <w:rFonts w:cs="Arial"/>
          <w:b/>
          <w:sz w:val="24"/>
          <w:szCs w:val="24"/>
        </w:rPr>
        <w:lastRenderedPageBreak/>
        <w:t xml:space="preserve">Annex </w:t>
      </w:r>
      <w:r>
        <w:rPr>
          <w:rFonts w:cs="Arial"/>
          <w:b/>
          <w:sz w:val="24"/>
          <w:szCs w:val="24"/>
        </w:rPr>
        <w:t>2</w:t>
      </w:r>
      <w:r w:rsidR="00464F8A">
        <w:rPr>
          <w:rFonts w:cs="Arial"/>
          <w:b/>
          <w:sz w:val="24"/>
          <w:szCs w:val="24"/>
        </w:rPr>
        <w:t xml:space="preserve"> </w:t>
      </w:r>
    </w:p>
    <w:p w14:paraId="6F58994D" w14:textId="1F970A17" w:rsidR="00464F8A" w:rsidRDefault="00464F8A" w:rsidP="00464F8A">
      <w:pPr>
        <w:tabs>
          <w:tab w:val="left" w:pos="5467"/>
          <w:tab w:val="left" w:pos="6616"/>
          <w:tab w:val="left" w:pos="7639"/>
        </w:tabs>
        <w:rPr>
          <w:rFonts w:cstheme="minorHAnsi"/>
          <w:b/>
          <w:bCs/>
          <w:sz w:val="24"/>
          <w:szCs w:val="24"/>
        </w:rPr>
      </w:pPr>
      <w:r w:rsidRPr="008F5464">
        <w:rPr>
          <w:rFonts w:cstheme="minorHAnsi"/>
          <w:b/>
          <w:bCs/>
          <w:sz w:val="24"/>
          <w:szCs w:val="24"/>
        </w:rPr>
        <w:t xml:space="preserve">Estimated core budget contributions by Contracting Parties for </w:t>
      </w:r>
      <w:r w:rsidR="00B36736" w:rsidRPr="008F5464">
        <w:rPr>
          <w:rFonts w:cstheme="minorHAnsi"/>
          <w:b/>
          <w:bCs/>
          <w:sz w:val="24"/>
          <w:szCs w:val="24"/>
        </w:rPr>
        <w:t>202</w:t>
      </w:r>
      <w:r w:rsidR="00B36736">
        <w:rPr>
          <w:rFonts w:cstheme="minorHAnsi"/>
          <w:b/>
          <w:bCs/>
          <w:sz w:val="24"/>
          <w:szCs w:val="24"/>
        </w:rPr>
        <w:t>3-2025</w:t>
      </w:r>
      <w:r w:rsidR="003B4BEC">
        <w:rPr>
          <w:rStyle w:val="FootnoteReference"/>
          <w:rFonts w:cstheme="minorHAnsi"/>
          <w:b/>
          <w:bCs/>
          <w:sz w:val="24"/>
          <w:szCs w:val="24"/>
        </w:rPr>
        <w:footnoteReference w:id="4"/>
      </w:r>
    </w:p>
    <w:p w14:paraId="2CEBDBB6" w14:textId="77777777" w:rsidR="00464F8A" w:rsidRDefault="00464F8A" w:rsidP="00EA22B9">
      <w:pPr>
        <w:ind w:left="0" w:firstLine="0"/>
      </w:pPr>
    </w:p>
    <w:tbl>
      <w:tblPr>
        <w:tblW w:w="10108" w:type="dxa"/>
        <w:tblInd w:w="-572" w:type="dxa"/>
        <w:tblLayout w:type="fixed"/>
        <w:tblCellMar>
          <w:left w:w="57" w:type="dxa"/>
          <w:right w:w="57" w:type="dxa"/>
        </w:tblCellMar>
        <w:tblLook w:val="04A0" w:firstRow="1" w:lastRow="0" w:firstColumn="1" w:lastColumn="0" w:noHBand="0" w:noVBand="1"/>
      </w:tblPr>
      <w:tblGrid>
        <w:gridCol w:w="2664"/>
        <w:gridCol w:w="1111"/>
        <w:gridCol w:w="1111"/>
        <w:gridCol w:w="1305"/>
        <w:gridCol w:w="1306"/>
        <w:gridCol w:w="1305"/>
        <w:gridCol w:w="1306"/>
      </w:tblGrid>
      <w:tr w:rsidR="0020791D" w:rsidRPr="001D42CA" w14:paraId="1B398DF8" w14:textId="79829FC5" w:rsidTr="00784A64">
        <w:trPr>
          <w:cantSplit/>
          <w:tblHeader/>
        </w:trPr>
        <w:tc>
          <w:tcPr>
            <w:tcW w:w="2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A1B527" w14:textId="108C5960"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Contracting Party </w:t>
            </w:r>
            <w:r w:rsidRPr="001D42CA">
              <w:rPr>
                <w:rFonts w:asciiTheme="minorHAnsi" w:eastAsia="Times New Roman" w:hAnsiTheme="minorHAnsi" w:cs="Arial"/>
                <w:b/>
                <w:bCs/>
                <w:sz w:val="20"/>
                <w:szCs w:val="20"/>
                <w:lang w:eastAsia="en-GB"/>
              </w:rPr>
              <w:br/>
              <w:t xml:space="preserve">(Membership as at 1 </w:t>
            </w:r>
            <w:r>
              <w:rPr>
                <w:rFonts w:asciiTheme="minorHAnsi" w:eastAsia="Times New Roman" w:hAnsiTheme="minorHAnsi" w:cs="Arial"/>
                <w:b/>
                <w:bCs/>
                <w:sz w:val="20"/>
                <w:szCs w:val="20"/>
                <w:lang w:eastAsia="en-GB"/>
              </w:rPr>
              <w:t>January</w:t>
            </w:r>
            <w:r w:rsidRPr="001D42CA">
              <w:rPr>
                <w:rFonts w:asciiTheme="minorHAnsi" w:eastAsia="Times New Roman" w:hAnsiTheme="minorHAnsi" w:cs="Arial"/>
                <w:b/>
                <w:bCs/>
                <w:sz w:val="20"/>
                <w:szCs w:val="20"/>
                <w:lang w:eastAsia="en-GB"/>
              </w:rPr>
              <w:t xml:space="preserve"> </w:t>
            </w:r>
            <w:r>
              <w:rPr>
                <w:rFonts w:asciiTheme="minorHAnsi" w:eastAsia="Times New Roman" w:hAnsiTheme="minorHAnsi" w:cs="Arial"/>
                <w:b/>
                <w:bCs/>
                <w:sz w:val="20"/>
                <w:szCs w:val="20"/>
                <w:lang w:eastAsia="en-GB"/>
              </w:rPr>
              <w:t>2022</w:t>
            </w:r>
            <w:r w:rsidRPr="001D42CA">
              <w:rPr>
                <w:rFonts w:asciiTheme="minorHAnsi" w:eastAsia="Times New Roman" w:hAnsiTheme="minorHAnsi" w:cs="Arial"/>
                <w:b/>
                <w:bCs/>
                <w:sz w:val="20"/>
                <w:szCs w:val="20"/>
                <w:lang w:eastAsia="en-GB"/>
              </w:rPr>
              <w:t>)</w:t>
            </w:r>
          </w:p>
        </w:tc>
        <w:tc>
          <w:tcPr>
            <w:tcW w:w="111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8AF7A20" w14:textId="3349E3C2" w:rsidR="0020791D" w:rsidRPr="001D42CA" w:rsidRDefault="0020791D" w:rsidP="00466A7B">
            <w:pPr>
              <w:ind w:left="0" w:firstLine="0"/>
              <w:jc w:val="center"/>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2022</w:t>
            </w: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24</w:t>
            </w:r>
            <w:r w:rsidRPr="001D42CA">
              <w:rPr>
                <w:rFonts w:asciiTheme="minorHAnsi" w:eastAsia="Times New Roman" w:hAnsiTheme="minorHAnsi" w:cs="Arial"/>
                <w:b/>
                <w:bCs/>
                <w:sz w:val="20"/>
                <w:szCs w:val="20"/>
                <w:lang w:eastAsia="en-GB"/>
              </w:rPr>
              <w:t xml:space="preserve"> </w:t>
            </w:r>
            <w:r w:rsidRPr="001D42CA">
              <w:rPr>
                <w:rFonts w:asciiTheme="minorHAnsi" w:eastAsia="Times New Roman" w:hAnsiTheme="minorHAnsi" w:cs="Arial"/>
                <w:b/>
                <w:bCs/>
                <w:sz w:val="20"/>
                <w:szCs w:val="20"/>
                <w:lang w:eastAsia="en-GB"/>
              </w:rPr>
              <w:br/>
              <w:t>UN Scale*</w:t>
            </w:r>
          </w:p>
        </w:tc>
        <w:tc>
          <w:tcPr>
            <w:tcW w:w="111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ECF91C" w14:textId="09907FF9"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Ramsar total</w:t>
            </w:r>
          </w:p>
        </w:tc>
        <w:tc>
          <w:tcPr>
            <w:tcW w:w="1305"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2937EB" w14:textId="4CE6FB27" w:rsidR="0020791D" w:rsidRPr="000519D4"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Annual contribution 2019-2021</w:t>
            </w:r>
          </w:p>
        </w:tc>
        <w:tc>
          <w:tcPr>
            <w:tcW w:w="1306"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441D9F0F" w14:textId="5586E5C2"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Estimated annual contribution 2023-2025</w:t>
            </w:r>
            <w:r w:rsidRPr="000519D4">
              <w:rPr>
                <w:rFonts w:asciiTheme="minorHAnsi" w:eastAsia="Times New Roman" w:hAnsiTheme="minorHAnsi" w:cs="Arial"/>
                <w:b/>
                <w:bCs/>
                <w:sz w:val="20"/>
                <w:szCs w:val="20"/>
                <w:lang w:eastAsia="en-GB"/>
              </w:rPr>
              <w:br/>
              <w:t>Scenario A</w:t>
            </w:r>
          </w:p>
        </w:tc>
        <w:tc>
          <w:tcPr>
            <w:tcW w:w="1305" w:type="dxa"/>
            <w:tcBorders>
              <w:top w:val="single" w:sz="4" w:space="0" w:color="auto"/>
              <w:left w:val="nil"/>
              <w:bottom w:val="single" w:sz="4" w:space="0" w:color="auto"/>
              <w:right w:val="single" w:sz="4" w:space="0" w:color="auto"/>
            </w:tcBorders>
            <w:shd w:val="clear" w:color="000000" w:fill="EBF1DE"/>
            <w:vAlign w:val="center"/>
            <w:hideMark/>
          </w:tcPr>
          <w:p w14:paraId="3F6BCDE7" w14:textId="537910A7"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Estimated annual contribution 2023-2025</w:t>
            </w:r>
            <w:r w:rsidRPr="000519D4">
              <w:rPr>
                <w:rFonts w:asciiTheme="minorHAnsi" w:eastAsia="Times New Roman" w:hAnsiTheme="minorHAnsi" w:cs="Arial"/>
                <w:b/>
                <w:bCs/>
                <w:sz w:val="20"/>
                <w:szCs w:val="20"/>
                <w:lang w:eastAsia="en-GB"/>
              </w:rPr>
              <w:br/>
              <w:t>Scenario B</w:t>
            </w:r>
          </w:p>
        </w:tc>
        <w:tc>
          <w:tcPr>
            <w:tcW w:w="1306" w:type="dxa"/>
            <w:tcBorders>
              <w:top w:val="single" w:sz="4" w:space="0" w:color="auto"/>
              <w:left w:val="nil"/>
              <w:bottom w:val="single" w:sz="4" w:space="0" w:color="auto"/>
              <w:right w:val="single" w:sz="4" w:space="0" w:color="auto"/>
            </w:tcBorders>
            <w:shd w:val="clear" w:color="000000" w:fill="EBF1DE"/>
            <w:vAlign w:val="center"/>
            <w:hideMark/>
          </w:tcPr>
          <w:p w14:paraId="25C6ED63" w14:textId="721FDB79" w:rsidR="0020791D" w:rsidRPr="001D42CA" w:rsidRDefault="0020791D" w:rsidP="00466A7B">
            <w:pPr>
              <w:ind w:left="0" w:firstLine="0"/>
              <w:jc w:val="center"/>
              <w:rPr>
                <w:rFonts w:asciiTheme="minorHAnsi" w:eastAsia="Times New Roman" w:hAnsiTheme="minorHAnsi" w:cs="Arial"/>
                <w:b/>
                <w:bCs/>
                <w:sz w:val="20"/>
                <w:szCs w:val="20"/>
                <w:lang w:eastAsia="en-GB"/>
              </w:rPr>
            </w:pPr>
            <w:r w:rsidRPr="000519D4">
              <w:rPr>
                <w:rFonts w:asciiTheme="minorHAnsi" w:eastAsia="Times New Roman" w:hAnsiTheme="minorHAnsi" w:cs="Arial"/>
                <w:b/>
                <w:bCs/>
                <w:sz w:val="20"/>
                <w:szCs w:val="20"/>
                <w:lang w:eastAsia="en-GB"/>
              </w:rPr>
              <w:t>Estimated annual contribution 2025</w:t>
            </w:r>
            <w:r w:rsidRPr="000519D4">
              <w:rPr>
                <w:rFonts w:asciiTheme="minorHAnsi" w:eastAsia="Times New Roman" w:hAnsiTheme="minorHAnsi" w:cs="Arial"/>
                <w:b/>
                <w:bCs/>
                <w:sz w:val="20"/>
                <w:szCs w:val="20"/>
                <w:lang w:eastAsia="en-GB"/>
              </w:rPr>
              <w:br/>
              <w:t>Scenario C***</w:t>
            </w:r>
          </w:p>
        </w:tc>
      </w:tr>
      <w:tr w:rsidR="0020791D" w:rsidRPr="001D42CA" w14:paraId="7D982FC0" w14:textId="4CADF75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A0823FD" w14:textId="2F52408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Albania</w:t>
            </w:r>
          </w:p>
        </w:tc>
        <w:tc>
          <w:tcPr>
            <w:tcW w:w="1111" w:type="dxa"/>
            <w:tcBorders>
              <w:top w:val="nil"/>
              <w:left w:val="nil"/>
              <w:bottom w:val="single" w:sz="4" w:space="0" w:color="auto"/>
              <w:right w:val="single" w:sz="4" w:space="0" w:color="auto"/>
            </w:tcBorders>
            <w:shd w:val="clear" w:color="auto" w:fill="auto"/>
            <w:noWrap/>
          </w:tcPr>
          <w:p w14:paraId="7559450F" w14:textId="0181BE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7CBB5615" w14:textId="6973377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3BD535A8" w14:textId="7B2F0ED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9E24F00" w14:textId="4F52F03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9FD9814" w14:textId="5FBA685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0C01261" w14:textId="0D41087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6B7D8EE" w14:textId="25FB8F8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26CE431" w14:textId="39BBD3E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Algeria</w:t>
            </w:r>
          </w:p>
        </w:tc>
        <w:tc>
          <w:tcPr>
            <w:tcW w:w="1111" w:type="dxa"/>
            <w:tcBorders>
              <w:top w:val="nil"/>
              <w:left w:val="nil"/>
              <w:bottom w:val="single" w:sz="4" w:space="0" w:color="auto"/>
              <w:right w:val="single" w:sz="4" w:space="0" w:color="auto"/>
            </w:tcBorders>
            <w:shd w:val="clear" w:color="auto" w:fill="auto"/>
            <w:noWrap/>
          </w:tcPr>
          <w:p w14:paraId="367B06FD" w14:textId="75BD405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0.109</w:t>
            </w:r>
          </w:p>
        </w:tc>
        <w:tc>
          <w:tcPr>
            <w:tcW w:w="1111" w:type="dxa"/>
            <w:tcBorders>
              <w:top w:val="nil"/>
              <w:left w:val="nil"/>
              <w:bottom w:val="single" w:sz="4" w:space="0" w:color="auto"/>
              <w:right w:val="single" w:sz="4" w:space="0" w:color="auto"/>
            </w:tcBorders>
            <w:shd w:val="clear" w:color="auto" w:fill="auto"/>
            <w:noWrap/>
          </w:tcPr>
          <w:p w14:paraId="28C7F3ED" w14:textId="7859903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0.112%</w:t>
            </w:r>
          </w:p>
        </w:tc>
        <w:tc>
          <w:tcPr>
            <w:tcW w:w="1305" w:type="dxa"/>
            <w:tcBorders>
              <w:top w:val="nil"/>
              <w:left w:val="nil"/>
              <w:bottom w:val="single" w:sz="4" w:space="0" w:color="auto"/>
              <w:right w:val="single" w:sz="4" w:space="0" w:color="auto"/>
            </w:tcBorders>
          </w:tcPr>
          <w:p w14:paraId="0B5B7CD3" w14:textId="575A897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6,755</w:t>
            </w:r>
          </w:p>
        </w:tc>
        <w:tc>
          <w:tcPr>
            <w:tcW w:w="1306" w:type="dxa"/>
            <w:tcBorders>
              <w:top w:val="nil"/>
              <w:left w:val="single" w:sz="4" w:space="0" w:color="auto"/>
              <w:bottom w:val="single" w:sz="4" w:space="0" w:color="auto"/>
              <w:right w:val="single" w:sz="4" w:space="0" w:color="auto"/>
            </w:tcBorders>
            <w:shd w:val="clear" w:color="auto" w:fill="auto"/>
            <w:noWrap/>
          </w:tcPr>
          <w:p w14:paraId="19E580AD" w14:textId="7D784E2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5,337</w:t>
            </w:r>
          </w:p>
        </w:tc>
        <w:tc>
          <w:tcPr>
            <w:tcW w:w="1305" w:type="dxa"/>
            <w:tcBorders>
              <w:top w:val="nil"/>
              <w:left w:val="nil"/>
              <w:bottom w:val="single" w:sz="4" w:space="0" w:color="auto"/>
              <w:right w:val="single" w:sz="4" w:space="0" w:color="auto"/>
            </w:tcBorders>
            <w:shd w:val="clear" w:color="auto" w:fill="auto"/>
            <w:noWrap/>
          </w:tcPr>
          <w:p w14:paraId="14861B75" w14:textId="1A5E80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5,480</w:t>
            </w:r>
          </w:p>
        </w:tc>
        <w:tc>
          <w:tcPr>
            <w:tcW w:w="1306" w:type="dxa"/>
            <w:tcBorders>
              <w:top w:val="nil"/>
              <w:left w:val="nil"/>
              <w:bottom w:val="single" w:sz="4" w:space="0" w:color="auto"/>
              <w:right w:val="single" w:sz="4" w:space="0" w:color="auto"/>
            </w:tcBorders>
            <w:shd w:val="clear" w:color="auto" w:fill="auto"/>
            <w:noWrap/>
          </w:tcPr>
          <w:p w14:paraId="77D80A3A" w14:textId="366312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5,746</w:t>
            </w:r>
          </w:p>
        </w:tc>
      </w:tr>
      <w:tr w:rsidR="0020791D" w:rsidRPr="001D42CA" w14:paraId="52451574" w14:textId="41B5D9A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609D64F" w14:textId="5D69786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Andorra</w:t>
            </w:r>
          </w:p>
        </w:tc>
        <w:tc>
          <w:tcPr>
            <w:tcW w:w="1111" w:type="dxa"/>
            <w:tcBorders>
              <w:top w:val="nil"/>
              <w:left w:val="nil"/>
              <w:bottom w:val="single" w:sz="4" w:space="0" w:color="auto"/>
              <w:right w:val="single" w:sz="4" w:space="0" w:color="auto"/>
            </w:tcBorders>
            <w:shd w:val="clear" w:color="auto" w:fill="auto"/>
            <w:noWrap/>
          </w:tcPr>
          <w:p w14:paraId="526F8936" w14:textId="323C49A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1BEFC7C4" w14:textId="4DE358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0789EBBC" w14:textId="47581E8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8CF7A4D" w14:textId="4FD05CE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A93BC7B" w14:textId="12B167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0B292BB" w14:textId="3AE3D81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5029A21" w14:textId="76FA2CB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F54E094" w14:textId="4F00AC25" w:rsidR="0020791D" w:rsidRPr="000519D4" w:rsidRDefault="0020791D" w:rsidP="0020791D">
            <w:pPr>
              <w:ind w:left="0" w:firstLine="0"/>
              <w:rPr>
                <w:rFonts w:asciiTheme="minorHAnsi" w:eastAsia="Times New Roman" w:hAnsiTheme="minorHAnsi" w:cstheme="minorHAnsi"/>
                <w:sz w:val="20"/>
                <w:szCs w:val="20"/>
                <w:lang w:eastAsia="en-GB"/>
              </w:rPr>
            </w:pPr>
            <w:r w:rsidRPr="00E73DED">
              <w:rPr>
                <w:rFonts w:asciiTheme="minorHAnsi" w:hAnsiTheme="minorHAnsi" w:cstheme="minorHAnsi"/>
                <w:sz w:val="20"/>
                <w:szCs w:val="20"/>
              </w:rPr>
              <w:t>Angola</w:t>
            </w:r>
          </w:p>
        </w:tc>
        <w:tc>
          <w:tcPr>
            <w:tcW w:w="1111" w:type="dxa"/>
            <w:tcBorders>
              <w:top w:val="nil"/>
              <w:left w:val="nil"/>
              <w:bottom w:val="single" w:sz="4" w:space="0" w:color="auto"/>
              <w:right w:val="single" w:sz="4" w:space="0" w:color="auto"/>
            </w:tcBorders>
            <w:shd w:val="clear" w:color="auto" w:fill="auto"/>
            <w:noWrap/>
          </w:tcPr>
          <w:p w14:paraId="363854A6" w14:textId="67D8F97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2A1437B4" w14:textId="09E7CF0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1B36D701" w14:textId="1A96FBE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0</w:t>
            </w:r>
          </w:p>
        </w:tc>
        <w:tc>
          <w:tcPr>
            <w:tcW w:w="1306" w:type="dxa"/>
            <w:tcBorders>
              <w:top w:val="nil"/>
              <w:left w:val="single" w:sz="4" w:space="0" w:color="auto"/>
              <w:bottom w:val="single" w:sz="4" w:space="0" w:color="auto"/>
              <w:right w:val="single" w:sz="4" w:space="0" w:color="auto"/>
            </w:tcBorders>
            <w:shd w:val="clear" w:color="auto" w:fill="auto"/>
            <w:noWrap/>
          </w:tcPr>
          <w:p w14:paraId="64A9AE3C" w14:textId="5125338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C8E1653" w14:textId="050B13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1FB68E2" w14:textId="14F7EE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C10E053" w14:textId="67CBE86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FDFBEF3" w14:textId="1332126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Antigua and Barbuda</w:t>
            </w:r>
          </w:p>
        </w:tc>
        <w:tc>
          <w:tcPr>
            <w:tcW w:w="1111" w:type="dxa"/>
            <w:tcBorders>
              <w:top w:val="nil"/>
              <w:left w:val="nil"/>
              <w:bottom w:val="single" w:sz="4" w:space="0" w:color="auto"/>
              <w:right w:val="single" w:sz="4" w:space="0" w:color="auto"/>
            </w:tcBorders>
            <w:shd w:val="clear" w:color="auto" w:fill="auto"/>
            <w:noWrap/>
          </w:tcPr>
          <w:p w14:paraId="25AD5DC0" w14:textId="02F8565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06F250B1" w14:textId="0C15AB3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1B6D270E" w14:textId="2D4A99D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90E43C9" w14:textId="21E2F8B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4B334F" w14:textId="45FDBD4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6FC4DDF" w14:textId="3254340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856888D" w14:textId="7FB4701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7A99E2" w14:textId="1CDF41A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Argentina</w:t>
            </w:r>
          </w:p>
        </w:tc>
        <w:tc>
          <w:tcPr>
            <w:tcW w:w="1111" w:type="dxa"/>
            <w:tcBorders>
              <w:top w:val="nil"/>
              <w:left w:val="nil"/>
              <w:bottom w:val="single" w:sz="4" w:space="0" w:color="auto"/>
              <w:right w:val="single" w:sz="4" w:space="0" w:color="auto"/>
            </w:tcBorders>
            <w:shd w:val="clear" w:color="auto" w:fill="auto"/>
            <w:noWrap/>
          </w:tcPr>
          <w:p w14:paraId="606E42C0" w14:textId="3BE5D9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0.719</w:t>
            </w:r>
          </w:p>
        </w:tc>
        <w:tc>
          <w:tcPr>
            <w:tcW w:w="1111" w:type="dxa"/>
            <w:tcBorders>
              <w:top w:val="nil"/>
              <w:left w:val="nil"/>
              <w:bottom w:val="single" w:sz="4" w:space="0" w:color="auto"/>
              <w:right w:val="single" w:sz="4" w:space="0" w:color="auto"/>
            </w:tcBorders>
            <w:shd w:val="clear" w:color="auto" w:fill="auto"/>
            <w:noWrap/>
          </w:tcPr>
          <w:p w14:paraId="01039CD1" w14:textId="7BCFB14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0.738%</w:t>
            </w:r>
          </w:p>
        </w:tc>
        <w:tc>
          <w:tcPr>
            <w:tcW w:w="1305" w:type="dxa"/>
            <w:tcBorders>
              <w:top w:val="nil"/>
              <w:left w:val="nil"/>
              <w:bottom w:val="single" w:sz="4" w:space="0" w:color="auto"/>
              <w:right w:val="single" w:sz="4" w:space="0" w:color="auto"/>
            </w:tcBorders>
          </w:tcPr>
          <w:p w14:paraId="5B994658" w14:textId="21FDC86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44,786</w:t>
            </w:r>
          </w:p>
        </w:tc>
        <w:tc>
          <w:tcPr>
            <w:tcW w:w="1306" w:type="dxa"/>
            <w:tcBorders>
              <w:top w:val="nil"/>
              <w:left w:val="single" w:sz="4" w:space="0" w:color="auto"/>
              <w:bottom w:val="single" w:sz="4" w:space="0" w:color="auto"/>
              <w:right w:val="single" w:sz="4" w:space="0" w:color="auto"/>
            </w:tcBorders>
            <w:shd w:val="clear" w:color="auto" w:fill="auto"/>
            <w:noWrap/>
          </w:tcPr>
          <w:p w14:paraId="02A3A1F8" w14:textId="458006F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35,204</w:t>
            </w:r>
          </w:p>
        </w:tc>
        <w:tc>
          <w:tcPr>
            <w:tcW w:w="1305" w:type="dxa"/>
            <w:tcBorders>
              <w:top w:val="nil"/>
              <w:left w:val="nil"/>
              <w:bottom w:val="single" w:sz="4" w:space="0" w:color="auto"/>
              <w:right w:val="single" w:sz="4" w:space="0" w:color="auto"/>
            </w:tcBorders>
            <w:shd w:val="clear" w:color="auto" w:fill="auto"/>
            <w:noWrap/>
          </w:tcPr>
          <w:p w14:paraId="5A8968BB" w14:textId="63BED30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36,148</w:t>
            </w:r>
          </w:p>
        </w:tc>
        <w:tc>
          <w:tcPr>
            <w:tcW w:w="1306" w:type="dxa"/>
            <w:tcBorders>
              <w:top w:val="nil"/>
              <w:left w:val="nil"/>
              <w:bottom w:val="single" w:sz="4" w:space="0" w:color="auto"/>
              <w:right w:val="single" w:sz="4" w:space="0" w:color="auto"/>
            </w:tcBorders>
            <w:shd w:val="clear" w:color="auto" w:fill="auto"/>
            <w:noWrap/>
          </w:tcPr>
          <w:p w14:paraId="6483B7C4" w14:textId="2AB2921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37,901</w:t>
            </w:r>
          </w:p>
        </w:tc>
      </w:tr>
      <w:tr w:rsidR="0020791D" w:rsidRPr="001D42CA" w14:paraId="1A587E21" w14:textId="456260D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C1811B" w14:textId="504347D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Armenia</w:t>
            </w:r>
          </w:p>
        </w:tc>
        <w:tc>
          <w:tcPr>
            <w:tcW w:w="1111" w:type="dxa"/>
            <w:tcBorders>
              <w:top w:val="nil"/>
              <w:left w:val="nil"/>
              <w:bottom w:val="single" w:sz="4" w:space="0" w:color="auto"/>
              <w:right w:val="single" w:sz="4" w:space="0" w:color="auto"/>
            </w:tcBorders>
            <w:shd w:val="clear" w:color="auto" w:fill="auto"/>
            <w:noWrap/>
          </w:tcPr>
          <w:p w14:paraId="4C82DAA0" w14:textId="4027C08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530A0297" w14:textId="5012A9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1E2E1B2F" w14:textId="1FFD900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2124C39" w14:textId="222C726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02F9BA" w14:textId="0B7DDBE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433384D" w14:textId="766A63A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8A52E1D" w14:textId="1103365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EB87DC" w14:textId="6A4362F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Australia</w:t>
            </w:r>
          </w:p>
        </w:tc>
        <w:tc>
          <w:tcPr>
            <w:tcW w:w="1111" w:type="dxa"/>
            <w:tcBorders>
              <w:top w:val="nil"/>
              <w:left w:val="nil"/>
              <w:bottom w:val="single" w:sz="4" w:space="0" w:color="auto"/>
              <w:right w:val="single" w:sz="4" w:space="0" w:color="auto"/>
            </w:tcBorders>
            <w:shd w:val="clear" w:color="auto" w:fill="auto"/>
            <w:noWrap/>
          </w:tcPr>
          <w:p w14:paraId="19C7F4E4" w14:textId="3639BF7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2.111</w:t>
            </w:r>
          </w:p>
        </w:tc>
        <w:tc>
          <w:tcPr>
            <w:tcW w:w="1111" w:type="dxa"/>
            <w:tcBorders>
              <w:top w:val="nil"/>
              <w:left w:val="nil"/>
              <w:bottom w:val="single" w:sz="4" w:space="0" w:color="auto"/>
              <w:right w:val="single" w:sz="4" w:space="0" w:color="auto"/>
            </w:tcBorders>
            <w:shd w:val="clear" w:color="auto" w:fill="auto"/>
            <w:noWrap/>
          </w:tcPr>
          <w:p w14:paraId="270A8CDF" w14:textId="6072B7C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2.167%</w:t>
            </w:r>
          </w:p>
        </w:tc>
        <w:tc>
          <w:tcPr>
            <w:tcW w:w="1305" w:type="dxa"/>
            <w:tcBorders>
              <w:top w:val="nil"/>
              <w:left w:val="nil"/>
              <w:bottom w:val="single" w:sz="4" w:space="0" w:color="auto"/>
              <w:right w:val="single" w:sz="4" w:space="0" w:color="auto"/>
            </w:tcBorders>
          </w:tcPr>
          <w:p w14:paraId="44CBBC0B" w14:textId="5D8A2A8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108,171</w:t>
            </w:r>
          </w:p>
        </w:tc>
        <w:tc>
          <w:tcPr>
            <w:tcW w:w="1306" w:type="dxa"/>
            <w:tcBorders>
              <w:top w:val="nil"/>
              <w:left w:val="single" w:sz="4" w:space="0" w:color="auto"/>
              <w:bottom w:val="single" w:sz="4" w:space="0" w:color="auto"/>
              <w:right w:val="single" w:sz="4" w:space="0" w:color="auto"/>
            </w:tcBorders>
            <w:shd w:val="clear" w:color="auto" w:fill="auto"/>
            <w:noWrap/>
          </w:tcPr>
          <w:p w14:paraId="5ACB09C6" w14:textId="69D5A9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103,361</w:t>
            </w:r>
          </w:p>
        </w:tc>
        <w:tc>
          <w:tcPr>
            <w:tcW w:w="1305" w:type="dxa"/>
            <w:tcBorders>
              <w:top w:val="nil"/>
              <w:left w:val="nil"/>
              <w:bottom w:val="single" w:sz="4" w:space="0" w:color="auto"/>
              <w:right w:val="single" w:sz="4" w:space="0" w:color="auto"/>
            </w:tcBorders>
            <w:shd w:val="clear" w:color="auto" w:fill="auto"/>
            <w:noWrap/>
          </w:tcPr>
          <w:p w14:paraId="3A42C4B3" w14:textId="488298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106,131</w:t>
            </w:r>
          </w:p>
        </w:tc>
        <w:tc>
          <w:tcPr>
            <w:tcW w:w="1306" w:type="dxa"/>
            <w:tcBorders>
              <w:top w:val="nil"/>
              <w:left w:val="nil"/>
              <w:bottom w:val="single" w:sz="4" w:space="0" w:color="auto"/>
              <w:right w:val="single" w:sz="4" w:space="0" w:color="auto"/>
            </w:tcBorders>
            <w:shd w:val="clear" w:color="auto" w:fill="auto"/>
            <w:noWrap/>
          </w:tcPr>
          <w:p w14:paraId="2E80E3B7" w14:textId="552B21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111,279</w:t>
            </w:r>
          </w:p>
        </w:tc>
      </w:tr>
      <w:tr w:rsidR="0020791D" w:rsidRPr="001D42CA" w14:paraId="0D84DC32" w14:textId="303667C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E6D8B8" w14:textId="64EB114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Austria</w:t>
            </w:r>
          </w:p>
        </w:tc>
        <w:tc>
          <w:tcPr>
            <w:tcW w:w="1111" w:type="dxa"/>
            <w:tcBorders>
              <w:top w:val="nil"/>
              <w:left w:val="nil"/>
              <w:bottom w:val="single" w:sz="4" w:space="0" w:color="auto"/>
              <w:right w:val="single" w:sz="4" w:space="0" w:color="auto"/>
            </w:tcBorders>
            <w:shd w:val="clear" w:color="auto" w:fill="auto"/>
            <w:noWrap/>
          </w:tcPr>
          <w:p w14:paraId="4A14B793" w14:textId="2901AEC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0.679</w:t>
            </w:r>
          </w:p>
        </w:tc>
        <w:tc>
          <w:tcPr>
            <w:tcW w:w="1111" w:type="dxa"/>
            <w:tcBorders>
              <w:top w:val="nil"/>
              <w:left w:val="nil"/>
              <w:bottom w:val="single" w:sz="4" w:space="0" w:color="auto"/>
              <w:right w:val="single" w:sz="4" w:space="0" w:color="auto"/>
            </w:tcBorders>
            <w:shd w:val="clear" w:color="auto" w:fill="auto"/>
            <w:noWrap/>
          </w:tcPr>
          <w:p w14:paraId="17D36D1A" w14:textId="409BAD3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0.697%</w:t>
            </w:r>
          </w:p>
        </w:tc>
        <w:tc>
          <w:tcPr>
            <w:tcW w:w="1305" w:type="dxa"/>
            <w:tcBorders>
              <w:top w:val="nil"/>
              <w:left w:val="nil"/>
              <w:bottom w:val="single" w:sz="4" w:space="0" w:color="auto"/>
              <w:right w:val="single" w:sz="4" w:space="0" w:color="auto"/>
            </w:tcBorders>
          </w:tcPr>
          <w:p w14:paraId="49721261" w14:textId="188DCD9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33,136</w:t>
            </w:r>
          </w:p>
        </w:tc>
        <w:tc>
          <w:tcPr>
            <w:tcW w:w="1306" w:type="dxa"/>
            <w:tcBorders>
              <w:top w:val="nil"/>
              <w:left w:val="single" w:sz="4" w:space="0" w:color="auto"/>
              <w:bottom w:val="single" w:sz="4" w:space="0" w:color="auto"/>
              <w:right w:val="single" w:sz="4" w:space="0" w:color="auto"/>
            </w:tcBorders>
            <w:shd w:val="clear" w:color="auto" w:fill="auto"/>
            <w:noWrap/>
          </w:tcPr>
          <w:p w14:paraId="250D4B19" w14:textId="56F9D5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33,246</w:t>
            </w:r>
          </w:p>
        </w:tc>
        <w:tc>
          <w:tcPr>
            <w:tcW w:w="1305" w:type="dxa"/>
            <w:tcBorders>
              <w:top w:val="nil"/>
              <w:left w:val="nil"/>
              <w:bottom w:val="single" w:sz="4" w:space="0" w:color="auto"/>
              <w:right w:val="single" w:sz="4" w:space="0" w:color="auto"/>
            </w:tcBorders>
            <w:shd w:val="clear" w:color="auto" w:fill="auto"/>
            <w:noWrap/>
          </w:tcPr>
          <w:p w14:paraId="0A06D0F5" w14:textId="272627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34,137</w:t>
            </w:r>
          </w:p>
        </w:tc>
        <w:tc>
          <w:tcPr>
            <w:tcW w:w="1306" w:type="dxa"/>
            <w:tcBorders>
              <w:top w:val="nil"/>
              <w:left w:val="nil"/>
              <w:bottom w:val="single" w:sz="4" w:space="0" w:color="auto"/>
              <w:right w:val="single" w:sz="4" w:space="0" w:color="auto"/>
            </w:tcBorders>
            <w:shd w:val="clear" w:color="auto" w:fill="auto"/>
            <w:noWrap/>
          </w:tcPr>
          <w:p w14:paraId="428AF66F" w14:textId="7DBD3B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35,793</w:t>
            </w:r>
          </w:p>
        </w:tc>
      </w:tr>
      <w:tr w:rsidR="0020791D" w:rsidRPr="001D42CA" w14:paraId="483FD689" w14:textId="65776C6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000FEE" w14:textId="64C69C2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Azerbaijan</w:t>
            </w:r>
          </w:p>
        </w:tc>
        <w:tc>
          <w:tcPr>
            <w:tcW w:w="1111" w:type="dxa"/>
            <w:tcBorders>
              <w:top w:val="nil"/>
              <w:left w:val="nil"/>
              <w:bottom w:val="single" w:sz="4" w:space="0" w:color="auto"/>
              <w:right w:val="single" w:sz="4" w:space="0" w:color="auto"/>
            </w:tcBorders>
            <w:shd w:val="clear" w:color="auto" w:fill="auto"/>
            <w:noWrap/>
          </w:tcPr>
          <w:p w14:paraId="466FE5EB" w14:textId="3260572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0.030</w:t>
            </w:r>
          </w:p>
        </w:tc>
        <w:tc>
          <w:tcPr>
            <w:tcW w:w="1111" w:type="dxa"/>
            <w:tcBorders>
              <w:top w:val="nil"/>
              <w:left w:val="nil"/>
              <w:bottom w:val="single" w:sz="4" w:space="0" w:color="auto"/>
              <w:right w:val="single" w:sz="4" w:space="0" w:color="auto"/>
            </w:tcBorders>
            <w:shd w:val="clear" w:color="auto" w:fill="auto"/>
            <w:noWrap/>
          </w:tcPr>
          <w:p w14:paraId="4DD434A6" w14:textId="34FC8A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0.031%</w:t>
            </w:r>
          </w:p>
        </w:tc>
        <w:tc>
          <w:tcPr>
            <w:tcW w:w="1305" w:type="dxa"/>
            <w:tcBorders>
              <w:top w:val="nil"/>
              <w:left w:val="nil"/>
              <w:bottom w:val="single" w:sz="4" w:space="0" w:color="auto"/>
              <w:right w:val="single" w:sz="4" w:space="0" w:color="auto"/>
            </w:tcBorders>
          </w:tcPr>
          <w:p w14:paraId="52A63FEC" w14:textId="1315DAB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2,398</w:t>
            </w:r>
          </w:p>
        </w:tc>
        <w:tc>
          <w:tcPr>
            <w:tcW w:w="1306" w:type="dxa"/>
            <w:tcBorders>
              <w:top w:val="nil"/>
              <w:left w:val="single" w:sz="4" w:space="0" w:color="auto"/>
              <w:bottom w:val="single" w:sz="4" w:space="0" w:color="auto"/>
              <w:right w:val="single" w:sz="4" w:space="0" w:color="auto"/>
            </w:tcBorders>
            <w:shd w:val="clear" w:color="auto" w:fill="auto"/>
            <w:noWrap/>
          </w:tcPr>
          <w:p w14:paraId="60F49AB2" w14:textId="3837E0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1,469</w:t>
            </w:r>
          </w:p>
        </w:tc>
        <w:tc>
          <w:tcPr>
            <w:tcW w:w="1305" w:type="dxa"/>
            <w:tcBorders>
              <w:top w:val="nil"/>
              <w:left w:val="nil"/>
              <w:bottom w:val="single" w:sz="4" w:space="0" w:color="auto"/>
              <w:right w:val="single" w:sz="4" w:space="0" w:color="auto"/>
            </w:tcBorders>
            <w:shd w:val="clear" w:color="auto" w:fill="auto"/>
            <w:noWrap/>
          </w:tcPr>
          <w:p w14:paraId="22DF8910" w14:textId="45709A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1,508</w:t>
            </w:r>
          </w:p>
        </w:tc>
        <w:tc>
          <w:tcPr>
            <w:tcW w:w="1306" w:type="dxa"/>
            <w:tcBorders>
              <w:top w:val="nil"/>
              <w:left w:val="nil"/>
              <w:bottom w:val="single" w:sz="4" w:space="0" w:color="auto"/>
              <w:right w:val="single" w:sz="4" w:space="0" w:color="auto"/>
            </w:tcBorders>
            <w:shd w:val="clear" w:color="auto" w:fill="auto"/>
            <w:noWrap/>
          </w:tcPr>
          <w:p w14:paraId="749A01F4" w14:textId="0BDDA1E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1,581</w:t>
            </w:r>
          </w:p>
        </w:tc>
      </w:tr>
      <w:tr w:rsidR="0020791D" w:rsidRPr="001D42CA" w14:paraId="3A46CEEF" w14:textId="7A4F4A4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4161F62" w14:textId="352277E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Bahamas</w:t>
            </w:r>
          </w:p>
        </w:tc>
        <w:tc>
          <w:tcPr>
            <w:tcW w:w="1111" w:type="dxa"/>
            <w:tcBorders>
              <w:top w:val="nil"/>
              <w:left w:val="nil"/>
              <w:bottom w:val="single" w:sz="4" w:space="0" w:color="auto"/>
              <w:right w:val="single" w:sz="4" w:space="0" w:color="auto"/>
            </w:tcBorders>
            <w:shd w:val="clear" w:color="auto" w:fill="auto"/>
            <w:noWrap/>
          </w:tcPr>
          <w:p w14:paraId="6FBED5BB" w14:textId="065F16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071A4CB1" w14:textId="08E022A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474B3A85" w14:textId="4873D6A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6FCC931" w14:textId="4EEF242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ABF1AB0" w14:textId="74DBB64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06FD37E" w14:textId="2BEBD8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1,002</w:t>
            </w:r>
          </w:p>
        </w:tc>
      </w:tr>
      <w:tr w:rsidR="0020791D" w:rsidRPr="001D42CA" w14:paraId="4172525D" w14:textId="4408930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97D7C04" w14:textId="3972C32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Bahrain</w:t>
            </w:r>
          </w:p>
        </w:tc>
        <w:tc>
          <w:tcPr>
            <w:tcW w:w="1111" w:type="dxa"/>
            <w:tcBorders>
              <w:top w:val="nil"/>
              <w:left w:val="nil"/>
              <w:bottom w:val="single" w:sz="4" w:space="0" w:color="auto"/>
              <w:right w:val="single" w:sz="4" w:space="0" w:color="auto"/>
            </w:tcBorders>
            <w:shd w:val="clear" w:color="auto" w:fill="auto"/>
            <w:noWrap/>
          </w:tcPr>
          <w:p w14:paraId="6E0B9372" w14:textId="02B60B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0.054</w:t>
            </w:r>
          </w:p>
        </w:tc>
        <w:tc>
          <w:tcPr>
            <w:tcW w:w="1111" w:type="dxa"/>
            <w:tcBorders>
              <w:top w:val="nil"/>
              <w:left w:val="nil"/>
              <w:bottom w:val="single" w:sz="4" w:space="0" w:color="auto"/>
              <w:right w:val="single" w:sz="4" w:space="0" w:color="auto"/>
            </w:tcBorders>
            <w:shd w:val="clear" w:color="auto" w:fill="auto"/>
            <w:noWrap/>
          </w:tcPr>
          <w:p w14:paraId="4D246F21" w14:textId="1CE2623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0.055%</w:t>
            </w:r>
          </w:p>
        </w:tc>
        <w:tc>
          <w:tcPr>
            <w:tcW w:w="1305" w:type="dxa"/>
            <w:tcBorders>
              <w:top w:val="nil"/>
              <w:left w:val="nil"/>
              <w:bottom w:val="single" w:sz="4" w:space="0" w:color="auto"/>
              <w:right w:val="single" w:sz="4" w:space="0" w:color="auto"/>
            </w:tcBorders>
          </w:tcPr>
          <w:p w14:paraId="1EECB26D" w14:textId="1EFD8A8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2,447</w:t>
            </w:r>
          </w:p>
        </w:tc>
        <w:tc>
          <w:tcPr>
            <w:tcW w:w="1306" w:type="dxa"/>
            <w:tcBorders>
              <w:top w:val="nil"/>
              <w:left w:val="single" w:sz="4" w:space="0" w:color="auto"/>
              <w:bottom w:val="single" w:sz="4" w:space="0" w:color="auto"/>
              <w:right w:val="single" w:sz="4" w:space="0" w:color="auto"/>
            </w:tcBorders>
            <w:shd w:val="clear" w:color="auto" w:fill="auto"/>
            <w:noWrap/>
          </w:tcPr>
          <w:p w14:paraId="09C8226D" w14:textId="2C10E34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2,644</w:t>
            </w:r>
          </w:p>
        </w:tc>
        <w:tc>
          <w:tcPr>
            <w:tcW w:w="1305" w:type="dxa"/>
            <w:tcBorders>
              <w:top w:val="nil"/>
              <w:left w:val="nil"/>
              <w:bottom w:val="single" w:sz="4" w:space="0" w:color="auto"/>
              <w:right w:val="single" w:sz="4" w:space="0" w:color="auto"/>
            </w:tcBorders>
            <w:shd w:val="clear" w:color="auto" w:fill="auto"/>
            <w:noWrap/>
          </w:tcPr>
          <w:p w14:paraId="5DDD767A" w14:textId="296600A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2,715</w:t>
            </w:r>
          </w:p>
        </w:tc>
        <w:tc>
          <w:tcPr>
            <w:tcW w:w="1306" w:type="dxa"/>
            <w:tcBorders>
              <w:top w:val="nil"/>
              <w:left w:val="nil"/>
              <w:bottom w:val="single" w:sz="4" w:space="0" w:color="auto"/>
              <w:right w:val="single" w:sz="4" w:space="0" w:color="auto"/>
            </w:tcBorders>
            <w:shd w:val="clear" w:color="auto" w:fill="auto"/>
            <w:noWrap/>
          </w:tcPr>
          <w:p w14:paraId="14172015" w14:textId="49341D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2,847</w:t>
            </w:r>
          </w:p>
        </w:tc>
      </w:tr>
      <w:tr w:rsidR="0020791D" w:rsidRPr="001D42CA" w14:paraId="2FD0EC71" w14:textId="4EECC20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CE8D1B" w14:textId="46A7DBA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Bangladesh</w:t>
            </w:r>
          </w:p>
        </w:tc>
        <w:tc>
          <w:tcPr>
            <w:tcW w:w="1111" w:type="dxa"/>
            <w:tcBorders>
              <w:top w:val="nil"/>
              <w:left w:val="nil"/>
              <w:bottom w:val="single" w:sz="4" w:space="0" w:color="auto"/>
              <w:right w:val="single" w:sz="4" w:space="0" w:color="auto"/>
            </w:tcBorders>
            <w:shd w:val="clear" w:color="auto" w:fill="auto"/>
            <w:noWrap/>
          </w:tcPr>
          <w:p w14:paraId="64081E0C" w14:textId="30A261F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26759903" w14:textId="6094574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1E46F71F" w14:textId="7FB8EF3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87BDC17" w14:textId="7985D4F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2B70339" w14:textId="5BA8447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2036346" w14:textId="6156600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7F816AE" w14:textId="43C97FB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0B77EC" w14:textId="6352654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Barbados</w:t>
            </w:r>
          </w:p>
        </w:tc>
        <w:tc>
          <w:tcPr>
            <w:tcW w:w="1111" w:type="dxa"/>
            <w:tcBorders>
              <w:top w:val="nil"/>
              <w:left w:val="nil"/>
              <w:bottom w:val="single" w:sz="4" w:space="0" w:color="auto"/>
              <w:right w:val="single" w:sz="4" w:space="0" w:color="auto"/>
            </w:tcBorders>
            <w:shd w:val="clear" w:color="auto" w:fill="auto"/>
            <w:noWrap/>
          </w:tcPr>
          <w:p w14:paraId="3C04A6E0" w14:textId="6B033EC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1982A8E2" w14:textId="768C8C7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791CEE5C" w14:textId="74BD8FA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495A0D8" w14:textId="238324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B4867E5" w14:textId="7C02BBA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3C68578" w14:textId="0FE5E49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C36CCD2" w14:textId="2B350E4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38AF817" w14:textId="5FD3C55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Belarus</w:t>
            </w:r>
          </w:p>
        </w:tc>
        <w:tc>
          <w:tcPr>
            <w:tcW w:w="1111" w:type="dxa"/>
            <w:tcBorders>
              <w:top w:val="nil"/>
              <w:left w:val="nil"/>
              <w:bottom w:val="single" w:sz="4" w:space="0" w:color="auto"/>
              <w:right w:val="single" w:sz="4" w:space="0" w:color="auto"/>
            </w:tcBorders>
            <w:shd w:val="clear" w:color="auto" w:fill="auto"/>
            <w:noWrap/>
          </w:tcPr>
          <w:p w14:paraId="555C4CE4" w14:textId="5A4700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0.041</w:t>
            </w:r>
          </w:p>
        </w:tc>
        <w:tc>
          <w:tcPr>
            <w:tcW w:w="1111" w:type="dxa"/>
            <w:tcBorders>
              <w:top w:val="nil"/>
              <w:left w:val="nil"/>
              <w:bottom w:val="single" w:sz="4" w:space="0" w:color="auto"/>
              <w:right w:val="single" w:sz="4" w:space="0" w:color="auto"/>
            </w:tcBorders>
            <w:shd w:val="clear" w:color="auto" w:fill="auto"/>
            <w:noWrap/>
          </w:tcPr>
          <w:p w14:paraId="50FEAC0E" w14:textId="70EA796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0.042%</w:t>
            </w:r>
          </w:p>
        </w:tc>
        <w:tc>
          <w:tcPr>
            <w:tcW w:w="1305" w:type="dxa"/>
            <w:tcBorders>
              <w:top w:val="nil"/>
              <w:left w:val="nil"/>
              <w:bottom w:val="single" w:sz="4" w:space="0" w:color="auto"/>
              <w:right w:val="single" w:sz="4" w:space="0" w:color="auto"/>
            </w:tcBorders>
          </w:tcPr>
          <w:p w14:paraId="72B573C9" w14:textId="273C098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2,398</w:t>
            </w:r>
          </w:p>
        </w:tc>
        <w:tc>
          <w:tcPr>
            <w:tcW w:w="1306" w:type="dxa"/>
            <w:tcBorders>
              <w:top w:val="nil"/>
              <w:left w:val="single" w:sz="4" w:space="0" w:color="auto"/>
              <w:bottom w:val="single" w:sz="4" w:space="0" w:color="auto"/>
              <w:right w:val="single" w:sz="4" w:space="0" w:color="auto"/>
            </w:tcBorders>
            <w:shd w:val="clear" w:color="auto" w:fill="auto"/>
            <w:noWrap/>
          </w:tcPr>
          <w:p w14:paraId="551B7E22" w14:textId="65F13CC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2,007</w:t>
            </w:r>
          </w:p>
        </w:tc>
        <w:tc>
          <w:tcPr>
            <w:tcW w:w="1305" w:type="dxa"/>
            <w:tcBorders>
              <w:top w:val="nil"/>
              <w:left w:val="nil"/>
              <w:bottom w:val="single" w:sz="4" w:space="0" w:color="auto"/>
              <w:right w:val="single" w:sz="4" w:space="0" w:color="auto"/>
            </w:tcBorders>
            <w:shd w:val="clear" w:color="auto" w:fill="auto"/>
            <w:noWrap/>
          </w:tcPr>
          <w:p w14:paraId="1AC2D185" w14:textId="0AA21CF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2,061</w:t>
            </w:r>
          </w:p>
        </w:tc>
        <w:tc>
          <w:tcPr>
            <w:tcW w:w="1306" w:type="dxa"/>
            <w:tcBorders>
              <w:top w:val="nil"/>
              <w:left w:val="nil"/>
              <w:bottom w:val="single" w:sz="4" w:space="0" w:color="auto"/>
              <w:right w:val="single" w:sz="4" w:space="0" w:color="auto"/>
            </w:tcBorders>
            <w:shd w:val="clear" w:color="auto" w:fill="auto"/>
            <w:noWrap/>
          </w:tcPr>
          <w:p w14:paraId="3EEC95C3" w14:textId="083D5A3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2,161</w:t>
            </w:r>
          </w:p>
        </w:tc>
      </w:tr>
      <w:tr w:rsidR="0020791D" w:rsidRPr="001D42CA" w14:paraId="50482EF0" w14:textId="5219B6A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D5C691C" w14:textId="5A52781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Belgium</w:t>
            </w:r>
          </w:p>
        </w:tc>
        <w:tc>
          <w:tcPr>
            <w:tcW w:w="1111" w:type="dxa"/>
            <w:tcBorders>
              <w:top w:val="nil"/>
              <w:left w:val="nil"/>
              <w:bottom w:val="single" w:sz="4" w:space="0" w:color="auto"/>
              <w:right w:val="single" w:sz="4" w:space="0" w:color="auto"/>
            </w:tcBorders>
            <w:shd w:val="clear" w:color="auto" w:fill="auto"/>
            <w:noWrap/>
          </w:tcPr>
          <w:p w14:paraId="1D392254" w14:textId="28D62E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0.828</w:t>
            </w:r>
          </w:p>
        </w:tc>
        <w:tc>
          <w:tcPr>
            <w:tcW w:w="1111" w:type="dxa"/>
            <w:tcBorders>
              <w:top w:val="nil"/>
              <w:left w:val="nil"/>
              <w:bottom w:val="single" w:sz="4" w:space="0" w:color="auto"/>
              <w:right w:val="single" w:sz="4" w:space="0" w:color="auto"/>
            </w:tcBorders>
            <w:shd w:val="clear" w:color="auto" w:fill="auto"/>
            <w:noWrap/>
          </w:tcPr>
          <w:p w14:paraId="33E6AB1C" w14:textId="3BB2645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0.850%</w:t>
            </w:r>
          </w:p>
        </w:tc>
        <w:tc>
          <w:tcPr>
            <w:tcW w:w="1305" w:type="dxa"/>
            <w:tcBorders>
              <w:top w:val="nil"/>
              <w:left w:val="nil"/>
              <w:bottom w:val="single" w:sz="4" w:space="0" w:color="auto"/>
              <w:right w:val="single" w:sz="4" w:space="0" w:color="auto"/>
            </w:tcBorders>
          </w:tcPr>
          <w:p w14:paraId="2F6AFBE9" w14:textId="454550A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40,185</w:t>
            </w:r>
          </w:p>
        </w:tc>
        <w:tc>
          <w:tcPr>
            <w:tcW w:w="1306" w:type="dxa"/>
            <w:tcBorders>
              <w:top w:val="nil"/>
              <w:left w:val="single" w:sz="4" w:space="0" w:color="auto"/>
              <w:bottom w:val="single" w:sz="4" w:space="0" w:color="auto"/>
              <w:right w:val="single" w:sz="4" w:space="0" w:color="auto"/>
            </w:tcBorders>
            <w:shd w:val="clear" w:color="auto" w:fill="auto"/>
            <w:noWrap/>
          </w:tcPr>
          <w:p w14:paraId="333F2CA9" w14:textId="3627C9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40,541</w:t>
            </w:r>
          </w:p>
        </w:tc>
        <w:tc>
          <w:tcPr>
            <w:tcW w:w="1305" w:type="dxa"/>
            <w:tcBorders>
              <w:top w:val="nil"/>
              <w:left w:val="nil"/>
              <w:bottom w:val="single" w:sz="4" w:space="0" w:color="auto"/>
              <w:right w:val="single" w:sz="4" w:space="0" w:color="auto"/>
            </w:tcBorders>
            <w:shd w:val="clear" w:color="auto" w:fill="auto"/>
            <w:noWrap/>
          </w:tcPr>
          <w:p w14:paraId="19A120EB" w14:textId="5DC4A8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41,628</w:t>
            </w:r>
          </w:p>
        </w:tc>
        <w:tc>
          <w:tcPr>
            <w:tcW w:w="1306" w:type="dxa"/>
            <w:tcBorders>
              <w:top w:val="nil"/>
              <w:left w:val="nil"/>
              <w:bottom w:val="single" w:sz="4" w:space="0" w:color="auto"/>
              <w:right w:val="single" w:sz="4" w:space="0" w:color="auto"/>
            </w:tcBorders>
            <w:shd w:val="clear" w:color="auto" w:fill="auto"/>
            <w:noWrap/>
          </w:tcPr>
          <w:p w14:paraId="5578A2D3" w14:textId="5C813B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43,647</w:t>
            </w:r>
          </w:p>
        </w:tc>
      </w:tr>
      <w:tr w:rsidR="0020791D" w:rsidRPr="001D42CA" w14:paraId="5A0E7291" w14:textId="2F16115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3D7DF5" w14:textId="5043FDD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Belize</w:t>
            </w:r>
          </w:p>
        </w:tc>
        <w:tc>
          <w:tcPr>
            <w:tcW w:w="1111" w:type="dxa"/>
            <w:tcBorders>
              <w:top w:val="nil"/>
              <w:left w:val="nil"/>
              <w:bottom w:val="single" w:sz="4" w:space="0" w:color="auto"/>
              <w:right w:val="single" w:sz="4" w:space="0" w:color="auto"/>
            </w:tcBorders>
            <w:shd w:val="clear" w:color="auto" w:fill="auto"/>
            <w:noWrap/>
          </w:tcPr>
          <w:p w14:paraId="5E1618DD" w14:textId="5B6E296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0C4AFAE" w14:textId="2C3717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EA0450F" w14:textId="0F334E9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4944E12" w14:textId="364EF8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883FAA8" w14:textId="35A870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A33CB02" w14:textId="19DF25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CE4F31A" w14:textId="068F8FD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4E05A1" w14:textId="580AC39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Benin</w:t>
            </w:r>
          </w:p>
        </w:tc>
        <w:tc>
          <w:tcPr>
            <w:tcW w:w="1111" w:type="dxa"/>
            <w:tcBorders>
              <w:top w:val="nil"/>
              <w:left w:val="nil"/>
              <w:bottom w:val="single" w:sz="4" w:space="0" w:color="auto"/>
              <w:right w:val="single" w:sz="4" w:space="0" w:color="auto"/>
            </w:tcBorders>
            <w:shd w:val="clear" w:color="auto" w:fill="auto"/>
            <w:noWrap/>
          </w:tcPr>
          <w:p w14:paraId="073AF358" w14:textId="2FFE7DE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7B962233" w14:textId="5130DF0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701DDA9B" w14:textId="3E5AB45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9AAF750" w14:textId="3585FBE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EDE8A69" w14:textId="3D8EBBB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A70A985" w14:textId="27C3FAB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1ADA0136" w14:textId="4B4CDCB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64F388F" w14:textId="2C8AE8D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Bhutan</w:t>
            </w:r>
          </w:p>
        </w:tc>
        <w:tc>
          <w:tcPr>
            <w:tcW w:w="1111" w:type="dxa"/>
            <w:tcBorders>
              <w:top w:val="nil"/>
              <w:left w:val="nil"/>
              <w:bottom w:val="single" w:sz="4" w:space="0" w:color="auto"/>
              <w:right w:val="single" w:sz="4" w:space="0" w:color="auto"/>
            </w:tcBorders>
            <w:shd w:val="clear" w:color="auto" w:fill="auto"/>
            <w:noWrap/>
          </w:tcPr>
          <w:p w14:paraId="5839B990" w14:textId="6812B83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3990ADA4" w14:textId="313341A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C4DF1B0" w14:textId="38C67F3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E624EBB" w14:textId="445858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C735A31" w14:textId="29FCF7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057BFD4" w14:textId="68B99CF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91886AA" w14:textId="055140C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86D36A1" w14:textId="6B0945E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Bolivia (Plurinational State of)</w:t>
            </w:r>
          </w:p>
        </w:tc>
        <w:tc>
          <w:tcPr>
            <w:tcW w:w="1111" w:type="dxa"/>
            <w:tcBorders>
              <w:top w:val="nil"/>
              <w:left w:val="nil"/>
              <w:bottom w:val="single" w:sz="4" w:space="0" w:color="auto"/>
              <w:right w:val="single" w:sz="4" w:space="0" w:color="auto"/>
            </w:tcBorders>
            <w:shd w:val="clear" w:color="auto" w:fill="auto"/>
            <w:noWrap/>
          </w:tcPr>
          <w:p w14:paraId="50D5994D" w14:textId="5DCB99D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2D66FE82" w14:textId="66D9AEB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47348035" w14:textId="320B77F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33E8B67" w14:textId="253D99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176E7E0" w14:textId="5C224F8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9AA6712" w14:textId="2B51236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1,002</w:t>
            </w:r>
          </w:p>
        </w:tc>
      </w:tr>
      <w:tr w:rsidR="0020791D" w:rsidRPr="001D42CA" w14:paraId="7F4F3FD7" w14:textId="0ACC482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CF307D1" w14:textId="7FA84D9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Bosnia and Herzegovina</w:t>
            </w:r>
          </w:p>
        </w:tc>
        <w:tc>
          <w:tcPr>
            <w:tcW w:w="1111" w:type="dxa"/>
            <w:tcBorders>
              <w:top w:val="nil"/>
              <w:left w:val="nil"/>
              <w:bottom w:val="single" w:sz="4" w:space="0" w:color="auto"/>
              <w:right w:val="single" w:sz="4" w:space="0" w:color="auto"/>
            </w:tcBorders>
            <w:shd w:val="clear" w:color="auto" w:fill="auto"/>
            <w:noWrap/>
          </w:tcPr>
          <w:p w14:paraId="227FB186" w14:textId="76B59A4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0.012</w:t>
            </w:r>
          </w:p>
        </w:tc>
        <w:tc>
          <w:tcPr>
            <w:tcW w:w="1111" w:type="dxa"/>
            <w:tcBorders>
              <w:top w:val="nil"/>
              <w:left w:val="nil"/>
              <w:bottom w:val="single" w:sz="4" w:space="0" w:color="auto"/>
              <w:right w:val="single" w:sz="4" w:space="0" w:color="auto"/>
            </w:tcBorders>
            <w:shd w:val="clear" w:color="auto" w:fill="auto"/>
            <w:noWrap/>
          </w:tcPr>
          <w:p w14:paraId="17CA17EE" w14:textId="2FECA2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0.012%</w:t>
            </w:r>
          </w:p>
        </w:tc>
        <w:tc>
          <w:tcPr>
            <w:tcW w:w="1305" w:type="dxa"/>
            <w:tcBorders>
              <w:top w:val="nil"/>
              <w:left w:val="nil"/>
              <w:bottom w:val="single" w:sz="4" w:space="0" w:color="auto"/>
              <w:right w:val="single" w:sz="4" w:space="0" w:color="auto"/>
            </w:tcBorders>
          </w:tcPr>
          <w:p w14:paraId="32590AD0" w14:textId="7D05F26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F04CC6B" w14:textId="44274A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622FF3C" w14:textId="1CE69A2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7A67CE1" w14:textId="55B4AE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8F17AB9" w14:textId="5BD44A3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51091A" w14:textId="608553F1"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Botswana</w:t>
            </w:r>
          </w:p>
        </w:tc>
        <w:tc>
          <w:tcPr>
            <w:tcW w:w="1111" w:type="dxa"/>
            <w:tcBorders>
              <w:top w:val="nil"/>
              <w:left w:val="nil"/>
              <w:bottom w:val="single" w:sz="4" w:space="0" w:color="auto"/>
              <w:right w:val="single" w:sz="4" w:space="0" w:color="auto"/>
            </w:tcBorders>
            <w:shd w:val="clear" w:color="auto" w:fill="auto"/>
            <w:noWrap/>
          </w:tcPr>
          <w:p w14:paraId="25D6F6CD" w14:textId="75F241C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0.015</w:t>
            </w:r>
          </w:p>
        </w:tc>
        <w:tc>
          <w:tcPr>
            <w:tcW w:w="1111" w:type="dxa"/>
            <w:tcBorders>
              <w:top w:val="nil"/>
              <w:left w:val="nil"/>
              <w:bottom w:val="single" w:sz="4" w:space="0" w:color="auto"/>
              <w:right w:val="single" w:sz="4" w:space="0" w:color="auto"/>
            </w:tcBorders>
            <w:shd w:val="clear" w:color="auto" w:fill="auto"/>
            <w:noWrap/>
          </w:tcPr>
          <w:p w14:paraId="42C6CD78" w14:textId="69D176F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0.015%</w:t>
            </w:r>
          </w:p>
        </w:tc>
        <w:tc>
          <w:tcPr>
            <w:tcW w:w="1305" w:type="dxa"/>
            <w:tcBorders>
              <w:top w:val="nil"/>
              <w:left w:val="nil"/>
              <w:bottom w:val="single" w:sz="4" w:space="0" w:color="auto"/>
              <w:right w:val="single" w:sz="4" w:space="0" w:color="auto"/>
            </w:tcBorders>
          </w:tcPr>
          <w:p w14:paraId="3E1D00D7" w14:textId="549F51F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FC55ADF" w14:textId="1D00ADE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13BF487" w14:textId="1CCB93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420BEE0" w14:textId="48D344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C1C2278" w14:textId="6188AA3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FDFEBF" w14:textId="06554FA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Brazil</w:t>
            </w:r>
          </w:p>
        </w:tc>
        <w:tc>
          <w:tcPr>
            <w:tcW w:w="1111" w:type="dxa"/>
            <w:tcBorders>
              <w:top w:val="nil"/>
              <w:left w:val="nil"/>
              <w:bottom w:val="single" w:sz="4" w:space="0" w:color="auto"/>
              <w:right w:val="single" w:sz="4" w:space="0" w:color="auto"/>
            </w:tcBorders>
            <w:shd w:val="clear" w:color="auto" w:fill="auto"/>
            <w:noWrap/>
          </w:tcPr>
          <w:p w14:paraId="2522C2AD" w14:textId="11DCE4A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2.013</w:t>
            </w:r>
          </w:p>
        </w:tc>
        <w:tc>
          <w:tcPr>
            <w:tcW w:w="1111" w:type="dxa"/>
            <w:tcBorders>
              <w:top w:val="nil"/>
              <w:left w:val="nil"/>
              <w:bottom w:val="single" w:sz="4" w:space="0" w:color="auto"/>
              <w:right w:val="single" w:sz="4" w:space="0" w:color="auto"/>
            </w:tcBorders>
            <w:shd w:val="clear" w:color="auto" w:fill="auto"/>
            <w:noWrap/>
          </w:tcPr>
          <w:p w14:paraId="41931FCB" w14:textId="623BA1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2.067%</w:t>
            </w:r>
          </w:p>
        </w:tc>
        <w:tc>
          <w:tcPr>
            <w:tcW w:w="1305" w:type="dxa"/>
            <w:tcBorders>
              <w:top w:val="nil"/>
              <w:left w:val="nil"/>
              <w:bottom w:val="single" w:sz="4" w:space="0" w:color="auto"/>
              <w:right w:val="single" w:sz="4" w:space="0" w:color="auto"/>
            </w:tcBorders>
          </w:tcPr>
          <w:p w14:paraId="56CD3A40" w14:textId="7F175D1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144,293</w:t>
            </w:r>
          </w:p>
        </w:tc>
        <w:tc>
          <w:tcPr>
            <w:tcW w:w="1306" w:type="dxa"/>
            <w:tcBorders>
              <w:top w:val="nil"/>
              <w:left w:val="single" w:sz="4" w:space="0" w:color="auto"/>
              <w:bottom w:val="single" w:sz="4" w:space="0" w:color="auto"/>
              <w:right w:val="single" w:sz="4" w:space="0" w:color="auto"/>
            </w:tcBorders>
            <w:shd w:val="clear" w:color="auto" w:fill="auto"/>
            <w:noWrap/>
          </w:tcPr>
          <w:p w14:paraId="44378A62" w14:textId="79B6043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98,562</w:t>
            </w:r>
          </w:p>
        </w:tc>
        <w:tc>
          <w:tcPr>
            <w:tcW w:w="1305" w:type="dxa"/>
            <w:tcBorders>
              <w:top w:val="nil"/>
              <w:left w:val="nil"/>
              <w:bottom w:val="single" w:sz="4" w:space="0" w:color="auto"/>
              <w:right w:val="single" w:sz="4" w:space="0" w:color="auto"/>
            </w:tcBorders>
            <w:shd w:val="clear" w:color="auto" w:fill="auto"/>
            <w:noWrap/>
          </w:tcPr>
          <w:p w14:paraId="21C4B110" w14:textId="652173E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101,204</w:t>
            </w:r>
          </w:p>
        </w:tc>
        <w:tc>
          <w:tcPr>
            <w:tcW w:w="1306" w:type="dxa"/>
            <w:tcBorders>
              <w:top w:val="nil"/>
              <w:left w:val="nil"/>
              <w:bottom w:val="single" w:sz="4" w:space="0" w:color="auto"/>
              <w:right w:val="single" w:sz="4" w:space="0" w:color="auto"/>
            </w:tcBorders>
            <w:shd w:val="clear" w:color="auto" w:fill="auto"/>
            <w:noWrap/>
          </w:tcPr>
          <w:p w14:paraId="11C97607" w14:textId="4F677A9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106,113</w:t>
            </w:r>
          </w:p>
        </w:tc>
      </w:tr>
      <w:tr w:rsidR="0020791D" w:rsidRPr="001D42CA" w14:paraId="26AEE584" w14:textId="6E08AF9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E634BC2" w14:textId="73084D9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Bulgaria</w:t>
            </w:r>
          </w:p>
        </w:tc>
        <w:tc>
          <w:tcPr>
            <w:tcW w:w="1111" w:type="dxa"/>
            <w:tcBorders>
              <w:top w:val="nil"/>
              <w:left w:val="nil"/>
              <w:bottom w:val="single" w:sz="4" w:space="0" w:color="auto"/>
              <w:right w:val="single" w:sz="4" w:space="0" w:color="auto"/>
            </w:tcBorders>
            <w:shd w:val="clear" w:color="auto" w:fill="auto"/>
            <w:noWrap/>
          </w:tcPr>
          <w:p w14:paraId="225E2D1E" w14:textId="209694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0.056</w:t>
            </w:r>
          </w:p>
        </w:tc>
        <w:tc>
          <w:tcPr>
            <w:tcW w:w="1111" w:type="dxa"/>
            <w:tcBorders>
              <w:top w:val="nil"/>
              <w:left w:val="nil"/>
              <w:bottom w:val="single" w:sz="4" w:space="0" w:color="auto"/>
              <w:right w:val="single" w:sz="4" w:space="0" w:color="auto"/>
            </w:tcBorders>
            <w:shd w:val="clear" w:color="auto" w:fill="auto"/>
            <w:noWrap/>
          </w:tcPr>
          <w:p w14:paraId="11F590FF" w14:textId="4BD3328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0.057%</w:t>
            </w:r>
          </w:p>
        </w:tc>
        <w:tc>
          <w:tcPr>
            <w:tcW w:w="1305" w:type="dxa"/>
            <w:tcBorders>
              <w:top w:val="nil"/>
              <w:left w:val="nil"/>
              <w:bottom w:val="single" w:sz="4" w:space="0" w:color="auto"/>
              <w:right w:val="single" w:sz="4" w:space="0" w:color="auto"/>
            </w:tcBorders>
          </w:tcPr>
          <w:p w14:paraId="3BAC3017" w14:textId="3E5C4E8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2,252</w:t>
            </w:r>
          </w:p>
        </w:tc>
        <w:tc>
          <w:tcPr>
            <w:tcW w:w="1306" w:type="dxa"/>
            <w:tcBorders>
              <w:top w:val="nil"/>
              <w:left w:val="single" w:sz="4" w:space="0" w:color="auto"/>
              <w:bottom w:val="single" w:sz="4" w:space="0" w:color="auto"/>
              <w:right w:val="single" w:sz="4" w:space="0" w:color="auto"/>
            </w:tcBorders>
            <w:shd w:val="clear" w:color="auto" w:fill="auto"/>
            <w:noWrap/>
          </w:tcPr>
          <w:p w14:paraId="14C849DA" w14:textId="1A409BF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2,742</w:t>
            </w:r>
          </w:p>
        </w:tc>
        <w:tc>
          <w:tcPr>
            <w:tcW w:w="1305" w:type="dxa"/>
            <w:tcBorders>
              <w:top w:val="nil"/>
              <w:left w:val="nil"/>
              <w:bottom w:val="single" w:sz="4" w:space="0" w:color="auto"/>
              <w:right w:val="single" w:sz="4" w:space="0" w:color="auto"/>
            </w:tcBorders>
            <w:shd w:val="clear" w:color="auto" w:fill="auto"/>
            <w:noWrap/>
          </w:tcPr>
          <w:p w14:paraId="62C5E10C" w14:textId="1FF5EC2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2,815</w:t>
            </w:r>
          </w:p>
        </w:tc>
        <w:tc>
          <w:tcPr>
            <w:tcW w:w="1306" w:type="dxa"/>
            <w:tcBorders>
              <w:top w:val="nil"/>
              <w:left w:val="nil"/>
              <w:bottom w:val="single" w:sz="4" w:space="0" w:color="auto"/>
              <w:right w:val="single" w:sz="4" w:space="0" w:color="auto"/>
            </w:tcBorders>
            <w:shd w:val="clear" w:color="auto" w:fill="auto"/>
            <w:noWrap/>
          </w:tcPr>
          <w:p w14:paraId="5C5773AE" w14:textId="3871373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2,952</w:t>
            </w:r>
          </w:p>
        </w:tc>
      </w:tr>
      <w:tr w:rsidR="0020791D" w:rsidRPr="001D42CA" w14:paraId="7A883E1C" w14:textId="0694F0D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EA7BEA4" w14:textId="6F24BF1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Burkina Faso</w:t>
            </w:r>
          </w:p>
        </w:tc>
        <w:tc>
          <w:tcPr>
            <w:tcW w:w="1111" w:type="dxa"/>
            <w:tcBorders>
              <w:top w:val="nil"/>
              <w:left w:val="nil"/>
              <w:bottom w:val="single" w:sz="4" w:space="0" w:color="auto"/>
              <w:right w:val="single" w:sz="4" w:space="0" w:color="auto"/>
            </w:tcBorders>
            <w:shd w:val="clear" w:color="auto" w:fill="auto"/>
            <w:noWrap/>
          </w:tcPr>
          <w:p w14:paraId="24494A35" w14:textId="6FC3E39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2AB0A8AC" w14:textId="48FE289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26C6C65F" w14:textId="763E141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643AB05" w14:textId="57BDC8A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D04C52A" w14:textId="020368F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B0CE11B" w14:textId="57DE8D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844D64A" w14:textId="54E618C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7C3C1D1" w14:textId="58CB872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Burundi</w:t>
            </w:r>
          </w:p>
        </w:tc>
        <w:tc>
          <w:tcPr>
            <w:tcW w:w="1111" w:type="dxa"/>
            <w:tcBorders>
              <w:top w:val="nil"/>
              <w:left w:val="nil"/>
              <w:bottom w:val="single" w:sz="4" w:space="0" w:color="auto"/>
              <w:right w:val="single" w:sz="4" w:space="0" w:color="auto"/>
            </w:tcBorders>
            <w:shd w:val="clear" w:color="auto" w:fill="auto"/>
            <w:noWrap/>
          </w:tcPr>
          <w:p w14:paraId="0BEF5342" w14:textId="130D68A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7759C6C4" w14:textId="04753F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609AFA3C" w14:textId="4694CDC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A2B4B75" w14:textId="32B4E3F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9FAA3E3" w14:textId="0DAE3D2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F6E3A3F" w14:textId="706DCD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03CF07F" w14:textId="25D735B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3DDCF18" w14:textId="4979040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Cabo Verde</w:t>
            </w:r>
          </w:p>
        </w:tc>
        <w:tc>
          <w:tcPr>
            <w:tcW w:w="1111" w:type="dxa"/>
            <w:tcBorders>
              <w:top w:val="nil"/>
              <w:left w:val="nil"/>
              <w:bottom w:val="single" w:sz="4" w:space="0" w:color="auto"/>
              <w:right w:val="single" w:sz="4" w:space="0" w:color="auto"/>
            </w:tcBorders>
            <w:shd w:val="clear" w:color="auto" w:fill="auto"/>
            <w:noWrap/>
          </w:tcPr>
          <w:p w14:paraId="6F5E8915" w14:textId="429C171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8BDE1C5" w14:textId="792EE7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7C8349C2" w14:textId="55A64F6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78AEED9" w14:textId="347EB8C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7F9E216" w14:textId="4EEC39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8632503" w14:textId="5766ED3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4952308" w14:textId="4DCBF32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CE2E8B1" w14:textId="39E823C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Cambodia</w:t>
            </w:r>
          </w:p>
        </w:tc>
        <w:tc>
          <w:tcPr>
            <w:tcW w:w="1111" w:type="dxa"/>
            <w:tcBorders>
              <w:top w:val="nil"/>
              <w:left w:val="nil"/>
              <w:bottom w:val="single" w:sz="4" w:space="0" w:color="auto"/>
              <w:right w:val="single" w:sz="4" w:space="0" w:color="auto"/>
            </w:tcBorders>
            <w:shd w:val="clear" w:color="auto" w:fill="auto"/>
            <w:noWrap/>
          </w:tcPr>
          <w:p w14:paraId="68059CC0" w14:textId="19B0D87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3A5B60CB" w14:textId="306C30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60BE2CD1" w14:textId="68424BD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9D2CED" w14:textId="53B1A2C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ED1707D" w14:textId="6054D3F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3D556EE" w14:textId="3153B3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F51E824" w14:textId="31778CB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86DBF2D" w14:textId="50DE2C0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Cameroon</w:t>
            </w:r>
          </w:p>
        </w:tc>
        <w:tc>
          <w:tcPr>
            <w:tcW w:w="1111" w:type="dxa"/>
            <w:tcBorders>
              <w:top w:val="nil"/>
              <w:left w:val="nil"/>
              <w:bottom w:val="single" w:sz="4" w:space="0" w:color="auto"/>
              <w:right w:val="single" w:sz="4" w:space="0" w:color="auto"/>
            </w:tcBorders>
            <w:shd w:val="clear" w:color="auto" w:fill="auto"/>
            <w:noWrap/>
          </w:tcPr>
          <w:p w14:paraId="154BEFF3" w14:textId="764B959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111" w:type="dxa"/>
            <w:tcBorders>
              <w:top w:val="nil"/>
              <w:left w:val="nil"/>
              <w:bottom w:val="single" w:sz="4" w:space="0" w:color="auto"/>
              <w:right w:val="single" w:sz="4" w:space="0" w:color="auto"/>
            </w:tcBorders>
            <w:shd w:val="clear" w:color="auto" w:fill="auto"/>
            <w:noWrap/>
          </w:tcPr>
          <w:p w14:paraId="1D410583" w14:textId="4CB63FD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305" w:type="dxa"/>
            <w:tcBorders>
              <w:top w:val="nil"/>
              <w:left w:val="nil"/>
              <w:bottom w:val="single" w:sz="4" w:space="0" w:color="auto"/>
              <w:right w:val="single" w:sz="4" w:space="0" w:color="auto"/>
            </w:tcBorders>
          </w:tcPr>
          <w:p w14:paraId="39F3E9E6" w14:textId="52651E6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27D29F6" w14:textId="7ACA322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6BFA51F" w14:textId="68C0F78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12E7F8A" w14:textId="4DE5A76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4B28DCE" w14:textId="7C6BA1D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43832C" w14:textId="7B94720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Canada</w:t>
            </w:r>
          </w:p>
        </w:tc>
        <w:tc>
          <w:tcPr>
            <w:tcW w:w="1111" w:type="dxa"/>
            <w:tcBorders>
              <w:top w:val="nil"/>
              <w:left w:val="nil"/>
              <w:bottom w:val="single" w:sz="4" w:space="0" w:color="auto"/>
              <w:right w:val="single" w:sz="4" w:space="0" w:color="auto"/>
            </w:tcBorders>
            <w:shd w:val="clear" w:color="auto" w:fill="auto"/>
            <w:noWrap/>
          </w:tcPr>
          <w:p w14:paraId="7D0BFD81" w14:textId="08E801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2.628</w:t>
            </w:r>
          </w:p>
        </w:tc>
        <w:tc>
          <w:tcPr>
            <w:tcW w:w="1111" w:type="dxa"/>
            <w:tcBorders>
              <w:top w:val="nil"/>
              <w:left w:val="nil"/>
              <w:bottom w:val="single" w:sz="4" w:space="0" w:color="auto"/>
              <w:right w:val="single" w:sz="4" w:space="0" w:color="auto"/>
            </w:tcBorders>
            <w:shd w:val="clear" w:color="auto" w:fill="auto"/>
            <w:noWrap/>
          </w:tcPr>
          <w:p w14:paraId="50094BDA" w14:textId="47977F4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2.698%</w:t>
            </w:r>
          </w:p>
        </w:tc>
        <w:tc>
          <w:tcPr>
            <w:tcW w:w="1305" w:type="dxa"/>
            <w:tcBorders>
              <w:top w:val="nil"/>
              <w:left w:val="nil"/>
              <w:bottom w:val="single" w:sz="4" w:space="0" w:color="auto"/>
              <w:right w:val="single" w:sz="4" w:space="0" w:color="auto"/>
            </w:tcBorders>
          </w:tcPr>
          <w:p w14:paraId="6C2F8E7B" w14:textId="0C4C02FA"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133,818</w:t>
            </w:r>
          </w:p>
        </w:tc>
        <w:tc>
          <w:tcPr>
            <w:tcW w:w="1306" w:type="dxa"/>
            <w:tcBorders>
              <w:top w:val="nil"/>
              <w:left w:val="single" w:sz="4" w:space="0" w:color="auto"/>
              <w:bottom w:val="single" w:sz="4" w:space="0" w:color="auto"/>
              <w:right w:val="single" w:sz="4" w:space="0" w:color="auto"/>
            </w:tcBorders>
            <w:shd w:val="clear" w:color="auto" w:fill="auto"/>
            <w:noWrap/>
          </w:tcPr>
          <w:p w14:paraId="0FAFCC21" w14:textId="5D60F8A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128,674</w:t>
            </w:r>
          </w:p>
        </w:tc>
        <w:tc>
          <w:tcPr>
            <w:tcW w:w="1305" w:type="dxa"/>
            <w:tcBorders>
              <w:top w:val="nil"/>
              <w:left w:val="nil"/>
              <w:bottom w:val="single" w:sz="4" w:space="0" w:color="auto"/>
              <w:right w:val="single" w:sz="4" w:space="0" w:color="auto"/>
            </w:tcBorders>
            <w:shd w:val="clear" w:color="auto" w:fill="auto"/>
            <w:noWrap/>
          </w:tcPr>
          <w:p w14:paraId="6636D0F9" w14:textId="6D6AC13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132,123</w:t>
            </w:r>
          </w:p>
        </w:tc>
        <w:tc>
          <w:tcPr>
            <w:tcW w:w="1306" w:type="dxa"/>
            <w:tcBorders>
              <w:top w:val="nil"/>
              <w:left w:val="nil"/>
              <w:bottom w:val="single" w:sz="4" w:space="0" w:color="auto"/>
              <w:right w:val="single" w:sz="4" w:space="0" w:color="auto"/>
            </w:tcBorders>
            <w:shd w:val="clear" w:color="auto" w:fill="auto"/>
            <w:noWrap/>
          </w:tcPr>
          <w:p w14:paraId="5FFBC921" w14:textId="33844F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138,532</w:t>
            </w:r>
          </w:p>
        </w:tc>
      </w:tr>
      <w:tr w:rsidR="0020791D" w:rsidRPr="001D42CA" w14:paraId="380E592C" w14:textId="15468C3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0F6FCD8" w14:textId="0911DD1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Central African Republic</w:t>
            </w:r>
          </w:p>
        </w:tc>
        <w:tc>
          <w:tcPr>
            <w:tcW w:w="1111" w:type="dxa"/>
            <w:tcBorders>
              <w:top w:val="nil"/>
              <w:left w:val="nil"/>
              <w:bottom w:val="single" w:sz="4" w:space="0" w:color="auto"/>
              <w:right w:val="single" w:sz="4" w:space="0" w:color="auto"/>
            </w:tcBorders>
            <w:shd w:val="clear" w:color="auto" w:fill="auto"/>
            <w:noWrap/>
          </w:tcPr>
          <w:p w14:paraId="1E4E9841" w14:textId="0D5AE1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4833A86A" w14:textId="7295E67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1DC159BC" w14:textId="5B1AF51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D0D5B2" w14:textId="7779FBE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6A2CE1A" w14:textId="1E16303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EC99D62" w14:textId="5445111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1DB5CFD" w14:textId="03CACB4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7FB6F1" w14:textId="615D20E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Chad</w:t>
            </w:r>
          </w:p>
        </w:tc>
        <w:tc>
          <w:tcPr>
            <w:tcW w:w="1111" w:type="dxa"/>
            <w:tcBorders>
              <w:top w:val="nil"/>
              <w:left w:val="nil"/>
              <w:bottom w:val="single" w:sz="4" w:space="0" w:color="auto"/>
              <w:right w:val="single" w:sz="4" w:space="0" w:color="auto"/>
            </w:tcBorders>
            <w:shd w:val="clear" w:color="auto" w:fill="auto"/>
            <w:noWrap/>
          </w:tcPr>
          <w:p w14:paraId="5399F9BE" w14:textId="4CC456E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550EBEB8" w14:textId="23477D9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0CFD5D77" w14:textId="3438EC5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1B78ABC" w14:textId="1D9C372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9522BBB" w14:textId="79D8A6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064922F" w14:textId="077BE52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4A03588" w14:textId="08D6274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78B4AF4" w14:textId="4BBFAD1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Chile</w:t>
            </w:r>
          </w:p>
        </w:tc>
        <w:tc>
          <w:tcPr>
            <w:tcW w:w="1111" w:type="dxa"/>
            <w:tcBorders>
              <w:top w:val="nil"/>
              <w:left w:val="nil"/>
              <w:bottom w:val="single" w:sz="4" w:space="0" w:color="auto"/>
              <w:right w:val="single" w:sz="4" w:space="0" w:color="auto"/>
            </w:tcBorders>
            <w:shd w:val="clear" w:color="auto" w:fill="auto"/>
            <w:noWrap/>
          </w:tcPr>
          <w:p w14:paraId="05C71BA1" w14:textId="135F8B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0.420</w:t>
            </w:r>
          </w:p>
        </w:tc>
        <w:tc>
          <w:tcPr>
            <w:tcW w:w="1111" w:type="dxa"/>
            <w:tcBorders>
              <w:top w:val="nil"/>
              <w:left w:val="nil"/>
              <w:bottom w:val="single" w:sz="4" w:space="0" w:color="auto"/>
              <w:right w:val="single" w:sz="4" w:space="0" w:color="auto"/>
            </w:tcBorders>
            <w:shd w:val="clear" w:color="auto" w:fill="auto"/>
            <w:noWrap/>
          </w:tcPr>
          <w:p w14:paraId="427BB0AD" w14:textId="53754A3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0.431%</w:t>
            </w:r>
          </w:p>
        </w:tc>
        <w:tc>
          <w:tcPr>
            <w:tcW w:w="1305" w:type="dxa"/>
            <w:tcBorders>
              <w:top w:val="nil"/>
              <w:left w:val="nil"/>
              <w:bottom w:val="single" w:sz="4" w:space="0" w:color="auto"/>
              <w:right w:val="single" w:sz="4" w:space="0" w:color="auto"/>
            </w:tcBorders>
          </w:tcPr>
          <w:p w14:paraId="2430F9F5" w14:textId="06CE900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19,921</w:t>
            </w:r>
          </w:p>
        </w:tc>
        <w:tc>
          <w:tcPr>
            <w:tcW w:w="1306" w:type="dxa"/>
            <w:tcBorders>
              <w:top w:val="nil"/>
              <w:left w:val="single" w:sz="4" w:space="0" w:color="auto"/>
              <w:bottom w:val="single" w:sz="4" w:space="0" w:color="auto"/>
              <w:right w:val="single" w:sz="4" w:space="0" w:color="auto"/>
            </w:tcBorders>
            <w:shd w:val="clear" w:color="auto" w:fill="auto"/>
            <w:noWrap/>
          </w:tcPr>
          <w:p w14:paraId="1E35B7BD" w14:textId="6EF766D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20,564</w:t>
            </w:r>
          </w:p>
        </w:tc>
        <w:tc>
          <w:tcPr>
            <w:tcW w:w="1305" w:type="dxa"/>
            <w:tcBorders>
              <w:top w:val="nil"/>
              <w:left w:val="nil"/>
              <w:bottom w:val="single" w:sz="4" w:space="0" w:color="auto"/>
              <w:right w:val="single" w:sz="4" w:space="0" w:color="auto"/>
            </w:tcBorders>
            <w:shd w:val="clear" w:color="auto" w:fill="auto"/>
            <w:noWrap/>
          </w:tcPr>
          <w:p w14:paraId="0DD68DCD" w14:textId="64A0258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21,116</w:t>
            </w:r>
          </w:p>
        </w:tc>
        <w:tc>
          <w:tcPr>
            <w:tcW w:w="1306" w:type="dxa"/>
            <w:tcBorders>
              <w:top w:val="nil"/>
              <w:left w:val="nil"/>
              <w:bottom w:val="single" w:sz="4" w:space="0" w:color="auto"/>
              <w:right w:val="single" w:sz="4" w:space="0" w:color="auto"/>
            </w:tcBorders>
            <w:shd w:val="clear" w:color="auto" w:fill="auto"/>
            <w:noWrap/>
          </w:tcPr>
          <w:p w14:paraId="7B0AB787" w14:textId="6ECB79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22,140</w:t>
            </w:r>
          </w:p>
        </w:tc>
      </w:tr>
      <w:tr w:rsidR="0020791D" w:rsidRPr="001D42CA" w14:paraId="24736EB9" w14:textId="1F792DA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324EEB" w14:textId="7391CEF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China</w:t>
            </w:r>
          </w:p>
        </w:tc>
        <w:tc>
          <w:tcPr>
            <w:tcW w:w="1111" w:type="dxa"/>
            <w:tcBorders>
              <w:top w:val="nil"/>
              <w:left w:val="nil"/>
              <w:bottom w:val="single" w:sz="4" w:space="0" w:color="auto"/>
              <w:right w:val="single" w:sz="4" w:space="0" w:color="auto"/>
            </w:tcBorders>
            <w:shd w:val="clear" w:color="auto" w:fill="auto"/>
            <w:noWrap/>
          </w:tcPr>
          <w:p w14:paraId="520A3CCD" w14:textId="3BBD407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15.254</w:t>
            </w:r>
          </w:p>
        </w:tc>
        <w:tc>
          <w:tcPr>
            <w:tcW w:w="1111" w:type="dxa"/>
            <w:tcBorders>
              <w:top w:val="nil"/>
              <w:left w:val="nil"/>
              <w:bottom w:val="single" w:sz="4" w:space="0" w:color="auto"/>
              <w:right w:val="single" w:sz="4" w:space="0" w:color="auto"/>
            </w:tcBorders>
            <w:shd w:val="clear" w:color="auto" w:fill="auto"/>
            <w:noWrap/>
          </w:tcPr>
          <w:p w14:paraId="6DCB5D7C" w14:textId="665F80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15.660%</w:t>
            </w:r>
          </w:p>
        </w:tc>
        <w:tc>
          <w:tcPr>
            <w:tcW w:w="1305" w:type="dxa"/>
            <w:tcBorders>
              <w:top w:val="nil"/>
              <w:left w:val="nil"/>
              <w:bottom w:val="single" w:sz="4" w:space="0" w:color="auto"/>
              <w:right w:val="single" w:sz="4" w:space="0" w:color="auto"/>
            </w:tcBorders>
          </w:tcPr>
          <w:p w14:paraId="2F169551" w14:textId="3D793E8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587,595</w:t>
            </w:r>
          </w:p>
        </w:tc>
        <w:tc>
          <w:tcPr>
            <w:tcW w:w="1306" w:type="dxa"/>
            <w:tcBorders>
              <w:top w:val="nil"/>
              <w:left w:val="single" w:sz="4" w:space="0" w:color="auto"/>
              <w:bottom w:val="single" w:sz="4" w:space="0" w:color="auto"/>
              <w:right w:val="single" w:sz="4" w:space="0" w:color="auto"/>
            </w:tcBorders>
            <w:shd w:val="clear" w:color="auto" w:fill="auto"/>
            <w:noWrap/>
          </w:tcPr>
          <w:p w14:paraId="2DCE5629" w14:textId="05F1FA2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746,880</w:t>
            </w:r>
          </w:p>
        </w:tc>
        <w:tc>
          <w:tcPr>
            <w:tcW w:w="1305" w:type="dxa"/>
            <w:tcBorders>
              <w:top w:val="nil"/>
              <w:left w:val="nil"/>
              <w:bottom w:val="single" w:sz="4" w:space="0" w:color="auto"/>
              <w:right w:val="single" w:sz="4" w:space="0" w:color="auto"/>
            </w:tcBorders>
            <w:shd w:val="clear" w:color="auto" w:fill="auto"/>
            <w:noWrap/>
          </w:tcPr>
          <w:p w14:paraId="5FCC1CF6" w14:textId="32E6FFE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766,894</w:t>
            </w:r>
          </w:p>
        </w:tc>
        <w:tc>
          <w:tcPr>
            <w:tcW w:w="1306" w:type="dxa"/>
            <w:tcBorders>
              <w:top w:val="nil"/>
              <w:left w:val="nil"/>
              <w:bottom w:val="single" w:sz="4" w:space="0" w:color="auto"/>
              <w:right w:val="single" w:sz="4" w:space="0" w:color="auto"/>
            </w:tcBorders>
            <w:shd w:val="clear" w:color="auto" w:fill="auto"/>
            <w:noWrap/>
          </w:tcPr>
          <w:p w14:paraId="348000CE" w14:textId="62F3C06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804,094</w:t>
            </w:r>
          </w:p>
        </w:tc>
      </w:tr>
      <w:tr w:rsidR="0020791D" w:rsidRPr="001D42CA" w14:paraId="6126A8D1" w14:textId="0A75FE7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6B751D" w14:textId="1D1C0FC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Colombia</w:t>
            </w:r>
          </w:p>
        </w:tc>
        <w:tc>
          <w:tcPr>
            <w:tcW w:w="1111" w:type="dxa"/>
            <w:tcBorders>
              <w:top w:val="nil"/>
              <w:left w:val="nil"/>
              <w:bottom w:val="single" w:sz="4" w:space="0" w:color="auto"/>
              <w:right w:val="single" w:sz="4" w:space="0" w:color="auto"/>
            </w:tcBorders>
            <w:shd w:val="clear" w:color="auto" w:fill="auto"/>
            <w:noWrap/>
          </w:tcPr>
          <w:p w14:paraId="6478C56E" w14:textId="58973A2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0.246</w:t>
            </w:r>
          </w:p>
        </w:tc>
        <w:tc>
          <w:tcPr>
            <w:tcW w:w="1111" w:type="dxa"/>
            <w:tcBorders>
              <w:top w:val="nil"/>
              <w:left w:val="nil"/>
              <w:bottom w:val="single" w:sz="4" w:space="0" w:color="auto"/>
              <w:right w:val="single" w:sz="4" w:space="0" w:color="auto"/>
            </w:tcBorders>
            <w:shd w:val="clear" w:color="auto" w:fill="auto"/>
            <w:noWrap/>
          </w:tcPr>
          <w:p w14:paraId="083AFC62" w14:textId="3C9E248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0.253%</w:t>
            </w:r>
          </w:p>
        </w:tc>
        <w:tc>
          <w:tcPr>
            <w:tcW w:w="1305" w:type="dxa"/>
            <w:tcBorders>
              <w:top w:val="nil"/>
              <w:left w:val="nil"/>
              <w:bottom w:val="single" w:sz="4" w:space="0" w:color="auto"/>
              <w:right w:val="single" w:sz="4" w:space="0" w:color="auto"/>
            </w:tcBorders>
          </w:tcPr>
          <w:p w14:paraId="76FF392F" w14:textId="6F5FB76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14,096</w:t>
            </w:r>
          </w:p>
        </w:tc>
        <w:tc>
          <w:tcPr>
            <w:tcW w:w="1306" w:type="dxa"/>
            <w:tcBorders>
              <w:top w:val="nil"/>
              <w:left w:val="single" w:sz="4" w:space="0" w:color="auto"/>
              <w:bottom w:val="single" w:sz="4" w:space="0" w:color="auto"/>
              <w:right w:val="single" w:sz="4" w:space="0" w:color="auto"/>
            </w:tcBorders>
            <w:shd w:val="clear" w:color="auto" w:fill="auto"/>
            <w:noWrap/>
          </w:tcPr>
          <w:p w14:paraId="59F0F2E6" w14:textId="106B148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12,045</w:t>
            </w:r>
          </w:p>
        </w:tc>
        <w:tc>
          <w:tcPr>
            <w:tcW w:w="1305" w:type="dxa"/>
            <w:tcBorders>
              <w:top w:val="nil"/>
              <w:left w:val="nil"/>
              <w:bottom w:val="single" w:sz="4" w:space="0" w:color="auto"/>
              <w:right w:val="single" w:sz="4" w:space="0" w:color="auto"/>
            </w:tcBorders>
            <w:shd w:val="clear" w:color="auto" w:fill="auto"/>
            <w:noWrap/>
          </w:tcPr>
          <w:p w14:paraId="0BA33D58" w14:textId="435FB51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12,368</w:t>
            </w:r>
          </w:p>
        </w:tc>
        <w:tc>
          <w:tcPr>
            <w:tcW w:w="1306" w:type="dxa"/>
            <w:tcBorders>
              <w:top w:val="nil"/>
              <w:left w:val="nil"/>
              <w:bottom w:val="single" w:sz="4" w:space="0" w:color="auto"/>
              <w:right w:val="single" w:sz="4" w:space="0" w:color="auto"/>
            </w:tcBorders>
            <w:shd w:val="clear" w:color="auto" w:fill="auto"/>
            <w:noWrap/>
          </w:tcPr>
          <w:p w14:paraId="10752001" w14:textId="49B3F02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12,968</w:t>
            </w:r>
          </w:p>
        </w:tc>
      </w:tr>
      <w:tr w:rsidR="0020791D" w:rsidRPr="001D42CA" w14:paraId="662A6D61" w14:textId="636E7B4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273CE8" w14:textId="61C467C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Comoros</w:t>
            </w:r>
          </w:p>
        </w:tc>
        <w:tc>
          <w:tcPr>
            <w:tcW w:w="1111" w:type="dxa"/>
            <w:tcBorders>
              <w:top w:val="nil"/>
              <w:left w:val="nil"/>
              <w:bottom w:val="single" w:sz="4" w:space="0" w:color="auto"/>
              <w:right w:val="single" w:sz="4" w:space="0" w:color="auto"/>
            </w:tcBorders>
            <w:shd w:val="clear" w:color="auto" w:fill="auto"/>
            <w:noWrap/>
          </w:tcPr>
          <w:p w14:paraId="33586819" w14:textId="46CDEFD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619E5C6C" w14:textId="657808C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4D3538A5" w14:textId="460BAA6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34C972B" w14:textId="3841BE7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C5010BA" w14:textId="2318150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69EB40C" w14:textId="6DEB0A1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39F4A0A" w14:textId="23BC8CE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4B2FCFB" w14:textId="176A517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Congo</w:t>
            </w:r>
          </w:p>
        </w:tc>
        <w:tc>
          <w:tcPr>
            <w:tcW w:w="1111" w:type="dxa"/>
            <w:tcBorders>
              <w:top w:val="nil"/>
              <w:left w:val="nil"/>
              <w:bottom w:val="single" w:sz="4" w:space="0" w:color="auto"/>
              <w:right w:val="single" w:sz="4" w:space="0" w:color="auto"/>
            </w:tcBorders>
            <w:shd w:val="clear" w:color="auto" w:fill="auto"/>
            <w:noWrap/>
          </w:tcPr>
          <w:p w14:paraId="619FDB62" w14:textId="64C3DD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4CB03344" w14:textId="49158A9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3B515A03" w14:textId="4895366A"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EAB8A6D" w14:textId="0DCAE2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5EA3F74" w14:textId="561AC72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6912665" w14:textId="5C56ABA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466A7B" w:rsidRPr="001D42CA" w14:paraId="4A2C317F" w14:textId="77777777" w:rsidTr="00784A64">
        <w:trPr>
          <w:trHeight w:val="276"/>
        </w:trPr>
        <w:tc>
          <w:tcPr>
            <w:tcW w:w="10108" w:type="dxa"/>
            <w:gridSpan w:val="7"/>
            <w:tcBorders>
              <w:top w:val="single" w:sz="4" w:space="0" w:color="auto"/>
            </w:tcBorders>
          </w:tcPr>
          <w:p w14:paraId="36079EB9" w14:textId="3AF6F903" w:rsidR="00466A7B" w:rsidRPr="00E17A64" w:rsidRDefault="00466A7B" w:rsidP="0020791D">
            <w:pPr>
              <w:ind w:left="0"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p w14:paraId="5D0955C4" w14:textId="4CEA4894" w:rsidR="00466A7B" w:rsidRPr="000519D4" w:rsidRDefault="00466A7B" w:rsidP="0020791D">
            <w:pPr>
              <w:ind w:left="0" w:firstLine="0"/>
              <w:rPr>
                <w:rFonts w:asciiTheme="minorHAnsi" w:hAnsiTheme="minorHAnsi" w:cstheme="minorHAnsi"/>
                <w:sz w:val="20"/>
                <w:szCs w:val="20"/>
              </w:rPr>
            </w:pPr>
            <w:r w:rsidRPr="00E73DED">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O</w:t>
            </w:r>
            <w:r w:rsidRPr="00E73DED">
              <w:rPr>
                <w:rFonts w:asciiTheme="minorHAnsi" w:eastAsia="Times New Roman" w:hAnsiTheme="minorHAnsi" w:cs="Arial"/>
                <w:sz w:val="20"/>
                <w:szCs w:val="20"/>
                <w:lang w:eastAsia="en-GB"/>
              </w:rPr>
              <w:t>nly for 2025, while 2023 and 2024</w:t>
            </w:r>
            <w:r>
              <w:rPr>
                <w:rFonts w:asciiTheme="minorHAnsi" w:eastAsia="Times New Roman" w:hAnsiTheme="minorHAnsi" w:cs="Arial"/>
                <w:sz w:val="20"/>
                <w:szCs w:val="20"/>
                <w:lang w:eastAsia="en-GB"/>
              </w:rPr>
              <w:t xml:space="preserve"> are</w:t>
            </w:r>
            <w:r w:rsidRPr="00E73DED">
              <w:rPr>
                <w:rFonts w:asciiTheme="minorHAnsi" w:eastAsia="Times New Roman" w:hAnsiTheme="minorHAnsi" w:cs="Arial"/>
                <w:sz w:val="20"/>
                <w:szCs w:val="20"/>
                <w:lang w:eastAsia="en-GB"/>
              </w:rPr>
              <w:t xml:space="preserve"> the same as Scenario B</w:t>
            </w:r>
            <w:r>
              <w:rPr>
                <w:rFonts w:asciiTheme="minorHAnsi" w:eastAsia="Times New Roman" w:hAnsiTheme="minorHAnsi" w:cs="Arial"/>
                <w:sz w:val="20"/>
                <w:szCs w:val="20"/>
                <w:lang w:eastAsia="en-GB"/>
              </w:rPr>
              <w:t>.</w:t>
            </w:r>
          </w:p>
        </w:tc>
      </w:tr>
      <w:tr w:rsidR="0020791D" w:rsidRPr="001D42CA" w14:paraId="72BB60C0" w14:textId="68F6D843" w:rsidTr="00784A64">
        <w:trPr>
          <w:trHeight w:val="276"/>
        </w:trPr>
        <w:tc>
          <w:tcPr>
            <w:tcW w:w="2664" w:type="dxa"/>
            <w:tcBorders>
              <w:left w:val="single" w:sz="4" w:space="0" w:color="auto"/>
              <w:bottom w:val="single" w:sz="4" w:space="0" w:color="auto"/>
              <w:right w:val="single" w:sz="4" w:space="0" w:color="auto"/>
            </w:tcBorders>
            <w:shd w:val="clear" w:color="auto" w:fill="auto"/>
            <w:noWrap/>
          </w:tcPr>
          <w:p w14:paraId="00E82752" w14:textId="133DD37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lastRenderedPageBreak/>
              <w:t>Costa Rica</w:t>
            </w:r>
          </w:p>
        </w:tc>
        <w:tc>
          <w:tcPr>
            <w:tcW w:w="1111" w:type="dxa"/>
            <w:tcBorders>
              <w:left w:val="nil"/>
              <w:bottom w:val="single" w:sz="4" w:space="0" w:color="auto"/>
              <w:right w:val="single" w:sz="4" w:space="0" w:color="auto"/>
            </w:tcBorders>
            <w:shd w:val="clear" w:color="auto" w:fill="auto"/>
            <w:noWrap/>
          </w:tcPr>
          <w:p w14:paraId="6539256A" w14:textId="45E635B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0.069</w:t>
            </w:r>
          </w:p>
        </w:tc>
        <w:tc>
          <w:tcPr>
            <w:tcW w:w="1111" w:type="dxa"/>
            <w:tcBorders>
              <w:left w:val="nil"/>
              <w:bottom w:val="single" w:sz="4" w:space="0" w:color="auto"/>
              <w:right w:val="single" w:sz="4" w:space="0" w:color="auto"/>
            </w:tcBorders>
            <w:shd w:val="clear" w:color="auto" w:fill="auto"/>
            <w:noWrap/>
          </w:tcPr>
          <w:p w14:paraId="5C5D4F4A" w14:textId="2BA6FA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0.071%</w:t>
            </w:r>
          </w:p>
        </w:tc>
        <w:tc>
          <w:tcPr>
            <w:tcW w:w="1305" w:type="dxa"/>
            <w:tcBorders>
              <w:left w:val="nil"/>
              <w:bottom w:val="single" w:sz="4" w:space="0" w:color="auto"/>
              <w:right w:val="single" w:sz="4" w:space="0" w:color="auto"/>
            </w:tcBorders>
          </w:tcPr>
          <w:p w14:paraId="35C7663B" w14:textId="51F9823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3,035</w:t>
            </w:r>
          </w:p>
        </w:tc>
        <w:tc>
          <w:tcPr>
            <w:tcW w:w="1306" w:type="dxa"/>
            <w:tcBorders>
              <w:left w:val="single" w:sz="4" w:space="0" w:color="auto"/>
              <w:bottom w:val="single" w:sz="4" w:space="0" w:color="auto"/>
              <w:right w:val="single" w:sz="4" w:space="0" w:color="auto"/>
            </w:tcBorders>
            <w:shd w:val="clear" w:color="auto" w:fill="auto"/>
            <w:noWrap/>
          </w:tcPr>
          <w:p w14:paraId="02B7B1E3" w14:textId="4DCFBE6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3,378</w:t>
            </w:r>
          </w:p>
        </w:tc>
        <w:tc>
          <w:tcPr>
            <w:tcW w:w="1305" w:type="dxa"/>
            <w:tcBorders>
              <w:left w:val="nil"/>
              <w:bottom w:val="single" w:sz="4" w:space="0" w:color="auto"/>
              <w:right w:val="single" w:sz="4" w:space="0" w:color="auto"/>
            </w:tcBorders>
            <w:shd w:val="clear" w:color="auto" w:fill="auto"/>
            <w:noWrap/>
          </w:tcPr>
          <w:p w14:paraId="5C30096F" w14:textId="5EF9A25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3,469</w:t>
            </w:r>
          </w:p>
        </w:tc>
        <w:tc>
          <w:tcPr>
            <w:tcW w:w="1306" w:type="dxa"/>
            <w:tcBorders>
              <w:left w:val="nil"/>
              <w:bottom w:val="single" w:sz="4" w:space="0" w:color="auto"/>
              <w:right w:val="single" w:sz="4" w:space="0" w:color="auto"/>
            </w:tcBorders>
            <w:shd w:val="clear" w:color="auto" w:fill="auto"/>
            <w:noWrap/>
          </w:tcPr>
          <w:p w14:paraId="39E6DB77" w14:textId="29D661F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3,637</w:t>
            </w:r>
          </w:p>
        </w:tc>
      </w:tr>
      <w:tr w:rsidR="0020791D" w:rsidRPr="001D42CA" w14:paraId="0F79280D" w14:textId="282C4AE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7BA355" w14:textId="520E09B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Côte d'Ivoire</w:t>
            </w:r>
          </w:p>
        </w:tc>
        <w:tc>
          <w:tcPr>
            <w:tcW w:w="1111" w:type="dxa"/>
            <w:tcBorders>
              <w:top w:val="nil"/>
              <w:left w:val="nil"/>
              <w:bottom w:val="single" w:sz="4" w:space="0" w:color="auto"/>
              <w:right w:val="single" w:sz="4" w:space="0" w:color="auto"/>
            </w:tcBorders>
            <w:shd w:val="clear" w:color="auto" w:fill="auto"/>
            <w:noWrap/>
          </w:tcPr>
          <w:p w14:paraId="3735B7D7" w14:textId="7F97078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0.022</w:t>
            </w:r>
          </w:p>
        </w:tc>
        <w:tc>
          <w:tcPr>
            <w:tcW w:w="1111" w:type="dxa"/>
            <w:tcBorders>
              <w:top w:val="nil"/>
              <w:left w:val="nil"/>
              <w:bottom w:val="single" w:sz="4" w:space="0" w:color="auto"/>
              <w:right w:val="single" w:sz="4" w:space="0" w:color="auto"/>
            </w:tcBorders>
            <w:shd w:val="clear" w:color="auto" w:fill="auto"/>
            <w:noWrap/>
          </w:tcPr>
          <w:p w14:paraId="22DA8348" w14:textId="60085DF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0.023%</w:t>
            </w:r>
          </w:p>
        </w:tc>
        <w:tc>
          <w:tcPr>
            <w:tcW w:w="1305" w:type="dxa"/>
            <w:tcBorders>
              <w:top w:val="nil"/>
              <w:left w:val="nil"/>
              <w:bottom w:val="single" w:sz="4" w:space="0" w:color="auto"/>
              <w:right w:val="single" w:sz="4" w:space="0" w:color="auto"/>
            </w:tcBorders>
          </w:tcPr>
          <w:p w14:paraId="337219BC" w14:textId="6C05158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3EB2245" w14:textId="3DA9BA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1,077</w:t>
            </w:r>
          </w:p>
        </w:tc>
        <w:tc>
          <w:tcPr>
            <w:tcW w:w="1305" w:type="dxa"/>
            <w:tcBorders>
              <w:top w:val="nil"/>
              <w:left w:val="nil"/>
              <w:bottom w:val="single" w:sz="4" w:space="0" w:color="auto"/>
              <w:right w:val="single" w:sz="4" w:space="0" w:color="auto"/>
            </w:tcBorders>
            <w:shd w:val="clear" w:color="auto" w:fill="auto"/>
            <w:noWrap/>
          </w:tcPr>
          <w:p w14:paraId="5E8E84FC" w14:textId="3C38CF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1,106</w:t>
            </w:r>
          </w:p>
        </w:tc>
        <w:tc>
          <w:tcPr>
            <w:tcW w:w="1306" w:type="dxa"/>
            <w:tcBorders>
              <w:top w:val="nil"/>
              <w:left w:val="nil"/>
              <w:bottom w:val="single" w:sz="4" w:space="0" w:color="auto"/>
              <w:right w:val="single" w:sz="4" w:space="0" w:color="auto"/>
            </w:tcBorders>
            <w:shd w:val="clear" w:color="auto" w:fill="auto"/>
            <w:noWrap/>
          </w:tcPr>
          <w:p w14:paraId="1C90A22C" w14:textId="6A79A27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1,160</w:t>
            </w:r>
          </w:p>
        </w:tc>
      </w:tr>
      <w:tr w:rsidR="0020791D" w:rsidRPr="001D42CA" w14:paraId="7ABBCF12" w14:textId="2EAE953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023697" w14:textId="19A9C06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Croatia</w:t>
            </w:r>
          </w:p>
        </w:tc>
        <w:tc>
          <w:tcPr>
            <w:tcW w:w="1111" w:type="dxa"/>
            <w:tcBorders>
              <w:top w:val="nil"/>
              <w:left w:val="nil"/>
              <w:bottom w:val="single" w:sz="4" w:space="0" w:color="auto"/>
              <w:right w:val="single" w:sz="4" w:space="0" w:color="auto"/>
            </w:tcBorders>
            <w:shd w:val="clear" w:color="auto" w:fill="auto"/>
            <w:noWrap/>
          </w:tcPr>
          <w:p w14:paraId="0DF51DB8" w14:textId="204699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0.091</w:t>
            </w:r>
          </w:p>
        </w:tc>
        <w:tc>
          <w:tcPr>
            <w:tcW w:w="1111" w:type="dxa"/>
            <w:tcBorders>
              <w:top w:val="nil"/>
              <w:left w:val="nil"/>
              <w:bottom w:val="single" w:sz="4" w:space="0" w:color="auto"/>
              <w:right w:val="single" w:sz="4" w:space="0" w:color="auto"/>
            </w:tcBorders>
            <w:shd w:val="clear" w:color="auto" w:fill="auto"/>
            <w:noWrap/>
          </w:tcPr>
          <w:p w14:paraId="0F81CDAD" w14:textId="4F7A3B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0.093%</w:t>
            </w:r>
          </w:p>
        </w:tc>
        <w:tc>
          <w:tcPr>
            <w:tcW w:w="1305" w:type="dxa"/>
            <w:tcBorders>
              <w:top w:val="nil"/>
              <w:left w:val="nil"/>
              <w:bottom w:val="single" w:sz="4" w:space="0" w:color="auto"/>
              <w:right w:val="single" w:sz="4" w:space="0" w:color="auto"/>
            </w:tcBorders>
          </w:tcPr>
          <w:p w14:paraId="54082C01" w14:textId="3A089A4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3,769</w:t>
            </w:r>
          </w:p>
        </w:tc>
        <w:tc>
          <w:tcPr>
            <w:tcW w:w="1306" w:type="dxa"/>
            <w:tcBorders>
              <w:top w:val="nil"/>
              <w:left w:val="single" w:sz="4" w:space="0" w:color="auto"/>
              <w:bottom w:val="single" w:sz="4" w:space="0" w:color="auto"/>
              <w:right w:val="single" w:sz="4" w:space="0" w:color="auto"/>
            </w:tcBorders>
            <w:shd w:val="clear" w:color="auto" w:fill="auto"/>
            <w:noWrap/>
          </w:tcPr>
          <w:p w14:paraId="01BC114F" w14:textId="3B5201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4,456</w:t>
            </w:r>
          </w:p>
        </w:tc>
        <w:tc>
          <w:tcPr>
            <w:tcW w:w="1305" w:type="dxa"/>
            <w:tcBorders>
              <w:top w:val="nil"/>
              <w:left w:val="nil"/>
              <w:bottom w:val="single" w:sz="4" w:space="0" w:color="auto"/>
              <w:right w:val="single" w:sz="4" w:space="0" w:color="auto"/>
            </w:tcBorders>
            <w:shd w:val="clear" w:color="auto" w:fill="auto"/>
            <w:noWrap/>
          </w:tcPr>
          <w:p w14:paraId="26F0C4AA" w14:textId="776E8B5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4,575</w:t>
            </w:r>
          </w:p>
        </w:tc>
        <w:tc>
          <w:tcPr>
            <w:tcW w:w="1306" w:type="dxa"/>
            <w:tcBorders>
              <w:top w:val="nil"/>
              <w:left w:val="nil"/>
              <w:bottom w:val="single" w:sz="4" w:space="0" w:color="auto"/>
              <w:right w:val="single" w:sz="4" w:space="0" w:color="auto"/>
            </w:tcBorders>
            <w:shd w:val="clear" w:color="auto" w:fill="auto"/>
            <w:noWrap/>
          </w:tcPr>
          <w:p w14:paraId="7DB573BD" w14:textId="66E5390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4,797</w:t>
            </w:r>
          </w:p>
        </w:tc>
      </w:tr>
      <w:tr w:rsidR="0020791D" w:rsidRPr="001D42CA" w14:paraId="493CBB87" w14:textId="05149E5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203DDBA" w14:textId="34B2A44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Cuba</w:t>
            </w:r>
          </w:p>
        </w:tc>
        <w:tc>
          <w:tcPr>
            <w:tcW w:w="1111" w:type="dxa"/>
            <w:tcBorders>
              <w:top w:val="nil"/>
              <w:left w:val="nil"/>
              <w:bottom w:val="single" w:sz="4" w:space="0" w:color="auto"/>
              <w:right w:val="single" w:sz="4" w:space="0" w:color="auto"/>
            </w:tcBorders>
            <w:shd w:val="clear" w:color="auto" w:fill="auto"/>
            <w:noWrap/>
          </w:tcPr>
          <w:p w14:paraId="395DE989" w14:textId="44543F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0.095</w:t>
            </w:r>
          </w:p>
        </w:tc>
        <w:tc>
          <w:tcPr>
            <w:tcW w:w="1111" w:type="dxa"/>
            <w:tcBorders>
              <w:top w:val="nil"/>
              <w:left w:val="nil"/>
              <w:bottom w:val="single" w:sz="4" w:space="0" w:color="auto"/>
              <w:right w:val="single" w:sz="4" w:space="0" w:color="auto"/>
            </w:tcBorders>
            <w:shd w:val="clear" w:color="auto" w:fill="auto"/>
            <w:noWrap/>
          </w:tcPr>
          <w:p w14:paraId="62D4F2C0" w14:textId="6F04F0E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0.098%</w:t>
            </w:r>
          </w:p>
        </w:tc>
        <w:tc>
          <w:tcPr>
            <w:tcW w:w="1305" w:type="dxa"/>
            <w:tcBorders>
              <w:top w:val="nil"/>
              <w:left w:val="nil"/>
              <w:bottom w:val="single" w:sz="4" w:space="0" w:color="auto"/>
              <w:right w:val="single" w:sz="4" w:space="0" w:color="auto"/>
            </w:tcBorders>
          </w:tcPr>
          <w:p w14:paraId="33FC0555" w14:textId="7714576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3,916</w:t>
            </w:r>
          </w:p>
        </w:tc>
        <w:tc>
          <w:tcPr>
            <w:tcW w:w="1306" w:type="dxa"/>
            <w:tcBorders>
              <w:top w:val="nil"/>
              <w:left w:val="single" w:sz="4" w:space="0" w:color="auto"/>
              <w:bottom w:val="single" w:sz="4" w:space="0" w:color="auto"/>
              <w:right w:val="single" w:sz="4" w:space="0" w:color="auto"/>
            </w:tcBorders>
            <w:shd w:val="clear" w:color="auto" w:fill="auto"/>
            <w:noWrap/>
          </w:tcPr>
          <w:p w14:paraId="1E71A29E" w14:textId="588CFE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4,651</w:t>
            </w:r>
          </w:p>
        </w:tc>
        <w:tc>
          <w:tcPr>
            <w:tcW w:w="1305" w:type="dxa"/>
            <w:tcBorders>
              <w:top w:val="nil"/>
              <w:left w:val="nil"/>
              <w:bottom w:val="single" w:sz="4" w:space="0" w:color="auto"/>
              <w:right w:val="single" w:sz="4" w:space="0" w:color="auto"/>
            </w:tcBorders>
            <w:shd w:val="clear" w:color="auto" w:fill="auto"/>
            <w:noWrap/>
          </w:tcPr>
          <w:p w14:paraId="08784C56" w14:textId="0E7ACA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4,776</w:t>
            </w:r>
          </w:p>
        </w:tc>
        <w:tc>
          <w:tcPr>
            <w:tcW w:w="1306" w:type="dxa"/>
            <w:tcBorders>
              <w:top w:val="nil"/>
              <w:left w:val="nil"/>
              <w:bottom w:val="single" w:sz="4" w:space="0" w:color="auto"/>
              <w:right w:val="single" w:sz="4" w:space="0" w:color="auto"/>
            </w:tcBorders>
            <w:shd w:val="clear" w:color="auto" w:fill="auto"/>
            <w:noWrap/>
          </w:tcPr>
          <w:p w14:paraId="0A1536EB" w14:textId="17A6BE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5,008</w:t>
            </w:r>
          </w:p>
        </w:tc>
      </w:tr>
      <w:tr w:rsidR="0020791D" w:rsidRPr="001D42CA" w14:paraId="723DB38D" w14:textId="0CEF851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9F2F5DF" w14:textId="7C08710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Cyprus</w:t>
            </w:r>
          </w:p>
        </w:tc>
        <w:tc>
          <w:tcPr>
            <w:tcW w:w="1111" w:type="dxa"/>
            <w:tcBorders>
              <w:top w:val="nil"/>
              <w:left w:val="nil"/>
              <w:bottom w:val="single" w:sz="4" w:space="0" w:color="auto"/>
              <w:right w:val="single" w:sz="4" w:space="0" w:color="auto"/>
            </w:tcBorders>
            <w:shd w:val="clear" w:color="auto" w:fill="auto"/>
            <w:noWrap/>
          </w:tcPr>
          <w:p w14:paraId="38CF3EF5" w14:textId="6AE4FDF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0.036</w:t>
            </w:r>
          </w:p>
        </w:tc>
        <w:tc>
          <w:tcPr>
            <w:tcW w:w="1111" w:type="dxa"/>
            <w:tcBorders>
              <w:top w:val="nil"/>
              <w:left w:val="nil"/>
              <w:bottom w:val="single" w:sz="4" w:space="0" w:color="auto"/>
              <w:right w:val="single" w:sz="4" w:space="0" w:color="auto"/>
            </w:tcBorders>
            <w:shd w:val="clear" w:color="auto" w:fill="auto"/>
            <w:noWrap/>
          </w:tcPr>
          <w:p w14:paraId="01AF19C5" w14:textId="6DEF160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0.037%</w:t>
            </w:r>
          </w:p>
        </w:tc>
        <w:tc>
          <w:tcPr>
            <w:tcW w:w="1305" w:type="dxa"/>
            <w:tcBorders>
              <w:top w:val="nil"/>
              <w:left w:val="nil"/>
              <w:bottom w:val="single" w:sz="4" w:space="0" w:color="auto"/>
              <w:right w:val="single" w:sz="4" w:space="0" w:color="auto"/>
            </w:tcBorders>
          </w:tcPr>
          <w:p w14:paraId="57469DAF" w14:textId="62693B8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1,762</w:t>
            </w:r>
          </w:p>
        </w:tc>
        <w:tc>
          <w:tcPr>
            <w:tcW w:w="1306" w:type="dxa"/>
            <w:tcBorders>
              <w:top w:val="nil"/>
              <w:left w:val="single" w:sz="4" w:space="0" w:color="auto"/>
              <w:bottom w:val="single" w:sz="4" w:space="0" w:color="auto"/>
              <w:right w:val="single" w:sz="4" w:space="0" w:color="auto"/>
            </w:tcBorders>
            <w:shd w:val="clear" w:color="auto" w:fill="auto"/>
            <w:noWrap/>
          </w:tcPr>
          <w:p w14:paraId="357C4919" w14:textId="66654CF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1,763</w:t>
            </w:r>
          </w:p>
        </w:tc>
        <w:tc>
          <w:tcPr>
            <w:tcW w:w="1305" w:type="dxa"/>
            <w:tcBorders>
              <w:top w:val="nil"/>
              <w:left w:val="nil"/>
              <w:bottom w:val="single" w:sz="4" w:space="0" w:color="auto"/>
              <w:right w:val="single" w:sz="4" w:space="0" w:color="auto"/>
            </w:tcBorders>
            <w:shd w:val="clear" w:color="auto" w:fill="auto"/>
            <w:noWrap/>
          </w:tcPr>
          <w:p w14:paraId="7C0D1634" w14:textId="4D9B990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1,810</w:t>
            </w:r>
          </w:p>
        </w:tc>
        <w:tc>
          <w:tcPr>
            <w:tcW w:w="1306" w:type="dxa"/>
            <w:tcBorders>
              <w:top w:val="nil"/>
              <w:left w:val="nil"/>
              <w:bottom w:val="single" w:sz="4" w:space="0" w:color="auto"/>
              <w:right w:val="single" w:sz="4" w:space="0" w:color="auto"/>
            </w:tcBorders>
            <w:shd w:val="clear" w:color="auto" w:fill="auto"/>
            <w:noWrap/>
          </w:tcPr>
          <w:p w14:paraId="1D19BCBB" w14:textId="654B587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1,898</w:t>
            </w:r>
          </w:p>
        </w:tc>
      </w:tr>
      <w:tr w:rsidR="0020791D" w:rsidRPr="001D42CA" w14:paraId="768AC66A" w14:textId="617AC89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41E232E" w14:textId="2755760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Czech Republic</w:t>
            </w:r>
          </w:p>
        </w:tc>
        <w:tc>
          <w:tcPr>
            <w:tcW w:w="1111" w:type="dxa"/>
            <w:tcBorders>
              <w:top w:val="nil"/>
              <w:left w:val="nil"/>
              <w:bottom w:val="single" w:sz="4" w:space="0" w:color="auto"/>
              <w:right w:val="single" w:sz="4" w:space="0" w:color="auto"/>
            </w:tcBorders>
            <w:shd w:val="clear" w:color="auto" w:fill="auto"/>
            <w:noWrap/>
          </w:tcPr>
          <w:p w14:paraId="53387865" w14:textId="149DA3D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0.340</w:t>
            </w:r>
          </w:p>
        </w:tc>
        <w:tc>
          <w:tcPr>
            <w:tcW w:w="1111" w:type="dxa"/>
            <w:tcBorders>
              <w:top w:val="nil"/>
              <w:left w:val="nil"/>
              <w:bottom w:val="single" w:sz="4" w:space="0" w:color="auto"/>
              <w:right w:val="single" w:sz="4" w:space="0" w:color="auto"/>
            </w:tcBorders>
            <w:shd w:val="clear" w:color="auto" w:fill="auto"/>
            <w:noWrap/>
          </w:tcPr>
          <w:p w14:paraId="386FAEFB" w14:textId="7EA42D6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0.349%</w:t>
            </w:r>
          </w:p>
        </w:tc>
        <w:tc>
          <w:tcPr>
            <w:tcW w:w="1305" w:type="dxa"/>
            <w:tcBorders>
              <w:top w:val="nil"/>
              <w:left w:val="nil"/>
              <w:bottom w:val="single" w:sz="4" w:space="0" w:color="auto"/>
              <w:right w:val="single" w:sz="4" w:space="0" w:color="auto"/>
            </w:tcBorders>
          </w:tcPr>
          <w:p w14:paraId="126C29CF" w14:textId="7A1D2CF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15,222</w:t>
            </w:r>
          </w:p>
        </w:tc>
        <w:tc>
          <w:tcPr>
            <w:tcW w:w="1306" w:type="dxa"/>
            <w:tcBorders>
              <w:top w:val="nil"/>
              <w:left w:val="single" w:sz="4" w:space="0" w:color="auto"/>
              <w:bottom w:val="single" w:sz="4" w:space="0" w:color="auto"/>
              <w:right w:val="single" w:sz="4" w:space="0" w:color="auto"/>
            </w:tcBorders>
            <w:shd w:val="clear" w:color="auto" w:fill="auto"/>
            <w:noWrap/>
          </w:tcPr>
          <w:p w14:paraId="2F98A96D" w14:textId="4B1C296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16,647</w:t>
            </w:r>
          </w:p>
        </w:tc>
        <w:tc>
          <w:tcPr>
            <w:tcW w:w="1305" w:type="dxa"/>
            <w:tcBorders>
              <w:top w:val="nil"/>
              <w:left w:val="nil"/>
              <w:bottom w:val="single" w:sz="4" w:space="0" w:color="auto"/>
              <w:right w:val="single" w:sz="4" w:space="0" w:color="auto"/>
            </w:tcBorders>
            <w:shd w:val="clear" w:color="auto" w:fill="auto"/>
            <w:noWrap/>
          </w:tcPr>
          <w:p w14:paraId="0EA89710" w14:textId="5C14A99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17,094</w:t>
            </w:r>
          </w:p>
        </w:tc>
        <w:tc>
          <w:tcPr>
            <w:tcW w:w="1306" w:type="dxa"/>
            <w:tcBorders>
              <w:top w:val="nil"/>
              <w:left w:val="nil"/>
              <w:bottom w:val="single" w:sz="4" w:space="0" w:color="auto"/>
              <w:right w:val="single" w:sz="4" w:space="0" w:color="auto"/>
            </w:tcBorders>
            <w:shd w:val="clear" w:color="auto" w:fill="auto"/>
            <w:noWrap/>
          </w:tcPr>
          <w:p w14:paraId="74B7F9D4" w14:textId="1FBAD28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17,923</w:t>
            </w:r>
          </w:p>
        </w:tc>
      </w:tr>
      <w:tr w:rsidR="0020791D" w:rsidRPr="001D42CA" w14:paraId="07C9488A" w14:textId="5251E09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4EACC97" w14:textId="7051C54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Democratic People's Republic of Korea</w:t>
            </w:r>
          </w:p>
        </w:tc>
        <w:tc>
          <w:tcPr>
            <w:tcW w:w="1111" w:type="dxa"/>
            <w:tcBorders>
              <w:top w:val="nil"/>
              <w:left w:val="nil"/>
              <w:bottom w:val="single" w:sz="4" w:space="0" w:color="auto"/>
              <w:right w:val="single" w:sz="4" w:space="0" w:color="auto"/>
            </w:tcBorders>
            <w:shd w:val="clear" w:color="auto" w:fill="auto"/>
            <w:noWrap/>
          </w:tcPr>
          <w:p w14:paraId="7EB78EE6" w14:textId="0C09657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62F209C9" w14:textId="5F85929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61DCCCBF" w14:textId="4C52DCCA"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A6E4426" w14:textId="5A8CAD2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33967BA" w14:textId="6C7F14C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C4D4992" w14:textId="624E1FF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8A37A3E" w14:textId="20C8263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F08F61" w14:textId="111AB4D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Democratic Republic of the Congo</w:t>
            </w:r>
          </w:p>
        </w:tc>
        <w:tc>
          <w:tcPr>
            <w:tcW w:w="1111" w:type="dxa"/>
            <w:tcBorders>
              <w:top w:val="nil"/>
              <w:left w:val="nil"/>
              <w:bottom w:val="single" w:sz="4" w:space="0" w:color="auto"/>
              <w:right w:val="single" w:sz="4" w:space="0" w:color="auto"/>
            </w:tcBorders>
            <w:shd w:val="clear" w:color="auto" w:fill="auto"/>
            <w:noWrap/>
          </w:tcPr>
          <w:p w14:paraId="5AB94D62" w14:textId="489853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11DA9DF1" w14:textId="16CFF1B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326751F4" w14:textId="21ED224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E9EB43" w14:textId="6EA7B2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AF33278" w14:textId="08876C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EE40A38" w14:textId="4E607FA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572A82F" w14:textId="1AF6BB0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295412B" w14:textId="0C1D969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Denmark</w:t>
            </w:r>
          </w:p>
        </w:tc>
        <w:tc>
          <w:tcPr>
            <w:tcW w:w="1111" w:type="dxa"/>
            <w:tcBorders>
              <w:top w:val="nil"/>
              <w:left w:val="nil"/>
              <w:bottom w:val="single" w:sz="4" w:space="0" w:color="auto"/>
              <w:right w:val="single" w:sz="4" w:space="0" w:color="auto"/>
            </w:tcBorders>
            <w:shd w:val="clear" w:color="auto" w:fill="auto"/>
            <w:noWrap/>
          </w:tcPr>
          <w:p w14:paraId="32F1BB48" w14:textId="66267D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0.553</w:t>
            </w:r>
          </w:p>
        </w:tc>
        <w:tc>
          <w:tcPr>
            <w:tcW w:w="1111" w:type="dxa"/>
            <w:tcBorders>
              <w:top w:val="nil"/>
              <w:left w:val="nil"/>
              <w:bottom w:val="single" w:sz="4" w:space="0" w:color="auto"/>
              <w:right w:val="single" w:sz="4" w:space="0" w:color="auto"/>
            </w:tcBorders>
            <w:shd w:val="clear" w:color="auto" w:fill="auto"/>
            <w:noWrap/>
          </w:tcPr>
          <w:p w14:paraId="7EAA7685" w14:textId="6DA14B5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0.568%</w:t>
            </w:r>
          </w:p>
        </w:tc>
        <w:tc>
          <w:tcPr>
            <w:tcW w:w="1305" w:type="dxa"/>
            <w:tcBorders>
              <w:top w:val="nil"/>
              <w:left w:val="nil"/>
              <w:bottom w:val="single" w:sz="4" w:space="0" w:color="auto"/>
              <w:right w:val="single" w:sz="4" w:space="0" w:color="auto"/>
            </w:tcBorders>
          </w:tcPr>
          <w:p w14:paraId="189DF3AC" w14:textId="2149B38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27,116</w:t>
            </w:r>
          </w:p>
        </w:tc>
        <w:tc>
          <w:tcPr>
            <w:tcW w:w="1306" w:type="dxa"/>
            <w:tcBorders>
              <w:top w:val="nil"/>
              <w:left w:val="single" w:sz="4" w:space="0" w:color="auto"/>
              <w:bottom w:val="single" w:sz="4" w:space="0" w:color="auto"/>
              <w:right w:val="single" w:sz="4" w:space="0" w:color="auto"/>
            </w:tcBorders>
            <w:shd w:val="clear" w:color="auto" w:fill="auto"/>
            <w:noWrap/>
          </w:tcPr>
          <w:p w14:paraId="6C91DA74" w14:textId="40BFC96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27,076</w:t>
            </w:r>
          </w:p>
        </w:tc>
        <w:tc>
          <w:tcPr>
            <w:tcW w:w="1305" w:type="dxa"/>
            <w:tcBorders>
              <w:top w:val="nil"/>
              <w:left w:val="nil"/>
              <w:bottom w:val="single" w:sz="4" w:space="0" w:color="auto"/>
              <w:right w:val="single" w:sz="4" w:space="0" w:color="auto"/>
            </w:tcBorders>
            <w:shd w:val="clear" w:color="auto" w:fill="auto"/>
            <w:noWrap/>
          </w:tcPr>
          <w:p w14:paraId="32768402" w14:textId="61F929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27,802</w:t>
            </w:r>
          </w:p>
        </w:tc>
        <w:tc>
          <w:tcPr>
            <w:tcW w:w="1306" w:type="dxa"/>
            <w:tcBorders>
              <w:top w:val="nil"/>
              <w:left w:val="nil"/>
              <w:bottom w:val="single" w:sz="4" w:space="0" w:color="auto"/>
              <w:right w:val="single" w:sz="4" w:space="0" w:color="auto"/>
            </w:tcBorders>
            <w:shd w:val="clear" w:color="auto" w:fill="auto"/>
            <w:noWrap/>
          </w:tcPr>
          <w:p w14:paraId="07B321EA" w14:textId="2EB11D0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29,151</w:t>
            </w:r>
          </w:p>
        </w:tc>
      </w:tr>
      <w:tr w:rsidR="0020791D" w:rsidRPr="001D42CA" w14:paraId="4E491979" w14:textId="22FD198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AAAEFD7" w14:textId="4D0670E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Djibouti</w:t>
            </w:r>
          </w:p>
        </w:tc>
        <w:tc>
          <w:tcPr>
            <w:tcW w:w="1111" w:type="dxa"/>
            <w:tcBorders>
              <w:top w:val="nil"/>
              <w:left w:val="nil"/>
              <w:bottom w:val="single" w:sz="4" w:space="0" w:color="auto"/>
              <w:right w:val="single" w:sz="4" w:space="0" w:color="auto"/>
            </w:tcBorders>
            <w:shd w:val="clear" w:color="auto" w:fill="auto"/>
            <w:noWrap/>
          </w:tcPr>
          <w:p w14:paraId="5ABFB9A2" w14:textId="0B25FA9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08417457" w14:textId="4B0ABD2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6C9AA2E1" w14:textId="2379D7F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218E414" w14:textId="7E99C80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FF2AF21" w14:textId="7520A8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C3552FD" w14:textId="00DE86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EE2EE77" w14:textId="5F1E142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563240D" w14:textId="2ED9192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Dominican Republic</w:t>
            </w:r>
          </w:p>
        </w:tc>
        <w:tc>
          <w:tcPr>
            <w:tcW w:w="1111" w:type="dxa"/>
            <w:tcBorders>
              <w:top w:val="nil"/>
              <w:left w:val="nil"/>
              <w:bottom w:val="single" w:sz="4" w:space="0" w:color="auto"/>
              <w:right w:val="single" w:sz="4" w:space="0" w:color="auto"/>
            </w:tcBorders>
            <w:shd w:val="clear" w:color="auto" w:fill="auto"/>
            <w:noWrap/>
          </w:tcPr>
          <w:p w14:paraId="276AF28C" w14:textId="59A75AF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0.067</w:t>
            </w:r>
          </w:p>
        </w:tc>
        <w:tc>
          <w:tcPr>
            <w:tcW w:w="1111" w:type="dxa"/>
            <w:tcBorders>
              <w:top w:val="nil"/>
              <w:left w:val="nil"/>
              <w:bottom w:val="single" w:sz="4" w:space="0" w:color="auto"/>
              <w:right w:val="single" w:sz="4" w:space="0" w:color="auto"/>
            </w:tcBorders>
            <w:shd w:val="clear" w:color="auto" w:fill="auto"/>
            <w:noWrap/>
          </w:tcPr>
          <w:p w14:paraId="4CE7A6F2" w14:textId="045A89F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0.069%</w:t>
            </w:r>
          </w:p>
        </w:tc>
        <w:tc>
          <w:tcPr>
            <w:tcW w:w="1305" w:type="dxa"/>
            <w:tcBorders>
              <w:top w:val="nil"/>
              <w:left w:val="nil"/>
              <w:bottom w:val="single" w:sz="4" w:space="0" w:color="auto"/>
              <w:right w:val="single" w:sz="4" w:space="0" w:color="auto"/>
            </w:tcBorders>
          </w:tcPr>
          <w:p w14:paraId="36B5A38A" w14:textId="145E7A2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2,594</w:t>
            </w:r>
          </w:p>
        </w:tc>
        <w:tc>
          <w:tcPr>
            <w:tcW w:w="1306" w:type="dxa"/>
            <w:tcBorders>
              <w:top w:val="nil"/>
              <w:left w:val="single" w:sz="4" w:space="0" w:color="auto"/>
              <w:bottom w:val="single" w:sz="4" w:space="0" w:color="auto"/>
              <w:right w:val="single" w:sz="4" w:space="0" w:color="auto"/>
            </w:tcBorders>
            <w:shd w:val="clear" w:color="auto" w:fill="auto"/>
            <w:noWrap/>
          </w:tcPr>
          <w:p w14:paraId="6DFC73B1" w14:textId="03678DC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3,281</w:t>
            </w:r>
          </w:p>
        </w:tc>
        <w:tc>
          <w:tcPr>
            <w:tcW w:w="1305" w:type="dxa"/>
            <w:tcBorders>
              <w:top w:val="nil"/>
              <w:left w:val="nil"/>
              <w:bottom w:val="single" w:sz="4" w:space="0" w:color="auto"/>
              <w:right w:val="single" w:sz="4" w:space="0" w:color="auto"/>
            </w:tcBorders>
            <w:shd w:val="clear" w:color="auto" w:fill="auto"/>
            <w:noWrap/>
          </w:tcPr>
          <w:p w14:paraId="08EF4F15" w14:textId="724D6F1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3,368</w:t>
            </w:r>
          </w:p>
        </w:tc>
        <w:tc>
          <w:tcPr>
            <w:tcW w:w="1306" w:type="dxa"/>
            <w:tcBorders>
              <w:top w:val="nil"/>
              <w:left w:val="nil"/>
              <w:bottom w:val="single" w:sz="4" w:space="0" w:color="auto"/>
              <w:right w:val="single" w:sz="4" w:space="0" w:color="auto"/>
            </w:tcBorders>
            <w:shd w:val="clear" w:color="auto" w:fill="auto"/>
            <w:noWrap/>
          </w:tcPr>
          <w:p w14:paraId="5FB97CD1" w14:textId="1FAC1F1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3,532</w:t>
            </w:r>
          </w:p>
        </w:tc>
      </w:tr>
      <w:tr w:rsidR="0020791D" w:rsidRPr="001D42CA" w14:paraId="1EA66D59" w14:textId="23EBADA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2E32D17" w14:textId="6D47BE4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Ecuador</w:t>
            </w:r>
          </w:p>
        </w:tc>
        <w:tc>
          <w:tcPr>
            <w:tcW w:w="1111" w:type="dxa"/>
            <w:tcBorders>
              <w:top w:val="nil"/>
              <w:left w:val="nil"/>
              <w:bottom w:val="single" w:sz="4" w:space="0" w:color="auto"/>
              <w:right w:val="single" w:sz="4" w:space="0" w:color="auto"/>
            </w:tcBorders>
            <w:shd w:val="clear" w:color="auto" w:fill="auto"/>
            <w:noWrap/>
          </w:tcPr>
          <w:p w14:paraId="00458761" w14:textId="745B4B6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0.077</w:t>
            </w:r>
          </w:p>
        </w:tc>
        <w:tc>
          <w:tcPr>
            <w:tcW w:w="1111" w:type="dxa"/>
            <w:tcBorders>
              <w:top w:val="nil"/>
              <w:left w:val="nil"/>
              <w:bottom w:val="single" w:sz="4" w:space="0" w:color="auto"/>
              <w:right w:val="single" w:sz="4" w:space="0" w:color="auto"/>
            </w:tcBorders>
            <w:shd w:val="clear" w:color="auto" w:fill="auto"/>
            <w:noWrap/>
          </w:tcPr>
          <w:p w14:paraId="06673450" w14:textId="6D69D0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0.079%</w:t>
            </w:r>
          </w:p>
        </w:tc>
        <w:tc>
          <w:tcPr>
            <w:tcW w:w="1305" w:type="dxa"/>
            <w:tcBorders>
              <w:top w:val="nil"/>
              <w:left w:val="nil"/>
              <w:bottom w:val="single" w:sz="4" w:space="0" w:color="auto"/>
              <w:right w:val="single" w:sz="4" w:space="0" w:color="auto"/>
            </w:tcBorders>
          </w:tcPr>
          <w:p w14:paraId="1C6F3BD8" w14:textId="078184E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3,916</w:t>
            </w:r>
          </w:p>
        </w:tc>
        <w:tc>
          <w:tcPr>
            <w:tcW w:w="1306" w:type="dxa"/>
            <w:tcBorders>
              <w:top w:val="nil"/>
              <w:left w:val="single" w:sz="4" w:space="0" w:color="auto"/>
              <w:bottom w:val="single" w:sz="4" w:space="0" w:color="auto"/>
              <w:right w:val="single" w:sz="4" w:space="0" w:color="auto"/>
            </w:tcBorders>
            <w:shd w:val="clear" w:color="auto" w:fill="auto"/>
            <w:noWrap/>
          </w:tcPr>
          <w:p w14:paraId="404E8AA6" w14:textId="714FC61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3,770</w:t>
            </w:r>
          </w:p>
        </w:tc>
        <w:tc>
          <w:tcPr>
            <w:tcW w:w="1305" w:type="dxa"/>
            <w:tcBorders>
              <w:top w:val="nil"/>
              <w:left w:val="nil"/>
              <w:bottom w:val="single" w:sz="4" w:space="0" w:color="auto"/>
              <w:right w:val="single" w:sz="4" w:space="0" w:color="auto"/>
            </w:tcBorders>
            <w:shd w:val="clear" w:color="auto" w:fill="auto"/>
            <w:noWrap/>
          </w:tcPr>
          <w:p w14:paraId="2029E340" w14:textId="7609AF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3,871</w:t>
            </w:r>
          </w:p>
        </w:tc>
        <w:tc>
          <w:tcPr>
            <w:tcW w:w="1306" w:type="dxa"/>
            <w:tcBorders>
              <w:top w:val="nil"/>
              <w:left w:val="nil"/>
              <w:bottom w:val="single" w:sz="4" w:space="0" w:color="auto"/>
              <w:right w:val="single" w:sz="4" w:space="0" w:color="auto"/>
            </w:tcBorders>
            <w:shd w:val="clear" w:color="auto" w:fill="auto"/>
            <w:noWrap/>
          </w:tcPr>
          <w:p w14:paraId="01FFD2E3" w14:textId="6C9F972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4,059</w:t>
            </w:r>
          </w:p>
        </w:tc>
      </w:tr>
      <w:tr w:rsidR="0020791D" w:rsidRPr="001D42CA" w14:paraId="4F470535" w14:textId="43222B9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1BDBC35" w14:textId="1C48614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Egypt</w:t>
            </w:r>
          </w:p>
        </w:tc>
        <w:tc>
          <w:tcPr>
            <w:tcW w:w="1111" w:type="dxa"/>
            <w:tcBorders>
              <w:top w:val="nil"/>
              <w:left w:val="nil"/>
              <w:bottom w:val="single" w:sz="4" w:space="0" w:color="auto"/>
              <w:right w:val="single" w:sz="4" w:space="0" w:color="auto"/>
            </w:tcBorders>
            <w:shd w:val="clear" w:color="auto" w:fill="auto"/>
            <w:noWrap/>
          </w:tcPr>
          <w:p w14:paraId="16EA2508" w14:textId="1FC9823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0.139</w:t>
            </w:r>
          </w:p>
        </w:tc>
        <w:tc>
          <w:tcPr>
            <w:tcW w:w="1111" w:type="dxa"/>
            <w:tcBorders>
              <w:top w:val="nil"/>
              <w:left w:val="nil"/>
              <w:bottom w:val="single" w:sz="4" w:space="0" w:color="auto"/>
              <w:right w:val="single" w:sz="4" w:space="0" w:color="auto"/>
            </w:tcBorders>
            <w:shd w:val="clear" w:color="auto" w:fill="auto"/>
            <w:noWrap/>
          </w:tcPr>
          <w:p w14:paraId="2F9B6D6A" w14:textId="109652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0.143%</w:t>
            </w:r>
          </w:p>
        </w:tc>
        <w:tc>
          <w:tcPr>
            <w:tcW w:w="1305" w:type="dxa"/>
            <w:tcBorders>
              <w:top w:val="nil"/>
              <w:left w:val="nil"/>
              <w:bottom w:val="single" w:sz="4" w:space="0" w:color="auto"/>
              <w:right w:val="single" w:sz="4" w:space="0" w:color="auto"/>
            </w:tcBorders>
          </w:tcPr>
          <w:p w14:paraId="267E2199" w14:textId="0ED3B3F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9,104</w:t>
            </w:r>
          </w:p>
        </w:tc>
        <w:tc>
          <w:tcPr>
            <w:tcW w:w="1306" w:type="dxa"/>
            <w:tcBorders>
              <w:top w:val="nil"/>
              <w:left w:val="single" w:sz="4" w:space="0" w:color="auto"/>
              <w:bottom w:val="single" w:sz="4" w:space="0" w:color="auto"/>
              <w:right w:val="single" w:sz="4" w:space="0" w:color="auto"/>
            </w:tcBorders>
            <w:shd w:val="clear" w:color="auto" w:fill="auto"/>
            <w:noWrap/>
          </w:tcPr>
          <w:p w14:paraId="78C13640" w14:textId="72579F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6,806</w:t>
            </w:r>
          </w:p>
        </w:tc>
        <w:tc>
          <w:tcPr>
            <w:tcW w:w="1305" w:type="dxa"/>
            <w:tcBorders>
              <w:top w:val="nil"/>
              <w:left w:val="nil"/>
              <w:bottom w:val="single" w:sz="4" w:space="0" w:color="auto"/>
              <w:right w:val="single" w:sz="4" w:space="0" w:color="auto"/>
            </w:tcBorders>
            <w:shd w:val="clear" w:color="auto" w:fill="auto"/>
            <w:noWrap/>
          </w:tcPr>
          <w:p w14:paraId="274B1EAD" w14:textId="04900CF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6,988</w:t>
            </w:r>
          </w:p>
        </w:tc>
        <w:tc>
          <w:tcPr>
            <w:tcW w:w="1306" w:type="dxa"/>
            <w:tcBorders>
              <w:top w:val="nil"/>
              <w:left w:val="nil"/>
              <w:bottom w:val="single" w:sz="4" w:space="0" w:color="auto"/>
              <w:right w:val="single" w:sz="4" w:space="0" w:color="auto"/>
            </w:tcBorders>
            <w:shd w:val="clear" w:color="auto" w:fill="auto"/>
            <w:noWrap/>
          </w:tcPr>
          <w:p w14:paraId="07E49C35" w14:textId="254D09F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7,327</w:t>
            </w:r>
          </w:p>
        </w:tc>
      </w:tr>
      <w:tr w:rsidR="0020791D" w:rsidRPr="001D42CA" w14:paraId="2A308D75" w14:textId="6BE8F7C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29F9486" w14:textId="19AF784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El Salvador</w:t>
            </w:r>
          </w:p>
        </w:tc>
        <w:tc>
          <w:tcPr>
            <w:tcW w:w="1111" w:type="dxa"/>
            <w:tcBorders>
              <w:top w:val="nil"/>
              <w:left w:val="nil"/>
              <w:bottom w:val="single" w:sz="4" w:space="0" w:color="auto"/>
              <w:right w:val="single" w:sz="4" w:space="0" w:color="auto"/>
            </w:tcBorders>
            <w:shd w:val="clear" w:color="auto" w:fill="auto"/>
            <w:noWrap/>
          </w:tcPr>
          <w:p w14:paraId="6F11C373" w14:textId="7BA5D5A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111" w:type="dxa"/>
            <w:tcBorders>
              <w:top w:val="nil"/>
              <w:left w:val="nil"/>
              <w:bottom w:val="single" w:sz="4" w:space="0" w:color="auto"/>
              <w:right w:val="single" w:sz="4" w:space="0" w:color="auto"/>
            </w:tcBorders>
            <w:shd w:val="clear" w:color="auto" w:fill="auto"/>
            <w:noWrap/>
          </w:tcPr>
          <w:p w14:paraId="17840CD7" w14:textId="2401E7F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305" w:type="dxa"/>
            <w:tcBorders>
              <w:top w:val="nil"/>
              <w:left w:val="nil"/>
              <w:bottom w:val="single" w:sz="4" w:space="0" w:color="auto"/>
              <w:right w:val="single" w:sz="4" w:space="0" w:color="auto"/>
            </w:tcBorders>
          </w:tcPr>
          <w:p w14:paraId="3BEBC1D7" w14:textId="6AABA06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FED4389" w14:textId="4FDBBCE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C44B7CA" w14:textId="6D44AA9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34B6BC4" w14:textId="7E51B0F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2E73046" w14:textId="3261F43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AF8DC9" w14:textId="6002A42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Equatorial Guinea</w:t>
            </w:r>
          </w:p>
        </w:tc>
        <w:tc>
          <w:tcPr>
            <w:tcW w:w="1111" w:type="dxa"/>
            <w:tcBorders>
              <w:top w:val="nil"/>
              <w:left w:val="nil"/>
              <w:bottom w:val="single" w:sz="4" w:space="0" w:color="auto"/>
              <w:right w:val="single" w:sz="4" w:space="0" w:color="auto"/>
            </w:tcBorders>
            <w:shd w:val="clear" w:color="auto" w:fill="auto"/>
            <w:noWrap/>
          </w:tcPr>
          <w:p w14:paraId="20DF1F0E" w14:textId="60609F9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0.012</w:t>
            </w:r>
          </w:p>
        </w:tc>
        <w:tc>
          <w:tcPr>
            <w:tcW w:w="1111" w:type="dxa"/>
            <w:tcBorders>
              <w:top w:val="nil"/>
              <w:left w:val="nil"/>
              <w:bottom w:val="single" w:sz="4" w:space="0" w:color="auto"/>
              <w:right w:val="single" w:sz="4" w:space="0" w:color="auto"/>
            </w:tcBorders>
            <w:shd w:val="clear" w:color="auto" w:fill="auto"/>
            <w:noWrap/>
          </w:tcPr>
          <w:p w14:paraId="2AB7170E" w14:textId="75D871B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0.012%</w:t>
            </w:r>
          </w:p>
        </w:tc>
        <w:tc>
          <w:tcPr>
            <w:tcW w:w="1305" w:type="dxa"/>
            <w:tcBorders>
              <w:top w:val="nil"/>
              <w:left w:val="nil"/>
              <w:bottom w:val="single" w:sz="4" w:space="0" w:color="auto"/>
              <w:right w:val="single" w:sz="4" w:space="0" w:color="auto"/>
            </w:tcBorders>
          </w:tcPr>
          <w:p w14:paraId="42211D6F" w14:textId="5534BC6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CFC4C0D" w14:textId="5E7824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5FE7202" w14:textId="22ECDC3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D685DB1" w14:textId="73C9518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6A4D0B4" w14:textId="241C063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A33A5B3" w14:textId="61880CAC"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Estonia</w:t>
            </w:r>
          </w:p>
        </w:tc>
        <w:tc>
          <w:tcPr>
            <w:tcW w:w="1111" w:type="dxa"/>
            <w:tcBorders>
              <w:top w:val="nil"/>
              <w:left w:val="nil"/>
              <w:bottom w:val="single" w:sz="4" w:space="0" w:color="auto"/>
              <w:right w:val="single" w:sz="4" w:space="0" w:color="auto"/>
            </w:tcBorders>
            <w:shd w:val="clear" w:color="auto" w:fill="auto"/>
            <w:noWrap/>
          </w:tcPr>
          <w:p w14:paraId="2A68ADAE" w14:textId="3B5B1F2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0.044</w:t>
            </w:r>
          </w:p>
        </w:tc>
        <w:tc>
          <w:tcPr>
            <w:tcW w:w="1111" w:type="dxa"/>
            <w:tcBorders>
              <w:top w:val="nil"/>
              <w:left w:val="nil"/>
              <w:bottom w:val="single" w:sz="4" w:space="0" w:color="auto"/>
              <w:right w:val="single" w:sz="4" w:space="0" w:color="auto"/>
            </w:tcBorders>
            <w:shd w:val="clear" w:color="auto" w:fill="auto"/>
            <w:noWrap/>
          </w:tcPr>
          <w:p w14:paraId="0CDBBB1D" w14:textId="31C771B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0.045%</w:t>
            </w:r>
          </w:p>
        </w:tc>
        <w:tc>
          <w:tcPr>
            <w:tcW w:w="1305" w:type="dxa"/>
            <w:tcBorders>
              <w:top w:val="nil"/>
              <w:left w:val="nil"/>
              <w:bottom w:val="single" w:sz="4" w:space="0" w:color="auto"/>
              <w:right w:val="single" w:sz="4" w:space="0" w:color="auto"/>
            </w:tcBorders>
          </w:tcPr>
          <w:p w14:paraId="5585FA58" w14:textId="632C650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1,909</w:t>
            </w:r>
          </w:p>
        </w:tc>
        <w:tc>
          <w:tcPr>
            <w:tcW w:w="1306" w:type="dxa"/>
            <w:tcBorders>
              <w:top w:val="nil"/>
              <w:left w:val="single" w:sz="4" w:space="0" w:color="auto"/>
              <w:bottom w:val="single" w:sz="4" w:space="0" w:color="auto"/>
              <w:right w:val="single" w:sz="4" w:space="0" w:color="auto"/>
            </w:tcBorders>
            <w:shd w:val="clear" w:color="auto" w:fill="auto"/>
            <w:noWrap/>
          </w:tcPr>
          <w:p w14:paraId="64A60546" w14:textId="0B72FDF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2,154</w:t>
            </w:r>
          </w:p>
        </w:tc>
        <w:tc>
          <w:tcPr>
            <w:tcW w:w="1305" w:type="dxa"/>
            <w:tcBorders>
              <w:top w:val="nil"/>
              <w:left w:val="nil"/>
              <w:bottom w:val="single" w:sz="4" w:space="0" w:color="auto"/>
              <w:right w:val="single" w:sz="4" w:space="0" w:color="auto"/>
            </w:tcBorders>
            <w:shd w:val="clear" w:color="auto" w:fill="auto"/>
            <w:noWrap/>
          </w:tcPr>
          <w:p w14:paraId="5025420B" w14:textId="6E1BAF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2,212</w:t>
            </w:r>
          </w:p>
        </w:tc>
        <w:tc>
          <w:tcPr>
            <w:tcW w:w="1306" w:type="dxa"/>
            <w:tcBorders>
              <w:top w:val="nil"/>
              <w:left w:val="nil"/>
              <w:bottom w:val="single" w:sz="4" w:space="0" w:color="auto"/>
              <w:right w:val="single" w:sz="4" w:space="0" w:color="auto"/>
            </w:tcBorders>
            <w:shd w:val="clear" w:color="auto" w:fill="auto"/>
            <w:noWrap/>
          </w:tcPr>
          <w:p w14:paraId="40638440" w14:textId="3728E6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2,319</w:t>
            </w:r>
          </w:p>
        </w:tc>
      </w:tr>
      <w:tr w:rsidR="0020791D" w:rsidRPr="001D42CA" w14:paraId="40B3A0A0" w14:textId="186D153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BE73C1D" w14:textId="626C3A4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Eswatini</w:t>
            </w:r>
          </w:p>
        </w:tc>
        <w:tc>
          <w:tcPr>
            <w:tcW w:w="1111" w:type="dxa"/>
            <w:tcBorders>
              <w:top w:val="nil"/>
              <w:left w:val="nil"/>
              <w:bottom w:val="single" w:sz="4" w:space="0" w:color="auto"/>
              <w:right w:val="single" w:sz="4" w:space="0" w:color="auto"/>
            </w:tcBorders>
            <w:shd w:val="clear" w:color="auto" w:fill="auto"/>
            <w:noWrap/>
          </w:tcPr>
          <w:p w14:paraId="70FA239C" w14:textId="6D043DB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47351A46" w14:textId="56C138E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687511F4" w14:textId="392BA9E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B3DB9FB" w14:textId="0FE1E75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A14C81E" w14:textId="6D310C0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A4E235B" w14:textId="0DA6A38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1B0CDBA" w14:textId="138A6C0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625EE7F" w14:textId="4E57277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Fiji</w:t>
            </w:r>
          </w:p>
        </w:tc>
        <w:tc>
          <w:tcPr>
            <w:tcW w:w="1111" w:type="dxa"/>
            <w:tcBorders>
              <w:top w:val="nil"/>
              <w:left w:val="nil"/>
              <w:bottom w:val="single" w:sz="4" w:space="0" w:color="auto"/>
              <w:right w:val="single" w:sz="4" w:space="0" w:color="auto"/>
            </w:tcBorders>
            <w:shd w:val="clear" w:color="auto" w:fill="auto"/>
            <w:noWrap/>
          </w:tcPr>
          <w:p w14:paraId="383B45D8" w14:textId="00911F4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54F342CA" w14:textId="5A6998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74D57DDE" w14:textId="5B23161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35618A0" w14:textId="6E3EA89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8FB7269" w14:textId="42118FE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1612081" w14:textId="36CB0EB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8963106" w14:textId="6D9A733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6D12E70" w14:textId="590719E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Finland</w:t>
            </w:r>
          </w:p>
        </w:tc>
        <w:tc>
          <w:tcPr>
            <w:tcW w:w="1111" w:type="dxa"/>
            <w:tcBorders>
              <w:top w:val="nil"/>
              <w:left w:val="nil"/>
              <w:bottom w:val="single" w:sz="4" w:space="0" w:color="auto"/>
              <w:right w:val="single" w:sz="4" w:space="0" w:color="auto"/>
            </w:tcBorders>
            <w:shd w:val="clear" w:color="auto" w:fill="auto"/>
            <w:noWrap/>
          </w:tcPr>
          <w:p w14:paraId="01EF5EAD" w14:textId="0079672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0.417</w:t>
            </w:r>
          </w:p>
        </w:tc>
        <w:tc>
          <w:tcPr>
            <w:tcW w:w="1111" w:type="dxa"/>
            <w:tcBorders>
              <w:top w:val="nil"/>
              <w:left w:val="nil"/>
              <w:bottom w:val="single" w:sz="4" w:space="0" w:color="auto"/>
              <w:right w:val="single" w:sz="4" w:space="0" w:color="auto"/>
            </w:tcBorders>
            <w:shd w:val="clear" w:color="auto" w:fill="auto"/>
            <w:noWrap/>
          </w:tcPr>
          <w:p w14:paraId="570FBA1C" w14:textId="4C76C1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0.428%</w:t>
            </w:r>
          </w:p>
        </w:tc>
        <w:tc>
          <w:tcPr>
            <w:tcW w:w="1305" w:type="dxa"/>
            <w:tcBorders>
              <w:top w:val="nil"/>
              <w:left w:val="nil"/>
              <w:bottom w:val="single" w:sz="4" w:space="0" w:color="auto"/>
              <w:right w:val="single" w:sz="4" w:space="0" w:color="auto"/>
            </w:tcBorders>
          </w:tcPr>
          <w:p w14:paraId="721C770C" w14:textId="6C13F34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20,606</w:t>
            </w:r>
          </w:p>
        </w:tc>
        <w:tc>
          <w:tcPr>
            <w:tcW w:w="1306" w:type="dxa"/>
            <w:tcBorders>
              <w:top w:val="nil"/>
              <w:left w:val="single" w:sz="4" w:space="0" w:color="auto"/>
              <w:bottom w:val="single" w:sz="4" w:space="0" w:color="auto"/>
              <w:right w:val="single" w:sz="4" w:space="0" w:color="auto"/>
            </w:tcBorders>
            <w:shd w:val="clear" w:color="auto" w:fill="auto"/>
            <w:noWrap/>
          </w:tcPr>
          <w:p w14:paraId="1163A4E9" w14:textId="3D4A9A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20,417</w:t>
            </w:r>
          </w:p>
        </w:tc>
        <w:tc>
          <w:tcPr>
            <w:tcW w:w="1305" w:type="dxa"/>
            <w:tcBorders>
              <w:top w:val="nil"/>
              <w:left w:val="nil"/>
              <w:bottom w:val="single" w:sz="4" w:space="0" w:color="auto"/>
              <w:right w:val="single" w:sz="4" w:space="0" w:color="auto"/>
            </w:tcBorders>
            <w:shd w:val="clear" w:color="auto" w:fill="auto"/>
            <w:noWrap/>
          </w:tcPr>
          <w:p w14:paraId="36BA35DE" w14:textId="72C551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20,965</w:t>
            </w:r>
          </w:p>
        </w:tc>
        <w:tc>
          <w:tcPr>
            <w:tcW w:w="1306" w:type="dxa"/>
            <w:tcBorders>
              <w:top w:val="nil"/>
              <w:left w:val="nil"/>
              <w:bottom w:val="single" w:sz="4" w:space="0" w:color="auto"/>
              <w:right w:val="single" w:sz="4" w:space="0" w:color="auto"/>
            </w:tcBorders>
            <w:shd w:val="clear" w:color="auto" w:fill="auto"/>
            <w:noWrap/>
          </w:tcPr>
          <w:p w14:paraId="20B15A78" w14:textId="16C3C0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21,982</w:t>
            </w:r>
          </w:p>
        </w:tc>
      </w:tr>
      <w:tr w:rsidR="0020791D" w:rsidRPr="001D42CA" w14:paraId="3AC08067" w14:textId="210E6E6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E3A500" w14:textId="1CC83E0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France</w:t>
            </w:r>
          </w:p>
        </w:tc>
        <w:tc>
          <w:tcPr>
            <w:tcW w:w="1111" w:type="dxa"/>
            <w:tcBorders>
              <w:top w:val="nil"/>
              <w:left w:val="nil"/>
              <w:bottom w:val="single" w:sz="4" w:space="0" w:color="auto"/>
              <w:right w:val="single" w:sz="4" w:space="0" w:color="auto"/>
            </w:tcBorders>
            <w:shd w:val="clear" w:color="auto" w:fill="auto"/>
            <w:noWrap/>
          </w:tcPr>
          <w:p w14:paraId="7C3DA11A" w14:textId="49007B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4.318</w:t>
            </w:r>
          </w:p>
        </w:tc>
        <w:tc>
          <w:tcPr>
            <w:tcW w:w="1111" w:type="dxa"/>
            <w:tcBorders>
              <w:top w:val="nil"/>
              <w:left w:val="nil"/>
              <w:bottom w:val="single" w:sz="4" w:space="0" w:color="auto"/>
              <w:right w:val="single" w:sz="4" w:space="0" w:color="auto"/>
            </w:tcBorders>
            <w:shd w:val="clear" w:color="auto" w:fill="auto"/>
            <w:noWrap/>
          </w:tcPr>
          <w:p w14:paraId="635A53CF" w14:textId="329802C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4.433%</w:t>
            </w:r>
          </w:p>
        </w:tc>
        <w:tc>
          <w:tcPr>
            <w:tcW w:w="1305" w:type="dxa"/>
            <w:tcBorders>
              <w:top w:val="nil"/>
              <w:left w:val="nil"/>
              <w:bottom w:val="single" w:sz="4" w:space="0" w:color="auto"/>
              <w:right w:val="single" w:sz="4" w:space="0" w:color="auto"/>
            </w:tcBorders>
          </w:tcPr>
          <w:p w14:paraId="051926FF" w14:textId="5469EDF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216,684</w:t>
            </w:r>
          </w:p>
        </w:tc>
        <w:tc>
          <w:tcPr>
            <w:tcW w:w="1306" w:type="dxa"/>
            <w:tcBorders>
              <w:top w:val="nil"/>
              <w:left w:val="single" w:sz="4" w:space="0" w:color="auto"/>
              <w:bottom w:val="single" w:sz="4" w:space="0" w:color="auto"/>
              <w:right w:val="single" w:sz="4" w:space="0" w:color="auto"/>
            </w:tcBorders>
            <w:shd w:val="clear" w:color="auto" w:fill="auto"/>
            <w:noWrap/>
          </w:tcPr>
          <w:p w14:paraId="1B4E25A9" w14:textId="490FFAE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211,421</w:t>
            </w:r>
          </w:p>
        </w:tc>
        <w:tc>
          <w:tcPr>
            <w:tcW w:w="1305" w:type="dxa"/>
            <w:tcBorders>
              <w:top w:val="nil"/>
              <w:left w:val="nil"/>
              <w:bottom w:val="single" w:sz="4" w:space="0" w:color="auto"/>
              <w:right w:val="single" w:sz="4" w:space="0" w:color="auto"/>
            </w:tcBorders>
            <w:shd w:val="clear" w:color="auto" w:fill="auto"/>
            <w:noWrap/>
          </w:tcPr>
          <w:p w14:paraId="200788BB" w14:textId="28BE23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217,088</w:t>
            </w:r>
          </w:p>
        </w:tc>
        <w:tc>
          <w:tcPr>
            <w:tcW w:w="1306" w:type="dxa"/>
            <w:tcBorders>
              <w:top w:val="nil"/>
              <w:left w:val="nil"/>
              <w:bottom w:val="single" w:sz="4" w:space="0" w:color="auto"/>
              <w:right w:val="single" w:sz="4" w:space="0" w:color="auto"/>
            </w:tcBorders>
            <w:shd w:val="clear" w:color="auto" w:fill="auto"/>
            <w:noWrap/>
          </w:tcPr>
          <w:p w14:paraId="5C153A95" w14:textId="2154AF5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227,618</w:t>
            </w:r>
          </w:p>
        </w:tc>
      </w:tr>
      <w:tr w:rsidR="0020791D" w:rsidRPr="001D42CA" w14:paraId="2C69CAFB" w14:textId="7B62390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60ACFDB" w14:textId="0E662DF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Gabon</w:t>
            </w:r>
          </w:p>
        </w:tc>
        <w:tc>
          <w:tcPr>
            <w:tcW w:w="1111" w:type="dxa"/>
            <w:tcBorders>
              <w:top w:val="nil"/>
              <w:left w:val="nil"/>
              <w:bottom w:val="single" w:sz="4" w:space="0" w:color="auto"/>
              <w:right w:val="single" w:sz="4" w:space="0" w:color="auto"/>
            </w:tcBorders>
            <w:shd w:val="clear" w:color="auto" w:fill="auto"/>
            <w:noWrap/>
          </w:tcPr>
          <w:p w14:paraId="67D4AF44" w14:textId="00FF0B4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111" w:type="dxa"/>
            <w:tcBorders>
              <w:top w:val="nil"/>
              <w:left w:val="nil"/>
              <w:bottom w:val="single" w:sz="4" w:space="0" w:color="auto"/>
              <w:right w:val="single" w:sz="4" w:space="0" w:color="auto"/>
            </w:tcBorders>
            <w:shd w:val="clear" w:color="auto" w:fill="auto"/>
            <w:noWrap/>
          </w:tcPr>
          <w:p w14:paraId="6554B212" w14:textId="5361018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0.013%</w:t>
            </w:r>
          </w:p>
        </w:tc>
        <w:tc>
          <w:tcPr>
            <w:tcW w:w="1305" w:type="dxa"/>
            <w:tcBorders>
              <w:top w:val="nil"/>
              <w:left w:val="nil"/>
              <w:bottom w:val="single" w:sz="4" w:space="0" w:color="auto"/>
              <w:right w:val="single" w:sz="4" w:space="0" w:color="auto"/>
            </w:tcBorders>
          </w:tcPr>
          <w:p w14:paraId="7441C2EC" w14:textId="7EDA4B6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404BBB" w14:textId="30F9A52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6A6340E" w14:textId="5B69D79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127BEF2" w14:textId="067FCEB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83AEBBE" w14:textId="546337C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19CC23E" w14:textId="0AA4652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Gambia</w:t>
            </w:r>
          </w:p>
        </w:tc>
        <w:tc>
          <w:tcPr>
            <w:tcW w:w="1111" w:type="dxa"/>
            <w:tcBorders>
              <w:top w:val="nil"/>
              <w:left w:val="nil"/>
              <w:bottom w:val="single" w:sz="4" w:space="0" w:color="auto"/>
              <w:right w:val="single" w:sz="4" w:space="0" w:color="auto"/>
            </w:tcBorders>
            <w:shd w:val="clear" w:color="auto" w:fill="auto"/>
            <w:noWrap/>
          </w:tcPr>
          <w:p w14:paraId="25D4B42B" w14:textId="5FC8465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6C10A1F8" w14:textId="213FE0B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3C6038DE" w14:textId="178CB81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522AAD1" w14:textId="19DFDE4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DFFFA5B" w14:textId="4BA1885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0343426" w14:textId="0EF7E68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10999986" w14:textId="6062520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772A5E0" w14:textId="580B7A91"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Georgia</w:t>
            </w:r>
          </w:p>
        </w:tc>
        <w:tc>
          <w:tcPr>
            <w:tcW w:w="1111" w:type="dxa"/>
            <w:tcBorders>
              <w:top w:val="nil"/>
              <w:left w:val="nil"/>
              <w:bottom w:val="single" w:sz="4" w:space="0" w:color="auto"/>
              <w:right w:val="single" w:sz="4" w:space="0" w:color="auto"/>
            </w:tcBorders>
            <w:shd w:val="clear" w:color="auto" w:fill="auto"/>
            <w:noWrap/>
          </w:tcPr>
          <w:p w14:paraId="245251A7" w14:textId="4B69F6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05132DE4" w14:textId="3B1BAC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0B669487" w14:textId="0C7F316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BD43C79" w14:textId="5272710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820D416" w14:textId="7207F6F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E751993" w14:textId="369A1F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F7FD43A" w14:textId="607DABD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FA3647F" w14:textId="2BCC5A0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Germany</w:t>
            </w:r>
          </w:p>
        </w:tc>
        <w:tc>
          <w:tcPr>
            <w:tcW w:w="1111" w:type="dxa"/>
            <w:tcBorders>
              <w:top w:val="nil"/>
              <w:left w:val="nil"/>
              <w:bottom w:val="single" w:sz="4" w:space="0" w:color="auto"/>
              <w:right w:val="single" w:sz="4" w:space="0" w:color="auto"/>
            </w:tcBorders>
            <w:shd w:val="clear" w:color="auto" w:fill="auto"/>
            <w:noWrap/>
          </w:tcPr>
          <w:p w14:paraId="6A534C87" w14:textId="59A76EF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6.111</w:t>
            </w:r>
          </w:p>
        </w:tc>
        <w:tc>
          <w:tcPr>
            <w:tcW w:w="1111" w:type="dxa"/>
            <w:tcBorders>
              <w:top w:val="nil"/>
              <w:left w:val="nil"/>
              <w:bottom w:val="single" w:sz="4" w:space="0" w:color="auto"/>
              <w:right w:val="single" w:sz="4" w:space="0" w:color="auto"/>
            </w:tcBorders>
            <w:shd w:val="clear" w:color="auto" w:fill="auto"/>
            <w:noWrap/>
          </w:tcPr>
          <w:p w14:paraId="18ABC291" w14:textId="075946E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6.274%</w:t>
            </w:r>
          </w:p>
        </w:tc>
        <w:tc>
          <w:tcPr>
            <w:tcW w:w="1305" w:type="dxa"/>
            <w:tcBorders>
              <w:top w:val="nil"/>
              <w:left w:val="nil"/>
              <w:bottom w:val="single" w:sz="4" w:space="0" w:color="auto"/>
              <w:right w:val="single" w:sz="4" w:space="0" w:color="auto"/>
            </w:tcBorders>
          </w:tcPr>
          <w:p w14:paraId="733F553D" w14:textId="06964D1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298,081</w:t>
            </w:r>
          </w:p>
        </w:tc>
        <w:tc>
          <w:tcPr>
            <w:tcW w:w="1306" w:type="dxa"/>
            <w:tcBorders>
              <w:top w:val="nil"/>
              <w:left w:val="single" w:sz="4" w:space="0" w:color="auto"/>
              <w:bottom w:val="single" w:sz="4" w:space="0" w:color="auto"/>
              <w:right w:val="single" w:sz="4" w:space="0" w:color="auto"/>
            </w:tcBorders>
            <w:shd w:val="clear" w:color="auto" w:fill="auto"/>
            <w:noWrap/>
          </w:tcPr>
          <w:p w14:paraId="10540141" w14:textId="795CABF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299,212</w:t>
            </w:r>
          </w:p>
        </w:tc>
        <w:tc>
          <w:tcPr>
            <w:tcW w:w="1305" w:type="dxa"/>
            <w:tcBorders>
              <w:top w:val="nil"/>
              <w:left w:val="nil"/>
              <w:bottom w:val="single" w:sz="4" w:space="0" w:color="auto"/>
              <w:right w:val="single" w:sz="4" w:space="0" w:color="auto"/>
            </w:tcBorders>
            <w:shd w:val="clear" w:color="auto" w:fill="auto"/>
            <w:noWrap/>
          </w:tcPr>
          <w:p w14:paraId="01C0E685" w14:textId="54020A3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307,231</w:t>
            </w:r>
          </w:p>
        </w:tc>
        <w:tc>
          <w:tcPr>
            <w:tcW w:w="1306" w:type="dxa"/>
            <w:tcBorders>
              <w:top w:val="nil"/>
              <w:left w:val="nil"/>
              <w:bottom w:val="single" w:sz="4" w:space="0" w:color="auto"/>
              <w:right w:val="single" w:sz="4" w:space="0" w:color="auto"/>
            </w:tcBorders>
            <w:shd w:val="clear" w:color="auto" w:fill="auto"/>
            <w:noWrap/>
          </w:tcPr>
          <w:p w14:paraId="60582FDE" w14:textId="6D4F958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322,134</w:t>
            </w:r>
          </w:p>
        </w:tc>
      </w:tr>
      <w:tr w:rsidR="0020791D" w:rsidRPr="001D42CA" w14:paraId="6F567C5D" w14:textId="55F61AD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5FDB919" w14:textId="383F1E8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Ghana</w:t>
            </w:r>
          </w:p>
        </w:tc>
        <w:tc>
          <w:tcPr>
            <w:tcW w:w="1111" w:type="dxa"/>
            <w:tcBorders>
              <w:top w:val="nil"/>
              <w:left w:val="nil"/>
              <w:bottom w:val="single" w:sz="4" w:space="0" w:color="auto"/>
              <w:right w:val="single" w:sz="4" w:space="0" w:color="auto"/>
            </w:tcBorders>
            <w:shd w:val="clear" w:color="auto" w:fill="auto"/>
            <w:noWrap/>
          </w:tcPr>
          <w:p w14:paraId="41B2A9A8" w14:textId="6882415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0.024</w:t>
            </w:r>
          </w:p>
        </w:tc>
        <w:tc>
          <w:tcPr>
            <w:tcW w:w="1111" w:type="dxa"/>
            <w:tcBorders>
              <w:top w:val="nil"/>
              <w:left w:val="nil"/>
              <w:bottom w:val="single" w:sz="4" w:space="0" w:color="auto"/>
              <w:right w:val="single" w:sz="4" w:space="0" w:color="auto"/>
            </w:tcBorders>
            <w:shd w:val="clear" w:color="auto" w:fill="auto"/>
            <w:noWrap/>
          </w:tcPr>
          <w:p w14:paraId="7E2366FF" w14:textId="681241F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0.025%</w:t>
            </w:r>
          </w:p>
        </w:tc>
        <w:tc>
          <w:tcPr>
            <w:tcW w:w="1305" w:type="dxa"/>
            <w:tcBorders>
              <w:top w:val="nil"/>
              <w:left w:val="nil"/>
              <w:bottom w:val="single" w:sz="4" w:space="0" w:color="auto"/>
              <w:right w:val="single" w:sz="4" w:space="0" w:color="auto"/>
            </w:tcBorders>
          </w:tcPr>
          <w:p w14:paraId="61273E80" w14:textId="4F17AEE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F334417" w14:textId="5FB5EBE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1,175</w:t>
            </w:r>
          </w:p>
        </w:tc>
        <w:tc>
          <w:tcPr>
            <w:tcW w:w="1305" w:type="dxa"/>
            <w:tcBorders>
              <w:top w:val="nil"/>
              <w:left w:val="nil"/>
              <w:bottom w:val="single" w:sz="4" w:space="0" w:color="auto"/>
              <w:right w:val="single" w:sz="4" w:space="0" w:color="auto"/>
            </w:tcBorders>
            <w:shd w:val="clear" w:color="auto" w:fill="auto"/>
            <w:noWrap/>
          </w:tcPr>
          <w:p w14:paraId="5CC7FF25" w14:textId="2EEAFBF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1,207</w:t>
            </w:r>
          </w:p>
        </w:tc>
        <w:tc>
          <w:tcPr>
            <w:tcW w:w="1306" w:type="dxa"/>
            <w:tcBorders>
              <w:top w:val="nil"/>
              <w:left w:val="nil"/>
              <w:bottom w:val="single" w:sz="4" w:space="0" w:color="auto"/>
              <w:right w:val="single" w:sz="4" w:space="0" w:color="auto"/>
            </w:tcBorders>
            <w:shd w:val="clear" w:color="auto" w:fill="auto"/>
            <w:noWrap/>
          </w:tcPr>
          <w:p w14:paraId="7F9411A5" w14:textId="07D1099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1,265</w:t>
            </w:r>
          </w:p>
        </w:tc>
      </w:tr>
      <w:tr w:rsidR="0020791D" w:rsidRPr="001D42CA" w14:paraId="2934F368" w14:textId="7E1ECEA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3EDE50F" w14:textId="5AA7C5C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Greece</w:t>
            </w:r>
          </w:p>
        </w:tc>
        <w:tc>
          <w:tcPr>
            <w:tcW w:w="1111" w:type="dxa"/>
            <w:tcBorders>
              <w:top w:val="nil"/>
              <w:left w:val="nil"/>
              <w:bottom w:val="single" w:sz="4" w:space="0" w:color="auto"/>
              <w:right w:val="single" w:sz="4" w:space="0" w:color="auto"/>
            </w:tcBorders>
            <w:shd w:val="clear" w:color="auto" w:fill="auto"/>
            <w:noWrap/>
          </w:tcPr>
          <w:p w14:paraId="3879523B" w14:textId="715C2C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0.325</w:t>
            </w:r>
          </w:p>
        </w:tc>
        <w:tc>
          <w:tcPr>
            <w:tcW w:w="1111" w:type="dxa"/>
            <w:tcBorders>
              <w:top w:val="nil"/>
              <w:left w:val="nil"/>
              <w:bottom w:val="single" w:sz="4" w:space="0" w:color="auto"/>
              <w:right w:val="single" w:sz="4" w:space="0" w:color="auto"/>
            </w:tcBorders>
            <w:shd w:val="clear" w:color="auto" w:fill="auto"/>
            <w:noWrap/>
          </w:tcPr>
          <w:p w14:paraId="21547CD9" w14:textId="782515D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0.334%</w:t>
            </w:r>
          </w:p>
        </w:tc>
        <w:tc>
          <w:tcPr>
            <w:tcW w:w="1305" w:type="dxa"/>
            <w:tcBorders>
              <w:top w:val="nil"/>
              <w:left w:val="nil"/>
              <w:bottom w:val="single" w:sz="4" w:space="0" w:color="auto"/>
              <w:right w:val="single" w:sz="4" w:space="0" w:color="auto"/>
            </w:tcBorders>
          </w:tcPr>
          <w:p w14:paraId="3D7EE35E" w14:textId="5A9D244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17,914</w:t>
            </w:r>
          </w:p>
        </w:tc>
        <w:tc>
          <w:tcPr>
            <w:tcW w:w="1306" w:type="dxa"/>
            <w:tcBorders>
              <w:top w:val="nil"/>
              <w:left w:val="single" w:sz="4" w:space="0" w:color="auto"/>
              <w:bottom w:val="single" w:sz="4" w:space="0" w:color="auto"/>
              <w:right w:val="single" w:sz="4" w:space="0" w:color="auto"/>
            </w:tcBorders>
            <w:shd w:val="clear" w:color="auto" w:fill="auto"/>
            <w:noWrap/>
          </w:tcPr>
          <w:p w14:paraId="41465B63" w14:textId="3995A8F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15,913</w:t>
            </w:r>
          </w:p>
        </w:tc>
        <w:tc>
          <w:tcPr>
            <w:tcW w:w="1305" w:type="dxa"/>
            <w:tcBorders>
              <w:top w:val="nil"/>
              <w:left w:val="nil"/>
              <w:bottom w:val="single" w:sz="4" w:space="0" w:color="auto"/>
              <w:right w:val="single" w:sz="4" w:space="0" w:color="auto"/>
            </w:tcBorders>
            <w:shd w:val="clear" w:color="auto" w:fill="auto"/>
            <w:noWrap/>
          </w:tcPr>
          <w:p w14:paraId="432CB48A" w14:textId="792DD5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16,339</w:t>
            </w:r>
          </w:p>
        </w:tc>
        <w:tc>
          <w:tcPr>
            <w:tcW w:w="1306" w:type="dxa"/>
            <w:tcBorders>
              <w:top w:val="nil"/>
              <w:left w:val="nil"/>
              <w:bottom w:val="single" w:sz="4" w:space="0" w:color="auto"/>
              <w:right w:val="single" w:sz="4" w:space="0" w:color="auto"/>
            </w:tcBorders>
            <w:shd w:val="clear" w:color="auto" w:fill="auto"/>
            <w:noWrap/>
          </w:tcPr>
          <w:p w14:paraId="2516E83A" w14:textId="6E53172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17,132</w:t>
            </w:r>
          </w:p>
        </w:tc>
      </w:tr>
      <w:tr w:rsidR="0020791D" w:rsidRPr="001D42CA" w14:paraId="0AFB0DD6" w14:textId="1AC4061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F6A9F3D" w14:textId="118F0E9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Grenada</w:t>
            </w:r>
          </w:p>
        </w:tc>
        <w:tc>
          <w:tcPr>
            <w:tcW w:w="1111" w:type="dxa"/>
            <w:tcBorders>
              <w:top w:val="nil"/>
              <w:left w:val="nil"/>
              <w:bottom w:val="single" w:sz="4" w:space="0" w:color="auto"/>
              <w:right w:val="single" w:sz="4" w:space="0" w:color="auto"/>
            </w:tcBorders>
            <w:shd w:val="clear" w:color="auto" w:fill="auto"/>
            <w:noWrap/>
          </w:tcPr>
          <w:p w14:paraId="686BEBC8" w14:textId="382EC45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0F4144FB" w14:textId="75300F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45D53348" w14:textId="59850A7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600052F" w14:textId="47E5615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9D3B829" w14:textId="10F1C6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A4CDFCD" w14:textId="26509E8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33F7086" w14:textId="311202F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4E70BB" w14:textId="3632079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Guatemala</w:t>
            </w:r>
          </w:p>
        </w:tc>
        <w:tc>
          <w:tcPr>
            <w:tcW w:w="1111" w:type="dxa"/>
            <w:tcBorders>
              <w:top w:val="nil"/>
              <w:left w:val="nil"/>
              <w:bottom w:val="single" w:sz="4" w:space="0" w:color="auto"/>
              <w:right w:val="single" w:sz="4" w:space="0" w:color="auto"/>
            </w:tcBorders>
            <w:shd w:val="clear" w:color="auto" w:fill="auto"/>
            <w:noWrap/>
          </w:tcPr>
          <w:p w14:paraId="4847934B" w14:textId="385A93A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0.041</w:t>
            </w:r>
          </w:p>
        </w:tc>
        <w:tc>
          <w:tcPr>
            <w:tcW w:w="1111" w:type="dxa"/>
            <w:tcBorders>
              <w:top w:val="nil"/>
              <w:left w:val="nil"/>
              <w:bottom w:val="single" w:sz="4" w:space="0" w:color="auto"/>
              <w:right w:val="single" w:sz="4" w:space="0" w:color="auto"/>
            </w:tcBorders>
            <w:shd w:val="clear" w:color="auto" w:fill="auto"/>
            <w:noWrap/>
          </w:tcPr>
          <w:p w14:paraId="7CEA8A85" w14:textId="05E07A4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0.042%</w:t>
            </w:r>
          </w:p>
        </w:tc>
        <w:tc>
          <w:tcPr>
            <w:tcW w:w="1305" w:type="dxa"/>
            <w:tcBorders>
              <w:top w:val="nil"/>
              <w:left w:val="nil"/>
              <w:bottom w:val="single" w:sz="4" w:space="0" w:color="auto"/>
              <w:right w:val="single" w:sz="4" w:space="0" w:color="auto"/>
            </w:tcBorders>
          </w:tcPr>
          <w:p w14:paraId="3D496756" w14:textId="5FEF2ED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1,762</w:t>
            </w:r>
          </w:p>
        </w:tc>
        <w:tc>
          <w:tcPr>
            <w:tcW w:w="1306" w:type="dxa"/>
            <w:tcBorders>
              <w:top w:val="nil"/>
              <w:left w:val="single" w:sz="4" w:space="0" w:color="auto"/>
              <w:bottom w:val="single" w:sz="4" w:space="0" w:color="auto"/>
              <w:right w:val="single" w:sz="4" w:space="0" w:color="auto"/>
            </w:tcBorders>
            <w:shd w:val="clear" w:color="auto" w:fill="auto"/>
            <w:noWrap/>
          </w:tcPr>
          <w:p w14:paraId="4CD10E32" w14:textId="1F1D2CB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2,007</w:t>
            </w:r>
          </w:p>
        </w:tc>
        <w:tc>
          <w:tcPr>
            <w:tcW w:w="1305" w:type="dxa"/>
            <w:tcBorders>
              <w:top w:val="nil"/>
              <w:left w:val="nil"/>
              <w:bottom w:val="single" w:sz="4" w:space="0" w:color="auto"/>
              <w:right w:val="single" w:sz="4" w:space="0" w:color="auto"/>
            </w:tcBorders>
            <w:shd w:val="clear" w:color="auto" w:fill="auto"/>
            <w:noWrap/>
          </w:tcPr>
          <w:p w14:paraId="0B1A7400" w14:textId="37FE185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2,061</w:t>
            </w:r>
          </w:p>
        </w:tc>
        <w:tc>
          <w:tcPr>
            <w:tcW w:w="1306" w:type="dxa"/>
            <w:tcBorders>
              <w:top w:val="nil"/>
              <w:left w:val="nil"/>
              <w:bottom w:val="single" w:sz="4" w:space="0" w:color="auto"/>
              <w:right w:val="single" w:sz="4" w:space="0" w:color="auto"/>
            </w:tcBorders>
            <w:shd w:val="clear" w:color="auto" w:fill="auto"/>
            <w:noWrap/>
          </w:tcPr>
          <w:p w14:paraId="10E0E3B1" w14:textId="29F7CF4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2,161</w:t>
            </w:r>
          </w:p>
        </w:tc>
      </w:tr>
      <w:tr w:rsidR="0020791D" w:rsidRPr="001D42CA" w14:paraId="45A154F9" w14:textId="4E0A67E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CC8293" w14:textId="3BA1657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Guinea</w:t>
            </w:r>
          </w:p>
        </w:tc>
        <w:tc>
          <w:tcPr>
            <w:tcW w:w="1111" w:type="dxa"/>
            <w:tcBorders>
              <w:top w:val="nil"/>
              <w:left w:val="nil"/>
              <w:bottom w:val="single" w:sz="4" w:space="0" w:color="auto"/>
              <w:right w:val="single" w:sz="4" w:space="0" w:color="auto"/>
            </w:tcBorders>
            <w:shd w:val="clear" w:color="auto" w:fill="auto"/>
            <w:noWrap/>
          </w:tcPr>
          <w:p w14:paraId="77B9F639" w14:textId="39BF71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3427EB15" w14:textId="00716C4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6B5E7F3E" w14:textId="75E44C4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A726090" w14:textId="440E159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0EF6FA6" w14:textId="3B8C5FD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C9AE62E" w14:textId="1345E05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A308E29" w14:textId="28B9545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45AEAB" w14:textId="0DA89C9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Guinea-Bissau</w:t>
            </w:r>
          </w:p>
        </w:tc>
        <w:tc>
          <w:tcPr>
            <w:tcW w:w="1111" w:type="dxa"/>
            <w:tcBorders>
              <w:top w:val="nil"/>
              <w:left w:val="nil"/>
              <w:bottom w:val="single" w:sz="4" w:space="0" w:color="auto"/>
              <w:right w:val="single" w:sz="4" w:space="0" w:color="auto"/>
            </w:tcBorders>
            <w:shd w:val="clear" w:color="auto" w:fill="auto"/>
            <w:noWrap/>
          </w:tcPr>
          <w:p w14:paraId="614ACAA2" w14:textId="188BDE2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0D4C9401" w14:textId="48D6C9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10720A14" w14:textId="525075F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DD69419" w14:textId="23445B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BFC6397" w14:textId="134BC8C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C856FE5" w14:textId="5D6326D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9BE5769" w14:textId="74EC2FE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3CAA90A" w14:textId="1B8FBD6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Honduras</w:t>
            </w:r>
          </w:p>
        </w:tc>
        <w:tc>
          <w:tcPr>
            <w:tcW w:w="1111" w:type="dxa"/>
            <w:tcBorders>
              <w:top w:val="nil"/>
              <w:left w:val="nil"/>
              <w:bottom w:val="single" w:sz="4" w:space="0" w:color="auto"/>
              <w:right w:val="single" w:sz="4" w:space="0" w:color="auto"/>
            </w:tcBorders>
            <w:shd w:val="clear" w:color="auto" w:fill="auto"/>
            <w:noWrap/>
          </w:tcPr>
          <w:p w14:paraId="00C3BF13" w14:textId="746191E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111" w:type="dxa"/>
            <w:tcBorders>
              <w:top w:val="nil"/>
              <w:left w:val="nil"/>
              <w:bottom w:val="single" w:sz="4" w:space="0" w:color="auto"/>
              <w:right w:val="single" w:sz="4" w:space="0" w:color="auto"/>
            </w:tcBorders>
            <w:shd w:val="clear" w:color="auto" w:fill="auto"/>
            <w:noWrap/>
          </w:tcPr>
          <w:p w14:paraId="7085F897" w14:textId="5E2711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305" w:type="dxa"/>
            <w:tcBorders>
              <w:top w:val="nil"/>
              <w:left w:val="nil"/>
              <w:bottom w:val="single" w:sz="4" w:space="0" w:color="auto"/>
              <w:right w:val="single" w:sz="4" w:space="0" w:color="auto"/>
            </w:tcBorders>
          </w:tcPr>
          <w:p w14:paraId="590EC256" w14:textId="73CAB44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9EBE01" w14:textId="01F96E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AEC0934" w14:textId="739F904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C29C564" w14:textId="4B6F0C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A805B09" w14:textId="1601A52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62C0081" w14:textId="5BD61B5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Hungary</w:t>
            </w:r>
          </w:p>
        </w:tc>
        <w:tc>
          <w:tcPr>
            <w:tcW w:w="1111" w:type="dxa"/>
            <w:tcBorders>
              <w:top w:val="nil"/>
              <w:left w:val="nil"/>
              <w:bottom w:val="single" w:sz="4" w:space="0" w:color="auto"/>
              <w:right w:val="single" w:sz="4" w:space="0" w:color="auto"/>
            </w:tcBorders>
            <w:shd w:val="clear" w:color="auto" w:fill="auto"/>
            <w:noWrap/>
          </w:tcPr>
          <w:p w14:paraId="411C38E5" w14:textId="3FE300C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0.228</w:t>
            </w:r>
          </w:p>
        </w:tc>
        <w:tc>
          <w:tcPr>
            <w:tcW w:w="1111" w:type="dxa"/>
            <w:tcBorders>
              <w:top w:val="nil"/>
              <w:left w:val="nil"/>
              <w:bottom w:val="single" w:sz="4" w:space="0" w:color="auto"/>
              <w:right w:val="single" w:sz="4" w:space="0" w:color="auto"/>
            </w:tcBorders>
            <w:shd w:val="clear" w:color="auto" w:fill="auto"/>
            <w:noWrap/>
          </w:tcPr>
          <w:p w14:paraId="72BF6F79" w14:textId="02A223B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0.234%</w:t>
            </w:r>
          </w:p>
        </w:tc>
        <w:tc>
          <w:tcPr>
            <w:tcW w:w="1305" w:type="dxa"/>
            <w:tcBorders>
              <w:top w:val="nil"/>
              <w:left w:val="nil"/>
              <w:bottom w:val="single" w:sz="4" w:space="0" w:color="auto"/>
              <w:right w:val="single" w:sz="4" w:space="0" w:color="auto"/>
            </w:tcBorders>
          </w:tcPr>
          <w:p w14:paraId="5619DFDD" w14:textId="427344C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10,083</w:t>
            </w:r>
          </w:p>
        </w:tc>
        <w:tc>
          <w:tcPr>
            <w:tcW w:w="1306" w:type="dxa"/>
            <w:tcBorders>
              <w:top w:val="nil"/>
              <w:left w:val="single" w:sz="4" w:space="0" w:color="auto"/>
              <w:bottom w:val="single" w:sz="4" w:space="0" w:color="auto"/>
              <w:right w:val="single" w:sz="4" w:space="0" w:color="auto"/>
            </w:tcBorders>
            <w:shd w:val="clear" w:color="auto" w:fill="auto"/>
            <w:noWrap/>
          </w:tcPr>
          <w:p w14:paraId="35245D55" w14:textId="26423C8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11,164</w:t>
            </w:r>
          </w:p>
        </w:tc>
        <w:tc>
          <w:tcPr>
            <w:tcW w:w="1305" w:type="dxa"/>
            <w:tcBorders>
              <w:top w:val="nil"/>
              <w:left w:val="nil"/>
              <w:bottom w:val="single" w:sz="4" w:space="0" w:color="auto"/>
              <w:right w:val="single" w:sz="4" w:space="0" w:color="auto"/>
            </w:tcBorders>
            <w:shd w:val="clear" w:color="auto" w:fill="auto"/>
            <w:noWrap/>
          </w:tcPr>
          <w:p w14:paraId="4F1D60C4" w14:textId="5933F7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11,463</w:t>
            </w:r>
          </w:p>
        </w:tc>
        <w:tc>
          <w:tcPr>
            <w:tcW w:w="1306" w:type="dxa"/>
            <w:tcBorders>
              <w:top w:val="nil"/>
              <w:left w:val="nil"/>
              <w:bottom w:val="single" w:sz="4" w:space="0" w:color="auto"/>
              <w:right w:val="single" w:sz="4" w:space="0" w:color="auto"/>
            </w:tcBorders>
            <w:shd w:val="clear" w:color="auto" w:fill="auto"/>
            <w:noWrap/>
          </w:tcPr>
          <w:p w14:paraId="351625B5" w14:textId="399A42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12,019</w:t>
            </w:r>
          </w:p>
        </w:tc>
      </w:tr>
      <w:tr w:rsidR="0020791D" w:rsidRPr="001D42CA" w14:paraId="53D6DF6E" w14:textId="0005017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316360" w14:textId="18D8015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Iceland</w:t>
            </w:r>
          </w:p>
        </w:tc>
        <w:tc>
          <w:tcPr>
            <w:tcW w:w="1111" w:type="dxa"/>
            <w:tcBorders>
              <w:top w:val="nil"/>
              <w:left w:val="nil"/>
              <w:bottom w:val="single" w:sz="4" w:space="0" w:color="auto"/>
              <w:right w:val="single" w:sz="4" w:space="0" w:color="auto"/>
            </w:tcBorders>
            <w:shd w:val="clear" w:color="auto" w:fill="auto"/>
            <w:noWrap/>
          </w:tcPr>
          <w:p w14:paraId="56BE446C" w14:textId="31B717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0.036</w:t>
            </w:r>
          </w:p>
        </w:tc>
        <w:tc>
          <w:tcPr>
            <w:tcW w:w="1111" w:type="dxa"/>
            <w:tcBorders>
              <w:top w:val="nil"/>
              <w:left w:val="nil"/>
              <w:bottom w:val="single" w:sz="4" w:space="0" w:color="auto"/>
              <w:right w:val="single" w:sz="4" w:space="0" w:color="auto"/>
            </w:tcBorders>
            <w:shd w:val="clear" w:color="auto" w:fill="auto"/>
            <w:noWrap/>
          </w:tcPr>
          <w:p w14:paraId="5C53C850" w14:textId="5813475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0.037%</w:t>
            </w:r>
          </w:p>
        </w:tc>
        <w:tc>
          <w:tcPr>
            <w:tcW w:w="1305" w:type="dxa"/>
            <w:tcBorders>
              <w:top w:val="nil"/>
              <w:left w:val="nil"/>
              <w:bottom w:val="single" w:sz="4" w:space="0" w:color="auto"/>
              <w:right w:val="single" w:sz="4" w:space="0" w:color="auto"/>
            </w:tcBorders>
          </w:tcPr>
          <w:p w14:paraId="6203923E" w14:textId="5B21CA9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1,370</w:t>
            </w:r>
          </w:p>
        </w:tc>
        <w:tc>
          <w:tcPr>
            <w:tcW w:w="1306" w:type="dxa"/>
            <w:tcBorders>
              <w:top w:val="nil"/>
              <w:left w:val="single" w:sz="4" w:space="0" w:color="auto"/>
              <w:bottom w:val="single" w:sz="4" w:space="0" w:color="auto"/>
              <w:right w:val="single" w:sz="4" w:space="0" w:color="auto"/>
            </w:tcBorders>
            <w:shd w:val="clear" w:color="auto" w:fill="auto"/>
            <w:noWrap/>
          </w:tcPr>
          <w:p w14:paraId="1538802E" w14:textId="39ADF7A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1,763</w:t>
            </w:r>
          </w:p>
        </w:tc>
        <w:tc>
          <w:tcPr>
            <w:tcW w:w="1305" w:type="dxa"/>
            <w:tcBorders>
              <w:top w:val="nil"/>
              <w:left w:val="nil"/>
              <w:bottom w:val="single" w:sz="4" w:space="0" w:color="auto"/>
              <w:right w:val="single" w:sz="4" w:space="0" w:color="auto"/>
            </w:tcBorders>
            <w:shd w:val="clear" w:color="auto" w:fill="auto"/>
            <w:noWrap/>
          </w:tcPr>
          <w:p w14:paraId="339A1364" w14:textId="2F509AA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1,810</w:t>
            </w:r>
          </w:p>
        </w:tc>
        <w:tc>
          <w:tcPr>
            <w:tcW w:w="1306" w:type="dxa"/>
            <w:tcBorders>
              <w:top w:val="nil"/>
              <w:left w:val="nil"/>
              <w:bottom w:val="single" w:sz="4" w:space="0" w:color="auto"/>
              <w:right w:val="single" w:sz="4" w:space="0" w:color="auto"/>
            </w:tcBorders>
            <w:shd w:val="clear" w:color="auto" w:fill="auto"/>
            <w:noWrap/>
          </w:tcPr>
          <w:p w14:paraId="38E6C363" w14:textId="424A754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1,898</w:t>
            </w:r>
          </w:p>
        </w:tc>
      </w:tr>
      <w:tr w:rsidR="0020791D" w:rsidRPr="001D42CA" w14:paraId="67C8C8ED" w14:textId="7764926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5465B0B" w14:textId="4C46F82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India</w:t>
            </w:r>
          </w:p>
        </w:tc>
        <w:tc>
          <w:tcPr>
            <w:tcW w:w="1111" w:type="dxa"/>
            <w:tcBorders>
              <w:top w:val="nil"/>
              <w:left w:val="nil"/>
              <w:bottom w:val="single" w:sz="4" w:space="0" w:color="auto"/>
              <w:right w:val="single" w:sz="4" w:space="0" w:color="auto"/>
            </w:tcBorders>
            <w:shd w:val="clear" w:color="auto" w:fill="auto"/>
            <w:noWrap/>
          </w:tcPr>
          <w:p w14:paraId="271FBE44" w14:textId="59AA869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1.044</w:t>
            </w:r>
          </w:p>
        </w:tc>
        <w:tc>
          <w:tcPr>
            <w:tcW w:w="1111" w:type="dxa"/>
            <w:tcBorders>
              <w:top w:val="nil"/>
              <w:left w:val="nil"/>
              <w:bottom w:val="single" w:sz="4" w:space="0" w:color="auto"/>
              <w:right w:val="single" w:sz="4" w:space="0" w:color="auto"/>
            </w:tcBorders>
            <w:shd w:val="clear" w:color="auto" w:fill="auto"/>
            <w:noWrap/>
          </w:tcPr>
          <w:p w14:paraId="07D3078E" w14:textId="7DF974C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1.072%</w:t>
            </w:r>
          </w:p>
        </w:tc>
        <w:tc>
          <w:tcPr>
            <w:tcW w:w="1305" w:type="dxa"/>
            <w:tcBorders>
              <w:top w:val="nil"/>
              <w:left w:val="nil"/>
              <w:bottom w:val="single" w:sz="4" w:space="0" w:color="auto"/>
              <w:right w:val="single" w:sz="4" w:space="0" w:color="auto"/>
            </w:tcBorders>
          </w:tcPr>
          <w:p w14:paraId="466DB9E6" w14:textId="3A654C2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40,821</w:t>
            </w:r>
          </w:p>
        </w:tc>
        <w:tc>
          <w:tcPr>
            <w:tcW w:w="1306" w:type="dxa"/>
            <w:tcBorders>
              <w:top w:val="nil"/>
              <w:left w:val="single" w:sz="4" w:space="0" w:color="auto"/>
              <w:bottom w:val="single" w:sz="4" w:space="0" w:color="auto"/>
              <w:right w:val="single" w:sz="4" w:space="0" w:color="auto"/>
            </w:tcBorders>
            <w:shd w:val="clear" w:color="auto" w:fill="auto"/>
            <w:noWrap/>
          </w:tcPr>
          <w:p w14:paraId="45D585B0" w14:textId="3E0E520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51,117</w:t>
            </w:r>
          </w:p>
        </w:tc>
        <w:tc>
          <w:tcPr>
            <w:tcW w:w="1305" w:type="dxa"/>
            <w:tcBorders>
              <w:top w:val="nil"/>
              <w:left w:val="nil"/>
              <w:bottom w:val="single" w:sz="4" w:space="0" w:color="auto"/>
              <w:right w:val="single" w:sz="4" w:space="0" w:color="auto"/>
            </w:tcBorders>
            <w:shd w:val="clear" w:color="auto" w:fill="auto"/>
            <w:noWrap/>
          </w:tcPr>
          <w:p w14:paraId="2B768622" w14:textId="03B0C73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52,487</w:t>
            </w:r>
          </w:p>
        </w:tc>
        <w:tc>
          <w:tcPr>
            <w:tcW w:w="1306" w:type="dxa"/>
            <w:tcBorders>
              <w:top w:val="nil"/>
              <w:left w:val="nil"/>
              <w:bottom w:val="single" w:sz="4" w:space="0" w:color="auto"/>
              <w:right w:val="single" w:sz="4" w:space="0" w:color="auto"/>
            </w:tcBorders>
            <w:shd w:val="clear" w:color="auto" w:fill="auto"/>
            <w:noWrap/>
          </w:tcPr>
          <w:p w14:paraId="7D048DFB" w14:textId="2FD7C01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55,033</w:t>
            </w:r>
          </w:p>
        </w:tc>
      </w:tr>
      <w:tr w:rsidR="0020791D" w:rsidRPr="001D42CA" w14:paraId="6282BCEC" w14:textId="7C45BB7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CD10C4F" w14:textId="6DD6283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Indonesia</w:t>
            </w:r>
          </w:p>
        </w:tc>
        <w:tc>
          <w:tcPr>
            <w:tcW w:w="1111" w:type="dxa"/>
            <w:tcBorders>
              <w:top w:val="nil"/>
              <w:left w:val="nil"/>
              <w:bottom w:val="single" w:sz="4" w:space="0" w:color="auto"/>
              <w:right w:val="single" w:sz="4" w:space="0" w:color="auto"/>
            </w:tcBorders>
            <w:shd w:val="clear" w:color="auto" w:fill="auto"/>
            <w:noWrap/>
          </w:tcPr>
          <w:p w14:paraId="1AD1EEDF" w14:textId="4BD1EA4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0.549</w:t>
            </w:r>
          </w:p>
        </w:tc>
        <w:tc>
          <w:tcPr>
            <w:tcW w:w="1111" w:type="dxa"/>
            <w:tcBorders>
              <w:top w:val="nil"/>
              <w:left w:val="nil"/>
              <w:bottom w:val="single" w:sz="4" w:space="0" w:color="auto"/>
              <w:right w:val="single" w:sz="4" w:space="0" w:color="auto"/>
            </w:tcBorders>
            <w:shd w:val="clear" w:color="auto" w:fill="auto"/>
            <w:noWrap/>
          </w:tcPr>
          <w:p w14:paraId="02C58F06" w14:textId="4F164C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0.564%</w:t>
            </w:r>
          </w:p>
        </w:tc>
        <w:tc>
          <w:tcPr>
            <w:tcW w:w="1305" w:type="dxa"/>
            <w:tcBorders>
              <w:top w:val="nil"/>
              <w:left w:val="nil"/>
              <w:bottom w:val="single" w:sz="4" w:space="0" w:color="auto"/>
              <w:right w:val="single" w:sz="4" w:space="0" w:color="auto"/>
            </w:tcBorders>
          </w:tcPr>
          <w:p w14:paraId="5538EBEF" w14:textId="5B2783C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26,578</w:t>
            </w:r>
          </w:p>
        </w:tc>
        <w:tc>
          <w:tcPr>
            <w:tcW w:w="1306" w:type="dxa"/>
            <w:tcBorders>
              <w:top w:val="nil"/>
              <w:left w:val="single" w:sz="4" w:space="0" w:color="auto"/>
              <w:bottom w:val="single" w:sz="4" w:space="0" w:color="auto"/>
              <w:right w:val="single" w:sz="4" w:space="0" w:color="auto"/>
            </w:tcBorders>
            <w:shd w:val="clear" w:color="auto" w:fill="auto"/>
            <w:noWrap/>
          </w:tcPr>
          <w:p w14:paraId="700C7A85" w14:textId="7A8180D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26,881</w:t>
            </w:r>
          </w:p>
        </w:tc>
        <w:tc>
          <w:tcPr>
            <w:tcW w:w="1305" w:type="dxa"/>
            <w:tcBorders>
              <w:top w:val="nil"/>
              <w:left w:val="nil"/>
              <w:bottom w:val="single" w:sz="4" w:space="0" w:color="auto"/>
              <w:right w:val="single" w:sz="4" w:space="0" w:color="auto"/>
            </w:tcBorders>
            <w:shd w:val="clear" w:color="auto" w:fill="auto"/>
            <w:noWrap/>
          </w:tcPr>
          <w:p w14:paraId="29C53A01" w14:textId="64CD3E2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27,601</w:t>
            </w:r>
          </w:p>
        </w:tc>
        <w:tc>
          <w:tcPr>
            <w:tcW w:w="1306" w:type="dxa"/>
            <w:tcBorders>
              <w:top w:val="nil"/>
              <w:left w:val="nil"/>
              <w:bottom w:val="single" w:sz="4" w:space="0" w:color="auto"/>
              <w:right w:val="single" w:sz="4" w:space="0" w:color="auto"/>
            </w:tcBorders>
            <w:shd w:val="clear" w:color="auto" w:fill="auto"/>
            <w:noWrap/>
          </w:tcPr>
          <w:p w14:paraId="0E4F0252" w14:textId="30D5D42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28,940</w:t>
            </w:r>
          </w:p>
        </w:tc>
      </w:tr>
      <w:tr w:rsidR="0020791D" w:rsidRPr="001D42CA" w14:paraId="4CF90AC9" w14:textId="38CEAB3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C9696FB" w14:textId="7BB3C47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Iran (Islamic Republic of)</w:t>
            </w:r>
          </w:p>
        </w:tc>
        <w:tc>
          <w:tcPr>
            <w:tcW w:w="1111" w:type="dxa"/>
            <w:tcBorders>
              <w:top w:val="nil"/>
              <w:left w:val="nil"/>
              <w:bottom w:val="single" w:sz="4" w:space="0" w:color="auto"/>
              <w:right w:val="single" w:sz="4" w:space="0" w:color="auto"/>
            </w:tcBorders>
            <w:shd w:val="clear" w:color="auto" w:fill="auto"/>
            <w:noWrap/>
          </w:tcPr>
          <w:p w14:paraId="482AEE94" w14:textId="3A83FC7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0.371</w:t>
            </w:r>
          </w:p>
        </w:tc>
        <w:tc>
          <w:tcPr>
            <w:tcW w:w="1111" w:type="dxa"/>
            <w:tcBorders>
              <w:top w:val="nil"/>
              <w:left w:val="nil"/>
              <w:bottom w:val="single" w:sz="4" w:space="0" w:color="auto"/>
              <w:right w:val="single" w:sz="4" w:space="0" w:color="auto"/>
            </w:tcBorders>
            <w:shd w:val="clear" w:color="auto" w:fill="auto"/>
            <w:noWrap/>
          </w:tcPr>
          <w:p w14:paraId="320F83FA" w14:textId="747849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0.381%</w:t>
            </w:r>
          </w:p>
        </w:tc>
        <w:tc>
          <w:tcPr>
            <w:tcW w:w="1305" w:type="dxa"/>
            <w:tcBorders>
              <w:top w:val="nil"/>
              <w:left w:val="nil"/>
              <w:bottom w:val="single" w:sz="4" w:space="0" w:color="auto"/>
              <w:right w:val="single" w:sz="4" w:space="0" w:color="auto"/>
            </w:tcBorders>
          </w:tcPr>
          <w:p w14:paraId="78E39491" w14:textId="15F8578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19,480</w:t>
            </w:r>
          </w:p>
        </w:tc>
        <w:tc>
          <w:tcPr>
            <w:tcW w:w="1306" w:type="dxa"/>
            <w:tcBorders>
              <w:top w:val="nil"/>
              <w:left w:val="single" w:sz="4" w:space="0" w:color="auto"/>
              <w:bottom w:val="single" w:sz="4" w:space="0" w:color="auto"/>
              <w:right w:val="single" w:sz="4" w:space="0" w:color="auto"/>
            </w:tcBorders>
            <w:shd w:val="clear" w:color="auto" w:fill="auto"/>
            <w:noWrap/>
          </w:tcPr>
          <w:p w14:paraId="1846C9FE" w14:textId="03C007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18,165</w:t>
            </w:r>
          </w:p>
        </w:tc>
        <w:tc>
          <w:tcPr>
            <w:tcW w:w="1305" w:type="dxa"/>
            <w:tcBorders>
              <w:top w:val="nil"/>
              <w:left w:val="nil"/>
              <w:bottom w:val="single" w:sz="4" w:space="0" w:color="auto"/>
              <w:right w:val="single" w:sz="4" w:space="0" w:color="auto"/>
            </w:tcBorders>
            <w:shd w:val="clear" w:color="auto" w:fill="auto"/>
            <w:noWrap/>
          </w:tcPr>
          <w:p w14:paraId="6EBFC347" w14:textId="12BBD4B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18,652</w:t>
            </w:r>
          </w:p>
        </w:tc>
        <w:tc>
          <w:tcPr>
            <w:tcW w:w="1306" w:type="dxa"/>
            <w:tcBorders>
              <w:top w:val="nil"/>
              <w:left w:val="nil"/>
              <w:bottom w:val="single" w:sz="4" w:space="0" w:color="auto"/>
              <w:right w:val="single" w:sz="4" w:space="0" w:color="auto"/>
            </w:tcBorders>
            <w:shd w:val="clear" w:color="auto" w:fill="auto"/>
            <w:noWrap/>
          </w:tcPr>
          <w:p w14:paraId="4DB368DD" w14:textId="4ADCC4D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19,557</w:t>
            </w:r>
          </w:p>
        </w:tc>
      </w:tr>
      <w:tr w:rsidR="0020791D" w:rsidRPr="001D42CA" w14:paraId="7FD82A29" w14:textId="122C8D9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1FAF18" w14:textId="2CBA4AF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Iraq</w:t>
            </w:r>
          </w:p>
        </w:tc>
        <w:tc>
          <w:tcPr>
            <w:tcW w:w="1111" w:type="dxa"/>
            <w:tcBorders>
              <w:top w:val="nil"/>
              <w:left w:val="nil"/>
              <w:bottom w:val="single" w:sz="4" w:space="0" w:color="auto"/>
              <w:right w:val="single" w:sz="4" w:space="0" w:color="auto"/>
            </w:tcBorders>
            <w:shd w:val="clear" w:color="auto" w:fill="auto"/>
            <w:noWrap/>
          </w:tcPr>
          <w:p w14:paraId="1F8CD8AE" w14:textId="01DA26C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0.128</w:t>
            </w:r>
          </w:p>
        </w:tc>
        <w:tc>
          <w:tcPr>
            <w:tcW w:w="1111" w:type="dxa"/>
            <w:tcBorders>
              <w:top w:val="nil"/>
              <w:left w:val="nil"/>
              <w:bottom w:val="single" w:sz="4" w:space="0" w:color="auto"/>
              <w:right w:val="single" w:sz="4" w:space="0" w:color="auto"/>
            </w:tcBorders>
            <w:shd w:val="clear" w:color="auto" w:fill="auto"/>
            <w:noWrap/>
          </w:tcPr>
          <w:p w14:paraId="79613E16" w14:textId="290EFD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0.131%</w:t>
            </w:r>
          </w:p>
        </w:tc>
        <w:tc>
          <w:tcPr>
            <w:tcW w:w="1305" w:type="dxa"/>
            <w:tcBorders>
              <w:top w:val="nil"/>
              <w:left w:val="nil"/>
              <w:bottom w:val="single" w:sz="4" w:space="0" w:color="auto"/>
              <w:right w:val="single" w:sz="4" w:space="0" w:color="auto"/>
            </w:tcBorders>
          </w:tcPr>
          <w:p w14:paraId="760E3581" w14:textId="734343F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6,314</w:t>
            </w:r>
          </w:p>
        </w:tc>
        <w:tc>
          <w:tcPr>
            <w:tcW w:w="1306" w:type="dxa"/>
            <w:tcBorders>
              <w:top w:val="nil"/>
              <w:left w:val="single" w:sz="4" w:space="0" w:color="auto"/>
              <w:bottom w:val="single" w:sz="4" w:space="0" w:color="auto"/>
              <w:right w:val="single" w:sz="4" w:space="0" w:color="auto"/>
            </w:tcBorders>
            <w:shd w:val="clear" w:color="auto" w:fill="auto"/>
            <w:noWrap/>
          </w:tcPr>
          <w:p w14:paraId="2297B8A5" w14:textId="4DC768D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6,267</w:t>
            </w:r>
          </w:p>
        </w:tc>
        <w:tc>
          <w:tcPr>
            <w:tcW w:w="1305" w:type="dxa"/>
            <w:tcBorders>
              <w:top w:val="nil"/>
              <w:left w:val="nil"/>
              <w:bottom w:val="single" w:sz="4" w:space="0" w:color="auto"/>
              <w:right w:val="single" w:sz="4" w:space="0" w:color="auto"/>
            </w:tcBorders>
            <w:shd w:val="clear" w:color="auto" w:fill="auto"/>
            <w:noWrap/>
          </w:tcPr>
          <w:p w14:paraId="31936616" w14:textId="3DA0530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6,435</w:t>
            </w:r>
          </w:p>
        </w:tc>
        <w:tc>
          <w:tcPr>
            <w:tcW w:w="1306" w:type="dxa"/>
            <w:tcBorders>
              <w:top w:val="nil"/>
              <w:left w:val="nil"/>
              <w:bottom w:val="single" w:sz="4" w:space="0" w:color="auto"/>
              <w:right w:val="single" w:sz="4" w:space="0" w:color="auto"/>
            </w:tcBorders>
            <w:shd w:val="clear" w:color="auto" w:fill="auto"/>
            <w:noWrap/>
          </w:tcPr>
          <w:p w14:paraId="7EC03327" w14:textId="4A9D89C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6,747</w:t>
            </w:r>
          </w:p>
        </w:tc>
      </w:tr>
      <w:tr w:rsidR="0020791D" w:rsidRPr="001D42CA" w14:paraId="620E855D" w14:textId="04052E6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2D6533E" w14:textId="60AB610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Ireland</w:t>
            </w:r>
          </w:p>
        </w:tc>
        <w:tc>
          <w:tcPr>
            <w:tcW w:w="1111" w:type="dxa"/>
            <w:tcBorders>
              <w:top w:val="nil"/>
              <w:left w:val="nil"/>
              <w:bottom w:val="single" w:sz="4" w:space="0" w:color="auto"/>
              <w:right w:val="single" w:sz="4" w:space="0" w:color="auto"/>
            </w:tcBorders>
            <w:shd w:val="clear" w:color="auto" w:fill="auto"/>
            <w:noWrap/>
          </w:tcPr>
          <w:p w14:paraId="13443E2E" w14:textId="29B5E7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0.439</w:t>
            </w:r>
          </w:p>
        </w:tc>
        <w:tc>
          <w:tcPr>
            <w:tcW w:w="1111" w:type="dxa"/>
            <w:tcBorders>
              <w:top w:val="nil"/>
              <w:left w:val="nil"/>
              <w:bottom w:val="single" w:sz="4" w:space="0" w:color="auto"/>
              <w:right w:val="single" w:sz="4" w:space="0" w:color="auto"/>
            </w:tcBorders>
            <w:shd w:val="clear" w:color="auto" w:fill="auto"/>
            <w:noWrap/>
          </w:tcPr>
          <w:p w14:paraId="3C121738" w14:textId="42825F7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0.451%</w:t>
            </w:r>
          </w:p>
        </w:tc>
        <w:tc>
          <w:tcPr>
            <w:tcW w:w="1305" w:type="dxa"/>
            <w:tcBorders>
              <w:top w:val="nil"/>
              <w:left w:val="nil"/>
              <w:bottom w:val="single" w:sz="4" w:space="0" w:color="auto"/>
              <w:right w:val="single" w:sz="4" w:space="0" w:color="auto"/>
            </w:tcBorders>
          </w:tcPr>
          <w:p w14:paraId="7A47CC45" w14:textId="7692433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18,159</w:t>
            </w:r>
          </w:p>
        </w:tc>
        <w:tc>
          <w:tcPr>
            <w:tcW w:w="1306" w:type="dxa"/>
            <w:tcBorders>
              <w:top w:val="nil"/>
              <w:left w:val="single" w:sz="4" w:space="0" w:color="auto"/>
              <w:bottom w:val="single" w:sz="4" w:space="0" w:color="auto"/>
              <w:right w:val="single" w:sz="4" w:space="0" w:color="auto"/>
            </w:tcBorders>
            <w:shd w:val="clear" w:color="auto" w:fill="auto"/>
            <w:noWrap/>
          </w:tcPr>
          <w:p w14:paraId="1D119524" w14:textId="1A278C8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21,495</w:t>
            </w:r>
          </w:p>
        </w:tc>
        <w:tc>
          <w:tcPr>
            <w:tcW w:w="1305" w:type="dxa"/>
            <w:tcBorders>
              <w:top w:val="nil"/>
              <w:left w:val="nil"/>
              <w:bottom w:val="single" w:sz="4" w:space="0" w:color="auto"/>
              <w:right w:val="single" w:sz="4" w:space="0" w:color="auto"/>
            </w:tcBorders>
            <w:shd w:val="clear" w:color="auto" w:fill="auto"/>
            <w:noWrap/>
          </w:tcPr>
          <w:p w14:paraId="469338BB" w14:textId="6C447A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22,071</w:t>
            </w:r>
          </w:p>
        </w:tc>
        <w:tc>
          <w:tcPr>
            <w:tcW w:w="1306" w:type="dxa"/>
            <w:tcBorders>
              <w:top w:val="nil"/>
              <w:left w:val="nil"/>
              <w:bottom w:val="single" w:sz="4" w:space="0" w:color="auto"/>
              <w:right w:val="single" w:sz="4" w:space="0" w:color="auto"/>
            </w:tcBorders>
            <w:shd w:val="clear" w:color="auto" w:fill="auto"/>
            <w:noWrap/>
          </w:tcPr>
          <w:p w14:paraId="18F42FAF" w14:textId="1A24474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23,141</w:t>
            </w:r>
          </w:p>
        </w:tc>
      </w:tr>
      <w:tr w:rsidR="0020791D" w:rsidRPr="001D42CA" w14:paraId="74F5C803" w14:textId="584180B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21F2F4D" w14:textId="513F3F8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Israel</w:t>
            </w:r>
          </w:p>
        </w:tc>
        <w:tc>
          <w:tcPr>
            <w:tcW w:w="1111" w:type="dxa"/>
            <w:tcBorders>
              <w:top w:val="nil"/>
              <w:left w:val="nil"/>
              <w:bottom w:val="single" w:sz="4" w:space="0" w:color="auto"/>
              <w:right w:val="single" w:sz="4" w:space="0" w:color="auto"/>
            </w:tcBorders>
            <w:shd w:val="clear" w:color="auto" w:fill="auto"/>
            <w:noWrap/>
          </w:tcPr>
          <w:p w14:paraId="61669A1A" w14:textId="0274A4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0.561</w:t>
            </w:r>
          </w:p>
        </w:tc>
        <w:tc>
          <w:tcPr>
            <w:tcW w:w="1111" w:type="dxa"/>
            <w:tcBorders>
              <w:top w:val="nil"/>
              <w:left w:val="nil"/>
              <w:bottom w:val="single" w:sz="4" w:space="0" w:color="auto"/>
              <w:right w:val="single" w:sz="4" w:space="0" w:color="auto"/>
            </w:tcBorders>
            <w:shd w:val="clear" w:color="auto" w:fill="auto"/>
            <w:noWrap/>
          </w:tcPr>
          <w:p w14:paraId="3832BE53" w14:textId="4FC5DB7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0.576%</w:t>
            </w:r>
          </w:p>
        </w:tc>
        <w:tc>
          <w:tcPr>
            <w:tcW w:w="1305" w:type="dxa"/>
            <w:tcBorders>
              <w:top w:val="nil"/>
              <w:left w:val="nil"/>
              <w:bottom w:val="single" w:sz="4" w:space="0" w:color="auto"/>
              <w:right w:val="single" w:sz="4" w:space="0" w:color="auto"/>
            </w:tcBorders>
          </w:tcPr>
          <w:p w14:paraId="1F57A855" w14:textId="6429D76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23,984</w:t>
            </w:r>
          </w:p>
        </w:tc>
        <w:tc>
          <w:tcPr>
            <w:tcW w:w="1306" w:type="dxa"/>
            <w:tcBorders>
              <w:top w:val="nil"/>
              <w:left w:val="single" w:sz="4" w:space="0" w:color="auto"/>
              <w:bottom w:val="single" w:sz="4" w:space="0" w:color="auto"/>
              <w:right w:val="single" w:sz="4" w:space="0" w:color="auto"/>
            </w:tcBorders>
            <w:shd w:val="clear" w:color="auto" w:fill="auto"/>
            <w:noWrap/>
          </w:tcPr>
          <w:p w14:paraId="0DBC38B1" w14:textId="2F74651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27,468</w:t>
            </w:r>
          </w:p>
        </w:tc>
        <w:tc>
          <w:tcPr>
            <w:tcW w:w="1305" w:type="dxa"/>
            <w:tcBorders>
              <w:top w:val="nil"/>
              <w:left w:val="nil"/>
              <w:bottom w:val="single" w:sz="4" w:space="0" w:color="auto"/>
              <w:right w:val="single" w:sz="4" w:space="0" w:color="auto"/>
            </w:tcBorders>
            <w:shd w:val="clear" w:color="auto" w:fill="auto"/>
            <w:noWrap/>
          </w:tcPr>
          <w:p w14:paraId="08D79D2B" w14:textId="40D227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28,204</w:t>
            </w:r>
          </w:p>
        </w:tc>
        <w:tc>
          <w:tcPr>
            <w:tcW w:w="1306" w:type="dxa"/>
            <w:tcBorders>
              <w:top w:val="nil"/>
              <w:left w:val="nil"/>
              <w:bottom w:val="single" w:sz="4" w:space="0" w:color="auto"/>
              <w:right w:val="single" w:sz="4" w:space="0" w:color="auto"/>
            </w:tcBorders>
            <w:shd w:val="clear" w:color="auto" w:fill="auto"/>
            <w:noWrap/>
          </w:tcPr>
          <w:p w14:paraId="52B53D4E" w14:textId="5933AE9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29,572</w:t>
            </w:r>
          </w:p>
        </w:tc>
      </w:tr>
      <w:tr w:rsidR="0020791D" w:rsidRPr="001D42CA" w14:paraId="5231D510" w14:textId="5ECE3BC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070C29" w14:textId="12BF357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Italy</w:t>
            </w:r>
          </w:p>
        </w:tc>
        <w:tc>
          <w:tcPr>
            <w:tcW w:w="1111" w:type="dxa"/>
            <w:tcBorders>
              <w:top w:val="nil"/>
              <w:left w:val="nil"/>
              <w:bottom w:val="single" w:sz="4" w:space="0" w:color="auto"/>
              <w:right w:val="single" w:sz="4" w:space="0" w:color="auto"/>
            </w:tcBorders>
            <w:shd w:val="clear" w:color="auto" w:fill="auto"/>
            <w:noWrap/>
          </w:tcPr>
          <w:p w14:paraId="6D6A381D" w14:textId="4C72CE0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3.189</w:t>
            </w:r>
          </w:p>
        </w:tc>
        <w:tc>
          <w:tcPr>
            <w:tcW w:w="1111" w:type="dxa"/>
            <w:tcBorders>
              <w:top w:val="nil"/>
              <w:left w:val="nil"/>
              <w:bottom w:val="single" w:sz="4" w:space="0" w:color="auto"/>
              <w:right w:val="single" w:sz="4" w:space="0" w:color="auto"/>
            </w:tcBorders>
            <w:shd w:val="clear" w:color="auto" w:fill="auto"/>
            <w:noWrap/>
          </w:tcPr>
          <w:p w14:paraId="1EF7ABB8" w14:textId="6B57AEE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3.274%</w:t>
            </w:r>
          </w:p>
        </w:tc>
        <w:tc>
          <w:tcPr>
            <w:tcW w:w="1305" w:type="dxa"/>
            <w:tcBorders>
              <w:top w:val="nil"/>
              <w:left w:val="nil"/>
              <w:bottom w:val="single" w:sz="4" w:space="0" w:color="auto"/>
              <w:right w:val="single" w:sz="4" w:space="0" w:color="auto"/>
            </w:tcBorders>
          </w:tcPr>
          <w:p w14:paraId="68960167" w14:textId="343A0B7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161,864</w:t>
            </w:r>
          </w:p>
        </w:tc>
        <w:tc>
          <w:tcPr>
            <w:tcW w:w="1306" w:type="dxa"/>
            <w:tcBorders>
              <w:top w:val="nil"/>
              <w:left w:val="single" w:sz="4" w:space="0" w:color="auto"/>
              <w:bottom w:val="single" w:sz="4" w:space="0" w:color="auto"/>
              <w:right w:val="single" w:sz="4" w:space="0" w:color="auto"/>
            </w:tcBorders>
            <w:shd w:val="clear" w:color="auto" w:fill="auto"/>
            <w:noWrap/>
          </w:tcPr>
          <w:p w14:paraId="1E837D00" w14:textId="00E191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156,142</w:t>
            </w:r>
          </w:p>
        </w:tc>
        <w:tc>
          <w:tcPr>
            <w:tcW w:w="1305" w:type="dxa"/>
            <w:tcBorders>
              <w:top w:val="nil"/>
              <w:left w:val="nil"/>
              <w:bottom w:val="single" w:sz="4" w:space="0" w:color="auto"/>
              <w:right w:val="single" w:sz="4" w:space="0" w:color="auto"/>
            </w:tcBorders>
            <w:shd w:val="clear" w:color="auto" w:fill="auto"/>
            <w:noWrap/>
          </w:tcPr>
          <w:p w14:paraId="355F2398" w14:textId="7D79BFF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160,327</w:t>
            </w:r>
          </w:p>
        </w:tc>
        <w:tc>
          <w:tcPr>
            <w:tcW w:w="1306" w:type="dxa"/>
            <w:tcBorders>
              <w:top w:val="nil"/>
              <w:left w:val="nil"/>
              <w:bottom w:val="single" w:sz="4" w:space="0" w:color="auto"/>
              <w:right w:val="single" w:sz="4" w:space="0" w:color="auto"/>
            </w:tcBorders>
            <w:shd w:val="clear" w:color="auto" w:fill="auto"/>
            <w:noWrap/>
          </w:tcPr>
          <w:p w14:paraId="1DE559B5" w14:textId="42C679B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168,104</w:t>
            </w:r>
          </w:p>
        </w:tc>
      </w:tr>
      <w:tr w:rsidR="0020791D" w:rsidRPr="001D42CA" w14:paraId="17104D00" w14:textId="2246FAF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C7B721" w14:textId="11980C8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Jamaica</w:t>
            </w:r>
          </w:p>
        </w:tc>
        <w:tc>
          <w:tcPr>
            <w:tcW w:w="1111" w:type="dxa"/>
            <w:tcBorders>
              <w:top w:val="nil"/>
              <w:left w:val="nil"/>
              <w:bottom w:val="single" w:sz="4" w:space="0" w:color="auto"/>
              <w:right w:val="single" w:sz="4" w:space="0" w:color="auto"/>
            </w:tcBorders>
            <w:shd w:val="clear" w:color="auto" w:fill="auto"/>
            <w:noWrap/>
          </w:tcPr>
          <w:p w14:paraId="74C9518A" w14:textId="1125322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6A4A1231" w14:textId="5B026C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4879ACC5" w14:textId="31D7E8F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6A8D3C5" w14:textId="5DC0CC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5D0EA9C" w14:textId="45DCC64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AC5256F" w14:textId="41B03D5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784A64" w:rsidRPr="001D42CA" w14:paraId="44A2A49E" w14:textId="77777777" w:rsidTr="00784A64">
        <w:trPr>
          <w:trHeight w:val="276"/>
        </w:trPr>
        <w:tc>
          <w:tcPr>
            <w:tcW w:w="10108" w:type="dxa"/>
            <w:gridSpan w:val="7"/>
            <w:tcBorders>
              <w:top w:val="single" w:sz="4" w:space="0" w:color="auto"/>
            </w:tcBorders>
          </w:tcPr>
          <w:p w14:paraId="6BEE1C6F" w14:textId="7EE5CED0" w:rsidR="00784A64" w:rsidRPr="00E17A64" w:rsidRDefault="00784A64" w:rsidP="0020791D">
            <w:pPr>
              <w:ind w:left="0"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p w14:paraId="28C5BAF9" w14:textId="22A83C43" w:rsidR="00784A64" w:rsidRPr="000519D4" w:rsidRDefault="00784A64" w:rsidP="0020791D">
            <w:pPr>
              <w:ind w:left="0" w:firstLine="0"/>
              <w:rPr>
                <w:rFonts w:asciiTheme="minorHAnsi" w:hAnsiTheme="minorHAnsi" w:cstheme="minorHAnsi"/>
                <w:sz w:val="20"/>
                <w:szCs w:val="20"/>
              </w:rPr>
            </w:pPr>
            <w:r w:rsidRPr="00E73DED">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O</w:t>
            </w:r>
            <w:r w:rsidRPr="00E73DED">
              <w:rPr>
                <w:rFonts w:asciiTheme="minorHAnsi" w:eastAsia="Times New Roman" w:hAnsiTheme="minorHAnsi" w:cs="Arial"/>
                <w:sz w:val="20"/>
                <w:szCs w:val="20"/>
                <w:lang w:eastAsia="en-GB"/>
              </w:rPr>
              <w:t xml:space="preserve">nly for 2025, while 2023 and 2024 </w:t>
            </w:r>
            <w:r>
              <w:rPr>
                <w:rFonts w:asciiTheme="minorHAnsi" w:eastAsia="Times New Roman" w:hAnsiTheme="minorHAnsi" w:cs="Arial"/>
                <w:sz w:val="20"/>
                <w:szCs w:val="20"/>
                <w:lang w:eastAsia="en-GB"/>
              </w:rPr>
              <w:t xml:space="preserve">are </w:t>
            </w:r>
            <w:r w:rsidRPr="00E73DED">
              <w:rPr>
                <w:rFonts w:asciiTheme="minorHAnsi" w:eastAsia="Times New Roman" w:hAnsiTheme="minorHAnsi" w:cs="Arial"/>
                <w:sz w:val="20"/>
                <w:szCs w:val="20"/>
                <w:lang w:eastAsia="en-GB"/>
              </w:rPr>
              <w:t>the same as Scenario B</w:t>
            </w:r>
            <w:r>
              <w:rPr>
                <w:rFonts w:asciiTheme="minorHAnsi" w:eastAsia="Times New Roman" w:hAnsiTheme="minorHAnsi" w:cs="Arial"/>
                <w:sz w:val="20"/>
                <w:szCs w:val="20"/>
                <w:lang w:eastAsia="en-GB"/>
              </w:rPr>
              <w:t>.</w:t>
            </w:r>
          </w:p>
        </w:tc>
      </w:tr>
      <w:tr w:rsidR="0020791D" w:rsidRPr="001D42CA" w14:paraId="4672D433" w14:textId="37D9406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766AF19" w14:textId="5FFF191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lastRenderedPageBreak/>
              <w:t>Japan</w:t>
            </w:r>
          </w:p>
        </w:tc>
        <w:tc>
          <w:tcPr>
            <w:tcW w:w="1111" w:type="dxa"/>
            <w:tcBorders>
              <w:top w:val="nil"/>
              <w:left w:val="nil"/>
              <w:bottom w:val="single" w:sz="4" w:space="0" w:color="auto"/>
              <w:right w:val="single" w:sz="4" w:space="0" w:color="auto"/>
            </w:tcBorders>
            <w:shd w:val="clear" w:color="auto" w:fill="auto"/>
            <w:noWrap/>
          </w:tcPr>
          <w:p w14:paraId="69583177" w14:textId="58731B6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8.033</w:t>
            </w:r>
          </w:p>
        </w:tc>
        <w:tc>
          <w:tcPr>
            <w:tcW w:w="1111" w:type="dxa"/>
            <w:tcBorders>
              <w:top w:val="nil"/>
              <w:left w:val="nil"/>
              <w:bottom w:val="single" w:sz="4" w:space="0" w:color="auto"/>
              <w:right w:val="single" w:sz="4" w:space="0" w:color="auto"/>
            </w:tcBorders>
            <w:shd w:val="clear" w:color="auto" w:fill="auto"/>
            <w:noWrap/>
          </w:tcPr>
          <w:p w14:paraId="776E84D5" w14:textId="52EEAB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8.247%</w:t>
            </w:r>
          </w:p>
        </w:tc>
        <w:tc>
          <w:tcPr>
            <w:tcW w:w="1305" w:type="dxa"/>
            <w:tcBorders>
              <w:top w:val="nil"/>
              <w:left w:val="nil"/>
              <w:bottom w:val="single" w:sz="4" w:space="0" w:color="auto"/>
              <w:right w:val="single" w:sz="4" w:space="0" w:color="auto"/>
            </w:tcBorders>
          </w:tcPr>
          <w:p w14:paraId="70BCE24E" w14:textId="0E881A7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419,173</w:t>
            </w:r>
          </w:p>
        </w:tc>
        <w:tc>
          <w:tcPr>
            <w:tcW w:w="1306" w:type="dxa"/>
            <w:tcBorders>
              <w:top w:val="nil"/>
              <w:left w:val="single" w:sz="4" w:space="0" w:color="auto"/>
              <w:bottom w:val="single" w:sz="4" w:space="0" w:color="auto"/>
              <w:right w:val="single" w:sz="4" w:space="0" w:color="auto"/>
            </w:tcBorders>
            <w:shd w:val="clear" w:color="auto" w:fill="auto"/>
            <w:noWrap/>
          </w:tcPr>
          <w:p w14:paraId="65EAE114" w14:textId="07AC1C0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393,318</w:t>
            </w:r>
          </w:p>
        </w:tc>
        <w:tc>
          <w:tcPr>
            <w:tcW w:w="1305" w:type="dxa"/>
            <w:tcBorders>
              <w:top w:val="nil"/>
              <w:left w:val="nil"/>
              <w:bottom w:val="single" w:sz="4" w:space="0" w:color="auto"/>
              <w:right w:val="single" w:sz="4" w:space="0" w:color="auto"/>
            </w:tcBorders>
            <w:shd w:val="clear" w:color="auto" w:fill="auto"/>
            <w:noWrap/>
          </w:tcPr>
          <w:p w14:paraId="7EC9A649" w14:textId="6454B97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403,859</w:t>
            </w:r>
          </w:p>
        </w:tc>
        <w:tc>
          <w:tcPr>
            <w:tcW w:w="1306" w:type="dxa"/>
            <w:tcBorders>
              <w:top w:val="nil"/>
              <w:left w:val="nil"/>
              <w:bottom w:val="single" w:sz="4" w:space="0" w:color="auto"/>
              <w:right w:val="single" w:sz="4" w:space="0" w:color="auto"/>
            </w:tcBorders>
            <w:shd w:val="clear" w:color="auto" w:fill="auto"/>
            <w:noWrap/>
          </w:tcPr>
          <w:p w14:paraId="18FD3F8C" w14:textId="215B5E7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423,450</w:t>
            </w:r>
          </w:p>
        </w:tc>
      </w:tr>
      <w:tr w:rsidR="0020791D" w:rsidRPr="001D42CA" w14:paraId="681BE82B" w14:textId="049E29D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E4370FC" w14:textId="10EB537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Jordan</w:t>
            </w:r>
          </w:p>
        </w:tc>
        <w:tc>
          <w:tcPr>
            <w:tcW w:w="1111" w:type="dxa"/>
            <w:tcBorders>
              <w:top w:val="nil"/>
              <w:left w:val="nil"/>
              <w:bottom w:val="single" w:sz="4" w:space="0" w:color="auto"/>
              <w:right w:val="single" w:sz="4" w:space="0" w:color="auto"/>
            </w:tcBorders>
            <w:shd w:val="clear" w:color="auto" w:fill="auto"/>
            <w:noWrap/>
          </w:tcPr>
          <w:p w14:paraId="3C523FD3" w14:textId="2EEE9A9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0.022</w:t>
            </w:r>
          </w:p>
        </w:tc>
        <w:tc>
          <w:tcPr>
            <w:tcW w:w="1111" w:type="dxa"/>
            <w:tcBorders>
              <w:top w:val="nil"/>
              <w:left w:val="nil"/>
              <w:bottom w:val="single" w:sz="4" w:space="0" w:color="auto"/>
              <w:right w:val="single" w:sz="4" w:space="0" w:color="auto"/>
            </w:tcBorders>
            <w:shd w:val="clear" w:color="auto" w:fill="auto"/>
            <w:noWrap/>
          </w:tcPr>
          <w:p w14:paraId="3A67580C" w14:textId="12AE0EF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0.023%</w:t>
            </w:r>
          </w:p>
        </w:tc>
        <w:tc>
          <w:tcPr>
            <w:tcW w:w="1305" w:type="dxa"/>
            <w:tcBorders>
              <w:top w:val="nil"/>
              <w:left w:val="nil"/>
              <w:bottom w:val="single" w:sz="4" w:space="0" w:color="auto"/>
              <w:right w:val="single" w:sz="4" w:space="0" w:color="auto"/>
            </w:tcBorders>
          </w:tcPr>
          <w:p w14:paraId="31752C7C" w14:textId="166B676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1,028</w:t>
            </w:r>
          </w:p>
        </w:tc>
        <w:tc>
          <w:tcPr>
            <w:tcW w:w="1306" w:type="dxa"/>
            <w:tcBorders>
              <w:top w:val="nil"/>
              <w:left w:val="single" w:sz="4" w:space="0" w:color="auto"/>
              <w:bottom w:val="single" w:sz="4" w:space="0" w:color="auto"/>
              <w:right w:val="single" w:sz="4" w:space="0" w:color="auto"/>
            </w:tcBorders>
            <w:shd w:val="clear" w:color="auto" w:fill="auto"/>
            <w:noWrap/>
          </w:tcPr>
          <w:p w14:paraId="29A98865" w14:textId="1942C46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1,077</w:t>
            </w:r>
          </w:p>
        </w:tc>
        <w:tc>
          <w:tcPr>
            <w:tcW w:w="1305" w:type="dxa"/>
            <w:tcBorders>
              <w:top w:val="nil"/>
              <w:left w:val="nil"/>
              <w:bottom w:val="single" w:sz="4" w:space="0" w:color="auto"/>
              <w:right w:val="single" w:sz="4" w:space="0" w:color="auto"/>
            </w:tcBorders>
            <w:shd w:val="clear" w:color="auto" w:fill="auto"/>
            <w:noWrap/>
          </w:tcPr>
          <w:p w14:paraId="67E261D5" w14:textId="23D03DC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1,106</w:t>
            </w:r>
          </w:p>
        </w:tc>
        <w:tc>
          <w:tcPr>
            <w:tcW w:w="1306" w:type="dxa"/>
            <w:tcBorders>
              <w:top w:val="nil"/>
              <w:left w:val="nil"/>
              <w:bottom w:val="single" w:sz="4" w:space="0" w:color="auto"/>
              <w:right w:val="single" w:sz="4" w:space="0" w:color="auto"/>
            </w:tcBorders>
            <w:shd w:val="clear" w:color="auto" w:fill="auto"/>
            <w:noWrap/>
          </w:tcPr>
          <w:p w14:paraId="72D00BBB" w14:textId="06E002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1,160</w:t>
            </w:r>
          </w:p>
        </w:tc>
      </w:tr>
      <w:tr w:rsidR="0020791D" w:rsidRPr="001D42CA" w14:paraId="59282B63" w14:textId="152A6E9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A6AFAC" w14:textId="7AB49E7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Kazakhstan</w:t>
            </w:r>
          </w:p>
        </w:tc>
        <w:tc>
          <w:tcPr>
            <w:tcW w:w="1111" w:type="dxa"/>
            <w:tcBorders>
              <w:top w:val="nil"/>
              <w:left w:val="nil"/>
              <w:bottom w:val="single" w:sz="4" w:space="0" w:color="auto"/>
              <w:right w:val="single" w:sz="4" w:space="0" w:color="auto"/>
            </w:tcBorders>
            <w:shd w:val="clear" w:color="auto" w:fill="auto"/>
            <w:noWrap/>
          </w:tcPr>
          <w:p w14:paraId="42AE26CF" w14:textId="7E3025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0.133</w:t>
            </w:r>
          </w:p>
        </w:tc>
        <w:tc>
          <w:tcPr>
            <w:tcW w:w="1111" w:type="dxa"/>
            <w:tcBorders>
              <w:top w:val="nil"/>
              <w:left w:val="nil"/>
              <w:bottom w:val="single" w:sz="4" w:space="0" w:color="auto"/>
              <w:right w:val="single" w:sz="4" w:space="0" w:color="auto"/>
            </w:tcBorders>
            <w:shd w:val="clear" w:color="auto" w:fill="auto"/>
            <w:noWrap/>
          </w:tcPr>
          <w:p w14:paraId="2E13BE6C" w14:textId="1814E92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0.137%</w:t>
            </w:r>
          </w:p>
        </w:tc>
        <w:tc>
          <w:tcPr>
            <w:tcW w:w="1305" w:type="dxa"/>
            <w:tcBorders>
              <w:top w:val="nil"/>
              <w:left w:val="nil"/>
              <w:bottom w:val="single" w:sz="4" w:space="0" w:color="auto"/>
              <w:right w:val="single" w:sz="4" w:space="0" w:color="auto"/>
            </w:tcBorders>
          </w:tcPr>
          <w:p w14:paraId="4A49B98F" w14:textId="1D9DC37A"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8,712</w:t>
            </w:r>
          </w:p>
        </w:tc>
        <w:tc>
          <w:tcPr>
            <w:tcW w:w="1306" w:type="dxa"/>
            <w:tcBorders>
              <w:top w:val="nil"/>
              <w:left w:val="single" w:sz="4" w:space="0" w:color="auto"/>
              <w:bottom w:val="single" w:sz="4" w:space="0" w:color="auto"/>
              <w:right w:val="single" w:sz="4" w:space="0" w:color="auto"/>
            </w:tcBorders>
            <w:shd w:val="clear" w:color="auto" w:fill="auto"/>
            <w:noWrap/>
          </w:tcPr>
          <w:p w14:paraId="467D0C4D" w14:textId="77386A0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6,512</w:t>
            </w:r>
          </w:p>
        </w:tc>
        <w:tc>
          <w:tcPr>
            <w:tcW w:w="1305" w:type="dxa"/>
            <w:tcBorders>
              <w:top w:val="nil"/>
              <w:left w:val="nil"/>
              <w:bottom w:val="single" w:sz="4" w:space="0" w:color="auto"/>
              <w:right w:val="single" w:sz="4" w:space="0" w:color="auto"/>
            </w:tcBorders>
            <w:shd w:val="clear" w:color="auto" w:fill="auto"/>
            <w:noWrap/>
          </w:tcPr>
          <w:p w14:paraId="464DC25C" w14:textId="5F1C90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6,687</w:t>
            </w:r>
          </w:p>
        </w:tc>
        <w:tc>
          <w:tcPr>
            <w:tcW w:w="1306" w:type="dxa"/>
            <w:tcBorders>
              <w:top w:val="nil"/>
              <w:left w:val="nil"/>
              <w:bottom w:val="single" w:sz="4" w:space="0" w:color="auto"/>
              <w:right w:val="single" w:sz="4" w:space="0" w:color="auto"/>
            </w:tcBorders>
            <w:shd w:val="clear" w:color="auto" w:fill="auto"/>
            <w:noWrap/>
          </w:tcPr>
          <w:p w14:paraId="30261BD7" w14:textId="65ECB9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7,011</w:t>
            </w:r>
          </w:p>
        </w:tc>
      </w:tr>
      <w:tr w:rsidR="0020791D" w:rsidRPr="001D42CA" w14:paraId="3D199313" w14:textId="1E196BA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51548CF" w14:textId="508DD45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Kenya</w:t>
            </w:r>
          </w:p>
        </w:tc>
        <w:tc>
          <w:tcPr>
            <w:tcW w:w="1111" w:type="dxa"/>
            <w:tcBorders>
              <w:top w:val="nil"/>
              <w:left w:val="nil"/>
              <w:bottom w:val="single" w:sz="4" w:space="0" w:color="auto"/>
              <w:right w:val="single" w:sz="4" w:space="0" w:color="auto"/>
            </w:tcBorders>
            <w:shd w:val="clear" w:color="auto" w:fill="auto"/>
            <w:noWrap/>
          </w:tcPr>
          <w:p w14:paraId="4C9710DA" w14:textId="6C18DD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0.030</w:t>
            </w:r>
          </w:p>
        </w:tc>
        <w:tc>
          <w:tcPr>
            <w:tcW w:w="1111" w:type="dxa"/>
            <w:tcBorders>
              <w:top w:val="nil"/>
              <w:left w:val="nil"/>
              <w:bottom w:val="single" w:sz="4" w:space="0" w:color="auto"/>
              <w:right w:val="single" w:sz="4" w:space="0" w:color="auto"/>
            </w:tcBorders>
            <w:shd w:val="clear" w:color="auto" w:fill="auto"/>
            <w:noWrap/>
          </w:tcPr>
          <w:p w14:paraId="5A6E6B83" w14:textId="10FC69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0.031%</w:t>
            </w:r>
          </w:p>
        </w:tc>
        <w:tc>
          <w:tcPr>
            <w:tcW w:w="1305" w:type="dxa"/>
            <w:tcBorders>
              <w:top w:val="nil"/>
              <w:left w:val="nil"/>
              <w:bottom w:val="single" w:sz="4" w:space="0" w:color="auto"/>
              <w:right w:val="single" w:sz="4" w:space="0" w:color="auto"/>
            </w:tcBorders>
          </w:tcPr>
          <w:p w14:paraId="569D17AC" w14:textId="4860D4E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1,175</w:t>
            </w:r>
          </w:p>
        </w:tc>
        <w:tc>
          <w:tcPr>
            <w:tcW w:w="1306" w:type="dxa"/>
            <w:tcBorders>
              <w:top w:val="nil"/>
              <w:left w:val="single" w:sz="4" w:space="0" w:color="auto"/>
              <w:bottom w:val="single" w:sz="4" w:space="0" w:color="auto"/>
              <w:right w:val="single" w:sz="4" w:space="0" w:color="auto"/>
            </w:tcBorders>
            <w:shd w:val="clear" w:color="auto" w:fill="auto"/>
            <w:noWrap/>
          </w:tcPr>
          <w:p w14:paraId="591F6524" w14:textId="0960836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1,469</w:t>
            </w:r>
          </w:p>
        </w:tc>
        <w:tc>
          <w:tcPr>
            <w:tcW w:w="1305" w:type="dxa"/>
            <w:tcBorders>
              <w:top w:val="nil"/>
              <w:left w:val="nil"/>
              <w:bottom w:val="single" w:sz="4" w:space="0" w:color="auto"/>
              <w:right w:val="single" w:sz="4" w:space="0" w:color="auto"/>
            </w:tcBorders>
            <w:shd w:val="clear" w:color="auto" w:fill="auto"/>
            <w:noWrap/>
          </w:tcPr>
          <w:p w14:paraId="24780D24" w14:textId="0FF94B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1,508</w:t>
            </w:r>
          </w:p>
        </w:tc>
        <w:tc>
          <w:tcPr>
            <w:tcW w:w="1306" w:type="dxa"/>
            <w:tcBorders>
              <w:top w:val="nil"/>
              <w:left w:val="nil"/>
              <w:bottom w:val="single" w:sz="4" w:space="0" w:color="auto"/>
              <w:right w:val="single" w:sz="4" w:space="0" w:color="auto"/>
            </w:tcBorders>
            <w:shd w:val="clear" w:color="auto" w:fill="auto"/>
            <w:noWrap/>
          </w:tcPr>
          <w:p w14:paraId="2C9CE99B" w14:textId="69C397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1,581</w:t>
            </w:r>
          </w:p>
        </w:tc>
      </w:tr>
      <w:tr w:rsidR="0020791D" w:rsidRPr="001D42CA" w14:paraId="1F32749A" w14:textId="4FEA0FC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2C2270" w14:textId="57EEA98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Kiribati</w:t>
            </w:r>
          </w:p>
        </w:tc>
        <w:tc>
          <w:tcPr>
            <w:tcW w:w="1111" w:type="dxa"/>
            <w:tcBorders>
              <w:top w:val="nil"/>
              <w:left w:val="nil"/>
              <w:bottom w:val="single" w:sz="4" w:space="0" w:color="auto"/>
              <w:right w:val="single" w:sz="4" w:space="0" w:color="auto"/>
            </w:tcBorders>
            <w:shd w:val="clear" w:color="auto" w:fill="auto"/>
            <w:noWrap/>
          </w:tcPr>
          <w:p w14:paraId="4D31D0B1" w14:textId="79EAE8C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0B200460" w14:textId="43F0E5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5B470D63" w14:textId="45D42A2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65483D4" w14:textId="63A20F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525B9E" w14:textId="057598D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991A30E" w14:textId="0B75AC1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9454244" w14:textId="381F974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DB000D9" w14:textId="4B05817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Kuwait</w:t>
            </w:r>
          </w:p>
        </w:tc>
        <w:tc>
          <w:tcPr>
            <w:tcW w:w="1111" w:type="dxa"/>
            <w:tcBorders>
              <w:top w:val="nil"/>
              <w:left w:val="nil"/>
              <w:bottom w:val="single" w:sz="4" w:space="0" w:color="auto"/>
              <w:right w:val="single" w:sz="4" w:space="0" w:color="auto"/>
            </w:tcBorders>
            <w:shd w:val="clear" w:color="auto" w:fill="auto"/>
            <w:noWrap/>
          </w:tcPr>
          <w:p w14:paraId="141D7AEC" w14:textId="2D452B3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0.234</w:t>
            </w:r>
          </w:p>
        </w:tc>
        <w:tc>
          <w:tcPr>
            <w:tcW w:w="1111" w:type="dxa"/>
            <w:tcBorders>
              <w:top w:val="nil"/>
              <w:left w:val="nil"/>
              <w:bottom w:val="single" w:sz="4" w:space="0" w:color="auto"/>
              <w:right w:val="single" w:sz="4" w:space="0" w:color="auto"/>
            </w:tcBorders>
            <w:shd w:val="clear" w:color="auto" w:fill="auto"/>
            <w:noWrap/>
          </w:tcPr>
          <w:p w14:paraId="4A016D66" w14:textId="5197CD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0.240%</w:t>
            </w:r>
          </w:p>
        </w:tc>
        <w:tc>
          <w:tcPr>
            <w:tcW w:w="1305" w:type="dxa"/>
            <w:tcBorders>
              <w:top w:val="nil"/>
              <w:left w:val="nil"/>
              <w:bottom w:val="single" w:sz="4" w:space="0" w:color="auto"/>
              <w:right w:val="single" w:sz="4" w:space="0" w:color="auto"/>
            </w:tcBorders>
          </w:tcPr>
          <w:p w14:paraId="65C6D3C7" w14:textId="77623FF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12,334</w:t>
            </w:r>
          </w:p>
        </w:tc>
        <w:tc>
          <w:tcPr>
            <w:tcW w:w="1306" w:type="dxa"/>
            <w:tcBorders>
              <w:top w:val="nil"/>
              <w:left w:val="single" w:sz="4" w:space="0" w:color="auto"/>
              <w:bottom w:val="single" w:sz="4" w:space="0" w:color="auto"/>
              <w:right w:val="single" w:sz="4" w:space="0" w:color="auto"/>
            </w:tcBorders>
            <w:shd w:val="clear" w:color="auto" w:fill="auto"/>
            <w:noWrap/>
          </w:tcPr>
          <w:p w14:paraId="33CECEB4" w14:textId="4FD97E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11,457</w:t>
            </w:r>
          </w:p>
        </w:tc>
        <w:tc>
          <w:tcPr>
            <w:tcW w:w="1305" w:type="dxa"/>
            <w:tcBorders>
              <w:top w:val="nil"/>
              <w:left w:val="nil"/>
              <w:bottom w:val="single" w:sz="4" w:space="0" w:color="auto"/>
              <w:right w:val="single" w:sz="4" w:space="0" w:color="auto"/>
            </w:tcBorders>
            <w:shd w:val="clear" w:color="auto" w:fill="auto"/>
            <w:noWrap/>
          </w:tcPr>
          <w:p w14:paraId="1FDC9168" w14:textId="6DF176A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11,764</w:t>
            </w:r>
          </w:p>
        </w:tc>
        <w:tc>
          <w:tcPr>
            <w:tcW w:w="1306" w:type="dxa"/>
            <w:tcBorders>
              <w:top w:val="nil"/>
              <w:left w:val="nil"/>
              <w:bottom w:val="single" w:sz="4" w:space="0" w:color="auto"/>
              <w:right w:val="single" w:sz="4" w:space="0" w:color="auto"/>
            </w:tcBorders>
            <w:shd w:val="clear" w:color="auto" w:fill="auto"/>
            <w:noWrap/>
          </w:tcPr>
          <w:p w14:paraId="6BC2F73B" w14:textId="6360CB2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12,335</w:t>
            </w:r>
          </w:p>
        </w:tc>
      </w:tr>
      <w:tr w:rsidR="0020791D" w:rsidRPr="001D42CA" w14:paraId="690AAA3D" w14:textId="63436A3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10C29B5" w14:textId="1A4CC29C"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Kyrgyzstan</w:t>
            </w:r>
          </w:p>
        </w:tc>
        <w:tc>
          <w:tcPr>
            <w:tcW w:w="1111" w:type="dxa"/>
            <w:tcBorders>
              <w:top w:val="nil"/>
              <w:left w:val="nil"/>
              <w:bottom w:val="single" w:sz="4" w:space="0" w:color="auto"/>
              <w:right w:val="single" w:sz="4" w:space="0" w:color="auto"/>
            </w:tcBorders>
            <w:shd w:val="clear" w:color="auto" w:fill="auto"/>
            <w:noWrap/>
          </w:tcPr>
          <w:p w14:paraId="6AA8DA05" w14:textId="0DD2902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6AC0E6C7" w14:textId="61F1B5F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71C03135" w14:textId="0F3D7F4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5624EE4" w14:textId="17B7659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7793834" w14:textId="64B627D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06DDF48" w14:textId="3B225CA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03D676E" w14:textId="683C40A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31DC2C" w14:textId="68A4DE1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Lao People's Democratic Republic</w:t>
            </w:r>
          </w:p>
        </w:tc>
        <w:tc>
          <w:tcPr>
            <w:tcW w:w="1111" w:type="dxa"/>
            <w:tcBorders>
              <w:top w:val="nil"/>
              <w:left w:val="nil"/>
              <w:bottom w:val="single" w:sz="4" w:space="0" w:color="auto"/>
              <w:right w:val="single" w:sz="4" w:space="0" w:color="auto"/>
            </w:tcBorders>
            <w:shd w:val="clear" w:color="auto" w:fill="auto"/>
            <w:noWrap/>
          </w:tcPr>
          <w:p w14:paraId="68D8610B" w14:textId="17E80D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500FD3C3" w14:textId="3C5E246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4E0F7D38" w14:textId="4548099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3BC7D8" w14:textId="752CAD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26E6171" w14:textId="73A72BE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F9CF9D3" w14:textId="6F4D64B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EB28459" w14:textId="7E6F19B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EB5C525" w14:textId="7A91C67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Latvia</w:t>
            </w:r>
          </w:p>
        </w:tc>
        <w:tc>
          <w:tcPr>
            <w:tcW w:w="1111" w:type="dxa"/>
            <w:tcBorders>
              <w:top w:val="nil"/>
              <w:left w:val="nil"/>
              <w:bottom w:val="single" w:sz="4" w:space="0" w:color="auto"/>
              <w:right w:val="single" w:sz="4" w:space="0" w:color="auto"/>
            </w:tcBorders>
            <w:shd w:val="clear" w:color="auto" w:fill="auto"/>
            <w:noWrap/>
          </w:tcPr>
          <w:p w14:paraId="5E5902A4" w14:textId="4577A82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0.050</w:t>
            </w:r>
          </w:p>
        </w:tc>
        <w:tc>
          <w:tcPr>
            <w:tcW w:w="1111" w:type="dxa"/>
            <w:tcBorders>
              <w:top w:val="nil"/>
              <w:left w:val="nil"/>
              <w:bottom w:val="single" w:sz="4" w:space="0" w:color="auto"/>
              <w:right w:val="single" w:sz="4" w:space="0" w:color="auto"/>
            </w:tcBorders>
            <w:shd w:val="clear" w:color="auto" w:fill="auto"/>
            <w:noWrap/>
          </w:tcPr>
          <w:p w14:paraId="17C7447E" w14:textId="1A7AFA2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0.051%</w:t>
            </w:r>
          </w:p>
        </w:tc>
        <w:tc>
          <w:tcPr>
            <w:tcW w:w="1305" w:type="dxa"/>
            <w:tcBorders>
              <w:top w:val="nil"/>
              <w:left w:val="nil"/>
              <w:bottom w:val="single" w:sz="4" w:space="0" w:color="auto"/>
              <w:right w:val="single" w:sz="4" w:space="0" w:color="auto"/>
            </w:tcBorders>
          </w:tcPr>
          <w:p w14:paraId="16CA783B" w14:textId="77A43D3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2,300</w:t>
            </w:r>
          </w:p>
        </w:tc>
        <w:tc>
          <w:tcPr>
            <w:tcW w:w="1306" w:type="dxa"/>
            <w:tcBorders>
              <w:top w:val="nil"/>
              <w:left w:val="single" w:sz="4" w:space="0" w:color="auto"/>
              <w:bottom w:val="single" w:sz="4" w:space="0" w:color="auto"/>
              <w:right w:val="single" w:sz="4" w:space="0" w:color="auto"/>
            </w:tcBorders>
            <w:shd w:val="clear" w:color="auto" w:fill="auto"/>
            <w:noWrap/>
          </w:tcPr>
          <w:p w14:paraId="529B535D" w14:textId="4343B02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2,448</w:t>
            </w:r>
          </w:p>
        </w:tc>
        <w:tc>
          <w:tcPr>
            <w:tcW w:w="1305" w:type="dxa"/>
            <w:tcBorders>
              <w:top w:val="nil"/>
              <w:left w:val="nil"/>
              <w:bottom w:val="single" w:sz="4" w:space="0" w:color="auto"/>
              <w:right w:val="single" w:sz="4" w:space="0" w:color="auto"/>
            </w:tcBorders>
            <w:shd w:val="clear" w:color="auto" w:fill="auto"/>
            <w:noWrap/>
          </w:tcPr>
          <w:p w14:paraId="2BD9FC77" w14:textId="487424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2,514</w:t>
            </w:r>
          </w:p>
        </w:tc>
        <w:tc>
          <w:tcPr>
            <w:tcW w:w="1306" w:type="dxa"/>
            <w:tcBorders>
              <w:top w:val="nil"/>
              <w:left w:val="nil"/>
              <w:bottom w:val="single" w:sz="4" w:space="0" w:color="auto"/>
              <w:right w:val="single" w:sz="4" w:space="0" w:color="auto"/>
            </w:tcBorders>
            <w:shd w:val="clear" w:color="auto" w:fill="auto"/>
            <w:noWrap/>
          </w:tcPr>
          <w:p w14:paraId="64B7275D" w14:textId="2AB69B4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2,636</w:t>
            </w:r>
          </w:p>
        </w:tc>
      </w:tr>
      <w:tr w:rsidR="0020791D" w:rsidRPr="001D42CA" w14:paraId="253B304A" w14:textId="330051A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18C2047" w14:textId="49E9D54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Lebanon</w:t>
            </w:r>
          </w:p>
        </w:tc>
        <w:tc>
          <w:tcPr>
            <w:tcW w:w="1111" w:type="dxa"/>
            <w:tcBorders>
              <w:top w:val="nil"/>
              <w:left w:val="nil"/>
              <w:bottom w:val="single" w:sz="4" w:space="0" w:color="auto"/>
              <w:right w:val="single" w:sz="4" w:space="0" w:color="auto"/>
            </w:tcBorders>
            <w:shd w:val="clear" w:color="auto" w:fill="auto"/>
            <w:noWrap/>
          </w:tcPr>
          <w:p w14:paraId="77BF0461" w14:textId="2AA7A28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0.036</w:t>
            </w:r>
          </w:p>
        </w:tc>
        <w:tc>
          <w:tcPr>
            <w:tcW w:w="1111" w:type="dxa"/>
            <w:tcBorders>
              <w:top w:val="nil"/>
              <w:left w:val="nil"/>
              <w:bottom w:val="single" w:sz="4" w:space="0" w:color="auto"/>
              <w:right w:val="single" w:sz="4" w:space="0" w:color="auto"/>
            </w:tcBorders>
            <w:shd w:val="clear" w:color="auto" w:fill="auto"/>
            <w:noWrap/>
          </w:tcPr>
          <w:p w14:paraId="7617ED1B" w14:textId="7C13663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0.037%</w:t>
            </w:r>
          </w:p>
        </w:tc>
        <w:tc>
          <w:tcPr>
            <w:tcW w:w="1305" w:type="dxa"/>
            <w:tcBorders>
              <w:top w:val="nil"/>
              <w:left w:val="nil"/>
              <w:bottom w:val="single" w:sz="4" w:space="0" w:color="auto"/>
              <w:right w:val="single" w:sz="4" w:space="0" w:color="auto"/>
            </w:tcBorders>
          </w:tcPr>
          <w:p w14:paraId="0C9ECFDB" w14:textId="72CE627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2,300</w:t>
            </w:r>
          </w:p>
        </w:tc>
        <w:tc>
          <w:tcPr>
            <w:tcW w:w="1306" w:type="dxa"/>
            <w:tcBorders>
              <w:top w:val="nil"/>
              <w:left w:val="single" w:sz="4" w:space="0" w:color="auto"/>
              <w:bottom w:val="single" w:sz="4" w:space="0" w:color="auto"/>
              <w:right w:val="single" w:sz="4" w:space="0" w:color="auto"/>
            </w:tcBorders>
            <w:shd w:val="clear" w:color="auto" w:fill="auto"/>
            <w:noWrap/>
          </w:tcPr>
          <w:p w14:paraId="0EF01188" w14:textId="707326A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1,763</w:t>
            </w:r>
          </w:p>
        </w:tc>
        <w:tc>
          <w:tcPr>
            <w:tcW w:w="1305" w:type="dxa"/>
            <w:tcBorders>
              <w:top w:val="nil"/>
              <w:left w:val="nil"/>
              <w:bottom w:val="single" w:sz="4" w:space="0" w:color="auto"/>
              <w:right w:val="single" w:sz="4" w:space="0" w:color="auto"/>
            </w:tcBorders>
            <w:shd w:val="clear" w:color="auto" w:fill="auto"/>
            <w:noWrap/>
          </w:tcPr>
          <w:p w14:paraId="2ADD5777" w14:textId="13D5E23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1,810</w:t>
            </w:r>
          </w:p>
        </w:tc>
        <w:tc>
          <w:tcPr>
            <w:tcW w:w="1306" w:type="dxa"/>
            <w:tcBorders>
              <w:top w:val="nil"/>
              <w:left w:val="nil"/>
              <w:bottom w:val="single" w:sz="4" w:space="0" w:color="auto"/>
              <w:right w:val="single" w:sz="4" w:space="0" w:color="auto"/>
            </w:tcBorders>
            <w:shd w:val="clear" w:color="auto" w:fill="auto"/>
            <w:noWrap/>
          </w:tcPr>
          <w:p w14:paraId="08712788" w14:textId="0F5468E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1,898</w:t>
            </w:r>
          </w:p>
        </w:tc>
      </w:tr>
      <w:tr w:rsidR="0020791D" w:rsidRPr="001D42CA" w14:paraId="5D93B073" w14:textId="41DB5E2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B843F2" w14:textId="6F3A64A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Lesotho</w:t>
            </w:r>
          </w:p>
        </w:tc>
        <w:tc>
          <w:tcPr>
            <w:tcW w:w="1111" w:type="dxa"/>
            <w:tcBorders>
              <w:top w:val="nil"/>
              <w:left w:val="nil"/>
              <w:bottom w:val="single" w:sz="4" w:space="0" w:color="auto"/>
              <w:right w:val="single" w:sz="4" w:space="0" w:color="auto"/>
            </w:tcBorders>
            <w:shd w:val="clear" w:color="auto" w:fill="auto"/>
            <w:noWrap/>
          </w:tcPr>
          <w:p w14:paraId="3A139C8A" w14:textId="2E34374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D693D1E" w14:textId="24398C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52A59C4A" w14:textId="72A5560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95A5959" w14:textId="4398A9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A22A70A" w14:textId="5F6569A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E6F0034" w14:textId="50929B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22FB8A0" w14:textId="6F0A307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5E50F5C" w14:textId="00A3B5B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Liberia</w:t>
            </w:r>
          </w:p>
        </w:tc>
        <w:tc>
          <w:tcPr>
            <w:tcW w:w="1111" w:type="dxa"/>
            <w:tcBorders>
              <w:top w:val="nil"/>
              <w:left w:val="nil"/>
              <w:bottom w:val="single" w:sz="4" w:space="0" w:color="auto"/>
              <w:right w:val="single" w:sz="4" w:space="0" w:color="auto"/>
            </w:tcBorders>
            <w:shd w:val="clear" w:color="auto" w:fill="auto"/>
            <w:noWrap/>
          </w:tcPr>
          <w:p w14:paraId="3F8AFF42" w14:textId="2380176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526F61B7" w14:textId="040DF0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CED740A" w14:textId="4BE3790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604820C" w14:textId="36699E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5FDD4A9" w14:textId="6F153C9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5D42A1E" w14:textId="1CC279B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040CFAF" w14:textId="6C1184B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BCAC570" w14:textId="5F43654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Liechtenstein</w:t>
            </w:r>
          </w:p>
        </w:tc>
        <w:tc>
          <w:tcPr>
            <w:tcW w:w="1111" w:type="dxa"/>
            <w:tcBorders>
              <w:top w:val="nil"/>
              <w:left w:val="nil"/>
              <w:bottom w:val="single" w:sz="4" w:space="0" w:color="auto"/>
              <w:right w:val="single" w:sz="4" w:space="0" w:color="auto"/>
            </w:tcBorders>
            <w:shd w:val="clear" w:color="auto" w:fill="auto"/>
            <w:noWrap/>
          </w:tcPr>
          <w:p w14:paraId="0D05486F" w14:textId="37927A3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1EB88FA3" w14:textId="0966724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09B7B7AE" w14:textId="70A6096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96B145E" w14:textId="0C8948B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BF91DD0" w14:textId="620E06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EF968DC" w14:textId="4F093EC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12D08D6B" w14:textId="0B75867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16C3854" w14:textId="6269AD7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Lithuania</w:t>
            </w:r>
          </w:p>
        </w:tc>
        <w:tc>
          <w:tcPr>
            <w:tcW w:w="1111" w:type="dxa"/>
            <w:tcBorders>
              <w:top w:val="nil"/>
              <w:left w:val="nil"/>
              <w:bottom w:val="single" w:sz="4" w:space="0" w:color="auto"/>
              <w:right w:val="single" w:sz="4" w:space="0" w:color="auto"/>
            </w:tcBorders>
            <w:shd w:val="clear" w:color="auto" w:fill="auto"/>
            <w:noWrap/>
          </w:tcPr>
          <w:p w14:paraId="7FB9BA7D" w14:textId="0B30AD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0.077</w:t>
            </w:r>
          </w:p>
        </w:tc>
        <w:tc>
          <w:tcPr>
            <w:tcW w:w="1111" w:type="dxa"/>
            <w:tcBorders>
              <w:top w:val="nil"/>
              <w:left w:val="nil"/>
              <w:bottom w:val="single" w:sz="4" w:space="0" w:color="auto"/>
              <w:right w:val="single" w:sz="4" w:space="0" w:color="auto"/>
            </w:tcBorders>
            <w:shd w:val="clear" w:color="auto" w:fill="auto"/>
            <w:noWrap/>
          </w:tcPr>
          <w:p w14:paraId="133454A9" w14:textId="657B4BA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0.079%</w:t>
            </w:r>
          </w:p>
        </w:tc>
        <w:tc>
          <w:tcPr>
            <w:tcW w:w="1305" w:type="dxa"/>
            <w:tcBorders>
              <w:top w:val="nil"/>
              <w:left w:val="nil"/>
              <w:bottom w:val="single" w:sz="4" w:space="0" w:color="auto"/>
              <w:right w:val="single" w:sz="4" w:space="0" w:color="auto"/>
            </w:tcBorders>
          </w:tcPr>
          <w:p w14:paraId="03C1A838" w14:textId="2CC4BAA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3,475</w:t>
            </w:r>
          </w:p>
        </w:tc>
        <w:tc>
          <w:tcPr>
            <w:tcW w:w="1306" w:type="dxa"/>
            <w:tcBorders>
              <w:top w:val="nil"/>
              <w:left w:val="single" w:sz="4" w:space="0" w:color="auto"/>
              <w:bottom w:val="single" w:sz="4" w:space="0" w:color="auto"/>
              <w:right w:val="single" w:sz="4" w:space="0" w:color="auto"/>
            </w:tcBorders>
            <w:shd w:val="clear" w:color="auto" w:fill="auto"/>
            <w:noWrap/>
          </w:tcPr>
          <w:p w14:paraId="59A085A0" w14:textId="680E32D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3,770</w:t>
            </w:r>
          </w:p>
        </w:tc>
        <w:tc>
          <w:tcPr>
            <w:tcW w:w="1305" w:type="dxa"/>
            <w:tcBorders>
              <w:top w:val="nil"/>
              <w:left w:val="nil"/>
              <w:bottom w:val="single" w:sz="4" w:space="0" w:color="auto"/>
              <w:right w:val="single" w:sz="4" w:space="0" w:color="auto"/>
            </w:tcBorders>
            <w:shd w:val="clear" w:color="auto" w:fill="auto"/>
            <w:noWrap/>
          </w:tcPr>
          <w:p w14:paraId="7E3327BC" w14:textId="6504492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3,871</w:t>
            </w:r>
          </w:p>
        </w:tc>
        <w:tc>
          <w:tcPr>
            <w:tcW w:w="1306" w:type="dxa"/>
            <w:tcBorders>
              <w:top w:val="nil"/>
              <w:left w:val="nil"/>
              <w:bottom w:val="single" w:sz="4" w:space="0" w:color="auto"/>
              <w:right w:val="single" w:sz="4" w:space="0" w:color="auto"/>
            </w:tcBorders>
            <w:shd w:val="clear" w:color="auto" w:fill="auto"/>
            <w:noWrap/>
          </w:tcPr>
          <w:p w14:paraId="0B88449F" w14:textId="7076708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4,059</w:t>
            </w:r>
          </w:p>
        </w:tc>
      </w:tr>
      <w:tr w:rsidR="0020791D" w:rsidRPr="001D42CA" w14:paraId="4D3697FC" w14:textId="4A631E9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5CDF173" w14:textId="469D56F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Luxembourg</w:t>
            </w:r>
          </w:p>
        </w:tc>
        <w:tc>
          <w:tcPr>
            <w:tcW w:w="1111" w:type="dxa"/>
            <w:tcBorders>
              <w:top w:val="nil"/>
              <w:left w:val="nil"/>
              <w:bottom w:val="single" w:sz="4" w:space="0" w:color="auto"/>
              <w:right w:val="single" w:sz="4" w:space="0" w:color="auto"/>
            </w:tcBorders>
            <w:shd w:val="clear" w:color="auto" w:fill="auto"/>
            <w:noWrap/>
          </w:tcPr>
          <w:p w14:paraId="28B4AFBB" w14:textId="1D1E658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0.068</w:t>
            </w:r>
          </w:p>
        </w:tc>
        <w:tc>
          <w:tcPr>
            <w:tcW w:w="1111" w:type="dxa"/>
            <w:tcBorders>
              <w:top w:val="nil"/>
              <w:left w:val="nil"/>
              <w:bottom w:val="single" w:sz="4" w:space="0" w:color="auto"/>
              <w:right w:val="single" w:sz="4" w:space="0" w:color="auto"/>
            </w:tcBorders>
            <w:shd w:val="clear" w:color="auto" w:fill="auto"/>
            <w:noWrap/>
          </w:tcPr>
          <w:p w14:paraId="36C66270" w14:textId="3229A21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0.070%</w:t>
            </w:r>
          </w:p>
        </w:tc>
        <w:tc>
          <w:tcPr>
            <w:tcW w:w="1305" w:type="dxa"/>
            <w:tcBorders>
              <w:top w:val="nil"/>
              <w:left w:val="nil"/>
              <w:bottom w:val="single" w:sz="4" w:space="0" w:color="auto"/>
              <w:right w:val="single" w:sz="4" w:space="0" w:color="auto"/>
            </w:tcBorders>
          </w:tcPr>
          <w:p w14:paraId="58CFFBE4" w14:textId="1239252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3,279</w:t>
            </w:r>
          </w:p>
        </w:tc>
        <w:tc>
          <w:tcPr>
            <w:tcW w:w="1306" w:type="dxa"/>
            <w:tcBorders>
              <w:top w:val="nil"/>
              <w:left w:val="single" w:sz="4" w:space="0" w:color="auto"/>
              <w:bottom w:val="single" w:sz="4" w:space="0" w:color="auto"/>
              <w:right w:val="single" w:sz="4" w:space="0" w:color="auto"/>
            </w:tcBorders>
            <w:shd w:val="clear" w:color="auto" w:fill="auto"/>
            <w:noWrap/>
          </w:tcPr>
          <w:p w14:paraId="73BB43CB" w14:textId="375F29B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3,329</w:t>
            </w:r>
          </w:p>
        </w:tc>
        <w:tc>
          <w:tcPr>
            <w:tcW w:w="1305" w:type="dxa"/>
            <w:tcBorders>
              <w:top w:val="nil"/>
              <w:left w:val="nil"/>
              <w:bottom w:val="single" w:sz="4" w:space="0" w:color="auto"/>
              <w:right w:val="single" w:sz="4" w:space="0" w:color="auto"/>
            </w:tcBorders>
            <w:shd w:val="clear" w:color="auto" w:fill="auto"/>
            <w:noWrap/>
          </w:tcPr>
          <w:p w14:paraId="7224AC2B" w14:textId="35DD0D9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3,419</w:t>
            </w:r>
          </w:p>
        </w:tc>
        <w:tc>
          <w:tcPr>
            <w:tcW w:w="1306" w:type="dxa"/>
            <w:tcBorders>
              <w:top w:val="nil"/>
              <w:left w:val="nil"/>
              <w:bottom w:val="single" w:sz="4" w:space="0" w:color="auto"/>
              <w:right w:val="single" w:sz="4" w:space="0" w:color="auto"/>
            </w:tcBorders>
            <w:shd w:val="clear" w:color="auto" w:fill="auto"/>
            <w:noWrap/>
          </w:tcPr>
          <w:p w14:paraId="03EDDD58" w14:textId="7C5EE81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3,585</w:t>
            </w:r>
          </w:p>
        </w:tc>
      </w:tr>
      <w:tr w:rsidR="0020791D" w:rsidRPr="001D42CA" w14:paraId="456FAEBB" w14:textId="0327527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716D4C" w14:textId="58461A7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Madagascar</w:t>
            </w:r>
          </w:p>
        </w:tc>
        <w:tc>
          <w:tcPr>
            <w:tcW w:w="1111" w:type="dxa"/>
            <w:tcBorders>
              <w:top w:val="nil"/>
              <w:left w:val="nil"/>
              <w:bottom w:val="single" w:sz="4" w:space="0" w:color="auto"/>
              <w:right w:val="single" w:sz="4" w:space="0" w:color="auto"/>
            </w:tcBorders>
            <w:shd w:val="clear" w:color="auto" w:fill="auto"/>
            <w:noWrap/>
          </w:tcPr>
          <w:p w14:paraId="147AD2C8" w14:textId="147295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46F4F1C9" w14:textId="0ACD39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01544579" w14:textId="35543C5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DEC8F86" w14:textId="3DFF2C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74AE9E9" w14:textId="7188EAD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FFC6E81" w14:textId="2CA5DB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2F0A1F3" w14:textId="071786F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88F0F67" w14:textId="610745B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Malawi</w:t>
            </w:r>
          </w:p>
        </w:tc>
        <w:tc>
          <w:tcPr>
            <w:tcW w:w="1111" w:type="dxa"/>
            <w:tcBorders>
              <w:top w:val="nil"/>
              <w:left w:val="nil"/>
              <w:bottom w:val="single" w:sz="4" w:space="0" w:color="auto"/>
              <w:right w:val="single" w:sz="4" w:space="0" w:color="auto"/>
            </w:tcBorders>
            <w:shd w:val="clear" w:color="auto" w:fill="auto"/>
            <w:noWrap/>
          </w:tcPr>
          <w:p w14:paraId="534EC998" w14:textId="6F09C9C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1098AAA2" w14:textId="658ECAC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43412212" w14:textId="7B9C8FC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BD6B73B" w14:textId="18F9D3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7403CFC" w14:textId="1016110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6704E43" w14:textId="3998D08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A456AAF" w14:textId="58E9588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4819D88" w14:textId="3C39869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Malaysia</w:t>
            </w:r>
          </w:p>
        </w:tc>
        <w:tc>
          <w:tcPr>
            <w:tcW w:w="1111" w:type="dxa"/>
            <w:tcBorders>
              <w:top w:val="nil"/>
              <w:left w:val="nil"/>
              <w:bottom w:val="single" w:sz="4" w:space="0" w:color="auto"/>
              <w:right w:val="single" w:sz="4" w:space="0" w:color="auto"/>
            </w:tcBorders>
            <w:shd w:val="clear" w:color="auto" w:fill="auto"/>
            <w:noWrap/>
          </w:tcPr>
          <w:p w14:paraId="7B850AFF" w14:textId="05ED12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0.348</w:t>
            </w:r>
          </w:p>
        </w:tc>
        <w:tc>
          <w:tcPr>
            <w:tcW w:w="1111" w:type="dxa"/>
            <w:tcBorders>
              <w:top w:val="nil"/>
              <w:left w:val="nil"/>
              <w:bottom w:val="single" w:sz="4" w:space="0" w:color="auto"/>
              <w:right w:val="single" w:sz="4" w:space="0" w:color="auto"/>
            </w:tcBorders>
            <w:shd w:val="clear" w:color="auto" w:fill="auto"/>
            <w:noWrap/>
          </w:tcPr>
          <w:p w14:paraId="3A03D95D" w14:textId="72F7AC1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0.357%</w:t>
            </w:r>
          </w:p>
        </w:tc>
        <w:tc>
          <w:tcPr>
            <w:tcW w:w="1305" w:type="dxa"/>
            <w:tcBorders>
              <w:top w:val="nil"/>
              <w:left w:val="nil"/>
              <w:bottom w:val="single" w:sz="4" w:space="0" w:color="auto"/>
              <w:right w:val="single" w:sz="4" w:space="0" w:color="auto"/>
            </w:tcBorders>
          </w:tcPr>
          <w:p w14:paraId="005DFDAC" w14:textId="4044B6E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16,691</w:t>
            </w:r>
          </w:p>
        </w:tc>
        <w:tc>
          <w:tcPr>
            <w:tcW w:w="1306" w:type="dxa"/>
            <w:tcBorders>
              <w:top w:val="nil"/>
              <w:left w:val="single" w:sz="4" w:space="0" w:color="auto"/>
              <w:bottom w:val="single" w:sz="4" w:space="0" w:color="auto"/>
              <w:right w:val="single" w:sz="4" w:space="0" w:color="auto"/>
            </w:tcBorders>
            <w:shd w:val="clear" w:color="auto" w:fill="auto"/>
            <w:noWrap/>
          </w:tcPr>
          <w:p w14:paraId="40B6A106" w14:textId="34C4E3A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17,039</w:t>
            </w:r>
          </w:p>
        </w:tc>
        <w:tc>
          <w:tcPr>
            <w:tcW w:w="1305" w:type="dxa"/>
            <w:tcBorders>
              <w:top w:val="nil"/>
              <w:left w:val="nil"/>
              <w:bottom w:val="single" w:sz="4" w:space="0" w:color="auto"/>
              <w:right w:val="single" w:sz="4" w:space="0" w:color="auto"/>
            </w:tcBorders>
            <w:shd w:val="clear" w:color="auto" w:fill="auto"/>
            <w:noWrap/>
          </w:tcPr>
          <w:p w14:paraId="394C2DA9" w14:textId="5B449BF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17,496</w:t>
            </w:r>
          </w:p>
        </w:tc>
        <w:tc>
          <w:tcPr>
            <w:tcW w:w="1306" w:type="dxa"/>
            <w:tcBorders>
              <w:top w:val="nil"/>
              <w:left w:val="nil"/>
              <w:bottom w:val="single" w:sz="4" w:space="0" w:color="auto"/>
              <w:right w:val="single" w:sz="4" w:space="0" w:color="auto"/>
            </w:tcBorders>
            <w:shd w:val="clear" w:color="auto" w:fill="auto"/>
            <w:noWrap/>
          </w:tcPr>
          <w:p w14:paraId="3A807500" w14:textId="721F5E2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18,344</w:t>
            </w:r>
          </w:p>
        </w:tc>
      </w:tr>
      <w:tr w:rsidR="0020791D" w:rsidRPr="001D42CA" w14:paraId="16B038F8" w14:textId="29AB6CF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41A97F6" w14:textId="61E6B92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Mali</w:t>
            </w:r>
          </w:p>
        </w:tc>
        <w:tc>
          <w:tcPr>
            <w:tcW w:w="1111" w:type="dxa"/>
            <w:tcBorders>
              <w:top w:val="nil"/>
              <w:left w:val="nil"/>
              <w:bottom w:val="single" w:sz="4" w:space="0" w:color="auto"/>
              <w:right w:val="single" w:sz="4" w:space="0" w:color="auto"/>
            </w:tcBorders>
            <w:shd w:val="clear" w:color="auto" w:fill="auto"/>
            <w:noWrap/>
          </w:tcPr>
          <w:p w14:paraId="4B4490C8" w14:textId="6B58F0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20732F63" w14:textId="4E09332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1EB6490B" w14:textId="2728E40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ED9D90" w14:textId="30D962F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FC28AC9" w14:textId="40BCB2E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5530309" w14:textId="2227066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E8E3D19" w14:textId="489EA9E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186466F" w14:textId="12693D7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Malta</w:t>
            </w:r>
          </w:p>
        </w:tc>
        <w:tc>
          <w:tcPr>
            <w:tcW w:w="1111" w:type="dxa"/>
            <w:tcBorders>
              <w:top w:val="nil"/>
              <w:left w:val="nil"/>
              <w:bottom w:val="single" w:sz="4" w:space="0" w:color="auto"/>
              <w:right w:val="single" w:sz="4" w:space="0" w:color="auto"/>
            </w:tcBorders>
            <w:shd w:val="clear" w:color="auto" w:fill="auto"/>
            <w:noWrap/>
          </w:tcPr>
          <w:p w14:paraId="1748B69E" w14:textId="6A672C0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5B9277E8" w14:textId="1311252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3AA64193" w14:textId="66C0B7E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D0EE094" w14:textId="521CEC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ECA4F1A" w14:textId="6569326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2498146" w14:textId="0FBF5C2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1,002</w:t>
            </w:r>
          </w:p>
        </w:tc>
      </w:tr>
      <w:tr w:rsidR="0020791D" w:rsidRPr="001D42CA" w14:paraId="22796556" w14:textId="7D360D9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1CAA3E1" w14:textId="0811A1E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Marshall Islands</w:t>
            </w:r>
          </w:p>
        </w:tc>
        <w:tc>
          <w:tcPr>
            <w:tcW w:w="1111" w:type="dxa"/>
            <w:tcBorders>
              <w:top w:val="nil"/>
              <w:left w:val="nil"/>
              <w:bottom w:val="single" w:sz="4" w:space="0" w:color="auto"/>
              <w:right w:val="single" w:sz="4" w:space="0" w:color="auto"/>
            </w:tcBorders>
            <w:shd w:val="clear" w:color="auto" w:fill="auto"/>
            <w:noWrap/>
          </w:tcPr>
          <w:p w14:paraId="55FDA044" w14:textId="277DBA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7DFA2D03" w14:textId="1D59F38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6DB961AD" w14:textId="0A5C378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19DDAE8" w14:textId="172E7E8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FE3B1DA" w14:textId="7DECC97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D2ABB2E" w14:textId="7FFA210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825D5F7" w14:textId="331A0B8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6315236" w14:textId="6CBE0B3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Mauritania</w:t>
            </w:r>
          </w:p>
        </w:tc>
        <w:tc>
          <w:tcPr>
            <w:tcW w:w="1111" w:type="dxa"/>
            <w:tcBorders>
              <w:top w:val="nil"/>
              <w:left w:val="nil"/>
              <w:bottom w:val="single" w:sz="4" w:space="0" w:color="auto"/>
              <w:right w:val="single" w:sz="4" w:space="0" w:color="auto"/>
            </w:tcBorders>
            <w:shd w:val="clear" w:color="auto" w:fill="auto"/>
            <w:noWrap/>
          </w:tcPr>
          <w:p w14:paraId="4D2B9D69" w14:textId="51C0B8D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1D429D0A" w14:textId="6980AA3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1F0163B3" w14:textId="0ECB976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F8F3E95" w14:textId="7BE5191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560AB93" w14:textId="365249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8A3113F" w14:textId="0DD3C5A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D6F5EE2" w14:textId="6D996E0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E8E5A5E" w14:textId="0B2A730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Mauritius</w:t>
            </w:r>
          </w:p>
        </w:tc>
        <w:tc>
          <w:tcPr>
            <w:tcW w:w="1111" w:type="dxa"/>
            <w:tcBorders>
              <w:top w:val="nil"/>
              <w:left w:val="nil"/>
              <w:bottom w:val="single" w:sz="4" w:space="0" w:color="auto"/>
              <w:right w:val="single" w:sz="4" w:space="0" w:color="auto"/>
            </w:tcBorders>
            <w:shd w:val="clear" w:color="auto" w:fill="auto"/>
            <w:noWrap/>
          </w:tcPr>
          <w:p w14:paraId="162DA8E2" w14:textId="768A8B7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70B4ACAE" w14:textId="3C15EEA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1422B1CB" w14:textId="337D18D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E519375" w14:textId="135A8EB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A92E045" w14:textId="6DCCEDE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FB29F10" w14:textId="69CEC4F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1,002</w:t>
            </w:r>
          </w:p>
        </w:tc>
      </w:tr>
      <w:tr w:rsidR="0020791D" w:rsidRPr="001D42CA" w14:paraId="7F7EBB7C" w14:textId="65CE812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497F10C" w14:textId="2EC9667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Mexico</w:t>
            </w:r>
          </w:p>
        </w:tc>
        <w:tc>
          <w:tcPr>
            <w:tcW w:w="1111" w:type="dxa"/>
            <w:tcBorders>
              <w:top w:val="nil"/>
              <w:left w:val="nil"/>
              <w:bottom w:val="single" w:sz="4" w:space="0" w:color="auto"/>
              <w:right w:val="single" w:sz="4" w:space="0" w:color="auto"/>
            </w:tcBorders>
            <w:shd w:val="clear" w:color="auto" w:fill="auto"/>
            <w:noWrap/>
          </w:tcPr>
          <w:p w14:paraId="1407373F" w14:textId="7F6C69F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1.221</w:t>
            </w:r>
          </w:p>
        </w:tc>
        <w:tc>
          <w:tcPr>
            <w:tcW w:w="1111" w:type="dxa"/>
            <w:tcBorders>
              <w:top w:val="nil"/>
              <w:left w:val="nil"/>
              <w:bottom w:val="single" w:sz="4" w:space="0" w:color="auto"/>
              <w:right w:val="single" w:sz="4" w:space="0" w:color="auto"/>
            </w:tcBorders>
            <w:shd w:val="clear" w:color="auto" w:fill="auto"/>
            <w:noWrap/>
          </w:tcPr>
          <w:p w14:paraId="73DF3636" w14:textId="7D2A5CA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1.253%</w:t>
            </w:r>
          </w:p>
        </w:tc>
        <w:tc>
          <w:tcPr>
            <w:tcW w:w="1305" w:type="dxa"/>
            <w:tcBorders>
              <w:top w:val="nil"/>
              <w:left w:val="nil"/>
              <w:bottom w:val="single" w:sz="4" w:space="0" w:color="auto"/>
              <w:right w:val="single" w:sz="4" w:space="0" w:color="auto"/>
            </w:tcBorders>
          </w:tcPr>
          <w:p w14:paraId="5CE185C1" w14:textId="612E238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63,238</w:t>
            </w:r>
          </w:p>
        </w:tc>
        <w:tc>
          <w:tcPr>
            <w:tcW w:w="1306" w:type="dxa"/>
            <w:tcBorders>
              <w:top w:val="nil"/>
              <w:left w:val="single" w:sz="4" w:space="0" w:color="auto"/>
              <w:bottom w:val="single" w:sz="4" w:space="0" w:color="auto"/>
              <w:right w:val="single" w:sz="4" w:space="0" w:color="auto"/>
            </w:tcBorders>
            <w:shd w:val="clear" w:color="auto" w:fill="auto"/>
            <w:noWrap/>
          </w:tcPr>
          <w:p w14:paraId="552FBD03" w14:textId="120B770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59,784</w:t>
            </w:r>
          </w:p>
        </w:tc>
        <w:tc>
          <w:tcPr>
            <w:tcW w:w="1305" w:type="dxa"/>
            <w:tcBorders>
              <w:top w:val="nil"/>
              <w:left w:val="nil"/>
              <w:bottom w:val="single" w:sz="4" w:space="0" w:color="auto"/>
              <w:right w:val="single" w:sz="4" w:space="0" w:color="auto"/>
            </w:tcBorders>
            <w:shd w:val="clear" w:color="auto" w:fill="auto"/>
            <w:noWrap/>
          </w:tcPr>
          <w:p w14:paraId="2372FE9F" w14:textId="2B446C0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61,386</w:t>
            </w:r>
          </w:p>
        </w:tc>
        <w:tc>
          <w:tcPr>
            <w:tcW w:w="1306" w:type="dxa"/>
            <w:tcBorders>
              <w:top w:val="nil"/>
              <w:left w:val="nil"/>
              <w:bottom w:val="single" w:sz="4" w:space="0" w:color="auto"/>
              <w:right w:val="single" w:sz="4" w:space="0" w:color="auto"/>
            </w:tcBorders>
            <w:shd w:val="clear" w:color="auto" w:fill="auto"/>
            <w:noWrap/>
          </w:tcPr>
          <w:p w14:paraId="0D9EEE22" w14:textId="7AF135E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64,364</w:t>
            </w:r>
          </w:p>
        </w:tc>
      </w:tr>
      <w:tr w:rsidR="0020791D" w:rsidRPr="001D42CA" w14:paraId="21567F96" w14:textId="0CA1060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BEB7E68" w14:textId="5803489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Monaco</w:t>
            </w:r>
          </w:p>
        </w:tc>
        <w:tc>
          <w:tcPr>
            <w:tcW w:w="1111" w:type="dxa"/>
            <w:tcBorders>
              <w:top w:val="nil"/>
              <w:left w:val="nil"/>
              <w:bottom w:val="single" w:sz="4" w:space="0" w:color="auto"/>
              <w:right w:val="single" w:sz="4" w:space="0" w:color="auto"/>
            </w:tcBorders>
            <w:shd w:val="clear" w:color="auto" w:fill="auto"/>
            <w:noWrap/>
          </w:tcPr>
          <w:p w14:paraId="545D2715" w14:textId="1104A3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0.011</w:t>
            </w:r>
          </w:p>
        </w:tc>
        <w:tc>
          <w:tcPr>
            <w:tcW w:w="1111" w:type="dxa"/>
            <w:tcBorders>
              <w:top w:val="nil"/>
              <w:left w:val="nil"/>
              <w:bottom w:val="single" w:sz="4" w:space="0" w:color="auto"/>
              <w:right w:val="single" w:sz="4" w:space="0" w:color="auto"/>
            </w:tcBorders>
            <w:shd w:val="clear" w:color="auto" w:fill="auto"/>
            <w:noWrap/>
          </w:tcPr>
          <w:p w14:paraId="14B13F87" w14:textId="79FC372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0.011%</w:t>
            </w:r>
          </w:p>
        </w:tc>
        <w:tc>
          <w:tcPr>
            <w:tcW w:w="1305" w:type="dxa"/>
            <w:tcBorders>
              <w:top w:val="nil"/>
              <w:left w:val="nil"/>
              <w:bottom w:val="single" w:sz="4" w:space="0" w:color="auto"/>
              <w:right w:val="single" w:sz="4" w:space="0" w:color="auto"/>
            </w:tcBorders>
          </w:tcPr>
          <w:p w14:paraId="56DAFDE9" w14:textId="4215D9D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EDECAEC" w14:textId="52D52A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41BB85E" w14:textId="58C44B0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67CD912" w14:textId="7D80121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DAEE220" w14:textId="3D40D91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E695445" w14:textId="1F51766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Mongolia</w:t>
            </w:r>
          </w:p>
        </w:tc>
        <w:tc>
          <w:tcPr>
            <w:tcW w:w="1111" w:type="dxa"/>
            <w:tcBorders>
              <w:top w:val="nil"/>
              <w:left w:val="nil"/>
              <w:bottom w:val="single" w:sz="4" w:space="0" w:color="auto"/>
              <w:right w:val="single" w:sz="4" w:space="0" w:color="auto"/>
            </w:tcBorders>
            <w:shd w:val="clear" w:color="auto" w:fill="auto"/>
            <w:noWrap/>
          </w:tcPr>
          <w:p w14:paraId="79D28612" w14:textId="13374E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1C6E6AC9" w14:textId="4BBC976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36ACA44D" w14:textId="5B5216B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3035971" w14:textId="2A4BBD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28B1546" w14:textId="3273A4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CBBF45F" w14:textId="1971DE3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17D6261" w14:textId="0092F26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925BE4E" w14:textId="4CFDF62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Montenegro</w:t>
            </w:r>
          </w:p>
        </w:tc>
        <w:tc>
          <w:tcPr>
            <w:tcW w:w="1111" w:type="dxa"/>
            <w:tcBorders>
              <w:top w:val="nil"/>
              <w:left w:val="nil"/>
              <w:bottom w:val="single" w:sz="4" w:space="0" w:color="auto"/>
              <w:right w:val="single" w:sz="4" w:space="0" w:color="auto"/>
            </w:tcBorders>
            <w:shd w:val="clear" w:color="auto" w:fill="auto"/>
            <w:noWrap/>
          </w:tcPr>
          <w:p w14:paraId="28028769" w14:textId="45D9771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04118F28" w14:textId="42BB3C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5196EA02" w14:textId="773E6AF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0AD9400" w14:textId="1828000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E138CC2" w14:textId="4BC132A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F0BB044" w14:textId="4DC0CA1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539F5B1" w14:textId="7CB919C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33FF07" w14:textId="79E3CDB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Morocco</w:t>
            </w:r>
          </w:p>
        </w:tc>
        <w:tc>
          <w:tcPr>
            <w:tcW w:w="1111" w:type="dxa"/>
            <w:tcBorders>
              <w:top w:val="nil"/>
              <w:left w:val="nil"/>
              <w:bottom w:val="single" w:sz="4" w:space="0" w:color="auto"/>
              <w:right w:val="single" w:sz="4" w:space="0" w:color="auto"/>
            </w:tcBorders>
            <w:shd w:val="clear" w:color="auto" w:fill="auto"/>
            <w:noWrap/>
          </w:tcPr>
          <w:p w14:paraId="0FCB7694" w14:textId="33577A5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0.055</w:t>
            </w:r>
          </w:p>
        </w:tc>
        <w:tc>
          <w:tcPr>
            <w:tcW w:w="1111" w:type="dxa"/>
            <w:tcBorders>
              <w:top w:val="nil"/>
              <w:left w:val="nil"/>
              <w:bottom w:val="single" w:sz="4" w:space="0" w:color="auto"/>
              <w:right w:val="single" w:sz="4" w:space="0" w:color="auto"/>
            </w:tcBorders>
            <w:shd w:val="clear" w:color="auto" w:fill="auto"/>
            <w:noWrap/>
          </w:tcPr>
          <w:p w14:paraId="0B90C6BD" w14:textId="3DFC15B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0.056%</w:t>
            </w:r>
          </w:p>
        </w:tc>
        <w:tc>
          <w:tcPr>
            <w:tcW w:w="1305" w:type="dxa"/>
            <w:tcBorders>
              <w:top w:val="nil"/>
              <w:left w:val="nil"/>
              <w:bottom w:val="single" w:sz="4" w:space="0" w:color="auto"/>
              <w:right w:val="single" w:sz="4" w:space="0" w:color="auto"/>
            </w:tcBorders>
          </w:tcPr>
          <w:p w14:paraId="73CA08F7" w14:textId="309B0CB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2,692</w:t>
            </w:r>
          </w:p>
        </w:tc>
        <w:tc>
          <w:tcPr>
            <w:tcW w:w="1306" w:type="dxa"/>
            <w:tcBorders>
              <w:top w:val="nil"/>
              <w:left w:val="single" w:sz="4" w:space="0" w:color="auto"/>
              <w:bottom w:val="single" w:sz="4" w:space="0" w:color="auto"/>
              <w:right w:val="single" w:sz="4" w:space="0" w:color="auto"/>
            </w:tcBorders>
            <w:shd w:val="clear" w:color="auto" w:fill="auto"/>
            <w:noWrap/>
          </w:tcPr>
          <w:p w14:paraId="4C24F243" w14:textId="259C2F2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2,693</w:t>
            </w:r>
          </w:p>
        </w:tc>
        <w:tc>
          <w:tcPr>
            <w:tcW w:w="1305" w:type="dxa"/>
            <w:tcBorders>
              <w:top w:val="nil"/>
              <w:left w:val="nil"/>
              <w:bottom w:val="single" w:sz="4" w:space="0" w:color="auto"/>
              <w:right w:val="single" w:sz="4" w:space="0" w:color="auto"/>
            </w:tcBorders>
            <w:shd w:val="clear" w:color="auto" w:fill="auto"/>
            <w:noWrap/>
          </w:tcPr>
          <w:p w14:paraId="406ED79F" w14:textId="6BF2513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2,765</w:t>
            </w:r>
          </w:p>
        </w:tc>
        <w:tc>
          <w:tcPr>
            <w:tcW w:w="1306" w:type="dxa"/>
            <w:tcBorders>
              <w:top w:val="nil"/>
              <w:left w:val="nil"/>
              <w:bottom w:val="single" w:sz="4" w:space="0" w:color="auto"/>
              <w:right w:val="single" w:sz="4" w:space="0" w:color="auto"/>
            </w:tcBorders>
            <w:shd w:val="clear" w:color="auto" w:fill="auto"/>
            <w:noWrap/>
          </w:tcPr>
          <w:p w14:paraId="7752BC16" w14:textId="4A234C3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2,899</w:t>
            </w:r>
          </w:p>
        </w:tc>
      </w:tr>
      <w:tr w:rsidR="0020791D" w:rsidRPr="001D42CA" w14:paraId="05ACC650" w14:textId="7DEBBFB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B936E67" w14:textId="008F795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Mozambique</w:t>
            </w:r>
          </w:p>
        </w:tc>
        <w:tc>
          <w:tcPr>
            <w:tcW w:w="1111" w:type="dxa"/>
            <w:tcBorders>
              <w:top w:val="nil"/>
              <w:left w:val="nil"/>
              <w:bottom w:val="single" w:sz="4" w:space="0" w:color="auto"/>
              <w:right w:val="single" w:sz="4" w:space="0" w:color="auto"/>
            </w:tcBorders>
            <w:shd w:val="clear" w:color="auto" w:fill="auto"/>
            <w:noWrap/>
          </w:tcPr>
          <w:p w14:paraId="41FF3CDC" w14:textId="1B2E65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111" w:type="dxa"/>
            <w:tcBorders>
              <w:top w:val="nil"/>
              <w:left w:val="nil"/>
              <w:bottom w:val="single" w:sz="4" w:space="0" w:color="auto"/>
              <w:right w:val="single" w:sz="4" w:space="0" w:color="auto"/>
            </w:tcBorders>
            <w:shd w:val="clear" w:color="auto" w:fill="auto"/>
            <w:noWrap/>
          </w:tcPr>
          <w:p w14:paraId="77CE9CC9" w14:textId="5DFEA53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0.004%</w:t>
            </w:r>
          </w:p>
        </w:tc>
        <w:tc>
          <w:tcPr>
            <w:tcW w:w="1305" w:type="dxa"/>
            <w:tcBorders>
              <w:top w:val="nil"/>
              <w:left w:val="nil"/>
              <w:bottom w:val="single" w:sz="4" w:space="0" w:color="auto"/>
              <w:right w:val="single" w:sz="4" w:space="0" w:color="auto"/>
            </w:tcBorders>
          </w:tcPr>
          <w:p w14:paraId="6FA9E059" w14:textId="47442AF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C61B531" w14:textId="28C6DA1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B710179" w14:textId="7A2FCB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95275A5" w14:textId="1699F69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764163D1" w14:textId="4D9FF1A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04098D8" w14:textId="379D732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Myanmar</w:t>
            </w:r>
          </w:p>
        </w:tc>
        <w:tc>
          <w:tcPr>
            <w:tcW w:w="1111" w:type="dxa"/>
            <w:tcBorders>
              <w:top w:val="nil"/>
              <w:left w:val="nil"/>
              <w:bottom w:val="single" w:sz="4" w:space="0" w:color="auto"/>
              <w:right w:val="single" w:sz="4" w:space="0" w:color="auto"/>
            </w:tcBorders>
            <w:shd w:val="clear" w:color="auto" w:fill="auto"/>
            <w:noWrap/>
          </w:tcPr>
          <w:p w14:paraId="59346FA2" w14:textId="2E57858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4BAB7989" w14:textId="6EAA1DC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11B368E7" w14:textId="1D32099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C6254E4" w14:textId="6310AC6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35F5352" w14:textId="0FDA7A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B0C35DF" w14:textId="4B9A65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CA46617" w14:textId="3168B63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59F332D" w14:textId="09A5FE3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Namibia</w:t>
            </w:r>
          </w:p>
        </w:tc>
        <w:tc>
          <w:tcPr>
            <w:tcW w:w="1111" w:type="dxa"/>
            <w:tcBorders>
              <w:top w:val="nil"/>
              <w:left w:val="nil"/>
              <w:bottom w:val="single" w:sz="4" w:space="0" w:color="auto"/>
              <w:right w:val="single" w:sz="4" w:space="0" w:color="auto"/>
            </w:tcBorders>
            <w:shd w:val="clear" w:color="auto" w:fill="auto"/>
            <w:noWrap/>
          </w:tcPr>
          <w:p w14:paraId="077B0EB5" w14:textId="4015A26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111" w:type="dxa"/>
            <w:tcBorders>
              <w:top w:val="nil"/>
              <w:left w:val="nil"/>
              <w:bottom w:val="single" w:sz="4" w:space="0" w:color="auto"/>
              <w:right w:val="single" w:sz="4" w:space="0" w:color="auto"/>
            </w:tcBorders>
            <w:shd w:val="clear" w:color="auto" w:fill="auto"/>
            <w:noWrap/>
          </w:tcPr>
          <w:p w14:paraId="16EFE290" w14:textId="1904F66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305" w:type="dxa"/>
            <w:tcBorders>
              <w:top w:val="nil"/>
              <w:left w:val="nil"/>
              <w:bottom w:val="single" w:sz="4" w:space="0" w:color="auto"/>
              <w:right w:val="single" w:sz="4" w:space="0" w:color="auto"/>
            </w:tcBorders>
          </w:tcPr>
          <w:p w14:paraId="75C888E6" w14:textId="23A601D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BD3799E" w14:textId="2ACC2C3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AED6AEE" w14:textId="0373959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12BFFB6" w14:textId="043E575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0DE27F2" w14:textId="632048A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ED5687" w14:textId="5E56761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Nepal</w:t>
            </w:r>
          </w:p>
        </w:tc>
        <w:tc>
          <w:tcPr>
            <w:tcW w:w="1111" w:type="dxa"/>
            <w:tcBorders>
              <w:top w:val="nil"/>
              <w:left w:val="nil"/>
              <w:bottom w:val="single" w:sz="4" w:space="0" w:color="auto"/>
              <w:right w:val="single" w:sz="4" w:space="0" w:color="auto"/>
            </w:tcBorders>
            <w:shd w:val="clear" w:color="auto" w:fill="auto"/>
            <w:noWrap/>
          </w:tcPr>
          <w:p w14:paraId="711D282C" w14:textId="35FE4FC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069B037E" w14:textId="7846D72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06124579" w14:textId="32A0E90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3E1B4A5" w14:textId="2938E0B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4DBD671" w14:textId="463F991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0BE5EE2" w14:textId="10E0E7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6710BFE" w14:textId="3EF6FCD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5AF3443" w14:textId="3C77CDE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Netherlands</w:t>
            </w:r>
          </w:p>
        </w:tc>
        <w:tc>
          <w:tcPr>
            <w:tcW w:w="1111" w:type="dxa"/>
            <w:tcBorders>
              <w:top w:val="nil"/>
              <w:left w:val="nil"/>
              <w:bottom w:val="single" w:sz="4" w:space="0" w:color="auto"/>
              <w:right w:val="single" w:sz="4" w:space="0" w:color="auto"/>
            </w:tcBorders>
            <w:shd w:val="clear" w:color="auto" w:fill="auto"/>
            <w:noWrap/>
          </w:tcPr>
          <w:p w14:paraId="4D74B91E" w14:textId="5B22F25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1.377</w:t>
            </w:r>
          </w:p>
        </w:tc>
        <w:tc>
          <w:tcPr>
            <w:tcW w:w="1111" w:type="dxa"/>
            <w:tcBorders>
              <w:top w:val="nil"/>
              <w:left w:val="nil"/>
              <w:bottom w:val="single" w:sz="4" w:space="0" w:color="auto"/>
              <w:right w:val="single" w:sz="4" w:space="0" w:color="auto"/>
            </w:tcBorders>
            <w:shd w:val="clear" w:color="auto" w:fill="auto"/>
            <w:noWrap/>
          </w:tcPr>
          <w:p w14:paraId="11EE9861" w14:textId="66B771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1.414%</w:t>
            </w:r>
          </w:p>
        </w:tc>
        <w:tc>
          <w:tcPr>
            <w:tcW w:w="1305" w:type="dxa"/>
            <w:tcBorders>
              <w:top w:val="nil"/>
              <w:left w:val="nil"/>
              <w:bottom w:val="single" w:sz="4" w:space="0" w:color="auto"/>
              <w:right w:val="single" w:sz="4" w:space="0" w:color="auto"/>
            </w:tcBorders>
          </w:tcPr>
          <w:p w14:paraId="42DF3D06" w14:textId="621952B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66,371</w:t>
            </w:r>
          </w:p>
        </w:tc>
        <w:tc>
          <w:tcPr>
            <w:tcW w:w="1306" w:type="dxa"/>
            <w:tcBorders>
              <w:top w:val="nil"/>
              <w:left w:val="single" w:sz="4" w:space="0" w:color="auto"/>
              <w:bottom w:val="single" w:sz="4" w:space="0" w:color="auto"/>
              <w:right w:val="single" w:sz="4" w:space="0" w:color="auto"/>
            </w:tcBorders>
            <w:shd w:val="clear" w:color="auto" w:fill="auto"/>
            <w:noWrap/>
          </w:tcPr>
          <w:p w14:paraId="09588AF9" w14:textId="05FFD6C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67,422</w:t>
            </w:r>
          </w:p>
        </w:tc>
        <w:tc>
          <w:tcPr>
            <w:tcW w:w="1305" w:type="dxa"/>
            <w:tcBorders>
              <w:top w:val="nil"/>
              <w:left w:val="nil"/>
              <w:bottom w:val="single" w:sz="4" w:space="0" w:color="auto"/>
              <w:right w:val="single" w:sz="4" w:space="0" w:color="auto"/>
            </w:tcBorders>
            <w:shd w:val="clear" w:color="auto" w:fill="auto"/>
            <w:noWrap/>
          </w:tcPr>
          <w:p w14:paraId="24D81BBF" w14:textId="371C13A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69,229</w:t>
            </w:r>
          </w:p>
        </w:tc>
        <w:tc>
          <w:tcPr>
            <w:tcW w:w="1306" w:type="dxa"/>
            <w:tcBorders>
              <w:top w:val="nil"/>
              <w:left w:val="nil"/>
              <w:bottom w:val="single" w:sz="4" w:space="0" w:color="auto"/>
              <w:right w:val="single" w:sz="4" w:space="0" w:color="auto"/>
            </w:tcBorders>
            <w:shd w:val="clear" w:color="auto" w:fill="auto"/>
            <w:noWrap/>
          </w:tcPr>
          <w:p w14:paraId="11AD2516" w14:textId="4B2A95D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72,587</w:t>
            </w:r>
          </w:p>
        </w:tc>
      </w:tr>
      <w:tr w:rsidR="0020791D" w:rsidRPr="001D42CA" w14:paraId="28F538BF" w14:textId="6F4EBA7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9E5D795" w14:textId="79FED96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New Zealand</w:t>
            </w:r>
          </w:p>
        </w:tc>
        <w:tc>
          <w:tcPr>
            <w:tcW w:w="1111" w:type="dxa"/>
            <w:tcBorders>
              <w:top w:val="nil"/>
              <w:left w:val="nil"/>
              <w:bottom w:val="single" w:sz="4" w:space="0" w:color="auto"/>
              <w:right w:val="single" w:sz="4" w:space="0" w:color="auto"/>
            </w:tcBorders>
            <w:shd w:val="clear" w:color="auto" w:fill="auto"/>
            <w:noWrap/>
          </w:tcPr>
          <w:p w14:paraId="718C2D77" w14:textId="40E67D9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0.309</w:t>
            </w:r>
          </w:p>
        </w:tc>
        <w:tc>
          <w:tcPr>
            <w:tcW w:w="1111" w:type="dxa"/>
            <w:tcBorders>
              <w:top w:val="nil"/>
              <w:left w:val="nil"/>
              <w:bottom w:val="single" w:sz="4" w:space="0" w:color="auto"/>
              <w:right w:val="single" w:sz="4" w:space="0" w:color="auto"/>
            </w:tcBorders>
            <w:shd w:val="clear" w:color="auto" w:fill="auto"/>
            <w:noWrap/>
          </w:tcPr>
          <w:p w14:paraId="29B9333B" w14:textId="656DB0F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0.317%</w:t>
            </w:r>
          </w:p>
        </w:tc>
        <w:tc>
          <w:tcPr>
            <w:tcW w:w="1305" w:type="dxa"/>
            <w:tcBorders>
              <w:top w:val="nil"/>
              <w:left w:val="nil"/>
              <w:bottom w:val="single" w:sz="4" w:space="0" w:color="auto"/>
              <w:right w:val="single" w:sz="4" w:space="0" w:color="auto"/>
            </w:tcBorders>
          </w:tcPr>
          <w:p w14:paraId="5062F964" w14:textId="0086284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14,243</w:t>
            </w:r>
          </w:p>
        </w:tc>
        <w:tc>
          <w:tcPr>
            <w:tcW w:w="1306" w:type="dxa"/>
            <w:tcBorders>
              <w:top w:val="nil"/>
              <w:left w:val="single" w:sz="4" w:space="0" w:color="auto"/>
              <w:bottom w:val="single" w:sz="4" w:space="0" w:color="auto"/>
              <w:right w:val="single" w:sz="4" w:space="0" w:color="auto"/>
            </w:tcBorders>
            <w:shd w:val="clear" w:color="auto" w:fill="auto"/>
            <w:noWrap/>
          </w:tcPr>
          <w:p w14:paraId="40EF21CB" w14:textId="0934F9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15,130</w:t>
            </w:r>
          </w:p>
        </w:tc>
        <w:tc>
          <w:tcPr>
            <w:tcW w:w="1305" w:type="dxa"/>
            <w:tcBorders>
              <w:top w:val="nil"/>
              <w:left w:val="nil"/>
              <w:bottom w:val="single" w:sz="4" w:space="0" w:color="auto"/>
              <w:right w:val="single" w:sz="4" w:space="0" w:color="auto"/>
            </w:tcBorders>
            <w:shd w:val="clear" w:color="auto" w:fill="auto"/>
            <w:noWrap/>
          </w:tcPr>
          <w:p w14:paraId="30F04DE7" w14:textId="01E11A0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15,535</w:t>
            </w:r>
          </w:p>
        </w:tc>
        <w:tc>
          <w:tcPr>
            <w:tcW w:w="1306" w:type="dxa"/>
            <w:tcBorders>
              <w:top w:val="nil"/>
              <w:left w:val="nil"/>
              <w:bottom w:val="single" w:sz="4" w:space="0" w:color="auto"/>
              <w:right w:val="single" w:sz="4" w:space="0" w:color="auto"/>
            </w:tcBorders>
            <w:shd w:val="clear" w:color="auto" w:fill="auto"/>
            <w:noWrap/>
          </w:tcPr>
          <w:p w14:paraId="0DE952A4" w14:textId="33B129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16,289</w:t>
            </w:r>
          </w:p>
        </w:tc>
      </w:tr>
      <w:tr w:rsidR="0020791D" w:rsidRPr="001D42CA" w14:paraId="212C9E15" w14:textId="33A3092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28EC037" w14:textId="0555E3AC"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Nicaragua</w:t>
            </w:r>
          </w:p>
        </w:tc>
        <w:tc>
          <w:tcPr>
            <w:tcW w:w="1111" w:type="dxa"/>
            <w:tcBorders>
              <w:top w:val="nil"/>
              <w:left w:val="nil"/>
              <w:bottom w:val="single" w:sz="4" w:space="0" w:color="auto"/>
              <w:right w:val="single" w:sz="4" w:space="0" w:color="auto"/>
            </w:tcBorders>
            <w:shd w:val="clear" w:color="auto" w:fill="auto"/>
            <w:noWrap/>
          </w:tcPr>
          <w:p w14:paraId="1970ED1A" w14:textId="4B0BFF7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1C44C03C" w14:textId="265585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0B732E53" w14:textId="35C39BF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48F83B5" w14:textId="0006443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0BC7C49" w14:textId="443FE7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9F8EBF0" w14:textId="62AA37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7CD975E" w14:textId="424A87A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7B93D3B" w14:textId="6FA8011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Niger</w:t>
            </w:r>
          </w:p>
        </w:tc>
        <w:tc>
          <w:tcPr>
            <w:tcW w:w="1111" w:type="dxa"/>
            <w:tcBorders>
              <w:top w:val="nil"/>
              <w:left w:val="nil"/>
              <w:bottom w:val="single" w:sz="4" w:space="0" w:color="auto"/>
              <w:right w:val="single" w:sz="4" w:space="0" w:color="auto"/>
            </w:tcBorders>
            <w:shd w:val="clear" w:color="auto" w:fill="auto"/>
            <w:noWrap/>
          </w:tcPr>
          <w:p w14:paraId="286EE3B7" w14:textId="1B3EF4C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4122B0CF" w14:textId="5942125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06BE363E" w14:textId="2C43DFE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AE5BA0E" w14:textId="5CC4D8C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A1FA885" w14:textId="1E93B62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B90AC7C" w14:textId="23C069D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4874A69" w14:textId="12E03AD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534ACDF" w14:textId="52238DC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Nigeria</w:t>
            </w:r>
          </w:p>
        </w:tc>
        <w:tc>
          <w:tcPr>
            <w:tcW w:w="1111" w:type="dxa"/>
            <w:tcBorders>
              <w:top w:val="nil"/>
              <w:left w:val="nil"/>
              <w:bottom w:val="single" w:sz="4" w:space="0" w:color="auto"/>
              <w:right w:val="single" w:sz="4" w:space="0" w:color="auto"/>
            </w:tcBorders>
            <w:shd w:val="clear" w:color="auto" w:fill="auto"/>
            <w:noWrap/>
          </w:tcPr>
          <w:p w14:paraId="20D89193" w14:textId="3902F58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0.182</w:t>
            </w:r>
          </w:p>
        </w:tc>
        <w:tc>
          <w:tcPr>
            <w:tcW w:w="1111" w:type="dxa"/>
            <w:tcBorders>
              <w:top w:val="nil"/>
              <w:left w:val="nil"/>
              <w:bottom w:val="single" w:sz="4" w:space="0" w:color="auto"/>
              <w:right w:val="single" w:sz="4" w:space="0" w:color="auto"/>
            </w:tcBorders>
            <w:shd w:val="clear" w:color="auto" w:fill="auto"/>
            <w:noWrap/>
          </w:tcPr>
          <w:p w14:paraId="2F556E79" w14:textId="41929E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0.187%</w:t>
            </w:r>
          </w:p>
        </w:tc>
        <w:tc>
          <w:tcPr>
            <w:tcW w:w="1305" w:type="dxa"/>
            <w:tcBorders>
              <w:top w:val="nil"/>
              <w:left w:val="nil"/>
              <w:bottom w:val="single" w:sz="4" w:space="0" w:color="auto"/>
              <w:right w:val="single" w:sz="4" w:space="0" w:color="auto"/>
            </w:tcBorders>
          </w:tcPr>
          <w:p w14:paraId="3916FC1F" w14:textId="42F064B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12,236</w:t>
            </w:r>
          </w:p>
        </w:tc>
        <w:tc>
          <w:tcPr>
            <w:tcW w:w="1306" w:type="dxa"/>
            <w:tcBorders>
              <w:top w:val="nil"/>
              <w:left w:val="single" w:sz="4" w:space="0" w:color="auto"/>
              <w:bottom w:val="single" w:sz="4" w:space="0" w:color="auto"/>
              <w:right w:val="single" w:sz="4" w:space="0" w:color="auto"/>
            </w:tcBorders>
            <w:shd w:val="clear" w:color="auto" w:fill="auto"/>
            <w:noWrap/>
          </w:tcPr>
          <w:p w14:paraId="7B7BE907" w14:textId="4A339CE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8,911</w:t>
            </w:r>
          </w:p>
        </w:tc>
        <w:tc>
          <w:tcPr>
            <w:tcW w:w="1305" w:type="dxa"/>
            <w:tcBorders>
              <w:top w:val="nil"/>
              <w:left w:val="nil"/>
              <w:bottom w:val="single" w:sz="4" w:space="0" w:color="auto"/>
              <w:right w:val="single" w:sz="4" w:space="0" w:color="auto"/>
            </w:tcBorders>
            <w:shd w:val="clear" w:color="auto" w:fill="auto"/>
            <w:noWrap/>
          </w:tcPr>
          <w:p w14:paraId="5BA79FE9" w14:textId="7B8CE1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9,150</w:t>
            </w:r>
          </w:p>
        </w:tc>
        <w:tc>
          <w:tcPr>
            <w:tcW w:w="1306" w:type="dxa"/>
            <w:tcBorders>
              <w:top w:val="nil"/>
              <w:left w:val="nil"/>
              <w:bottom w:val="single" w:sz="4" w:space="0" w:color="auto"/>
              <w:right w:val="single" w:sz="4" w:space="0" w:color="auto"/>
            </w:tcBorders>
            <w:shd w:val="clear" w:color="auto" w:fill="auto"/>
            <w:noWrap/>
          </w:tcPr>
          <w:p w14:paraId="48AE9CEA" w14:textId="66BA4B4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9,594</w:t>
            </w:r>
          </w:p>
        </w:tc>
      </w:tr>
      <w:tr w:rsidR="0020791D" w:rsidRPr="001D42CA" w14:paraId="2A7A46F8" w14:textId="26253A2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53E7BCE" w14:textId="3AD4012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Norway</w:t>
            </w:r>
          </w:p>
        </w:tc>
        <w:tc>
          <w:tcPr>
            <w:tcW w:w="1111" w:type="dxa"/>
            <w:tcBorders>
              <w:top w:val="nil"/>
              <w:left w:val="nil"/>
              <w:bottom w:val="single" w:sz="4" w:space="0" w:color="auto"/>
              <w:right w:val="single" w:sz="4" w:space="0" w:color="auto"/>
            </w:tcBorders>
            <w:shd w:val="clear" w:color="auto" w:fill="auto"/>
            <w:noWrap/>
          </w:tcPr>
          <w:p w14:paraId="392069A0" w14:textId="723C4CF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0.679</w:t>
            </w:r>
          </w:p>
        </w:tc>
        <w:tc>
          <w:tcPr>
            <w:tcW w:w="1111" w:type="dxa"/>
            <w:tcBorders>
              <w:top w:val="nil"/>
              <w:left w:val="nil"/>
              <w:bottom w:val="single" w:sz="4" w:space="0" w:color="auto"/>
              <w:right w:val="single" w:sz="4" w:space="0" w:color="auto"/>
            </w:tcBorders>
            <w:shd w:val="clear" w:color="auto" w:fill="auto"/>
            <w:noWrap/>
          </w:tcPr>
          <w:p w14:paraId="2B80E629" w14:textId="0E60A05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0.697%</w:t>
            </w:r>
          </w:p>
        </w:tc>
        <w:tc>
          <w:tcPr>
            <w:tcW w:w="1305" w:type="dxa"/>
            <w:tcBorders>
              <w:top w:val="nil"/>
              <w:left w:val="nil"/>
              <w:bottom w:val="single" w:sz="4" w:space="0" w:color="auto"/>
              <w:right w:val="single" w:sz="4" w:space="0" w:color="auto"/>
            </w:tcBorders>
          </w:tcPr>
          <w:p w14:paraId="56A30A08" w14:textId="1B53F61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36,905</w:t>
            </w:r>
          </w:p>
        </w:tc>
        <w:tc>
          <w:tcPr>
            <w:tcW w:w="1306" w:type="dxa"/>
            <w:tcBorders>
              <w:top w:val="nil"/>
              <w:left w:val="single" w:sz="4" w:space="0" w:color="auto"/>
              <w:bottom w:val="single" w:sz="4" w:space="0" w:color="auto"/>
              <w:right w:val="single" w:sz="4" w:space="0" w:color="auto"/>
            </w:tcBorders>
            <w:shd w:val="clear" w:color="auto" w:fill="auto"/>
            <w:noWrap/>
          </w:tcPr>
          <w:p w14:paraId="0B0A6DDE" w14:textId="41D2FF9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33,246</w:t>
            </w:r>
          </w:p>
        </w:tc>
        <w:tc>
          <w:tcPr>
            <w:tcW w:w="1305" w:type="dxa"/>
            <w:tcBorders>
              <w:top w:val="nil"/>
              <w:left w:val="nil"/>
              <w:bottom w:val="single" w:sz="4" w:space="0" w:color="auto"/>
              <w:right w:val="single" w:sz="4" w:space="0" w:color="auto"/>
            </w:tcBorders>
            <w:shd w:val="clear" w:color="auto" w:fill="auto"/>
            <w:noWrap/>
          </w:tcPr>
          <w:p w14:paraId="2A258F41" w14:textId="5DAAA97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34,137</w:t>
            </w:r>
          </w:p>
        </w:tc>
        <w:tc>
          <w:tcPr>
            <w:tcW w:w="1306" w:type="dxa"/>
            <w:tcBorders>
              <w:top w:val="nil"/>
              <w:left w:val="nil"/>
              <w:bottom w:val="single" w:sz="4" w:space="0" w:color="auto"/>
              <w:right w:val="single" w:sz="4" w:space="0" w:color="auto"/>
            </w:tcBorders>
            <w:shd w:val="clear" w:color="auto" w:fill="auto"/>
            <w:noWrap/>
          </w:tcPr>
          <w:p w14:paraId="7DF56D87" w14:textId="77346FA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35,793</w:t>
            </w:r>
          </w:p>
        </w:tc>
      </w:tr>
      <w:tr w:rsidR="0020791D" w:rsidRPr="001D42CA" w14:paraId="60ADB157" w14:textId="5708C21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0017083" w14:textId="45AF216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Oman</w:t>
            </w:r>
          </w:p>
        </w:tc>
        <w:tc>
          <w:tcPr>
            <w:tcW w:w="1111" w:type="dxa"/>
            <w:tcBorders>
              <w:top w:val="nil"/>
              <w:left w:val="nil"/>
              <w:bottom w:val="single" w:sz="4" w:space="0" w:color="auto"/>
              <w:right w:val="single" w:sz="4" w:space="0" w:color="auto"/>
            </w:tcBorders>
            <w:shd w:val="clear" w:color="auto" w:fill="auto"/>
            <w:noWrap/>
          </w:tcPr>
          <w:p w14:paraId="424611F4" w14:textId="6AA1BA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0.111</w:t>
            </w:r>
          </w:p>
        </w:tc>
        <w:tc>
          <w:tcPr>
            <w:tcW w:w="1111" w:type="dxa"/>
            <w:tcBorders>
              <w:top w:val="nil"/>
              <w:left w:val="nil"/>
              <w:bottom w:val="single" w:sz="4" w:space="0" w:color="auto"/>
              <w:right w:val="single" w:sz="4" w:space="0" w:color="auto"/>
            </w:tcBorders>
            <w:shd w:val="clear" w:color="auto" w:fill="auto"/>
            <w:noWrap/>
          </w:tcPr>
          <w:p w14:paraId="152B989B" w14:textId="59813AC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0.114%</w:t>
            </w:r>
          </w:p>
        </w:tc>
        <w:tc>
          <w:tcPr>
            <w:tcW w:w="1305" w:type="dxa"/>
            <w:tcBorders>
              <w:top w:val="nil"/>
              <w:left w:val="nil"/>
              <w:bottom w:val="single" w:sz="4" w:space="0" w:color="auto"/>
              <w:right w:val="single" w:sz="4" w:space="0" w:color="auto"/>
            </w:tcBorders>
          </w:tcPr>
          <w:p w14:paraId="627E83E1" w14:textId="7F1428F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5,629</w:t>
            </w:r>
          </w:p>
        </w:tc>
        <w:tc>
          <w:tcPr>
            <w:tcW w:w="1306" w:type="dxa"/>
            <w:tcBorders>
              <w:top w:val="nil"/>
              <w:left w:val="single" w:sz="4" w:space="0" w:color="auto"/>
              <w:bottom w:val="single" w:sz="4" w:space="0" w:color="auto"/>
              <w:right w:val="single" w:sz="4" w:space="0" w:color="auto"/>
            </w:tcBorders>
            <w:shd w:val="clear" w:color="auto" w:fill="auto"/>
            <w:noWrap/>
          </w:tcPr>
          <w:p w14:paraId="448A396A" w14:textId="47C4C3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5,435</w:t>
            </w:r>
          </w:p>
        </w:tc>
        <w:tc>
          <w:tcPr>
            <w:tcW w:w="1305" w:type="dxa"/>
            <w:tcBorders>
              <w:top w:val="nil"/>
              <w:left w:val="nil"/>
              <w:bottom w:val="single" w:sz="4" w:space="0" w:color="auto"/>
              <w:right w:val="single" w:sz="4" w:space="0" w:color="auto"/>
            </w:tcBorders>
            <w:shd w:val="clear" w:color="auto" w:fill="auto"/>
            <w:noWrap/>
          </w:tcPr>
          <w:p w14:paraId="05C97FD0" w14:textId="6C8FB5C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5,581</w:t>
            </w:r>
          </w:p>
        </w:tc>
        <w:tc>
          <w:tcPr>
            <w:tcW w:w="1306" w:type="dxa"/>
            <w:tcBorders>
              <w:top w:val="nil"/>
              <w:left w:val="nil"/>
              <w:bottom w:val="single" w:sz="4" w:space="0" w:color="auto"/>
              <w:right w:val="single" w:sz="4" w:space="0" w:color="auto"/>
            </w:tcBorders>
            <w:shd w:val="clear" w:color="auto" w:fill="auto"/>
            <w:noWrap/>
          </w:tcPr>
          <w:p w14:paraId="1E38FC0C" w14:textId="603DBCA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5,851</w:t>
            </w:r>
          </w:p>
        </w:tc>
      </w:tr>
      <w:tr w:rsidR="0020791D" w:rsidRPr="001D42CA" w14:paraId="3CD5B625" w14:textId="297188C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27947C0" w14:textId="714E413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Pakistan</w:t>
            </w:r>
          </w:p>
        </w:tc>
        <w:tc>
          <w:tcPr>
            <w:tcW w:w="1111" w:type="dxa"/>
            <w:tcBorders>
              <w:top w:val="nil"/>
              <w:left w:val="nil"/>
              <w:bottom w:val="single" w:sz="4" w:space="0" w:color="auto"/>
              <w:right w:val="single" w:sz="4" w:space="0" w:color="auto"/>
            </w:tcBorders>
            <w:shd w:val="clear" w:color="auto" w:fill="auto"/>
            <w:noWrap/>
          </w:tcPr>
          <w:p w14:paraId="01C24EDF" w14:textId="6228B47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0.114</w:t>
            </w:r>
          </w:p>
        </w:tc>
        <w:tc>
          <w:tcPr>
            <w:tcW w:w="1111" w:type="dxa"/>
            <w:tcBorders>
              <w:top w:val="nil"/>
              <w:left w:val="nil"/>
              <w:bottom w:val="single" w:sz="4" w:space="0" w:color="auto"/>
              <w:right w:val="single" w:sz="4" w:space="0" w:color="auto"/>
            </w:tcBorders>
            <w:shd w:val="clear" w:color="auto" w:fill="auto"/>
            <w:noWrap/>
          </w:tcPr>
          <w:p w14:paraId="16586462" w14:textId="4E9F4E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0.117%</w:t>
            </w:r>
          </w:p>
        </w:tc>
        <w:tc>
          <w:tcPr>
            <w:tcW w:w="1305" w:type="dxa"/>
            <w:tcBorders>
              <w:top w:val="nil"/>
              <w:left w:val="nil"/>
              <w:bottom w:val="single" w:sz="4" w:space="0" w:color="auto"/>
              <w:right w:val="single" w:sz="4" w:space="0" w:color="auto"/>
            </w:tcBorders>
          </w:tcPr>
          <w:p w14:paraId="620C147B" w14:textId="437390E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5,629</w:t>
            </w:r>
          </w:p>
        </w:tc>
        <w:tc>
          <w:tcPr>
            <w:tcW w:w="1306" w:type="dxa"/>
            <w:tcBorders>
              <w:top w:val="nil"/>
              <w:left w:val="single" w:sz="4" w:space="0" w:color="auto"/>
              <w:bottom w:val="single" w:sz="4" w:space="0" w:color="auto"/>
              <w:right w:val="single" w:sz="4" w:space="0" w:color="auto"/>
            </w:tcBorders>
            <w:shd w:val="clear" w:color="auto" w:fill="auto"/>
            <w:noWrap/>
          </w:tcPr>
          <w:p w14:paraId="580FC3E2" w14:textId="2A96461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5,582</w:t>
            </w:r>
          </w:p>
        </w:tc>
        <w:tc>
          <w:tcPr>
            <w:tcW w:w="1305" w:type="dxa"/>
            <w:tcBorders>
              <w:top w:val="nil"/>
              <w:left w:val="nil"/>
              <w:bottom w:val="single" w:sz="4" w:space="0" w:color="auto"/>
              <w:right w:val="single" w:sz="4" w:space="0" w:color="auto"/>
            </w:tcBorders>
            <w:shd w:val="clear" w:color="auto" w:fill="auto"/>
            <w:noWrap/>
          </w:tcPr>
          <w:p w14:paraId="6FDAA7D5" w14:textId="3B62167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5,731</w:t>
            </w:r>
          </w:p>
        </w:tc>
        <w:tc>
          <w:tcPr>
            <w:tcW w:w="1306" w:type="dxa"/>
            <w:tcBorders>
              <w:top w:val="nil"/>
              <w:left w:val="nil"/>
              <w:bottom w:val="single" w:sz="4" w:space="0" w:color="auto"/>
              <w:right w:val="single" w:sz="4" w:space="0" w:color="auto"/>
            </w:tcBorders>
            <w:shd w:val="clear" w:color="auto" w:fill="auto"/>
            <w:noWrap/>
          </w:tcPr>
          <w:p w14:paraId="3265923D" w14:textId="3D04D7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6,009</w:t>
            </w:r>
          </w:p>
        </w:tc>
      </w:tr>
      <w:tr w:rsidR="0020791D" w:rsidRPr="001D42CA" w14:paraId="5070E092" w14:textId="527681B1"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DB977E4" w14:textId="45DCF03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Palau</w:t>
            </w:r>
          </w:p>
        </w:tc>
        <w:tc>
          <w:tcPr>
            <w:tcW w:w="1111" w:type="dxa"/>
            <w:tcBorders>
              <w:top w:val="nil"/>
              <w:left w:val="nil"/>
              <w:bottom w:val="single" w:sz="4" w:space="0" w:color="auto"/>
              <w:right w:val="single" w:sz="4" w:space="0" w:color="auto"/>
            </w:tcBorders>
            <w:shd w:val="clear" w:color="auto" w:fill="auto"/>
            <w:noWrap/>
          </w:tcPr>
          <w:p w14:paraId="7F39467B" w14:textId="47F852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5351E92C" w14:textId="1C8BC2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703F1661" w14:textId="438B92D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86B2D02" w14:textId="047AA6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2AA480C" w14:textId="21BE704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99AAF2E" w14:textId="21E743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784A64" w:rsidRPr="001D42CA" w14:paraId="3D3B4F54" w14:textId="77777777" w:rsidTr="00784A64">
        <w:trPr>
          <w:trHeight w:val="276"/>
        </w:trPr>
        <w:tc>
          <w:tcPr>
            <w:tcW w:w="10108" w:type="dxa"/>
            <w:gridSpan w:val="7"/>
            <w:tcBorders>
              <w:top w:val="single" w:sz="4" w:space="0" w:color="auto"/>
            </w:tcBorders>
          </w:tcPr>
          <w:p w14:paraId="3838F93F" w14:textId="3F4A72E9" w:rsidR="00784A64" w:rsidRPr="00E17A64" w:rsidRDefault="00784A64" w:rsidP="0020791D">
            <w:pPr>
              <w:ind w:left="0"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p w14:paraId="6E5D2EF7" w14:textId="77777777" w:rsidR="00784A64" w:rsidRDefault="00784A64" w:rsidP="0020791D">
            <w:pPr>
              <w:ind w:left="0" w:firstLine="0"/>
              <w:rPr>
                <w:rFonts w:asciiTheme="minorHAnsi" w:eastAsia="Times New Roman" w:hAnsiTheme="minorHAnsi" w:cs="Arial"/>
                <w:sz w:val="20"/>
                <w:szCs w:val="20"/>
                <w:lang w:eastAsia="en-GB"/>
              </w:rPr>
            </w:pPr>
            <w:r w:rsidRPr="00E73DED">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O</w:t>
            </w:r>
            <w:r w:rsidRPr="00E73DED">
              <w:rPr>
                <w:rFonts w:asciiTheme="minorHAnsi" w:eastAsia="Times New Roman" w:hAnsiTheme="minorHAnsi" w:cs="Arial"/>
                <w:sz w:val="20"/>
                <w:szCs w:val="20"/>
                <w:lang w:eastAsia="en-GB"/>
              </w:rPr>
              <w:t xml:space="preserve">nly for 2025, while 2023 and 2024 </w:t>
            </w:r>
            <w:r>
              <w:rPr>
                <w:rFonts w:asciiTheme="minorHAnsi" w:eastAsia="Times New Roman" w:hAnsiTheme="minorHAnsi" w:cs="Arial"/>
                <w:sz w:val="20"/>
                <w:szCs w:val="20"/>
                <w:lang w:eastAsia="en-GB"/>
              </w:rPr>
              <w:t xml:space="preserve">are </w:t>
            </w:r>
            <w:r w:rsidRPr="00E73DED">
              <w:rPr>
                <w:rFonts w:asciiTheme="minorHAnsi" w:eastAsia="Times New Roman" w:hAnsiTheme="minorHAnsi" w:cs="Arial"/>
                <w:sz w:val="20"/>
                <w:szCs w:val="20"/>
                <w:lang w:eastAsia="en-GB"/>
              </w:rPr>
              <w:t>the same as Scenario B</w:t>
            </w:r>
            <w:r>
              <w:rPr>
                <w:rFonts w:asciiTheme="minorHAnsi" w:eastAsia="Times New Roman" w:hAnsiTheme="minorHAnsi" w:cs="Arial"/>
                <w:sz w:val="20"/>
                <w:szCs w:val="20"/>
                <w:lang w:eastAsia="en-GB"/>
              </w:rPr>
              <w:t>.</w:t>
            </w:r>
          </w:p>
          <w:p w14:paraId="7CBEC292" w14:textId="7E5A6EE4" w:rsidR="00784A64" w:rsidRPr="000519D4" w:rsidRDefault="00784A64" w:rsidP="0020791D">
            <w:pPr>
              <w:ind w:left="0" w:firstLine="0"/>
              <w:rPr>
                <w:rFonts w:asciiTheme="minorHAnsi" w:hAnsiTheme="minorHAnsi" w:cstheme="minorHAnsi"/>
                <w:sz w:val="20"/>
                <w:szCs w:val="20"/>
              </w:rPr>
            </w:pPr>
          </w:p>
        </w:tc>
      </w:tr>
      <w:tr w:rsidR="0020791D" w:rsidRPr="001D42CA" w14:paraId="3C05418F" w14:textId="7777777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F91E46" w14:textId="7777777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lastRenderedPageBreak/>
              <w:t>Panama</w:t>
            </w:r>
          </w:p>
        </w:tc>
        <w:tc>
          <w:tcPr>
            <w:tcW w:w="1111" w:type="dxa"/>
            <w:tcBorders>
              <w:top w:val="nil"/>
              <w:left w:val="nil"/>
              <w:bottom w:val="single" w:sz="4" w:space="0" w:color="auto"/>
              <w:right w:val="single" w:sz="4" w:space="0" w:color="auto"/>
            </w:tcBorders>
            <w:shd w:val="clear" w:color="auto" w:fill="auto"/>
            <w:noWrap/>
          </w:tcPr>
          <w:p w14:paraId="2B0B61FC" w14:textId="777777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0.090</w:t>
            </w:r>
          </w:p>
        </w:tc>
        <w:tc>
          <w:tcPr>
            <w:tcW w:w="1111" w:type="dxa"/>
            <w:tcBorders>
              <w:top w:val="nil"/>
              <w:left w:val="nil"/>
              <w:bottom w:val="single" w:sz="4" w:space="0" w:color="auto"/>
              <w:right w:val="single" w:sz="4" w:space="0" w:color="auto"/>
            </w:tcBorders>
            <w:shd w:val="clear" w:color="auto" w:fill="auto"/>
            <w:noWrap/>
          </w:tcPr>
          <w:p w14:paraId="6EBAD271" w14:textId="777777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0.092%</w:t>
            </w:r>
          </w:p>
        </w:tc>
        <w:tc>
          <w:tcPr>
            <w:tcW w:w="1305" w:type="dxa"/>
            <w:tcBorders>
              <w:top w:val="nil"/>
              <w:left w:val="nil"/>
              <w:bottom w:val="single" w:sz="4" w:space="0" w:color="auto"/>
              <w:right w:val="single" w:sz="4" w:space="0" w:color="auto"/>
            </w:tcBorders>
          </w:tcPr>
          <w:p w14:paraId="212DBB24" w14:textId="0351ECF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2,203</w:t>
            </w:r>
          </w:p>
        </w:tc>
        <w:tc>
          <w:tcPr>
            <w:tcW w:w="1306" w:type="dxa"/>
            <w:tcBorders>
              <w:top w:val="nil"/>
              <w:left w:val="single" w:sz="4" w:space="0" w:color="auto"/>
              <w:bottom w:val="single" w:sz="4" w:space="0" w:color="auto"/>
              <w:right w:val="single" w:sz="4" w:space="0" w:color="auto"/>
            </w:tcBorders>
            <w:shd w:val="clear" w:color="auto" w:fill="auto"/>
            <w:noWrap/>
          </w:tcPr>
          <w:p w14:paraId="10282759" w14:textId="484BDB6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4,407</w:t>
            </w:r>
          </w:p>
        </w:tc>
        <w:tc>
          <w:tcPr>
            <w:tcW w:w="1305" w:type="dxa"/>
            <w:tcBorders>
              <w:top w:val="nil"/>
              <w:left w:val="nil"/>
              <w:bottom w:val="single" w:sz="4" w:space="0" w:color="auto"/>
              <w:right w:val="single" w:sz="4" w:space="0" w:color="auto"/>
            </w:tcBorders>
            <w:shd w:val="clear" w:color="auto" w:fill="auto"/>
            <w:noWrap/>
          </w:tcPr>
          <w:p w14:paraId="6F7A4331" w14:textId="777777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4,525</w:t>
            </w:r>
          </w:p>
        </w:tc>
        <w:tc>
          <w:tcPr>
            <w:tcW w:w="1306" w:type="dxa"/>
            <w:tcBorders>
              <w:top w:val="nil"/>
              <w:left w:val="nil"/>
              <w:bottom w:val="single" w:sz="4" w:space="0" w:color="auto"/>
              <w:right w:val="single" w:sz="4" w:space="0" w:color="auto"/>
            </w:tcBorders>
            <w:shd w:val="clear" w:color="auto" w:fill="auto"/>
            <w:noWrap/>
          </w:tcPr>
          <w:p w14:paraId="4070A20A" w14:textId="777777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4,744</w:t>
            </w:r>
          </w:p>
        </w:tc>
      </w:tr>
      <w:tr w:rsidR="0020791D" w:rsidRPr="001D42CA" w14:paraId="0D9C695F" w14:textId="0B0F4F0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C013D21" w14:textId="69078A0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Papua New Guinea</w:t>
            </w:r>
          </w:p>
        </w:tc>
        <w:tc>
          <w:tcPr>
            <w:tcW w:w="1111" w:type="dxa"/>
            <w:tcBorders>
              <w:top w:val="nil"/>
              <w:left w:val="nil"/>
              <w:bottom w:val="single" w:sz="4" w:space="0" w:color="auto"/>
              <w:right w:val="single" w:sz="4" w:space="0" w:color="auto"/>
            </w:tcBorders>
            <w:shd w:val="clear" w:color="auto" w:fill="auto"/>
            <w:noWrap/>
          </w:tcPr>
          <w:p w14:paraId="7692EA2F" w14:textId="6147B2E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7D2F0D0C" w14:textId="16A7C2E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79CD8F9E" w14:textId="78FC12D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1148EDB" w14:textId="727126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CB92705" w14:textId="0E5C030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61AE540" w14:textId="7AEC588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2394D34A" w14:textId="3A47A7F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48314D6" w14:textId="273C270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Paraguay</w:t>
            </w:r>
          </w:p>
        </w:tc>
        <w:tc>
          <w:tcPr>
            <w:tcW w:w="1111" w:type="dxa"/>
            <w:tcBorders>
              <w:top w:val="nil"/>
              <w:left w:val="nil"/>
              <w:bottom w:val="single" w:sz="4" w:space="0" w:color="auto"/>
              <w:right w:val="single" w:sz="4" w:space="0" w:color="auto"/>
            </w:tcBorders>
            <w:shd w:val="clear" w:color="auto" w:fill="auto"/>
            <w:noWrap/>
          </w:tcPr>
          <w:p w14:paraId="73C33FD6" w14:textId="49B2A1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0.026</w:t>
            </w:r>
          </w:p>
        </w:tc>
        <w:tc>
          <w:tcPr>
            <w:tcW w:w="1111" w:type="dxa"/>
            <w:tcBorders>
              <w:top w:val="nil"/>
              <w:left w:val="nil"/>
              <w:bottom w:val="single" w:sz="4" w:space="0" w:color="auto"/>
              <w:right w:val="single" w:sz="4" w:space="0" w:color="auto"/>
            </w:tcBorders>
            <w:shd w:val="clear" w:color="auto" w:fill="auto"/>
            <w:noWrap/>
          </w:tcPr>
          <w:p w14:paraId="2474FCBD" w14:textId="64EF155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0.027%</w:t>
            </w:r>
          </w:p>
        </w:tc>
        <w:tc>
          <w:tcPr>
            <w:tcW w:w="1305" w:type="dxa"/>
            <w:tcBorders>
              <w:top w:val="nil"/>
              <w:left w:val="nil"/>
              <w:bottom w:val="single" w:sz="4" w:space="0" w:color="auto"/>
              <w:right w:val="single" w:sz="4" w:space="0" w:color="auto"/>
            </w:tcBorders>
          </w:tcPr>
          <w:p w14:paraId="00A9B3D9" w14:textId="04286CAA"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710AC36" w14:textId="5E0BAAF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1,273</w:t>
            </w:r>
          </w:p>
        </w:tc>
        <w:tc>
          <w:tcPr>
            <w:tcW w:w="1305" w:type="dxa"/>
            <w:tcBorders>
              <w:top w:val="nil"/>
              <w:left w:val="nil"/>
              <w:bottom w:val="single" w:sz="4" w:space="0" w:color="auto"/>
              <w:right w:val="single" w:sz="4" w:space="0" w:color="auto"/>
            </w:tcBorders>
            <w:shd w:val="clear" w:color="auto" w:fill="auto"/>
            <w:noWrap/>
          </w:tcPr>
          <w:p w14:paraId="15AB6D62" w14:textId="1CD938D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1,307</w:t>
            </w:r>
          </w:p>
        </w:tc>
        <w:tc>
          <w:tcPr>
            <w:tcW w:w="1306" w:type="dxa"/>
            <w:tcBorders>
              <w:top w:val="nil"/>
              <w:left w:val="nil"/>
              <w:bottom w:val="single" w:sz="4" w:space="0" w:color="auto"/>
              <w:right w:val="single" w:sz="4" w:space="0" w:color="auto"/>
            </w:tcBorders>
            <w:shd w:val="clear" w:color="auto" w:fill="auto"/>
            <w:noWrap/>
          </w:tcPr>
          <w:p w14:paraId="6C90134D" w14:textId="546667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1,371</w:t>
            </w:r>
          </w:p>
        </w:tc>
      </w:tr>
      <w:tr w:rsidR="0020791D" w:rsidRPr="001D42CA" w14:paraId="162F7D42" w14:textId="32F1BFA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F7A7269" w14:textId="7F6E647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Peru</w:t>
            </w:r>
          </w:p>
        </w:tc>
        <w:tc>
          <w:tcPr>
            <w:tcW w:w="1111" w:type="dxa"/>
            <w:tcBorders>
              <w:top w:val="nil"/>
              <w:left w:val="nil"/>
              <w:bottom w:val="single" w:sz="4" w:space="0" w:color="auto"/>
              <w:right w:val="single" w:sz="4" w:space="0" w:color="auto"/>
            </w:tcBorders>
            <w:shd w:val="clear" w:color="auto" w:fill="auto"/>
            <w:noWrap/>
          </w:tcPr>
          <w:p w14:paraId="3783E649" w14:textId="49115B4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0.163</w:t>
            </w:r>
          </w:p>
        </w:tc>
        <w:tc>
          <w:tcPr>
            <w:tcW w:w="1111" w:type="dxa"/>
            <w:tcBorders>
              <w:top w:val="nil"/>
              <w:left w:val="nil"/>
              <w:bottom w:val="single" w:sz="4" w:space="0" w:color="auto"/>
              <w:right w:val="single" w:sz="4" w:space="0" w:color="auto"/>
            </w:tcBorders>
            <w:shd w:val="clear" w:color="auto" w:fill="auto"/>
            <w:noWrap/>
          </w:tcPr>
          <w:p w14:paraId="5A264494" w14:textId="39E6E2F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0.167%</w:t>
            </w:r>
          </w:p>
        </w:tc>
        <w:tc>
          <w:tcPr>
            <w:tcW w:w="1305" w:type="dxa"/>
            <w:tcBorders>
              <w:top w:val="nil"/>
              <w:left w:val="nil"/>
              <w:bottom w:val="single" w:sz="4" w:space="0" w:color="auto"/>
              <w:right w:val="single" w:sz="4" w:space="0" w:color="auto"/>
            </w:tcBorders>
          </w:tcPr>
          <w:p w14:paraId="0E37547C" w14:textId="1DDD67D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7,440</w:t>
            </w:r>
          </w:p>
        </w:tc>
        <w:tc>
          <w:tcPr>
            <w:tcW w:w="1306" w:type="dxa"/>
            <w:tcBorders>
              <w:top w:val="nil"/>
              <w:left w:val="single" w:sz="4" w:space="0" w:color="auto"/>
              <w:bottom w:val="single" w:sz="4" w:space="0" w:color="auto"/>
              <w:right w:val="single" w:sz="4" w:space="0" w:color="auto"/>
            </w:tcBorders>
            <w:shd w:val="clear" w:color="auto" w:fill="auto"/>
            <w:noWrap/>
          </w:tcPr>
          <w:p w14:paraId="0921B53D" w14:textId="09654C9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7,981</w:t>
            </w:r>
          </w:p>
        </w:tc>
        <w:tc>
          <w:tcPr>
            <w:tcW w:w="1305" w:type="dxa"/>
            <w:tcBorders>
              <w:top w:val="nil"/>
              <w:left w:val="nil"/>
              <w:bottom w:val="single" w:sz="4" w:space="0" w:color="auto"/>
              <w:right w:val="single" w:sz="4" w:space="0" w:color="auto"/>
            </w:tcBorders>
            <w:shd w:val="clear" w:color="auto" w:fill="auto"/>
            <w:noWrap/>
          </w:tcPr>
          <w:p w14:paraId="6D32A5F8" w14:textId="179B199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8,195</w:t>
            </w:r>
          </w:p>
        </w:tc>
        <w:tc>
          <w:tcPr>
            <w:tcW w:w="1306" w:type="dxa"/>
            <w:tcBorders>
              <w:top w:val="nil"/>
              <w:left w:val="nil"/>
              <w:bottom w:val="single" w:sz="4" w:space="0" w:color="auto"/>
              <w:right w:val="single" w:sz="4" w:space="0" w:color="auto"/>
            </w:tcBorders>
            <w:shd w:val="clear" w:color="auto" w:fill="auto"/>
            <w:noWrap/>
          </w:tcPr>
          <w:p w14:paraId="4B161FDE" w14:textId="34323F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8,592</w:t>
            </w:r>
          </w:p>
        </w:tc>
      </w:tr>
      <w:tr w:rsidR="0020791D" w:rsidRPr="001D42CA" w14:paraId="2D3D4EE4" w14:textId="00D37EF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6E4FBA8" w14:textId="44177FE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Philippines</w:t>
            </w:r>
          </w:p>
        </w:tc>
        <w:tc>
          <w:tcPr>
            <w:tcW w:w="1111" w:type="dxa"/>
            <w:tcBorders>
              <w:top w:val="nil"/>
              <w:left w:val="nil"/>
              <w:bottom w:val="single" w:sz="4" w:space="0" w:color="auto"/>
              <w:right w:val="single" w:sz="4" w:space="0" w:color="auto"/>
            </w:tcBorders>
            <w:shd w:val="clear" w:color="auto" w:fill="auto"/>
            <w:noWrap/>
          </w:tcPr>
          <w:p w14:paraId="09973C18" w14:textId="549245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0.212</w:t>
            </w:r>
          </w:p>
        </w:tc>
        <w:tc>
          <w:tcPr>
            <w:tcW w:w="1111" w:type="dxa"/>
            <w:tcBorders>
              <w:top w:val="nil"/>
              <w:left w:val="nil"/>
              <w:bottom w:val="single" w:sz="4" w:space="0" w:color="auto"/>
              <w:right w:val="single" w:sz="4" w:space="0" w:color="auto"/>
            </w:tcBorders>
            <w:shd w:val="clear" w:color="auto" w:fill="auto"/>
            <w:noWrap/>
          </w:tcPr>
          <w:p w14:paraId="09E912F4" w14:textId="0A7AE99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0.218%</w:t>
            </w:r>
          </w:p>
        </w:tc>
        <w:tc>
          <w:tcPr>
            <w:tcW w:w="1305" w:type="dxa"/>
            <w:tcBorders>
              <w:top w:val="nil"/>
              <w:left w:val="nil"/>
              <w:bottom w:val="single" w:sz="4" w:space="0" w:color="auto"/>
              <w:right w:val="single" w:sz="4" w:space="0" w:color="auto"/>
            </w:tcBorders>
          </w:tcPr>
          <w:p w14:paraId="4A36E02E" w14:textId="51E456E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10,034</w:t>
            </w:r>
          </w:p>
        </w:tc>
        <w:tc>
          <w:tcPr>
            <w:tcW w:w="1306" w:type="dxa"/>
            <w:tcBorders>
              <w:top w:val="nil"/>
              <w:left w:val="single" w:sz="4" w:space="0" w:color="auto"/>
              <w:bottom w:val="single" w:sz="4" w:space="0" w:color="auto"/>
              <w:right w:val="single" w:sz="4" w:space="0" w:color="auto"/>
            </w:tcBorders>
            <w:shd w:val="clear" w:color="auto" w:fill="auto"/>
            <w:noWrap/>
          </w:tcPr>
          <w:p w14:paraId="4D88D0E3" w14:textId="7BB0D7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10,380</w:t>
            </w:r>
          </w:p>
        </w:tc>
        <w:tc>
          <w:tcPr>
            <w:tcW w:w="1305" w:type="dxa"/>
            <w:tcBorders>
              <w:top w:val="nil"/>
              <w:left w:val="nil"/>
              <w:bottom w:val="single" w:sz="4" w:space="0" w:color="auto"/>
              <w:right w:val="single" w:sz="4" w:space="0" w:color="auto"/>
            </w:tcBorders>
            <w:shd w:val="clear" w:color="auto" w:fill="auto"/>
            <w:noWrap/>
          </w:tcPr>
          <w:p w14:paraId="14C281CA" w14:textId="7C02AA3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10,658</w:t>
            </w:r>
          </w:p>
        </w:tc>
        <w:tc>
          <w:tcPr>
            <w:tcW w:w="1306" w:type="dxa"/>
            <w:tcBorders>
              <w:top w:val="nil"/>
              <w:left w:val="nil"/>
              <w:bottom w:val="single" w:sz="4" w:space="0" w:color="auto"/>
              <w:right w:val="single" w:sz="4" w:space="0" w:color="auto"/>
            </w:tcBorders>
            <w:shd w:val="clear" w:color="auto" w:fill="auto"/>
            <w:noWrap/>
          </w:tcPr>
          <w:p w14:paraId="04F9D663" w14:textId="0D49A4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11,175</w:t>
            </w:r>
          </w:p>
        </w:tc>
      </w:tr>
      <w:tr w:rsidR="0020791D" w:rsidRPr="001D42CA" w14:paraId="03C6AD22" w14:textId="5B0AC5C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4085606" w14:textId="47463EA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Poland</w:t>
            </w:r>
          </w:p>
        </w:tc>
        <w:tc>
          <w:tcPr>
            <w:tcW w:w="1111" w:type="dxa"/>
            <w:tcBorders>
              <w:top w:val="nil"/>
              <w:left w:val="nil"/>
              <w:bottom w:val="single" w:sz="4" w:space="0" w:color="auto"/>
              <w:right w:val="single" w:sz="4" w:space="0" w:color="auto"/>
            </w:tcBorders>
            <w:shd w:val="clear" w:color="auto" w:fill="auto"/>
            <w:noWrap/>
          </w:tcPr>
          <w:p w14:paraId="6ED8EBCF" w14:textId="6CDF3C3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0.837</w:t>
            </w:r>
          </w:p>
        </w:tc>
        <w:tc>
          <w:tcPr>
            <w:tcW w:w="1111" w:type="dxa"/>
            <w:tcBorders>
              <w:top w:val="nil"/>
              <w:left w:val="nil"/>
              <w:bottom w:val="single" w:sz="4" w:space="0" w:color="auto"/>
              <w:right w:val="single" w:sz="4" w:space="0" w:color="auto"/>
            </w:tcBorders>
            <w:shd w:val="clear" w:color="auto" w:fill="auto"/>
            <w:noWrap/>
          </w:tcPr>
          <w:p w14:paraId="12DB56EB" w14:textId="4B156A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0.859%</w:t>
            </w:r>
          </w:p>
        </w:tc>
        <w:tc>
          <w:tcPr>
            <w:tcW w:w="1305" w:type="dxa"/>
            <w:tcBorders>
              <w:top w:val="nil"/>
              <w:left w:val="nil"/>
              <w:bottom w:val="single" w:sz="4" w:space="0" w:color="auto"/>
              <w:right w:val="single" w:sz="4" w:space="0" w:color="auto"/>
            </w:tcBorders>
          </w:tcPr>
          <w:p w14:paraId="4A423E83" w14:textId="3FE79D1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39,255</w:t>
            </w:r>
          </w:p>
        </w:tc>
        <w:tc>
          <w:tcPr>
            <w:tcW w:w="1306" w:type="dxa"/>
            <w:tcBorders>
              <w:top w:val="nil"/>
              <w:left w:val="single" w:sz="4" w:space="0" w:color="auto"/>
              <w:bottom w:val="single" w:sz="4" w:space="0" w:color="auto"/>
              <w:right w:val="single" w:sz="4" w:space="0" w:color="auto"/>
            </w:tcBorders>
            <w:shd w:val="clear" w:color="auto" w:fill="auto"/>
            <w:noWrap/>
          </w:tcPr>
          <w:p w14:paraId="03A22C73" w14:textId="36432DD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40,982</w:t>
            </w:r>
          </w:p>
        </w:tc>
        <w:tc>
          <w:tcPr>
            <w:tcW w:w="1305" w:type="dxa"/>
            <w:tcBorders>
              <w:top w:val="nil"/>
              <w:left w:val="nil"/>
              <w:bottom w:val="single" w:sz="4" w:space="0" w:color="auto"/>
              <w:right w:val="single" w:sz="4" w:space="0" w:color="auto"/>
            </w:tcBorders>
            <w:shd w:val="clear" w:color="auto" w:fill="auto"/>
            <w:noWrap/>
          </w:tcPr>
          <w:p w14:paraId="7F8FD84B" w14:textId="09F40E2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42,080</w:t>
            </w:r>
          </w:p>
        </w:tc>
        <w:tc>
          <w:tcPr>
            <w:tcW w:w="1306" w:type="dxa"/>
            <w:tcBorders>
              <w:top w:val="nil"/>
              <w:left w:val="nil"/>
              <w:bottom w:val="single" w:sz="4" w:space="0" w:color="auto"/>
              <w:right w:val="single" w:sz="4" w:space="0" w:color="auto"/>
            </w:tcBorders>
            <w:shd w:val="clear" w:color="auto" w:fill="auto"/>
            <w:noWrap/>
          </w:tcPr>
          <w:p w14:paraId="4C69AF01" w14:textId="72D078F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44,121</w:t>
            </w:r>
          </w:p>
        </w:tc>
      </w:tr>
      <w:tr w:rsidR="0020791D" w:rsidRPr="001D42CA" w14:paraId="71F19A0E" w14:textId="05AD7D2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ECA1C1" w14:textId="317AE7D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Portugal</w:t>
            </w:r>
          </w:p>
        </w:tc>
        <w:tc>
          <w:tcPr>
            <w:tcW w:w="1111" w:type="dxa"/>
            <w:tcBorders>
              <w:top w:val="nil"/>
              <w:left w:val="nil"/>
              <w:bottom w:val="single" w:sz="4" w:space="0" w:color="auto"/>
              <w:right w:val="single" w:sz="4" w:space="0" w:color="auto"/>
            </w:tcBorders>
            <w:shd w:val="clear" w:color="auto" w:fill="auto"/>
            <w:noWrap/>
          </w:tcPr>
          <w:p w14:paraId="4C064FFD" w14:textId="531E1D4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0.353</w:t>
            </w:r>
          </w:p>
        </w:tc>
        <w:tc>
          <w:tcPr>
            <w:tcW w:w="1111" w:type="dxa"/>
            <w:tcBorders>
              <w:top w:val="nil"/>
              <w:left w:val="nil"/>
              <w:bottom w:val="single" w:sz="4" w:space="0" w:color="auto"/>
              <w:right w:val="single" w:sz="4" w:space="0" w:color="auto"/>
            </w:tcBorders>
            <w:shd w:val="clear" w:color="auto" w:fill="auto"/>
            <w:noWrap/>
          </w:tcPr>
          <w:p w14:paraId="293785E3" w14:textId="4555AFF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0.362%</w:t>
            </w:r>
          </w:p>
        </w:tc>
        <w:tc>
          <w:tcPr>
            <w:tcW w:w="1305" w:type="dxa"/>
            <w:tcBorders>
              <w:top w:val="nil"/>
              <w:left w:val="nil"/>
              <w:bottom w:val="single" w:sz="4" w:space="0" w:color="auto"/>
              <w:right w:val="single" w:sz="4" w:space="0" w:color="auto"/>
            </w:tcBorders>
          </w:tcPr>
          <w:p w14:paraId="4061E5B8" w14:textId="338135E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17,131</w:t>
            </w:r>
          </w:p>
        </w:tc>
        <w:tc>
          <w:tcPr>
            <w:tcW w:w="1306" w:type="dxa"/>
            <w:tcBorders>
              <w:top w:val="nil"/>
              <w:left w:val="single" w:sz="4" w:space="0" w:color="auto"/>
              <w:bottom w:val="single" w:sz="4" w:space="0" w:color="auto"/>
              <w:right w:val="single" w:sz="4" w:space="0" w:color="auto"/>
            </w:tcBorders>
            <w:shd w:val="clear" w:color="auto" w:fill="auto"/>
            <w:noWrap/>
          </w:tcPr>
          <w:p w14:paraId="52181B4C" w14:textId="6A6504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17,284</w:t>
            </w:r>
          </w:p>
        </w:tc>
        <w:tc>
          <w:tcPr>
            <w:tcW w:w="1305" w:type="dxa"/>
            <w:tcBorders>
              <w:top w:val="nil"/>
              <w:left w:val="nil"/>
              <w:bottom w:val="single" w:sz="4" w:space="0" w:color="auto"/>
              <w:right w:val="single" w:sz="4" w:space="0" w:color="auto"/>
            </w:tcBorders>
            <w:shd w:val="clear" w:color="auto" w:fill="auto"/>
            <w:noWrap/>
          </w:tcPr>
          <w:p w14:paraId="01DC178B" w14:textId="01E6C89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17,747</w:t>
            </w:r>
          </w:p>
        </w:tc>
        <w:tc>
          <w:tcPr>
            <w:tcW w:w="1306" w:type="dxa"/>
            <w:tcBorders>
              <w:top w:val="nil"/>
              <w:left w:val="nil"/>
              <w:bottom w:val="single" w:sz="4" w:space="0" w:color="auto"/>
              <w:right w:val="single" w:sz="4" w:space="0" w:color="auto"/>
            </w:tcBorders>
            <w:shd w:val="clear" w:color="auto" w:fill="auto"/>
            <w:noWrap/>
          </w:tcPr>
          <w:p w14:paraId="737FD64E" w14:textId="0DA9722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18,608</w:t>
            </w:r>
          </w:p>
        </w:tc>
      </w:tr>
      <w:tr w:rsidR="0020791D" w:rsidRPr="001D42CA" w14:paraId="3BB506BE" w14:textId="1CBF770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AFF495" w14:textId="7E506F9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Republic of Korea</w:t>
            </w:r>
          </w:p>
        </w:tc>
        <w:tc>
          <w:tcPr>
            <w:tcW w:w="1111" w:type="dxa"/>
            <w:tcBorders>
              <w:top w:val="nil"/>
              <w:left w:val="nil"/>
              <w:bottom w:val="single" w:sz="4" w:space="0" w:color="auto"/>
              <w:right w:val="single" w:sz="4" w:space="0" w:color="auto"/>
            </w:tcBorders>
            <w:shd w:val="clear" w:color="auto" w:fill="auto"/>
            <w:noWrap/>
          </w:tcPr>
          <w:p w14:paraId="6546EEBD" w14:textId="6ED5713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2.574</w:t>
            </w:r>
          </w:p>
        </w:tc>
        <w:tc>
          <w:tcPr>
            <w:tcW w:w="1111" w:type="dxa"/>
            <w:tcBorders>
              <w:top w:val="nil"/>
              <w:left w:val="nil"/>
              <w:bottom w:val="single" w:sz="4" w:space="0" w:color="auto"/>
              <w:right w:val="single" w:sz="4" w:space="0" w:color="auto"/>
            </w:tcBorders>
            <w:shd w:val="clear" w:color="auto" w:fill="auto"/>
            <w:noWrap/>
          </w:tcPr>
          <w:p w14:paraId="6D41B71A" w14:textId="0D65D7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2.643%</w:t>
            </w:r>
          </w:p>
        </w:tc>
        <w:tc>
          <w:tcPr>
            <w:tcW w:w="1305" w:type="dxa"/>
            <w:tcBorders>
              <w:top w:val="nil"/>
              <w:left w:val="nil"/>
              <w:bottom w:val="single" w:sz="4" w:space="0" w:color="auto"/>
              <w:right w:val="single" w:sz="4" w:space="0" w:color="auto"/>
            </w:tcBorders>
          </w:tcPr>
          <w:p w14:paraId="26421A75" w14:textId="7EFE60A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110,960</w:t>
            </w:r>
          </w:p>
        </w:tc>
        <w:tc>
          <w:tcPr>
            <w:tcW w:w="1306" w:type="dxa"/>
            <w:tcBorders>
              <w:top w:val="nil"/>
              <w:left w:val="single" w:sz="4" w:space="0" w:color="auto"/>
              <w:bottom w:val="single" w:sz="4" w:space="0" w:color="auto"/>
              <w:right w:val="single" w:sz="4" w:space="0" w:color="auto"/>
            </w:tcBorders>
            <w:shd w:val="clear" w:color="auto" w:fill="auto"/>
            <w:noWrap/>
          </w:tcPr>
          <w:p w14:paraId="0D1A569C" w14:textId="06B69A1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126,030</w:t>
            </w:r>
          </w:p>
        </w:tc>
        <w:tc>
          <w:tcPr>
            <w:tcW w:w="1305" w:type="dxa"/>
            <w:tcBorders>
              <w:top w:val="nil"/>
              <w:left w:val="nil"/>
              <w:bottom w:val="single" w:sz="4" w:space="0" w:color="auto"/>
              <w:right w:val="single" w:sz="4" w:space="0" w:color="auto"/>
            </w:tcBorders>
            <w:shd w:val="clear" w:color="auto" w:fill="auto"/>
            <w:noWrap/>
          </w:tcPr>
          <w:p w14:paraId="46796362" w14:textId="7331FF9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129,408</w:t>
            </w:r>
          </w:p>
        </w:tc>
        <w:tc>
          <w:tcPr>
            <w:tcW w:w="1306" w:type="dxa"/>
            <w:tcBorders>
              <w:top w:val="nil"/>
              <w:left w:val="nil"/>
              <w:bottom w:val="single" w:sz="4" w:space="0" w:color="auto"/>
              <w:right w:val="single" w:sz="4" w:space="0" w:color="auto"/>
            </w:tcBorders>
            <w:shd w:val="clear" w:color="auto" w:fill="auto"/>
            <w:noWrap/>
          </w:tcPr>
          <w:p w14:paraId="39E66FBB" w14:textId="60286FC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135,685</w:t>
            </w:r>
          </w:p>
        </w:tc>
      </w:tr>
      <w:tr w:rsidR="0020791D" w:rsidRPr="001D42CA" w14:paraId="47F5222D" w14:textId="0AED6FA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AD0715B" w14:textId="0D5C1BE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 xml:space="preserve">Republic of Moldova </w:t>
            </w:r>
          </w:p>
        </w:tc>
        <w:tc>
          <w:tcPr>
            <w:tcW w:w="1111" w:type="dxa"/>
            <w:tcBorders>
              <w:top w:val="nil"/>
              <w:left w:val="nil"/>
              <w:bottom w:val="single" w:sz="4" w:space="0" w:color="auto"/>
              <w:right w:val="single" w:sz="4" w:space="0" w:color="auto"/>
            </w:tcBorders>
            <w:shd w:val="clear" w:color="auto" w:fill="auto"/>
            <w:noWrap/>
          </w:tcPr>
          <w:p w14:paraId="19996ABB" w14:textId="21A6F4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111" w:type="dxa"/>
            <w:tcBorders>
              <w:top w:val="nil"/>
              <w:left w:val="nil"/>
              <w:bottom w:val="single" w:sz="4" w:space="0" w:color="auto"/>
              <w:right w:val="single" w:sz="4" w:space="0" w:color="auto"/>
            </w:tcBorders>
            <w:shd w:val="clear" w:color="auto" w:fill="auto"/>
            <w:noWrap/>
          </w:tcPr>
          <w:p w14:paraId="2DA04407" w14:textId="1CF8606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0.005%</w:t>
            </w:r>
          </w:p>
        </w:tc>
        <w:tc>
          <w:tcPr>
            <w:tcW w:w="1305" w:type="dxa"/>
            <w:tcBorders>
              <w:top w:val="nil"/>
              <w:left w:val="nil"/>
              <w:bottom w:val="single" w:sz="4" w:space="0" w:color="auto"/>
              <w:right w:val="single" w:sz="4" w:space="0" w:color="auto"/>
            </w:tcBorders>
          </w:tcPr>
          <w:p w14:paraId="2FDCFE49" w14:textId="7FCF7A5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85E8DF1" w14:textId="50FDB38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E7848BD" w14:textId="6BB68E5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78B73F8" w14:textId="557FB72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121BA6F4" w14:textId="0B552BB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22CF436" w14:textId="2ED34DD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Romania</w:t>
            </w:r>
          </w:p>
        </w:tc>
        <w:tc>
          <w:tcPr>
            <w:tcW w:w="1111" w:type="dxa"/>
            <w:tcBorders>
              <w:top w:val="nil"/>
              <w:left w:val="nil"/>
              <w:bottom w:val="single" w:sz="4" w:space="0" w:color="auto"/>
              <w:right w:val="single" w:sz="4" w:space="0" w:color="auto"/>
            </w:tcBorders>
            <w:shd w:val="clear" w:color="auto" w:fill="auto"/>
            <w:noWrap/>
          </w:tcPr>
          <w:p w14:paraId="31A1899E" w14:textId="7B5D468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0.312</w:t>
            </w:r>
          </w:p>
        </w:tc>
        <w:tc>
          <w:tcPr>
            <w:tcW w:w="1111" w:type="dxa"/>
            <w:tcBorders>
              <w:top w:val="nil"/>
              <w:left w:val="nil"/>
              <w:bottom w:val="single" w:sz="4" w:space="0" w:color="auto"/>
              <w:right w:val="single" w:sz="4" w:space="0" w:color="auto"/>
            </w:tcBorders>
            <w:shd w:val="clear" w:color="auto" w:fill="auto"/>
            <w:noWrap/>
          </w:tcPr>
          <w:p w14:paraId="1D294F9D" w14:textId="4468AA8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0.320%</w:t>
            </w:r>
          </w:p>
        </w:tc>
        <w:tc>
          <w:tcPr>
            <w:tcW w:w="1305" w:type="dxa"/>
            <w:tcBorders>
              <w:top w:val="nil"/>
              <w:left w:val="nil"/>
              <w:bottom w:val="single" w:sz="4" w:space="0" w:color="auto"/>
              <w:right w:val="single" w:sz="4" w:space="0" w:color="auto"/>
            </w:tcBorders>
          </w:tcPr>
          <w:p w14:paraId="38FDE882" w14:textId="5594CC3F"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9,691</w:t>
            </w:r>
          </w:p>
        </w:tc>
        <w:tc>
          <w:tcPr>
            <w:tcW w:w="1306" w:type="dxa"/>
            <w:tcBorders>
              <w:top w:val="nil"/>
              <w:left w:val="single" w:sz="4" w:space="0" w:color="auto"/>
              <w:bottom w:val="single" w:sz="4" w:space="0" w:color="auto"/>
              <w:right w:val="single" w:sz="4" w:space="0" w:color="auto"/>
            </w:tcBorders>
            <w:shd w:val="clear" w:color="auto" w:fill="auto"/>
            <w:noWrap/>
          </w:tcPr>
          <w:p w14:paraId="54DFEC03" w14:textId="4C1411D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15,276</w:t>
            </w:r>
          </w:p>
        </w:tc>
        <w:tc>
          <w:tcPr>
            <w:tcW w:w="1305" w:type="dxa"/>
            <w:tcBorders>
              <w:top w:val="nil"/>
              <w:left w:val="nil"/>
              <w:bottom w:val="single" w:sz="4" w:space="0" w:color="auto"/>
              <w:right w:val="single" w:sz="4" w:space="0" w:color="auto"/>
            </w:tcBorders>
            <w:shd w:val="clear" w:color="auto" w:fill="auto"/>
            <w:noWrap/>
          </w:tcPr>
          <w:p w14:paraId="2D6E0EDA" w14:textId="50B83EB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15,686</w:t>
            </w:r>
          </w:p>
        </w:tc>
        <w:tc>
          <w:tcPr>
            <w:tcW w:w="1306" w:type="dxa"/>
            <w:tcBorders>
              <w:top w:val="nil"/>
              <w:left w:val="nil"/>
              <w:bottom w:val="single" w:sz="4" w:space="0" w:color="auto"/>
              <w:right w:val="single" w:sz="4" w:space="0" w:color="auto"/>
            </w:tcBorders>
            <w:shd w:val="clear" w:color="auto" w:fill="auto"/>
            <w:noWrap/>
          </w:tcPr>
          <w:p w14:paraId="723C79EA" w14:textId="474C04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16,447</w:t>
            </w:r>
          </w:p>
        </w:tc>
      </w:tr>
      <w:tr w:rsidR="0020791D" w:rsidRPr="001D42CA" w14:paraId="1E4457E3" w14:textId="3EDDD84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9E093C4" w14:textId="7B228FB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Russian Federation</w:t>
            </w:r>
          </w:p>
        </w:tc>
        <w:tc>
          <w:tcPr>
            <w:tcW w:w="1111" w:type="dxa"/>
            <w:tcBorders>
              <w:top w:val="nil"/>
              <w:left w:val="nil"/>
              <w:bottom w:val="single" w:sz="4" w:space="0" w:color="auto"/>
              <w:right w:val="single" w:sz="4" w:space="0" w:color="auto"/>
            </w:tcBorders>
            <w:shd w:val="clear" w:color="auto" w:fill="auto"/>
            <w:noWrap/>
          </w:tcPr>
          <w:p w14:paraId="479197BA" w14:textId="77F035C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1.866</w:t>
            </w:r>
          </w:p>
        </w:tc>
        <w:tc>
          <w:tcPr>
            <w:tcW w:w="1111" w:type="dxa"/>
            <w:tcBorders>
              <w:top w:val="nil"/>
              <w:left w:val="nil"/>
              <w:bottom w:val="single" w:sz="4" w:space="0" w:color="auto"/>
              <w:right w:val="single" w:sz="4" w:space="0" w:color="auto"/>
            </w:tcBorders>
            <w:shd w:val="clear" w:color="auto" w:fill="auto"/>
            <w:noWrap/>
          </w:tcPr>
          <w:p w14:paraId="37768606" w14:textId="554C5AA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1.916%</w:t>
            </w:r>
          </w:p>
        </w:tc>
        <w:tc>
          <w:tcPr>
            <w:tcW w:w="1305" w:type="dxa"/>
            <w:tcBorders>
              <w:top w:val="nil"/>
              <w:left w:val="nil"/>
              <w:bottom w:val="single" w:sz="4" w:space="0" w:color="auto"/>
              <w:right w:val="single" w:sz="4" w:space="0" w:color="auto"/>
            </w:tcBorders>
          </w:tcPr>
          <w:p w14:paraId="0D23B175" w14:textId="486C5DB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117,715</w:t>
            </w:r>
          </w:p>
        </w:tc>
        <w:tc>
          <w:tcPr>
            <w:tcW w:w="1306" w:type="dxa"/>
            <w:tcBorders>
              <w:top w:val="nil"/>
              <w:left w:val="single" w:sz="4" w:space="0" w:color="auto"/>
              <w:bottom w:val="single" w:sz="4" w:space="0" w:color="auto"/>
              <w:right w:val="single" w:sz="4" w:space="0" w:color="auto"/>
            </w:tcBorders>
            <w:shd w:val="clear" w:color="auto" w:fill="auto"/>
            <w:noWrap/>
          </w:tcPr>
          <w:p w14:paraId="59006AA5" w14:textId="7FCD96E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91,365</w:t>
            </w:r>
          </w:p>
        </w:tc>
        <w:tc>
          <w:tcPr>
            <w:tcW w:w="1305" w:type="dxa"/>
            <w:tcBorders>
              <w:top w:val="nil"/>
              <w:left w:val="nil"/>
              <w:bottom w:val="single" w:sz="4" w:space="0" w:color="auto"/>
              <w:right w:val="single" w:sz="4" w:space="0" w:color="auto"/>
            </w:tcBorders>
            <w:shd w:val="clear" w:color="auto" w:fill="auto"/>
            <w:noWrap/>
          </w:tcPr>
          <w:p w14:paraId="00082D50" w14:textId="390572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93,813</w:t>
            </w:r>
          </w:p>
        </w:tc>
        <w:tc>
          <w:tcPr>
            <w:tcW w:w="1306" w:type="dxa"/>
            <w:tcBorders>
              <w:top w:val="nil"/>
              <w:left w:val="nil"/>
              <w:bottom w:val="single" w:sz="4" w:space="0" w:color="auto"/>
              <w:right w:val="single" w:sz="4" w:space="0" w:color="auto"/>
            </w:tcBorders>
            <w:shd w:val="clear" w:color="auto" w:fill="auto"/>
            <w:noWrap/>
          </w:tcPr>
          <w:p w14:paraId="54BF02B8" w14:textId="2109DF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98,364</w:t>
            </w:r>
          </w:p>
        </w:tc>
      </w:tr>
      <w:tr w:rsidR="0020791D" w:rsidRPr="001D42CA" w14:paraId="29A6BBBD" w14:textId="6CFE6704"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EEC5E2E" w14:textId="1F49A02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Rwanda</w:t>
            </w:r>
          </w:p>
        </w:tc>
        <w:tc>
          <w:tcPr>
            <w:tcW w:w="1111" w:type="dxa"/>
            <w:tcBorders>
              <w:top w:val="nil"/>
              <w:left w:val="nil"/>
              <w:bottom w:val="single" w:sz="4" w:space="0" w:color="auto"/>
              <w:right w:val="single" w:sz="4" w:space="0" w:color="auto"/>
            </w:tcBorders>
            <w:shd w:val="clear" w:color="auto" w:fill="auto"/>
            <w:noWrap/>
          </w:tcPr>
          <w:p w14:paraId="0CE5E5D4" w14:textId="6691F3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6AAEA4B2" w14:textId="082EAEF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2A77E44F" w14:textId="0054CEC4"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8F120B9" w14:textId="2D5B813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5812DCD" w14:textId="2B18FF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7C6EE16" w14:textId="7915182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10E9DE44" w14:textId="720649A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C7D1979" w14:textId="78FE493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Saint Lucia</w:t>
            </w:r>
          </w:p>
        </w:tc>
        <w:tc>
          <w:tcPr>
            <w:tcW w:w="1111" w:type="dxa"/>
            <w:tcBorders>
              <w:top w:val="nil"/>
              <w:left w:val="nil"/>
              <w:bottom w:val="single" w:sz="4" w:space="0" w:color="auto"/>
              <w:right w:val="single" w:sz="4" w:space="0" w:color="auto"/>
            </w:tcBorders>
            <w:shd w:val="clear" w:color="auto" w:fill="auto"/>
            <w:noWrap/>
          </w:tcPr>
          <w:p w14:paraId="664732A9" w14:textId="4E4BC60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546F7966" w14:textId="4BF8EEE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0FDB6B6B" w14:textId="508CE40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53912F7F" w14:textId="547E645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3D7F521" w14:textId="0D7C15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EE3AC3D" w14:textId="6C42D94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602CA35" w14:textId="1727F1F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70094F7" w14:textId="108F1AB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Samoa</w:t>
            </w:r>
          </w:p>
        </w:tc>
        <w:tc>
          <w:tcPr>
            <w:tcW w:w="1111" w:type="dxa"/>
            <w:tcBorders>
              <w:top w:val="nil"/>
              <w:left w:val="nil"/>
              <w:bottom w:val="single" w:sz="4" w:space="0" w:color="auto"/>
              <w:right w:val="single" w:sz="4" w:space="0" w:color="auto"/>
            </w:tcBorders>
            <w:shd w:val="clear" w:color="auto" w:fill="auto"/>
            <w:noWrap/>
          </w:tcPr>
          <w:p w14:paraId="6C5FC5C2" w14:textId="5CFFD0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31329166" w14:textId="5CE883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7FC0EB1A" w14:textId="4814F4E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C00BB83" w14:textId="6FB4A23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4326790A" w14:textId="17DCF17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35FE5691" w14:textId="1227293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9E88CC4" w14:textId="7D2E166F"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4141AD0" w14:textId="45BE24D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Sao Tome and Principe</w:t>
            </w:r>
          </w:p>
        </w:tc>
        <w:tc>
          <w:tcPr>
            <w:tcW w:w="1111" w:type="dxa"/>
            <w:tcBorders>
              <w:top w:val="nil"/>
              <w:left w:val="nil"/>
              <w:bottom w:val="single" w:sz="4" w:space="0" w:color="auto"/>
              <w:right w:val="single" w:sz="4" w:space="0" w:color="auto"/>
            </w:tcBorders>
            <w:shd w:val="clear" w:color="auto" w:fill="auto"/>
            <w:noWrap/>
          </w:tcPr>
          <w:p w14:paraId="325562F2" w14:textId="2A984F7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10C1BF66" w14:textId="302CFEF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03DF5ED0" w14:textId="67041CA7"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3D86B97" w14:textId="270848D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0A48142" w14:textId="4A6699A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1FF8F20" w14:textId="5D21B9B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5961AB1" w14:textId="493A146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96CFF17" w14:textId="51C57542"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Senegal</w:t>
            </w:r>
          </w:p>
        </w:tc>
        <w:tc>
          <w:tcPr>
            <w:tcW w:w="1111" w:type="dxa"/>
            <w:tcBorders>
              <w:top w:val="nil"/>
              <w:left w:val="nil"/>
              <w:bottom w:val="single" w:sz="4" w:space="0" w:color="auto"/>
              <w:right w:val="single" w:sz="4" w:space="0" w:color="auto"/>
            </w:tcBorders>
            <w:shd w:val="clear" w:color="auto" w:fill="auto"/>
            <w:noWrap/>
          </w:tcPr>
          <w:p w14:paraId="5582DE8F" w14:textId="1F303E7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18A0FF8D" w14:textId="18D84A3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12C23817" w14:textId="23CC319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3787167" w14:textId="2B450AF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EA36A8F" w14:textId="24F72CA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E3BF0C1" w14:textId="397979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98450D9" w14:textId="4DD46D8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A8ADBBA" w14:textId="33691A5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Serbia</w:t>
            </w:r>
          </w:p>
        </w:tc>
        <w:tc>
          <w:tcPr>
            <w:tcW w:w="1111" w:type="dxa"/>
            <w:tcBorders>
              <w:top w:val="nil"/>
              <w:left w:val="nil"/>
              <w:bottom w:val="single" w:sz="4" w:space="0" w:color="auto"/>
              <w:right w:val="single" w:sz="4" w:space="0" w:color="auto"/>
            </w:tcBorders>
            <w:shd w:val="clear" w:color="auto" w:fill="auto"/>
            <w:noWrap/>
          </w:tcPr>
          <w:p w14:paraId="3C1C7032" w14:textId="6224B49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0.032</w:t>
            </w:r>
          </w:p>
        </w:tc>
        <w:tc>
          <w:tcPr>
            <w:tcW w:w="1111" w:type="dxa"/>
            <w:tcBorders>
              <w:top w:val="nil"/>
              <w:left w:val="nil"/>
              <w:bottom w:val="single" w:sz="4" w:space="0" w:color="auto"/>
              <w:right w:val="single" w:sz="4" w:space="0" w:color="auto"/>
            </w:tcBorders>
            <w:shd w:val="clear" w:color="auto" w:fill="auto"/>
            <w:noWrap/>
          </w:tcPr>
          <w:p w14:paraId="2A09114C" w14:textId="353163D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0.033%</w:t>
            </w:r>
          </w:p>
        </w:tc>
        <w:tc>
          <w:tcPr>
            <w:tcW w:w="1305" w:type="dxa"/>
            <w:tcBorders>
              <w:top w:val="nil"/>
              <w:left w:val="nil"/>
              <w:bottom w:val="single" w:sz="4" w:space="0" w:color="auto"/>
              <w:right w:val="single" w:sz="4" w:space="0" w:color="auto"/>
            </w:tcBorders>
          </w:tcPr>
          <w:p w14:paraId="3E40E4D0" w14:textId="6B9788E1"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1,370</w:t>
            </w:r>
          </w:p>
        </w:tc>
        <w:tc>
          <w:tcPr>
            <w:tcW w:w="1306" w:type="dxa"/>
            <w:tcBorders>
              <w:top w:val="nil"/>
              <w:left w:val="single" w:sz="4" w:space="0" w:color="auto"/>
              <w:bottom w:val="single" w:sz="4" w:space="0" w:color="auto"/>
              <w:right w:val="single" w:sz="4" w:space="0" w:color="auto"/>
            </w:tcBorders>
            <w:shd w:val="clear" w:color="auto" w:fill="auto"/>
            <w:noWrap/>
          </w:tcPr>
          <w:p w14:paraId="38E95000" w14:textId="3FEE911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1,567</w:t>
            </w:r>
          </w:p>
        </w:tc>
        <w:tc>
          <w:tcPr>
            <w:tcW w:w="1305" w:type="dxa"/>
            <w:tcBorders>
              <w:top w:val="nil"/>
              <w:left w:val="nil"/>
              <w:bottom w:val="single" w:sz="4" w:space="0" w:color="auto"/>
              <w:right w:val="single" w:sz="4" w:space="0" w:color="auto"/>
            </w:tcBorders>
            <w:shd w:val="clear" w:color="auto" w:fill="auto"/>
            <w:noWrap/>
          </w:tcPr>
          <w:p w14:paraId="69AEDD19" w14:textId="452FD85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1,609</w:t>
            </w:r>
          </w:p>
        </w:tc>
        <w:tc>
          <w:tcPr>
            <w:tcW w:w="1306" w:type="dxa"/>
            <w:tcBorders>
              <w:top w:val="nil"/>
              <w:left w:val="nil"/>
              <w:bottom w:val="single" w:sz="4" w:space="0" w:color="auto"/>
              <w:right w:val="single" w:sz="4" w:space="0" w:color="auto"/>
            </w:tcBorders>
            <w:shd w:val="clear" w:color="auto" w:fill="auto"/>
            <w:noWrap/>
          </w:tcPr>
          <w:p w14:paraId="746504C3" w14:textId="578B5D6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1,687</w:t>
            </w:r>
          </w:p>
        </w:tc>
      </w:tr>
      <w:tr w:rsidR="0020791D" w:rsidRPr="001D42CA" w14:paraId="5700290E" w14:textId="7519CDE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41E4430" w14:textId="3466213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Seychelles</w:t>
            </w:r>
          </w:p>
        </w:tc>
        <w:tc>
          <w:tcPr>
            <w:tcW w:w="1111" w:type="dxa"/>
            <w:tcBorders>
              <w:top w:val="nil"/>
              <w:left w:val="nil"/>
              <w:bottom w:val="single" w:sz="4" w:space="0" w:color="auto"/>
              <w:right w:val="single" w:sz="4" w:space="0" w:color="auto"/>
            </w:tcBorders>
            <w:shd w:val="clear" w:color="auto" w:fill="auto"/>
            <w:noWrap/>
          </w:tcPr>
          <w:p w14:paraId="082AB77D" w14:textId="4D13FA4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69CDE5EA" w14:textId="1274D5A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6A4F9CDE" w14:textId="2F6B18D3"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1AFA21FE" w14:textId="5A96E80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8F6DAE7" w14:textId="3BCF47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1388A4B" w14:textId="19E64FA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7FF4F2C" w14:textId="2338C3B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C33EDF4" w14:textId="63920A5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Sierra Leone</w:t>
            </w:r>
          </w:p>
        </w:tc>
        <w:tc>
          <w:tcPr>
            <w:tcW w:w="1111" w:type="dxa"/>
            <w:tcBorders>
              <w:top w:val="nil"/>
              <w:left w:val="nil"/>
              <w:bottom w:val="single" w:sz="4" w:space="0" w:color="auto"/>
              <w:right w:val="single" w:sz="4" w:space="0" w:color="auto"/>
            </w:tcBorders>
            <w:shd w:val="clear" w:color="auto" w:fill="auto"/>
            <w:noWrap/>
          </w:tcPr>
          <w:p w14:paraId="2F3C8AC0" w14:textId="74A27A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40A3AAD0" w14:textId="184A047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7BFE0A26" w14:textId="3AA41E8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1DCB6D7" w14:textId="0B41F2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B5F48AB" w14:textId="556054B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173BDE9" w14:textId="6B9EF8E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A200C8E" w14:textId="782C195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88D09D9" w14:textId="5A240AB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Slovakia</w:t>
            </w:r>
          </w:p>
        </w:tc>
        <w:tc>
          <w:tcPr>
            <w:tcW w:w="1111" w:type="dxa"/>
            <w:tcBorders>
              <w:top w:val="nil"/>
              <w:left w:val="nil"/>
              <w:bottom w:val="single" w:sz="4" w:space="0" w:color="auto"/>
              <w:right w:val="single" w:sz="4" w:space="0" w:color="auto"/>
            </w:tcBorders>
            <w:shd w:val="clear" w:color="auto" w:fill="auto"/>
            <w:noWrap/>
          </w:tcPr>
          <w:p w14:paraId="05BFB2E3" w14:textId="33BC4A5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0.155</w:t>
            </w:r>
          </w:p>
        </w:tc>
        <w:tc>
          <w:tcPr>
            <w:tcW w:w="1111" w:type="dxa"/>
            <w:tcBorders>
              <w:top w:val="nil"/>
              <w:left w:val="nil"/>
              <w:bottom w:val="single" w:sz="4" w:space="0" w:color="auto"/>
              <w:right w:val="single" w:sz="4" w:space="0" w:color="auto"/>
            </w:tcBorders>
            <w:shd w:val="clear" w:color="auto" w:fill="auto"/>
            <w:noWrap/>
          </w:tcPr>
          <w:p w14:paraId="263E54E8" w14:textId="597C3A4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0.159%</w:t>
            </w:r>
          </w:p>
        </w:tc>
        <w:tc>
          <w:tcPr>
            <w:tcW w:w="1305" w:type="dxa"/>
            <w:tcBorders>
              <w:top w:val="nil"/>
              <w:left w:val="nil"/>
              <w:bottom w:val="single" w:sz="4" w:space="0" w:color="auto"/>
              <w:right w:val="single" w:sz="4" w:space="0" w:color="auto"/>
            </w:tcBorders>
          </w:tcPr>
          <w:p w14:paraId="1391D445" w14:textId="4533427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7,489</w:t>
            </w:r>
          </w:p>
        </w:tc>
        <w:tc>
          <w:tcPr>
            <w:tcW w:w="1306" w:type="dxa"/>
            <w:tcBorders>
              <w:top w:val="nil"/>
              <w:left w:val="single" w:sz="4" w:space="0" w:color="auto"/>
              <w:bottom w:val="single" w:sz="4" w:space="0" w:color="auto"/>
              <w:right w:val="single" w:sz="4" w:space="0" w:color="auto"/>
            </w:tcBorders>
            <w:shd w:val="clear" w:color="auto" w:fill="auto"/>
            <w:noWrap/>
          </w:tcPr>
          <w:p w14:paraId="404C02BA" w14:textId="5BD849B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7,589</w:t>
            </w:r>
          </w:p>
        </w:tc>
        <w:tc>
          <w:tcPr>
            <w:tcW w:w="1305" w:type="dxa"/>
            <w:tcBorders>
              <w:top w:val="nil"/>
              <w:left w:val="nil"/>
              <w:bottom w:val="single" w:sz="4" w:space="0" w:color="auto"/>
              <w:right w:val="single" w:sz="4" w:space="0" w:color="auto"/>
            </w:tcBorders>
            <w:shd w:val="clear" w:color="auto" w:fill="auto"/>
            <w:noWrap/>
          </w:tcPr>
          <w:p w14:paraId="3F11671F" w14:textId="53D89E6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7,793</w:t>
            </w:r>
          </w:p>
        </w:tc>
        <w:tc>
          <w:tcPr>
            <w:tcW w:w="1306" w:type="dxa"/>
            <w:tcBorders>
              <w:top w:val="nil"/>
              <w:left w:val="nil"/>
              <w:bottom w:val="single" w:sz="4" w:space="0" w:color="auto"/>
              <w:right w:val="single" w:sz="4" w:space="0" w:color="auto"/>
            </w:tcBorders>
            <w:shd w:val="clear" w:color="auto" w:fill="auto"/>
            <w:noWrap/>
          </w:tcPr>
          <w:p w14:paraId="19ADEA07" w14:textId="38425E4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8,171</w:t>
            </w:r>
          </w:p>
        </w:tc>
      </w:tr>
      <w:tr w:rsidR="0020791D" w:rsidRPr="001D42CA" w14:paraId="05DF2DC4" w14:textId="1FE52A3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A8E842B" w14:textId="34DE328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Slovenia</w:t>
            </w:r>
          </w:p>
        </w:tc>
        <w:tc>
          <w:tcPr>
            <w:tcW w:w="1111" w:type="dxa"/>
            <w:tcBorders>
              <w:top w:val="nil"/>
              <w:left w:val="nil"/>
              <w:bottom w:val="single" w:sz="4" w:space="0" w:color="auto"/>
              <w:right w:val="single" w:sz="4" w:space="0" w:color="auto"/>
            </w:tcBorders>
            <w:shd w:val="clear" w:color="auto" w:fill="auto"/>
            <w:noWrap/>
          </w:tcPr>
          <w:p w14:paraId="587144A1" w14:textId="4B462E8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0.079</w:t>
            </w:r>
          </w:p>
        </w:tc>
        <w:tc>
          <w:tcPr>
            <w:tcW w:w="1111" w:type="dxa"/>
            <w:tcBorders>
              <w:top w:val="nil"/>
              <w:left w:val="nil"/>
              <w:bottom w:val="single" w:sz="4" w:space="0" w:color="auto"/>
              <w:right w:val="single" w:sz="4" w:space="0" w:color="auto"/>
            </w:tcBorders>
            <w:shd w:val="clear" w:color="auto" w:fill="auto"/>
            <w:noWrap/>
          </w:tcPr>
          <w:p w14:paraId="0C62BA9E" w14:textId="5E72D83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0.081%</w:t>
            </w:r>
          </w:p>
        </w:tc>
        <w:tc>
          <w:tcPr>
            <w:tcW w:w="1305" w:type="dxa"/>
            <w:tcBorders>
              <w:top w:val="nil"/>
              <w:left w:val="nil"/>
              <w:bottom w:val="single" w:sz="4" w:space="0" w:color="auto"/>
              <w:right w:val="single" w:sz="4" w:space="0" w:color="auto"/>
            </w:tcBorders>
          </w:tcPr>
          <w:p w14:paraId="116457A5" w14:textId="5A8A600B"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3,720</w:t>
            </w:r>
          </w:p>
        </w:tc>
        <w:tc>
          <w:tcPr>
            <w:tcW w:w="1306" w:type="dxa"/>
            <w:tcBorders>
              <w:top w:val="nil"/>
              <w:left w:val="single" w:sz="4" w:space="0" w:color="auto"/>
              <w:bottom w:val="single" w:sz="4" w:space="0" w:color="auto"/>
              <w:right w:val="single" w:sz="4" w:space="0" w:color="auto"/>
            </w:tcBorders>
            <w:shd w:val="clear" w:color="auto" w:fill="auto"/>
            <w:noWrap/>
          </w:tcPr>
          <w:p w14:paraId="429E08FA" w14:textId="5C89112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3,868</w:t>
            </w:r>
          </w:p>
        </w:tc>
        <w:tc>
          <w:tcPr>
            <w:tcW w:w="1305" w:type="dxa"/>
            <w:tcBorders>
              <w:top w:val="nil"/>
              <w:left w:val="nil"/>
              <w:bottom w:val="single" w:sz="4" w:space="0" w:color="auto"/>
              <w:right w:val="single" w:sz="4" w:space="0" w:color="auto"/>
            </w:tcBorders>
            <w:shd w:val="clear" w:color="auto" w:fill="auto"/>
            <w:noWrap/>
          </w:tcPr>
          <w:p w14:paraId="43CB46E5" w14:textId="073FEE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3,972</w:t>
            </w:r>
          </w:p>
        </w:tc>
        <w:tc>
          <w:tcPr>
            <w:tcW w:w="1306" w:type="dxa"/>
            <w:tcBorders>
              <w:top w:val="nil"/>
              <w:left w:val="nil"/>
              <w:bottom w:val="single" w:sz="4" w:space="0" w:color="auto"/>
              <w:right w:val="single" w:sz="4" w:space="0" w:color="auto"/>
            </w:tcBorders>
            <w:shd w:val="clear" w:color="auto" w:fill="auto"/>
            <w:noWrap/>
          </w:tcPr>
          <w:p w14:paraId="686BA47E" w14:textId="3AAC016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4,164</w:t>
            </w:r>
          </w:p>
        </w:tc>
      </w:tr>
      <w:tr w:rsidR="0020791D" w:rsidRPr="001D42CA" w14:paraId="50DC0DA3" w14:textId="485F7FA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DEB5DF7" w14:textId="2E5460F7"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South Africa</w:t>
            </w:r>
          </w:p>
        </w:tc>
        <w:tc>
          <w:tcPr>
            <w:tcW w:w="1111" w:type="dxa"/>
            <w:tcBorders>
              <w:top w:val="nil"/>
              <w:left w:val="nil"/>
              <w:bottom w:val="single" w:sz="4" w:space="0" w:color="auto"/>
              <w:right w:val="single" w:sz="4" w:space="0" w:color="auto"/>
            </w:tcBorders>
            <w:shd w:val="clear" w:color="auto" w:fill="auto"/>
            <w:noWrap/>
          </w:tcPr>
          <w:p w14:paraId="2980BB8D" w14:textId="7618B79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0.244</w:t>
            </w:r>
          </w:p>
        </w:tc>
        <w:tc>
          <w:tcPr>
            <w:tcW w:w="1111" w:type="dxa"/>
            <w:tcBorders>
              <w:top w:val="nil"/>
              <w:left w:val="nil"/>
              <w:bottom w:val="single" w:sz="4" w:space="0" w:color="auto"/>
              <w:right w:val="single" w:sz="4" w:space="0" w:color="auto"/>
            </w:tcBorders>
            <w:shd w:val="clear" w:color="auto" w:fill="auto"/>
            <w:noWrap/>
          </w:tcPr>
          <w:p w14:paraId="4AA7DC80" w14:textId="2D47660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0.250%</w:t>
            </w:r>
          </w:p>
        </w:tc>
        <w:tc>
          <w:tcPr>
            <w:tcW w:w="1305" w:type="dxa"/>
            <w:tcBorders>
              <w:top w:val="nil"/>
              <w:left w:val="nil"/>
              <w:bottom w:val="single" w:sz="4" w:space="0" w:color="auto"/>
              <w:right w:val="single" w:sz="4" w:space="0" w:color="auto"/>
            </w:tcBorders>
          </w:tcPr>
          <w:p w14:paraId="2C37136A" w14:textId="09936D67"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13,313</w:t>
            </w:r>
          </w:p>
        </w:tc>
        <w:tc>
          <w:tcPr>
            <w:tcW w:w="1306" w:type="dxa"/>
            <w:tcBorders>
              <w:top w:val="nil"/>
              <w:left w:val="single" w:sz="4" w:space="0" w:color="auto"/>
              <w:bottom w:val="single" w:sz="4" w:space="0" w:color="auto"/>
              <w:right w:val="single" w:sz="4" w:space="0" w:color="auto"/>
            </w:tcBorders>
            <w:shd w:val="clear" w:color="auto" w:fill="auto"/>
            <w:noWrap/>
          </w:tcPr>
          <w:p w14:paraId="24C2F0E5" w14:textId="5183112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11,947</w:t>
            </w:r>
          </w:p>
        </w:tc>
        <w:tc>
          <w:tcPr>
            <w:tcW w:w="1305" w:type="dxa"/>
            <w:tcBorders>
              <w:top w:val="nil"/>
              <w:left w:val="nil"/>
              <w:bottom w:val="single" w:sz="4" w:space="0" w:color="auto"/>
              <w:right w:val="single" w:sz="4" w:space="0" w:color="auto"/>
            </w:tcBorders>
            <w:shd w:val="clear" w:color="auto" w:fill="auto"/>
            <w:noWrap/>
          </w:tcPr>
          <w:p w14:paraId="65A04539" w14:textId="0845AEF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12,267</w:t>
            </w:r>
          </w:p>
        </w:tc>
        <w:tc>
          <w:tcPr>
            <w:tcW w:w="1306" w:type="dxa"/>
            <w:tcBorders>
              <w:top w:val="nil"/>
              <w:left w:val="nil"/>
              <w:bottom w:val="single" w:sz="4" w:space="0" w:color="auto"/>
              <w:right w:val="single" w:sz="4" w:space="0" w:color="auto"/>
            </w:tcBorders>
            <w:shd w:val="clear" w:color="auto" w:fill="auto"/>
            <w:noWrap/>
          </w:tcPr>
          <w:p w14:paraId="508C9936" w14:textId="7456572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12,862</w:t>
            </w:r>
          </w:p>
        </w:tc>
      </w:tr>
      <w:tr w:rsidR="0020791D" w:rsidRPr="001D42CA" w14:paraId="69A0E34B" w14:textId="7649BFA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503FF15" w14:textId="3EF708D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South Sudan</w:t>
            </w:r>
          </w:p>
        </w:tc>
        <w:tc>
          <w:tcPr>
            <w:tcW w:w="1111" w:type="dxa"/>
            <w:tcBorders>
              <w:top w:val="nil"/>
              <w:left w:val="nil"/>
              <w:bottom w:val="single" w:sz="4" w:space="0" w:color="auto"/>
              <w:right w:val="single" w:sz="4" w:space="0" w:color="auto"/>
            </w:tcBorders>
            <w:shd w:val="clear" w:color="auto" w:fill="auto"/>
            <w:noWrap/>
          </w:tcPr>
          <w:p w14:paraId="255D8C71" w14:textId="261B7CB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10E18D4A" w14:textId="078B9FE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4261A56A" w14:textId="77D8AF01"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7F6193D" w14:textId="57F08D1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7330C54" w14:textId="3C0EDB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C6CE42E" w14:textId="210AF46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E8BF341" w14:textId="0DC30CDE"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3CA6F6" w14:textId="073C6D5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Spain</w:t>
            </w:r>
          </w:p>
        </w:tc>
        <w:tc>
          <w:tcPr>
            <w:tcW w:w="1111" w:type="dxa"/>
            <w:tcBorders>
              <w:top w:val="nil"/>
              <w:left w:val="nil"/>
              <w:bottom w:val="single" w:sz="4" w:space="0" w:color="auto"/>
              <w:right w:val="single" w:sz="4" w:space="0" w:color="auto"/>
            </w:tcBorders>
            <w:shd w:val="clear" w:color="auto" w:fill="auto"/>
            <w:noWrap/>
          </w:tcPr>
          <w:p w14:paraId="1DDE08BB" w14:textId="343C6EE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2.134</w:t>
            </w:r>
          </w:p>
        </w:tc>
        <w:tc>
          <w:tcPr>
            <w:tcW w:w="1111" w:type="dxa"/>
            <w:tcBorders>
              <w:top w:val="nil"/>
              <w:left w:val="nil"/>
              <w:bottom w:val="single" w:sz="4" w:space="0" w:color="auto"/>
              <w:right w:val="single" w:sz="4" w:space="0" w:color="auto"/>
            </w:tcBorders>
            <w:shd w:val="clear" w:color="auto" w:fill="auto"/>
            <w:noWrap/>
          </w:tcPr>
          <w:p w14:paraId="6A01ADD8" w14:textId="0D77D09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2.191%</w:t>
            </w:r>
          </w:p>
        </w:tc>
        <w:tc>
          <w:tcPr>
            <w:tcW w:w="1305" w:type="dxa"/>
            <w:tcBorders>
              <w:top w:val="nil"/>
              <w:left w:val="nil"/>
              <w:bottom w:val="single" w:sz="4" w:space="0" w:color="auto"/>
              <w:right w:val="single" w:sz="4" w:space="0" w:color="auto"/>
            </w:tcBorders>
          </w:tcPr>
          <w:p w14:paraId="084FE81F" w14:textId="4EBEA81B"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105,038</w:t>
            </w:r>
          </w:p>
        </w:tc>
        <w:tc>
          <w:tcPr>
            <w:tcW w:w="1306" w:type="dxa"/>
            <w:tcBorders>
              <w:top w:val="nil"/>
              <w:left w:val="single" w:sz="4" w:space="0" w:color="auto"/>
              <w:bottom w:val="single" w:sz="4" w:space="0" w:color="auto"/>
              <w:right w:val="single" w:sz="4" w:space="0" w:color="auto"/>
            </w:tcBorders>
            <w:shd w:val="clear" w:color="auto" w:fill="auto"/>
            <w:noWrap/>
          </w:tcPr>
          <w:p w14:paraId="5D773559" w14:textId="3713A93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104,487</w:t>
            </w:r>
          </w:p>
        </w:tc>
        <w:tc>
          <w:tcPr>
            <w:tcW w:w="1305" w:type="dxa"/>
            <w:tcBorders>
              <w:top w:val="nil"/>
              <w:left w:val="nil"/>
              <w:bottom w:val="single" w:sz="4" w:space="0" w:color="auto"/>
              <w:right w:val="single" w:sz="4" w:space="0" w:color="auto"/>
            </w:tcBorders>
            <w:shd w:val="clear" w:color="auto" w:fill="auto"/>
            <w:noWrap/>
          </w:tcPr>
          <w:p w14:paraId="4146772A" w14:textId="6F2B89F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107,287</w:t>
            </w:r>
          </w:p>
        </w:tc>
        <w:tc>
          <w:tcPr>
            <w:tcW w:w="1306" w:type="dxa"/>
            <w:tcBorders>
              <w:top w:val="nil"/>
              <w:left w:val="nil"/>
              <w:bottom w:val="single" w:sz="4" w:space="0" w:color="auto"/>
              <w:right w:val="single" w:sz="4" w:space="0" w:color="auto"/>
            </w:tcBorders>
            <w:shd w:val="clear" w:color="auto" w:fill="auto"/>
            <w:noWrap/>
          </w:tcPr>
          <w:p w14:paraId="47566C4F" w14:textId="74592BD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112,491</w:t>
            </w:r>
          </w:p>
        </w:tc>
      </w:tr>
      <w:tr w:rsidR="0020791D" w:rsidRPr="001D42CA" w14:paraId="65E3FB13" w14:textId="287D197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FFE1E7" w14:textId="61CB621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Sri Lanka</w:t>
            </w:r>
          </w:p>
        </w:tc>
        <w:tc>
          <w:tcPr>
            <w:tcW w:w="1111" w:type="dxa"/>
            <w:tcBorders>
              <w:top w:val="nil"/>
              <w:left w:val="nil"/>
              <w:bottom w:val="single" w:sz="4" w:space="0" w:color="auto"/>
              <w:right w:val="single" w:sz="4" w:space="0" w:color="auto"/>
            </w:tcBorders>
            <w:shd w:val="clear" w:color="auto" w:fill="auto"/>
            <w:noWrap/>
          </w:tcPr>
          <w:p w14:paraId="088A13DE" w14:textId="527E91A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0.045</w:t>
            </w:r>
          </w:p>
        </w:tc>
        <w:tc>
          <w:tcPr>
            <w:tcW w:w="1111" w:type="dxa"/>
            <w:tcBorders>
              <w:top w:val="nil"/>
              <w:left w:val="nil"/>
              <w:bottom w:val="single" w:sz="4" w:space="0" w:color="auto"/>
              <w:right w:val="single" w:sz="4" w:space="0" w:color="auto"/>
            </w:tcBorders>
            <w:shd w:val="clear" w:color="auto" w:fill="auto"/>
            <w:noWrap/>
          </w:tcPr>
          <w:p w14:paraId="3428E0EC" w14:textId="5CA76FB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0.046%</w:t>
            </w:r>
          </w:p>
        </w:tc>
        <w:tc>
          <w:tcPr>
            <w:tcW w:w="1305" w:type="dxa"/>
            <w:tcBorders>
              <w:top w:val="nil"/>
              <w:left w:val="nil"/>
              <w:bottom w:val="single" w:sz="4" w:space="0" w:color="auto"/>
              <w:right w:val="single" w:sz="4" w:space="0" w:color="auto"/>
            </w:tcBorders>
          </w:tcPr>
          <w:p w14:paraId="1FF2EB30" w14:textId="0343FFA2"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2,154</w:t>
            </w:r>
          </w:p>
        </w:tc>
        <w:tc>
          <w:tcPr>
            <w:tcW w:w="1306" w:type="dxa"/>
            <w:tcBorders>
              <w:top w:val="nil"/>
              <w:left w:val="single" w:sz="4" w:space="0" w:color="auto"/>
              <w:bottom w:val="single" w:sz="4" w:space="0" w:color="auto"/>
              <w:right w:val="single" w:sz="4" w:space="0" w:color="auto"/>
            </w:tcBorders>
            <w:shd w:val="clear" w:color="auto" w:fill="auto"/>
            <w:noWrap/>
          </w:tcPr>
          <w:p w14:paraId="1F499D32" w14:textId="7C889CC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2,203</w:t>
            </w:r>
          </w:p>
        </w:tc>
        <w:tc>
          <w:tcPr>
            <w:tcW w:w="1305" w:type="dxa"/>
            <w:tcBorders>
              <w:top w:val="nil"/>
              <w:left w:val="nil"/>
              <w:bottom w:val="single" w:sz="4" w:space="0" w:color="auto"/>
              <w:right w:val="single" w:sz="4" w:space="0" w:color="auto"/>
            </w:tcBorders>
            <w:shd w:val="clear" w:color="auto" w:fill="auto"/>
            <w:noWrap/>
          </w:tcPr>
          <w:p w14:paraId="66204A5F" w14:textId="217365D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2,262</w:t>
            </w:r>
          </w:p>
        </w:tc>
        <w:tc>
          <w:tcPr>
            <w:tcW w:w="1306" w:type="dxa"/>
            <w:tcBorders>
              <w:top w:val="nil"/>
              <w:left w:val="nil"/>
              <w:bottom w:val="single" w:sz="4" w:space="0" w:color="auto"/>
              <w:right w:val="single" w:sz="4" w:space="0" w:color="auto"/>
            </w:tcBorders>
            <w:shd w:val="clear" w:color="auto" w:fill="auto"/>
            <w:noWrap/>
          </w:tcPr>
          <w:p w14:paraId="7FD21C17" w14:textId="6317634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2,372</w:t>
            </w:r>
          </w:p>
        </w:tc>
      </w:tr>
      <w:tr w:rsidR="0020791D" w:rsidRPr="001D42CA" w14:paraId="32D013CB" w14:textId="2BBD7FC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623F2F9" w14:textId="79EB72D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State of Libya</w:t>
            </w:r>
          </w:p>
        </w:tc>
        <w:tc>
          <w:tcPr>
            <w:tcW w:w="1111" w:type="dxa"/>
            <w:tcBorders>
              <w:top w:val="nil"/>
              <w:left w:val="nil"/>
              <w:bottom w:val="single" w:sz="4" w:space="0" w:color="auto"/>
              <w:right w:val="single" w:sz="4" w:space="0" w:color="auto"/>
            </w:tcBorders>
            <w:shd w:val="clear" w:color="auto" w:fill="auto"/>
            <w:noWrap/>
          </w:tcPr>
          <w:p w14:paraId="5C2D29F3" w14:textId="58A0FC6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0.018</w:t>
            </w:r>
          </w:p>
        </w:tc>
        <w:tc>
          <w:tcPr>
            <w:tcW w:w="1111" w:type="dxa"/>
            <w:tcBorders>
              <w:top w:val="nil"/>
              <w:left w:val="nil"/>
              <w:bottom w:val="single" w:sz="4" w:space="0" w:color="auto"/>
              <w:right w:val="single" w:sz="4" w:space="0" w:color="auto"/>
            </w:tcBorders>
            <w:shd w:val="clear" w:color="auto" w:fill="auto"/>
            <w:noWrap/>
          </w:tcPr>
          <w:p w14:paraId="4BAF33E8" w14:textId="330060C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0.018%</w:t>
            </w:r>
          </w:p>
        </w:tc>
        <w:tc>
          <w:tcPr>
            <w:tcW w:w="1305" w:type="dxa"/>
            <w:tcBorders>
              <w:top w:val="nil"/>
              <w:left w:val="nil"/>
              <w:bottom w:val="single" w:sz="4" w:space="0" w:color="auto"/>
              <w:right w:val="single" w:sz="4" w:space="0" w:color="auto"/>
            </w:tcBorders>
          </w:tcPr>
          <w:p w14:paraId="2B694C6B" w14:textId="62B2ABF0"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1,468</w:t>
            </w:r>
          </w:p>
        </w:tc>
        <w:tc>
          <w:tcPr>
            <w:tcW w:w="1306" w:type="dxa"/>
            <w:tcBorders>
              <w:top w:val="nil"/>
              <w:left w:val="single" w:sz="4" w:space="0" w:color="auto"/>
              <w:bottom w:val="single" w:sz="4" w:space="0" w:color="auto"/>
              <w:right w:val="single" w:sz="4" w:space="0" w:color="auto"/>
            </w:tcBorders>
            <w:shd w:val="clear" w:color="auto" w:fill="auto"/>
            <w:noWrap/>
          </w:tcPr>
          <w:p w14:paraId="1B6722F3" w14:textId="45355E2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EB48BAF" w14:textId="3B88E81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F5F9662" w14:textId="0E3D4F7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0D7377E" w14:textId="058E986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394332D" w14:textId="3280FE7E"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Sudan</w:t>
            </w:r>
          </w:p>
        </w:tc>
        <w:tc>
          <w:tcPr>
            <w:tcW w:w="1111" w:type="dxa"/>
            <w:tcBorders>
              <w:top w:val="nil"/>
              <w:left w:val="nil"/>
              <w:bottom w:val="single" w:sz="4" w:space="0" w:color="auto"/>
              <w:right w:val="single" w:sz="4" w:space="0" w:color="auto"/>
            </w:tcBorders>
            <w:shd w:val="clear" w:color="auto" w:fill="auto"/>
            <w:noWrap/>
          </w:tcPr>
          <w:p w14:paraId="177C3CC9" w14:textId="19AFE3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1434B32E" w14:textId="0BA8CA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417A0624" w14:textId="7B7AF7F8"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44CA9C1D" w14:textId="01A567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BD3EB6A" w14:textId="49F3692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BFB040A" w14:textId="1A1563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5E2E6CB" w14:textId="61F7136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B78AAB3" w14:textId="741420B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Suriname</w:t>
            </w:r>
          </w:p>
        </w:tc>
        <w:tc>
          <w:tcPr>
            <w:tcW w:w="1111" w:type="dxa"/>
            <w:tcBorders>
              <w:top w:val="nil"/>
              <w:left w:val="nil"/>
              <w:bottom w:val="single" w:sz="4" w:space="0" w:color="auto"/>
              <w:right w:val="single" w:sz="4" w:space="0" w:color="auto"/>
            </w:tcBorders>
            <w:shd w:val="clear" w:color="auto" w:fill="auto"/>
            <w:noWrap/>
          </w:tcPr>
          <w:p w14:paraId="6F396B44" w14:textId="4337E39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08D51288" w14:textId="52242E3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1C67315C" w14:textId="3787D783"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134A493" w14:textId="014A59E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0B9A8BF3" w14:textId="7755EDC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2F79629" w14:textId="36905C9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EA11424" w14:textId="3CCCF8F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CBCCFEA" w14:textId="23A49F6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Sweden</w:t>
            </w:r>
          </w:p>
        </w:tc>
        <w:tc>
          <w:tcPr>
            <w:tcW w:w="1111" w:type="dxa"/>
            <w:tcBorders>
              <w:top w:val="nil"/>
              <w:left w:val="nil"/>
              <w:bottom w:val="single" w:sz="4" w:space="0" w:color="auto"/>
              <w:right w:val="single" w:sz="4" w:space="0" w:color="auto"/>
            </w:tcBorders>
            <w:shd w:val="clear" w:color="auto" w:fill="auto"/>
            <w:noWrap/>
          </w:tcPr>
          <w:p w14:paraId="52811980" w14:textId="7D83E0B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0.871</w:t>
            </w:r>
          </w:p>
        </w:tc>
        <w:tc>
          <w:tcPr>
            <w:tcW w:w="1111" w:type="dxa"/>
            <w:tcBorders>
              <w:top w:val="nil"/>
              <w:left w:val="nil"/>
              <w:bottom w:val="single" w:sz="4" w:space="0" w:color="auto"/>
              <w:right w:val="single" w:sz="4" w:space="0" w:color="auto"/>
            </w:tcBorders>
            <w:shd w:val="clear" w:color="auto" w:fill="auto"/>
            <w:noWrap/>
          </w:tcPr>
          <w:p w14:paraId="3DBC2701" w14:textId="4750FCC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0.894%</w:t>
            </w:r>
          </w:p>
        </w:tc>
        <w:tc>
          <w:tcPr>
            <w:tcW w:w="1305" w:type="dxa"/>
            <w:tcBorders>
              <w:top w:val="nil"/>
              <w:left w:val="nil"/>
              <w:bottom w:val="single" w:sz="4" w:space="0" w:color="auto"/>
              <w:right w:val="single" w:sz="4" w:space="0" w:color="auto"/>
            </w:tcBorders>
          </w:tcPr>
          <w:p w14:paraId="6DC7B575" w14:textId="71637E26"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44,345</w:t>
            </w:r>
          </w:p>
        </w:tc>
        <w:tc>
          <w:tcPr>
            <w:tcW w:w="1306" w:type="dxa"/>
            <w:tcBorders>
              <w:top w:val="nil"/>
              <w:left w:val="single" w:sz="4" w:space="0" w:color="auto"/>
              <w:bottom w:val="single" w:sz="4" w:space="0" w:color="auto"/>
              <w:right w:val="single" w:sz="4" w:space="0" w:color="auto"/>
            </w:tcBorders>
            <w:shd w:val="clear" w:color="auto" w:fill="auto"/>
            <w:noWrap/>
          </w:tcPr>
          <w:p w14:paraId="76313397" w14:textId="3DDD4C5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42,647</w:t>
            </w:r>
          </w:p>
        </w:tc>
        <w:tc>
          <w:tcPr>
            <w:tcW w:w="1305" w:type="dxa"/>
            <w:tcBorders>
              <w:top w:val="nil"/>
              <w:left w:val="nil"/>
              <w:bottom w:val="single" w:sz="4" w:space="0" w:color="auto"/>
              <w:right w:val="single" w:sz="4" w:space="0" w:color="auto"/>
            </w:tcBorders>
            <w:shd w:val="clear" w:color="auto" w:fill="auto"/>
            <w:noWrap/>
          </w:tcPr>
          <w:p w14:paraId="58952D14" w14:textId="298BE2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43,790</w:t>
            </w:r>
          </w:p>
        </w:tc>
        <w:tc>
          <w:tcPr>
            <w:tcW w:w="1306" w:type="dxa"/>
            <w:tcBorders>
              <w:top w:val="nil"/>
              <w:left w:val="nil"/>
              <w:bottom w:val="single" w:sz="4" w:space="0" w:color="auto"/>
              <w:right w:val="single" w:sz="4" w:space="0" w:color="auto"/>
            </w:tcBorders>
            <w:shd w:val="clear" w:color="auto" w:fill="auto"/>
            <w:noWrap/>
          </w:tcPr>
          <w:p w14:paraId="6DEF309B" w14:textId="768E7F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45,914</w:t>
            </w:r>
          </w:p>
        </w:tc>
      </w:tr>
      <w:tr w:rsidR="0020791D" w:rsidRPr="001D42CA" w14:paraId="2FCB86E2" w14:textId="79B1931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48E9248" w14:textId="3906BE0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Switzerland</w:t>
            </w:r>
          </w:p>
        </w:tc>
        <w:tc>
          <w:tcPr>
            <w:tcW w:w="1111" w:type="dxa"/>
            <w:tcBorders>
              <w:top w:val="nil"/>
              <w:left w:val="nil"/>
              <w:bottom w:val="single" w:sz="4" w:space="0" w:color="auto"/>
              <w:right w:val="single" w:sz="4" w:space="0" w:color="auto"/>
            </w:tcBorders>
            <w:shd w:val="clear" w:color="auto" w:fill="auto"/>
            <w:noWrap/>
          </w:tcPr>
          <w:p w14:paraId="3C8E8888" w14:textId="52B48BE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1.134</w:t>
            </w:r>
          </w:p>
        </w:tc>
        <w:tc>
          <w:tcPr>
            <w:tcW w:w="1111" w:type="dxa"/>
            <w:tcBorders>
              <w:top w:val="nil"/>
              <w:left w:val="nil"/>
              <w:bottom w:val="single" w:sz="4" w:space="0" w:color="auto"/>
              <w:right w:val="single" w:sz="4" w:space="0" w:color="auto"/>
            </w:tcBorders>
            <w:shd w:val="clear" w:color="auto" w:fill="auto"/>
            <w:noWrap/>
          </w:tcPr>
          <w:p w14:paraId="4318A1F9" w14:textId="7366E3D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1.164%</w:t>
            </w:r>
          </w:p>
        </w:tc>
        <w:tc>
          <w:tcPr>
            <w:tcW w:w="1305" w:type="dxa"/>
            <w:tcBorders>
              <w:top w:val="nil"/>
              <w:left w:val="nil"/>
              <w:bottom w:val="single" w:sz="4" w:space="0" w:color="auto"/>
              <w:right w:val="single" w:sz="4" w:space="0" w:color="auto"/>
            </w:tcBorders>
          </w:tcPr>
          <w:p w14:paraId="29DDA216" w14:textId="10EB758A"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56,337</w:t>
            </w:r>
          </w:p>
        </w:tc>
        <w:tc>
          <w:tcPr>
            <w:tcW w:w="1306" w:type="dxa"/>
            <w:tcBorders>
              <w:top w:val="nil"/>
              <w:left w:val="single" w:sz="4" w:space="0" w:color="auto"/>
              <w:bottom w:val="single" w:sz="4" w:space="0" w:color="auto"/>
              <w:right w:val="single" w:sz="4" w:space="0" w:color="auto"/>
            </w:tcBorders>
            <w:shd w:val="clear" w:color="auto" w:fill="auto"/>
            <w:noWrap/>
          </w:tcPr>
          <w:p w14:paraId="230A9BC2" w14:textId="2189430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55,524</w:t>
            </w:r>
          </w:p>
        </w:tc>
        <w:tc>
          <w:tcPr>
            <w:tcW w:w="1305" w:type="dxa"/>
            <w:tcBorders>
              <w:top w:val="nil"/>
              <w:left w:val="nil"/>
              <w:bottom w:val="single" w:sz="4" w:space="0" w:color="auto"/>
              <w:right w:val="single" w:sz="4" w:space="0" w:color="auto"/>
            </w:tcBorders>
            <w:shd w:val="clear" w:color="auto" w:fill="auto"/>
            <w:noWrap/>
          </w:tcPr>
          <w:p w14:paraId="69063432" w14:textId="2134E46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57,012</w:t>
            </w:r>
          </w:p>
        </w:tc>
        <w:tc>
          <w:tcPr>
            <w:tcW w:w="1306" w:type="dxa"/>
            <w:tcBorders>
              <w:top w:val="nil"/>
              <w:left w:val="nil"/>
              <w:bottom w:val="single" w:sz="4" w:space="0" w:color="auto"/>
              <w:right w:val="single" w:sz="4" w:space="0" w:color="auto"/>
            </w:tcBorders>
            <w:shd w:val="clear" w:color="auto" w:fill="auto"/>
            <w:noWrap/>
          </w:tcPr>
          <w:p w14:paraId="2E0D5063" w14:textId="052C055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59,777</w:t>
            </w:r>
          </w:p>
        </w:tc>
      </w:tr>
      <w:tr w:rsidR="0020791D" w:rsidRPr="001D42CA" w14:paraId="7E6D1798" w14:textId="18047BD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E02547C" w14:textId="51BDEC5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Syrian Arab Republic</w:t>
            </w:r>
          </w:p>
        </w:tc>
        <w:tc>
          <w:tcPr>
            <w:tcW w:w="1111" w:type="dxa"/>
            <w:tcBorders>
              <w:top w:val="nil"/>
              <w:left w:val="nil"/>
              <w:bottom w:val="single" w:sz="4" w:space="0" w:color="auto"/>
              <w:right w:val="single" w:sz="4" w:space="0" w:color="auto"/>
            </w:tcBorders>
            <w:shd w:val="clear" w:color="auto" w:fill="auto"/>
            <w:noWrap/>
          </w:tcPr>
          <w:p w14:paraId="2A6FDE5B" w14:textId="7E2122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111" w:type="dxa"/>
            <w:tcBorders>
              <w:top w:val="nil"/>
              <w:left w:val="nil"/>
              <w:bottom w:val="single" w:sz="4" w:space="0" w:color="auto"/>
              <w:right w:val="single" w:sz="4" w:space="0" w:color="auto"/>
            </w:tcBorders>
            <w:shd w:val="clear" w:color="auto" w:fill="auto"/>
            <w:noWrap/>
          </w:tcPr>
          <w:p w14:paraId="20B22393" w14:textId="5823E8A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0.009%</w:t>
            </w:r>
          </w:p>
        </w:tc>
        <w:tc>
          <w:tcPr>
            <w:tcW w:w="1305" w:type="dxa"/>
            <w:tcBorders>
              <w:top w:val="nil"/>
              <w:left w:val="nil"/>
              <w:bottom w:val="single" w:sz="4" w:space="0" w:color="auto"/>
              <w:right w:val="single" w:sz="4" w:space="0" w:color="auto"/>
            </w:tcBorders>
          </w:tcPr>
          <w:p w14:paraId="32A505DF" w14:textId="3408DAD1"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D0B820F" w14:textId="369FFC7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D897A79" w14:textId="00F05A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E2C6C11" w14:textId="1FBE1E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1548981" w14:textId="15A6866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A2F184E" w14:textId="561808F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Tajikistan</w:t>
            </w:r>
          </w:p>
        </w:tc>
        <w:tc>
          <w:tcPr>
            <w:tcW w:w="1111" w:type="dxa"/>
            <w:tcBorders>
              <w:top w:val="nil"/>
              <w:left w:val="nil"/>
              <w:bottom w:val="single" w:sz="4" w:space="0" w:color="auto"/>
              <w:right w:val="single" w:sz="4" w:space="0" w:color="auto"/>
            </w:tcBorders>
            <w:shd w:val="clear" w:color="auto" w:fill="auto"/>
            <w:noWrap/>
          </w:tcPr>
          <w:p w14:paraId="3BC44C5E" w14:textId="731D197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111" w:type="dxa"/>
            <w:tcBorders>
              <w:top w:val="nil"/>
              <w:left w:val="nil"/>
              <w:bottom w:val="single" w:sz="4" w:space="0" w:color="auto"/>
              <w:right w:val="single" w:sz="4" w:space="0" w:color="auto"/>
            </w:tcBorders>
            <w:shd w:val="clear" w:color="auto" w:fill="auto"/>
            <w:noWrap/>
          </w:tcPr>
          <w:p w14:paraId="74B2786E" w14:textId="3E67B2D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0.003%</w:t>
            </w:r>
          </w:p>
        </w:tc>
        <w:tc>
          <w:tcPr>
            <w:tcW w:w="1305" w:type="dxa"/>
            <w:tcBorders>
              <w:top w:val="nil"/>
              <w:left w:val="nil"/>
              <w:bottom w:val="single" w:sz="4" w:space="0" w:color="auto"/>
              <w:right w:val="single" w:sz="4" w:space="0" w:color="auto"/>
            </w:tcBorders>
          </w:tcPr>
          <w:p w14:paraId="2B5089A3" w14:textId="52BF59CB"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7DC2FC55" w14:textId="7FDF0F0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C574A21" w14:textId="2D51CA4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BC3BA90" w14:textId="35CA69F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431D2FE9" w14:textId="655BB1B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32C005E" w14:textId="1CFD6B4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Thailand</w:t>
            </w:r>
          </w:p>
        </w:tc>
        <w:tc>
          <w:tcPr>
            <w:tcW w:w="1111" w:type="dxa"/>
            <w:tcBorders>
              <w:top w:val="nil"/>
              <w:left w:val="nil"/>
              <w:bottom w:val="single" w:sz="4" w:space="0" w:color="auto"/>
              <w:right w:val="single" w:sz="4" w:space="0" w:color="auto"/>
            </w:tcBorders>
            <w:shd w:val="clear" w:color="auto" w:fill="auto"/>
            <w:noWrap/>
          </w:tcPr>
          <w:p w14:paraId="3A16DC35" w14:textId="41091C3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0.368</w:t>
            </w:r>
          </w:p>
        </w:tc>
        <w:tc>
          <w:tcPr>
            <w:tcW w:w="1111" w:type="dxa"/>
            <w:tcBorders>
              <w:top w:val="nil"/>
              <w:left w:val="nil"/>
              <w:bottom w:val="single" w:sz="4" w:space="0" w:color="auto"/>
              <w:right w:val="single" w:sz="4" w:space="0" w:color="auto"/>
            </w:tcBorders>
            <w:shd w:val="clear" w:color="auto" w:fill="auto"/>
            <w:noWrap/>
          </w:tcPr>
          <w:p w14:paraId="1A0AB0BA" w14:textId="158B73B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0.378%</w:t>
            </w:r>
          </w:p>
        </w:tc>
        <w:tc>
          <w:tcPr>
            <w:tcW w:w="1305" w:type="dxa"/>
            <w:tcBorders>
              <w:top w:val="nil"/>
              <w:left w:val="nil"/>
              <w:bottom w:val="single" w:sz="4" w:space="0" w:color="auto"/>
              <w:right w:val="single" w:sz="4" w:space="0" w:color="auto"/>
            </w:tcBorders>
          </w:tcPr>
          <w:p w14:paraId="2D2B5647" w14:textId="11E4A0BB"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15,026</w:t>
            </w:r>
          </w:p>
        </w:tc>
        <w:tc>
          <w:tcPr>
            <w:tcW w:w="1306" w:type="dxa"/>
            <w:tcBorders>
              <w:top w:val="nil"/>
              <w:left w:val="single" w:sz="4" w:space="0" w:color="auto"/>
              <w:bottom w:val="single" w:sz="4" w:space="0" w:color="auto"/>
              <w:right w:val="single" w:sz="4" w:space="0" w:color="auto"/>
            </w:tcBorders>
            <w:shd w:val="clear" w:color="auto" w:fill="auto"/>
            <w:noWrap/>
          </w:tcPr>
          <w:p w14:paraId="272A9063" w14:textId="4BBD031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18,018</w:t>
            </w:r>
          </w:p>
        </w:tc>
        <w:tc>
          <w:tcPr>
            <w:tcW w:w="1305" w:type="dxa"/>
            <w:tcBorders>
              <w:top w:val="nil"/>
              <w:left w:val="nil"/>
              <w:bottom w:val="single" w:sz="4" w:space="0" w:color="auto"/>
              <w:right w:val="single" w:sz="4" w:space="0" w:color="auto"/>
            </w:tcBorders>
            <w:shd w:val="clear" w:color="auto" w:fill="auto"/>
            <w:noWrap/>
          </w:tcPr>
          <w:p w14:paraId="26F1DE03" w14:textId="48E32C6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18,501</w:t>
            </w:r>
          </w:p>
        </w:tc>
        <w:tc>
          <w:tcPr>
            <w:tcW w:w="1306" w:type="dxa"/>
            <w:tcBorders>
              <w:top w:val="nil"/>
              <w:left w:val="nil"/>
              <w:bottom w:val="single" w:sz="4" w:space="0" w:color="auto"/>
              <w:right w:val="single" w:sz="4" w:space="0" w:color="auto"/>
            </w:tcBorders>
            <w:shd w:val="clear" w:color="auto" w:fill="auto"/>
            <w:noWrap/>
          </w:tcPr>
          <w:p w14:paraId="27DEEDD6" w14:textId="4E2A9B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19,399</w:t>
            </w:r>
          </w:p>
        </w:tc>
      </w:tr>
      <w:tr w:rsidR="0020791D" w:rsidRPr="001D42CA" w14:paraId="0B8C064B" w14:textId="109F4DC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1C3DDB4" w14:textId="0EC3D6ED" w:rsidR="0020791D" w:rsidRPr="000519D4" w:rsidRDefault="0020791D" w:rsidP="0020791D">
            <w:pPr>
              <w:ind w:left="0" w:firstLine="0"/>
              <w:rPr>
                <w:rFonts w:asciiTheme="minorHAnsi" w:eastAsia="Times New Roman" w:hAnsiTheme="minorHAnsi" w:cstheme="minorHAnsi"/>
                <w:sz w:val="20"/>
                <w:szCs w:val="20"/>
                <w:lang w:eastAsia="en-GB"/>
              </w:rPr>
            </w:pPr>
            <w:r w:rsidRPr="00E73DED">
              <w:rPr>
                <w:rFonts w:asciiTheme="minorHAnsi" w:hAnsiTheme="minorHAnsi" w:cstheme="minorHAnsi"/>
                <w:sz w:val="20"/>
                <w:szCs w:val="20"/>
              </w:rPr>
              <w:t>Republic of North Macedonia</w:t>
            </w:r>
          </w:p>
        </w:tc>
        <w:tc>
          <w:tcPr>
            <w:tcW w:w="1111" w:type="dxa"/>
            <w:tcBorders>
              <w:top w:val="nil"/>
              <w:left w:val="nil"/>
              <w:bottom w:val="single" w:sz="4" w:space="0" w:color="auto"/>
              <w:right w:val="single" w:sz="4" w:space="0" w:color="auto"/>
            </w:tcBorders>
            <w:shd w:val="clear" w:color="auto" w:fill="auto"/>
            <w:noWrap/>
          </w:tcPr>
          <w:p w14:paraId="621D16FC" w14:textId="0A190E0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11079E29" w14:textId="7E3AEFE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0E0DCF8C" w14:textId="0AF6F390"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C4B51D9" w14:textId="7299B6F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08FF290" w14:textId="07DC01A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4D59342F" w14:textId="1E3812E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0BC180D7" w14:textId="006A0A6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5DA2BEA" w14:textId="09A9A89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Togo</w:t>
            </w:r>
          </w:p>
        </w:tc>
        <w:tc>
          <w:tcPr>
            <w:tcW w:w="1111" w:type="dxa"/>
            <w:tcBorders>
              <w:top w:val="nil"/>
              <w:left w:val="nil"/>
              <w:bottom w:val="single" w:sz="4" w:space="0" w:color="auto"/>
              <w:right w:val="single" w:sz="4" w:space="0" w:color="auto"/>
            </w:tcBorders>
            <w:shd w:val="clear" w:color="auto" w:fill="auto"/>
            <w:noWrap/>
          </w:tcPr>
          <w:p w14:paraId="6DD35A1D" w14:textId="4CB5920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111" w:type="dxa"/>
            <w:tcBorders>
              <w:top w:val="nil"/>
              <w:left w:val="nil"/>
              <w:bottom w:val="single" w:sz="4" w:space="0" w:color="auto"/>
              <w:right w:val="single" w:sz="4" w:space="0" w:color="auto"/>
            </w:tcBorders>
            <w:shd w:val="clear" w:color="auto" w:fill="auto"/>
            <w:noWrap/>
          </w:tcPr>
          <w:p w14:paraId="60350DE2" w14:textId="6CB0FD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0.002%</w:t>
            </w:r>
          </w:p>
        </w:tc>
        <w:tc>
          <w:tcPr>
            <w:tcW w:w="1305" w:type="dxa"/>
            <w:tcBorders>
              <w:top w:val="nil"/>
              <w:left w:val="nil"/>
              <w:bottom w:val="single" w:sz="4" w:space="0" w:color="auto"/>
              <w:right w:val="single" w:sz="4" w:space="0" w:color="auto"/>
            </w:tcBorders>
          </w:tcPr>
          <w:p w14:paraId="1FCF0932" w14:textId="3EEA95AF"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6E6280F9" w14:textId="42DFD3D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3FAC38C" w14:textId="58A612C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562CABB3" w14:textId="762BD66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38E08C7" w14:textId="3714350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9785DB9" w14:textId="5DF7638F"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Trinidad and Tobago</w:t>
            </w:r>
          </w:p>
        </w:tc>
        <w:tc>
          <w:tcPr>
            <w:tcW w:w="1111" w:type="dxa"/>
            <w:tcBorders>
              <w:top w:val="nil"/>
              <w:left w:val="nil"/>
              <w:bottom w:val="single" w:sz="4" w:space="0" w:color="auto"/>
              <w:right w:val="single" w:sz="4" w:space="0" w:color="auto"/>
            </w:tcBorders>
            <w:shd w:val="clear" w:color="auto" w:fill="auto"/>
            <w:noWrap/>
          </w:tcPr>
          <w:p w14:paraId="39B03CBA" w14:textId="76B3535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0.037</w:t>
            </w:r>
          </w:p>
        </w:tc>
        <w:tc>
          <w:tcPr>
            <w:tcW w:w="1111" w:type="dxa"/>
            <w:tcBorders>
              <w:top w:val="nil"/>
              <w:left w:val="nil"/>
              <w:bottom w:val="single" w:sz="4" w:space="0" w:color="auto"/>
              <w:right w:val="single" w:sz="4" w:space="0" w:color="auto"/>
            </w:tcBorders>
            <w:shd w:val="clear" w:color="auto" w:fill="auto"/>
            <w:noWrap/>
          </w:tcPr>
          <w:p w14:paraId="39168017" w14:textId="5890399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0.038%</w:t>
            </w:r>
          </w:p>
        </w:tc>
        <w:tc>
          <w:tcPr>
            <w:tcW w:w="1305" w:type="dxa"/>
            <w:tcBorders>
              <w:top w:val="nil"/>
              <w:left w:val="nil"/>
              <w:bottom w:val="single" w:sz="4" w:space="0" w:color="auto"/>
              <w:right w:val="single" w:sz="4" w:space="0" w:color="auto"/>
            </w:tcBorders>
          </w:tcPr>
          <w:p w14:paraId="7CD16DC7" w14:textId="487D2128"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1,958</w:t>
            </w:r>
          </w:p>
        </w:tc>
        <w:tc>
          <w:tcPr>
            <w:tcW w:w="1306" w:type="dxa"/>
            <w:tcBorders>
              <w:top w:val="nil"/>
              <w:left w:val="single" w:sz="4" w:space="0" w:color="auto"/>
              <w:bottom w:val="single" w:sz="4" w:space="0" w:color="auto"/>
              <w:right w:val="single" w:sz="4" w:space="0" w:color="auto"/>
            </w:tcBorders>
            <w:shd w:val="clear" w:color="auto" w:fill="auto"/>
            <w:noWrap/>
          </w:tcPr>
          <w:p w14:paraId="2F3CC800" w14:textId="64A083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1,812</w:t>
            </w:r>
          </w:p>
        </w:tc>
        <w:tc>
          <w:tcPr>
            <w:tcW w:w="1305" w:type="dxa"/>
            <w:tcBorders>
              <w:top w:val="nil"/>
              <w:left w:val="nil"/>
              <w:bottom w:val="single" w:sz="4" w:space="0" w:color="auto"/>
              <w:right w:val="single" w:sz="4" w:space="0" w:color="auto"/>
            </w:tcBorders>
            <w:shd w:val="clear" w:color="auto" w:fill="auto"/>
            <w:noWrap/>
          </w:tcPr>
          <w:p w14:paraId="49D17314" w14:textId="70E71D1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1,860</w:t>
            </w:r>
          </w:p>
        </w:tc>
        <w:tc>
          <w:tcPr>
            <w:tcW w:w="1306" w:type="dxa"/>
            <w:tcBorders>
              <w:top w:val="nil"/>
              <w:left w:val="nil"/>
              <w:bottom w:val="single" w:sz="4" w:space="0" w:color="auto"/>
              <w:right w:val="single" w:sz="4" w:space="0" w:color="auto"/>
            </w:tcBorders>
            <w:shd w:val="clear" w:color="auto" w:fill="auto"/>
            <w:noWrap/>
          </w:tcPr>
          <w:p w14:paraId="0338A042" w14:textId="6D545AB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1,950</w:t>
            </w:r>
          </w:p>
        </w:tc>
      </w:tr>
      <w:tr w:rsidR="0020791D" w:rsidRPr="001D42CA" w14:paraId="17DED142" w14:textId="58343F86"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F39B3F" w14:textId="4047EF38"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Tunisia</w:t>
            </w:r>
          </w:p>
        </w:tc>
        <w:tc>
          <w:tcPr>
            <w:tcW w:w="1111" w:type="dxa"/>
            <w:tcBorders>
              <w:top w:val="nil"/>
              <w:left w:val="nil"/>
              <w:bottom w:val="single" w:sz="4" w:space="0" w:color="auto"/>
              <w:right w:val="single" w:sz="4" w:space="0" w:color="auto"/>
            </w:tcBorders>
            <w:shd w:val="clear" w:color="auto" w:fill="auto"/>
            <w:noWrap/>
          </w:tcPr>
          <w:p w14:paraId="1E97C1BD" w14:textId="22B1078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0.019</w:t>
            </w:r>
          </w:p>
        </w:tc>
        <w:tc>
          <w:tcPr>
            <w:tcW w:w="1111" w:type="dxa"/>
            <w:tcBorders>
              <w:top w:val="nil"/>
              <w:left w:val="nil"/>
              <w:bottom w:val="single" w:sz="4" w:space="0" w:color="auto"/>
              <w:right w:val="single" w:sz="4" w:space="0" w:color="auto"/>
            </w:tcBorders>
            <w:shd w:val="clear" w:color="auto" w:fill="auto"/>
            <w:noWrap/>
          </w:tcPr>
          <w:p w14:paraId="3EF04142" w14:textId="7C7A3A6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0.020%</w:t>
            </w:r>
          </w:p>
        </w:tc>
        <w:tc>
          <w:tcPr>
            <w:tcW w:w="1305" w:type="dxa"/>
            <w:tcBorders>
              <w:top w:val="nil"/>
              <w:left w:val="nil"/>
              <w:bottom w:val="single" w:sz="4" w:space="0" w:color="auto"/>
              <w:right w:val="single" w:sz="4" w:space="0" w:color="auto"/>
            </w:tcBorders>
          </w:tcPr>
          <w:p w14:paraId="46A7AE8A" w14:textId="036DD96C"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1,224</w:t>
            </w:r>
          </w:p>
        </w:tc>
        <w:tc>
          <w:tcPr>
            <w:tcW w:w="1306" w:type="dxa"/>
            <w:tcBorders>
              <w:top w:val="nil"/>
              <w:left w:val="single" w:sz="4" w:space="0" w:color="auto"/>
              <w:bottom w:val="single" w:sz="4" w:space="0" w:color="auto"/>
              <w:right w:val="single" w:sz="4" w:space="0" w:color="auto"/>
            </w:tcBorders>
            <w:shd w:val="clear" w:color="auto" w:fill="auto"/>
            <w:noWrap/>
          </w:tcPr>
          <w:p w14:paraId="22045366" w14:textId="096D717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1B004267" w14:textId="0D57DF5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740034CB" w14:textId="7F20B88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1,002</w:t>
            </w:r>
          </w:p>
        </w:tc>
      </w:tr>
      <w:tr w:rsidR="0020791D" w:rsidRPr="001D42CA" w14:paraId="675CC0C6" w14:textId="48FAF6D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A0E905D" w14:textId="15497A9D"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Turkey</w:t>
            </w:r>
          </w:p>
        </w:tc>
        <w:tc>
          <w:tcPr>
            <w:tcW w:w="1111" w:type="dxa"/>
            <w:tcBorders>
              <w:top w:val="nil"/>
              <w:left w:val="nil"/>
              <w:bottom w:val="single" w:sz="4" w:space="0" w:color="auto"/>
              <w:right w:val="single" w:sz="4" w:space="0" w:color="auto"/>
            </w:tcBorders>
            <w:shd w:val="clear" w:color="auto" w:fill="auto"/>
            <w:noWrap/>
          </w:tcPr>
          <w:p w14:paraId="7BC5333F" w14:textId="3EF1893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0.845</w:t>
            </w:r>
          </w:p>
        </w:tc>
        <w:tc>
          <w:tcPr>
            <w:tcW w:w="1111" w:type="dxa"/>
            <w:tcBorders>
              <w:top w:val="nil"/>
              <w:left w:val="nil"/>
              <w:bottom w:val="single" w:sz="4" w:space="0" w:color="auto"/>
              <w:right w:val="single" w:sz="4" w:space="0" w:color="auto"/>
            </w:tcBorders>
            <w:shd w:val="clear" w:color="auto" w:fill="auto"/>
            <w:noWrap/>
          </w:tcPr>
          <w:p w14:paraId="574BF491" w14:textId="5329D4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0.867%</w:t>
            </w:r>
          </w:p>
        </w:tc>
        <w:tc>
          <w:tcPr>
            <w:tcW w:w="1305" w:type="dxa"/>
            <w:tcBorders>
              <w:top w:val="nil"/>
              <w:left w:val="nil"/>
              <w:bottom w:val="single" w:sz="4" w:space="0" w:color="auto"/>
              <w:right w:val="single" w:sz="4" w:space="0" w:color="auto"/>
            </w:tcBorders>
          </w:tcPr>
          <w:p w14:paraId="05180732" w14:textId="283AA834"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67,105</w:t>
            </w:r>
          </w:p>
        </w:tc>
        <w:tc>
          <w:tcPr>
            <w:tcW w:w="1306" w:type="dxa"/>
            <w:tcBorders>
              <w:top w:val="nil"/>
              <w:left w:val="single" w:sz="4" w:space="0" w:color="auto"/>
              <w:bottom w:val="single" w:sz="4" w:space="0" w:color="auto"/>
              <w:right w:val="single" w:sz="4" w:space="0" w:color="auto"/>
            </w:tcBorders>
            <w:shd w:val="clear" w:color="auto" w:fill="auto"/>
            <w:noWrap/>
          </w:tcPr>
          <w:p w14:paraId="17F2421C" w14:textId="29DFADB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41,374</w:t>
            </w:r>
          </w:p>
        </w:tc>
        <w:tc>
          <w:tcPr>
            <w:tcW w:w="1305" w:type="dxa"/>
            <w:tcBorders>
              <w:top w:val="nil"/>
              <w:left w:val="nil"/>
              <w:bottom w:val="single" w:sz="4" w:space="0" w:color="auto"/>
              <w:right w:val="single" w:sz="4" w:space="0" w:color="auto"/>
            </w:tcBorders>
            <w:shd w:val="clear" w:color="auto" w:fill="auto"/>
            <w:noWrap/>
          </w:tcPr>
          <w:p w14:paraId="43DEE112" w14:textId="2986893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42,482</w:t>
            </w:r>
          </w:p>
        </w:tc>
        <w:tc>
          <w:tcPr>
            <w:tcW w:w="1306" w:type="dxa"/>
            <w:tcBorders>
              <w:top w:val="nil"/>
              <w:left w:val="nil"/>
              <w:bottom w:val="single" w:sz="4" w:space="0" w:color="auto"/>
              <w:right w:val="single" w:sz="4" w:space="0" w:color="auto"/>
            </w:tcBorders>
            <w:shd w:val="clear" w:color="auto" w:fill="auto"/>
            <w:noWrap/>
          </w:tcPr>
          <w:p w14:paraId="586D5285" w14:textId="294BB66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44,543</w:t>
            </w:r>
          </w:p>
        </w:tc>
      </w:tr>
      <w:tr w:rsidR="0020791D" w:rsidRPr="001D42CA" w14:paraId="1020EA3B" w14:textId="3B32DEF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C5C6C48" w14:textId="429793B9"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Turkmenistan</w:t>
            </w:r>
          </w:p>
        </w:tc>
        <w:tc>
          <w:tcPr>
            <w:tcW w:w="1111" w:type="dxa"/>
            <w:tcBorders>
              <w:top w:val="nil"/>
              <w:left w:val="nil"/>
              <w:bottom w:val="single" w:sz="4" w:space="0" w:color="auto"/>
              <w:right w:val="single" w:sz="4" w:space="0" w:color="auto"/>
            </w:tcBorders>
            <w:shd w:val="clear" w:color="auto" w:fill="auto"/>
            <w:noWrap/>
          </w:tcPr>
          <w:p w14:paraId="30B2E5C4" w14:textId="4C0AF94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0.034</w:t>
            </w:r>
          </w:p>
        </w:tc>
        <w:tc>
          <w:tcPr>
            <w:tcW w:w="1111" w:type="dxa"/>
            <w:tcBorders>
              <w:top w:val="nil"/>
              <w:left w:val="nil"/>
              <w:bottom w:val="single" w:sz="4" w:space="0" w:color="auto"/>
              <w:right w:val="single" w:sz="4" w:space="0" w:color="auto"/>
            </w:tcBorders>
            <w:shd w:val="clear" w:color="auto" w:fill="auto"/>
            <w:noWrap/>
          </w:tcPr>
          <w:p w14:paraId="5A256159" w14:textId="5C0AB15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0.035%</w:t>
            </w:r>
          </w:p>
        </w:tc>
        <w:tc>
          <w:tcPr>
            <w:tcW w:w="1305" w:type="dxa"/>
            <w:tcBorders>
              <w:top w:val="nil"/>
              <w:left w:val="nil"/>
              <w:bottom w:val="single" w:sz="4" w:space="0" w:color="auto"/>
              <w:right w:val="single" w:sz="4" w:space="0" w:color="auto"/>
            </w:tcBorders>
          </w:tcPr>
          <w:p w14:paraId="68817D76" w14:textId="6D538D8F"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1,615</w:t>
            </w:r>
          </w:p>
        </w:tc>
        <w:tc>
          <w:tcPr>
            <w:tcW w:w="1306" w:type="dxa"/>
            <w:tcBorders>
              <w:top w:val="nil"/>
              <w:left w:val="single" w:sz="4" w:space="0" w:color="auto"/>
              <w:bottom w:val="single" w:sz="4" w:space="0" w:color="auto"/>
              <w:right w:val="single" w:sz="4" w:space="0" w:color="auto"/>
            </w:tcBorders>
            <w:shd w:val="clear" w:color="auto" w:fill="auto"/>
            <w:noWrap/>
          </w:tcPr>
          <w:p w14:paraId="671488AB" w14:textId="05D8C81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1,665</w:t>
            </w:r>
          </w:p>
        </w:tc>
        <w:tc>
          <w:tcPr>
            <w:tcW w:w="1305" w:type="dxa"/>
            <w:tcBorders>
              <w:top w:val="nil"/>
              <w:left w:val="nil"/>
              <w:bottom w:val="single" w:sz="4" w:space="0" w:color="auto"/>
              <w:right w:val="single" w:sz="4" w:space="0" w:color="auto"/>
            </w:tcBorders>
            <w:shd w:val="clear" w:color="auto" w:fill="auto"/>
            <w:noWrap/>
          </w:tcPr>
          <w:p w14:paraId="19CBF332" w14:textId="6CA65BC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1,709</w:t>
            </w:r>
          </w:p>
        </w:tc>
        <w:tc>
          <w:tcPr>
            <w:tcW w:w="1306" w:type="dxa"/>
            <w:tcBorders>
              <w:top w:val="nil"/>
              <w:left w:val="nil"/>
              <w:bottom w:val="single" w:sz="4" w:space="0" w:color="auto"/>
              <w:right w:val="single" w:sz="4" w:space="0" w:color="auto"/>
            </w:tcBorders>
            <w:shd w:val="clear" w:color="auto" w:fill="auto"/>
            <w:noWrap/>
          </w:tcPr>
          <w:p w14:paraId="403D8E4B" w14:textId="451CDCC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1,792</w:t>
            </w:r>
          </w:p>
        </w:tc>
      </w:tr>
      <w:tr w:rsidR="0020791D" w:rsidRPr="001D42CA" w14:paraId="30BFF63D" w14:textId="477354CD"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9C69CCB" w14:textId="6780674C"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Uganda</w:t>
            </w:r>
          </w:p>
        </w:tc>
        <w:tc>
          <w:tcPr>
            <w:tcW w:w="1111" w:type="dxa"/>
            <w:tcBorders>
              <w:top w:val="nil"/>
              <w:left w:val="nil"/>
              <w:bottom w:val="single" w:sz="4" w:space="0" w:color="auto"/>
              <w:right w:val="single" w:sz="4" w:space="0" w:color="auto"/>
            </w:tcBorders>
            <w:shd w:val="clear" w:color="auto" w:fill="auto"/>
            <w:noWrap/>
          </w:tcPr>
          <w:p w14:paraId="3379FCE6" w14:textId="4407C66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69E7E5A2" w14:textId="7953E1B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6A90F9D3" w14:textId="396A8968"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616F24" w14:textId="4AB706E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34F17226" w14:textId="07F3AF0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DB4ECE1" w14:textId="2A8E7D0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5077EE02" w14:textId="218E207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F565D6C" w14:textId="22951B2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Ukraine</w:t>
            </w:r>
          </w:p>
        </w:tc>
        <w:tc>
          <w:tcPr>
            <w:tcW w:w="1111" w:type="dxa"/>
            <w:tcBorders>
              <w:top w:val="nil"/>
              <w:left w:val="nil"/>
              <w:bottom w:val="single" w:sz="4" w:space="0" w:color="auto"/>
              <w:right w:val="single" w:sz="4" w:space="0" w:color="auto"/>
            </w:tcBorders>
            <w:shd w:val="clear" w:color="auto" w:fill="auto"/>
            <w:noWrap/>
          </w:tcPr>
          <w:p w14:paraId="3F4AE6B7" w14:textId="4D3F4A6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0.056</w:t>
            </w:r>
          </w:p>
        </w:tc>
        <w:tc>
          <w:tcPr>
            <w:tcW w:w="1111" w:type="dxa"/>
            <w:tcBorders>
              <w:top w:val="nil"/>
              <w:left w:val="nil"/>
              <w:bottom w:val="single" w:sz="4" w:space="0" w:color="auto"/>
              <w:right w:val="single" w:sz="4" w:space="0" w:color="auto"/>
            </w:tcBorders>
            <w:shd w:val="clear" w:color="auto" w:fill="auto"/>
            <w:noWrap/>
          </w:tcPr>
          <w:p w14:paraId="3781E0FC" w14:textId="101579A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0.057%</w:t>
            </w:r>
          </w:p>
        </w:tc>
        <w:tc>
          <w:tcPr>
            <w:tcW w:w="1305" w:type="dxa"/>
            <w:tcBorders>
              <w:top w:val="nil"/>
              <w:left w:val="nil"/>
              <w:bottom w:val="single" w:sz="4" w:space="0" w:color="auto"/>
              <w:right w:val="single" w:sz="4" w:space="0" w:color="auto"/>
            </w:tcBorders>
          </w:tcPr>
          <w:p w14:paraId="12210585" w14:textId="47262855"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2,790</w:t>
            </w:r>
          </w:p>
        </w:tc>
        <w:tc>
          <w:tcPr>
            <w:tcW w:w="1306" w:type="dxa"/>
            <w:tcBorders>
              <w:top w:val="nil"/>
              <w:left w:val="single" w:sz="4" w:space="0" w:color="auto"/>
              <w:bottom w:val="single" w:sz="4" w:space="0" w:color="auto"/>
              <w:right w:val="single" w:sz="4" w:space="0" w:color="auto"/>
            </w:tcBorders>
            <w:shd w:val="clear" w:color="auto" w:fill="auto"/>
            <w:noWrap/>
          </w:tcPr>
          <w:p w14:paraId="0CA0E99C" w14:textId="56CD040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2,742</w:t>
            </w:r>
          </w:p>
        </w:tc>
        <w:tc>
          <w:tcPr>
            <w:tcW w:w="1305" w:type="dxa"/>
            <w:tcBorders>
              <w:top w:val="nil"/>
              <w:left w:val="nil"/>
              <w:bottom w:val="single" w:sz="4" w:space="0" w:color="auto"/>
              <w:right w:val="single" w:sz="4" w:space="0" w:color="auto"/>
            </w:tcBorders>
            <w:shd w:val="clear" w:color="auto" w:fill="auto"/>
            <w:noWrap/>
          </w:tcPr>
          <w:p w14:paraId="142EB2C8" w14:textId="7D89ECD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2,815</w:t>
            </w:r>
          </w:p>
        </w:tc>
        <w:tc>
          <w:tcPr>
            <w:tcW w:w="1306" w:type="dxa"/>
            <w:tcBorders>
              <w:top w:val="nil"/>
              <w:left w:val="nil"/>
              <w:bottom w:val="single" w:sz="4" w:space="0" w:color="auto"/>
              <w:right w:val="single" w:sz="4" w:space="0" w:color="auto"/>
            </w:tcBorders>
            <w:shd w:val="clear" w:color="auto" w:fill="auto"/>
            <w:noWrap/>
          </w:tcPr>
          <w:p w14:paraId="5E8D6378" w14:textId="2F4F235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2,952</w:t>
            </w:r>
          </w:p>
        </w:tc>
      </w:tr>
      <w:tr w:rsidR="0020791D" w:rsidRPr="001D42CA" w14:paraId="343DF5BB" w14:textId="241CDC0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23F299DF" w14:textId="49AACAB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United Arab Emirates</w:t>
            </w:r>
          </w:p>
        </w:tc>
        <w:tc>
          <w:tcPr>
            <w:tcW w:w="1111" w:type="dxa"/>
            <w:tcBorders>
              <w:top w:val="nil"/>
              <w:left w:val="nil"/>
              <w:bottom w:val="single" w:sz="4" w:space="0" w:color="auto"/>
              <w:right w:val="single" w:sz="4" w:space="0" w:color="auto"/>
            </w:tcBorders>
            <w:shd w:val="clear" w:color="auto" w:fill="auto"/>
            <w:noWrap/>
          </w:tcPr>
          <w:p w14:paraId="2D05BD01" w14:textId="382E94E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0.635</w:t>
            </w:r>
          </w:p>
        </w:tc>
        <w:tc>
          <w:tcPr>
            <w:tcW w:w="1111" w:type="dxa"/>
            <w:tcBorders>
              <w:top w:val="nil"/>
              <w:left w:val="nil"/>
              <w:bottom w:val="single" w:sz="4" w:space="0" w:color="auto"/>
              <w:right w:val="single" w:sz="4" w:space="0" w:color="auto"/>
            </w:tcBorders>
            <w:shd w:val="clear" w:color="auto" w:fill="auto"/>
            <w:noWrap/>
          </w:tcPr>
          <w:p w14:paraId="5030A3A8" w14:textId="6E127ED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0.652%</w:t>
            </w:r>
          </w:p>
        </w:tc>
        <w:tc>
          <w:tcPr>
            <w:tcW w:w="1305" w:type="dxa"/>
            <w:tcBorders>
              <w:top w:val="nil"/>
              <w:left w:val="nil"/>
              <w:bottom w:val="single" w:sz="4" w:space="0" w:color="auto"/>
              <w:right w:val="single" w:sz="4" w:space="0" w:color="auto"/>
            </w:tcBorders>
          </w:tcPr>
          <w:p w14:paraId="294C9C18" w14:textId="1DE61EA5"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30,151</w:t>
            </w:r>
          </w:p>
        </w:tc>
        <w:tc>
          <w:tcPr>
            <w:tcW w:w="1306" w:type="dxa"/>
            <w:tcBorders>
              <w:top w:val="nil"/>
              <w:left w:val="single" w:sz="4" w:space="0" w:color="auto"/>
              <w:bottom w:val="single" w:sz="4" w:space="0" w:color="auto"/>
              <w:right w:val="single" w:sz="4" w:space="0" w:color="auto"/>
            </w:tcBorders>
            <w:shd w:val="clear" w:color="auto" w:fill="auto"/>
            <w:noWrap/>
          </w:tcPr>
          <w:p w14:paraId="75034B21" w14:textId="17DD8BE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31,091</w:t>
            </w:r>
          </w:p>
        </w:tc>
        <w:tc>
          <w:tcPr>
            <w:tcW w:w="1305" w:type="dxa"/>
            <w:tcBorders>
              <w:top w:val="nil"/>
              <w:left w:val="nil"/>
              <w:bottom w:val="single" w:sz="4" w:space="0" w:color="auto"/>
              <w:right w:val="single" w:sz="4" w:space="0" w:color="auto"/>
            </w:tcBorders>
            <w:shd w:val="clear" w:color="auto" w:fill="auto"/>
            <w:noWrap/>
          </w:tcPr>
          <w:p w14:paraId="1A662ECC" w14:textId="6261EBE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31,925</w:t>
            </w:r>
          </w:p>
        </w:tc>
        <w:tc>
          <w:tcPr>
            <w:tcW w:w="1306" w:type="dxa"/>
            <w:tcBorders>
              <w:top w:val="nil"/>
              <w:left w:val="nil"/>
              <w:bottom w:val="single" w:sz="4" w:space="0" w:color="auto"/>
              <w:right w:val="single" w:sz="4" w:space="0" w:color="auto"/>
            </w:tcBorders>
            <w:shd w:val="clear" w:color="auto" w:fill="auto"/>
            <w:noWrap/>
          </w:tcPr>
          <w:p w14:paraId="5D1DFAAF" w14:textId="61A4071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33,473</w:t>
            </w:r>
          </w:p>
        </w:tc>
      </w:tr>
      <w:tr w:rsidR="00784A64" w:rsidRPr="001D42CA" w14:paraId="37A815F5" w14:textId="77777777" w:rsidTr="00784A64">
        <w:trPr>
          <w:trHeight w:val="276"/>
        </w:trPr>
        <w:tc>
          <w:tcPr>
            <w:tcW w:w="10108" w:type="dxa"/>
            <w:gridSpan w:val="7"/>
            <w:tcBorders>
              <w:top w:val="single" w:sz="4" w:space="0" w:color="auto"/>
            </w:tcBorders>
          </w:tcPr>
          <w:p w14:paraId="03D8BB10" w14:textId="7B0D1EA1" w:rsidR="00784A64" w:rsidRPr="00E17A64" w:rsidRDefault="00784A64" w:rsidP="0020791D">
            <w:pPr>
              <w:ind w:left="0"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Pr>
                <w:rFonts w:asciiTheme="minorHAnsi" w:eastAsia="Times New Roman" w:hAnsiTheme="minorHAnsi" w:cs="Arial"/>
                <w:color w:val="000000"/>
                <w:sz w:val="20"/>
                <w:szCs w:val="20"/>
                <w:lang w:eastAsia="en-GB"/>
              </w:rPr>
              <w:t>.</w:t>
            </w:r>
          </w:p>
          <w:p w14:paraId="2C8CFBE4" w14:textId="77777777" w:rsidR="00784A64" w:rsidRPr="000519D4" w:rsidRDefault="00784A64" w:rsidP="0020791D">
            <w:pPr>
              <w:ind w:left="0" w:firstLine="0"/>
              <w:rPr>
                <w:rFonts w:asciiTheme="minorHAnsi" w:hAnsiTheme="minorHAnsi" w:cstheme="minorHAnsi"/>
                <w:sz w:val="20"/>
                <w:szCs w:val="20"/>
              </w:rPr>
            </w:pPr>
            <w:r w:rsidRPr="00E73DED">
              <w:rPr>
                <w:rFonts w:asciiTheme="minorHAnsi" w:eastAsia="Times New Roman" w:hAnsiTheme="minorHAnsi" w:cs="Arial"/>
                <w:sz w:val="20"/>
                <w:szCs w:val="20"/>
                <w:lang w:eastAsia="en-GB"/>
              </w:rPr>
              <w:t>***</w:t>
            </w:r>
            <w:r>
              <w:rPr>
                <w:rFonts w:asciiTheme="minorHAnsi" w:eastAsia="Times New Roman" w:hAnsiTheme="minorHAnsi" w:cs="Arial"/>
                <w:sz w:val="20"/>
                <w:szCs w:val="20"/>
                <w:lang w:eastAsia="en-GB"/>
              </w:rPr>
              <w:t xml:space="preserve"> O</w:t>
            </w:r>
            <w:r w:rsidRPr="00E73DED">
              <w:rPr>
                <w:rFonts w:asciiTheme="minorHAnsi" w:eastAsia="Times New Roman" w:hAnsiTheme="minorHAnsi" w:cs="Arial"/>
                <w:sz w:val="20"/>
                <w:szCs w:val="20"/>
                <w:lang w:eastAsia="en-GB"/>
              </w:rPr>
              <w:t xml:space="preserve">nly for 2025, while 2023 and 2024 </w:t>
            </w:r>
            <w:r>
              <w:rPr>
                <w:rFonts w:asciiTheme="minorHAnsi" w:eastAsia="Times New Roman" w:hAnsiTheme="minorHAnsi" w:cs="Arial"/>
                <w:sz w:val="20"/>
                <w:szCs w:val="20"/>
                <w:lang w:eastAsia="en-GB"/>
              </w:rPr>
              <w:t xml:space="preserve">are </w:t>
            </w:r>
            <w:r w:rsidRPr="00E73DED">
              <w:rPr>
                <w:rFonts w:asciiTheme="minorHAnsi" w:eastAsia="Times New Roman" w:hAnsiTheme="minorHAnsi" w:cs="Arial"/>
                <w:sz w:val="20"/>
                <w:szCs w:val="20"/>
                <w:lang w:eastAsia="en-GB"/>
              </w:rPr>
              <w:t>the same as Scenario B</w:t>
            </w:r>
            <w:r>
              <w:rPr>
                <w:rFonts w:asciiTheme="minorHAnsi" w:eastAsia="Times New Roman" w:hAnsiTheme="minorHAnsi" w:cs="Arial"/>
                <w:sz w:val="20"/>
                <w:szCs w:val="20"/>
                <w:lang w:eastAsia="en-GB"/>
              </w:rPr>
              <w:t>.</w:t>
            </w:r>
          </w:p>
        </w:tc>
      </w:tr>
      <w:tr w:rsidR="0020791D" w:rsidRPr="001D42CA" w14:paraId="78D6FDCC" w14:textId="5A2E7393"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808E3FF" w14:textId="13CFA50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lastRenderedPageBreak/>
              <w:t xml:space="preserve">United </w:t>
            </w:r>
            <w:r w:rsidRPr="00784A64">
              <w:rPr>
                <w:rFonts w:asciiTheme="minorHAnsi" w:hAnsiTheme="minorHAnsi" w:cstheme="minorHAnsi"/>
                <w:sz w:val="20"/>
                <w:szCs w:val="20"/>
              </w:rPr>
              <w:t>Kingdom</w:t>
            </w:r>
          </w:p>
        </w:tc>
        <w:tc>
          <w:tcPr>
            <w:tcW w:w="1111" w:type="dxa"/>
            <w:tcBorders>
              <w:top w:val="nil"/>
              <w:left w:val="nil"/>
              <w:bottom w:val="single" w:sz="4" w:space="0" w:color="auto"/>
              <w:right w:val="single" w:sz="4" w:space="0" w:color="auto"/>
            </w:tcBorders>
            <w:shd w:val="clear" w:color="auto" w:fill="auto"/>
            <w:noWrap/>
          </w:tcPr>
          <w:p w14:paraId="181F780B" w14:textId="1FFB653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4.375</w:t>
            </w:r>
          </w:p>
        </w:tc>
        <w:tc>
          <w:tcPr>
            <w:tcW w:w="1111" w:type="dxa"/>
            <w:tcBorders>
              <w:top w:val="nil"/>
              <w:left w:val="nil"/>
              <w:bottom w:val="single" w:sz="4" w:space="0" w:color="auto"/>
              <w:right w:val="single" w:sz="4" w:space="0" w:color="auto"/>
            </w:tcBorders>
            <w:shd w:val="clear" w:color="auto" w:fill="auto"/>
            <w:noWrap/>
          </w:tcPr>
          <w:p w14:paraId="0A4CFFA3" w14:textId="0A67077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4.491%</w:t>
            </w:r>
          </w:p>
        </w:tc>
        <w:tc>
          <w:tcPr>
            <w:tcW w:w="1305" w:type="dxa"/>
            <w:tcBorders>
              <w:top w:val="nil"/>
              <w:left w:val="nil"/>
              <w:bottom w:val="single" w:sz="4" w:space="0" w:color="auto"/>
              <w:right w:val="single" w:sz="4" w:space="0" w:color="auto"/>
            </w:tcBorders>
          </w:tcPr>
          <w:p w14:paraId="647ABC77" w14:textId="674CD021" w:rsidR="0020791D" w:rsidRPr="000519D4" w:rsidRDefault="0020791D" w:rsidP="0020791D">
            <w:pPr>
              <w:ind w:left="0" w:firstLine="0"/>
              <w:jc w:val="right"/>
              <w:rPr>
                <w:rFonts w:asciiTheme="minorHAnsi" w:hAnsiTheme="minorHAnsi" w:cstheme="minorHAnsi"/>
                <w:sz w:val="20"/>
                <w:szCs w:val="20"/>
              </w:rPr>
            </w:pPr>
            <w:r w:rsidRPr="00C224BB">
              <w:rPr>
                <w:rFonts w:asciiTheme="minorHAnsi" w:hAnsiTheme="minorHAnsi" w:cstheme="minorHAnsi"/>
                <w:sz w:val="20"/>
                <w:szCs w:val="20"/>
              </w:rPr>
              <w:t>223,536</w:t>
            </w:r>
          </w:p>
        </w:tc>
        <w:tc>
          <w:tcPr>
            <w:tcW w:w="1306" w:type="dxa"/>
            <w:tcBorders>
              <w:top w:val="nil"/>
              <w:left w:val="single" w:sz="4" w:space="0" w:color="auto"/>
              <w:bottom w:val="single" w:sz="4" w:space="0" w:color="auto"/>
              <w:right w:val="single" w:sz="4" w:space="0" w:color="auto"/>
            </w:tcBorders>
            <w:shd w:val="clear" w:color="auto" w:fill="auto"/>
            <w:noWrap/>
          </w:tcPr>
          <w:p w14:paraId="46F7C830" w14:textId="28A8881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214,212</w:t>
            </w:r>
          </w:p>
        </w:tc>
        <w:tc>
          <w:tcPr>
            <w:tcW w:w="1305" w:type="dxa"/>
            <w:tcBorders>
              <w:top w:val="nil"/>
              <w:left w:val="nil"/>
              <w:bottom w:val="single" w:sz="4" w:space="0" w:color="auto"/>
              <w:right w:val="single" w:sz="4" w:space="0" w:color="auto"/>
            </w:tcBorders>
            <w:shd w:val="clear" w:color="auto" w:fill="auto"/>
            <w:noWrap/>
          </w:tcPr>
          <w:p w14:paraId="2AC7A737" w14:textId="6F6B105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219,953</w:t>
            </w:r>
          </w:p>
        </w:tc>
        <w:tc>
          <w:tcPr>
            <w:tcW w:w="1306" w:type="dxa"/>
            <w:tcBorders>
              <w:top w:val="nil"/>
              <w:left w:val="nil"/>
              <w:bottom w:val="single" w:sz="4" w:space="0" w:color="auto"/>
              <w:right w:val="single" w:sz="4" w:space="0" w:color="auto"/>
            </w:tcBorders>
            <w:shd w:val="clear" w:color="auto" w:fill="auto"/>
            <w:noWrap/>
          </w:tcPr>
          <w:p w14:paraId="4866B149" w14:textId="795F213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230,623</w:t>
            </w:r>
          </w:p>
        </w:tc>
      </w:tr>
      <w:tr w:rsidR="0020791D" w:rsidRPr="001D42CA" w14:paraId="694B8031" w14:textId="12FC447C"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6AD36162" w14:textId="03CCFFB0"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United Republic of Tanzania</w:t>
            </w:r>
          </w:p>
        </w:tc>
        <w:tc>
          <w:tcPr>
            <w:tcW w:w="1111" w:type="dxa"/>
            <w:tcBorders>
              <w:top w:val="nil"/>
              <w:left w:val="nil"/>
              <w:bottom w:val="single" w:sz="4" w:space="0" w:color="auto"/>
              <w:right w:val="single" w:sz="4" w:space="0" w:color="auto"/>
            </w:tcBorders>
            <w:shd w:val="clear" w:color="auto" w:fill="auto"/>
            <w:noWrap/>
          </w:tcPr>
          <w:p w14:paraId="4A4BEA8E" w14:textId="6A79A80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111" w:type="dxa"/>
            <w:tcBorders>
              <w:top w:val="nil"/>
              <w:left w:val="nil"/>
              <w:bottom w:val="single" w:sz="4" w:space="0" w:color="auto"/>
              <w:right w:val="single" w:sz="4" w:space="0" w:color="auto"/>
            </w:tcBorders>
            <w:shd w:val="clear" w:color="auto" w:fill="auto"/>
            <w:noWrap/>
          </w:tcPr>
          <w:p w14:paraId="5D723076" w14:textId="582FEB0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0.010%</w:t>
            </w:r>
          </w:p>
        </w:tc>
        <w:tc>
          <w:tcPr>
            <w:tcW w:w="1305" w:type="dxa"/>
            <w:tcBorders>
              <w:top w:val="nil"/>
              <w:left w:val="nil"/>
              <w:bottom w:val="single" w:sz="4" w:space="0" w:color="auto"/>
              <w:right w:val="single" w:sz="4" w:space="0" w:color="auto"/>
            </w:tcBorders>
          </w:tcPr>
          <w:p w14:paraId="4AD6D680" w14:textId="08D9831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0BA07C5" w14:textId="539D0BB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7BC8CF6E" w14:textId="593274BD"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1CA9803" w14:textId="7FB55A6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E0723DA" w14:textId="675D998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081C3A0" w14:textId="3FEF0574"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Uruguay</w:t>
            </w:r>
          </w:p>
        </w:tc>
        <w:tc>
          <w:tcPr>
            <w:tcW w:w="1111" w:type="dxa"/>
            <w:tcBorders>
              <w:top w:val="nil"/>
              <w:left w:val="nil"/>
              <w:bottom w:val="single" w:sz="4" w:space="0" w:color="auto"/>
              <w:right w:val="single" w:sz="4" w:space="0" w:color="auto"/>
            </w:tcBorders>
            <w:shd w:val="clear" w:color="auto" w:fill="auto"/>
            <w:noWrap/>
          </w:tcPr>
          <w:p w14:paraId="5D3A9336" w14:textId="4FB0F82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0.092</w:t>
            </w:r>
          </w:p>
        </w:tc>
        <w:tc>
          <w:tcPr>
            <w:tcW w:w="1111" w:type="dxa"/>
            <w:tcBorders>
              <w:top w:val="nil"/>
              <w:left w:val="nil"/>
              <w:bottom w:val="single" w:sz="4" w:space="0" w:color="auto"/>
              <w:right w:val="single" w:sz="4" w:space="0" w:color="auto"/>
            </w:tcBorders>
            <w:shd w:val="clear" w:color="auto" w:fill="auto"/>
            <w:noWrap/>
          </w:tcPr>
          <w:p w14:paraId="2B2E6066" w14:textId="532CAEC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0.094%</w:t>
            </w:r>
          </w:p>
        </w:tc>
        <w:tc>
          <w:tcPr>
            <w:tcW w:w="1305" w:type="dxa"/>
            <w:tcBorders>
              <w:top w:val="nil"/>
              <w:left w:val="nil"/>
              <w:bottom w:val="single" w:sz="4" w:space="0" w:color="auto"/>
              <w:right w:val="single" w:sz="4" w:space="0" w:color="auto"/>
            </w:tcBorders>
          </w:tcPr>
          <w:p w14:paraId="4067BFF7" w14:textId="6708632B"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4,258</w:t>
            </w:r>
          </w:p>
        </w:tc>
        <w:tc>
          <w:tcPr>
            <w:tcW w:w="1306" w:type="dxa"/>
            <w:tcBorders>
              <w:top w:val="nil"/>
              <w:left w:val="single" w:sz="4" w:space="0" w:color="auto"/>
              <w:bottom w:val="single" w:sz="4" w:space="0" w:color="auto"/>
              <w:right w:val="single" w:sz="4" w:space="0" w:color="auto"/>
            </w:tcBorders>
            <w:shd w:val="clear" w:color="auto" w:fill="auto"/>
            <w:noWrap/>
          </w:tcPr>
          <w:p w14:paraId="2D350478" w14:textId="2EEFCBB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4,505</w:t>
            </w:r>
          </w:p>
        </w:tc>
        <w:tc>
          <w:tcPr>
            <w:tcW w:w="1305" w:type="dxa"/>
            <w:tcBorders>
              <w:top w:val="nil"/>
              <w:left w:val="nil"/>
              <w:bottom w:val="single" w:sz="4" w:space="0" w:color="auto"/>
              <w:right w:val="single" w:sz="4" w:space="0" w:color="auto"/>
            </w:tcBorders>
            <w:shd w:val="clear" w:color="auto" w:fill="auto"/>
            <w:noWrap/>
          </w:tcPr>
          <w:p w14:paraId="65F93A25" w14:textId="18C87C2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4,625</w:t>
            </w:r>
          </w:p>
        </w:tc>
        <w:tc>
          <w:tcPr>
            <w:tcW w:w="1306" w:type="dxa"/>
            <w:tcBorders>
              <w:top w:val="nil"/>
              <w:left w:val="nil"/>
              <w:bottom w:val="single" w:sz="4" w:space="0" w:color="auto"/>
              <w:right w:val="single" w:sz="4" w:space="0" w:color="auto"/>
            </w:tcBorders>
            <w:shd w:val="clear" w:color="auto" w:fill="auto"/>
            <w:noWrap/>
          </w:tcPr>
          <w:p w14:paraId="25389361" w14:textId="5E4F042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4,850</w:t>
            </w:r>
          </w:p>
        </w:tc>
      </w:tr>
      <w:tr w:rsidR="0020791D" w:rsidRPr="001D42CA" w14:paraId="6F92FAF8" w14:textId="759B691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2F74494" w14:textId="056C2CE3"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Uzbekistan</w:t>
            </w:r>
          </w:p>
        </w:tc>
        <w:tc>
          <w:tcPr>
            <w:tcW w:w="1111" w:type="dxa"/>
            <w:tcBorders>
              <w:top w:val="nil"/>
              <w:left w:val="nil"/>
              <w:bottom w:val="single" w:sz="4" w:space="0" w:color="auto"/>
              <w:right w:val="single" w:sz="4" w:space="0" w:color="auto"/>
            </w:tcBorders>
            <w:shd w:val="clear" w:color="auto" w:fill="auto"/>
            <w:noWrap/>
          </w:tcPr>
          <w:p w14:paraId="530EA833" w14:textId="2202B78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0.027</w:t>
            </w:r>
          </w:p>
        </w:tc>
        <w:tc>
          <w:tcPr>
            <w:tcW w:w="1111" w:type="dxa"/>
            <w:tcBorders>
              <w:top w:val="nil"/>
              <w:left w:val="nil"/>
              <w:bottom w:val="single" w:sz="4" w:space="0" w:color="auto"/>
              <w:right w:val="single" w:sz="4" w:space="0" w:color="auto"/>
            </w:tcBorders>
            <w:shd w:val="clear" w:color="auto" w:fill="auto"/>
            <w:noWrap/>
          </w:tcPr>
          <w:p w14:paraId="74577C79" w14:textId="5D47F00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0.028%</w:t>
            </w:r>
          </w:p>
        </w:tc>
        <w:tc>
          <w:tcPr>
            <w:tcW w:w="1305" w:type="dxa"/>
            <w:tcBorders>
              <w:top w:val="nil"/>
              <w:left w:val="nil"/>
              <w:bottom w:val="single" w:sz="4" w:space="0" w:color="auto"/>
              <w:right w:val="single" w:sz="4" w:space="0" w:color="auto"/>
            </w:tcBorders>
          </w:tcPr>
          <w:p w14:paraId="0EFBA1E7" w14:textId="47D1583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1,566</w:t>
            </w:r>
          </w:p>
        </w:tc>
        <w:tc>
          <w:tcPr>
            <w:tcW w:w="1306" w:type="dxa"/>
            <w:tcBorders>
              <w:top w:val="nil"/>
              <w:left w:val="single" w:sz="4" w:space="0" w:color="auto"/>
              <w:bottom w:val="single" w:sz="4" w:space="0" w:color="auto"/>
              <w:right w:val="single" w:sz="4" w:space="0" w:color="auto"/>
            </w:tcBorders>
            <w:shd w:val="clear" w:color="auto" w:fill="auto"/>
            <w:noWrap/>
          </w:tcPr>
          <w:p w14:paraId="5B4F26E4" w14:textId="673C4A4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1,322</w:t>
            </w:r>
          </w:p>
        </w:tc>
        <w:tc>
          <w:tcPr>
            <w:tcW w:w="1305" w:type="dxa"/>
            <w:tcBorders>
              <w:top w:val="nil"/>
              <w:left w:val="nil"/>
              <w:bottom w:val="single" w:sz="4" w:space="0" w:color="auto"/>
              <w:right w:val="single" w:sz="4" w:space="0" w:color="auto"/>
            </w:tcBorders>
            <w:shd w:val="clear" w:color="auto" w:fill="auto"/>
            <w:noWrap/>
          </w:tcPr>
          <w:p w14:paraId="0693D944" w14:textId="56C1110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1,357</w:t>
            </w:r>
          </w:p>
        </w:tc>
        <w:tc>
          <w:tcPr>
            <w:tcW w:w="1306" w:type="dxa"/>
            <w:tcBorders>
              <w:top w:val="nil"/>
              <w:left w:val="nil"/>
              <w:bottom w:val="single" w:sz="4" w:space="0" w:color="auto"/>
              <w:right w:val="single" w:sz="4" w:space="0" w:color="auto"/>
            </w:tcBorders>
            <w:shd w:val="clear" w:color="auto" w:fill="auto"/>
            <w:noWrap/>
          </w:tcPr>
          <w:p w14:paraId="7102B069" w14:textId="47B78F2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1,423</w:t>
            </w:r>
          </w:p>
        </w:tc>
      </w:tr>
      <w:tr w:rsidR="0020791D" w:rsidRPr="001D42CA" w14:paraId="63CB4CA4" w14:textId="7F71FCD2"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4B2E8D0" w14:textId="7698A02B"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Vanuatu</w:t>
            </w:r>
          </w:p>
        </w:tc>
        <w:tc>
          <w:tcPr>
            <w:tcW w:w="1111" w:type="dxa"/>
            <w:tcBorders>
              <w:top w:val="nil"/>
              <w:left w:val="nil"/>
              <w:bottom w:val="single" w:sz="4" w:space="0" w:color="auto"/>
              <w:right w:val="single" w:sz="4" w:space="0" w:color="auto"/>
            </w:tcBorders>
            <w:shd w:val="clear" w:color="auto" w:fill="auto"/>
            <w:noWrap/>
          </w:tcPr>
          <w:p w14:paraId="0E9A62FC" w14:textId="58458BF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111" w:type="dxa"/>
            <w:tcBorders>
              <w:top w:val="nil"/>
              <w:left w:val="nil"/>
              <w:bottom w:val="single" w:sz="4" w:space="0" w:color="auto"/>
              <w:right w:val="single" w:sz="4" w:space="0" w:color="auto"/>
            </w:tcBorders>
            <w:shd w:val="clear" w:color="auto" w:fill="auto"/>
            <w:noWrap/>
          </w:tcPr>
          <w:p w14:paraId="53D414EB" w14:textId="7F17E77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0.001%</w:t>
            </w:r>
          </w:p>
        </w:tc>
        <w:tc>
          <w:tcPr>
            <w:tcW w:w="1305" w:type="dxa"/>
            <w:tcBorders>
              <w:top w:val="nil"/>
              <w:left w:val="nil"/>
              <w:bottom w:val="single" w:sz="4" w:space="0" w:color="auto"/>
              <w:right w:val="single" w:sz="4" w:space="0" w:color="auto"/>
            </w:tcBorders>
          </w:tcPr>
          <w:p w14:paraId="29E348D0" w14:textId="45311509"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0A335E21" w14:textId="667ECF4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FAEDAE6" w14:textId="6B64E6C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22108B43" w14:textId="18F6F26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3D56DA87" w14:textId="6AFC1DB9"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09482179" w14:textId="6CA5F806"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Venezuela (Bolivarian Republic of)</w:t>
            </w:r>
          </w:p>
        </w:tc>
        <w:tc>
          <w:tcPr>
            <w:tcW w:w="1111" w:type="dxa"/>
            <w:tcBorders>
              <w:top w:val="nil"/>
              <w:left w:val="nil"/>
              <w:bottom w:val="single" w:sz="4" w:space="0" w:color="auto"/>
              <w:right w:val="single" w:sz="4" w:space="0" w:color="auto"/>
            </w:tcBorders>
            <w:shd w:val="clear" w:color="auto" w:fill="auto"/>
            <w:noWrap/>
          </w:tcPr>
          <w:p w14:paraId="2F38D608" w14:textId="362901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0.175</w:t>
            </w:r>
          </w:p>
        </w:tc>
        <w:tc>
          <w:tcPr>
            <w:tcW w:w="1111" w:type="dxa"/>
            <w:tcBorders>
              <w:top w:val="nil"/>
              <w:left w:val="nil"/>
              <w:bottom w:val="single" w:sz="4" w:space="0" w:color="auto"/>
              <w:right w:val="single" w:sz="4" w:space="0" w:color="auto"/>
            </w:tcBorders>
            <w:shd w:val="clear" w:color="auto" w:fill="auto"/>
            <w:noWrap/>
          </w:tcPr>
          <w:p w14:paraId="3277B7CA" w14:textId="5E1B42B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0.180%</w:t>
            </w:r>
          </w:p>
        </w:tc>
        <w:tc>
          <w:tcPr>
            <w:tcW w:w="1305" w:type="dxa"/>
            <w:tcBorders>
              <w:top w:val="nil"/>
              <w:left w:val="nil"/>
              <w:bottom w:val="single" w:sz="4" w:space="0" w:color="auto"/>
              <w:right w:val="single" w:sz="4" w:space="0" w:color="auto"/>
            </w:tcBorders>
          </w:tcPr>
          <w:p w14:paraId="68B8EE01" w14:textId="0700CDD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35,633</w:t>
            </w:r>
          </w:p>
        </w:tc>
        <w:tc>
          <w:tcPr>
            <w:tcW w:w="1306" w:type="dxa"/>
            <w:tcBorders>
              <w:top w:val="nil"/>
              <w:left w:val="single" w:sz="4" w:space="0" w:color="auto"/>
              <w:bottom w:val="single" w:sz="4" w:space="0" w:color="auto"/>
              <w:right w:val="single" w:sz="4" w:space="0" w:color="auto"/>
            </w:tcBorders>
            <w:shd w:val="clear" w:color="auto" w:fill="auto"/>
            <w:noWrap/>
          </w:tcPr>
          <w:p w14:paraId="35D293C7" w14:textId="0F6D21D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8,568</w:t>
            </w:r>
          </w:p>
        </w:tc>
        <w:tc>
          <w:tcPr>
            <w:tcW w:w="1305" w:type="dxa"/>
            <w:tcBorders>
              <w:top w:val="nil"/>
              <w:left w:val="nil"/>
              <w:bottom w:val="single" w:sz="4" w:space="0" w:color="auto"/>
              <w:right w:val="single" w:sz="4" w:space="0" w:color="auto"/>
            </w:tcBorders>
            <w:shd w:val="clear" w:color="auto" w:fill="auto"/>
            <w:noWrap/>
          </w:tcPr>
          <w:p w14:paraId="6A7C1980" w14:textId="137E74B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8,798</w:t>
            </w:r>
          </w:p>
        </w:tc>
        <w:tc>
          <w:tcPr>
            <w:tcW w:w="1306" w:type="dxa"/>
            <w:tcBorders>
              <w:top w:val="nil"/>
              <w:left w:val="nil"/>
              <w:bottom w:val="single" w:sz="4" w:space="0" w:color="auto"/>
              <w:right w:val="single" w:sz="4" w:space="0" w:color="auto"/>
            </w:tcBorders>
            <w:shd w:val="clear" w:color="auto" w:fill="auto"/>
            <w:noWrap/>
          </w:tcPr>
          <w:p w14:paraId="35EB2608" w14:textId="7550043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9,225</w:t>
            </w:r>
          </w:p>
        </w:tc>
      </w:tr>
      <w:tr w:rsidR="0020791D" w:rsidRPr="001D42CA" w14:paraId="429420CD" w14:textId="2640C290"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80A53B2" w14:textId="2774B1A5"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Viet Nam</w:t>
            </w:r>
          </w:p>
        </w:tc>
        <w:tc>
          <w:tcPr>
            <w:tcW w:w="1111" w:type="dxa"/>
            <w:tcBorders>
              <w:top w:val="nil"/>
              <w:left w:val="nil"/>
              <w:bottom w:val="single" w:sz="4" w:space="0" w:color="auto"/>
              <w:right w:val="single" w:sz="4" w:space="0" w:color="auto"/>
            </w:tcBorders>
            <w:shd w:val="clear" w:color="auto" w:fill="auto"/>
            <w:noWrap/>
          </w:tcPr>
          <w:p w14:paraId="4F39A7A8" w14:textId="42CFCF1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0.093</w:t>
            </w:r>
          </w:p>
        </w:tc>
        <w:tc>
          <w:tcPr>
            <w:tcW w:w="1111" w:type="dxa"/>
            <w:tcBorders>
              <w:top w:val="nil"/>
              <w:left w:val="nil"/>
              <w:bottom w:val="single" w:sz="4" w:space="0" w:color="auto"/>
              <w:right w:val="single" w:sz="4" w:space="0" w:color="auto"/>
            </w:tcBorders>
            <w:shd w:val="clear" w:color="auto" w:fill="auto"/>
            <w:noWrap/>
          </w:tcPr>
          <w:p w14:paraId="71E1C99F" w14:textId="3948C8DA"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0.095%</w:t>
            </w:r>
          </w:p>
        </w:tc>
        <w:tc>
          <w:tcPr>
            <w:tcW w:w="1305" w:type="dxa"/>
            <w:tcBorders>
              <w:top w:val="nil"/>
              <w:left w:val="nil"/>
              <w:bottom w:val="single" w:sz="4" w:space="0" w:color="auto"/>
              <w:right w:val="single" w:sz="4" w:space="0" w:color="auto"/>
            </w:tcBorders>
          </w:tcPr>
          <w:p w14:paraId="32C45763" w14:textId="44E492B5"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3,769</w:t>
            </w:r>
          </w:p>
        </w:tc>
        <w:tc>
          <w:tcPr>
            <w:tcW w:w="1306" w:type="dxa"/>
            <w:tcBorders>
              <w:top w:val="nil"/>
              <w:left w:val="single" w:sz="4" w:space="0" w:color="auto"/>
              <w:bottom w:val="single" w:sz="4" w:space="0" w:color="auto"/>
              <w:right w:val="single" w:sz="4" w:space="0" w:color="auto"/>
            </w:tcBorders>
            <w:shd w:val="clear" w:color="auto" w:fill="auto"/>
            <w:noWrap/>
          </w:tcPr>
          <w:p w14:paraId="7E00C0AF" w14:textId="198F8A9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4,554</w:t>
            </w:r>
          </w:p>
        </w:tc>
        <w:tc>
          <w:tcPr>
            <w:tcW w:w="1305" w:type="dxa"/>
            <w:tcBorders>
              <w:top w:val="nil"/>
              <w:left w:val="nil"/>
              <w:bottom w:val="single" w:sz="4" w:space="0" w:color="auto"/>
              <w:right w:val="single" w:sz="4" w:space="0" w:color="auto"/>
            </w:tcBorders>
            <w:shd w:val="clear" w:color="auto" w:fill="auto"/>
            <w:noWrap/>
          </w:tcPr>
          <w:p w14:paraId="7DECF760" w14:textId="2656EFA8"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4,676</w:t>
            </w:r>
          </w:p>
        </w:tc>
        <w:tc>
          <w:tcPr>
            <w:tcW w:w="1306" w:type="dxa"/>
            <w:tcBorders>
              <w:top w:val="nil"/>
              <w:left w:val="nil"/>
              <w:bottom w:val="single" w:sz="4" w:space="0" w:color="auto"/>
              <w:right w:val="single" w:sz="4" w:space="0" w:color="auto"/>
            </w:tcBorders>
            <w:shd w:val="clear" w:color="auto" w:fill="auto"/>
            <w:noWrap/>
          </w:tcPr>
          <w:p w14:paraId="06DB1D2F" w14:textId="7034BEE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4,902</w:t>
            </w:r>
          </w:p>
        </w:tc>
      </w:tr>
      <w:tr w:rsidR="0020791D" w:rsidRPr="001D42CA" w14:paraId="7B7AF3FD" w14:textId="322A57E8"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7BB3203" w14:textId="79A5F68A" w:rsidR="0020791D" w:rsidRPr="000519D4" w:rsidRDefault="0020791D" w:rsidP="0020791D">
            <w:pPr>
              <w:ind w:left="0" w:firstLine="0"/>
              <w:rPr>
                <w:rFonts w:asciiTheme="minorHAnsi" w:eastAsia="Times New Roman" w:hAnsiTheme="minorHAnsi" w:cstheme="minorHAnsi"/>
                <w:sz w:val="20"/>
                <w:szCs w:val="20"/>
                <w:lang w:eastAsia="en-GB"/>
              </w:rPr>
            </w:pPr>
            <w:r w:rsidRPr="000519D4">
              <w:rPr>
                <w:rFonts w:asciiTheme="minorHAnsi" w:hAnsiTheme="minorHAnsi" w:cstheme="minorHAnsi"/>
                <w:sz w:val="20"/>
                <w:szCs w:val="20"/>
              </w:rPr>
              <w:t>Yemen</w:t>
            </w:r>
          </w:p>
        </w:tc>
        <w:tc>
          <w:tcPr>
            <w:tcW w:w="1111" w:type="dxa"/>
            <w:tcBorders>
              <w:top w:val="nil"/>
              <w:left w:val="nil"/>
              <w:bottom w:val="single" w:sz="4" w:space="0" w:color="auto"/>
              <w:right w:val="single" w:sz="4" w:space="0" w:color="auto"/>
            </w:tcBorders>
            <w:shd w:val="clear" w:color="auto" w:fill="auto"/>
            <w:noWrap/>
          </w:tcPr>
          <w:p w14:paraId="737A7940" w14:textId="6EEFF62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3C8A7620" w14:textId="06C33746"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484461C5" w14:textId="0FDD040C"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6E2766E" w14:textId="315941F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58E61467" w14:textId="5B6F370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0DA9A756" w14:textId="549EAFC7"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sz w:val="20"/>
                <w:szCs w:val="20"/>
              </w:rPr>
              <w:t>1,000</w:t>
            </w:r>
          </w:p>
        </w:tc>
      </w:tr>
      <w:tr w:rsidR="0020791D" w:rsidRPr="001D42CA" w14:paraId="62BDAA42" w14:textId="7777777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1C9A3441" w14:textId="3C27507C" w:rsidR="0020791D" w:rsidRPr="000519D4" w:rsidRDefault="0020791D" w:rsidP="0020791D">
            <w:pPr>
              <w:ind w:left="0" w:firstLine="0"/>
              <w:rPr>
                <w:rFonts w:asciiTheme="minorHAnsi" w:hAnsiTheme="minorHAnsi" w:cstheme="minorHAnsi"/>
                <w:sz w:val="20"/>
                <w:szCs w:val="20"/>
              </w:rPr>
            </w:pPr>
            <w:r w:rsidRPr="000519D4">
              <w:rPr>
                <w:rFonts w:asciiTheme="minorHAnsi" w:hAnsiTheme="minorHAnsi" w:cstheme="minorHAnsi"/>
                <w:sz w:val="20"/>
                <w:szCs w:val="20"/>
              </w:rPr>
              <w:t>Zambia</w:t>
            </w:r>
          </w:p>
        </w:tc>
        <w:tc>
          <w:tcPr>
            <w:tcW w:w="1111" w:type="dxa"/>
            <w:tcBorders>
              <w:top w:val="nil"/>
              <w:left w:val="nil"/>
              <w:bottom w:val="single" w:sz="4" w:space="0" w:color="auto"/>
              <w:right w:val="single" w:sz="4" w:space="0" w:color="auto"/>
            </w:tcBorders>
            <w:shd w:val="clear" w:color="auto" w:fill="auto"/>
            <w:noWrap/>
          </w:tcPr>
          <w:p w14:paraId="62D355EA" w14:textId="4B47783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0.008</w:t>
            </w:r>
          </w:p>
        </w:tc>
        <w:tc>
          <w:tcPr>
            <w:tcW w:w="1111" w:type="dxa"/>
            <w:tcBorders>
              <w:top w:val="nil"/>
              <w:left w:val="nil"/>
              <w:bottom w:val="single" w:sz="4" w:space="0" w:color="auto"/>
              <w:right w:val="single" w:sz="4" w:space="0" w:color="auto"/>
            </w:tcBorders>
            <w:shd w:val="clear" w:color="auto" w:fill="auto"/>
            <w:noWrap/>
          </w:tcPr>
          <w:p w14:paraId="6093D1FD" w14:textId="0FDBC7A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0.008%</w:t>
            </w:r>
          </w:p>
        </w:tc>
        <w:tc>
          <w:tcPr>
            <w:tcW w:w="1305" w:type="dxa"/>
            <w:tcBorders>
              <w:top w:val="nil"/>
              <w:left w:val="nil"/>
              <w:bottom w:val="single" w:sz="4" w:space="0" w:color="auto"/>
              <w:right w:val="single" w:sz="4" w:space="0" w:color="auto"/>
            </w:tcBorders>
          </w:tcPr>
          <w:p w14:paraId="59F9A9B2" w14:textId="2CF0EF1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21EBCAE7" w14:textId="02678F8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6DD3BA49" w14:textId="3D452BFD"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6E9E6F76" w14:textId="21B55B4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r>
      <w:tr w:rsidR="0020791D" w:rsidRPr="001D42CA" w14:paraId="10329045" w14:textId="77777777"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53B39A0C" w14:textId="5D5B3E1C" w:rsidR="0020791D" w:rsidRPr="000519D4" w:rsidRDefault="0020791D" w:rsidP="0020791D">
            <w:pPr>
              <w:ind w:left="0" w:firstLine="0"/>
              <w:rPr>
                <w:rFonts w:asciiTheme="minorHAnsi" w:hAnsiTheme="minorHAnsi" w:cstheme="minorHAnsi"/>
                <w:sz w:val="20"/>
                <w:szCs w:val="20"/>
              </w:rPr>
            </w:pPr>
            <w:r w:rsidRPr="000519D4">
              <w:rPr>
                <w:rFonts w:asciiTheme="minorHAnsi" w:hAnsiTheme="minorHAnsi" w:cstheme="minorHAnsi"/>
                <w:sz w:val="20"/>
                <w:szCs w:val="20"/>
              </w:rPr>
              <w:t>Zimbabwe</w:t>
            </w:r>
          </w:p>
        </w:tc>
        <w:tc>
          <w:tcPr>
            <w:tcW w:w="1111" w:type="dxa"/>
            <w:tcBorders>
              <w:top w:val="nil"/>
              <w:left w:val="nil"/>
              <w:bottom w:val="single" w:sz="4" w:space="0" w:color="auto"/>
              <w:right w:val="single" w:sz="4" w:space="0" w:color="auto"/>
            </w:tcBorders>
            <w:shd w:val="clear" w:color="auto" w:fill="auto"/>
            <w:noWrap/>
          </w:tcPr>
          <w:p w14:paraId="2C29961A" w14:textId="106A9D8E"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0.007</w:t>
            </w:r>
          </w:p>
        </w:tc>
        <w:tc>
          <w:tcPr>
            <w:tcW w:w="1111" w:type="dxa"/>
            <w:tcBorders>
              <w:top w:val="nil"/>
              <w:left w:val="nil"/>
              <w:bottom w:val="single" w:sz="4" w:space="0" w:color="auto"/>
              <w:right w:val="single" w:sz="4" w:space="0" w:color="auto"/>
            </w:tcBorders>
            <w:shd w:val="clear" w:color="auto" w:fill="auto"/>
            <w:noWrap/>
          </w:tcPr>
          <w:p w14:paraId="527031D2" w14:textId="652AFAD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0.007%</w:t>
            </w:r>
          </w:p>
        </w:tc>
        <w:tc>
          <w:tcPr>
            <w:tcW w:w="1305" w:type="dxa"/>
            <w:tcBorders>
              <w:top w:val="nil"/>
              <w:left w:val="nil"/>
              <w:bottom w:val="single" w:sz="4" w:space="0" w:color="auto"/>
              <w:right w:val="single" w:sz="4" w:space="0" w:color="auto"/>
            </w:tcBorders>
          </w:tcPr>
          <w:p w14:paraId="66D6BDC2" w14:textId="32121290"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single" w:sz="4" w:space="0" w:color="auto"/>
              <w:bottom w:val="single" w:sz="4" w:space="0" w:color="auto"/>
              <w:right w:val="single" w:sz="4" w:space="0" w:color="auto"/>
            </w:tcBorders>
            <w:shd w:val="clear" w:color="auto" w:fill="auto"/>
            <w:noWrap/>
          </w:tcPr>
          <w:p w14:paraId="35341EFB" w14:textId="59EFFD56"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5" w:type="dxa"/>
            <w:tcBorders>
              <w:top w:val="nil"/>
              <w:left w:val="nil"/>
              <w:bottom w:val="single" w:sz="4" w:space="0" w:color="auto"/>
              <w:right w:val="single" w:sz="4" w:space="0" w:color="auto"/>
            </w:tcBorders>
            <w:shd w:val="clear" w:color="auto" w:fill="auto"/>
            <w:noWrap/>
          </w:tcPr>
          <w:p w14:paraId="2B9546EC" w14:textId="62B5ACE2"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c>
          <w:tcPr>
            <w:tcW w:w="1306" w:type="dxa"/>
            <w:tcBorders>
              <w:top w:val="nil"/>
              <w:left w:val="nil"/>
              <w:bottom w:val="single" w:sz="4" w:space="0" w:color="auto"/>
              <w:right w:val="single" w:sz="4" w:space="0" w:color="auto"/>
            </w:tcBorders>
            <w:shd w:val="clear" w:color="auto" w:fill="auto"/>
            <w:noWrap/>
          </w:tcPr>
          <w:p w14:paraId="18CE8701" w14:textId="6EB646F8" w:rsidR="0020791D" w:rsidRPr="000519D4" w:rsidRDefault="0020791D" w:rsidP="0020791D">
            <w:pPr>
              <w:ind w:left="0" w:firstLine="0"/>
              <w:jc w:val="right"/>
              <w:rPr>
                <w:rFonts w:asciiTheme="minorHAnsi" w:hAnsiTheme="minorHAnsi" w:cstheme="minorHAnsi"/>
                <w:sz w:val="20"/>
                <w:szCs w:val="20"/>
              </w:rPr>
            </w:pPr>
            <w:r w:rsidRPr="000519D4">
              <w:rPr>
                <w:rFonts w:asciiTheme="minorHAnsi" w:hAnsiTheme="minorHAnsi" w:cstheme="minorHAnsi"/>
                <w:sz w:val="20"/>
                <w:szCs w:val="20"/>
              </w:rPr>
              <w:t>1,000</w:t>
            </w:r>
          </w:p>
        </w:tc>
      </w:tr>
      <w:tr w:rsidR="0020791D" w:rsidRPr="001D42CA" w14:paraId="45D0FDBF" w14:textId="2A35D765" w:rsidTr="00784A64">
        <w:trPr>
          <w:trHeight w:val="276"/>
        </w:trPr>
        <w:tc>
          <w:tcPr>
            <w:tcW w:w="2664" w:type="dxa"/>
            <w:tcBorders>
              <w:top w:val="nil"/>
              <w:left w:val="single" w:sz="4" w:space="0" w:color="auto"/>
              <w:bottom w:val="single" w:sz="4" w:space="0" w:color="auto"/>
              <w:right w:val="single" w:sz="4" w:space="0" w:color="auto"/>
            </w:tcBorders>
            <w:shd w:val="clear" w:color="auto" w:fill="DBE5F1" w:themeFill="accent1" w:themeFillTint="33"/>
            <w:noWrap/>
          </w:tcPr>
          <w:p w14:paraId="36EF268C" w14:textId="7E73695A" w:rsidR="0020791D" w:rsidRPr="000519D4" w:rsidRDefault="0020791D" w:rsidP="0020791D">
            <w:pPr>
              <w:ind w:left="0" w:firstLine="0"/>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Total</w:t>
            </w:r>
          </w:p>
        </w:tc>
        <w:tc>
          <w:tcPr>
            <w:tcW w:w="1111" w:type="dxa"/>
            <w:tcBorders>
              <w:top w:val="nil"/>
              <w:left w:val="nil"/>
              <w:bottom w:val="single" w:sz="4" w:space="0" w:color="auto"/>
              <w:right w:val="single" w:sz="4" w:space="0" w:color="auto"/>
            </w:tcBorders>
            <w:shd w:val="clear" w:color="auto" w:fill="DBE5F1" w:themeFill="accent1" w:themeFillTint="33"/>
            <w:noWrap/>
          </w:tcPr>
          <w:p w14:paraId="0FA6A998" w14:textId="2C9D9204"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75.978</w:t>
            </w:r>
          </w:p>
        </w:tc>
        <w:tc>
          <w:tcPr>
            <w:tcW w:w="1111" w:type="dxa"/>
            <w:tcBorders>
              <w:top w:val="nil"/>
              <w:left w:val="nil"/>
              <w:bottom w:val="single" w:sz="4" w:space="0" w:color="auto"/>
              <w:right w:val="single" w:sz="4" w:space="0" w:color="auto"/>
            </w:tcBorders>
            <w:shd w:val="clear" w:color="auto" w:fill="DBE5F1" w:themeFill="accent1" w:themeFillTint="33"/>
            <w:noWrap/>
          </w:tcPr>
          <w:p w14:paraId="07C4F2CE" w14:textId="33F761B8"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78.0000%</w:t>
            </w:r>
          </w:p>
        </w:tc>
        <w:tc>
          <w:tcPr>
            <w:tcW w:w="1305" w:type="dxa"/>
            <w:tcBorders>
              <w:top w:val="nil"/>
              <w:left w:val="nil"/>
              <w:bottom w:val="single" w:sz="4" w:space="0" w:color="auto"/>
              <w:right w:val="single" w:sz="4" w:space="0" w:color="auto"/>
            </w:tcBorders>
            <w:shd w:val="clear" w:color="auto" w:fill="F2DBDB" w:themeFill="accent2" w:themeFillTint="33"/>
          </w:tcPr>
          <w:p w14:paraId="7E9029CF" w14:textId="6779BD77" w:rsidR="0020791D" w:rsidRPr="000519D4" w:rsidRDefault="0020791D" w:rsidP="0020791D">
            <w:pPr>
              <w:ind w:left="0" w:firstLine="0"/>
              <w:jc w:val="right"/>
              <w:rPr>
                <w:rFonts w:asciiTheme="minorHAnsi" w:hAnsiTheme="minorHAnsi" w:cstheme="minorHAnsi"/>
                <w:b/>
                <w:bCs/>
                <w:color w:val="000000"/>
                <w:sz w:val="20"/>
                <w:szCs w:val="20"/>
              </w:rPr>
            </w:pPr>
            <w:r w:rsidRPr="0020791D">
              <w:rPr>
                <w:rFonts w:asciiTheme="minorHAnsi" w:hAnsiTheme="minorHAnsi" w:cstheme="minorHAnsi"/>
                <w:b/>
                <w:bCs/>
                <w:color w:val="000000"/>
                <w:sz w:val="20"/>
                <w:szCs w:val="20"/>
              </w:rPr>
              <w:t>3,</w:t>
            </w:r>
            <w:r w:rsidRPr="00784A64">
              <w:rPr>
                <w:rFonts w:asciiTheme="minorHAnsi" w:hAnsiTheme="minorHAnsi" w:cstheme="minorHAnsi"/>
                <w:b/>
                <w:bCs/>
                <w:color w:val="000000"/>
                <w:sz w:val="20"/>
                <w:szCs w:val="20"/>
              </w:rPr>
              <w:t>778</w:t>
            </w:r>
            <w:r w:rsidRPr="0020791D">
              <w:rPr>
                <w:rFonts w:asciiTheme="minorHAnsi" w:hAnsiTheme="minorHAnsi" w:cstheme="minorHAnsi"/>
                <w:b/>
                <w:bCs/>
                <w:color w:val="000000"/>
                <w:sz w:val="20"/>
                <w:szCs w:val="20"/>
              </w:rPr>
              <w:t>,998</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29A3805C" w14:textId="573A9C6F"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3,779,000</w:t>
            </w:r>
          </w:p>
        </w:tc>
        <w:tc>
          <w:tcPr>
            <w:tcW w:w="1305" w:type="dxa"/>
            <w:tcBorders>
              <w:top w:val="nil"/>
              <w:left w:val="nil"/>
              <w:bottom w:val="single" w:sz="4" w:space="0" w:color="auto"/>
              <w:right w:val="single" w:sz="4" w:space="0" w:color="auto"/>
            </w:tcBorders>
            <w:shd w:val="clear" w:color="auto" w:fill="EAF1DD" w:themeFill="accent3" w:themeFillTint="33"/>
            <w:noWrap/>
          </w:tcPr>
          <w:p w14:paraId="008013C1" w14:textId="476313FF"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3,878,000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C828DC8" w14:textId="3F02FB73"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4,062,000</w:t>
            </w:r>
          </w:p>
        </w:tc>
      </w:tr>
      <w:tr w:rsidR="0020791D" w:rsidRPr="001D42CA" w14:paraId="6094464E" w14:textId="0F165D3A"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7DA358B5" w14:textId="697D56C5" w:rsidR="0020791D" w:rsidRPr="000519D4" w:rsidRDefault="0020791D" w:rsidP="0020791D">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Other contributions**</w:t>
            </w:r>
          </w:p>
        </w:tc>
        <w:tc>
          <w:tcPr>
            <w:tcW w:w="1111" w:type="dxa"/>
            <w:tcBorders>
              <w:top w:val="nil"/>
              <w:left w:val="nil"/>
              <w:bottom w:val="single" w:sz="4" w:space="0" w:color="auto"/>
              <w:right w:val="single" w:sz="4" w:space="0" w:color="auto"/>
            </w:tcBorders>
            <w:shd w:val="clear" w:color="auto" w:fill="auto"/>
            <w:noWrap/>
          </w:tcPr>
          <w:p w14:paraId="7E8F0D2A" w14:textId="0876BBC1"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50F8F65F" w14:textId="4E0D9C13"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0000"/>
                <w:sz w:val="20"/>
                <w:szCs w:val="20"/>
              </w:rPr>
              <w:t> </w:t>
            </w:r>
          </w:p>
        </w:tc>
        <w:tc>
          <w:tcPr>
            <w:tcW w:w="1305" w:type="dxa"/>
            <w:tcBorders>
              <w:top w:val="nil"/>
              <w:left w:val="nil"/>
              <w:bottom w:val="single" w:sz="4" w:space="0" w:color="auto"/>
              <w:right w:val="single" w:sz="4" w:space="0" w:color="auto"/>
            </w:tcBorders>
          </w:tcPr>
          <w:p w14:paraId="660E3171" w14:textId="77777777" w:rsidR="0020791D" w:rsidRPr="000519D4" w:rsidRDefault="0020791D" w:rsidP="0020791D">
            <w:pPr>
              <w:ind w:left="0" w:firstLine="0"/>
              <w:jc w:val="right"/>
              <w:rPr>
                <w:rFonts w:asciiTheme="minorHAnsi" w:hAnsiTheme="minorHAnsi" w:cstheme="minorHAnsi"/>
                <w:color w:val="000000"/>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7A108CED" w14:textId="7BA0E21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shd w:val="clear" w:color="auto" w:fill="auto"/>
            <w:noWrap/>
          </w:tcPr>
          <w:p w14:paraId="67FB47F2" w14:textId="7FEA70C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6" w:type="dxa"/>
            <w:tcBorders>
              <w:top w:val="nil"/>
              <w:left w:val="nil"/>
              <w:bottom w:val="single" w:sz="4" w:space="0" w:color="auto"/>
              <w:right w:val="single" w:sz="4" w:space="0" w:color="auto"/>
            </w:tcBorders>
            <w:shd w:val="clear" w:color="auto" w:fill="auto"/>
            <w:noWrap/>
          </w:tcPr>
          <w:p w14:paraId="2E0405D4" w14:textId="5FF4611F"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r>
      <w:tr w:rsidR="0020791D" w:rsidRPr="001D42CA" w14:paraId="03788AFB" w14:textId="58E63505"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3359FD45" w14:textId="40B88746" w:rsidR="0020791D" w:rsidRPr="000519D4" w:rsidRDefault="0020791D" w:rsidP="0020791D">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United States of America</w:t>
            </w:r>
          </w:p>
        </w:tc>
        <w:tc>
          <w:tcPr>
            <w:tcW w:w="1111" w:type="dxa"/>
            <w:tcBorders>
              <w:top w:val="nil"/>
              <w:left w:val="nil"/>
              <w:bottom w:val="single" w:sz="4" w:space="0" w:color="auto"/>
              <w:right w:val="single" w:sz="4" w:space="0" w:color="auto"/>
            </w:tcBorders>
            <w:shd w:val="clear" w:color="auto" w:fill="auto"/>
            <w:noWrap/>
          </w:tcPr>
          <w:p w14:paraId="1E561F3A" w14:textId="022A650C"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68F8C1C5" w14:textId="2F731DF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22%</w:t>
            </w:r>
          </w:p>
        </w:tc>
        <w:tc>
          <w:tcPr>
            <w:tcW w:w="1305" w:type="dxa"/>
            <w:tcBorders>
              <w:top w:val="nil"/>
              <w:left w:val="nil"/>
              <w:bottom w:val="single" w:sz="4" w:space="0" w:color="auto"/>
              <w:right w:val="single" w:sz="4" w:space="0" w:color="auto"/>
            </w:tcBorders>
          </w:tcPr>
          <w:p w14:paraId="104360FB" w14:textId="1009DDC5" w:rsidR="0020791D" w:rsidRPr="000519D4" w:rsidRDefault="0020791D" w:rsidP="0020791D">
            <w:pPr>
              <w:ind w:left="0" w:firstLine="0"/>
              <w:jc w:val="right"/>
              <w:rPr>
                <w:rFonts w:asciiTheme="minorHAnsi" w:hAnsiTheme="minorHAnsi" w:cstheme="minorHAnsi"/>
                <w:color w:val="000000"/>
                <w:sz w:val="20"/>
                <w:szCs w:val="20"/>
              </w:rPr>
            </w:pPr>
            <w:r w:rsidRPr="000519D4">
              <w:rPr>
                <w:rFonts w:asciiTheme="minorHAnsi" w:hAnsiTheme="minorHAnsi" w:cstheme="minorHAnsi"/>
                <w:color w:val="000000"/>
                <w:sz w:val="20"/>
                <w:szCs w:val="20"/>
              </w:rPr>
              <w:t>1,065,799</w:t>
            </w:r>
          </w:p>
        </w:tc>
        <w:tc>
          <w:tcPr>
            <w:tcW w:w="1306" w:type="dxa"/>
            <w:tcBorders>
              <w:top w:val="nil"/>
              <w:left w:val="single" w:sz="4" w:space="0" w:color="auto"/>
              <w:bottom w:val="single" w:sz="4" w:space="0" w:color="auto"/>
              <w:right w:val="single" w:sz="4" w:space="0" w:color="auto"/>
            </w:tcBorders>
            <w:shd w:val="clear" w:color="auto" w:fill="auto"/>
            <w:noWrap/>
          </w:tcPr>
          <w:p w14:paraId="2A2E8A45" w14:textId="498BB8F5"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1,065,799</w:t>
            </w:r>
          </w:p>
        </w:tc>
        <w:tc>
          <w:tcPr>
            <w:tcW w:w="1305" w:type="dxa"/>
            <w:tcBorders>
              <w:top w:val="nil"/>
              <w:left w:val="nil"/>
              <w:bottom w:val="single" w:sz="4" w:space="0" w:color="auto"/>
              <w:right w:val="single" w:sz="4" w:space="0" w:color="auto"/>
            </w:tcBorders>
            <w:shd w:val="clear" w:color="auto" w:fill="auto"/>
            <w:noWrap/>
          </w:tcPr>
          <w:p w14:paraId="567B3B87" w14:textId="32ADBD74"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1,094,000</w:t>
            </w:r>
          </w:p>
        </w:tc>
        <w:tc>
          <w:tcPr>
            <w:tcW w:w="1306" w:type="dxa"/>
            <w:tcBorders>
              <w:top w:val="nil"/>
              <w:left w:val="nil"/>
              <w:bottom w:val="single" w:sz="4" w:space="0" w:color="auto"/>
              <w:right w:val="single" w:sz="4" w:space="0" w:color="auto"/>
            </w:tcBorders>
            <w:shd w:val="clear" w:color="auto" w:fill="auto"/>
            <w:noWrap/>
          </w:tcPr>
          <w:p w14:paraId="50A7884D" w14:textId="4E49E4FB"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1,146,000</w:t>
            </w:r>
          </w:p>
        </w:tc>
      </w:tr>
      <w:tr w:rsidR="0020791D" w:rsidRPr="001D42CA" w14:paraId="0FB2E4D7" w14:textId="43A813AB" w:rsidTr="00784A64">
        <w:trPr>
          <w:trHeight w:val="276"/>
        </w:trPr>
        <w:tc>
          <w:tcPr>
            <w:tcW w:w="2664" w:type="dxa"/>
            <w:tcBorders>
              <w:top w:val="nil"/>
              <w:left w:val="single" w:sz="4" w:space="0" w:color="auto"/>
              <w:bottom w:val="single" w:sz="4" w:space="0" w:color="auto"/>
              <w:right w:val="single" w:sz="4" w:space="0" w:color="auto"/>
            </w:tcBorders>
            <w:shd w:val="clear" w:color="auto" w:fill="auto"/>
            <w:noWrap/>
          </w:tcPr>
          <w:p w14:paraId="427870B6" w14:textId="7987455F" w:rsidR="0020791D" w:rsidRPr="000519D4" w:rsidRDefault="0020791D" w:rsidP="0020791D">
            <w:pPr>
              <w:ind w:left="0" w:firstLine="0"/>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2188D26E" w14:textId="557D54C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noWrap/>
          </w:tcPr>
          <w:p w14:paraId="18FD9769" w14:textId="44296B1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tcPr>
          <w:p w14:paraId="156FE7F3" w14:textId="77777777" w:rsidR="0020791D" w:rsidRPr="000519D4" w:rsidRDefault="0020791D" w:rsidP="0020791D">
            <w:pPr>
              <w:ind w:left="0" w:firstLine="0"/>
              <w:jc w:val="right"/>
              <w:rPr>
                <w:rFonts w:asciiTheme="minorHAnsi" w:hAnsiTheme="minorHAnsi" w:cstheme="minorHAnsi"/>
                <w:color w:val="FF33CC"/>
                <w:sz w:val="20"/>
                <w:szCs w:val="20"/>
              </w:rPr>
            </w:pPr>
          </w:p>
        </w:tc>
        <w:tc>
          <w:tcPr>
            <w:tcW w:w="1306" w:type="dxa"/>
            <w:tcBorders>
              <w:top w:val="nil"/>
              <w:left w:val="single" w:sz="4" w:space="0" w:color="auto"/>
              <w:bottom w:val="single" w:sz="4" w:space="0" w:color="auto"/>
              <w:right w:val="single" w:sz="4" w:space="0" w:color="auto"/>
            </w:tcBorders>
            <w:shd w:val="clear" w:color="auto" w:fill="auto"/>
            <w:noWrap/>
          </w:tcPr>
          <w:p w14:paraId="53A65BA1" w14:textId="03EC25B9"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c>
          <w:tcPr>
            <w:tcW w:w="1305" w:type="dxa"/>
            <w:tcBorders>
              <w:top w:val="nil"/>
              <w:left w:val="nil"/>
              <w:bottom w:val="single" w:sz="4" w:space="0" w:color="auto"/>
              <w:right w:val="single" w:sz="4" w:space="0" w:color="auto"/>
            </w:tcBorders>
            <w:shd w:val="clear" w:color="auto" w:fill="auto"/>
            <w:noWrap/>
          </w:tcPr>
          <w:p w14:paraId="30160A14" w14:textId="2C779520"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c>
          <w:tcPr>
            <w:tcW w:w="1306" w:type="dxa"/>
            <w:tcBorders>
              <w:top w:val="nil"/>
              <w:left w:val="nil"/>
              <w:bottom w:val="single" w:sz="4" w:space="0" w:color="auto"/>
              <w:right w:val="single" w:sz="4" w:space="0" w:color="auto"/>
            </w:tcBorders>
            <w:shd w:val="clear" w:color="auto" w:fill="auto"/>
            <w:noWrap/>
          </w:tcPr>
          <w:p w14:paraId="588D6BE5" w14:textId="02A0C6FE"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FF33CC"/>
                <w:sz w:val="20"/>
                <w:szCs w:val="20"/>
              </w:rPr>
              <w:t> </w:t>
            </w:r>
          </w:p>
        </w:tc>
      </w:tr>
      <w:tr w:rsidR="0020791D" w:rsidRPr="001D42CA" w14:paraId="31A22890" w14:textId="21047E8B" w:rsidTr="00784A64">
        <w:trPr>
          <w:trHeight w:val="276"/>
        </w:trPr>
        <w:tc>
          <w:tcPr>
            <w:tcW w:w="2664" w:type="dxa"/>
            <w:tcBorders>
              <w:top w:val="nil"/>
              <w:left w:val="single" w:sz="4" w:space="0" w:color="auto"/>
              <w:bottom w:val="single" w:sz="4" w:space="0" w:color="auto"/>
              <w:right w:val="single" w:sz="4" w:space="0" w:color="auto"/>
            </w:tcBorders>
            <w:shd w:val="clear" w:color="auto" w:fill="C6D9F1" w:themeFill="text2" w:themeFillTint="33"/>
            <w:noWrap/>
          </w:tcPr>
          <w:p w14:paraId="5D01B2FE" w14:textId="215866D9" w:rsidR="0020791D" w:rsidRPr="000519D4" w:rsidRDefault="0020791D" w:rsidP="0020791D">
            <w:pPr>
              <w:ind w:left="0" w:firstLine="0"/>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Grand Total</w:t>
            </w:r>
          </w:p>
        </w:tc>
        <w:tc>
          <w:tcPr>
            <w:tcW w:w="1111" w:type="dxa"/>
            <w:tcBorders>
              <w:top w:val="nil"/>
              <w:left w:val="nil"/>
              <w:bottom w:val="single" w:sz="4" w:space="0" w:color="auto"/>
              <w:right w:val="single" w:sz="4" w:space="0" w:color="auto"/>
            </w:tcBorders>
            <w:shd w:val="clear" w:color="auto" w:fill="C6D9F1" w:themeFill="text2" w:themeFillTint="33"/>
            <w:noWrap/>
          </w:tcPr>
          <w:p w14:paraId="253C9E88" w14:textId="576E51B2" w:rsidR="0020791D" w:rsidRPr="000519D4" w:rsidRDefault="0020791D" w:rsidP="0020791D">
            <w:pPr>
              <w:ind w:left="0" w:firstLine="0"/>
              <w:jc w:val="right"/>
              <w:rPr>
                <w:rFonts w:asciiTheme="minorHAnsi" w:eastAsia="Times New Roman" w:hAnsiTheme="minorHAnsi" w:cstheme="minorHAnsi"/>
                <w:color w:val="000000"/>
                <w:sz w:val="20"/>
                <w:szCs w:val="20"/>
                <w:lang w:eastAsia="en-GB"/>
              </w:rPr>
            </w:pPr>
            <w:r w:rsidRPr="000519D4">
              <w:rPr>
                <w:rFonts w:asciiTheme="minorHAnsi"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C6D9F1" w:themeFill="text2" w:themeFillTint="33"/>
            <w:noWrap/>
          </w:tcPr>
          <w:p w14:paraId="219A7C3C" w14:textId="3E4102B7" w:rsidR="0020791D" w:rsidRPr="000519D4" w:rsidRDefault="0020791D" w:rsidP="0020791D">
            <w:pPr>
              <w:ind w:left="0" w:firstLine="0"/>
              <w:jc w:val="right"/>
              <w:rPr>
                <w:rFonts w:asciiTheme="minorHAnsi" w:eastAsia="Times New Roman" w:hAnsiTheme="minorHAnsi" w:cstheme="minorHAnsi"/>
                <w:b/>
                <w:color w:val="000000"/>
                <w:sz w:val="20"/>
                <w:szCs w:val="20"/>
                <w:lang w:eastAsia="en-GB"/>
              </w:rPr>
            </w:pPr>
            <w:r w:rsidRPr="000519D4">
              <w:rPr>
                <w:rFonts w:asciiTheme="minorHAnsi" w:hAnsiTheme="minorHAnsi" w:cstheme="minorHAnsi"/>
                <w:color w:val="000000"/>
                <w:sz w:val="20"/>
                <w:szCs w:val="20"/>
              </w:rPr>
              <w:t> </w:t>
            </w:r>
          </w:p>
        </w:tc>
        <w:tc>
          <w:tcPr>
            <w:tcW w:w="1305" w:type="dxa"/>
            <w:tcBorders>
              <w:top w:val="nil"/>
              <w:left w:val="nil"/>
              <w:bottom w:val="single" w:sz="4" w:space="0" w:color="auto"/>
              <w:right w:val="single" w:sz="4" w:space="0" w:color="auto"/>
            </w:tcBorders>
            <w:shd w:val="clear" w:color="auto" w:fill="F2DBDB" w:themeFill="accent2" w:themeFillTint="33"/>
          </w:tcPr>
          <w:p w14:paraId="1593794D" w14:textId="102EC324" w:rsidR="0020791D" w:rsidRPr="000519D4" w:rsidRDefault="0020791D" w:rsidP="0020791D">
            <w:pPr>
              <w:ind w:left="0" w:firstLine="0"/>
              <w:jc w:val="right"/>
              <w:rPr>
                <w:rFonts w:asciiTheme="minorHAnsi" w:hAnsiTheme="minorHAnsi" w:cstheme="minorHAnsi"/>
                <w:b/>
                <w:bCs/>
                <w:color w:val="000000"/>
                <w:sz w:val="20"/>
                <w:szCs w:val="20"/>
              </w:rPr>
            </w:pPr>
            <w:r w:rsidRPr="0020791D">
              <w:rPr>
                <w:rFonts w:asciiTheme="minorHAnsi" w:hAnsiTheme="minorHAnsi" w:cstheme="minorHAnsi"/>
                <w:b/>
                <w:bCs/>
                <w:color w:val="000000"/>
                <w:sz w:val="20"/>
                <w:szCs w:val="20"/>
              </w:rPr>
              <w:t>4,844,797</w:t>
            </w:r>
          </w:p>
        </w:tc>
        <w:tc>
          <w:tcPr>
            <w:tcW w:w="1306" w:type="dxa"/>
            <w:tcBorders>
              <w:top w:val="nil"/>
              <w:left w:val="single" w:sz="4" w:space="0" w:color="auto"/>
              <w:bottom w:val="single" w:sz="4" w:space="0" w:color="auto"/>
              <w:right w:val="single" w:sz="4" w:space="0" w:color="auto"/>
            </w:tcBorders>
            <w:shd w:val="clear" w:color="auto" w:fill="EAF1DD" w:themeFill="accent3" w:themeFillTint="33"/>
            <w:noWrap/>
          </w:tcPr>
          <w:p w14:paraId="3E9CBF72" w14:textId="01222288"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4,844,799</w:t>
            </w:r>
          </w:p>
        </w:tc>
        <w:tc>
          <w:tcPr>
            <w:tcW w:w="1305" w:type="dxa"/>
            <w:tcBorders>
              <w:top w:val="nil"/>
              <w:left w:val="nil"/>
              <w:bottom w:val="single" w:sz="4" w:space="0" w:color="auto"/>
              <w:right w:val="single" w:sz="4" w:space="0" w:color="auto"/>
            </w:tcBorders>
            <w:shd w:val="clear" w:color="auto" w:fill="EAF1DD" w:themeFill="accent3" w:themeFillTint="33"/>
            <w:noWrap/>
          </w:tcPr>
          <w:p w14:paraId="1E69545A" w14:textId="4EAEF1F7"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4,972,000</w:t>
            </w:r>
          </w:p>
        </w:tc>
        <w:tc>
          <w:tcPr>
            <w:tcW w:w="1306" w:type="dxa"/>
            <w:tcBorders>
              <w:top w:val="nil"/>
              <w:left w:val="nil"/>
              <w:bottom w:val="single" w:sz="4" w:space="0" w:color="auto"/>
              <w:right w:val="single" w:sz="4" w:space="0" w:color="auto"/>
            </w:tcBorders>
            <w:shd w:val="clear" w:color="auto" w:fill="EAF1DD" w:themeFill="accent3" w:themeFillTint="33"/>
            <w:noWrap/>
          </w:tcPr>
          <w:p w14:paraId="49D5D5AA" w14:textId="28855E48" w:rsidR="0020791D" w:rsidRPr="000519D4" w:rsidRDefault="0020791D" w:rsidP="0020791D">
            <w:pPr>
              <w:ind w:left="0" w:firstLine="0"/>
              <w:jc w:val="right"/>
              <w:rPr>
                <w:rFonts w:asciiTheme="minorHAnsi" w:eastAsia="Times New Roman" w:hAnsiTheme="minorHAnsi" w:cstheme="minorHAnsi"/>
                <w:b/>
                <w:bCs/>
                <w:color w:val="000000"/>
                <w:sz w:val="20"/>
                <w:szCs w:val="20"/>
                <w:lang w:eastAsia="en-GB"/>
              </w:rPr>
            </w:pPr>
            <w:r w:rsidRPr="000519D4">
              <w:rPr>
                <w:rFonts w:asciiTheme="minorHAnsi" w:hAnsiTheme="minorHAnsi" w:cstheme="minorHAnsi"/>
                <w:b/>
                <w:bCs/>
                <w:color w:val="000000"/>
                <w:sz w:val="20"/>
                <w:szCs w:val="20"/>
              </w:rPr>
              <w:t>5,208,000</w:t>
            </w:r>
          </w:p>
        </w:tc>
      </w:tr>
    </w:tbl>
    <w:p w14:paraId="5F863D23" w14:textId="154EBD5E"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per UN resolution A/RES/76/238; a revised UN Scale will be applied when released</w:t>
      </w:r>
      <w:r w:rsidR="007D61FD">
        <w:rPr>
          <w:rFonts w:asciiTheme="minorHAnsi" w:eastAsia="Times New Roman" w:hAnsiTheme="minorHAnsi" w:cs="Arial"/>
          <w:color w:val="000000"/>
          <w:sz w:val="20"/>
          <w:szCs w:val="20"/>
          <w:lang w:eastAsia="en-GB"/>
        </w:rPr>
        <w:t>.</w:t>
      </w:r>
    </w:p>
    <w:p w14:paraId="3BE45496" w14:textId="1D0A891D" w:rsidR="00E17A64" w:rsidRPr="00E17A64" w:rsidRDefault="00E17A64" w:rsidP="00784A64">
      <w:pPr>
        <w:ind w:left="-426" w:firstLine="0"/>
        <w:rPr>
          <w:rFonts w:asciiTheme="minorHAnsi" w:eastAsia="Times New Roman" w:hAnsiTheme="minorHAnsi" w:cs="Arial"/>
          <w:color w:val="000000"/>
          <w:sz w:val="20"/>
          <w:szCs w:val="20"/>
          <w:lang w:eastAsia="en-GB"/>
        </w:rPr>
      </w:pPr>
      <w:r w:rsidRPr="00E17A64">
        <w:rPr>
          <w:rFonts w:asciiTheme="minorHAnsi" w:eastAsia="Times New Roman" w:hAnsiTheme="minorHAnsi" w:cs="Arial"/>
          <w:color w:val="000000"/>
          <w:sz w:val="20"/>
          <w:szCs w:val="20"/>
          <w:lang w:eastAsia="en-GB"/>
        </w:rPr>
        <w:t>** As previously, voluntary contribution of 22% of total contributions from Contracting Parties</w:t>
      </w:r>
      <w:r w:rsidR="007D61FD">
        <w:rPr>
          <w:rFonts w:asciiTheme="minorHAnsi" w:eastAsia="Times New Roman" w:hAnsiTheme="minorHAnsi" w:cs="Arial"/>
          <w:color w:val="000000"/>
          <w:sz w:val="20"/>
          <w:szCs w:val="20"/>
          <w:lang w:eastAsia="en-GB"/>
        </w:rPr>
        <w:t>.</w:t>
      </w:r>
    </w:p>
    <w:p w14:paraId="700ECE11" w14:textId="0D18AE01" w:rsidR="00464F8A" w:rsidRPr="007D61FD" w:rsidRDefault="00E17A64" w:rsidP="00784A64">
      <w:pPr>
        <w:ind w:left="-426" w:firstLine="0"/>
        <w:rPr>
          <w:rFonts w:asciiTheme="minorHAnsi" w:eastAsia="Times New Roman" w:hAnsiTheme="minorHAnsi" w:cs="Arial"/>
          <w:sz w:val="20"/>
          <w:szCs w:val="20"/>
          <w:lang w:eastAsia="en-GB"/>
        </w:rPr>
      </w:pPr>
      <w:r w:rsidRPr="007D61FD">
        <w:rPr>
          <w:rFonts w:asciiTheme="minorHAnsi" w:eastAsia="Times New Roman" w:hAnsiTheme="minorHAnsi" w:cs="Arial"/>
          <w:sz w:val="20"/>
          <w:szCs w:val="20"/>
          <w:lang w:eastAsia="en-GB"/>
        </w:rPr>
        <w:t>***</w:t>
      </w:r>
      <w:r w:rsidR="007D61FD">
        <w:rPr>
          <w:rFonts w:asciiTheme="minorHAnsi" w:eastAsia="Times New Roman" w:hAnsiTheme="minorHAnsi" w:cs="Arial"/>
          <w:sz w:val="20"/>
          <w:szCs w:val="20"/>
          <w:lang w:eastAsia="en-GB"/>
        </w:rPr>
        <w:t xml:space="preserve"> O</w:t>
      </w:r>
      <w:r w:rsidRPr="007D61FD">
        <w:rPr>
          <w:rFonts w:asciiTheme="minorHAnsi" w:eastAsia="Times New Roman" w:hAnsiTheme="minorHAnsi" w:cs="Arial"/>
          <w:sz w:val="20"/>
          <w:szCs w:val="20"/>
          <w:lang w:eastAsia="en-GB"/>
        </w:rPr>
        <w:t xml:space="preserve">nly for 2025, while 2023 and 2024 </w:t>
      </w:r>
      <w:r w:rsidR="007D61FD">
        <w:rPr>
          <w:rFonts w:asciiTheme="minorHAnsi" w:eastAsia="Times New Roman" w:hAnsiTheme="minorHAnsi" w:cs="Arial"/>
          <w:sz w:val="20"/>
          <w:szCs w:val="20"/>
          <w:lang w:eastAsia="en-GB"/>
        </w:rPr>
        <w:t xml:space="preserve">are </w:t>
      </w:r>
      <w:r w:rsidRPr="007D61FD">
        <w:rPr>
          <w:rFonts w:asciiTheme="minorHAnsi" w:eastAsia="Times New Roman" w:hAnsiTheme="minorHAnsi" w:cs="Arial"/>
          <w:sz w:val="20"/>
          <w:szCs w:val="20"/>
          <w:lang w:eastAsia="en-GB"/>
        </w:rPr>
        <w:t>the same as Scenario B</w:t>
      </w:r>
      <w:r w:rsidR="007D61FD">
        <w:rPr>
          <w:rFonts w:asciiTheme="minorHAnsi" w:eastAsia="Times New Roman" w:hAnsiTheme="minorHAnsi" w:cs="Arial"/>
          <w:sz w:val="20"/>
          <w:szCs w:val="20"/>
          <w:lang w:eastAsia="en-GB"/>
        </w:rPr>
        <w:t>.</w:t>
      </w:r>
    </w:p>
    <w:p w14:paraId="72FBF152" w14:textId="77777777" w:rsidR="00F36A95" w:rsidRDefault="00F36A95">
      <w:pPr>
        <w:rPr>
          <w:rFonts w:cs="Arial"/>
          <w:b/>
          <w:sz w:val="24"/>
          <w:szCs w:val="24"/>
        </w:rPr>
      </w:pPr>
      <w:r>
        <w:rPr>
          <w:rFonts w:cs="Arial"/>
          <w:b/>
          <w:sz w:val="24"/>
          <w:szCs w:val="24"/>
        </w:rPr>
        <w:br w:type="page"/>
      </w:r>
    </w:p>
    <w:p w14:paraId="5B306A1F" w14:textId="6FC1A5A0" w:rsidR="00464F8A" w:rsidRPr="00464F8A" w:rsidRDefault="00464F8A" w:rsidP="00464F8A">
      <w:pPr>
        <w:pStyle w:val="ListParagraph"/>
        <w:ind w:left="0" w:firstLine="0"/>
        <w:contextualSpacing w:val="0"/>
        <w:rPr>
          <w:rFonts w:cs="Arial"/>
          <w:b/>
          <w:sz w:val="24"/>
          <w:szCs w:val="24"/>
        </w:rPr>
      </w:pPr>
      <w:r w:rsidRPr="00464F8A">
        <w:rPr>
          <w:rFonts w:cs="Arial"/>
          <w:b/>
          <w:sz w:val="24"/>
          <w:szCs w:val="24"/>
        </w:rPr>
        <w:lastRenderedPageBreak/>
        <w:t xml:space="preserve">Annex </w:t>
      </w:r>
      <w:r w:rsidR="00B36736">
        <w:rPr>
          <w:rFonts w:cs="Arial"/>
          <w:b/>
          <w:sz w:val="24"/>
          <w:szCs w:val="24"/>
        </w:rPr>
        <w:t>3</w:t>
      </w:r>
    </w:p>
    <w:p w14:paraId="005D0232" w14:textId="53C13723" w:rsidR="00464F8A" w:rsidRPr="001D42CA" w:rsidRDefault="00464F8A" w:rsidP="00464F8A">
      <w:pPr>
        <w:ind w:left="0" w:firstLine="0"/>
        <w:rPr>
          <w:rFonts w:asciiTheme="minorHAnsi" w:hAnsiTheme="minorHAnsi"/>
          <w:b/>
          <w:bCs/>
          <w:sz w:val="24"/>
          <w:szCs w:val="24"/>
          <w:lang w:eastAsia="en-GB"/>
        </w:rPr>
      </w:pPr>
      <w:r w:rsidRPr="001D42CA">
        <w:rPr>
          <w:rFonts w:asciiTheme="minorHAnsi" w:hAnsiTheme="minorHAnsi"/>
          <w:b/>
          <w:bCs/>
          <w:sz w:val="24"/>
          <w:szCs w:val="24"/>
          <w:lang w:eastAsia="en-GB"/>
        </w:rPr>
        <w:t xml:space="preserve">Secretariat staff (core) for </w:t>
      </w:r>
      <w:r w:rsidR="00B36736" w:rsidRPr="001D42CA">
        <w:rPr>
          <w:rFonts w:asciiTheme="minorHAnsi" w:hAnsiTheme="minorHAnsi"/>
          <w:b/>
          <w:bCs/>
          <w:sz w:val="24"/>
          <w:szCs w:val="24"/>
          <w:lang w:eastAsia="en-GB"/>
        </w:rPr>
        <w:t>20</w:t>
      </w:r>
      <w:r w:rsidR="00B36736">
        <w:rPr>
          <w:rFonts w:asciiTheme="minorHAnsi" w:hAnsiTheme="minorHAnsi"/>
          <w:b/>
          <w:bCs/>
          <w:sz w:val="24"/>
          <w:szCs w:val="24"/>
          <w:lang w:eastAsia="en-GB"/>
        </w:rPr>
        <w:t>23</w:t>
      </w:r>
      <w:r w:rsidRPr="001D42CA">
        <w:rPr>
          <w:rFonts w:asciiTheme="minorHAnsi" w:hAnsiTheme="minorHAnsi"/>
          <w:b/>
          <w:bCs/>
          <w:sz w:val="24"/>
          <w:szCs w:val="24"/>
          <w:lang w:eastAsia="en-GB"/>
        </w:rPr>
        <w:t>-</w:t>
      </w:r>
      <w:r w:rsidR="00B36736" w:rsidRPr="001D42CA">
        <w:rPr>
          <w:rFonts w:asciiTheme="minorHAnsi" w:hAnsiTheme="minorHAnsi"/>
          <w:b/>
          <w:bCs/>
          <w:sz w:val="24"/>
          <w:szCs w:val="24"/>
          <w:lang w:eastAsia="en-GB"/>
        </w:rPr>
        <w:t>20</w:t>
      </w:r>
      <w:r w:rsidR="00B36736">
        <w:rPr>
          <w:rFonts w:asciiTheme="minorHAnsi" w:hAnsiTheme="minorHAnsi"/>
          <w:b/>
          <w:bCs/>
          <w:sz w:val="24"/>
          <w:szCs w:val="24"/>
          <w:lang w:eastAsia="en-GB"/>
        </w:rPr>
        <w:t xml:space="preserve">25 </w:t>
      </w:r>
      <w:bookmarkStart w:id="1" w:name="_GoBack"/>
      <w:bookmarkEnd w:id="1"/>
      <w:r w:rsidRPr="001D42CA">
        <w:rPr>
          <w:rFonts w:asciiTheme="minorHAnsi" w:hAnsiTheme="minorHAnsi"/>
          <w:b/>
          <w:bCs/>
          <w:sz w:val="24"/>
          <w:szCs w:val="24"/>
          <w:lang w:eastAsia="en-GB"/>
        </w:rPr>
        <w:t xml:space="preserve">as per budget in </w:t>
      </w:r>
      <w:r w:rsidRPr="00586541">
        <w:rPr>
          <w:rFonts w:asciiTheme="minorHAnsi" w:hAnsiTheme="minorHAnsi"/>
          <w:b/>
          <w:bCs/>
          <w:sz w:val="24"/>
          <w:szCs w:val="24"/>
          <w:lang w:eastAsia="en-GB"/>
        </w:rPr>
        <w:t>Annex 1</w:t>
      </w:r>
    </w:p>
    <w:p w14:paraId="7D797047" w14:textId="77777777" w:rsidR="003D1E71" w:rsidRPr="001D42CA" w:rsidRDefault="003D1E71" w:rsidP="00464F8A">
      <w:pPr>
        <w:rPr>
          <w:rFonts w:ascii="Arial" w:eastAsia="Times New Roman" w:hAnsi="Arial" w:cs="Arial"/>
          <w:sz w:val="18"/>
          <w:szCs w:val="18"/>
          <w:lang w:eastAsia="en-GB"/>
        </w:rPr>
      </w:pPr>
    </w:p>
    <w:tbl>
      <w:tblPr>
        <w:tblW w:w="9072" w:type="dxa"/>
        <w:tblInd w:w="-5" w:type="dxa"/>
        <w:tblLayout w:type="fixed"/>
        <w:tblCellMar>
          <w:top w:w="57" w:type="dxa"/>
          <w:left w:w="57" w:type="dxa"/>
          <w:bottom w:w="57" w:type="dxa"/>
          <w:right w:w="57" w:type="dxa"/>
        </w:tblCellMar>
        <w:tblLook w:val="04A0" w:firstRow="1" w:lastRow="0" w:firstColumn="1" w:lastColumn="0" w:noHBand="0" w:noVBand="1"/>
      </w:tblPr>
      <w:tblGrid>
        <w:gridCol w:w="3173"/>
        <w:gridCol w:w="1363"/>
        <w:gridCol w:w="1697"/>
        <w:gridCol w:w="1280"/>
        <w:gridCol w:w="1559"/>
      </w:tblGrid>
      <w:tr w:rsidR="00464F8A" w:rsidRPr="001D42CA" w14:paraId="3801E82B" w14:textId="77777777" w:rsidTr="003D1E71">
        <w:trPr>
          <w:trHeight w:val="264"/>
        </w:trPr>
        <w:tc>
          <w:tcPr>
            <w:tcW w:w="317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5897B4" w14:textId="77777777" w:rsidR="00464F8A" w:rsidRPr="001D42CA" w:rsidRDefault="00464F8A"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Team</w:t>
            </w:r>
          </w:p>
        </w:tc>
        <w:tc>
          <w:tcPr>
            <w:tcW w:w="136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8C0D269" w14:textId="14E3FA1C" w:rsidR="00464F8A" w:rsidRPr="001D42CA" w:rsidRDefault="00464F8A"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22</w:t>
            </w:r>
          </w:p>
        </w:tc>
        <w:tc>
          <w:tcPr>
            <w:tcW w:w="169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854E4A0" w14:textId="08FEC31E" w:rsidR="00464F8A" w:rsidRPr="001D42CA" w:rsidRDefault="00464F8A"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w:t>
            </w:r>
            <w:r>
              <w:rPr>
                <w:rFonts w:asciiTheme="minorHAnsi" w:eastAsia="Times New Roman" w:hAnsiTheme="minorHAnsi" w:cs="Arial"/>
                <w:b/>
                <w:bCs/>
                <w:sz w:val="20"/>
                <w:szCs w:val="20"/>
                <w:lang w:eastAsia="en-GB"/>
              </w:rPr>
              <w:t>23</w:t>
            </w:r>
          </w:p>
        </w:tc>
        <w:tc>
          <w:tcPr>
            <w:tcW w:w="128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D3D033" w14:textId="308FF931" w:rsidR="00464F8A" w:rsidRPr="001D42CA" w:rsidRDefault="00464F8A"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4</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E71AF5" w14:textId="1E57957C" w:rsidR="00464F8A" w:rsidRPr="001D42CA" w:rsidRDefault="00464F8A" w:rsidP="00105E0C">
            <w:pPr>
              <w:ind w:left="0" w:firstLine="0"/>
              <w:jc w:val="center"/>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202</w:t>
            </w:r>
            <w:r>
              <w:rPr>
                <w:rFonts w:asciiTheme="minorHAnsi" w:eastAsia="Times New Roman" w:hAnsiTheme="minorHAnsi" w:cs="Arial"/>
                <w:b/>
                <w:bCs/>
                <w:sz w:val="20"/>
                <w:szCs w:val="20"/>
                <w:lang w:eastAsia="en-GB"/>
              </w:rPr>
              <w:t>5</w:t>
            </w:r>
          </w:p>
        </w:tc>
      </w:tr>
      <w:tr w:rsidR="00464F8A" w:rsidRPr="001D42CA" w14:paraId="37B19881" w14:textId="77777777" w:rsidTr="003D1E71">
        <w:trPr>
          <w:trHeight w:val="528"/>
        </w:trPr>
        <w:tc>
          <w:tcPr>
            <w:tcW w:w="3173" w:type="dxa"/>
            <w:tcBorders>
              <w:top w:val="single" w:sz="4" w:space="0" w:color="auto"/>
              <w:left w:val="single" w:sz="4" w:space="0" w:color="auto"/>
              <w:bottom w:val="single" w:sz="4" w:space="0" w:color="auto"/>
              <w:right w:val="single" w:sz="4" w:space="0" w:color="auto"/>
            </w:tcBorders>
            <w:shd w:val="clear" w:color="auto" w:fill="auto"/>
            <w:noWrap/>
            <w:hideMark/>
          </w:tcPr>
          <w:p w14:paraId="3C34982E" w14:textId="7777777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Secretariat Senior Management</w:t>
            </w:r>
          </w:p>
        </w:tc>
        <w:tc>
          <w:tcPr>
            <w:tcW w:w="1363" w:type="dxa"/>
            <w:tcBorders>
              <w:top w:val="single" w:sz="4" w:space="0" w:color="auto"/>
              <w:left w:val="nil"/>
              <w:bottom w:val="single" w:sz="4" w:space="0" w:color="auto"/>
              <w:right w:val="single" w:sz="4" w:space="0" w:color="auto"/>
            </w:tcBorders>
            <w:shd w:val="clear" w:color="auto" w:fill="auto"/>
            <w:noWrap/>
            <w:hideMark/>
          </w:tcPr>
          <w:p w14:paraId="09B115EA" w14:textId="77777777" w:rsidR="00586541"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w:t>
            </w:r>
            <w:r w:rsidR="009A2A51">
              <w:rPr>
                <w:rFonts w:asciiTheme="minorHAnsi" w:eastAsia="Times New Roman" w:hAnsiTheme="minorHAnsi" w:cs="Arial"/>
                <w:sz w:val="20"/>
                <w:szCs w:val="20"/>
                <w:lang w:eastAsia="en-GB"/>
              </w:rPr>
              <w:t xml:space="preserve">1 D, </w:t>
            </w:r>
            <w:r>
              <w:rPr>
                <w:rFonts w:asciiTheme="minorHAnsi" w:eastAsia="Times New Roman" w:hAnsiTheme="minorHAnsi" w:cs="Arial"/>
                <w:sz w:val="20"/>
                <w:szCs w:val="20"/>
                <w:lang w:eastAsia="en-GB"/>
              </w:rPr>
              <w:t>1</w:t>
            </w:r>
            <w:r w:rsidR="009A2A51">
              <w:rPr>
                <w:rFonts w:asciiTheme="minorHAnsi" w:eastAsia="Times New Roman" w:hAnsiTheme="minorHAnsi" w:cs="Arial"/>
                <w:sz w:val="20"/>
                <w:szCs w:val="20"/>
                <w:lang w:eastAsia="en-GB"/>
              </w:rPr>
              <w:t xml:space="preserve"> </w:t>
            </w:r>
            <w:r>
              <w:rPr>
                <w:rFonts w:asciiTheme="minorHAnsi" w:eastAsia="Times New Roman" w:hAnsiTheme="minorHAnsi" w:cs="Arial"/>
                <w:sz w:val="20"/>
                <w:szCs w:val="20"/>
                <w:lang w:eastAsia="en-GB"/>
              </w:rPr>
              <w:t>P2,</w:t>
            </w:r>
          </w:p>
          <w:p w14:paraId="48BEFF64" w14:textId="69A26CFA" w:rsidR="00464F8A" w:rsidRPr="001D42CA" w:rsidRDefault="00464F8A"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A3</w:t>
            </w:r>
          </w:p>
        </w:tc>
        <w:tc>
          <w:tcPr>
            <w:tcW w:w="1697" w:type="dxa"/>
            <w:tcBorders>
              <w:top w:val="single" w:sz="4" w:space="0" w:color="auto"/>
              <w:left w:val="nil"/>
              <w:bottom w:val="single" w:sz="4" w:space="0" w:color="auto"/>
              <w:right w:val="single" w:sz="4" w:space="0" w:color="auto"/>
            </w:tcBorders>
            <w:shd w:val="clear" w:color="auto" w:fill="auto"/>
            <w:hideMark/>
          </w:tcPr>
          <w:p w14:paraId="625881A2" w14:textId="7DFBDE5E"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sidR="009A2A51">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1 P2, </w:t>
            </w:r>
            <w:r w:rsidRPr="001D42CA">
              <w:rPr>
                <w:rFonts w:asciiTheme="minorHAnsi" w:eastAsia="Times New Roman" w:hAnsiTheme="minorHAnsi" w:cs="Arial"/>
                <w:sz w:val="20"/>
                <w:szCs w:val="20"/>
                <w:lang w:eastAsia="en-GB"/>
              </w:rPr>
              <w:br/>
              <w:t>2 A3</w:t>
            </w:r>
          </w:p>
        </w:tc>
        <w:tc>
          <w:tcPr>
            <w:tcW w:w="1280" w:type="dxa"/>
            <w:tcBorders>
              <w:top w:val="single" w:sz="4" w:space="0" w:color="auto"/>
              <w:left w:val="nil"/>
              <w:bottom w:val="single" w:sz="4" w:space="0" w:color="auto"/>
              <w:right w:val="single" w:sz="4" w:space="0" w:color="auto"/>
            </w:tcBorders>
            <w:shd w:val="clear" w:color="auto" w:fill="auto"/>
            <w:hideMark/>
          </w:tcPr>
          <w:p w14:paraId="787209AD" w14:textId="76DFD168"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sidR="009A2A51">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1 P2,</w:t>
            </w:r>
            <w:r w:rsidR="009A2A51">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2 A3</w:t>
            </w:r>
          </w:p>
        </w:tc>
        <w:tc>
          <w:tcPr>
            <w:tcW w:w="1559" w:type="dxa"/>
            <w:tcBorders>
              <w:top w:val="single" w:sz="4" w:space="0" w:color="auto"/>
              <w:left w:val="nil"/>
              <w:bottom w:val="single" w:sz="4" w:space="0" w:color="auto"/>
              <w:right w:val="single" w:sz="4" w:space="0" w:color="auto"/>
            </w:tcBorders>
            <w:shd w:val="clear" w:color="auto" w:fill="auto"/>
            <w:hideMark/>
          </w:tcPr>
          <w:p w14:paraId="49EA2C48" w14:textId="03716AA3"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S, 1 </w:t>
            </w:r>
            <w:r w:rsidR="009A2A51">
              <w:rPr>
                <w:rFonts w:asciiTheme="minorHAnsi" w:eastAsia="Times New Roman" w:hAnsiTheme="minorHAnsi" w:cs="Arial"/>
                <w:sz w:val="20"/>
                <w:szCs w:val="20"/>
                <w:lang w:eastAsia="en-GB"/>
              </w:rPr>
              <w:t>D</w:t>
            </w:r>
            <w:r w:rsidRPr="001D42CA">
              <w:rPr>
                <w:rFonts w:asciiTheme="minorHAnsi" w:eastAsia="Times New Roman" w:hAnsiTheme="minorHAnsi" w:cs="Arial"/>
                <w:sz w:val="20"/>
                <w:szCs w:val="20"/>
                <w:lang w:eastAsia="en-GB"/>
              </w:rPr>
              <w:t xml:space="preserve">, 1 P2, </w:t>
            </w:r>
            <w:r w:rsidRPr="001D42CA">
              <w:rPr>
                <w:rFonts w:asciiTheme="minorHAnsi" w:eastAsia="Times New Roman" w:hAnsiTheme="minorHAnsi" w:cs="Arial"/>
                <w:sz w:val="20"/>
                <w:szCs w:val="20"/>
                <w:lang w:eastAsia="en-GB"/>
              </w:rPr>
              <w:br/>
              <w:t>2 A3</w:t>
            </w:r>
          </w:p>
        </w:tc>
      </w:tr>
      <w:tr w:rsidR="00464F8A" w:rsidRPr="001D42CA" w14:paraId="2D8AC8B4" w14:textId="77777777" w:rsidTr="003D1E71">
        <w:trPr>
          <w:trHeight w:val="528"/>
        </w:trPr>
        <w:tc>
          <w:tcPr>
            <w:tcW w:w="3173" w:type="dxa"/>
            <w:tcBorders>
              <w:top w:val="nil"/>
              <w:left w:val="single" w:sz="4" w:space="0" w:color="auto"/>
              <w:bottom w:val="single" w:sz="4" w:space="0" w:color="auto"/>
              <w:right w:val="single" w:sz="4" w:space="0" w:color="auto"/>
            </w:tcBorders>
            <w:shd w:val="clear" w:color="auto" w:fill="auto"/>
            <w:noWrap/>
            <w:hideMark/>
          </w:tcPr>
          <w:p w14:paraId="3334583E" w14:textId="7777777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Resource Mobilization and Outreach</w:t>
            </w:r>
          </w:p>
        </w:tc>
        <w:tc>
          <w:tcPr>
            <w:tcW w:w="1363" w:type="dxa"/>
            <w:tcBorders>
              <w:top w:val="nil"/>
              <w:left w:val="nil"/>
              <w:bottom w:val="single" w:sz="4" w:space="0" w:color="auto"/>
              <w:right w:val="single" w:sz="4" w:space="0" w:color="auto"/>
            </w:tcBorders>
            <w:shd w:val="clear" w:color="auto" w:fill="auto"/>
            <w:noWrap/>
            <w:hideMark/>
          </w:tcPr>
          <w:p w14:paraId="7A2A1205" w14:textId="359AD7FD" w:rsidR="00464F8A" w:rsidRPr="001D42CA" w:rsidRDefault="009A2A51"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w:t>
            </w:r>
            <w:r w:rsidR="00464F8A" w:rsidRPr="001D42CA">
              <w:rPr>
                <w:rFonts w:asciiTheme="minorHAnsi" w:eastAsia="Times New Roman" w:hAnsiTheme="minorHAnsi" w:cs="Arial"/>
                <w:sz w:val="20"/>
                <w:szCs w:val="20"/>
                <w:lang w:eastAsia="en-GB"/>
              </w:rPr>
              <w:t>P</w:t>
            </w:r>
            <w:r>
              <w:rPr>
                <w:rFonts w:asciiTheme="minorHAnsi" w:eastAsia="Times New Roman" w:hAnsiTheme="minorHAnsi" w:cs="Arial"/>
                <w:sz w:val="20"/>
                <w:szCs w:val="20"/>
                <w:lang w:eastAsia="en-GB"/>
              </w:rPr>
              <w:t>2</w:t>
            </w:r>
            <w:r w:rsidR="00464F8A">
              <w:rPr>
                <w:rFonts w:asciiTheme="minorHAnsi" w:eastAsia="Times New Roman" w:hAnsiTheme="minorHAnsi" w:cs="Arial"/>
                <w:sz w:val="20"/>
                <w:szCs w:val="20"/>
                <w:lang w:eastAsia="en-GB"/>
              </w:rPr>
              <w:t>, 1</w:t>
            </w:r>
            <w:r>
              <w:rPr>
                <w:rFonts w:asciiTheme="minorHAnsi" w:eastAsia="Times New Roman" w:hAnsiTheme="minorHAnsi" w:cs="Arial"/>
                <w:sz w:val="20"/>
                <w:szCs w:val="20"/>
                <w:lang w:eastAsia="en-GB"/>
              </w:rPr>
              <w:t xml:space="preserve"> </w:t>
            </w:r>
            <w:r w:rsidR="00464F8A">
              <w:rPr>
                <w:rFonts w:asciiTheme="minorHAnsi" w:eastAsia="Times New Roman" w:hAnsiTheme="minorHAnsi" w:cs="Arial"/>
                <w:sz w:val="20"/>
                <w:szCs w:val="20"/>
                <w:lang w:eastAsia="en-GB"/>
              </w:rPr>
              <w:t>A3</w:t>
            </w:r>
          </w:p>
        </w:tc>
        <w:tc>
          <w:tcPr>
            <w:tcW w:w="1697" w:type="dxa"/>
            <w:tcBorders>
              <w:top w:val="nil"/>
              <w:left w:val="nil"/>
              <w:bottom w:val="single" w:sz="4" w:space="0" w:color="auto"/>
              <w:right w:val="single" w:sz="4" w:space="0" w:color="auto"/>
            </w:tcBorders>
            <w:shd w:val="clear" w:color="auto" w:fill="auto"/>
            <w:noWrap/>
            <w:hideMark/>
          </w:tcPr>
          <w:p w14:paraId="3B023F4E" w14:textId="323AF895" w:rsidR="00464F8A" w:rsidRPr="001D42CA" w:rsidRDefault="009A2A51"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00464F8A" w:rsidRPr="001D42CA">
              <w:rPr>
                <w:rFonts w:asciiTheme="minorHAnsi" w:eastAsia="Times New Roman" w:hAnsiTheme="minorHAnsi" w:cs="Arial"/>
                <w:sz w:val="20"/>
                <w:szCs w:val="20"/>
                <w:lang w:eastAsia="en-GB"/>
              </w:rPr>
              <w:t>, 1 A3</w:t>
            </w:r>
          </w:p>
        </w:tc>
        <w:tc>
          <w:tcPr>
            <w:tcW w:w="1280" w:type="dxa"/>
            <w:tcBorders>
              <w:top w:val="nil"/>
              <w:left w:val="nil"/>
              <w:bottom w:val="single" w:sz="4" w:space="0" w:color="auto"/>
              <w:right w:val="single" w:sz="4" w:space="0" w:color="auto"/>
            </w:tcBorders>
            <w:shd w:val="clear" w:color="auto" w:fill="auto"/>
            <w:hideMark/>
          </w:tcPr>
          <w:p w14:paraId="604365FB" w14:textId="02D0989A" w:rsidR="00464F8A" w:rsidRPr="001D42CA" w:rsidRDefault="009A2A51"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w:t>
            </w:r>
            <w:r w:rsidRPr="001D42CA">
              <w:rPr>
                <w:rFonts w:asciiTheme="minorHAnsi" w:eastAsia="Times New Roman" w:hAnsiTheme="minorHAnsi" w:cs="Arial"/>
                <w:sz w:val="20"/>
                <w:szCs w:val="20"/>
                <w:lang w:eastAsia="en-GB"/>
              </w:rPr>
              <w:t xml:space="preserve"> P</w:t>
            </w:r>
            <w:r>
              <w:rPr>
                <w:rFonts w:asciiTheme="minorHAnsi" w:eastAsia="Times New Roman" w:hAnsiTheme="minorHAnsi" w:cs="Arial"/>
                <w:sz w:val="20"/>
                <w:szCs w:val="20"/>
                <w:lang w:eastAsia="en-GB"/>
              </w:rPr>
              <w:t>2</w:t>
            </w:r>
            <w:r w:rsidR="00464F8A" w:rsidRPr="001D42CA">
              <w:rPr>
                <w:rFonts w:asciiTheme="minorHAnsi" w:eastAsia="Times New Roman" w:hAnsiTheme="minorHAnsi" w:cs="Arial"/>
                <w:sz w:val="20"/>
                <w:szCs w:val="20"/>
                <w:lang w:eastAsia="en-GB"/>
              </w:rPr>
              <w:t>, 1 A3</w:t>
            </w:r>
          </w:p>
        </w:tc>
        <w:tc>
          <w:tcPr>
            <w:tcW w:w="1559" w:type="dxa"/>
            <w:tcBorders>
              <w:top w:val="nil"/>
              <w:left w:val="nil"/>
              <w:bottom w:val="single" w:sz="4" w:space="0" w:color="auto"/>
              <w:right w:val="single" w:sz="4" w:space="0" w:color="auto"/>
            </w:tcBorders>
            <w:shd w:val="clear" w:color="auto" w:fill="auto"/>
            <w:noWrap/>
            <w:hideMark/>
          </w:tcPr>
          <w:p w14:paraId="14AC3570" w14:textId="61D1447F" w:rsidR="00464F8A" w:rsidRPr="001D42CA" w:rsidRDefault="009A2A51" w:rsidP="00105E0C">
            <w:pPr>
              <w:ind w:left="0" w:firstLine="0"/>
              <w:rPr>
                <w:rFonts w:asciiTheme="minorHAnsi" w:eastAsia="Times New Roman" w:hAnsiTheme="minorHAnsi" w:cs="Arial"/>
                <w:sz w:val="20"/>
                <w:szCs w:val="20"/>
                <w:lang w:eastAsia="en-GB"/>
              </w:rPr>
            </w:pPr>
            <w:r>
              <w:rPr>
                <w:rFonts w:asciiTheme="minorHAnsi" w:eastAsia="Times New Roman" w:hAnsiTheme="minorHAnsi" w:cs="Arial"/>
                <w:sz w:val="20"/>
                <w:szCs w:val="20"/>
                <w:lang w:eastAsia="en-GB"/>
              </w:rPr>
              <w:t>2 P2</w:t>
            </w:r>
            <w:r w:rsidR="00464F8A" w:rsidRPr="001D42CA">
              <w:rPr>
                <w:rFonts w:asciiTheme="minorHAnsi" w:eastAsia="Times New Roman" w:hAnsiTheme="minorHAnsi" w:cs="Arial"/>
                <w:sz w:val="20"/>
                <w:szCs w:val="20"/>
                <w:lang w:eastAsia="en-GB"/>
              </w:rPr>
              <w:t>, 1 A3</w:t>
            </w:r>
          </w:p>
        </w:tc>
      </w:tr>
      <w:tr w:rsidR="00464F8A" w:rsidRPr="001D42CA" w14:paraId="21621902" w14:textId="77777777" w:rsidTr="003D1E71">
        <w:trPr>
          <w:trHeight w:val="528"/>
        </w:trPr>
        <w:tc>
          <w:tcPr>
            <w:tcW w:w="3173" w:type="dxa"/>
            <w:tcBorders>
              <w:top w:val="nil"/>
              <w:left w:val="single" w:sz="4" w:space="0" w:color="auto"/>
              <w:bottom w:val="single" w:sz="4" w:space="0" w:color="auto"/>
              <w:right w:val="single" w:sz="4" w:space="0" w:color="auto"/>
            </w:tcBorders>
            <w:shd w:val="clear" w:color="auto" w:fill="auto"/>
            <w:noWrap/>
            <w:hideMark/>
          </w:tcPr>
          <w:p w14:paraId="40427204" w14:textId="7777777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Regional Advice and Support</w:t>
            </w:r>
          </w:p>
        </w:tc>
        <w:tc>
          <w:tcPr>
            <w:tcW w:w="1363" w:type="dxa"/>
            <w:tcBorders>
              <w:top w:val="nil"/>
              <w:left w:val="nil"/>
              <w:bottom w:val="single" w:sz="4" w:space="0" w:color="auto"/>
              <w:right w:val="single" w:sz="4" w:space="0" w:color="auto"/>
            </w:tcBorders>
            <w:shd w:val="clear" w:color="auto" w:fill="auto"/>
            <w:noWrap/>
            <w:hideMark/>
          </w:tcPr>
          <w:p w14:paraId="501CC803" w14:textId="3D781DE9"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sidR="009A2A51">
              <w:rPr>
                <w:rFonts w:asciiTheme="minorHAnsi" w:eastAsia="Times New Roman" w:hAnsiTheme="minorHAnsi" w:cs="Arial"/>
                <w:sz w:val="20"/>
                <w:szCs w:val="20"/>
                <w:lang w:eastAsia="en-GB"/>
              </w:rPr>
              <w:t>junior professionals</w:t>
            </w:r>
          </w:p>
        </w:tc>
        <w:tc>
          <w:tcPr>
            <w:tcW w:w="1697" w:type="dxa"/>
            <w:tcBorders>
              <w:top w:val="nil"/>
              <w:left w:val="nil"/>
              <w:bottom w:val="single" w:sz="4" w:space="0" w:color="auto"/>
              <w:right w:val="single" w:sz="4" w:space="0" w:color="auto"/>
            </w:tcBorders>
            <w:shd w:val="clear" w:color="auto" w:fill="auto"/>
            <w:noWrap/>
            <w:hideMark/>
          </w:tcPr>
          <w:p w14:paraId="7B31FCA5" w14:textId="31AE4BF6"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sidR="009A2A51">
              <w:rPr>
                <w:rFonts w:asciiTheme="minorHAnsi" w:eastAsia="Times New Roman" w:hAnsiTheme="minorHAnsi" w:cs="Arial"/>
                <w:sz w:val="20"/>
                <w:szCs w:val="20"/>
                <w:lang w:eastAsia="en-GB"/>
              </w:rPr>
              <w:t>junior professionals</w:t>
            </w:r>
          </w:p>
        </w:tc>
        <w:tc>
          <w:tcPr>
            <w:tcW w:w="1280" w:type="dxa"/>
            <w:tcBorders>
              <w:top w:val="nil"/>
              <w:left w:val="nil"/>
              <w:bottom w:val="single" w:sz="4" w:space="0" w:color="auto"/>
              <w:right w:val="single" w:sz="4" w:space="0" w:color="auto"/>
            </w:tcBorders>
            <w:shd w:val="clear" w:color="auto" w:fill="auto"/>
            <w:hideMark/>
          </w:tcPr>
          <w:p w14:paraId="47B632D0" w14:textId="7AEB23DE"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sidR="009A2A51">
              <w:rPr>
                <w:rFonts w:asciiTheme="minorHAnsi" w:eastAsia="Times New Roman" w:hAnsiTheme="minorHAnsi" w:cs="Arial"/>
                <w:sz w:val="20"/>
                <w:szCs w:val="20"/>
                <w:lang w:eastAsia="en-GB"/>
              </w:rPr>
              <w:t>junior professionals</w:t>
            </w:r>
          </w:p>
        </w:tc>
        <w:tc>
          <w:tcPr>
            <w:tcW w:w="1559" w:type="dxa"/>
            <w:tcBorders>
              <w:top w:val="nil"/>
              <w:left w:val="nil"/>
              <w:bottom w:val="single" w:sz="4" w:space="0" w:color="auto"/>
              <w:right w:val="single" w:sz="4" w:space="0" w:color="auto"/>
            </w:tcBorders>
            <w:shd w:val="clear" w:color="auto" w:fill="auto"/>
            <w:hideMark/>
          </w:tcPr>
          <w:p w14:paraId="33C82C8E" w14:textId="7F7AD276"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4 M1, 4 </w:t>
            </w:r>
            <w:r w:rsidR="009A2A51">
              <w:rPr>
                <w:rFonts w:asciiTheme="minorHAnsi" w:eastAsia="Times New Roman" w:hAnsiTheme="minorHAnsi" w:cs="Arial"/>
                <w:sz w:val="20"/>
                <w:szCs w:val="20"/>
                <w:lang w:eastAsia="en-GB"/>
              </w:rPr>
              <w:t>junior professionals</w:t>
            </w:r>
          </w:p>
        </w:tc>
      </w:tr>
      <w:tr w:rsidR="00464F8A" w:rsidRPr="001D42CA" w14:paraId="6E292ED9" w14:textId="77777777" w:rsidTr="003D1E71">
        <w:trPr>
          <w:trHeight w:val="528"/>
        </w:trPr>
        <w:tc>
          <w:tcPr>
            <w:tcW w:w="3173" w:type="dxa"/>
            <w:tcBorders>
              <w:top w:val="nil"/>
              <w:left w:val="single" w:sz="4" w:space="0" w:color="auto"/>
              <w:bottom w:val="single" w:sz="4" w:space="0" w:color="auto"/>
              <w:right w:val="single" w:sz="4" w:space="0" w:color="auto"/>
            </w:tcBorders>
            <w:shd w:val="clear" w:color="auto" w:fill="auto"/>
            <w:noWrap/>
            <w:hideMark/>
          </w:tcPr>
          <w:p w14:paraId="4B6617E6" w14:textId="7777777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Science and Policy</w:t>
            </w:r>
          </w:p>
        </w:tc>
        <w:tc>
          <w:tcPr>
            <w:tcW w:w="1363" w:type="dxa"/>
            <w:tcBorders>
              <w:top w:val="nil"/>
              <w:left w:val="nil"/>
              <w:bottom w:val="single" w:sz="4" w:space="0" w:color="auto"/>
              <w:right w:val="single" w:sz="4" w:space="0" w:color="auto"/>
            </w:tcBorders>
            <w:shd w:val="clear" w:color="auto" w:fill="auto"/>
            <w:noWrap/>
            <w:hideMark/>
          </w:tcPr>
          <w:p w14:paraId="26AFB8E9" w14:textId="25E9079C"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sidR="00FE188B">
              <w:rPr>
                <w:rFonts w:asciiTheme="minorHAnsi" w:eastAsia="Times New Roman" w:hAnsiTheme="minorHAnsi" w:cs="Arial"/>
                <w:sz w:val="20"/>
                <w:szCs w:val="20"/>
                <w:lang w:eastAsia="en-GB"/>
              </w:rPr>
              <w:t>2</w:t>
            </w:r>
            <w:r w:rsidR="009A2A51">
              <w:rPr>
                <w:rFonts w:asciiTheme="minorHAnsi" w:eastAsia="Times New Roman" w:hAnsiTheme="minorHAnsi" w:cs="Arial"/>
                <w:sz w:val="20"/>
                <w:szCs w:val="20"/>
                <w:lang w:eastAsia="en-GB"/>
              </w:rPr>
              <w:t xml:space="preserve"> P2, </w:t>
            </w:r>
            <w:r w:rsidRPr="001D42CA">
              <w:rPr>
                <w:rFonts w:asciiTheme="minorHAnsi" w:eastAsia="Times New Roman" w:hAnsiTheme="minorHAnsi" w:cs="Arial"/>
                <w:sz w:val="20"/>
                <w:szCs w:val="20"/>
                <w:lang w:eastAsia="en-GB"/>
              </w:rPr>
              <w:t>1</w:t>
            </w:r>
            <w:r w:rsidR="009A2A51">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P1</w:t>
            </w:r>
          </w:p>
        </w:tc>
        <w:tc>
          <w:tcPr>
            <w:tcW w:w="1697" w:type="dxa"/>
            <w:tcBorders>
              <w:top w:val="nil"/>
              <w:left w:val="nil"/>
              <w:bottom w:val="single" w:sz="4" w:space="0" w:color="auto"/>
              <w:right w:val="single" w:sz="4" w:space="0" w:color="auto"/>
            </w:tcBorders>
            <w:shd w:val="clear" w:color="auto" w:fill="auto"/>
            <w:noWrap/>
            <w:hideMark/>
          </w:tcPr>
          <w:p w14:paraId="3E557AC4" w14:textId="596F84AA"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sidR="00FE188B">
              <w:rPr>
                <w:rFonts w:asciiTheme="minorHAnsi" w:eastAsia="Times New Roman" w:hAnsiTheme="minorHAnsi" w:cs="Arial"/>
                <w:sz w:val="20"/>
                <w:szCs w:val="20"/>
                <w:lang w:eastAsia="en-GB"/>
              </w:rPr>
              <w:t>2</w:t>
            </w:r>
            <w:r w:rsidR="009A2A51">
              <w:rPr>
                <w:rFonts w:asciiTheme="minorHAnsi" w:eastAsia="Times New Roman" w:hAnsiTheme="minorHAnsi" w:cs="Arial"/>
                <w:sz w:val="20"/>
                <w:szCs w:val="20"/>
                <w:lang w:eastAsia="en-GB"/>
              </w:rPr>
              <w:t xml:space="preserve"> P2, 1</w:t>
            </w:r>
            <w:r w:rsidR="009A2A51" w:rsidRPr="001D42CA">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P1</w:t>
            </w:r>
          </w:p>
        </w:tc>
        <w:tc>
          <w:tcPr>
            <w:tcW w:w="1280" w:type="dxa"/>
            <w:tcBorders>
              <w:top w:val="nil"/>
              <w:left w:val="nil"/>
              <w:bottom w:val="single" w:sz="4" w:space="0" w:color="auto"/>
              <w:right w:val="single" w:sz="4" w:space="0" w:color="auto"/>
            </w:tcBorders>
            <w:shd w:val="clear" w:color="auto" w:fill="auto"/>
            <w:hideMark/>
          </w:tcPr>
          <w:p w14:paraId="70538CEA" w14:textId="342D6A2F"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sidR="00FE188B">
              <w:rPr>
                <w:rFonts w:asciiTheme="minorHAnsi" w:eastAsia="Times New Roman" w:hAnsiTheme="minorHAnsi" w:cs="Arial"/>
                <w:sz w:val="20"/>
                <w:szCs w:val="20"/>
                <w:lang w:eastAsia="en-GB"/>
              </w:rPr>
              <w:t>2</w:t>
            </w:r>
            <w:r w:rsidR="009A2A51">
              <w:rPr>
                <w:rFonts w:asciiTheme="minorHAnsi" w:eastAsia="Times New Roman" w:hAnsiTheme="minorHAnsi" w:cs="Arial"/>
                <w:sz w:val="20"/>
                <w:szCs w:val="20"/>
                <w:lang w:eastAsia="en-GB"/>
              </w:rPr>
              <w:t xml:space="preserve"> P2, </w:t>
            </w:r>
            <w:r w:rsidRPr="001D42CA">
              <w:rPr>
                <w:rFonts w:asciiTheme="minorHAnsi" w:eastAsia="Times New Roman" w:hAnsiTheme="minorHAnsi" w:cs="Arial"/>
                <w:sz w:val="20"/>
                <w:szCs w:val="20"/>
                <w:lang w:eastAsia="en-GB"/>
              </w:rPr>
              <w:t>P1</w:t>
            </w:r>
          </w:p>
        </w:tc>
        <w:tc>
          <w:tcPr>
            <w:tcW w:w="1559" w:type="dxa"/>
            <w:tcBorders>
              <w:top w:val="nil"/>
              <w:left w:val="nil"/>
              <w:bottom w:val="single" w:sz="4" w:space="0" w:color="auto"/>
              <w:right w:val="single" w:sz="4" w:space="0" w:color="auto"/>
            </w:tcBorders>
            <w:shd w:val="clear" w:color="auto" w:fill="auto"/>
            <w:noWrap/>
            <w:hideMark/>
          </w:tcPr>
          <w:p w14:paraId="5051D36F" w14:textId="766BDBDF"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M1, </w:t>
            </w:r>
            <w:r w:rsidR="00FE188B">
              <w:rPr>
                <w:rFonts w:asciiTheme="minorHAnsi" w:eastAsia="Times New Roman" w:hAnsiTheme="minorHAnsi" w:cs="Arial"/>
                <w:sz w:val="20"/>
                <w:szCs w:val="20"/>
                <w:lang w:eastAsia="en-GB"/>
              </w:rPr>
              <w:t>2</w:t>
            </w:r>
            <w:r w:rsidR="009A2A51">
              <w:rPr>
                <w:rFonts w:asciiTheme="minorHAnsi" w:eastAsia="Times New Roman" w:hAnsiTheme="minorHAnsi" w:cs="Arial"/>
                <w:sz w:val="20"/>
                <w:szCs w:val="20"/>
                <w:lang w:eastAsia="en-GB"/>
              </w:rPr>
              <w:t xml:space="preserve"> P2, 1</w:t>
            </w:r>
            <w:r w:rsidR="009A2A51" w:rsidRPr="001D42CA">
              <w:rPr>
                <w:rFonts w:asciiTheme="minorHAnsi" w:eastAsia="Times New Roman" w:hAnsiTheme="minorHAnsi" w:cs="Arial"/>
                <w:sz w:val="20"/>
                <w:szCs w:val="20"/>
                <w:lang w:eastAsia="en-GB"/>
              </w:rPr>
              <w:t xml:space="preserve"> </w:t>
            </w:r>
            <w:r w:rsidRPr="001D42CA">
              <w:rPr>
                <w:rFonts w:asciiTheme="minorHAnsi" w:eastAsia="Times New Roman" w:hAnsiTheme="minorHAnsi" w:cs="Arial"/>
                <w:sz w:val="20"/>
                <w:szCs w:val="20"/>
                <w:lang w:eastAsia="en-GB"/>
              </w:rPr>
              <w:t>P1</w:t>
            </w:r>
          </w:p>
        </w:tc>
      </w:tr>
      <w:tr w:rsidR="00464F8A" w:rsidRPr="001D42CA" w14:paraId="01AF321E" w14:textId="77777777" w:rsidTr="003D1E71">
        <w:trPr>
          <w:trHeight w:val="528"/>
        </w:trPr>
        <w:tc>
          <w:tcPr>
            <w:tcW w:w="3173" w:type="dxa"/>
            <w:tcBorders>
              <w:top w:val="nil"/>
              <w:left w:val="single" w:sz="4" w:space="0" w:color="auto"/>
              <w:bottom w:val="single" w:sz="4" w:space="0" w:color="auto"/>
              <w:right w:val="single" w:sz="4" w:space="0" w:color="auto"/>
            </w:tcBorders>
            <w:shd w:val="clear" w:color="auto" w:fill="auto"/>
            <w:noWrap/>
            <w:hideMark/>
          </w:tcPr>
          <w:p w14:paraId="3CF73FC1" w14:textId="7777777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Administration</w:t>
            </w:r>
          </w:p>
        </w:tc>
        <w:tc>
          <w:tcPr>
            <w:tcW w:w="1363" w:type="dxa"/>
            <w:tcBorders>
              <w:top w:val="nil"/>
              <w:left w:val="nil"/>
              <w:bottom w:val="single" w:sz="4" w:space="0" w:color="auto"/>
              <w:right w:val="single" w:sz="4" w:space="0" w:color="auto"/>
            </w:tcBorders>
            <w:shd w:val="clear" w:color="auto" w:fill="auto"/>
            <w:hideMark/>
          </w:tcPr>
          <w:p w14:paraId="7455B1F1" w14:textId="5E6E6A85"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w:t>
            </w:r>
            <w:r w:rsidRPr="001D42CA">
              <w:rPr>
                <w:rFonts w:asciiTheme="minorHAnsi" w:eastAsia="Times New Roman" w:hAnsiTheme="minorHAnsi" w:cs="Arial"/>
                <w:sz w:val="20"/>
                <w:szCs w:val="20"/>
                <w:lang w:eastAsia="en-GB"/>
              </w:rPr>
              <w:br/>
              <w:t xml:space="preserve">(50%), </w:t>
            </w:r>
            <w:r>
              <w:rPr>
                <w:rFonts w:asciiTheme="minorHAnsi" w:eastAsia="Times New Roman" w:hAnsiTheme="minorHAnsi" w:cs="Arial"/>
                <w:sz w:val="20"/>
                <w:szCs w:val="20"/>
                <w:lang w:eastAsia="en-GB"/>
              </w:rPr>
              <w:t>1</w:t>
            </w:r>
            <w:r w:rsidRPr="001D42CA">
              <w:rPr>
                <w:rFonts w:asciiTheme="minorHAnsi" w:eastAsia="Times New Roman" w:hAnsiTheme="minorHAnsi" w:cs="Arial"/>
                <w:sz w:val="20"/>
                <w:szCs w:val="20"/>
                <w:lang w:eastAsia="en-GB"/>
              </w:rPr>
              <w:t xml:space="preserve"> A3</w:t>
            </w:r>
          </w:p>
        </w:tc>
        <w:tc>
          <w:tcPr>
            <w:tcW w:w="1697" w:type="dxa"/>
            <w:tcBorders>
              <w:top w:val="nil"/>
              <w:left w:val="nil"/>
              <w:bottom w:val="single" w:sz="4" w:space="0" w:color="auto"/>
              <w:right w:val="single" w:sz="4" w:space="0" w:color="auto"/>
            </w:tcBorders>
            <w:shd w:val="clear" w:color="auto" w:fill="auto"/>
            <w:hideMark/>
          </w:tcPr>
          <w:p w14:paraId="16985ACC" w14:textId="4CF95C5D"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w:t>
            </w:r>
            <w:r>
              <w:rPr>
                <w:rFonts w:asciiTheme="minorHAnsi" w:eastAsia="Times New Roman" w:hAnsiTheme="minorHAnsi" w:cs="Arial"/>
                <w:sz w:val="20"/>
                <w:szCs w:val="20"/>
                <w:lang w:eastAsia="en-GB"/>
              </w:rPr>
              <w:t>3</w:t>
            </w:r>
          </w:p>
        </w:tc>
        <w:tc>
          <w:tcPr>
            <w:tcW w:w="1280" w:type="dxa"/>
            <w:tcBorders>
              <w:top w:val="nil"/>
              <w:left w:val="nil"/>
              <w:bottom w:val="single" w:sz="4" w:space="0" w:color="auto"/>
              <w:right w:val="single" w:sz="4" w:space="0" w:color="auto"/>
            </w:tcBorders>
            <w:shd w:val="clear" w:color="auto" w:fill="auto"/>
            <w:hideMark/>
          </w:tcPr>
          <w:p w14:paraId="6DDFFB7B" w14:textId="155932C8"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1 P2, 1 P1 </w:t>
            </w:r>
            <w:r w:rsidRPr="001D42CA">
              <w:rPr>
                <w:rFonts w:asciiTheme="minorHAnsi" w:eastAsia="Times New Roman" w:hAnsiTheme="minorHAnsi" w:cs="Arial"/>
                <w:sz w:val="20"/>
                <w:szCs w:val="20"/>
                <w:lang w:eastAsia="en-GB"/>
              </w:rPr>
              <w:br/>
              <w:t>(50%), 1 A</w:t>
            </w:r>
            <w:r>
              <w:rPr>
                <w:rFonts w:asciiTheme="minorHAnsi" w:eastAsia="Times New Roman" w:hAnsiTheme="minorHAnsi" w:cs="Arial"/>
                <w:sz w:val="20"/>
                <w:szCs w:val="20"/>
                <w:lang w:eastAsia="en-GB"/>
              </w:rPr>
              <w:t>3</w:t>
            </w:r>
          </w:p>
        </w:tc>
        <w:tc>
          <w:tcPr>
            <w:tcW w:w="1559" w:type="dxa"/>
            <w:tcBorders>
              <w:top w:val="nil"/>
              <w:left w:val="nil"/>
              <w:bottom w:val="single" w:sz="4" w:space="0" w:color="auto"/>
              <w:right w:val="single" w:sz="4" w:space="0" w:color="auto"/>
            </w:tcBorders>
            <w:shd w:val="clear" w:color="auto" w:fill="auto"/>
            <w:hideMark/>
          </w:tcPr>
          <w:p w14:paraId="44BF8070" w14:textId="19FDD1B7" w:rsidR="00464F8A" w:rsidRPr="001D42CA" w:rsidRDefault="00464F8A" w:rsidP="00105E0C">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1 P2, 1 P1 (50%), 1 A</w:t>
            </w:r>
            <w:r>
              <w:rPr>
                <w:rFonts w:asciiTheme="minorHAnsi" w:eastAsia="Times New Roman" w:hAnsiTheme="minorHAnsi" w:cs="Arial"/>
                <w:sz w:val="20"/>
                <w:szCs w:val="20"/>
                <w:lang w:eastAsia="en-GB"/>
              </w:rPr>
              <w:t>3</w:t>
            </w:r>
          </w:p>
        </w:tc>
      </w:tr>
      <w:tr w:rsidR="00464F8A" w:rsidRPr="001D42CA" w14:paraId="09C4CFB3" w14:textId="77777777" w:rsidTr="007D61FD">
        <w:trPr>
          <w:trHeight w:val="264"/>
        </w:trPr>
        <w:tc>
          <w:tcPr>
            <w:tcW w:w="3173" w:type="dxa"/>
            <w:tcBorders>
              <w:top w:val="nil"/>
              <w:left w:val="single" w:sz="4" w:space="0" w:color="auto"/>
              <w:bottom w:val="single" w:sz="4" w:space="0" w:color="auto"/>
              <w:right w:val="single" w:sz="4" w:space="0" w:color="auto"/>
            </w:tcBorders>
            <w:shd w:val="clear" w:color="auto" w:fill="C6D9F1" w:themeFill="text2" w:themeFillTint="33"/>
            <w:noWrap/>
            <w:hideMark/>
          </w:tcPr>
          <w:p w14:paraId="39224BD1" w14:textId="77777777" w:rsidR="00464F8A" w:rsidRPr="001D42CA" w:rsidRDefault="00464F8A"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Total</w:t>
            </w:r>
          </w:p>
        </w:tc>
        <w:tc>
          <w:tcPr>
            <w:tcW w:w="1363" w:type="dxa"/>
            <w:tcBorders>
              <w:top w:val="nil"/>
              <w:left w:val="nil"/>
              <w:bottom w:val="single" w:sz="4" w:space="0" w:color="auto"/>
              <w:right w:val="single" w:sz="4" w:space="0" w:color="auto"/>
            </w:tcBorders>
            <w:shd w:val="clear" w:color="auto" w:fill="C6D9F1" w:themeFill="text2" w:themeFillTint="33"/>
            <w:noWrap/>
            <w:hideMark/>
          </w:tcPr>
          <w:p w14:paraId="73C35D21" w14:textId="39630FA8" w:rsidR="00464F8A" w:rsidRPr="001D42CA" w:rsidRDefault="00FE188B"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2</w:t>
            </w:r>
            <w:r w:rsidR="00464F8A" w:rsidRPr="001D42CA">
              <w:rPr>
                <w:rFonts w:asciiTheme="minorHAnsi" w:eastAsia="Times New Roman" w:hAnsiTheme="minorHAnsi" w:cs="Arial"/>
                <w:b/>
                <w:bCs/>
                <w:sz w:val="20"/>
                <w:szCs w:val="20"/>
                <w:lang w:eastAsia="en-GB"/>
              </w:rPr>
              <w:t>.5 staff</w:t>
            </w:r>
          </w:p>
        </w:tc>
        <w:tc>
          <w:tcPr>
            <w:tcW w:w="1697" w:type="dxa"/>
            <w:tcBorders>
              <w:top w:val="nil"/>
              <w:left w:val="nil"/>
              <w:bottom w:val="single" w:sz="4" w:space="0" w:color="auto"/>
              <w:right w:val="single" w:sz="4" w:space="0" w:color="auto"/>
            </w:tcBorders>
            <w:shd w:val="clear" w:color="auto" w:fill="C6D9F1" w:themeFill="text2" w:themeFillTint="33"/>
            <w:noWrap/>
            <w:hideMark/>
          </w:tcPr>
          <w:p w14:paraId="28D8A16B" w14:textId="285C6006" w:rsidR="00464F8A" w:rsidRPr="001D42CA" w:rsidRDefault="00FE188B"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2</w:t>
            </w:r>
            <w:r w:rsidR="00464F8A" w:rsidRPr="001D42CA">
              <w:rPr>
                <w:rFonts w:asciiTheme="minorHAnsi" w:eastAsia="Times New Roman" w:hAnsiTheme="minorHAnsi" w:cs="Arial"/>
                <w:b/>
                <w:bCs/>
                <w:sz w:val="20"/>
                <w:szCs w:val="20"/>
                <w:lang w:eastAsia="en-GB"/>
              </w:rPr>
              <w:t>.5 staff</w:t>
            </w:r>
          </w:p>
        </w:tc>
        <w:tc>
          <w:tcPr>
            <w:tcW w:w="1280" w:type="dxa"/>
            <w:tcBorders>
              <w:top w:val="nil"/>
              <w:left w:val="nil"/>
              <w:bottom w:val="single" w:sz="4" w:space="0" w:color="auto"/>
              <w:right w:val="single" w:sz="4" w:space="0" w:color="auto"/>
            </w:tcBorders>
            <w:shd w:val="clear" w:color="auto" w:fill="C6D9F1" w:themeFill="text2" w:themeFillTint="33"/>
            <w:noWrap/>
            <w:hideMark/>
          </w:tcPr>
          <w:p w14:paraId="19B5450A" w14:textId="77E62BAF" w:rsidR="00464F8A" w:rsidRPr="001D42CA" w:rsidRDefault="00FE188B"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2</w:t>
            </w:r>
            <w:r w:rsidR="00464F8A" w:rsidRPr="001D42CA">
              <w:rPr>
                <w:rFonts w:asciiTheme="minorHAnsi" w:eastAsia="Times New Roman" w:hAnsiTheme="minorHAnsi" w:cs="Arial"/>
                <w:b/>
                <w:bCs/>
                <w:sz w:val="20"/>
                <w:szCs w:val="20"/>
                <w:lang w:eastAsia="en-GB"/>
              </w:rPr>
              <w:t>.5 staff</w:t>
            </w:r>
          </w:p>
        </w:tc>
        <w:tc>
          <w:tcPr>
            <w:tcW w:w="1559" w:type="dxa"/>
            <w:tcBorders>
              <w:top w:val="nil"/>
              <w:left w:val="nil"/>
              <w:bottom w:val="single" w:sz="4" w:space="0" w:color="auto"/>
              <w:right w:val="single" w:sz="4" w:space="0" w:color="auto"/>
            </w:tcBorders>
            <w:shd w:val="clear" w:color="auto" w:fill="C6D9F1" w:themeFill="text2" w:themeFillTint="33"/>
            <w:noWrap/>
            <w:hideMark/>
          </w:tcPr>
          <w:p w14:paraId="5A2648D4" w14:textId="5426BF00" w:rsidR="00464F8A" w:rsidRPr="001D42CA" w:rsidRDefault="00FE188B"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2</w:t>
            </w:r>
            <w:r>
              <w:rPr>
                <w:rFonts w:asciiTheme="minorHAnsi" w:eastAsia="Times New Roman" w:hAnsiTheme="minorHAnsi" w:cs="Arial"/>
                <w:b/>
                <w:bCs/>
                <w:sz w:val="20"/>
                <w:szCs w:val="20"/>
                <w:lang w:eastAsia="en-GB"/>
              </w:rPr>
              <w:t>2</w:t>
            </w:r>
            <w:r w:rsidR="00464F8A" w:rsidRPr="001D42CA">
              <w:rPr>
                <w:rFonts w:asciiTheme="minorHAnsi" w:eastAsia="Times New Roman" w:hAnsiTheme="minorHAnsi" w:cs="Arial"/>
                <w:b/>
                <w:bCs/>
                <w:sz w:val="20"/>
                <w:szCs w:val="20"/>
                <w:lang w:eastAsia="en-GB"/>
              </w:rPr>
              <w:t>.5 staff</w:t>
            </w:r>
          </w:p>
        </w:tc>
      </w:tr>
      <w:tr w:rsidR="00464F8A" w:rsidRPr="001D42CA" w14:paraId="10F6D5BB" w14:textId="77777777" w:rsidTr="007D61FD">
        <w:trPr>
          <w:trHeight w:val="264"/>
        </w:trPr>
        <w:tc>
          <w:tcPr>
            <w:tcW w:w="317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E60C1F8" w14:textId="0129FB37" w:rsidR="00464F8A" w:rsidRPr="001D42CA" w:rsidRDefault="00464F8A"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costs </w:t>
            </w:r>
            <w:r w:rsidR="003B4BEC">
              <w:rPr>
                <w:rFonts w:asciiTheme="minorHAnsi" w:eastAsia="Times New Roman" w:hAnsiTheme="minorHAnsi" w:cs="Arial"/>
                <w:b/>
                <w:bCs/>
                <w:sz w:val="20"/>
                <w:szCs w:val="20"/>
                <w:lang w:eastAsia="en-GB"/>
              </w:rPr>
              <w:t xml:space="preserve">Scenario A </w:t>
            </w:r>
            <w:r w:rsidRPr="001D42CA">
              <w:rPr>
                <w:rFonts w:asciiTheme="minorHAnsi" w:eastAsia="Times New Roman" w:hAnsiTheme="minorHAnsi" w:cs="Arial"/>
                <w:b/>
                <w:bCs/>
                <w:sz w:val="20"/>
                <w:szCs w:val="20"/>
                <w:lang w:eastAsia="en-GB"/>
              </w:rPr>
              <w:t xml:space="preserve">(in </w:t>
            </w:r>
            <w:r>
              <w:rPr>
                <w:rFonts w:asciiTheme="minorHAnsi" w:eastAsia="Times New Roman" w:hAnsiTheme="minorHAnsi" w:cs="Arial"/>
                <w:b/>
                <w:bCs/>
                <w:sz w:val="20"/>
                <w:szCs w:val="20"/>
                <w:lang w:eastAsia="en-GB"/>
              </w:rPr>
              <w:t>‘</w:t>
            </w:r>
            <w:r w:rsidRPr="001D42CA">
              <w:rPr>
                <w:rFonts w:asciiTheme="minorHAnsi" w:eastAsia="Times New Roman" w:hAnsiTheme="minorHAnsi" w:cs="Arial"/>
                <w:b/>
                <w:bCs/>
                <w:sz w:val="20"/>
                <w:szCs w:val="20"/>
                <w:lang w:eastAsia="en-GB"/>
              </w:rPr>
              <w:t>000 CHF)</w:t>
            </w:r>
          </w:p>
        </w:tc>
        <w:tc>
          <w:tcPr>
            <w:tcW w:w="13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0FE2CEC" w14:textId="32E2A2F4" w:rsidR="00464F8A" w:rsidRPr="001D42CA" w:rsidRDefault="00464F8A" w:rsidP="00105E0C">
            <w:pPr>
              <w:ind w:left="0" w:firstLine="0"/>
              <w:jc w:val="right"/>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3,</w:t>
            </w:r>
            <w:r w:rsidR="00986B28">
              <w:rPr>
                <w:rFonts w:asciiTheme="minorHAnsi" w:eastAsia="Times New Roman" w:hAnsiTheme="minorHAnsi" w:cs="Arial"/>
                <w:b/>
                <w:bCs/>
                <w:sz w:val="20"/>
                <w:szCs w:val="20"/>
                <w:lang w:eastAsia="en-GB"/>
              </w:rPr>
              <w:t>586</w:t>
            </w:r>
          </w:p>
        </w:tc>
        <w:tc>
          <w:tcPr>
            <w:tcW w:w="169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0E2DCD" w14:textId="0243B1F4" w:rsidR="00464F8A" w:rsidRPr="001D42CA" w:rsidRDefault="00E01F30"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3,586</w:t>
            </w:r>
          </w:p>
        </w:tc>
        <w:tc>
          <w:tcPr>
            <w:tcW w:w="12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5000A09" w14:textId="38784078" w:rsidR="00464F8A" w:rsidRPr="001D42CA" w:rsidRDefault="00E01F30"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3,603</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8DB8CA" w14:textId="3B7EB151" w:rsidR="00464F8A" w:rsidRPr="001D42CA" w:rsidRDefault="00E01F30"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3,603</w:t>
            </w:r>
          </w:p>
        </w:tc>
      </w:tr>
      <w:tr w:rsidR="003B4BEC" w:rsidRPr="001D42CA" w14:paraId="6D798AE3" w14:textId="77777777" w:rsidTr="007D61FD">
        <w:trPr>
          <w:trHeight w:val="264"/>
        </w:trPr>
        <w:tc>
          <w:tcPr>
            <w:tcW w:w="317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D0E1F42" w14:textId="19712294" w:rsidR="003B4BEC" w:rsidRPr="001D42CA" w:rsidRDefault="003B4BEC" w:rsidP="00105E0C">
            <w:pPr>
              <w:ind w:left="0" w:firstLine="0"/>
              <w:rPr>
                <w:rFonts w:asciiTheme="minorHAnsi" w:eastAsia="Times New Roman" w:hAnsiTheme="minorHAnsi" w:cs="Arial"/>
                <w:b/>
                <w:bCs/>
                <w:sz w:val="20"/>
                <w:szCs w:val="20"/>
                <w:lang w:eastAsia="en-GB"/>
              </w:rPr>
            </w:pPr>
            <w:r w:rsidRPr="001D42CA">
              <w:rPr>
                <w:rFonts w:asciiTheme="minorHAnsi" w:eastAsia="Times New Roman" w:hAnsiTheme="minorHAnsi" w:cs="Arial"/>
                <w:b/>
                <w:bCs/>
                <w:sz w:val="20"/>
                <w:szCs w:val="20"/>
                <w:lang w:eastAsia="en-GB"/>
              </w:rPr>
              <w:t xml:space="preserve">Total costs </w:t>
            </w:r>
            <w:r>
              <w:rPr>
                <w:rFonts w:asciiTheme="minorHAnsi" w:eastAsia="Times New Roman" w:hAnsiTheme="minorHAnsi" w:cs="Arial"/>
                <w:b/>
                <w:bCs/>
                <w:sz w:val="20"/>
                <w:szCs w:val="20"/>
                <w:lang w:eastAsia="en-GB"/>
              </w:rPr>
              <w:t>Scenario</w:t>
            </w:r>
            <w:r w:rsidR="00784A64">
              <w:rPr>
                <w:rFonts w:asciiTheme="minorHAnsi" w:eastAsia="Times New Roman" w:hAnsiTheme="minorHAnsi" w:cs="Arial"/>
                <w:b/>
                <w:bCs/>
                <w:sz w:val="20"/>
                <w:szCs w:val="20"/>
                <w:lang w:eastAsia="en-GB"/>
              </w:rPr>
              <w:t>s</w:t>
            </w:r>
            <w:r>
              <w:rPr>
                <w:rFonts w:asciiTheme="minorHAnsi" w:eastAsia="Times New Roman" w:hAnsiTheme="minorHAnsi" w:cs="Arial"/>
                <w:b/>
                <w:bCs/>
                <w:sz w:val="20"/>
                <w:szCs w:val="20"/>
                <w:lang w:eastAsia="en-GB"/>
              </w:rPr>
              <w:t xml:space="preserve"> B</w:t>
            </w:r>
            <w:r w:rsidR="00F56E5C">
              <w:rPr>
                <w:rFonts w:asciiTheme="minorHAnsi" w:eastAsia="Times New Roman" w:hAnsiTheme="minorHAnsi" w:cs="Arial"/>
                <w:b/>
                <w:bCs/>
                <w:sz w:val="20"/>
                <w:szCs w:val="20"/>
                <w:lang w:eastAsia="en-GB"/>
              </w:rPr>
              <w:t xml:space="preserve"> </w:t>
            </w:r>
            <w:r w:rsidR="0020791D">
              <w:rPr>
                <w:rFonts w:asciiTheme="minorHAnsi" w:eastAsia="Times New Roman" w:hAnsiTheme="minorHAnsi" w:cs="Arial"/>
                <w:b/>
                <w:bCs/>
                <w:sz w:val="20"/>
                <w:szCs w:val="20"/>
                <w:lang w:eastAsia="en-GB"/>
              </w:rPr>
              <w:t xml:space="preserve">and </w:t>
            </w:r>
            <w:r w:rsidR="00F56E5C">
              <w:rPr>
                <w:rFonts w:asciiTheme="minorHAnsi" w:eastAsia="Times New Roman" w:hAnsiTheme="minorHAnsi" w:cs="Arial"/>
                <w:b/>
                <w:bCs/>
                <w:sz w:val="20"/>
                <w:szCs w:val="20"/>
                <w:lang w:eastAsia="en-GB"/>
              </w:rPr>
              <w:t>C</w:t>
            </w:r>
            <w:r>
              <w:rPr>
                <w:rFonts w:asciiTheme="minorHAnsi" w:eastAsia="Times New Roman" w:hAnsiTheme="minorHAnsi" w:cs="Arial"/>
                <w:b/>
                <w:bCs/>
                <w:sz w:val="20"/>
                <w:szCs w:val="20"/>
                <w:lang w:eastAsia="en-GB"/>
              </w:rPr>
              <w:t xml:space="preserve"> </w:t>
            </w:r>
            <w:r w:rsidRPr="001D42CA">
              <w:rPr>
                <w:rFonts w:asciiTheme="minorHAnsi" w:eastAsia="Times New Roman" w:hAnsiTheme="minorHAnsi" w:cs="Arial"/>
                <w:b/>
                <w:bCs/>
                <w:sz w:val="20"/>
                <w:szCs w:val="20"/>
                <w:lang w:eastAsia="en-GB"/>
              </w:rPr>
              <w:t xml:space="preserve">(in </w:t>
            </w:r>
            <w:r>
              <w:rPr>
                <w:rFonts w:asciiTheme="minorHAnsi" w:eastAsia="Times New Roman" w:hAnsiTheme="minorHAnsi" w:cs="Arial"/>
                <w:b/>
                <w:bCs/>
                <w:sz w:val="20"/>
                <w:szCs w:val="20"/>
                <w:lang w:eastAsia="en-GB"/>
              </w:rPr>
              <w:t>‘</w:t>
            </w:r>
            <w:r w:rsidRPr="001D42CA">
              <w:rPr>
                <w:rFonts w:asciiTheme="minorHAnsi" w:eastAsia="Times New Roman" w:hAnsiTheme="minorHAnsi" w:cs="Arial"/>
                <w:b/>
                <w:bCs/>
                <w:sz w:val="20"/>
                <w:szCs w:val="20"/>
                <w:lang w:eastAsia="en-GB"/>
              </w:rPr>
              <w:t>000 CHF)</w:t>
            </w:r>
          </w:p>
        </w:tc>
        <w:tc>
          <w:tcPr>
            <w:tcW w:w="13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1D221C9" w14:textId="21AD1ABC" w:rsidR="003B4BEC" w:rsidRPr="001D42CA" w:rsidRDefault="00986B28"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3,586</w:t>
            </w:r>
          </w:p>
        </w:tc>
        <w:tc>
          <w:tcPr>
            <w:tcW w:w="1697"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566EAC6" w14:textId="0DED6D7E" w:rsidR="003B4BEC" w:rsidRDefault="00464026"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w:t>
            </w:r>
            <w:r w:rsidR="00E01F30">
              <w:rPr>
                <w:rFonts w:asciiTheme="minorHAnsi" w:eastAsia="Times New Roman" w:hAnsiTheme="minorHAnsi" w:cs="Arial"/>
                <w:b/>
                <w:bCs/>
                <w:sz w:val="20"/>
                <w:szCs w:val="20"/>
                <w:lang w:eastAsia="en-GB"/>
              </w:rPr>
              <w:t>621</w:t>
            </w:r>
          </w:p>
        </w:tc>
        <w:tc>
          <w:tcPr>
            <w:tcW w:w="128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8495DBC" w14:textId="5DCD0A07" w:rsidR="003B4BEC" w:rsidRDefault="00E01F30"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3,672</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19DCACB" w14:textId="70D5ED17" w:rsidR="003B4BEC" w:rsidRDefault="00E01F30" w:rsidP="00105E0C">
            <w:pPr>
              <w:ind w:left="0" w:firstLine="0"/>
              <w:jc w:val="right"/>
              <w:rPr>
                <w:rFonts w:asciiTheme="minorHAnsi" w:eastAsia="Times New Roman" w:hAnsiTheme="minorHAnsi" w:cs="Arial"/>
                <w:b/>
                <w:bCs/>
                <w:sz w:val="20"/>
                <w:szCs w:val="20"/>
                <w:lang w:eastAsia="en-GB"/>
              </w:rPr>
            </w:pPr>
            <w:r>
              <w:rPr>
                <w:rFonts w:asciiTheme="minorHAnsi" w:eastAsia="Times New Roman" w:hAnsiTheme="minorHAnsi" w:cs="Arial"/>
                <w:b/>
                <w:bCs/>
                <w:sz w:val="20"/>
                <w:szCs w:val="20"/>
                <w:lang w:eastAsia="en-GB"/>
              </w:rPr>
              <w:t>3,707</w:t>
            </w:r>
          </w:p>
        </w:tc>
      </w:tr>
    </w:tbl>
    <w:p w14:paraId="6872312F" w14:textId="77777777" w:rsidR="00464F8A" w:rsidRPr="001D42CA" w:rsidRDefault="00464F8A" w:rsidP="00464F8A">
      <w:pPr>
        <w:rPr>
          <w:rFonts w:ascii="Arial" w:eastAsia="Times New Roman" w:hAnsi="Arial" w:cs="Arial"/>
          <w:sz w:val="18"/>
          <w:szCs w:val="18"/>
          <w:lang w:eastAsia="en-GB"/>
        </w:rPr>
      </w:pPr>
    </w:p>
    <w:p w14:paraId="7FD5D87F" w14:textId="77777777" w:rsidR="00464F8A" w:rsidRPr="001D42CA" w:rsidRDefault="00464F8A" w:rsidP="00464F8A">
      <w:pPr>
        <w:autoSpaceDE w:val="0"/>
        <w:autoSpaceDN w:val="0"/>
        <w:adjustRightInd w:val="0"/>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 xml:space="preserve">Note: </w:t>
      </w:r>
    </w:p>
    <w:p w14:paraId="49DF8D14" w14:textId="448A8C92" w:rsidR="00464F8A" w:rsidRPr="001D42CA" w:rsidRDefault="00464F8A" w:rsidP="00464F8A">
      <w:pPr>
        <w:autoSpaceDE w:val="0"/>
        <w:autoSpaceDN w:val="0"/>
        <w:adjustRightInd w:val="0"/>
        <w:ind w:left="0" w:firstLine="0"/>
        <w:rPr>
          <w:rFonts w:ascii="Tahoma" w:eastAsiaTheme="minorHAnsi" w:hAnsi="Tahoma" w:cs="Tahoma"/>
          <w:sz w:val="20"/>
          <w:szCs w:val="20"/>
        </w:rPr>
      </w:pPr>
      <w:r w:rsidRPr="001D42CA">
        <w:rPr>
          <w:rFonts w:asciiTheme="minorHAnsi" w:eastAsia="Times New Roman" w:hAnsiTheme="minorHAnsi" w:cs="Arial"/>
          <w:sz w:val="20"/>
          <w:szCs w:val="20"/>
          <w:lang w:eastAsia="en-GB"/>
        </w:rPr>
        <w:t>20</w:t>
      </w:r>
      <w:r>
        <w:rPr>
          <w:rFonts w:asciiTheme="minorHAnsi" w:eastAsia="Times New Roman" w:hAnsiTheme="minorHAnsi" w:cs="Arial"/>
          <w:sz w:val="20"/>
          <w:szCs w:val="20"/>
          <w:lang w:eastAsia="en-GB"/>
        </w:rPr>
        <w:t>22</w:t>
      </w:r>
      <w:r w:rsidRPr="001D42CA">
        <w:rPr>
          <w:rFonts w:asciiTheme="minorHAnsi" w:eastAsia="Times New Roman" w:hAnsiTheme="minorHAnsi" w:cs="Arial"/>
          <w:sz w:val="20"/>
          <w:szCs w:val="20"/>
          <w:lang w:eastAsia="en-GB"/>
        </w:rPr>
        <w:t xml:space="preserve"> staff numbers and positions shown for reference. Costs budgeted and allocated to budget lines on the basis of current core-funded positions. </w:t>
      </w:r>
      <w:r w:rsidRPr="001D42CA">
        <w:rPr>
          <w:sz w:val="20"/>
          <w:szCs w:val="20"/>
        </w:rPr>
        <w:t>Team refer</w:t>
      </w:r>
      <w:r>
        <w:rPr>
          <w:sz w:val="20"/>
          <w:szCs w:val="20"/>
        </w:rPr>
        <w:t>s</w:t>
      </w:r>
      <w:r w:rsidRPr="001D42CA">
        <w:rPr>
          <w:sz w:val="20"/>
          <w:szCs w:val="20"/>
        </w:rPr>
        <w:t xml:space="preserve"> to the categorization of expenditures as listed in Annex</w:t>
      </w:r>
      <w:r>
        <w:rPr>
          <w:sz w:val="20"/>
          <w:szCs w:val="20"/>
        </w:rPr>
        <w:t> </w:t>
      </w:r>
      <w:r w:rsidRPr="001D42CA">
        <w:rPr>
          <w:sz w:val="20"/>
          <w:szCs w:val="20"/>
        </w:rPr>
        <w:t xml:space="preserve">1. </w:t>
      </w:r>
    </w:p>
    <w:p w14:paraId="2034055E" w14:textId="77777777" w:rsidR="00464F8A" w:rsidRPr="001D42CA" w:rsidRDefault="00464F8A" w:rsidP="00464F8A">
      <w:pPr>
        <w:ind w:left="0" w:firstLine="0"/>
        <w:rPr>
          <w:rFonts w:asciiTheme="minorHAnsi" w:eastAsia="Times New Roman" w:hAnsiTheme="minorHAnsi" w:cs="Arial"/>
          <w:sz w:val="20"/>
          <w:szCs w:val="20"/>
          <w:lang w:eastAsia="en-GB"/>
        </w:rPr>
      </w:pPr>
    </w:p>
    <w:p w14:paraId="06BEBD78" w14:textId="77777777"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Levels as per IUCN HR policy and guidelines on position classification.</w:t>
      </w:r>
    </w:p>
    <w:p w14:paraId="5E7761A9" w14:textId="77777777" w:rsidR="00464F8A" w:rsidRPr="001D42CA" w:rsidRDefault="00464F8A" w:rsidP="00464F8A">
      <w:pPr>
        <w:ind w:left="0" w:firstLine="0"/>
        <w:rPr>
          <w:rFonts w:asciiTheme="minorHAnsi" w:eastAsia="Times New Roman" w:hAnsiTheme="minorHAnsi" w:cs="Arial"/>
          <w:sz w:val="20"/>
          <w:szCs w:val="20"/>
          <w:lang w:eastAsia="en-GB"/>
        </w:rPr>
      </w:pPr>
      <w:r w:rsidRPr="001D42CA">
        <w:rPr>
          <w:rFonts w:asciiTheme="minorHAnsi" w:eastAsia="Times New Roman" w:hAnsiTheme="minorHAnsi" w:cs="Arial"/>
          <w:sz w:val="20"/>
          <w:szCs w:val="20"/>
          <w:lang w:eastAsia="en-GB"/>
        </w:rPr>
        <w:t>S = Secretary General; M1-M2 = management positions; P1-P2 = professional positions; A1-A3 = support positions</w:t>
      </w:r>
    </w:p>
    <w:p w14:paraId="19663070" w14:textId="77777777" w:rsidR="00464F8A" w:rsidRPr="00464F8A" w:rsidRDefault="00464F8A" w:rsidP="00EA22B9">
      <w:pPr>
        <w:ind w:left="0" w:firstLine="0"/>
      </w:pPr>
    </w:p>
    <w:sectPr w:rsidR="00464F8A" w:rsidRPr="00464F8A" w:rsidSect="009F1947">
      <w:footerReference w:type="default" r:id="rId11"/>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173B6" w16cid:durableId="25E70EA3"/>
  <w16cid:commentId w16cid:paraId="1BA9D362" w16cid:durableId="25E70F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7154" w14:textId="77777777" w:rsidR="00333314" w:rsidRDefault="00333314" w:rsidP="00DF2386">
      <w:r>
        <w:separator/>
      </w:r>
    </w:p>
  </w:endnote>
  <w:endnote w:type="continuationSeparator" w:id="0">
    <w:p w14:paraId="72640F72" w14:textId="77777777" w:rsidR="00333314" w:rsidRDefault="00333314"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A4C3" w14:textId="68E65D38" w:rsidR="00333314" w:rsidRPr="00333314" w:rsidRDefault="00333314" w:rsidP="00333314">
    <w:pPr>
      <w:pStyle w:val="Header"/>
      <w:rPr>
        <w:noProof/>
        <w:sz w:val="20"/>
        <w:szCs w:val="20"/>
      </w:rPr>
    </w:pPr>
    <w:r w:rsidRPr="00333314">
      <w:rPr>
        <w:sz w:val="20"/>
        <w:szCs w:val="20"/>
      </w:rPr>
      <w:t>SC59/2022 Doc.8.3</w:t>
    </w:r>
    <w:r w:rsidRPr="00333314">
      <w:rPr>
        <w:sz w:val="20"/>
        <w:szCs w:val="20"/>
      </w:rPr>
      <w:tab/>
    </w:r>
    <w:r w:rsidRPr="00333314">
      <w:rPr>
        <w:sz w:val="20"/>
        <w:szCs w:val="20"/>
      </w:rPr>
      <w:tab/>
    </w:r>
    <w:sdt>
      <w:sdtPr>
        <w:rPr>
          <w:sz w:val="20"/>
          <w:szCs w:val="20"/>
        </w:rPr>
        <w:id w:val="-19777698"/>
        <w:docPartObj>
          <w:docPartGallery w:val="Page Numbers (Top of Page)"/>
          <w:docPartUnique/>
        </w:docPartObj>
      </w:sdtPr>
      <w:sdtEndPr>
        <w:rPr>
          <w:noProof/>
        </w:rPr>
      </w:sdtEndPr>
      <w:sdtContent>
        <w:r w:rsidRPr="00333314">
          <w:rPr>
            <w:sz w:val="20"/>
            <w:szCs w:val="20"/>
          </w:rPr>
          <w:fldChar w:fldCharType="begin"/>
        </w:r>
        <w:r w:rsidRPr="00333314">
          <w:rPr>
            <w:sz w:val="20"/>
            <w:szCs w:val="20"/>
          </w:rPr>
          <w:instrText xml:space="preserve"> PAGE   \* MERGEFORMAT </w:instrText>
        </w:r>
        <w:r w:rsidRPr="00333314">
          <w:rPr>
            <w:sz w:val="20"/>
            <w:szCs w:val="20"/>
          </w:rPr>
          <w:fldChar w:fldCharType="separate"/>
        </w:r>
        <w:r w:rsidR="00267C68">
          <w:rPr>
            <w:noProof/>
            <w:sz w:val="20"/>
            <w:szCs w:val="20"/>
          </w:rPr>
          <w:t>19</w:t>
        </w:r>
        <w:r w:rsidRPr="00333314">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F07E" w14:textId="77777777" w:rsidR="00333314" w:rsidRDefault="00333314" w:rsidP="00DF2386">
      <w:r>
        <w:separator/>
      </w:r>
    </w:p>
  </w:footnote>
  <w:footnote w:type="continuationSeparator" w:id="0">
    <w:p w14:paraId="1C51DD25" w14:textId="77777777" w:rsidR="00333314" w:rsidRDefault="00333314" w:rsidP="00DF2386">
      <w:r>
        <w:continuationSeparator/>
      </w:r>
    </w:p>
  </w:footnote>
  <w:footnote w:id="1">
    <w:p w14:paraId="6FD84475" w14:textId="5B8D3D80" w:rsidR="00333314" w:rsidRPr="0048153B" w:rsidRDefault="00333314" w:rsidP="00586541">
      <w:pPr>
        <w:ind w:left="0" w:firstLine="0"/>
      </w:pPr>
      <w:r w:rsidRPr="0048153B">
        <w:rPr>
          <w:rStyle w:val="FootnoteReference"/>
          <w:sz w:val="20"/>
          <w:szCs w:val="20"/>
        </w:rPr>
        <w:footnoteRef/>
      </w:r>
      <w:r w:rsidRPr="0048153B">
        <w:rPr>
          <w:sz w:val="20"/>
          <w:szCs w:val="20"/>
        </w:rPr>
        <w:t xml:space="preserve"> Salaries and other employment benefits are presented together as per the Decision SC59-27</w:t>
      </w:r>
      <w:r>
        <w:rPr>
          <w:sz w:val="20"/>
          <w:szCs w:val="20"/>
        </w:rPr>
        <w:t>.</w:t>
      </w:r>
    </w:p>
  </w:footnote>
  <w:footnote w:id="2">
    <w:p w14:paraId="793A8C3B" w14:textId="77777777" w:rsidR="00333314" w:rsidRDefault="00333314" w:rsidP="00A81CC0">
      <w:pPr>
        <w:pStyle w:val="FootnoteText"/>
        <w:ind w:left="0" w:firstLine="0"/>
      </w:pPr>
      <w:r w:rsidRPr="003762F6">
        <w:rPr>
          <w:rStyle w:val="FootnoteReference"/>
        </w:rPr>
        <w:footnoteRef/>
      </w:r>
      <w:r w:rsidRPr="003762F6">
        <w:t xml:space="preserve"> This paragraph is proposed for budget Scenario A and takes the same approach </w:t>
      </w:r>
      <w:r>
        <w:t>as</w:t>
      </w:r>
      <w:r w:rsidRPr="003762F6">
        <w:t xml:space="preserve"> paragraph </w:t>
      </w:r>
      <w:r w:rsidRPr="00466A7B">
        <w:t xml:space="preserve">15 </w:t>
      </w:r>
      <w:r>
        <w:t>of</w:t>
      </w:r>
      <w:r w:rsidRPr="003762F6">
        <w:t xml:space="preserve"> Resolution</w:t>
      </w:r>
      <w:r>
        <w:t> </w:t>
      </w:r>
      <w:r w:rsidRPr="003762F6">
        <w:t>XIII.2</w:t>
      </w:r>
      <w:r>
        <w:t>.</w:t>
      </w:r>
    </w:p>
  </w:footnote>
  <w:footnote w:id="3">
    <w:p w14:paraId="4FC66527" w14:textId="5290007A" w:rsidR="00333314" w:rsidRDefault="00333314" w:rsidP="00CA66C6">
      <w:pPr>
        <w:pStyle w:val="FootnoteText"/>
        <w:ind w:left="0" w:firstLine="0"/>
      </w:pPr>
      <w:r>
        <w:rPr>
          <w:rStyle w:val="FootnoteReference"/>
        </w:rPr>
        <w:footnoteRef/>
      </w:r>
      <w:r>
        <w:t xml:space="preserve"> </w:t>
      </w:r>
      <w:r w:rsidRPr="009730C7">
        <w:t>The</w:t>
      </w:r>
      <w:r>
        <w:t xml:space="preserve"> table in the</w:t>
      </w:r>
      <w:r w:rsidRPr="009730C7">
        <w:t xml:space="preserve"> final resolution </w:t>
      </w:r>
      <w:r>
        <w:t>will</w:t>
      </w:r>
      <w:r w:rsidRPr="009730C7">
        <w:t xml:space="preserve"> be consistent with previous years and include only the totals of the main categories</w:t>
      </w:r>
      <w:r>
        <w:t>.</w:t>
      </w:r>
    </w:p>
  </w:footnote>
  <w:footnote w:id="4">
    <w:p w14:paraId="006AE8E1" w14:textId="6818A73D" w:rsidR="00333314" w:rsidRDefault="00333314" w:rsidP="007D61FD">
      <w:pPr>
        <w:pStyle w:val="FootnoteText"/>
        <w:ind w:left="0" w:firstLine="0"/>
      </w:pPr>
      <w:r>
        <w:rPr>
          <w:rStyle w:val="FootnoteReference"/>
        </w:rPr>
        <w:footnoteRef/>
      </w:r>
      <w:r>
        <w:t xml:space="preserve"> Estimated changes in annual contributions will be included in the draft resolution to be presented to COP14 on the basis of the scenarios approved by SC59/2022.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19632AA6"/>
    <w:multiLevelType w:val="hybridMultilevel"/>
    <w:tmpl w:val="393C444C"/>
    <w:lvl w:ilvl="0" w:tplc="D7324902">
      <w:start w:val="1"/>
      <w:numFmt w:val="lowerLetter"/>
      <w:lvlText w:val="%1."/>
      <w:lvlJc w:val="left"/>
      <w:pPr>
        <w:ind w:left="785" w:hanging="360"/>
      </w:pPr>
      <w:rPr>
        <w:rFonts w:eastAsia="Batang" w:cs="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371DEF"/>
    <w:multiLevelType w:val="hybridMultilevel"/>
    <w:tmpl w:val="364438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2" w15:restartNumberingAfterBreak="0">
    <w:nsid w:val="23FD5A1B"/>
    <w:multiLevelType w:val="hybridMultilevel"/>
    <w:tmpl w:val="DABE2B86"/>
    <w:lvl w:ilvl="0" w:tplc="788E70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C25EF6"/>
    <w:multiLevelType w:val="hybridMultilevel"/>
    <w:tmpl w:val="1B087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9A3CAF"/>
    <w:multiLevelType w:val="hybridMultilevel"/>
    <w:tmpl w:val="668470EA"/>
    <w:lvl w:ilvl="0" w:tplc="BE2EA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BCB7151"/>
    <w:multiLevelType w:val="hybridMultilevel"/>
    <w:tmpl w:val="66B6D9AE"/>
    <w:lvl w:ilvl="0" w:tplc="E95C0D16">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0" w15:restartNumberingAfterBreak="0">
    <w:nsid w:val="65232E93"/>
    <w:multiLevelType w:val="hybridMultilevel"/>
    <w:tmpl w:val="B616E20C"/>
    <w:lvl w:ilvl="0" w:tplc="58844B6C">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3"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4316D"/>
    <w:multiLevelType w:val="hybridMultilevel"/>
    <w:tmpl w:val="03B204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1"/>
  </w:num>
  <w:num w:numId="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
  </w:num>
  <w:num w:numId="13">
    <w:abstractNumId w:val="22"/>
  </w:num>
  <w:num w:numId="14">
    <w:abstractNumId w:val="14"/>
  </w:num>
  <w:num w:numId="15">
    <w:abstractNumId w:val="2"/>
  </w:num>
  <w:num w:numId="16">
    <w:abstractNumId w:val="18"/>
  </w:num>
  <w:num w:numId="17">
    <w:abstractNumId w:val="25"/>
  </w:num>
  <w:num w:numId="18">
    <w:abstractNumId w:val="35"/>
  </w:num>
  <w:num w:numId="19">
    <w:abstractNumId w:val="33"/>
  </w:num>
  <w:num w:numId="20">
    <w:abstractNumId w:val="27"/>
  </w:num>
  <w:num w:numId="21">
    <w:abstractNumId w:val="29"/>
  </w:num>
  <w:num w:numId="22">
    <w:abstractNumId w:val="20"/>
  </w:num>
  <w:num w:numId="23">
    <w:abstractNumId w:val="26"/>
  </w:num>
  <w:num w:numId="24">
    <w:abstractNumId w:val="23"/>
  </w:num>
  <w:num w:numId="25">
    <w:abstractNumId w:val="32"/>
  </w:num>
  <w:num w:numId="26">
    <w:abstractNumId w:val="10"/>
  </w:num>
  <w:num w:numId="27">
    <w:abstractNumId w:val="0"/>
  </w:num>
  <w:num w:numId="28">
    <w:abstractNumId w:val="13"/>
  </w:num>
  <w:num w:numId="29">
    <w:abstractNumId w:val="3"/>
  </w:num>
  <w:num w:numId="30">
    <w:abstractNumId w:val="16"/>
  </w:num>
  <w:num w:numId="31">
    <w:abstractNumId w:val="15"/>
  </w:num>
  <w:num w:numId="32">
    <w:abstractNumId w:val="30"/>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num>
  <w:num w:numId="37">
    <w:abstractNumId w:val="12"/>
  </w:num>
  <w:num w:numId="38">
    <w:abstractNumId w:val="19"/>
  </w:num>
  <w:num w:numId="39">
    <w:abstractNumId w:val="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F4"/>
    <w:rsid w:val="00006F21"/>
    <w:rsid w:val="0001102A"/>
    <w:rsid w:val="0001167E"/>
    <w:rsid w:val="00012800"/>
    <w:rsid w:val="000133D1"/>
    <w:rsid w:val="00014168"/>
    <w:rsid w:val="0001564A"/>
    <w:rsid w:val="00017A16"/>
    <w:rsid w:val="00024026"/>
    <w:rsid w:val="000260B4"/>
    <w:rsid w:val="00026E09"/>
    <w:rsid w:val="0003596C"/>
    <w:rsid w:val="000376CE"/>
    <w:rsid w:val="00037745"/>
    <w:rsid w:val="00037CE0"/>
    <w:rsid w:val="0004295A"/>
    <w:rsid w:val="000467E7"/>
    <w:rsid w:val="000519D4"/>
    <w:rsid w:val="0005215D"/>
    <w:rsid w:val="00053929"/>
    <w:rsid w:val="00074DE8"/>
    <w:rsid w:val="00080177"/>
    <w:rsid w:val="0008391B"/>
    <w:rsid w:val="000930D3"/>
    <w:rsid w:val="000937A7"/>
    <w:rsid w:val="0009413F"/>
    <w:rsid w:val="00096371"/>
    <w:rsid w:val="000A0B90"/>
    <w:rsid w:val="000A192A"/>
    <w:rsid w:val="000A3E3E"/>
    <w:rsid w:val="000A3F5A"/>
    <w:rsid w:val="000A5278"/>
    <w:rsid w:val="000A7AEC"/>
    <w:rsid w:val="000B02D3"/>
    <w:rsid w:val="000C2489"/>
    <w:rsid w:val="000C71A7"/>
    <w:rsid w:val="000D039A"/>
    <w:rsid w:val="000D311B"/>
    <w:rsid w:val="000D5C76"/>
    <w:rsid w:val="000E2FA0"/>
    <w:rsid w:val="000E47E9"/>
    <w:rsid w:val="000E603E"/>
    <w:rsid w:val="000F0897"/>
    <w:rsid w:val="000F2F4D"/>
    <w:rsid w:val="00101117"/>
    <w:rsid w:val="00102D6A"/>
    <w:rsid w:val="0010393E"/>
    <w:rsid w:val="00104F7B"/>
    <w:rsid w:val="00105E0C"/>
    <w:rsid w:val="00106197"/>
    <w:rsid w:val="00112D3E"/>
    <w:rsid w:val="00112F3F"/>
    <w:rsid w:val="00117167"/>
    <w:rsid w:val="0011732C"/>
    <w:rsid w:val="0012096C"/>
    <w:rsid w:val="00124BD7"/>
    <w:rsid w:val="00127828"/>
    <w:rsid w:val="00140D08"/>
    <w:rsid w:val="00143B9F"/>
    <w:rsid w:val="00145BDD"/>
    <w:rsid w:val="00150BB8"/>
    <w:rsid w:val="00161BDA"/>
    <w:rsid w:val="00167E31"/>
    <w:rsid w:val="0017123E"/>
    <w:rsid w:val="00171618"/>
    <w:rsid w:val="001776BD"/>
    <w:rsid w:val="001819B1"/>
    <w:rsid w:val="0018239F"/>
    <w:rsid w:val="00183021"/>
    <w:rsid w:val="0018623B"/>
    <w:rsid w:val="00191794"/>
    <w:rsid w:val="001936D6"/>
    <w:rsid w:val="00194B1B"/>
    <w:rsid w:val="00197946"/>
    <w:rsid w:val="001A2D10"/>
    <w:rsid w:val="001A386F"/>
    <w:rsid w:val="001A770E"/>
    <w:rsid w:val="001B1561"/>
    <w:rsid w:val="001B1F55"/>
    <w:rsid w:val="001B773B"/>
    <w:rsid w:val="001B79AE"/>
    <w:rsid w:val="001C22F2"/>
    <w:rsid w:val="001C3A25"/>
    <w:rsid w:val="001C4E70"/>
    <w:rsid w:val="001C5E41"/>
    <w:rsid w:val="001C77BC"/>
    <w:rsid w:val="001D0FDF"/>
    <w:rsid w:val="001D48BB"/>
    <w:rsid w:val="001D5FC6"/>
    <w:rsid w:val="001D684B"/>
    <w:rsid w:val="001E00E3"/>
    <w:rsid w:val="001E12A2"/>
    <w:rsid w:val="001E22DA"/>
    <w:rsid w:val="001E5FD0"/>
    <w:rsid w:val="001F0F83"/>
    <w:rsid w:val="001F2349"/>
    <w:rsid w:val="001F3C9F"/>
    <w:rsid w:val="001F5C62"/>
    <w:rsid w:val="002005D2"/>
    <w:rsid w:val="0020298B"/>
    <w:rsid w:val="00203003"/>
    <w:rsid w:val="002035D8"/>
    <w:rsid w:val="00206111"/>
    <w:rsid w:val="00206A76"/>
    <w:rsid w:val="00206AAB"/>
    <w:rsid w:val="0020791D"/>
    <w:rsid w:val="00212850"/>
    <w:rsid w:val="0021303C"/>
    <w:rsid w:val="002137E0"/>
    <w:rsid w:val="00214C88"/>
    <w:rsid w:val="00223428"/>
    <w:rsid w:val="002249C2"/>
    <w:rsid w:val="00227712"/>
    <w:rsid w:val="00227C59"/>
    <w:rsid w:val="00232904"/>
    <w:rsid w:val="00233EC7"/>
    <w:rsid w:val="00235147"/>
    <w:rsid w:val="0023550A"/>
    <w:rsid w:val="00236D86"/>
    <w:rsid w:val="00240FEA"/>
    <w:rsid w:val="00241822"/>
    <w:rsid w:val="0024521E"/>
    <w:rsid w:val="002517BC"/>
    <w:rsid w:val="00267C68"/>
    <w:rsid w:val="00267D03"/>
    <w:rsid w:val="00271A5C"/>
    <w:rsid w:val="002741AC"/>
    <w:rsid w:val="00275F13"/>
    <w:rsid w:val="00277A87"/>
    <w:rsid w:val="002819C0"/>
    <w:rsid w:val="00281B7E"/>
    <w:rsid w:val="00281C69"/>
    <w:rsid w:val="002822F8"/>
    <w:rsid w:val="002845BD"/>
    <w:rsid w:val="00285571"/>
    <w:rsid w:val="0029247A"/>
    <w:rsid w:val="00295556"/>
    <w:rsid w:val="002957DC"/>
    <w:rsid w:val="00295BB5"/>
    <w:rsid w:val="002A34CC"/>
    <w:rsid w:val="002A5A4D"/>
    <w:rsid w:val="002B0CEF"/>
    <w:rsid w:val="002B4262"/>
    <w:rsid w:val="002B7088"/>
    <w:rsid w:val="002C3209"/>
    <w:rsid w:val="002D28C5"/>
    <w:rsid w:val="002D5A4D"/>
    <w:rsid w:val="002E22AF"/>
    <w:rsid w:val="002E533D"/>
    <w:rsid w:val="002E660E"/>
    <w:rsid w:val="002E69E1"/>
    <w:rsid w:val="002E70AF"/>
    <w:rsid w:val="002F484A"/>
    <w:rsid w:val="002F7900"/>
    <w:rsid w:val="003002AC"/>
    <w:rsid w:val="00300837"/>
    <w:rsid w:val="00302B21"/>
    <w:rsid w:val="003107B5"/>
    <w:rsid w:val="00322C05"/>
    <w:rsid w:val="00324398"/>
    <w:rsid w:val="00331485"/>
    <w:rsid w:val="00333314"/>
    <w:rsid w:val="00335704"/>
    <w:rsid w:val="003441D3"/>
    <w:rsid w:val="0034689E"/>
    <w:rsid w:val="00352486"/>
    <w:rsid w:val="0035377D"/>
    <w:rsid w:val="00355F75"/>
    <w:rsid w:val="00357919"/>
    <w:rsid w:val="003616BC"/>
    <w:rsid w:val="00363957"/>
    <w:rsid w:val="00366633"/>
    <w:rsid w:val="0037514F"/>
    <w:rsid w:val="00375CB6"/>
    <w:rsid w:val="00377ACF"/>
    <w:rsid w:val="00382F90"/>
    <w:rsid w:val="00384FC3"/>
    <w:rsid w:val="003932B5"/>
    <w:rsid w:val="00396932"/>
    <w:rsid w:val="003969AD"/>
    <w:rsid w:val="003A3804"/>
    <w:rsid w:val="003A52BE"/>
    <w:rsid w:val="003A5809"/>
    <w:rsid w:val="003A5866"/>
    <w:rsid w:val="003A62C2"/>
    <w:rsid w:val="003A6E9F"/>
    <w:rsid w:val="003A7B77"/>
    <w:rsid w:val="003B4BEC"/>
    <w:rsid w:val="003B7342"/>
    <w:rsid w:val="003C0C53"/>
    <w:rsid w:val="003C0DCD"/>
    <w:rsid w:val="003C1EA0"/>
    <w:rsid w:val="003D01D9"/>
    <w:rsid w:val="003D10BB"/>
    <w:rsid w:val="003D1E71"/>
    <w:rsid w:val="003D4537"/>
    <w:rsid w:val="003D4CD6"/>
    <w:rsid w:val="003D4E02"/>
    <w:rsid w:val="003E634B"/>
    <w:rsid w:val="003F5763"/>
    <w:rsid w:val="003F7105"/>
    <w:rsid w:val="0040199D"/>
    <w:rsid w:val="004029A2"/>
    <w:rsid w:val="00411C7C"/>
    <w:rsid w:val="0041311F"/>
    <w:rsid w:val="004149AD"/>
    <w:rsid w:val="00415BC1"/>
    <w:rsid w:val="00420E85"/>
    <w:rsid w:val="004228C7"/>
    <w:rsid w:val="00422BD2"/>
    <w:rsid w:val="00426DD9"/>
    <w:rsid w:val="0042798B"/>
    <w:rsid w:val="004333C5"/>
    <w:rsid w:val="00433DC7"/>
    <w:rsid w:val="00434913"/>
    <w:rsid w:val="00436E55"/>
    <w:rsid w:val="004474F8"/>
    <w:rsid w:val="0045022B"/>
    <w:rsid w:val="00452DF8"/>
    <w:rsid w:val="00454034"/>
    <w:rsid w:val="0046217F"/>
    <w:rsid w:val="00464026"/>
    <w:rsid w:val="00464F8A"/>
    <w:rsid w:val="00466A7B"/>
    <w:rsid w:val="0046771B"/>
    <w:rsid w:val="00467A8D"/>
    <w:rsid w:val="004717A4"/>
    <w:rsid w:val="00473F28"/>
    <w:rsid w:val="00477550"/>
    <w:rsid w:val="0048153B"/>
    <w:rsid w:val="004844A8"/>
    <w:rsid w:val="004853F2"/>
    <w:rsid w:val="0048682A"/>
    <w:rsid w:val="00491DF5"/>
    <w:rsid w:val="00495C5D"/>
    <w:rsid w:val="004962BC"/>
    <w:rsid w:val="00496803"/>
    <w:rsid w:val="0049707C"/>
    <w:rsid w:val="004A01E5"/>
    <w:rsid w:val="004A0CCC"/>
    <w:rsid w:val="004A172D"/>
    <w:rsid w:val="004A6343"/>
    <w:rsid w:val="004A7294"/>
    <w:rsid w:val="004B08CD"/>
    <w:rsid w:val="004B1B80"/>
    <w:rsid w:val="004B2272"/>
    <w:rsid w:val="004B4108"/>
    <w:rsid w:val="004B420F"/>
    <w:rsid w:val="004B6688"/>
    <w:rsid w:val="004C5B2F"/>
    <w:rsid w:val="004D0D3D"/>
    <w:rsid w:val="004D475A"/>
    <w:rsid w:val="004D48D2"/>
    <w:rsid w:val="004D7DE3"/>
    <w:rsid w:val="004E26E4"/>
    <w:rsid w:val="004E4C83"/>
    <w:rsid w:val="004F0D16"/>
    <w:rsid w:val="004F18A1"/>
    <w:rsid w:val="004F1CDC"/>
    <w:rsid w:val="004F20C4"/>
    <w:rsid w:val="004F38CE"/>
    <w:rsid w:val="004F5A18"/>
    <w:rsid w:val="00502A28"/>
    <w:rsid w:val="0050463E"/>
    <w:rsid w:val="005054FD"/>
    <w:rsid w:val="00512AA7"/>
    <w:rsid w:val="00521308"/>
    <w:rsid w:val="00522533"/>
    <w:rsid w:val="00522B37"/>
    <w:rsid w:val="005244A4"/>
    <w:rsid w:val="00527783"/>
    <w:rsid w:val="0053257A"/>
    <w:rsid w:val="0054046C"/>
    <w:rsid w:val="00545FF3"/>
    <w:rsid w:val="005464D2"/>
    <w:rsid w:val="00553DEA"/>
    <w:rsid w:val="00554DB1"/>
    <w:rsid w:val="005814B5"/>
    <w:rsid w:val="005863D6"/>
    <w:rsid w:val="00586541"/>
    <w:rsid w:val="00591622"/>
    <w:rsid w:val="005A6559"/>
    <w:rsid w:val="005A6A00"/>
    <w:rsid w:val="005B02DC"/>
    <w:rsid w:val="005B0E16"/>
    <w:rsid w:val="005B47C2"/>
    <w:rsid w:val="005C2ADF"/>
    <w:rsid w:val="005D29BE"/>
    <w:rsid w:val="005D35BD"/>
    <w:rsid w:val="005D3E9D"/>
    <w:rsid w:val="005D57D6"/>
    <w:rsid w:val="005D6FBF"/>
    <w:rsid w:val="005E4BF4"/>
    <w:rsid w:val="005E4E6C"/>
    <w:rsid w:val="005E59C2"/>
    <w:rsid w:val="005F0052"/>
    <w:rsid w:val="005F1D0B"/>
    <w:rsid w:val="005F1F89"/>
    <w:rsid w:val="005F3B7A"/>
    <w:rsid w:val="005F64E0"/>
    <w:rsid w:val="005F6AE1"/>
    <w:rsid w:val="00607AC7"/>
    <w:rsid w:val="00615DA7"/>
    <w:rsid w:val="00617276"/>
    <w:rsid w:val="006211E5"/>
    <w:rsid w:val="0062284A"/>
    <w:rsid w:val="00624C8F"/>
    <w:rsid w:val="006256D3"/>
    <w:rsid w:val="00627BB7"/>
    <w:rsid w:val="00635E05"/>
    <w:rsid w:val="00637C68"/>
    <w:rsid w:val="00641220"/>
    <w:rsid w:val="00643C10"/>
    <w:rsid w:val="00644A13"/>
    <w:rsid w:val="0065136E"/>
    <w:rsid w:val="00660A12"/>
    <w:rsid w:val="00670D71"/>
    <w:rsid w:val="00672D6E"/>
    <w:rsid w:val="00673291"/>
    <w:rsid w:val="00674248"/>
    <w:rsid w:val="00676D65"/>
    <w:rsid w:val="0068433D"/>
    <w:rsid w:val="00686DC0"/>
    <w:rsid w:val="00695F7A"/>
    <w:rsid w:val="00696039"/>
    <w:rsid w:val="006B4163"/>
    <w:rsid w:val="006B7BB7"/>
    <w:rsid w:val="006C05A5"/>
    <w:rsid w:val="006C1A08"/>
    <w:rsid w:val="006C1D07"/>
    <w:rsid w:val="006D3CBA"/>
    <w:rsid w:val="006D418B"/>
    <w:rsid w:val="006D6374"/>
    <w:rsid w:val="006E7605"/>
    <w:rsid w:val="006E7DCE"/>
    <w:rsid w:val="006F3E3D"/>
    <w:rsid w:val="006F6E6B"/>
    <w:rsid w:val="00701C8A"/>
    <w:rsid w:val="0070360E"/>
    <w:rsid w:val="007050FF"/>
    <w:rsid w:val="007061A4"/>
    <w:rsid w:val="00717B75"/>
    <w:rsid w:val="007204E3"/>
    <w:rsid w:val="007236B4"/>
    <w:rsid w:val="00730BC4"/>
    <w:rsid w:val="00730CBE"/>
    <w:rsid w:val="00737F84"/>
    <w:rsid w:val="0074102A"/>
    <w:rsid w:val="00745918"/>
    <w:rsid w:val="00752764"/>
    <w:rsid w:val="00755495"/>
    <w:rsid w:val="00760117"/>
    <w:rsid w:val="007629C8"/>
    <w:rsid w:val="00764209"/>
    <w:rsid w:val="00766962"/>
    <w:rsid w:val="00775287"/>
    <w:rsid w:val="00776105"/>
    <w:rsid w:val="0077732B"/>
    <w:rsid w:val="0078029B"/>
    <w:rsid w:val="00781BEE"/>
    <w:rsid w:val="00783433"/>
    <w:rsid w:val="00784A28"/>
    <w:rsid w:val="00784A64"/>
    <w:rsid w:val="007863D1"/>
    <w:rsid w:val="00786D6D"/>
    <w:rsid w:val="007936EA"/>
    <w:rsid w:val="0079408E"/>
    <w:rsid w:val="007A224B"/>
    <w:rsid w:val="007A653C"/>
    <w:rsid w:val="007B3669"/>
    <w:rsid w:val="007B7B47"/>
    <w:rsid w:val="007C267F"/>
    <w:rsid w:val="007D005B"/>
    <w:rsid w:val="007D064F"/>
    <w:rsid w:val="007D33F4"/>
    <w:rsid w:val="007D61FD"/>
    <w:rsid w:val="007E73AA"/>
    <w:rsid w:val="007F0899"/>
    <w:rsid w:val="007F3ABE"/>
    <w:rsid w:val="007F59B4"/>
    <w:rsid w:val="008023CD"/>
    <w:rsid w:val="00803C20"/>
    <w:rsid w:val="00806CE0"/>
    <w:rsid w:val="00806FDA"/>
    <w:rsid w:val="00812249"/>
    <w:rsid w:val="00812F1D"/>
    <w:rsid w:val="00814323"/>
    <w:rsid w:val="00814B59"/>
    <w:rsid w:val="008155A3"/>
    <w:rsid w:val="00821F47"/>
    <w:rsid w:val="00827551"/>
    <w:rsid w:val="008328E9"/>
    <w:rsid w:val="0083353F"/>
    <w:rsid w:val="00835BCB"/>
    <w:rsid w:val="00835CDC"/>
    <w:rsid w:val="008416FD"/>
    <w:rsid w:val="008445F1"/>
    <w:rsid w:val="008446C3"/>
    <w:rsid w:val="00847429"/>
    <w:rsid w:val="00850B09"/>
    <w:rsid w:val="008514F2"/>
    <w:rsid w:val="008559A3"/>
    <w:rsid w:val="00862C99"/>
    <w:rsid w:val="00863B9D"/>
    <w:rsid w:val="00863BE6"/>
    <w:rsid w:val="008775BC"/>
    <w:rsid w:val="00882F1B"/>
    <w:rsid w:val="008926BA"/>
    <w:rsid w:val="0089648B"/>
    <w:rsid w:val="00896FD6"/>
    <w:rsid w:val="008A219C"/>
    <w:rsid w:val="008A70CE"/>
    <w:rsid w:val="008B313D"/>
    <w:rsid w:val="008C0B07"/>
    <w:rsid w:val="008C25E4"/>
    <w:rsid w:val="008C2DAE"/>
    <w:rsid w:val="008C3149"/>
    <w:rsid w:val="008C3FB1"/>
    <w:rsid w:val="008C6E36"/>
    <w:rsid w:val="008C6E9B"/>
    <w:rsid w:val="008C7187"/>
    <w:rsid w:val="008D713A"/>
    <w:rsid w:val="008D7727"/>
    <w:rsid w:val="008E620B"/>
    <w:rsid w:val="008F43D2"/>
    <w:rsid w:val="008F481B"/>
    <w:rsid w:val="008F7E80"/>
    <w:rsid w:val="009015A7"/>
    <w:rsid w:val="009041D7"/>
    <w:rsid w:val="009058AE"/>
    <w:rsid w:val="009059A9"/>
    <w:rsid w:val="009102AE"/>
    <w:rsid w:val="00913CF1"/>
    <w:rsid w:val="00914232"/>
    <w:rsid w:val="0091521F"/>
    <w:rsid w:val="009217EC"/>
    <w:rsid w:val="0092515E"/>
    <w:rsid w:val="009261DB"/>
    <w:rsid w:val="0093047A"/>
    <w:rsid w:val="00930AAE"/>
    <w:rsid w:val="009315CC"/>
    <w:rsid w:val="00933D8C"/>
    <w:rsid w:val="0094052C"/>
    <w:rsid w:val="00942FBD"/>
    <w:rsid w:val="00943A84"/>
    <w:rsid w:val="0094770B"/>
    <w:rsid w:val="00947D4A"/>
    <w:rsid w:val="00951D88"/>
    <w:rsid w:val="009520FB"/>
    <w:rsid w:val="0095712D"/>
    <w:rsid w:val="00957260"/>
    <w:rsid w:val="00965BFF"/>
    <w:rsid w:val="00970C63"/>
    <w:rsid w:val="00971CD2"/>
    <w:rsid w:val="00972C4F"/>
    <w:rsid w:val="009730C7"/>
    <w:rsid w:val="00977A64"/>
    <w:rsid w:val="00977E6E"/>
    <w:rsid w:val="00981341"/>
    <w:rsid w:val="00986B28"/>
    <w:rsid w:val="00994023"/>
    <w:rsid w:val="00994B64"/>
    <w:rsid w:val="009A141C"/>
    <w:rsid w:val="009A2A51"/>
    <w:rsid w:val="009A515B"/>
    <w:rsid w:val="009B2267"/>
    <w:rsid w:val="009B2FCA"/>
    <w:rsid w:val="009B4DDB"/>
    <w:rsid w:val="009C1017"/>
    <w:rsid w:val="009C42FF"/>
    <w:rsid w:val="009C573B"/>
    <w:rsid w:val="009D5B72"/>
    <w:rsid w:val="009E0AE8"/>
    <w:rsid w:val="009E495F"/>
    <w:rsid w:val="009E5374"/>
    <w:rsid w:val="009F1947"/>
    <w:rsid w:val="009F1E3B"/>
    <w:rsid w:val="009F345D"/>
    <w:rsid w:val="009F7D89"/>
    <w:rsid w:val="00A108EA"/>
    <w:rsid w:val="00A11BA8"/>
    <w:rsid w:val="00A13218"/>
    <w:rsid w:val="00A134B7"/>
    <w:rsid w:val="00A217FF"/>
    <w:rsid w:val="00A227A3"/>
    <w:rsid w:val="00A22E7B"/>
    <w:rsid w:val="00A23A66"/>
    <w:rsid w:val="00A26E01"/>
    <w:rsid w:val="00A278C9"/>
    <w:rsid w:val="00A433E8"/>
    <w:rsid w:val="00A550B1"/>
    <w:rsid w:val="00A60635"/>
    <w:rsid w:val="00A60B73"/>
    <w:rsid w:val="00A616A2"/>
    <w:rsid w:val="00A61FC0"/>
    <w:rsid w:val="00A62ABF"/>
    <w:rsid w:val="00A645B4"/>
    <w:rsid w:val="00A6664E"/>
    <w:rsid w:val="00A67F2E"/>
    <w:rsid w:val="00A75E4E"/>
    <w:rsid w:val="00A768EA"/>
    <w:rsid w:val="00A80080"/>
    <w:rsid w:val="00A81CC0"/>
    <w:rsid w:val="00A87DBC"/>
    <w:rsid w:val="00A90275"/>
    <w:rsid w:val="00A91565"/>
    <w:rsid w:val="00AA063C"/>
    <w:rsid w:val="00AA1858"/>
    <w:rsid w:val="00AA24E2"/>
    <w:rsid w:val="00AA6EAE"/>
    <w:rsid w:val="00AB3004"/>
    <w:rsid w:val="00AB3537"/>
    <w:rsid w:val="00AB4951"/>
    <w:rsid w:val="00AC2E85"/>
    <w:rsid w:val="00AD65E1"/>
    <w:rsid w:val="00AE45E0"/>
    <w:rsid w:val="00AE4EEA"/>
    <w:rsid w:val="00AE7A58"/>
    <w:rsid w:val="00AF2796"/>
    <w:rsid w:val="00AF3FA8"/>
    <w:rsid w:val="00B02FB3"/>
    <w:rsid w:val="00B037AE"/>
    <w:rsid w:val="00B04521"/>
    <w:rsid w:val="00B25283"/>
    <w:rsid w:val="00B315A0"/>
    <w:rsid w:val="00B32E40"/>
    <w:rsid w:val="00B34A18"/>
    <w:rsid w:val="00B36736"/>
    <w:rsid w:val="00B41A85"/>
    <w:rsid w:val="00B468CE"/>
    <w:rsid w:val="00B52CCE"/>
    <w:rsid w:val="00B54F35"/>
    <w:rsid w:val="00B579CB"/>
    <w:rsid w:val="00B626CD"/>
    <w:rsid w:val="00B63637"/>
    <w:rsid w:val="00B70083"/>
    <w:rsid w:val="00B7282A"/>
    <w:rsid w:val="00B73D0E"/>
    <w:rsid w:val="00B8058B"/>
    <w:rsid w:val="00B83B28"/>
    <w:rsid w:val="00B87A76"/>
    <w:rsid w:val="00B87D61"/>
    <w:rsid w:val="00B925C8"/>
    <w:rsid w:val="00B9303A"/>
    <w:rsid w:val="00B961C4"/>
    <w:rsid w:val="00BA3F66"/>
    <w:rsid w:val="00BB1856"/>
    <w:rsid w:val="00BB28F6"/>
    <w:rsid w:val="00BB3B4B"/>
    <w:rsid w:val="00BC2609"/>
    <w:rsid w:val="00BC26DD"/>
    <w:rsid w:val="00BC294C"/>
    <w:rsid w:val="00BC4468"/>
    <w:rsid w:val="00BD39A9"/>
    <w:rsid w:val="00BD4CE7"/>
    <w:rsid w:val="00BE5629"/>
    <w:rsid w:val="00BE66BA"/>
    <w:rsid w:val="00BE764D"/>
    <w:rsid w:val="00BF11F9"/>
    <w:rsid w:val="00BF28C7"/>
    <w:rsid w:val="00BF5DD8"/>
    <w:rsid w:val="00BF73A0"/>
    <w:rsid w:val="00C002AE"/>
    <w:rsid w:val="00C025F8"/>
    <w:rsid w:val="00C03DD1"/>
    <w:rsid w:val="00C12DA1"/>
    <w:rsid w:val="00C13145"/>
    <w:rsid w:val="00C13A7C"/>
    <w:rsid w:val="00C13E62"/>
    <w:rsid w:val="00C16838"/>
    <w:rsid w:val="00C16975"/>
    <w:rsid w:val="00C16FCB"/>
    <w:rsid w:val="00C2135F"/>
    <w:rsid w:val="00C24936"/>
    <w:rsid w:val="00C31D49"/>
    <w:rsid w:val="00C34785"/>
    <w:rsid w:val="00C40DCC"/>
    <w:rsid w:val="00C4117F"/>
    <w:rsid w:val="00C527AA"/>
    <w:rsid w:val="00C61012"/>
    <w:rsid w:val="00C6757F"/>
    <w:rsid w:val="00C6766B"/>
    <w:rsid w:val="00C67C97"/>
    <w:rsid w:val="00C70EC0"/>
    <w:rsid w:val="00C7135A"/>
    <w:rsid w:val="00C72A9C"/>
    <w:rsid w:val="00C7587C"/>
    <w:rsid w:val="00C83176"/>
    <w:rsid w:val="00C83C4D"/>
    <w:rsid w:val="00C83F07"/>
    <w:rsid w:val="00C86091"/>
    <w:rsid w:val="00CA1CBE"/>
    <w:rsid w:val="00CA3EAA"/>
    <w:rsid w:val="00CA5A98"/>
    <w:rsid w:val="00CA66C6"/>
    <w:rsid w:val="00CB2EC4"/>
    <w:rsid w:val="00CC23C3"/>
    <w:rsid w:val="00CD5DAF"/>
    <w:rsid w:val="00CD7225"/>
    <w:rsid w:val="00CE3E0B"/>
    <w:rsid w:val="00CE4746"/>
    <w:rsid w:val="00CE4F89"/>
    <w:rsid w:val="00CE7104"/>
    <w:rsid w:val="00CE750F"/>
    <w:rsid w:val="00CE778B"/>
    <w:rsid w:val="00CF1498"/>
    <w:rsid w:val="00CF4437"/>
    <w:rsid w:val="00CF6A1A"/>
    <w:rsid w:val="00D06197"/>
    <w:rsid w:val="00D07DDD"/>
    <w:rsid w:val="00D1039A"/>
    <w:rsid w:val="00D12474"/>
    <w:rsid w:val="00D1536F"/>
    <w:rsid w:val="00D15858"/>
    <w:rsid w:val="00D160CB"/>
    <w:rsid w:val="00D220C7"/>
    <w:rsid w:val="00D245A1"/>
    <w:rsid w:val="00D24CB3"/>
    <w:rsid w:val="00D33681"/>
    <w:rsid w:val="00D36152"/>
    <w:rsid w:val="00D3680D"/>
    <w:rsid w:val="00D41049"/>
    <w:rsid w:val="00D415E2"/>
    <w:rsid w:val="00D41F92"/>
    <w:rsid w:val="00D42055"/>
    <w:rsid w:val="00D47119"/>
    <w:rsid w:val="00D522EF"/>
    <w:rsid w:val="00D53015"/>
    <w:rsid w:val="00D5668E"/>
    <w:rsid w:val="00D57BC7"/>
    <w:rsid w:val="00D60B3D"/>
    <w:rsid w:val="00D6132D"/>
    <w:rsid w:val="00D647C3"/>
    <w:rsid w:val="00D6650E"/>
    <w:rsid w:val="00D7314D"/>
    <w:rsid w:val="00D77809"/>
    <w:rsid w:val="00D8263D"/>
    <w:rsid w:val="00D83D91"/>
    <w:rsid w:val="00D86F01"/>
    <w:rsid w:val="00D9337B"/>
    <w:rsid w:val="00D9386E"/>
    <w:rsid w:val="00D9633A"/>
    <w:rsid w:val="00DA34C8"/>
    <w:rsid w:val="00DA6C88"/>
    <w:rsid w:val="00DA7027"/>
    <w:rsid w:val="00DA71FC"/>
    <w:rsid w:val="00DB30B4"/>
    <w:rsid w:val="00DB4C0C"/>
    <w:rsid w:val="00DC0EBF"/>
    <w:rsid w:val="00DC18B2"/>
    <w:rsid w:val="00DC395A"/>
    <w:rsid w:val="00DC3D93"/>
    <w:rsid w:val="00DD4C66"/>
    <w:rsid w:val="00DD4FC4"/>
    <w:rsid w:val="00DF1BDE"/>
    <w:rsid w:val="00DF219B"/>
    <w:rsid w:val="00DF2386"/>
    <w:rsid w:val="00DF7FE7"/>
    <w:rsid w:val="00E00E9F"/>
    <w:rsid w:val="00E01F30"/>
    <w:rsid w:val="00E02654"/>
    <w:rsid w:val="00E05747"/>
    <w:rsid w:val="00E100B9"/>
    <w:rsid w:val="00E16CC7"/>
    <w:rsid w:val="00E17A64"/>
    <w:rsid w:val="00E17EE6"/>
    <w:rsid w:val="00E20094"/>
    <w:rsid w:val="00E3024A"/>
    <w:rsid w:val="00E43885"/>
    <w:rsid w:val="00E444FC"/>
    <w:rsid w:val="00E44F1E"/>
    <w:rsid w:val="00E46367"/>
    <w:rsid w:val="00E50224"/>
    <w:rsid w:val="00E559B0"/>
    <w:rsid w:val="00E57D9D"/>
    <w:rsid w:val="00E631A8"/>
    <w:rsid w:val="00E63F0B"/>
    <w:rsid w:val="00E642B6"/>
    <w:rsid w:val="00E73DED"/>
    <w:rsid w:val="00E745FC"/>
    <w:rsid w:val="00E75CA2"/>
    <w:rsid w:val="00E76632"/>
    <w:rsid w:val="00E77109"/>
    <w:rsid w:val="00E777F3"/>
    <w:rsid w:val="00E9040B"/>
    <w:rsid w:val="00E913BF"/>
    <w:rsid w:val="00E96B53"/>
    <w:rsid w:val="00EA22B9"/>
    <w:rsid w:val="00EA3318"/>
    <w:rsid w:val="00EA3A7F"/>
    <w:rsid w:val="00EB3CA7"/>
    <w:rsid w:val="00EC588F"/>
    <w:rsid w:val="00ED1012"/>
    <w:rsid w:val="00ED1CB9"/>
    <w:rsid w:val="00ED2630"/>
    <w:rsid w:val="00ED3AEB"/>
    <w:rsid w:val="00ED4036"/>
    <w:rsid w:val="00EE2107"/>
    <w:rsid w:val="00EE60AF"/>
    <w:rsid w:val="00EE7537"/>
    <w:rsid w:val="00EF42CE"/>
    <w:rsid w:val="00F078F1"/>
    <w:rsid w:val="00F126E5"/>
    <w:rsid w:val="00F12F74"/>
    <w:rsid w:val="00F136F5"/>
    <w:rsid w:val="00F14404"/>
    <w:rsid w:val="00F17C29"/>
    <w:rsid w:val="00F2372D"/>
    <w:rsid w:val="00F26C2E"/>
    <w:rsid w:val="00F32C70"/>
    <w:rsid w:val="00F32D03"/>
    <w:rsid w:val="00F336F0"/>
    <w:rsid w:val="00F344DE"/>
    <w:rsid w:val="00F36A95"/>
    <w:rsid w:val="00F52E89"/>
    <w:rsid w:val="00F56BB7"/>
    <w:rsid w:val="00F56E5C"/>
    <w:rsid w:val="00F7138B"/>
    <w:rsid w:val="00F73E71"/>
    <w:rsid w:val="00F73EE2"/>
    <w:rsid w:val="00F776A9"/>
    <w:rsid w:val="00F847E5"/>
    <w:rsid w:val="00F92888"/>
    <w:rsid w:val="00F97D89"/>
    <w:rsid w:val="00F97E9B"/>
    <w:rsid w:val="00FA2EB9"/>
    <w:rsid w:val="00FB6EE7"/>
    <w:rsid w:val="00FB70D8"/>
    <w:rsid w:val="00FC42BB"/>
    <w:rsid w:val="00FC7A32"/>
    <w:rsid w:val="00FD27EB"/>
    <w:rsid w:val="00FD59B1"/>
    <w:rsid w:val="00FD5C6E"/>
    <w:rsid w:val="00FD692A"/>
    <w:rsid w:val="00FE188B"/>
    <w:rsid w:val="00FE49DA"/>
    <w:rsid w:val="00FF1C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1864FF"/>
  <w15:docId w15:val="{73BD5DDE-FF9D-42CD-9810-707A6D1A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semiHidden/>
    <w:unhideWhenUsed/>
    <w:rsid w:val="00BC2609"/>
    <w:rPr>
      <w:sz w:val="20"/>
      <w:szCs w:val="20"/>
    </w:rPr>
  </w:style>
  <w:style w:type="character" w:customStyle="1" w:styleId="CommentTextChar">
    <w:name w:val="Comment Text Char"/>
    <w:basedOn w:val="DefaultParagraphFont"/>
    <w:link w:val="CommentText"/>
    <w:uiPriority w:val="99"/>
    <w:semiHidden/>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qFormat/>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paragraph" w:customStyle="1" w:styleId="MGfulltext">
    <w:name w:val="MG_fulltext"/>
    <w:basedOn w:val="Normal"/>
    <w:link w:val="MGfulltextChar"/>
    <w:qFormat/>
    <w:rsid w:val="00B32E40"/>
    <w:pPr>
      <w:spacing w:after="120"/>
      <w:ind w:left="0" w:firstLine="0"/>
    </w:pPr>
    <w:rPr>
      <w:rFonts w:ascii="Arial" w:eastAsia="Times New Roman" w:hAnsi="Arial" w:cs="Arial"/>
      <w:sz w:val="24"/>
      <w:szCs w:val="24"/>
      <w:lang w:val="en-US"/>
    </w:rPr>
  </w:style>
  <w:style w:type="character" w:customStyle="1" w:styleId="MGfulltextChar">
    <w:name w:val="MG_fulltext Char"/>
    <w:basedOn w:val="DefaultParagraphFont"/>
    <w:link w:val="MGfulltext"/>
    <w:rsid w:val="00B32E40"/>
    <w:rPr>
      <w:rFonts w:ascii="Arial" w:eastAsia="Times New Roman" w:hAnsi="Arial" w:cs="Arial"/>
      <w:sz w:val="24"/>
      <w:szCs w:val="24"/>
      <w:lang w:val="en-US"/>
    </w:rPr>
  </w:style>
  <w:style w:type="paragraph" w:customStyle="1" w:styleId="Default">
    <w:name w:val="Default"/>
    <w:basedOn w:val="Normal"/>
    <w:rsid w:val="00267D03"/>
    <w:pPr>
      <w:autoSpaceDE w:val="0"/>
      <w:autoSpaceDN w:val="0"/>
      <w:ind w:left="0" w:firstLine="0"/>
    </w:pPr>
    <w:rPr>
      <w:rFonts w:ascii="Arial" w:eastAsiaTheme="minorHAnsi" w:hAnsi="Arial" w:cs="Arial"/>
      <w:color w:val="000000"/>
      <w:sz w:val="24"/>
      <w:szCs w:val="24"/>
    </w:rPr>
  </w:style>
  <w:style w:type="paragraph" w:customStyle="1" w:styleId="xl65">
    <w:name w:val="xl65"/>
    <w:basedOn w:val="Normal"/>
    <w:rsid w:val="00B52CCE"/>
    <w:pPr>
      <w:spacing w:before="100" w:beforeAutospacing="1" w:after="100" w:afterAutospacing="1"/>
      <w:ind w:left="0" w:firstLine="0"/>
      <w:textAlignment w:val="top"/>
    </w:pPr>
    <w:rPr>
      <w:rFonts w:eastAsia="Times New Roman"/>
      <w:b/>
      <w:bCs/>
      <w:sz w:val="24"/>
      <w:szCs w:val="24"/>
      <w:lang w:eastAsia="en-GB"/>
    </w:rPr>
  </w:style>
  <w:style w:type="paragraph" w:customStyle="1" w:styleId="xl67">
    <w:name w:val="xl67"/>
    <w:basedOn w:val="Normal"/>
    <w:rsid w:val="00B52CCE"/>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8">
    <w:name w:val="xl68"/>
    <w:basedOn w:val="Normal"/>
    <w:rsid w:val="00B52CC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69">
    <w:name w:val="xl69"/>
    <w:basedOn w:val="Normal"/>
    <w:rsid w:val="00B52CC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70">
    <w:name w:val="xl70"/>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1">
    <w:name w:val="xl71"/>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2">
    <w:name w:val="xl72"/>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3">
    <w:name w:val="xl73"/>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4">
    <w:name w:val="xl74"/>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5">
    <w:name w:val="xl75"/>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New Roman" w:eastAsia="Times New Roman" w:hAnsi="Times New Roman"/>
      <w:sz w:val="24"/>
      <w:szCs w:val="24"/>
      <w:lang w:eastAsia="en-GB"/>
    </w:rPr>
  </w:style>
  <w:style w:type="paragraph" w:customStyle="1" w:styleId="xl76">
    <w:name w:val="xl76"/>
    <w:basedOn w:val="Normal"/>
    <w:rsid w:val="00B52C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7">
    <w:name w:val="xl77"/>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8">
    <w:name w:val="xl78"/>
    <w:basedOn w:val="Normal"/>
    <w:rsid w:val="00B52CCE"/>
    <w:p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79">
    <w:name w:val="xl79"/>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0">
    <w:name w:val="xl80"/>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jc w:val="center"/>
      <w:textAlignment w:val="top"/>
    </w:pPr>
    <w:rPr>
      <w:rFonts w:eastAsia="Times New Roman"/>
      <w:b/>
      <w:bCs/>
      <w:sz w:val="24"/>
      <w:szCs w:val="24"/>
      <w:lang w:eastAsia="en-GB"/>
    </w:rPr>
  </w:style>
  <w:style w:type="paragraph" w:customStyle="1" w:styleId="xl81">
    <w:name w:val="xl81"/>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2">
    <w:name w:val="xl82"/>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3">
    <w:name w:val="xl83"/>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4">
    <w:name w:val="xl84"/>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5">
    <w:name w:val="xl85"/>
    <w:basedOn w:val="Normal"/>
    <w:rsid w:val="00B52CCE"/>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6">
    <w:name w:val="xl86"/>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7">
    <w:name w:val="xl87"/>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sz w:val="24"/>
      <w:szCs w:val="24"/>
      <w:lang w:eastAsia="en-GB"/>
    </w:rPr>
  </w:style>
  <w:style w:type="paragraph" w:customStyle="1" w:styleId="xl88">
    <w:name w:val="xl88"/>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89">
    <w:name w:val="xl89"/>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 w:type="paragraph" w:customStyle="1" w:styleId="xl90">
    <w:name w:val="xl90"/>
    <w:basedOn w:val="Normal"/>
    <w:rsid w:val="00B52CC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left="0" w:firstLine="0"/>
    </w:pPr>
    <w:rPr>
      <w:rFonts w:ascii="Times New Roman" w:eastAsia="Times New Roman" w:hAnsi="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5543">
      <w:bodyDiv w:val="1"/>
      <w:marLeft w:val="0"/>
      <w:marRight w:val="0"/>
      <w:marTop w:val="0"/>
      <w:marBottom w:val="0"/>
      <w:divBdr>
        <w:top w:val="none" w:sz="0" w:space="0" w:color="auto"/>
        <w:left w:val="none" w:sz="0" w:space="0" w:color="auto"/>
        <w:bottom w:val="none" w:sz="0" w:space="0" w:color="auto"/>
        <w:right w:val="none" w:sz="0" w:space="0" w:color="auto"/>
      </w:divBdr>
    </w:div>
    <w:div w:id="45565056">
      <w:bodyDiv w:val="1"/>
      <w:marLeft w:val="0"/>
      <w:marRight w:val="0"/>
      <w:marTop w:val="0"/>
      <w:marBottom w:val="0"/>
      <w:divBdr>
        <w:top w:val="none" w:sz="0" w:space="0" w:color="auto"/>
        <w:left w:val="none" w:sz="0" w:space="0" w:color="auto"/>
        <w:bottom w:val="none" w:sz="0" w:space="0" w:color="auto"/>
        <w:right w:val="none" w:sz="0" w:space="0" w:color="auto"/>
      </w:divBdr>
    </w:div>
    <w:div w:id="71204755">
      <w:bodyDiv w:val="1"/>
      <w:marLeft w:val="0"/>
      <w:marRight w:val="0"/>
      <w:marTop w:val="0"/>
      <w:marBottom w:val="0"/>
      <w:divBdr>
        <w:top w:val="none" w:sz="0" w:space="0" w:color="auto"/>
        <w:left w:val="none" w:sz="0" w:space="0" w:color="auto"/>
        <w:bottom w:val="none" w:sz="0" w:space="0" w:color="auto"/>
        <w:right w:val="none" w:sz="0" w:space="0" w:color="auto"/>
      </w:divBdr>
    </w:div>
    <w:div w:id="139883844">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6373414">
      <w:bodyDiv w:val="1"/>
      <w:marLeft w:val="0"/>
      <w:marRight w:val="0"/>
      <w:marTop w:val="0"/>
      <w:marBottom w:val="0"/>
      <w:divBdr>
        <w:top w:val="none" w:sz="0" w:space="0" w:color="auto"/>
        <w:left w:val="none" w:sz="0" w:space="0" w:color="auto"/>
        <w:bottom w:val="none" w:sz="0" w:space="0" w:color="auto"/>
        <w:right w:val="none" w:sz="0" w:space="0" w:color="auto"/>
      </w:divBdr>
    </w:div>
    <w:div w:id="417795005">
      <w:bodyDiv w:val="1"/>
      <w:marLeft w:val="0"/>
      <w:marRight w:val="0"/>
      <w:marTop w:val="0"/>
      <w:marBottom w:val="0"/>
      <w:divBdr>
        <w:top w:val="none" w:sz="0" w:space="0" w:color="auto"/>
        <w:left w:val="none" w:sz="0" w:space="0" w:color="auto"/>
        <w:bottom w:val="none" w:sz="0" w:space="0" w:color="auto"/>
        <w:right w:val="none" w:sz="0" w:space="0" w:color="auto"/>
      </w:divBdr>
    </w:div>
    <w:div w:id="621114660">
      <w:bodyDiv w:val="1"/>
      <w:marLeft w:val="0"/>
      <w:marRight w:val="0"/>
      <w:marTop w:val="0"/>
      <w:marBottom w:val="0"/>
      <w:divBdr>
        <w:top w:val="none" w:sz="0" w:space="0" w:color="auto"/>
        <w:left w:val="none" w:sz="0" w:space="0" w:color="auto"/>
        <w:bottom w:val="none" w:sz="0" w:space="0" w:color="auto"/>
        <w:right w:val="none" w:sz="0" w:space="0" w:color="auto"/>
      </w:divBdr>
    </w:div>
    <w:div w:id="723677208">
      <w:bodyDiv w:val="1"/>
      <w:marLeft w:val="0"/>
      <w:marRight w:val="0"/>
      <w:marTop w:val="0"/>
      <w:marBottom w:val="0"/>
      <w:divBdr>
        <w:top w:val="none" w:sz="0" w:space="0" w:color="auto"/>
        <w:left w:val="none" w:sz="0" w:space="0" w:color="auto"/>
        <w:bottom w:val="none" w:sz="0" w:space="0" w:color="auto"/>
        <w:right w:val="none" w:sz="0" w:space="0" w:color="auto"/>
      </w:divBdr>
    </w:div>
    <w:div w:id="757824281">
      <w:bodyDiv w:val="1"/>
      <w:marLeft w:val="0"/>
      <w:marRight w:val="0"/>
      <w:marTop w:val="0"/>
      <w:marBottom w:val="0"/>
      <w:divBdr>
        <w:top w:val="none" w:sz="0" w:space="0" w:color="auto"/>
        <w:left w:val="none" w:sz="0" w:space="0" w:color="auto"/>
        <w:bottom w:val="none" w:sz="0" w:space="0" w:color="auto"/>
        <w:right w:val="none" w:sz="0" w:space="0" w:color="auto"/>
      </w:divBdr>
    </w:div>
    <w:div w:id="997684447">
      <w:bodyDiv w:val="1"/>
      <w:marLeft w:val="0"/>
      <w:marRight w:val="0"/>
      <w:marTop w:val="0"/>
      <w:marBottom w:val="0"/>
      <w:divBdr>
        <w:top w:val="none" w:sz="0" w:space="0" w:color="auto"/>
        <w:left w:val="none" w:sz="0" w:space="0" w:color="auto"/>
        <w:bottom w:val="none" w:sz="0" w:space="0" w:color="auto"/>
        <w:right w:val="none" w:sz="0" w:space="0" w:color="auto"/>
      </w:divBdr>
    </w:div>
    <w:div w:id="1013531611">
      <w:bodyDiv w:val="1"/>
      <w:marLeft w:val="0"/>
      <w:marRight w:val="0"/>
      <w:marTop w:val="0"/>
      <w:marBottom w:val="0"/>
      <w:divBdr>
        <w:top w:val="none" w:sz="0" w:space="0" w:color="auto"/>
        <w:left w:val="none" w:sz="0" w:space="0" w:color="auto"/>
        <w:bottom w:val="none" w:sz="0" w:space="0" w:color="auto"/>
        <w:right w:val="none" w:sz="0" w:space="0" w:color="auto"/>
      </w:divBdr>
    </w:div>
    <w:div w:id="1302539324">
      <w:bodyDiv w:val="1"/>
      <w:marLeft w:val="0"/>
      <w:marRight w:val="0"/>
      <w:marTop w:val="0"/>
      <w:marBottom w:val="0"/>
      <w:divBdr>
        <w:top w:val="none" w:sz="0" w:space="0" w:color="auto"/>
        <w:left w:val="none" w:sz="0" w:space="0" w:color="auto"/>
        <w:bottom w:val="none" w:sz="0" w:space="0" w:color="auto"/>
        <w:right w:val="none" w:sz="0" w:space="0" w:color="auto"/>
      </w:divBdr>
    </w:div>
    <w:div w:id="1336878413">
      <w:bodyDiv w:val="1"/>
      <w:marLeft w:val="0"/>
      <w:marRight w:val="0"/>
      <w:marTop w:val="0"/>
      <w:marBottom w:val="0"/>
      <w:divBdr>
        <w:top w:val="none" w:sz="0" w:space="0" w:color="auto"/>
        <w:left w:val="none" w:sz="0" w:space="0" w:color="auto"/>
        <w:bottom w:val="none" w:sz="0" w:space="0" w:color="auto"/>
        <w:right w:val="none" w:sz="0" w:space="0" w:color="auto"/>
      </w:divBdr>
    </w:div>
    <w:div w:id="1354645834">
      <w:bodyDiv w:val="1"/>
      <w:marLeft w:val="0"/>
      <w:marRight w:val="0"/>
      <w:marTop w:val="0"/>
      <w:marBottom w:val="0"/>
      <w:divBdr>
        <w:top w:val="none" w:sz="0" w:space="0" w:color="auto"/>
        <w:left w:val="none" w:sz="0" w:space="0" w:color="auto"/>
        <w:bottom w:val="none" w:sz="0" w:space="0" w:color="auto"/>
        <w:right w:val="none" w:sz="0" w:space="0" w:color="auto"/>
      </w:divBdr>
    </w:div>
    <w:div w:id="1727415641">
      <w:bodyDiv w:val="1"/>
      <w:marLeft w:val="0"/>
      <w:marRight w:val="0"/>
      <w:marTop w:val="0"/>
      <w:marBottom w:val="0"/>
      <w:divBdr>
        <w:top w:val="none" w:sz="0" w:space="0" w:color="auto"/>
        <w:left w:val="none" w:sz="0" w:space="0" w:color="auto"/>
        <w:bottom w:val="none" w:sz="0" w:space="0" w:color="auto"/>
        <w:right w:val="none" w:sz="0" w:space="0" w:color="auto"/>
      </w:divBdr>
    </w:div>
    <w:div w:id="1836333646">
      <w:bodyDiv w:val="1"/>
      <w:marLeft w:val="0"/>
      <w:marRight w:val="0"/>
      <w:marTop w:val="0"/>
      <w:marBottom w:val="0"/>
      <w:divBdr>
        <w:top w:val="none" w:sz="0" w:space="0" w:color="auto"/>
        <w:left w:val="none" w:sz="0" w:space="0" w:color="auto"/>
        <w:bottom w:val="none" w:sz="0" w:space="0" w:color="auto"/>
        <w:right w:val="none" w:sz="0" w:space="0" w:color="auto"/>
      </w:divBdr>
    </w:div>
    <w:div w:id="1935891816">
      <w:bodyDiv w:val="1"/>
      <w:marLeft w:val="0"/>
      <w:marRight w:val="0"/>
      <w:marTop w:val="0"/>
      <w:marBottom w:val="0"/>
      <w:divBdr>
        <w:top w:val="none" w:sz="0" w:space="0" w:color="auto"/>
        <w:left w:val="none" w:sz="0" w:space="0" w:color="auto"/>
        <w:bottom w:val="none" w:sz="0" w:space="0" w:color="auto"/>
        <w:right w:val="none" w:sz="0" w:space="0" w:color="auto"/>
      </w:divBdr>
    </w:div>
    <w:div w:id="2135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12BFF-040E-4D49-86A9-AFD3549038EF}">
  <ds:schemaRefs>
    <ds:schemaRef ds:uri="http://schemas.microsoft.com/sharepoint/v3/contenttype/forms"/>
  </ds:schemaRefs>
</ds:datastoreItem>
</file>

<file path=customXml/itemProps2.xml><?xml version="1.0" encoding="utf-8"?>
<ds:datastoreItem xmlns:ds="http://schemas.openxmlformats.org/officeDocument/2006/customXml" ds:itemID="{A88977C5-E081-4E25-B79A-D23A20F8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35C0D-B67E-441E-B855-D16178920765}">
  <ds:schemaRefs>
    <ds:schemaRef ds:uri="http://purl.org/dc/terms/"/>
    <ds:schemaRef ds:uri="8c0b6b05-eb82-4bda-97e8-cd82d0d6b45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FDDB0A-67DE-48FE-A6E8-D127DCBD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6621</Words>
  <Characters>37746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3</cp:revision>
  <cp:lastPrinted>2022-03-15T13:39:00Z</cp:lastPrinted>
  <dcterms:created xsi:type="dcterms:W3CDTF">2022-03-24T15:02:00Z</dcterms:created>
  <dcterms:modified xsi:type="dcterms:W3CDTF">2022-03-24T17:49:00Z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