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0A7F4" w14:textId="63A73161" w:rsidR="00275F13" w:rsidRPr="003F2A55" w:rsidRDefault="007D1330" w:rsidP="003F2A55">
      <w:pPr>
        <w:pBdr>
          <w:top w:val="single" w:sz="12" w:space="0" w:color="auto" w:shadow="1"/>
          <w:left w:val="single" w:sz="12" w:space="4" w:color="auto" w:shadow="1"/>
          <w:bottom w:val="single" w:sz="12" w:space="1" w:color="auto" w:shadow="1"/>
          <w:right w:val="single" w:sz="4" w:space="1" w:color="auto"/>
        </w:pBdr>
        <w:ind w:right="2790"/>
        <w:rPr>
          <w:bCs/>
        </w:rPr>
      </w:pPr>
      <w:r w:rsidRPr="003F2A55">
        <w:rPr>
          <w:bCs/>
        </w:rPr>
        <w:t>LA CONVENCIÓN SOBRE LOS HUMEDALES</w:t>
      </w:r>
    </w:p>
    <w:p w14:paraId="1B452896" w14:textId="77777777" w:rsidR="00800F14" w:rsidRPr="003F2A55" w:rsidRDefault="00800F14" w:rsidP="003F2A55">
      <w:pPr>
        <w:pBdr>
          <w:top w:val="single" w:sz="12" w:space="0" w:color="auto" w:shadow="1"/>
          <w:left w:val="single" w:sz="12" w:space="4" w:color="auto" w:shadow="1"/>
          <w:bottom w:val="single" w:sz="12" w:space="1" w:color="auto" w:shadow="1"/>
          <w:right w:val="single" w:sz="4" w:space="1" w:color="auto"/>
        </w:pBdr>
        <w:ind w:right="2790"/>
        <w:rPr>
          <w:bCs/>
        </w:rPr>
      </w:pPr>
      <w:r w:rsidRPr="003F2A55">
        <w:rPr>
          <w:bCs/>
        </w:rPr>
        <w:t>59ª Reunión del Comité Permanente</w:t>
      </w:r>
    </w:p>
    <w:p w14:paraId="607BF2B2" w14:textId="77777777" w:rsidR="00800F14" w:rsidRPr="003F2A55" w:rsidRDefault="00800F14" w:rsidP="003F2A55">
      <w:pPr>
        <w:pBdr>
          <w:top w:val="single" w:sz="12" w:space="0" w:color="auto" w:shadow="1"/>
          <w:left w:val="single" w:sz="12" w:space="4" w:color="auto" w:shadow="1"/>
          <w:bottom w:val="single" w:sz="12" w:space="1" w:color="auto" w:shadow="1"/>
          <w:right w:val="single" w:sz="4" w:space="1" w:color="auto"/>
        </w:pBdr>
        <w:ind w:right="2790"/>
        <w:rPr>
          <w:bCs/>
        </w:rPr>
      </w:pPr>
      <w:r w:rsidRPr="003F2A55">
        <w:rPr>
          <w:bCs/>
        </w:rPr>
        <w:t xml:space="preserve">Reanudación de la reunión </w:t>
      </w:r>
    </w:p>
    <w:p w14:paraId="50D733C1" w14:textId="362910F2" w:rsidR="00DF2386" w:rsidRPr="003F2A55" w:rsidRDefault="00DF2386" w:rsidP="003F2A55">
      <w:pPr>
        <w:pBdr>
          <w:top w:val="single" w:sz="12" w:space="0" w:color="auto" w:shadow="1"/>
          <w:left w:val="single" w:sz="12" w:space="4" w:color="auto" w:shadow="1"/>
          <w:bottom w:val="single" w:sz="12" w:space="1" w:color="auto" w:shadow="1"/>
          <w:right w:val="single" w:sz="4" w:space="1" w:color="auto"/>
        </w:pBdr>
        <w:ind w:right="2790"/>
        <w:rPr>
          <w:bCs/>
        </w:rPr>
      </w:pPr>
      <w:r w:rsidRPr="003F2A55">
        <w:rPr>
          <w:bCs/>
        </w:rPr>
        <w:t xml:space="preserve">Gland, </w:t>
      </w:r>
      <w:r w:rsidR="007D1330" w:rsidRPr="003F2A55">
        <w:rPr>
          <w:bCs/>
        </w:rPr>
        <w:t>Suiza</w:t>
      </w:r>
      <w:r w:rsidRPr="003F2A55">
        <w:rPr>
          <w:bCs/>
        </w:rPr>
        <w:t xml:space="preserve">, </w:t>
      </w:r>
      <w:r w:rsidR="00C03FC6" w:rsidRPr="003F2A55">
        <w:rPr>
          <w:bCs/>
        </w:rPr>
        <w:t>23</w:t>
      </w:r>
      <w:r w:rsidR="007D1330" w:rsidRPr="003F2A55">
        <w:rPr>
          <w:bCs/>
        </w:rPr>
        <w:t xml:space="preserve"> a </w:t>
      </w:r>
      <w:r w:rsidR="00C03FC6" w:rsidRPr="003F2A55">
        <w:rPr>
          <w:bCs/>
        </w:rPr>
        <w:t xml:space="preserve">27 </w:t>
      </w:r>
      <w:r w:rsidR="007D1330" w:rsidRPr="003F2A55">
        <w:rPr>
          <w:bCs/>
        </w:rPr>
        <w:t>de mayo de</w:t>
      </w:r>
      <w:r w:rsidR="00C03FC6" w:rsidRPr="003F2A55">
        <w:rPr>
          <w:bCs/>
        </w:rPr>
        <w:t xml:space="preserve"> 2022</w:t>
      </w:r>
    </w:p>
    <w:p w14:paraId="6AE96694" w14:textId="77777777" w:rsidR="00DF2386" w:rsidRPr="00064323" w:rsidRDefault="00DF2386" w:rsidP="00633DD5">
      <w:pPr>
        <w:outlineLvl w:val="0"/>
        <w:rPr>
          <w:b/>
          <w:noProof/>
          <w:lang w:val="es-ES"/>
        </w:rPr>
      </w:pPr>
    </w:p>
    <w:p w14:paraId="17112917" w14:textId="77777777" w:rsidR="00DF2386" w:rsidRPr="00064323" w:rsidRDefault="00FE0913" w:rsidP="00633DD5">
      <w:pPr>
        <w:jc w:val="right"/>
        <w:rPr>
          <w:rFonts w:cs="Arial"/>
          <w:noProof/>
          <w:sz w:val="28"/>
          <w:szCs w:val="28"/>
          <w:lang w:val="es-ES"/>
        </w:rPr>
      </w:pPr>
      <w:r w:rsidRPr="00064323">
        <w:rPr>
          <w:rFonts w:cs="Arial"/>
          <w:b/>
          <w:noProof/>
          <w:sz w:val="28"/>
          <w:szCs w:val="28"/>
          <w:lang w:val="es-ES"/>
        </w:rPr>
        <w:t>SC59</w:t>
      </w:r>
      <w:r w:rsidR="00C03FC6" w:rsidRPr="00064323">
        <w:rPr>
          <w:rFonts w:cs="Arial"/>
          <w:b/>
          <w:noProof/>
          <w:sz w:val="28"/>
          <w:szCs w:val="28"/>
          <w:lang w:val="es-ES"/>
        </w:rPr>
        <w:t>/2022</w:t>
      </w:r>
      <w:r w:rsidRPr="00064323">
        <w:rPr>
          <w:rFonts w:cs="Arial"/>
          <w:b/>
          <w:noProof/>
          <w:sz w:val="28"/>
          <w:szCs w:val="28"/>
          <w:lang w:val="es-ES"/>
        </w:rPr>
        <w:t xml:space="preserve"> </w:t>
      </w:r>
      <w:r w:rsidR="009D425A" w:rsidRPr="00064323">
        <w:rPr>
          <w:rFonts w:cs="Arial"/>
          <w:b/>
          <w:noProof/>
          <w:sz w:val="28"/>
          <w:szCs w:val="28"/>
          <w:lang w:val="es-ES"/>
        </w:rPr>
        <w:t>Doc.</w:t>
      </w:r>
      <w:r w:rsidR="003F621E" w:rsidRPr="00064323">
        <w:rPr>
          <w:rFonts w:cs="Arial"/>
          <w:b/>
          <w:noProof/>
          <w:sz w:val="28"/>
          <w:szCs w:val="28"/>
          <w:lang w:val="es-ES"/>
        </w:rPr>
        <w:t>8</w:t>
      </w:r>
      <w:r w:rsidR="00DE5D75" w:rsidRPr="00064323">
        <w:rPr>
          <w:rFonts w:cs="Arial"/>
          <w:b/>
          <w:noProof/>
          <w:sz w:val="28"/>
          <w:szCs w:val="28"/>
          <w:lang w:val="es-ES"/>
        </w:rPr>
        <w:t>.</w:t>
      </w:r>
      <w:r w:rsidRPr="00064323">
        <w:rPr>
          <w:rFonts w:cs="Arial"/>
          <w:b/>
          <w:noProof/>
          <w:sz w:val="28"/>
          <w:szCs w:val="28"/>
          <w:lang w:val="es-ES"/>
        </w:rPr>
        <w:t>1</w:t>
      </w:r>
    </w:p>
    <w:p w14:paraId="08620B6F" w14:textId="77777777" w:rsidR="00DF2386" w:rsidRPr="00064323" w:rsidRDefault="00DF2386" w:rsidP="00633DD5">
      <w:pPr>
        <w:rPr>
          <w:rFonts w:cs="Arial"/>
          <w:b/>
          <w:noProof/>
          <w:sz w:val="28"/>
          <w:szCs w:val="28"/>
          <w:lang w:val="es-ES"/>
        </w:rPr>
      </w:pPr>
      <w:bookmarkStart w:id="0" w:name="_GoBack"/>
      <w:bookmarkEnd w:id="0"/>
    </w:p>
    <w:p w14:paraId="345D5E04" w14:textId="7520855B" w:rsidR="00DF2386" w:rsidRPr="00064323" w:rsidRDefault="004E3A8B" w:rsidP="00633DD5">
      <w:pPr>
        <w:ind w:left="0" w:firstLine="0"/>
        <w:jc w:val="center"/>
        <w:rPr>
          <w:rFonts w:cs="Arial"/>
          <w:b/>
          <w:noProof/>
          <w:sz w:val="28"/>
          <w:szCs w:val="28"/>
          <w:lang w:val="es-ES"/>
        </w:rPr>
      </w:pPr>
      <w:r w:rsidRPr="00064323">
        <w:rPr>
          <w:rFonts w:cs="Arial"/>
          <w:b/>
          <w:noProof/>
          <w:sz w:val="28"/>
          <w:szCs w:val="28"/>
          <w:lang w:val="es-ES"/>
        </w:rPr>
        <w:t xml:space="preserve">Informe sobre cuestiones financieras para </w:t>
      </w:r>
      <w:r w:rsidR="003F621E" w:rsidRPr="00064323">
        <w:rPr>
          <w:rFonts w:cs="Arial"/>
          <w:b/>
          <w:noProof/>
          <w:sz w:val="28"/>
          <w:szCs w:val="28"/>
          <w:lang w:val="es-ES"/>
        </w:rPr>
        <w:t>2019</w:t>
      </w:r>
      <w:r w:rsidR="00F534C1" w:rsidRPr="00064323">
        <w:rPr>
          <w:rFonts w:cs="Arial"/>
          <w:b/>
          <w:noProof/>
          <w:sz w:val="28"/>
          <w:szCs w:val="28"/>
          <w:lang w:val="es-ES"/>
        </w:rPr>
        <w:t>-</w:t>
      </w:r>
      <w:r w:rsidR="00FD30C7" w:rsidRPr="00064323">
        <w:rPr>
          <w:rFonts w:cs="Arial"/>
          <w:b/>
          <w:noProof/>
          <w:sz w:val="28"/>
          <w:szCs w:val="28"/>
          <w:lang w:val="es-ES"/>
        </w:rPr>
        <w:t>2021</w:t>
      </w:r>
      <w:r w:rsidR="00C03FC6" w:rsidRPr="00064323">
        <w:rPr>
          <w:rFonts w:cs="Arial"/>
          <w:b/>
          <w:noProof/>
          <w:sz w:val="28"/>
          <w:szCs w:val="28"/>
          <w:lang w:val="es-ES"/>
        </w:rPr>
        <w:t xml:space="preserve"> </w:t>
      </w:r>
      <w:r w:rsidRPr="00064323">
        <w:rPr>
          <w:rFonts w:cs="Arial"/>
          <w:b/>
          <w:noProof/>
          <w:sz w:val="28"/>
          <w:szCs w:val="28"/>
          <w:lang w:val="es-ES"/>
        </w:rPr>
        <w:t>y</w:t>
      </w:r>
      <w:r w:rsidR="00C03FC6" w:rsidRPr="00064323">
        <w:rPr>
          <w:rFonts w:cs="Arial"/>
          <w:b/>
          <w:noProof/>
          <w:sz w:val="28"/>
          <w:szCs w:val="28"/>
          <w:lang w:val="es-ES"/>
        </w:rPr>
        <w:t xml:space="preserve"> 2022</w:t>
      </w:r>
    </w:p>
    <w:p w14:paraId="7CEC9E3C" w14:textId="0A458346" w:rsidR="00DF2386" w:rsidRPr="00064323" w:rsidRDefault="00DF2386" w:rsidP="00633DD5">
      <w:pPr>
        <w:rPr>
          <w:rFonts w:ascii="Garamond" w:hAnsi="Garamond" w:cs="Arial"/>
          <w:noProof/>
          <w:sz w:val="28"/>
          <w:szCs w:val="28"/>
          <w:lang w:val="es-ES"/>
        </w:rPr>
      </w:pPr>
    </w:p>
    <w:p w14:paraId="1C7F5B63" w14:textId="77777777" w:rsidR="000C2489" w:rsidRPr="00064323" w:rsidRDefault="000C2489" w:rsidP="00633DD5">
      <w:pPr>
        <w:autoSpaceDE w:val="0"/>
        <w:autoSpaceDN w:val="0"/>
        <w:adjustRightInd w:val="0"/>
        <w:rPr>
          <w:rFonts w:asciiTheme="minorHAnsi" w:eastAsiaTheme="minorHAnsi" w:hAnsiTheme="minorHAnsi" w:cs="Calibri-Bold"/>
          <w:b/>
          <w:bCs/>
          <w:noProof/>
          <w:lang w:val="es-ES"/>
        </w:rPr>
      </w:pPr>
      <w:r w:rsidRPr="00064323">
        <w:rPr>
          <w:noProof/>
          <w:lang w:eastAsia="en-GB"/>
        </w:rPr>
        <mc:AlternateContent>
          <mc:Choice Requires="wps">
            <w:drawing>
              <wp:inline distT="0" distB="0" distL="0" distR="0" wp14:anchorId="0D883522" wp14:editId="4BEE2A4E">
                <wp:extent cx="5895975" cy="5257800"/>
                <wp:effectExtent l="0" t="0" r="9525" b="127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5257800"/>
                        </a:xfrm>
                        <a:prstGeom prst="rect">
                          <a:avLst/>
                        </a:prstGeom>
                        <a:solidFill>
                          <a:srgbClr val="FFFFFF"/>
                        </a:solidFill>
                        <a:ln w="9525">
                          <a:solidFill>
                            <a:srgbClr val="000000"/>
                          </a:solidFill>
                          <a:miter lim="800000"/>
                          <a:headEnd/>
                          <a:tailEnd/>
                        </a:ln>
                      </wps:spPr>
                      <wps:txbx>
                        <w:txbxContent>
                          <w:p w14:paraId="216514D2" w14:textId="21A0927B" w:rsidR="00FF2210" w:rsidRPr="004E3A8B" w:rsidRDefault="00FF2210" w:rsidP="000C2489">
                            <w:pPr>
                              <w:rPr>
                                <w:b/>
                                <w:bCs/>
                                <w:noProof/>
                                <w:lang w:val="es-ES"/>
                              </w:rPr>
                            </w:pPr>
                            <w:r w:rsidRPr="004E3A8B">
                              <w:rPr>
                                <w:b/>
                                <w:bCs/>
                                <w:noProof/>
                                <w:lang w:val="es-ES"/>
                              </w:rPr>
                              <w:t xml:space="preserve">Acciones solicitadas: </w:t>
                            </w:r>
                          </w:p>
                          <w:p w14:paraId="3DDC8891" w14:textId="77777777" w:rsidR="00FF2210" w:rsidRPr="004E3A8B" w:rsidRDefault="00FF2210" w:rsidP="000C2489">
                            <w:pPr>
                              <w:pStyle w:val="ColorfulList-Accent11"/>
                              <w:ind w:left="0"/>
                              <w:rPr>
                                <w:noProof/>
                                <w:lang w:val="es-ES"/>
                              </w:rPr>
                            </w:pPr>
                          </w:p>
                          <w:p w14:paraId="506FF911" w14:textId="626AF078" w:rsidR="00FF2210" w:rsidRPr="004E3A8B" w:rsidRDefault="00FF2210" w:rsidP="00275F13">
                            <w:pPr>
                              <w:pStyle w:val="ColorfulList-Accent11"/>
                              <w:ind w:left="0" w:firstLine="0"/>
                              <w:rPr>
                                <w:rFonts w:cs="Calibri"/>
                                <w:noProof/>
                                <w:lang w:val="es-ES"/>
                              </w:rPr>
                            </w:pPr>
                            <w:r w:rsidRPr="004E3A8B">
                              <w:rPr>
                                <w:noProof/>
                                <w:lang w:val="es-ES"/>
                              </w:rPr>
                              <w:t>Se invita al Comité Permanente a hacer lo siguiente</w:t>
                            </w:r>
                            <w:r w:rsidRPr="004E3A8B">
                              <w:rPr>
                                <w:rFonts w:cs="Calibri"/>
                                <w:noProof/>
                                <w:lang w:val="es-ES"/>
                              </w:rPr>
                              <w:t>:</w:t>
                            </w:r>
                          </w:p>
                          <w:p w14:paraId="72B2EB92" w14:textId="77777777" w:rsidR="00FF2210" w:rsidRPr="004E3A8B" w:rsidRDefault="00FF2210" w:rsidP="000C2489">
                            <w:pPr>
                              <w:pStyle w:val="ColorfulList-Accent11"/>
                              <w:ind w:left="0"/>
                              <w:rPr>
                                <w:rFonts w:cs="Calibri"/>
                                <w:noProof/>
                                <w:lang w:val="es-ES"/>
                              </w:rPr>
                            </w:pPr>
                          </w:p>
                          <w:p w14:paraId="55043D8B" w14:textId="741FBF39" w:rsidR="00FF2210" w:rsidRPr="004E3A8B" w:rsidRDefault="00FF2210" w:rsidP="009C55B1">
                            <w:pPr>
                              <w:pStyle w:val="ColorfulList-Accent11"/>
                              <w:ind w:left="425"/>
                              <w:rPr>
                                <w:rFonts w:cs="Calibri"/>
                                <w:noProof/>
                                <w:lang w:val="es-ES"/>
                              </w:rPr>
                            </w:pPr>
                            <w:r w:rsidRPr="004E3A8B">
                              <w:rPr>
                                <w:rFonts w:cs="Calibri"/>
                                <w:noProof/>
                                <w:lang w:val="es-ES"/>
                              </w:rPr>
                              <w:t>i.</w:t>
                            </w:r>
                            <w:r w:rsidRPr="004E3A8B">
                              <w:rPr>
                                <w:rFonts w:cs="Calibri"/>
                                <w:noProof/>
                                <w:lang w:val="es-ES"/>
                              </w:rPr>
                              <w:tab/>
                            </w:r>
                            <w:r>
                              <w:rPr>
                                <w:rFonts w:cs="Calibri"/>
                                <w:noProof/>
                                <w:lang w:val="es-ES"/>
                              </w:rPr>
                              <w:t>examinar</w:t>
                            </w:r>
                            <w:r w:rsidRPr="004E3A8B">
                              <w:rPr>
                                <w:rFonts w:cs="Calibri"/>
                                <w:noProof/>
                                <w:lang w:val="es-ES"/>
                              </w:rPr>
                              <w:t xml:space="preserve"> y aceptar los estados financieros auditados de 2021 a 31 de diciembre de 2021;</w:t>
                            </w:r>
                          </w:p>
                          <w:p w14:paraId="1EB9E0EE" w14:textId="77777777" w:rsidR="00FF2210" w:rsidRPr="004E3A8B" w:rsidRDefault="00FF2210" w:rsidP="009C55B1">
                            <w:pPr>
                              <w:pStyle w:val="ColorfulList-Accent11"/>
                              <w:ind w:left="425"/>
                              <w:rPr>
                                <w:rFonts w:cs="Calibri"/>
                                <w:noProof/>
                                <w:lang w:val="es-ES"/>
                              </w:rPr>
                            </w:pPr>
                          </w:p>
                          <w:p w14:paraId="5BF6BF5C" w14:textId="0B06B963" w:rsidR="00FF2210" w:rsidRPr="004E3A8B" w:rsidRDefault="00FF2210" w:rsidP="00AE43C7">
                            <w:pPr>
                              <w:pStyle w:val="ColorfulList-Accent11"/>
                              <w:ind w:left="425"/>
                              <w:rPr>
                                <w:rFonts w:cs="Calibri"/>
                                <w:noProof/>
                                <w:lang w:val="es-ES"/>
                              </w:rPr>
                            </w:pPr>
                            <w:r w:rsidRPr="004E3A8B">
                              <w:rPr>
                                <w:rFonts w:cs="Calibri"/>
                                <w:noProof/>
                                <w:lang w:val="es-ES"/>
                              </w:rPr>
                              <w:t>ii.</w:t>
                            </w:r>
                            <w:r w:rsidRPr="004E3A8B">
                              <w:rPr>
                                <w:rFonts w:cs="Calibri"/>
                                <w:noProof/>
                                <w:lang w:val="es-ES"/>
                              </w:rPr>
                              <w:tab/>
                              <w:t xml:space="preserve">tomar nota de los resultados del presupuesto básico </w:t>
                            </w:r>
                            <w:r>
                              <w:rPr>
                                <w:rFonts w:cs="Calibri"/>
                                <w:noProof/>
                                <w:lang w:val="es-ES"/>
                              </w:rPr>
                              <w:t>de</w:t>
                            </w:r>
                            <w:r w:rsidRPr="004E3A8B">
                              <w:rPr>
                                <w:rFonts w:cs="Calibri"/>
                                <w:noProof/>
                                <w:lang w:val="es-ES"/>
                              </w:rPr>
                              <w:t xml:space="preserve"> 2021;</w:t>
                            </w:r>
                          </w:p>
                          <w:p w14:paraId="24180F67" w14:textId="77777777" w:rsidR="00FF2210" w:rsidRPr="004E3A8B" w:rsidRDefault="00FF2210" w:rsidP="009C55B1">
                            <w:pPr>
                              <w:pStyle w:val="ColorfulList-Accent11"/>
                              <w:ind w:left="425"/>
                              <w:rPr>
                                <w:rFonts w:cs="Calibri"/>
                                <w:noProof/>
                                <w:lang w:val="es-ES"/>
                              </w:rPr>
                            </w:pPr>
                          </w:p>
                          <w:p w14:paraId="4A13BA3C" w14:textId="4A941E6A" w:rsidR="00FF2210" w:rsidRPr="004E3A8B" w:rsidRDefault="00FF2210" w:rsidP="009C55B1">
                            <w:pPr>
                              <w:pStyle w:val="ColorfulList-Accent11"/>
                              <w:ind w:left="425"/>
                              <w:rPr>
                                <w:rFonts w:cs="Calibri"/>
                                <w:noProof/>
                                <w:lang w:val="es-ES"/>
                              </w:rPr>
                            </w:pPr>
                            <w:r w:rsidRPr="004E3A8B">
                              <w:rPr>
                                <w:rFonts w:cs="Calibri"/>
                                <w:noProof/>
                                <w:lang w:val="es-ES"/>
                              </w:rPr>
                              <w:t>iii.</w:t>
                            </w:r>
                            <w:r w:rsidRPr="004E3A8B">
                              <w:rPr>
                                <w:rFonts w:cs="Calibri"/>
                                <w:noProof/>
                                <w:lang w:val="es-ES"/>
                              </w:rPr>
                              <w:tab/>
                              <w:t xml:space="preserve">tomar nota de la situación del presupuesto no básico y de las contribuciones voluntarias para 2021; </w:t>
                            </w:r>
                          </w:p>
                          <w:p w14:paraId="71DC6523" w14:textId="5D4B530A" w:rsidR="00FF2210" w:rsidRPr="004E3A8B" w:rsidRDefault="00FF2210" w:rsidP="009C55B1">
                            <w:pPr>
                              <w:pStyle w:val="ColorfulList-Accent11"/>
                              <w:ind w:left="425"/>
                              <w:rPr>
                                <w:rFonts w:cs="Calibri"/>
                                <w:noProof/>
                                <w:lang w:val="es-ES"/>
                              </w:rPr>
                            </w:pPr>
                          </w:p>
                          <w:p w14:paraId="2DBD9E12" w14:textId="62E63C1E" w:rsidR="00FF2210" w:rsidRPr="004E3A8B" w:rsidRDefault="00FF2210" w:rsidP="006B7585">
                            <w:pPr>
                              <w:pStyle w:val="ColorfulList-Accent11"/>
                              <w:ind w:left="425"/>
                              <w:rPr>
                                <w:rFonts w:cs="Calibri"/>
                                <w:noProof/>
                                <w:lang w:val="es-ES"/>
                              </w:rPr>
                            </w:pPr>
                            <w:r w:rsidRPr="004E3A8B">
                              <w:rPr>
                                <w:rFonts w:cs="Calibri"/>
                                <w:noProof/>
                                <w:lang w:val="es-ES"/>
                              </w:rPr>
                              <w:t>iv.</w:t>
                            </w:r>
                            <w:r w:rsidRPr="004E3A8B">
                              <w:rPr>
                                <w:rFonts w:cs="Calibri"/>
                                <w:noProof/>
                                <w:lang w:val="es-ES"/>
                              </w:rPr>
                              <w:tab/>
                              <w:t xml:space="preserve">aprobar los </w:t>
                            </w:r>
                            <w:r>
                              <w:rPr>
                                <w:rFonts w:cs="Calibri"/>
                                <w:noProof/>
                                <w:lang w:val="es-ES"/>
                              </w:rPr>
                              <w:t>ajustes</w:t>
                            </w:r>
                            <w:r w:rsidRPr="004E3A8B">
                              <w:rPr>
                                <w:rFonts w:cs="Calibri"/>
                                <w:noProof/>
                                <w:lang w:val="es-ES"/>
                              </w:rPr>
                              <w:t xml:space="preserve"> propuestos por la Secretaría para </w:t>
                            </w:r>
                            <w:r>
                              <w:rPr>
                                <w:rFonts w:cs="Calibri"/>
                                <w:noProof/>
                                <w:lang w:val="es-ES"/>
                              </w:rPr>
                              <w:t>los saldos</w:t>
                            </w:r>
                            <w:r w:rsidRPr="004E3A8B">
                              <w:rPr>
                                <w:rFonts w:cs="Calibri"/>
                                <w:noProof/>
                                <w:lang w:val="es-ES"/>
                              </w:rPr>
                              <w:t xml:space="preserve"> de 2021, descritos en los párrafos 9.f, 13, 14 y 15 y presentados en la columna H del cuadro del Anexo 2;</w:t>
                            </w:r>
                          </w:p>
                          <w:p w14:paraId="056423B2" w14:textId="77777777" w:rsidR="00FF2210" w:rsidRPr="004E3A8B" w:rsidRDefault="00FF2210" w:rsidP="009C55B1">
                            <w:pPr>
                              <w:pStyle w:val="ColorfulList-Accent11"/>
                              <w:ind w:left="425"/>
                              <w:rPr>
                                <w:rFonts w:cs="Calibri"/>
                                <w:noProof/>
                                <w:lang w:val="es-ES"/>
                              </w:rPr>
                            </w:pPr>
                          </w:p>
                          <w:p w14:paraId="789ABA4A" w14:textId="3921CAEA" w:rsidR="00FF2210" w:rsidRDefault="00FF2210" w:rsidP="00E10D99">
                            <w:pPr>
                              <w:pStyle w:val="ColorfulList-Accent11"/>
                              <w:ind w:left="425"/>
                              <w:rPr>
                                <w:rFonts w:cs="Calibri"/>
                                <w:noProof/>
                                <w:lang w:val="es-ES"/>
                              </w:rPr>
                            </w:pPr>
                            <w:r w:rsidRPr="004E3A8B">
                              <w:rPr>
                                <w:rFonts w:cs="Calibri"/>
                                <w:noProof/>
                                <w:lang w:val="es-ES"/>
                              </w:rPr>
                              <w:t>v.</w:t>
                            </w:r>
                            <w:r w:rsidRPr="004E3A8B">
                              <w:rPr>
                                <w:rFonts w:cs="Calibri"/>
                                <w:noProof/>
                                <w:lang w:val="es-ES"/>
                              </w:rPr>
                              <w:tab/>
                            </w:r>
                            <w:r w:rsidRPr="0047092F">
                              <w:rPr>
                                <w:rFonts w:cs="Calibri"/>
                                <w:noProof/>
                                <w:lang w:val="es-ES"/>
                              </w:rPr>
                              <w:t>aprobar que los fondos pre</w:t>
                            </w:r>
                            <w:r>
                              <w:rPr>
                                <w:rFonts w:cs="Calibri"/>
                                <w:noProof/>
                                <w:lang w:val="es-ES"/>
                              </w:rPr>
                              <w:t xml:space="preserve">viamente </w:t>
                            </w:r>
                            <w:r w:rsidRPr="0047092F">
                              <w:rPr>
                                <w:rFonts w:cs="Calibri"/>
                                <w:noProof/>
                                <w:lang w:val="es-ES"/>
                              </w:rPr>
                              <w:t xml:space="preserve">comprometidos se </w:t>
                            </w:r>
                            <w:r>
                              <w:rPr>
                                <w:rFonts w:cs="Calibri"/>
                                <w:noProof/>
                                <w:lang w:val="es-ES"/>
                              </w:rPr>
                              <w:t>traspasen</w:t>
                            </w:r>
                            <w:r w:rsidRPr="0047092F">
                              <w:rPr>
                                <w:rFonts w:cs="Calibri"/>
                                <w:noProof/>
                                <w:lang w:val="es-ES"/>
                              </w:rPr>
                              <w:t xml:space="preserve"> de 2021 a 2022, como se describe en el </w:t>
                            </w:r>
                            <w:r>
                              <w:rPr>
                                <w:rFonts w:cs="Calibri"/>
                                <w:noProof/>
                                <w:lang w:val="es-ES"/>
                              </w:rPr>
                              <w:t>párrafo</w:t>
                            </w:r>
                            <w:r w:rsidRPr="0047092F">
                              <w:rPr>
                                <w:rFonts w:cs="Calibri"/>
                                <w:noProof/>
                                <w:lang w:val="es-ES"/>
                              </w:rPr>
                              <w:t xml:space="preserve"> 10 y se presenta en la columna C del cuadro del </w:t>
                            </w:r>
                            <w:r>
                              <w:rPr>
                                <w:rFonts w:cs="Calibri"/>
                                <w:noProof/>
                                <w:lang w:val="es-ES"/>
                              </w:rPr>
                              <w:t>A</w:t>
                            </w:r>
                            <w:r w:rsidRPr="0047092F">
                              <w:rPr>
                                <w:rFonts w:cs="Calibri"/>
                                <w:noProof/>
                                <w:lang w:val="es-ES"/>
                              </w:rPr>
                              <w:t>nexo 4;</w:t>
                            </w:r>
                          </w:p>
                          <w:p w14:paraId="7350CC1A" w14:textId="77777777" w:rsidR="00FF2210" w:rsidRDefault="00FF2210" w:rsidP="00E10D99">
                            <w:pPr>
                              <w:pStyle w:val="ColorfulList-Accent11"/>
                              <w:ind w:left="425"/>
                              <w:rPr>
                                <w:rFonts w:cs="Calibri"/>
                                <w:noProof/>
                                <w:lang w:val="es-ES"/>
                              </w:rPr>
                            </w:pPr>
                          </w:p>
                          <w:p w14:paraId="6AF06F14" w14:textId="58056B23" w:rsidR="00FF2210" w:rsidRDefault="00FF2210" w:rsidP="00E10D99">
                            <w:pPr>
                              <w:pStyle w:val="ColorfulList-Accent11"/>
                              <w:ind w:left="425"/>
                              <w:rPr>
                                <w:rFonts w:cs="Calibri"/>
                                <w:noProof/>
                                <w:lang w:val="es-ES"/>
                              </w:rPr>
                            </w:pPr>
                            <w:r>
                              <w:rPr>
                                <w:rFonts w:cs="Calibri"/>
                                <w:noProof/>
                                <w:lang w:val="es-ES"/>
                              </w:rPr>
                              <w:t>vi.</w:t>
                            </w:r>
                            <w:r>
                              <w:rPr>
                                <w:rFonts w:cs="Calibri"/>
                                <w:noProof/>
                                <w:lang w:val="es-ES"/>
                              </w:rPr>
                              <w:tab/>
                              <w:t>examinar</w:t>
                            </w:r>
                            <w:r w:rsidRPr="006B7585">
                              <w:rPr>
                                <w:rFonts w:cs="Calibri"/>
                                <w:noProof/>
                                <w:lang w:val="es-ES"/>
                              </w:rPr>
                              <w:t xml:space="preserve"> el excedente restante de 2021 y decidir sobre la asignación de estos fondos, como se describe en los párrafos 23 y 24, y </w:t>
                            </w:r>
                            <w:r>
                              <w:rPr>
                                <w:rFonts w:cs="Calibri"/>
                                <w:noProof/>
                                <w:lang w:val="es-ES"/>
                              </w:rPr>
                              <w:t>examinar</w:t>
                            </w:r>
                            <w:r w:rsidRPr="006B7585">
                              <w:rPr>
                                <w:rFonts w:cs="Calibri"/>
                                <w:noProof/>
                                <w:lang w:val="es-ES"/>
                              </w:rPr>
                              <w:t xml:space="preserve"> las opciones sugeridas por la Secretaría para el posible uso </w:t>
                            </w:r>
                            <w:r>
                              <w:rPr>
                                <w:rFonts w:cs="Calibri"/>
                                <w:noProof/>
                                <w:lang w:val="es-ES"/>
                              </w:rPr>
                              <w:t xml:space="preserve">de los ahorros </w:t>
                            </w:r>
                            <w:r w:rsidRPr="006B7585">
                              <w:rPr>
                                <w:rFonts w:cs="Calibri"/>
                                <w:noProof/>
                                <w:lang w:val="es-ES"/>
                              </w:rPr>
                              <w:t>de 2021, como se describe en el párrafo 40</w:t>
                            </w:r>
                            <w:r>
                              <w:rPr>
                                <w:rFonts w:cs="Calibri"/>
                                <w:noProof/>
                                <w:lang w:val="es-ES"/>
                              </w:rPr>
                              <w:t xml:space="preserve">; </w:t>
                            </w:r>
                          </w:p>
                          <w:p w14:paraId="1CFD0391" w14:textId="77777777" w:rsidR="00FF2210" w:rsidRPr="004E3A8B" w:rsidRDefault="00FF2210" w:rsidP="00545119">
                            <w:pPr>
                              <w:pStyle w:val="ColorfulList-Accent11"/>
                              <w:ind w:left="0" w:firstLine="0"/>
                              <w:rPr>
                                <w:rFonts w:cs="Calibri"/>
                                <w:noProof/>
                                <w:lang w:val="es-ES"/>
                              </w:rPr>
                            </w:pPr>
                          </w:p>
                          <w:p w14:paraId="2CD56FA2" w14:textId="38D39CF6" w:rsidR="00FF2210" w:rsidRDefault="00FF2210" w:rsidP="002647D4">
                            <w:pPr>
                              <w:pStyle w:val="ColorfulList-Accent11"/>
                              <w:ind w:left="425"/>
                              <w:rPr>
                                <w:rFonts w:cs="Calibri"/>
                                <w:noProof/>
                                <w:lang w:val="es-ES"/>
                              </w:rPr>
                            </w:pPr>
                            <w:r w:rsidRPr="004E3A8B">
                              <w:rPr>
                                <w:rFonts w:cs="Calibri"/>
                                <w:noProof/>
                                <w:lang w:val="es-ES"/>
                              </w:rPr>
                              <w:t>v</w:t>
                            </w:r>
                            <w:r>
                              <w:rPr>
                                <w:rFonts w:cs="Calibri"/>
                                <w:noProof/>
                                <w:lang w:val="es-ES"/>
                              </w:rPr>
                              <w:t>i</w:t>
                            </w:r>
                            <w:r w:rsidRPr="004E3A8B">
                              <w:rPr>
                                <w:rFonts w:cs="Calibri"/>
                                <w:noProof/>
                                <w:lang w:val="es-ES"/>
                              </w:rPr>
                              <w:t>i.</w:t>
                            </w:r>
                            <w:r w:rsidRPr="004E3A8B">
                              <w:rPr>
                                <w:rFonts w:cs="Calibri"/>
                                <w:noProof/>
                                <w:lang w:val="es-ES"/>
                              </w:rPr>
                              <w:tab/>
                            </w:r>
                            <w:r w:rsidRPr="0047092F">
                              <w:rPr>
                                <w:rFonts w:cs="Calibri"/>
                                <w:noProof/>
                                <w:lang w:val="es-ES"/>
                              </w:rPr>
                              <w:t>tomar nota de las asignaciones de fondos entre</w:t>
                            </w:r>
                            <w:r>
                              <w:rPr>
                                <w:rFonts w:cs="Calibri"/>
                                <w:noProof/>
                                <w:lang w:val="es-ES"/>
                              </w:rPr>
                              <w:t xml:space="preserve"> períodos de </w:t>
                            </w:r>
                            <w:r w:rsidRPr="0047092F">
                              <w:rPr>
                                <w:rFonts w:cs="Calibri"/>
                                <w:noProof/>
                                <w:lang w:val="es-ES"/>
                              </w:rPr>
                              <w:t xml:space="preserve">sesiones para ajustarse al presupuesto básico aprobado por la ExCOP3 para 2022, como se describe en los párrafos 22 y 38, y aprobar la asignación de los saldos restantes del </w:t>
                            </w:r>
                            <w:r>
                              <w:rPr>
                                <w:noProof/>
                                <w:lang w:val="es-ES"/>
                              </w:rPr>
                              <w:t>“</w:t>
                            </w:r>
                            <w:r w:rsidRPr="00B73177">
                              <w:rPr>
                                <w:noProof/>
                                <w:lang w:val="es-ES"/>
                              </w:rPr>
                              <w:t>Presupuesto aprobado por la reunión SC58 y ahorros no comprometidos traspasados al año siguiente</w:t>
                            </w:r>
                            <w:r>
                              <w:rPr>
                                <w:noProof/>
                                <w:lang w:val="es-ES"/>
                              </w:rPr>
                              <w:t>”</w:t>
                            </w:r>
                            <w:r w:rsidRPr="0047092F">
                              <w:rPr>
                                <w:rFonts w:cs="Calibri"/>
                                <w:noProof/>
                                <w:lang w:val="es-ES"/>
                              </w:rPr>
                              <w:t xml:space="preserve"> como ahorros adicionales del fondo de reserva, como se describe en el párrafo 39 y se presenta en la columna D </w:t>
                            </w:r>
                            <w:r>
                              <w:rPr>
                                <w:rFonts w:cs="Calibri"/>
                                <w:noProof/>
                                <w:lang w:val="es-ES"/>
                              </w:rPr>
                              <w:t>del cuadro</w:t>
                            </w:r>
                            <w:r w:rsidRPr="0047092F">
                              <w:rPr>
                                <w:rFonts w:cs="Calibri"/>
                                <w:noProof/>
                                <w:lang w:val="es-ES"/>
                              </w:rPr>
                              <w:t xml:space="preserve"> del Anexo 4; y</w:t>
                            </w:r>
                          </w:p>
                          <w:p w14:paraId="06C946EC" w14:textId="77777777" w:rsidR="00FF2210" w:rsidRPr="004E3A8B" w:rsidRDefault="00FF2210" w:rsidP="00F32A17">
                            <w:pPr>
                              <w:pStyle w:val="ColorfulList-Accent11"/>
                              <w:ind w:left="0" w:firstLine="0"/>
                              <w:rPr>
                                <w:rFonts w:cs="Calibri"/>
                                <w:noProof/>
                                <w:lang w:val="es-ES"/>
                              </w:rPr>
                            </w:pPr>
                          </w:p>
                          <w:p w14:paraId="7D877343" w14:textId="7E7AFF19" w:rsidR="00FF2210" w:rsidRDefault="00FF2210" w:rsidP="002538A3">
                            <w:pPr>
                              <w:pStyle w:val="ColorfulList-Accent11"/>
                              <w:ind w:left="425"/>
                              <w:rPr>
                                <w:rFonts w:cs="Calibri"/>
                                <w:noProof/>
                                <w:lang w:val="es-ES"/>
                              </w:rPr>
                            </w:pPr>
                            <w:r w:rsidRPr="004E3A8B">
                              <w:rPr>
                                <w:rFonts w:cs="Calibri"/>
                                <w:noProof/>
                                <w:lang w:val="es-ES"/>
                              </w:rPr>
                              <w:t>viii.</w:t>
                            </w:r>
                            <w:r w:rsidRPr="004E3A8B">
                              <w:rPr>
                                <w:rFonts w:cs="Calibri"/>
                                <w:noProof/>
                                <w:lang w:val="es-ES"/>
                              </w:rPr>
                              <w:tab/>
                            </w:r>
                            <w:r>
                              <w:rPr>
                                <w:rFonts w:cs="Calibri"/>
                                <w:noProof/>
                                <w:lang w:val="es-ES"/>
                              </w:rPr>
                              <w:t>examinar</w:t>
                            </w:r>
                            <w:r w:rsidRPr="002647D4">
                              <w:rPr>
                                <w:rFonts w:cs="Calibri"/>
                                <w:noProof/>
                                <w:lang w:val="es-ES"/>
                              </w:rPr>
                              <w:t xml:space="preserve"> las opciones sugeridas por la Secretaría para el posible uso de los ahorros de 2021, como se describe en </w:t>
                            </w:r>
                            <w:r>
                              <w:rPr>
                                <w:rFonts w:cs="Calibri"/>
                                <w:noProof/>
                                <w:lang w:val="es-ES"/>
                              </w:rPr>
                              <w:t>los</w:t>
                            </w:r>
                            <w:r w:rsidRPr="002647D4">
                              <w:rPr>
                                <w:rFonts w:cs="Calibri"/>
                                <w:noProof/>
                                <w:lang w:val="es-ES"/>
                              </w:rPr>
                              <w:t xml:space="preserve"> párrafo</w:t>
                            </w:r>
                            <w:r>
                              <w:rPr>
                                <w:rFonts w:cs="Calibri"/>
                                <w:noProof/>
                                <w:lang w:val="es-ES"/>
                              </w:rPr>
                              <w:t>s</w:t>
                            </w:r>
                            <w:r w:rsidRPr="002647D4">
                              <w:rPr>
                                <w:rFonts w:cs="Calibri"/>
                                <w:noProof/>
                                <w:lang w:val="es-ES"/>
                              </w:rPr>
                              <w:t xml:space="preserve"> 40</w:t>
                            </w:r>
                            <w:r>
                              <w:rPr>
                                <w:rFonts w:cs="Calibri"/>
                                <w:noProof/>
                                <w:lang w:val="es-ES"/>
                              </w:rPr>
                              <w:t xml:space="preserve"> y 41</w:t>
                            </w:r>
                            <w:r w:rsidRPr="002647D4">
                              <w:rPr>
                                <w:rFonts w:cs="Calibri"/>
                                <w:noProof/>
                                <w:lang w:val="es-ES"/>
                              </w:rPr>
                              <w:t>.</w:t>
                            </w:r>
                          </w:p>
                          <w:p w14:paraId="11DC83D5" w14:textId="2ACA5B68" w:rsidR="00FF2210" w:rsidRPr="004E3A8B" w:rsidRDefault="00FF2210" w:rsidP="002538A3">
                            <w:pPr>
                              <w:pStyle w:val="ColorfulList-Accent11"/>
                              <w:ind w:left="425"/>
                              <w:rPr>
                                <w:rFonts w:cs="Calibri"/>
                                <w:noProof/>
                                <w:lang w:val="es-ES"/>
                              </w:rPr>
                            </w:pPr>
                          </w:p>
                        </w:txbxContent>
                      </wps:txbx>
                      <wps:bodyPr rot="0" vert="horz" wrap="square" lIns="91440" tIns="45720" rIns="91440" bIns="45720" anchor="t" anchorCtr="0" upright="1">
                        <a:noAutofit/>
                      </wps:bodyPr>
                    </wps:wsp>
                  </a:graphicData>
                </a:graphic>
              </wp:inline>
            </w:drawing>
          </mc:Choice>
          <mc:Fallback>
            <w:pict>
              <v:shapetype w14:anchorId="0D883522" id="_x0000_t202" coordsize="21600,21600" o:spt="202" path="m,l,21600r21600,l21600,xe">
                <v:stroke joinstyle="miter"/>
                <v:path gradientshapeok="t" o:connecttype="rect"/>
              </v:shapetype>
              <v:shape id="Text Box 1" o:spid="_x0000_s1026" type="#_x0000_t202" style="width:464.2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k81LQIAAFEEAAAOAAAAZHJzL2Uyb0RvYy54bWysVMGO0zAQvSPxD5bvNGnV0m3UdLV0KUJa&#10;FqRdPsBxnMTC9hjbbVK+nrHTLRFwQuRg2Z7xmzdvZrK9HbQiJ+G8BFPS+SynRBgOtTRtSb8+H97c&#10;UOIDMzVTYERJz8LT293rV9veFmIBHahaOIIgxhe9LWkXgi2yzPNOaOZnYIVBYwNOs4BH12a1Yz2i&#10;a5Ut8vxt1oOrrQMuvMfb+9FIdwm/aQQPn5vGi0BUSZFbSKtLaxXXbLdlReuY7SS/0GD/wEIzaTDo&#10;FeqeBUaOTv4BpSV34KEJMw46g6aRXKQcMJt5/ls2Tx2zIuWC4nh7lcn/P1j+ePriiKyxdpQYprFE&#10;z2II5B0MZB7V6a0v0OnJolsY8Dp6xky9fQD+zRMD+46ZVtw5B30nWI3s0sts8nTE8RGk6j9BjWHY&#10;MUACGhqnIyCKQRAdq3S+ViZS4Xi5utmsNusVJRxtq8VqfZOn2mWseHlunQ8fBGgSNyV1WPoEz04P&#10;PmAi6PrikuiDkvVBKpUOrq32ypETwzY5pC/mjk/81E0Z0pd0g/FHBaY2P4XI0/c3CC0D9ruSuqSY&#10;An5jB0bd3ps6dWNgUo17jK8M0ohCRu1GFcNQDZfCVFCfUVIHY1/jHOKmA/eDkh57uqT++5E5QYn6&#10;aLAsm/lyGYcgHZar9QIPbmqpphZmOEKVNFAybvdhHJyjdbLtMNLYCAbusJSNTCJHqiOrC2/s2yTk&#10;ZcbiYEzPyevXn2D3EwAA//8DAFBLAwQUAAYACAAAACEATYCEWdwAAAAFAQAADwAAAGRycy9kb3du&#10;cmV2LnhtbEyPwU7DMAyG70i8Q2QkLoilFBhdaTohJBDcYJvgmjVeW5E4Jcm68vYYLnCxZP2/Pn+u&#10;lpOzYsQQe08KLmYZCKTGm55aBZv1w3kBIiZNRltPqOALIyzr46NKl8Yf6BXHVWoFQyiWWkGX0lBK&#10;GZsOnY4zPyBxtvPB6cRraKUJ+sBwZ2WeZXPpdE98odMD3nfYfKz2TkFx9TS+x+fLl7dmvrOLdHYz&#10;Pn4GpU5PprtbEAmn9FeGH31Wh5qdtn5PJgqrgB9Jv5OzRV5cg9gyOC8ykHUl/9vX3wAAAP//AwBQ&#10;SwECLQAUAAYACAAAACEAtoM4kv4AAADhAQAAEwAAAAAAAAAAAAAAAAAAAAAAW0NvbnRlbnRfVHlw&#10;ZXNdLnhtbFBLAQItABQABgAIAAAAIQA4/SH/1gAAAJQBAAALAAAAAAAAAAAAAAAAAC8BAABfcmVs&#10;cy8ucmVsc1BLAQItABQABgAIAAAAIQAtLk81LQIAAFEEAAAOAAAAAAAAAAAAAAAAAC4CAABkcnMv&#10;ZTJvRG9jLnhtbFBLAQItABQABgAIAAAAIQBNgIRZ3AAAAAUBAAAPAAAAAAAAAAAAAAAAAIcEAABk&#10;cnMvZG93bnJldi54bWxQSwUGAAAAAAQABADzAAAAkAUAAAAA&#10;">
                <v:textbox>
                  <w:txbxContent>
                    <w:p w14:paraId="216514D2" w14:textId="21A0927B" w:rsidR="00FF2210" w:rsidRPr="004E3A8B" w:rsidRDefault="00FF2210" w:rsidP="000C2489">
                      <w:pPr>
                        <w:rPr>
                          <w:b/>
                          <w:bCs/>
                          <w:noProof/>
                          <w:lang w:val="es-ES"/>
                        </w:rPr>
                      </w:pPr>
                      <w:r w:rsidRPr="004E3A8B">
                        <w:rPr>
                          <w:b/>
                          <w:bCs/>
                          <w:noProof/>
                          <w:lang w:val="es-ES"/>
                        </w:rPr>
                        <w:t xml:space="preserve">Acciones solicitadas: </w:t>
                      </w:r>
                    </w:p>
                    <w:p w14:paraId="3DDC8891" w14:textId="77777777" w:rsidR="00FF2210" w:rsidRPr="004E3A8B" w:rsidRDefault="00FF2210" w:rsidP="000C2489">
                      <w:pPr>
                        <w:pStyle w:val="ColorfulList-Accent11"/>
                        <w:ind w:left="0"/>
                        <w:rPr>
                          <w:noProof/>
                          <w:lang w:val="es-ES"/>
                        </w:rPr>
                      </w:pPr>
                    </w:p>
                    <w:p w14:paraId="506FF911" w14:textId="626AF078" w:rsidR="00FF2210" w:rsidRPr="004E3A8B" w:rsidRDefault="00FF2210" w:rsidP="00275F13">
                      <w:pPr>
                        <w:pStyle w:val="ColorfulList-Accent11"/>
                        <w:ind w:left="0" w:firstLine="0"/>
                        <w:rPr>
                          <w:rFonts w:cs="Calibri"/>
                          <w:noProof/>
                          <w:lang w:val="es-ES"/>
                        </w:rPr>
                      </w:pPr>
                      <w:r w:rsidRPr="004E3A8B">
                        <w:rPr>
                          <w:noProof/>
                          <w:lang w:val="es-ES"/>
                        </w:rPr>
                        <w:t>Se invita al Comité Permanente a hacer lo siguiente</w:t>
                      </w:r>
                      <w:r w:rsidRPr="004E3A8B">
                        <w:rPr>
                          <w:rFonts w:cs="Calibri"/>
                          <w:noProof/>
                          <w:lang w:val="es-ES"/>
                        </w:rPr>
                        <w:t>:</w:t>
                      </w:r>
                    </w:p>
                    <w:p w14:paraId="72B2EB92" w14:textId="77777777" w:rsidR="00FF2210" w:rsidRPr="004E3A8B" w:rsidRDefault="00FF2210" w:rsidP="000C2489">
                      <w:pPr>
                        <w:pStyle w:val="ColorfulList-Accent11"/>
                        <w:ind w:left="0"/>
                        <w:rPr>
                          <w:rFonts w:cs="Calibri"/>
                          <w:noProof/>
                          <w:lang w:val="es-ES"/>
                        </w:rPr>
                      </w:pPr>
                    </w:p>
                    <w:p w14:paraId="55043D8B" w14:textId="741FBF39" w:rsidR="00FF2210" w:rsidRPr="004E3A8B" w:rsidRDefault="00FF2210" w:rsidP="009C55B1">
                      <w:pPr>
                        <w:pStyle w:val="ColorfulList-Accent11"/>
                        <w:ind w:left="425"/>
                        <w:rPr>
                          <w:rFonts w:cs="Calibri"/>
                          <w:noProof/>
                          <w:lang w:val="es-ES"/>
                        </w:rPr>
                      </w:pPr>
                      <w:r w:rsidRPr="004E3A8B">
                        <w:rPr>
                          <w:rFonts w:cs="Calibri"/>
                          <w:noProof/>
                          <w:lang w:val="es-ES"/>
                        </w:rPr>
                        <w:t>i.</w:t>
                      </w:r>
                      <w:r w:rsidRPr="004E3A8B">
                        <w:rPr>
                          <w:rFonts w:cs="Calibri"/>
                          <w:noProof/>
                          <w:lang w:val="es-ES"/>
                        </w:rPr>
                        <w:tab/>
                      </w:r>
                      <w:r>
                        <w:rPr>
                          <w:rFonts w:cs="Calibri"/>
                          <w:noProof/>
                          <w:lang w:val="es-ES"/>
                        </w:rPr>
                        <w:t>examinar</w:t>
                      </w:r>
                      <w:r w:rsidRPr="004E3A8B">
                        <w:rPr>
                          <w:rFonts w:cs="Calibri"/>
                          <w:noProof/>
                          <w:lang w:val="es-ES"/>
                        </w:rPr>
                        <w:t xml:space="preserve"> y aceptar los estados financieros auditados de 2021 a 31 de diciembre de 2021;</w:t>
                      </w:r>
                    </w:p>
                    <w:p w14:paraId="1EB9E0EE" w14:textId="77777777" w:rsidR="00FF2210" w:rsidRPr="004E3A8B" w:rsidRDefault="00FF2210" w:rsidP="009C55B1">
                      <w:pPr>
                        <w:pStyle w:val="ColorfulList-Accent11"/>
                        <w:ind w:left="425"/>
                        <w:rPr>
                          <w:rFonts w:cs="Calibri"/>
                          <w:noProof/>
                          <w:lang w:val="es-ES"/>
                        </w:rPr>
                      </w:pPr>
                    </w:p>
                    <w:p w14:paraId="5BF6BF5C" w14:textId="0B06B963" w:rsidR="00FF2210" w:rsidRPr="004E3A8B" w:rsidRDefault="00FF2210" w:rsidP="00AE43C7">
                      <w:pPr>
                        <w:pStyle w:val="ColorfulList-Accent11"/>
                        <w:ind w:left="425"/>
                        <w:rPr>
                          <w:rFonts w:cs="Calibri"/>
                          <w:noProof/>
                          <w:lang w:val="es-ES"/>
                        </w:rPr>
                      </w:pPr>
                      <w:r w:rsidRPr="004E3A8B">
                        <w:rPr>
                          <w:rFonts w:cs="Calibri"/>
                          <w:noProof/>
                          <w:lang w:val="es-ES"/>
                        </w:rPr>
                        <w:t>ii.</w:t>
                      </w:r>
                      <w:r w:rsidRPr="004E3A8B">
                        <w:rPr>
                          <w:rFonts w:cs="Calibri"/>
                          <w:noProof/>
                          <w:lang w:val="es-ES"/>
                        </w:rPr>
                        <w:tab/>
                        <w:t xml:space="preserve">tomar nota de los resultados del presupuesto básico </w:t>
                      </w:r>
                      <w:r>
                        <w:rPr>
                          <w:rFonts w:cs="Calibri"/>
                          <w:noProof/>
                          <w:lang w:val="es-ES"/>
                        </w:rPr>
                        <w:t>de</w:t>
                      </w:r>
                      <w:r w:rsidRPr="004E3A8B">
                        <w:rPr>
                          <w:rFonts w:cs="Calibri"/>
                          <w:noProof/>
                          <w:lang w:val="es-ES"/>
                        </w:rPr>
                        <w:t xml:space="preserve"> 2021;</w:t>
                      </w:r>
                    </w:p>
                    <w:p w14:paraId="24180F67" w14:textId="77777777" w:rsidR="00FF2210" w:rsidRPr="004E3A8B" w:rsidRDefault="00FF2210" w:rsidP="009C55B1">
                      <w:pPr>
                        <w:pStyle w:val="ColorfulList-Accent11"/>
                        <w:ind w:left="425"/>
                        <w:rPr>
                          <w:rFonts w:cs="Calibri"/>
                          <w:noProof/>
                          <w:lang w:val="es-ES"/>
                        </w:rPr>
                      </w:pPr>
                    </w:p>
                    <w:p w14:paraId="4A13BA3C" w14:textId="4A941E6A" w:rsidR="00FF2210" w:rsidRPr="004E3A8B" w:rsidRDefault="00FF2210" w:rsidP="009C55B1">
                      <w:pPr>
                        <w:pStyle w:val="ColorfulList-Accent11"/>
                        <w:ind w:left="425"/>
                        <w:rPr>
                          <w:rFonts w:cs="Calibri"/>
                          <w:noProof/>
                          <w:lang w:val="es-ES"/>
                        </w:rPr>
                      </w:pPr>
                      <w:r w:rsidRPr="004E3A8B">
                        <w:rPr>
                          <w:rFonts w:cs="Calibri"/>
                          <w:noProof/>
                          <w:lang w:val="es-ES"/>
                        </w:rPr>
                        <w:t>iii.</w:t>
                      </w:r>
                      <w:r w:rsidRPr="004E3A8B">
                        <w:rPr>
                          <w:rFonts w:cs="Calibri"/>
                          <w:noProof/>
                          <w:lang w:val="es-ES"/>
                        </w:rPr>
                        <w:tab/>
                        <w:t xml:space="preserve">tomar nota de la situación del presupuesto no básico y de las contribuciones voluntarias para 2021; </w:t>
                      </w:r>
                    </w:p>
                    <w:p w14:paraId="71DC6523" w14:textId="5D4B530A" w:rsidR="00FF2210" w:rsidRPr="004E3A8B" w:rsidRDefault="00FF2210" w:rsidP="009C55B1">
                      <w:pPr>
                        <w:pStyle w:val="ColorfulList-Accent11"/>
                        <w:ind w:left="425"/>
                        <w:rPr>
                          <w:rFonts w:cs="Calibri"/>
                          <w:noProof/>
                          <w:lang w:val="es-ES"/>
                        </w:rPr>
                      </w:pPr>
                    </w:p>
                    <w:p w14:paraId="2DBD9E12" w14:textId="62E63C1E" w:rsidR="00FF2210" w:rsidRPr="004E3A8B" w:rsidRDefault="00FF2210" w:rsidP="006B7585">
                      <w:pPr>
                        <w:pStyle w:val="ColorfulList-Accent11"/>
                        <w:ind w:left="425"/>
                        <w:rPr>
                          <w:rFonts w:cs="Calibri"/>
                          <w:noProof/>
                          <w:lang w:val="es-ES"/>
                        </w:rPr>
                      </w:pPr>
                      <w:r w:rsidRPr="004E3A8B">
                        <w:rPr>
                          <w:rFonts w:cs="Calibri"/>
                          <w:noProof/>
                          <w:lang w:val="es-ES"/>
                        </w:rPr>
                        <w:t>iv.</w:t>
                      </w:r>
                      <w:r w:rsidRPr="004E3A8B">
                        <w:rPr>
                          <w:rFonts w:cs="Calibri"/>
                          <w:noProof/>
                          <w:lang w:val="es-ES"/>
                        </w:rPr>
                        <w:tab/>
                        <w:t xml:space="preserve">aprobar los </w:t>
                      </w:r>
                      <w:r>
                        <w:rPr>
                          <w:rFonts w:cs="Calibri"/>
                          <w:noProof/>
                          <w:lang w:val="es-ES"/>
                        </w:rPr>
                        <w:t>ajustes</w:t>
                      </w:r>
                      <w:r w:rsidRPr="004E3A8B">
                        <w:rPr>
                          <w:rFonts w:cs="Calibri"/>
                          <w:noProof/>
                          <w:lang w:val="es-ES"/>
                        </w:rPr>
                        <w:t xml:space="preserve"> propuestos por la Secretaría para </w:t>
                      </w:r>
                      <w:r>
                        <w:rPr>
                          <w:rFonts w:cs="Calibri"/>
                          <w:noProof/>
                          <w:lang w:val="es-ES"/>
                        </w:rPr>
                        <w:t>los saldos</w:t>
                      </w:r>
                      <w:r w:rsidRPr="004E3A8B">
                        <w:rPr>
                          <w:rFonts w:cs="Calibri"/>
                          <w:noProof/>
                          <w:lang w:val="es-ES"/>
                        </w:rPr>
                        <w:t xml:space="preserve"> de 2021, descritos en los párrafos 9.f, 13, 14 y 15 y presentados en la columna H del cuadro del Anexo 2;</w:t>
                      </w:r>
                    </w:p>
                    <w:p w14:paraId="056423B2" w14:textId="77777777" w:rsidR="00FF2210" w:rsidRPr="004E3A8B" w:rsidRDefault="00FF2210" w:rsidP="009C55B1">
                      <w:pPr>
                        <w:pStyle w:val="ColorfulList-Accent11"/>
                        <w:ind w:left="425"/>
                        <w:rPr>
                          <w:rFonts w:cs="Calibri"/>
                          <w:noProof/>
                          <w:lang w:val="es-ES"/>
                        </w:rPr>
                      </w:pPr>
                    </w:p>
                    <w:p w14:paraId="789ABA4A" w14:textId="3921CAEA" w:rsidR="00FF2210" w:rsidRDefault="00FF2210" w:rsidP="00E10D99">
                      <w:pPr>
                        <w:pStyle w:val="ColorfulList-Accent11"/>
                        <w:ind w:left="425"/>
                        <w:rPr>
                          <w:rFonts w:cs="Calibri"/>
                          <w:noProof/>
                          <w:lang w:val="es-ES"/>
                        </w:rPr>
                      </w:pPr>
                      <w:r w:rsidRPr="004E3A8B">
                        <w:rPr>
                          <w:rFonts w:cs="Calibri"/>
                          <w:noProof/>
                          <w:lang w:val="es-ES"/>
                        </w:rPr>
                        <w:t>v.</w:t>
                      </w:r>
                      <w:r w:rsidRPr="004E3A8B">
                        <w:rPr>
                          <w:rFonts w:cs="Calibri"/>
                          <w:noProof/>
                          <w:lang w:val="es-ES"/>
                        </w:rPr>
                        <w:tab/>
                      </w:r>
                      <w:r w:rsidRPr="0047092F">
                        <w:rPr>
                          <w:rFonts w:cs="Calibri"/>
                          <w:noProof/>
                          <w:lang w:val="es-ES"/>
                        </w:rPr>
                        <w:t>aprobar que los fondos pre</w:t>
                      </w:r>
                      <w:r>
                        <w:rPr>
                          <w:rFonts w:cs="Calibri"/>
                          <w:noProof/>
                          <w:lang w:val="es-ES"/>
                        </w:rPr>
                        <w:t xml:space="preserve">viamente </w:t>
                      </w:r>
                      <w:r w:rsidRPr="0047092F">
                        <w:rPr>
                          <w:rFonts w:cs="Calibri"/>
                          <w:noProof/>
                          <w:lang w:val="es-ES"/>
                        </w:rPr>
                        <w:t xml:space="preserve">comprometidos se </w:t>
                      </w:r>
                      <w:r>
                        <w:rPr>
                          <w:rFonts w:cs="Calibri"/>
                          <w:noProof/>
                          <w:lang w:val="es-ES"/>
                        </w:rPr>
                        <w:t>traspasen</w:t>
                      </w:r>
                      <w:r w:rsidRPr="0047092F">
                        <w:rPr>
                          <w:rFonts w:cs="Calibri"/>
                          <w:noProof/>
                          <w:lang w:val="es-ES"/>
                        </w:rPr>
                        <w:t xml:space="preserve"> de 2021 a 2022, como se describe en el </w:t>
                      </w:r>
                      <w:r>
                        <w:rPr>
                          <w:rFonts w:cs="Calibri"/>
                          <w:noProof/>
                          <w:lang w:val="es-ES"/>
                        </w:rPr>
                        <w:t>párrafo</w:t>
                      </w:r>
                      <w:r w:rsidRPr="0047092F">
                        <w:rPr>
                          <w:rFonts w:cs="Calibri"/>
                          <w:noProof/>
                          <w:lang w:val="es-ES"/>
                        </w:rPr>
                        <w:t xml:space="preserve"> 10 y se presenta en la columna C del cuadro del </w:t>
                      </w:r>
                      <w:r>
                        <w:rPr>
                          <w:rFonts w:cs="Calibri"/>
                          <w:noProof/>
                          <w:lang w:val="es-ES"/>
                        </w:rPr>
                        <w:t>A</w:t>
                      </w:r>
                      <w:r w:rsidRPr="0047092F">
                        <w:rPr>
                          <w:rFonts w:cs="Calibri"/>
                          <w:noProof/>
                          <w:lang w:val="es-ES"/>
                        </w:rPr>
                        <w:t>nexo 4;</w:t>
                      </w:r>
                    </w:p>
                    <w:p w14:paraId="7350CC1A" w14:textId="77777777" w:rsidR="00FF2210" w:rsidRDefault="00FF2210" w:rsidP="00E10D99">
                      <w:pPr>
                        <w:pStyle w:val="ColorfulList-Accent11"/>
                        <w:ind w:left="425"/>
                        <w:rPr>
                          <w:rFonts w:cs="Calibri"/>
                          <w:noProof/>
                          <w:lang w:val="es-ES"/>
                        </w:rPr>
                      </w:pPr>
                    </w:p>
                    <w:p w14:paraId="6AF06F14" w14:textId="58056B23" w:rsidR="00FF2210" w:rsidRDefault="00FF2210" w:rsidP="00E10D99">
                      <w:pPr>
                        <w:pStyle w:val="ColorfulList-Accent11"/>
                        <w:ind w:left="425"/>
                        <w:rPr>
                          <w:rFonts w:cs="Calibri"/>
                          <w:noProof/>
                          <w:lang w:val="es-ES"/>
                        </w:rPr>
                      </w:pPr>
                      <w:r>
                        <w:rPr>
                          <w:rFonts w:cs="Calibri"/>
                          <w:noProof/>
                          <w:lang w:val="es-ES"/>
                        </w:rPr>
                        <w:t>vi.</w:t>
                      </w:r>
                      <w:r>
                        <w:rPr>
                          <w:rFonts w:cs="Calibri"/>
                          <w:noProof/>
                          <w:lang w:val="es-ES"/>
                        </w:rPr>
                        <w:tab/>
                        <w:t>examinar</w:t>
                      </w:r>
                      <w:r w:rsidRPr="006B7585">
                        <w:rPr>
                          <w:rFonts w:cs="Calibri"/>
                          <w:noProof/>
                          <w:lang w:val="es-ES"/>
                        </w:rPr>
                        <w:t xml:space="preserve"> el excedente restante de 2021 y decidir sobre la asignación de estos fondos, como se describe en los párrafos 23 y 24, y </w:t>
                      </w:r>
                      <w:r>
                        <w:rPr>
                          <w:rFonts w:cs="Calibri"/>
                          <w:noProof/>
                          <w:lang w:val="es-ES"/>
                        </w:rPr>
                        <w:t>examinar</w:t>
                      </w:r>
                      <w:r w:rsidRPr="006B7585">
                        <w:rPr>
                          <w:rFonts w:cs="Calibri"/>
                          <w:noProof/>
                          <w:lang w:val="es-ES"/>
                        </w:rPr>
                        <w:t xml:space="preserve"> las opciones sugeridas por la Secretaría para el posible uso </w:t>
                      </w:r>
                      <w:r>
                        <w:rPr>
                          <w:rFonts w:cs="Calibri"/>
                          <w:noProof/>
                          <w:lang w:val="es-ES"/>
                        </w:rPr>
                        <w:t xml:space="preserve">de los ahorros </w:t>
                      </w:r>
                      <w:r w:rsidRPr="006B7585">
                        <w:rPr>
                          <w:rFonts w:cs="Calibri"/>
                          <w:noProof/>
                          <w:lang w:val="es-ES"/>
                        </w:rPr>
                        <w:t>de 2021, como se describe en el párrafo 40</w:t>
                      </w:r>
                      <w:r>
                        <w:rPr>
                          <w:rFonts w:cs="Calibri"/>
                          <w:noProof/>
                          <w:lang w:val="es-ES"/>
                        </w:rPr>
                        <w:t xml:space="preserve">; </w:t>
                      </w:r>
                    </w:p>
                    <w:p w14:paraId="1CFD0391" w14:textId="77777777" w:rsidR="00FF2210" w:rsidRPr="004E3A8B" w:rsidRDefault="00FF2210" w:rsidP="00545119">
                      <w:pPr>
                        <w:pStyle w:val="ColorfulList-Accent11"/>
                        <w:ind w:left="0" w:firstLine="0"/>
                        <w:rPr>
                          <w:rFonts w:cs="Calibri"/>
                          <w:noProof/>
                          <w:lang w:val="es-ES"/>
                        </w:rPr>
                      </w:pPr>
                    </w:p>
                    <w:p w14:paraId="2CD56FA2" w14:textId="38D39CF6" w:rsidR="00FF2210" w:rsidRDefault="00FF2210" w:rsidP="002647D4">
                      <w:pPr>
                        <w:pStyle w:val="ColorfulList-Accent11"/>
                        <w:ind w:left="425"/>
                        <w:rPr>
                          <w:rFonts w:cs="Calibri"/>
                          <w:noProof/>
                          <w:lang w:val="es-ES"/>
                        </w:rPr>
                      </w:pPr>
                      <w:r w:rsidRPr="004E3A8B">
                        <w:rPr>
                          <w:rFonts w:cs="Calibri"/>
                          <w:noProof/>
                          <w:lang w:val="es-ES"/>
                        </w:rPr>
                        <w:t>v</w:t>
                      </w:r>
                      <w:r>
                        <w:rPr>
                          <w:rFonts w:cs="Calibri"/>
                          <w:noProof/>
                          <w:lang w:val="es-ES"/>
                        </w:rPr>
                        <w:t>i</w:t>
                      </w:r>
                      <w:r w:rsidRPr="004E3A8B">
                        <w:rPr>
                          <w:rFonts w:cs="Calibri"/>
                          <w:noProof/>
                          <w:lang w:val="es-ES"/>
                        </w:rPr>
                        <w:t>i.</w:t>
                      </w:r>
                      <w:r w:rsidRPr="004E3A8B">
                        <w:rPr>
                          <w:rFonts w:cs="Calibri"/>
                          <w:noProof/>
                          <w:lang w:val="es-ES"/>
                        </w:rPr>
                        <w:tab/>
                      </w:r>
                      <w:r w:rsidRPr="0047092F">
                        <w:rPr>
                          <w:rFonts w:cs="Calibri"/>
                          <w:noProof/>
                          <w:lang w:val="es-ES"/>
                        </w:rPr>
                        <w:t>tomar nota de las asignaciones de fondos entre</w:t>
                      </w:r>
                      <w:r>
                        <w:rPr>
                          <w:rFonts w:cs="Calibri"/>
                          <w:noProof/>
                          <w:lang w:val="es-ES"/>
                        </w:rPr>
                        <w:t xml:space="preserve"> períodos de </w:t>
                      </w:r>
                      <w:r w:rsidRPr="0047092F">
                        <w:rPr>
                          <w:rFonts w:cs="Calibri"/>
                          <w:noProof/>
                          <w:lang w:val="es-ES"/>
                        </w:rPr>
                        <w:t xml:space="preserve">sesiones para ajustarse al presupuesto básico aprobado por la ExCOP3 para 2022, como se describe en los párrafos 22 y 38, y aprobar la asignación de los saldos restantes del </w:t>
                      </w:r>
                      <w:r>
                        <w:rPr>
                          <w:noProof/>
                          <w:lang w:val="es-ES"/>
                        </w:rPr>
                        <w:t>“</w:t>
                      </w:r>
                      <w:r w:rsidRPr="00B73177">
                        <w:rPr>
                          <w:noProof/>
                          <w:lang w:val="es-ES"/>
                        </w:rPr>
                        <w:t>Presupuesto aprobado por la reunión SC58 y ahorros no comprometidos traspasados al año siguiente</w:t>
                      </w:r>
                      <w:r>
                        <w:rPr>
                          <w:noProof/>
                          <w:lang w:val="es-ES"/>
                        </w:rPr>
                        <w:t>”</w:t>
                      </w:r>
                      <w:r w:rsidRPr="0047092F">
                        <w:rPr>
                          <w:rFonts w:cs="Calibri"/>
                          <w:noProof/>
                          <w:lang w:val="es-ES"/>
                        </w:rPr>
                        <w:t xml:space="preserve"> como ahorros adicionales del fondo de reserva, como se describe en el párrafo 39 y se presenta en la columna D </w:t>
                      </w:r>
                      <w:r>
                        <w:rPr>
                          <w:rFonts w:cs="Calibri"/>
                          <w:noProof/>
                          <w:lang w:val="es-ES"/>
                        </w:rPr>
                        <w:t>del cuadro</w:t>
                      </w:r>
                      <w:r w:rsidRPr="0047092F">
                        <w:rPr>
                          <w:rFonts w:cs="Calibri"/>
                          <w:noProof/>
                          <w:lang w:val="es-ES"/>
                        </w:rPr>
                        <w:t xml:space="preserve"> del Anexo 4; y</w:t>
                      </w:r>
                    </w:p>
                    <w:p w14:paraId="06C946EC" w14:textId="77777777" w:rsidR="00FF2210" w:rsidRPr="004E3A8B" w:rsidRDefault="00FF2210" w:rsidP="00F32A17">
                      <w:pPr>
                        <w:pStyle w:val="ColorfulList-Accent11"/>
                        <w:ind w:left="0" w:firstLine="0"/>
                        <w:rPr>
                          <w:rFonts w:cs="Calibri"/>
                          <w:noProof/>
                          <w:lang w:val="es-ES"/>
                        </w:rPr>
                      </w:pPr>
                    </w:p>
                    <w:p w14:paraId="7D877343" w14:textId="7E7AFF19" w:rsidR="00FF2210" w:rsidRDefault="00FF2210" w:rsidP="002538A3">
                      <w:pPr>
                        <w:pStyle w:val="ColorfulList-Accent11"/>
                        <w:ind w:left="425"/>
                        <w:rPr>
                          <w:rFonts w:cs="Calibri"/>
                          <w:noProof/>
                          <w:lang w:val="es-ES"/>
                        </w:rPr>
                      </w:pPr>
                      <w:r w:rsidRPr="004E3A8B">
                        <w:rPr>
                          <w:rFonts w:cs="Calibri"/>
                          <w:noProof/>
                          <w:lang w:val="es-ES"/>
                        </w:rPr>
                        <w:t>viii.</w:t>
                      </w:r>
                      <w:r w:rsidRPr="004E3A8B">
                        <w:rPr>
                          <w:rFonts w:cs="Calibri"/>
                          <w:noProof/>
                          <w:lang w:val="es-ES"/>
                        </w:rPr>
                        <w:tab/>
                      </w:r>
                      <w:r>
                        <w:rPr>
                          <w:rFonts w:cs="Calibri"/>
                          <w:noProof/>
                          <w:lang w:val="es-ES"/>
                        </w:rPr>
                        <w:t>examinar</w:t>
                      </w:r>
                      <w:r w:rsidRPr="002647D4">
                        <w:rPr>
                          <w:rFonts w:cs="Calibri"/>
                          <w:noProof/>
                          <w:lang w:val="es-ES"/>
                        </w:rPr>
                        <w:t xml:space="preserve"> las opciones sugeridas por la Secretaría para el posible uso de los ahorros de 2021, como se describe en </w:t>
                      </w:r>
                      <w:r>
                        <w:rPr>
                          <w:rFonts w:cs="Calibri"/>
                          <w:noProof/>
                          <w:lang w:val="es-ES"/>
                        </w:rPr>
                        <w:t>los</w:t>
                      </w:r>
                      <w:r w:rsidRPr="002647D4">
                        <w:rPr>
                          <w:rFonts w:cs="Calibri"/>
                          <w:noProof/>
                          <w:lang w:val="es-ES"/>
                        </w:rPr>
                        <w:t xml:space="preserve"> párrafo</w:t>
                      </w:r>
                      <w:r>
                        <w:rPr>
                          <w:rFonts w:cs="Calibri"/>
                          <w:noProof/>
                          <w:lang w:val="es-ES"/>
                        </w:rPr>
                        <w:t>s</w:t>
                      </w:r>
                      <w:r w:rsidRPr="002647D4">
                        <w:rPr>
                          <w:rFonts w:cs="Calibri"/>
                          <w:noProof/>
                          <w:lang w:val="es-ES"/>
                        </w:rPr>
                        <w:t xml:space="preserve"> 40</w:t>
                      </w:r>
                      <w:r>
                        <w:rPr>
                          <w:rFonts w:cs="Calibri"/>
                          <w:noProof/>
                          <w:lang w:val="es-ES"/>
                        </w:rPr>
                        <w:t xml:space="preserve"> y 41</w:t>
                      </w:r>
                      <w:r w:rsidRPr="002647D4">
                        <w:rPr>
                          <w:rFonts w:cs="Calibri"/>
                          <w:noProof/>
                          <w:lang w:val="es-ES"/>
                        </w:rPr>
                        <w:t>.</w:t>
                      </w:r>
                    </w:p>
                    <w:p w14:paraId="11DC83D5" w14:textId="2ACA5B68" w:rsidR="00FF2210" w:rsidRPr="004E3A8B" w:rsidRDefault="00FF2210" w:rsidP="002538A3">
                      <w:pPr>
                        <w:pStyle w:val="ColorfulList-Accent11"/>
                        <w:ind w:left="425"/>
                        <w:rPr>
                          <w:rFonts w:cs="Calibri"/>
                          <w:noProof/>
                          <w:lang w:val="es-ES"/>
                        </w:rPr>
                      </w:pPr>
                    </w:p>
                  </w:txbxContent>
                </v:textbox>
                <w10:anchorlock/>
              </v:shape>
            </w:pict>
          </mc:Fallback>
        </mc:AlternateContent>
      </w:r>
    </w:p>
    <w:p w14:paraId="5CE1948B" w14:textId="77777777" w:rsidR="001B7279" w:rsidRPr="00064323" w:rsidRDefault="001B7279" w:rsidP="00162710">
      <w:pPr>
        <w:rPr>
          <w:rFonts w:cs="Arial"/>
          <w:b/>
          <w:noProof/>
          <w:lang w:val="es-ES"/>
        </w:rPr>
      </w:pPr>
    </w:p>
    <w:p w14:paraId="550C7F72" w14:textId="77777777" w:rsidR="00E10D99" w:rsidRPr="00064323" w:rsidRDefault="00E10D99" w:rsidP="00162710">
      <w:pPr>
        <w:rPr>
          <w:rFonts w:cs="Arial"/>
          <w:b/>
          <w:noProof/>
          <w:lang w:val="es-ES"/>
        </w:rPr>
      </w:pPr>
    </w:p>
    <w:p w14:paraId="5B822848" w14:textId="4668A061" w:rsidR="00EE484E" w:rsidRPr="00064323" w:rsidRDefault="009F6586" w:rsidP="00162710">
      <w:pPr>
        <w:rPr>
          <w:rFonts w:cs="Arial"/>
          <w:b/>
          <w:noProof/>
          <w:lang w:val="es-ES"/>
        </w:rPr>
      </w:pPr>
      <w:r w:rsidRPr="00064323">
        <w:rPr>
          <w:rFonts w:cs="Arial"/>
          <w:b/>
          <w:noProof/>
          <w:lang w:val="es-ES"/>
        </w:rPr>
        <w:t>Antecedentes</w:t>
      </w:r>
    </w:p>
    <w:p w14:paraId="2B503344" w14:textId="77777777" w:rsidR="00A31490" w:rsidRPr="00064323" w:rsidRDefault="00A31490" w:rsidP="00162710">
      <w:pPr>
        <w:rPr>
          <w:rFonts w:cs="Arial"/>
          <w:noProof/>
          <w:lang w:val="es-ES"/>
        </w:rPr>
      </w:pPr>
    </w:p>
    <w:p w14:paraId="7C553BFC" w14:textId="59F4A813" w:rsidR="009F6586" w:rsidRPr="00064323" w:rsidRDefault="009F6586" w:rsidP="009F6586">
      <w:pPr>
        <w:pStyle w:val="ListParagraph"/>
        <w:numPr>
          <w:ilvl w:val="0"/>
          <w:numId w:val="18"/>
        </w:numPr>
        <w:ind w:left="426" w:hanging="426"/>
        <w:rPr>
          <w:rFonts w:cs="Arial"/>
          <w:noProof/>
          <w:lang w:val="es-ES"/>
        </w:rPr>
      </w:pPr>
      <w:r w:rsidRPr="00064323">
        <w:rPr>
          <w:noProof/>
          <w:lang w:val="es-ES"/>
        </w:rPr>
        <w:t>El presente informe trata</w:t>
      </w:r>
      <w:r w:rsidR="00A47A59">
        <w:rPr>
          <w:noProof/>
          <w:lang w:val="es-ES"/>
        </w:rPr>
        <w:t xml:space="preserve"> sobre</w:t>
      </w:r>
      <w:r w:rsidRPr="00064323">
        <w:rPr>
          <w:noProof/>
          <w:lang w:val="es-ES"/>
        </w:rPr>
        <w:t xml:space="preserve"> cuestiones financieras de la Convención sobre los Humedales relativas a los resultados </w:t>
      </w:r>
      <w:r w:rsidR="00A47A59">
        <w:rPr>
          <w:noProof/>
          <w:lang w:val="es-ES"/>
        </w:rPr>
        <w:t>del presupuesto</w:t>
      </w:r>
      <w:r w:rsidRPr="00064323">
        <w:rPr>
          <w:noProof/>
          <w:lang w:val="es-ES"/>
        </w:rPr>
        <w:t xml:space="preserve"> básico y no básico para el trienio 2019-2021</w:t>
      </w:r>
      <w:r w:rsidR="00A47A59">
        <w:rPr>
          <w:noProof/>
          <w:lang w:val="es-ES"/>
        </w:rPr>
        <w:t xml:space="preserve"> y </w:t>
      </w:r>
      <w:r w:rsidRPr="00064323">
        <w:rPr>
          <w:noProof/>
          <w:lang w:val="es-ES"/>
        </w:rPr>
        <w:t>el presupuesto para 202</w:t>
      </w:r>
      <w:r w:rsidR="004D49BF">
        <w:rPr>
          <w:noProof/>
          <w:lang w:val="es-ES"/>
        </w:rPr>
        <w:t>2</w:t>
      </w:r>
      <w:r w:rsidRPr="00064323">
        <w:rPr>
          <w:noProof/>
          <w:lang w:val="es-ES"/>
        </w:rPr>
        <w:t>.</w:t>
      </w:r>
    </w:p>
    <w:p w14:paraId="1F317A7C" w14:textId="77777777" w:rsidR="00A31490" w:rsidRPr="00064323" w:rsidRDefault="00A31490" w:rsidP="009F6586">
      <w:pPr>
        <w:ind w:left="0" w:firstLine="0"/>
        <w:rPr>
          <w:rFonts w:cs="Arial"/>
          <w:noProof/>
          <w:lang w:val="es-ES"/>
        </w:rPr>
      </w:pPr>
    </w:p>
    <w:p w14:paraId="1916CAD5" w14:textId="69261842" w:rsidR="009F6586" w:rsidRPr="00064323" w:rsidRDefault="00112F62" w:rsidP="009F6586">
      <w:pPr>
        <w:rPr>
          <w:noProof/>
          <w:lang w:val="es-ES"/>
        </w:rPr>
      </w:pPr>
      <w:r w:rsidRPr="00064323">
        <w:rPr>
          <w:noProof/>
          <w:lang w:val="es-ES"/>
        </w:rPr>
        <w:t>2.</w:t>
      </w:r>
      <w:r w:rsidRPr="00064323">
        <w:rPr>
          <w:noProof/>
          <w:lang w:val="es-ES"/>
        </w:rPr>
        <w:tab/>
      </w:r>
      <w:r w:rsidR="009F6586" w:rsidRPr="00064323">
        <w:rPr>
          <w:noProof/>
          <w:lang w:val="es-ES"/>
        </w:rPr>
        <w:t xml:space="preserve">La gestión financiera adecuada de los fondos básicos y no básicos de la Secretaría </w:t>
      </w:r>
      <w:r w:rsidR="001B002E" w:rsidRPr="00064323">
        <w:rPr>
          <w:noProof/>
          <w:lang w:val="es-ES"/>
        </w:rPr>
        <w:t>fue</w:t>
      </w:r>
      <w:r w:rsidR="009F6586" w:rsidRPr="00064323">
        <w:rPr>
          <w:noProof/>
          <w:lang w:val="es-ES"/>
        </w:rPr>
        <w:t xml:space="preserve"> validada por los auditores externos</w:t>
      </w:r>
      <w:r w:rsidR="001B002E" w:rsidRPr="00064323">
        <w:rPr>
          <w:noProof/>
          <w:lang w:val="es-ES"/>
        </w:rPr>
        <w:t xml:space="preserve">, quienes </w:t>
      </w:r>
      <w:r w:rsidR="00E611F2" w:rsidRPr="00064323">
        <w:rPr>
          <w:noProof/>
          <w:lang w:val="es-ES"/>
        </w:rPr>
        <w:t xml:space="preserve">no </w:t>
      </w:r>
      <w:r w:rsidR="009F6586" w:rsidRPr="00064323">
        <w:rPr>
          <w:noProof/>
          <w:lang w:val="es-ES"/>
        </w:rPr>
        <w:t>plantea</w:t>
      </w:r>
      <w:r w:rsidR="001B002E" w:rsidRPr="00064323">
        <w:rPr>
          <w:noProof/>
          <w:lang w:val="es-ES"/>
        </w:rPr>
        <w:t>ron</w:t>
      </w:r>
      <w:r w:rsidR="009F6586" w:rsidRPr="00064323">
        <w:rPr>
          <w:noProof/>
          <w:lang w:val="es-ES"/>
        </w:rPr>
        <w:t xml:space="preserve"> nuevas cuestiones. Se documenta</w:t>
      </w:r>
      <w:r w:rsidR="001B002E" w:rsidRPr="00064323">
        <w:rPr>
          <w:noProof/>
          <w:lang w:val="es-ES"/>
        </w:rPr>
        <w:t>ron</w:t>
      </w:r>
      <w:r w:rsidR="009F6586" w:rsidRPr="00064323">
        <w:rPr>
          <w:noProof/>
          <w:lang w:val="es-ES"/>
        </w:rPr>
        <w:t xml:space="preserve"> las </w:t>
      </w:r>
      <w:r w:rsidR="009F6586" w:rsidRPr="00064323">
        <w:rPr>
          <w:noProof/>
          <w:lang w:val="es-ES"/>
        </w:rPr>
        <w:lastRenderedPageBreak/>
        <w:t>responsabilidades internas y la asignación de controles entre la UICN y la Secretaría, a fin de garantizar</w:t>
      </w:r>
      <w:r w:rsidR="001B002E" w:rsidRPr="00064323">
        <w:rPr>
          <w:noProof/>
          <w:lang w:val="es-ES"/>
        </w:rPr>
        <w:t xml:space="preserve"> </w:t>
      </w:r>
      <w:r w:rsidR="009F6586" w:rsidRPr="00064323">
        <w:rPr>
          <w:noProof/>
          <w:lang w:val="es-ES"/>
        </w:rPr>
        <w:t xml:space="preserve">que los procesos de gestión financiera en la Secretaría cumplan con las políticas y procedimientos de la UICN </w:t>
      </w:r>
      <w:r w:rsidR="001921CD" w:rsidRPr="00064323">
        <w:rPr>
          <w:noProof/>
          <w:lang w:val="es-ES"/>
        </w:rPr>
        <w:t>en los casos pertinentes</w:t>
      </w:r>
      <w:r w:rsidR="009F6586" w:rsidRPr="00064323">
        <w:rPr>
          <w:noProof/>
          <w:lang w:val="es-ES"/>
        </w:rPr>
        <w:t xml:space="preserve">. </w:t>
      </w:r>
    </w:p>
    <w:p w14:paraId="28CD6DAD" w14:textId="77777777" w:rsidR="00FC40CB" w:rsidRPr="00064323" w:rsidRDefault="00FC40CB" w:rsidP="00FC40CB">
      <w:pPr>
        <w:keepNext/>
        <w:ind w:left="0" w:firstLine="0"/>
        <w:rPr>
          <w:rFonts w:cs="Arial"/>
          <w:b/>
          <w:noProof/>
          <w:lang w:val="es-ES"/>
        </w:rPr>
      </w:pPr>
    </w:p>
    <w:p w14:paraId="6B1D6620" w14:textId="6E6308ED" w:rsidR="001B002E" w:rsidRPr="00064323" w:rsidRDefault="008F7FC4" w:rsidP="001B002E">
      <w:pPr>
        <w:keepNext/>
        <w:rPr>
          <w:rFonts w:cs="Arial"/>
          <w:noProof/>
          <w:lang w:val="es-ES"/>
        </w:rPr>
      </w:pPr>
      <w:r w:rsidRPr="00064323">
        <w:rPr>
          <w:rFonts w:cs="Arial"/>
          <w:noProof/>
          <w:lang w:val="es-ES"/>
        </w:rPr>
        <w:t>3.</w:t>
      </w:r>
      <w:r w:rsidRPr="00064323">
        <w:rPr>
          <w:rFonts w:cs="Arial"/>
          <w:noProof/>
          <w:lang w:val="es-ES"/>
        </w:rPr>
        <w:tab/>
      </w:r>
      <w:r w:rsidR="001B002E" w:rsidRPr="00064323">
        <w:rPr>
          <w:rFonts w:cs="Arial"/>
          <w:noProof/>
          <w:lang w:val="es-ES"/>
        </w:rPr>
        <w:t>El año 2021 se vio nuevamente afectado por limitaciones y dificultades a causa de la pandemia de</w:t>
      </w:r>
      <w:r w:rsidR="00276BC4" w:rsidRPr="00064323">
        <w:rPr>
          <w:rFonts w:cs="Arial"/>
          <w:noProof/>
          <w:lang w:val="es-ES"/>
        </w:rPr>
        <w:t>l</w:t>
      </w:r>
      <w:r w:rsidR="001B002E" w:rsidRPr="00064323">
        <w:rPr>
          <w:rFonts w:cs="Arial"/>
          <w:noProof/>
          <w:lang w:val="es-ES"/>
        </w:rPr>
        <w:t xml:space="preserve"> COVID-19, lo que </w:t>
      </w:r>
      <w:r w:rsidR="00276BC4" w:rsidRPr="00064323">
        <w:rPr>
          <w:rFonts w:cs="Arial"/>
          <w:noProof/>
          <w:lang w:val="es-ES"/>
        </w:rPr>
        <w:t>repercutió</w:t>
      </w:r>
      <w:r w:rsidR="001B002E" w:rsidRPr="00064323">
        <w:rPr>
          <w:rFonts w:cs="Arial"/>
          <w:noProof/>
          <w:lang w:val="es-ES"/>
        </w:rPr>
        <w:t xml:space="preserve"> en la ejecución del plan de trabajo de la Secretaría y en el presupuesto de la Convención, </w:t>
      </w:r>
      <w:r w:rsidR="006307E0" w:rsidRPr="00064323">
        <w:rPr>
          <w:rFonts w:cs="Arial"/>
          <w:noProof/>
          <w:lang w:val="es-ES"/>
        </w:rPr>
        <w:t>dando</w:t>
      </w:r>
      <w:r w:rsidR="001B002E" w:rsidRPr="00064323">
        <w:rPr>
          <w:rFonts w:cs="Arial"/>
          <w:noProof/>
          <w:lang w:val="es-ES"/>
        </w:rPr>
        <w:t xml:space="preserve"> lugar a </w:t>
      </w:r>
      <w:r w:rsidR="00276BC4" w:rsidRPr="00064323">
        <w:rPr>
          <w:rFonts w:cs="Arial"/>
          <w:noProof/>
          <w:lang w:val="es-ES"/>
        </w:rPr>
        <w:t>la disminución</w:t>
      </w:r>
      <w:r w:rsidR="001B002E" w:rsidRPr="00064323">
        <w:rPr>
          <w:rFonts w:cs="Arial"/>
          <w:noProof/>
          <w:lang w:val="es-ES"/>
        </w:rPr>
        <w:t xml:space="preserve"> </w:t>
      </w:r>
      <w:r w:rsidR="00276BC4" w:rsidRPr="00064323">
        <w:rPr>
          <w:rFonts w:cs="Arial"/>
          <w:noProof/>
          <w:lang w:val="es-ES"/>
        </w:rPr>
        <w:t xml:space="preserve">de la </w:t>
      </w:r>
      <w:r w:rsidR="001B002E" w:rsidRPr="00064323">
        <w:rPr>
          <w:rFonts w:cs="Arial"/>
          <w:noProof/>
          <w:lang w:val="es-ES"/>
        </w:rPr>
        <w:t xml:space="preserve">ejecución de algunas partidas presupuestarias, en especial las que </w:t>
      </w:r>
      <w:r w:rsidR="00FB7DCB">
        <w:rPr>
          <w:rFonts w:cs="Arial"/>
          <w:noProof/>
          <w:lang w:val="es-ES"/>
        </w:rPr>
        <w:t>requerían</w:t>
      </w:r>
      <w:r w:rsidR="001B002E" w:rsidRPr="00064323">
        <w:rPr>
          <w:rFonts w:cs="Arial"/>
          <w:noProof/>
          <w:lang w:val="es-ES"/>
        </w:rPr>
        <w:t xml:space="preserve"> viajes, como las reuniones de los órganos de gobierno y subsidiarios y los viajes de la Secretaría, </w:t>
      </w:r>
      <w:r w:rsidR="004D49BF">
        <w:rPr>
          <w:rFonts w:cs="Arial"/>
          <w:noProof/>
          <w:lang w:val="es-ES"/>
        </w:rPr>
        <w:t>lo que</w:t>
      </w:r>
      <w:r w:rsidR="00276BC4" w:rsidRPr="00064323">
        <w:rPr>
          <w:rFonts w:cs="Arial"/>
          <w:noProof/>
          <w:lang w:val="es-ES"/>
        </w:rPr>
        <w:t xml:space="preserve"> se tradujo en</w:t>
      </w:r>
      <w:r w:rsidR="001B002E" w:rsidRPr="00064323">
        <w:rPr>
          <w:rFonts w:cs="Arial"/>
          <w:noProof/>
          <w:lang w:val="es-ES"/>
        </w:rPr>
        <w:t xml:space="preserve"> ahorro</w:t>
      </w:r>
      <w:r w:rsidR="00F335A2">
        <w:rPr>
          <w:rFonts w:cs="Arial"/>
          <w:noProof/>
          <w:lang w:val="es-ES"/>
        </w:rPr>
        <w:t>s</w:t>
      </w:r>
      <w:r w:rsidR="001B002E" w:rsidRPr="00064323">
        <w:rPr>
          <w:rFonts w:cs="Arial"/>
          <w:noProof/>
          <w:lang w:val="es-ES"/>
        </w:rPr>
        <w:t xml:space="preserve"> en el presupuesto. </w:t>
      </w:r>
    </w:p>
    <w:p w14:paraId="3CBE5321" w14:textId="77777777" w:rsidR="005538B2" w:rsidRPr="00064323" w:rsidRDefault="005538B2" w:rsidP="00FC40CB">
      <w:pPr>
        <w:keepNext/>
        <w:ind w:left="0" w:firstLine="0"/>
        <w:rPr>
          <w:rFonts w:cs="Arial"/>
          <w:b/>
          <w:noProof/>
          <w:lang w:val="es-ES"/>
        </w:rPr>
      </w:pPr>
    </w:p>
    <w:p w14:paraId="517F1430" w14:textId="45D8F699" w:rsidR="001921CD" w:rsidRPr="00064323" w:rsidRDefault="001921CD" w:rsidP="001921CD">
      <w:pPr>
        <w:keepNext/>
        <w:ind w:left="0" w:firstLine="0"/>
        <w:rPr>
          <w:rFonts w:cs="Arial"/>
          <w:b/>
          <w:noProof/>
          <w:lang w:val="es-ES"/>
        </w:rPr>
      </w:pPr>
      <w:r w:rsidRPr="00064323">
        <w:rPr>
          <w:b/>
          <w:noProof/>
          <w:lang w:val="es-ES"/>
        </w:rPr>
        <w:t>Resultados de 2021: presupuesto básico</w:t>
      </w:r>
    </w:p>
    <w:p w14:paraId="387569ED" w14:textId="77777777" w:rsidR="002F2543" w:rsidRPr="00064323" w:rsidRDefault="002F2543" w:rsidP="00162710">
      <w:pPr>
        <w:pStyle w:val="NoSpacing"/>
        <w:rPr>
          <w:b/>
          <w:noProof/>
          <w:lang w:val="es-ES"/>
        </w:rPr>
      </w:pPr>
    </w:p>
    <w:p w14:paraId="1AB704A0" w14:textId="0C98D65F" w:rsidR="001921CD" w:rsidRPr="00064323" w:rsidRDefault="008F7FC4" w:rsidP="00162710">
      <w:pPr>
        <w:rPr>
          <w:noProof/>
          <w:lang w:val="es-ES"/>
        </w:rPr>
      </w:pPr>
      <w:r w:rsidRPr="00064323">
        <w:rPr>
          <w:noProof/>
          <w:lang w:val="es-ES"/>
        </w:rPr>
        <w:t>4</w:t>
      </w:r>
      <w:r w:rsidR="00112F62" w:rsidRPr="00064323">
        <w:rPr>
          <w:noProof/>
          <w:lang w:val="es-ES"/>
        </w:rPr>
        <w:t>.</w:t>
      </w:r>
      <w:r w:rsidR="00112F62" w:rsidRPr="00064323">
        <w:rPr>
          <w:noProof/>
          <w:lang w:val="es-ES"/>
        </w:rPr>
        <w:tab/>
      </w:r>
      <w:r w:rsidR="001921CD" w:rsidRPr="00064323">
        <w:rPr>
          <w:noProof/>
          <w:lang w:val="es-ES"/>
        </w:rPr>
        <w:t xml:space="preserve">Los estados financieros auditados de 2021 </w:t>
      </w:r>
      <w:r w:rsidR="00774079">
        <w:rPr>
          <w:noProof/>
          <w:lang w:val="es-ES"/>
        </w:rPr>
        <w:t>figuran</w:t>
      </w:r>
      <w:r w:rsidR="001921CD" w:rsidRPr="00064323">
        <w:rPr>
          <w:noProof/>
          <w:lang w:val="es-ES"/>
        </w:rPr>
        <w:t xml:space="preserve"> en el Anexo 1. </w:t>
      </w:r>
    </w:p>
    <w:p w14:paraId="03C37D2C" w14:textId="77777777" w:rsidR="00672A78" w:rsidRPr="00064323" w:rsidRDefault="00672A78" w:rsidP="00162710">
      <w:pPr>
        <w:rPr>
          <w:noProof/>
          <w:lang w:val="es-ES"/>
        </w:rPr>
      </w:pPr>
    </w:p>
    <w:p w14:paraId="659CB77F" w14:textId="4477912D" w:rsidR="00ED1AE5" w:rsidRPr="00064323" w:rsidRDefault="008F7FC4" w:rsidP="00774079">
      <w:pPr>
        <w:rPr>
          <w:noProof/>
          <w:lang w:val="es-ES"/>
        </w:rPr>
      </w:pPr>
      <w:r w:rsidRPr="00064323">
        <w:rPr>
          <w:noProof/>
          <w:lang w:val="es-ES"/>
        </w:rPr>
        <w:t>5</w:t>
      </w:r>
      <w:r w:rsidR="00FC40CB" w:rsidRPr="00064323">
        <w:rPr>
          <w:noProof/>
          <w:lang w:val="es-ES"/>
        </w:rPr>
        <w:t>.</w:t>
      </w:r>
      <w:r w:rsidR="00FC40CB" w:rsidRPr="00064323">
        <w:rPr>
          <w:noProof/>
          <w:lang w:val="es-ES"/>
        </w:rPr>
        <w:tab/>
      </w:r>
      <w:r w:rsidR="00774079">
        <w:rPr>
          <w:noProof/>
          <w:lang w:val="es-ES"/>
        </w:rPr>
        <w:t>Un</w:t>
      </w:r>
      <w:r w:rsidR="001921CD" w:rsidRPr="00064323">
        <w:rPr>
          <w:noProof/>
          <w:lang w:val="es-ES"/>
        </w:rPr>
        <w:t xml:space="preserve"> resumen de los resultados del presupuesto básico de 2021 se adjunta en el Anexo 2. En la columna A figura el presupuesto </w:t>
      </w:r>
      <w:r w:rsidR="00774079">
        <w:rPr>
          <w:noProof/>
          <w:lang w:val="es-ES"/>
        </w:rPr>
        <w:t>de</w:t>
      </w:r>
      <w:r w:rsidR="001921CD" w:rsidRPr="00064323">
        <w:rPr>
          <w:noProof/>
          <w:lang w:val="es-ES"/>
        </w:rPr>
        <w:t xml:space="preserve"> 2021 de 5 081 000 francos suizos aprobado mediante la Resolución XIII.2, </w:t>
      </w:r>
      <w:r w:rsidR="001921CD" w:rsidRPr="00064323">
        <w:rPr>
          <w:i/>
          <w:iCs/>
          <w:noProof/>
          <w:lang w:val="es-ES"/>
        </w:rPr>
        <w:t>Cuestiones financieras y presupuestarias</w:t>
      </w:r>
      <w:r w:rsidR="001A253F" w:rsidRPr="00064323">
        <w:rPr>
          <w:i/>
          <w:iCs/>
          <w:noProof/>
          <w:lang w:val="es-ES"/>
        </w:rPr>
        <w:t>,</w:t>
      </w:r>
      <w:r w:rsidR="001A253F" w:rsidRPr="00064323">
        <w:rPr>
          <w:noProof/>
          <w:lang w:val="es-ES"/>
        </w:rPr>
        <w:t xml:space="preserve"> incluidos los ajuste</w:t>
      </w:r>
      <w:r w:rsidR="00774079">
        <w:rPr>
          <w:noProof/>
          <w:lang w:val="es-ES"/>
        </w:rPr>
        <w:t>s</w:t>
      </w:r>
      <w:r w:rsidR="001A253F" w:rsidRPr="00064323">
        <w:rPr>
          <w:noProof/>
          <w:lang w:val="es-ES"/>
        </w:rPr>
        <w:t xml:space="preserve"> aprobados </w:t>
      </w:r>
      <w:r w:rsidR="00181928" w:rsidRPr="00064323">
        <w:rPr>
          <w:noProof/>
          <w:lang w:val="es-ES"/>
        </w:rPr>
        <w:t>en</w:t>
      </w:r>
      <w:r w:rsidR="001A253F" w:rsidRPr="00064323">
        <w:rPr>
          <w:noProof/>
          <w:lang w:val="es-ES"/>
        </w:rPr>
        <w:t xml:space="preserve"> la reunión SC59, como se explica en el párrafo 12, más abajo</w:t>
      </w:r>
      <w:r w:rsidR="001921CD" w:rsidRPr="00064323">
        <w:rPr>
          <w:noProof/>
          <w:lang w:val="es-ES"/>
        </w:rPr>
        <w:t xml:space="preserve">. En la columna B del mismo cuadro se muestra </w:t>
      </w:r>
      <w:r w:rsidR="00774079">
        <w:rPr>
          <w:noProof/>
          <w:lang w:val="es-ES"/>
        </w:rPr>
        <w:t>el uso</w:t>
      </w:r>
      <w:r w:rsidR="001921CD" w:rsidRPr="00064323">
        <w:rPr>
          <w:noProof/>
          <w:lang w:val="es-ES"/>
        </w:rPr>
        <w:t xml:space="preserve"> autorizad</w:t>
      </w:r>
      <w:r w:rsidR="00774079">
        <w:rPr>
          <w:noProof/>
          <w:lang w:val="es-ES"/>
        </w:rPr>
        <w:t>o</w:t>
      </w:r>
      <w:r w:rsidR="001921CD" w:rsidRPr="00064323">
        <w:rPr>
          <w:noProof/>
          <w:lang w:val="es-ES"/>
        </w:rPr>
        <w:t xml:space="preserve"> del excedente de 76 000 francos suizos durante el año para cubrir el déficit creado en el presupuesto con la contratación de un auxiliar contable y financiero, de conformidad con el párrafo 15 de la Resolución XIII.2, mientras que en la columna C se indican los saldos comprometidos </w:t>
      </w:r>
      <w:r w:rsidR="00774079">
        <w:rPr>
          <w:noProof/>
          <w:lang w:val="es-ES"/>
        </w:rPr>
        <w:t>de</w:t>
      </w:r>
      <w:r w:rsidR="001921CD" w:rsidRPr="00064323">
        <w:rPr>
          <w:noProof/>
          <w:lang w:val="es-ES"/>
        </w:rPr>
        <w:t xml:space="preserve"> 20</w:t>
      </w:r>
      <w:r w:rsidR="00B529D7" w:rsidRPr="00064323">
        <w:rPr>
          <w:noProof/>
          <w:lang w:val="es-ES"/>
        </w:rPr>
        <w:t>20</w:t>
      </w:r>
      <w:r w:rsidR="001921CD" w:rsidRPr="00064323">
        <w:rPr>
          <w:noProof/>
          <w:lang w:val="es-ES"/>
        </w:rPr>
        <w:t xml:space="preserve"> y </w:t>
      </w:r>
      <w:r w:rsidR="00774079">
        <w:rPr>
          <w:noProof/>
          <w:lang w:val="es-ES"/>
        </w:rPr>
        <w:t>el uso</w:t>
      </w:r>
      <w:r w:rsidR="001921CD" w:rsidRPr="00064323">
        <w:rPr>
          <w:noProof/>
          <w:lang w:val="es-ES"/>
        </w:rPr>
        <w:t xml:space="preserve"> autorizad</w:t>
      </w:r>
      <w:r w:rsidR="00774079">
        <w:rPr>
          <w:noProof/>
          <w:lang w:val="es-ES"/>
        </w:rPr>
        <w:t>o</w:t>
      </w:r>
      <w:r w:rsidR="001921CD" w:rsidRPr="00064323">
        <w:rPr>
          <w:noProof/>
          <w:lang w:val="es-ES"/>
        </w:rPr>
        <w:t xml:space="preserve"> de los excedentes por un total de </w:t>
      </w:r>
      <w:r w:rsidR="00B529D7" w:rsidRPr="00064323">
        <w:rPr>
          <w:noProof/>
          <w:lang w:val="es-ES"/>
        </w:rPr>
        <w:t>712</w:t>
      </w:r>
      <w:r w:rsidR="001921CD" w:rsidRPr="00064323">
        <w:rPr>
          <w:noProof/>
          <w:lang w:val="es-ES"/>
        </w:rPr>
        <w:t xml:space="preserve"> 000 francos suizos. Este total incluye el </w:t>
      </w:r>
      <w:r w:rsidR="00774079">
        <w:rPr>
          <w:noProof/>
          <w:lang w:val="es-ES"/>
        </w:rPr>
        <w:t>uso</w:t>
      </w:r>
      <w:r w:rsidR="001921CD" w:rsidRPr="00064323">
        <w:rPr>
          <w:noProof/>
          <w:lang w:val="es-ES"/>
        </w:rPr>
        <w:t xml:space="preserve"> de los fondos aprobados en años anteriores en las siguientes partidas: Grupo de trabajo sobre la eficacia (párrafo 16 de la Resolución XIII.2), compromisos del presupuesto de 2018 (traspasados a 2019)</w:t>
      </w:r>
      <w:r w:rsidR="00774079">
        <w:rPr>
          <w:noProof/>
          <w:lang w:val="es-ES"/>
        </w:rPr>
        <w:t>,</w:t>
      </w:r>
      <w:r w:rsidR="001921CD" w:rsidRPr="00064323">
        <w:rPr>
          <w:noProof/>
          <w:lang w:val="es-ES"/>
        </w:rPr>
        <w:t xml:space="preserve"> y uso del excedente </w:t>
      </w:r>
      <w:r w:rsidR="00774079" w:rsidRPr="00064323">
        <w:rPr>
          <w:noProof/>
          <w:lang w:val="es-ES"/>
        </w:rPr>
        <w:t xml:space="preserve">autorizado </w:t>
      </w:r>
      <w:r w:rsidR="001921CD" w:rsidRPr="00064323">
        <w:rPr>
          <w:noProof/>
          <w:lang w:val="es-ES"/>
        </w:rPr>
        <w:t xml:space="preserve">en la reunión SC57 (véase el Anexo 9.2 del </w:t>
      </w:r>
      <w:r w:rsidR="00774079">
        <w:rPr>
          <w:noProof/>
          <w:lang w:val="es-ES"/>
        </w:rPr>
        <w:t>i</w:t>
      </w:r>
      <w:r w:rsidR="001921CD" w:rsidRPr="00064323">
        <w:rPr>
          <w:noProof/>
          <w:lang w:val="es-ES"/>
        </w:rPr>
        <w:t>nforme de la reunión SC57, aprobado mediante la Decisión SC57-47).</w:t>
      </w:r>
      <w:r w:rsidR="00B529D7" w:rsidRPr="00064323">
        <w:rPr>
          <w:noProof/>
          <w:lang w:val="es-ES"/>
        </w:rPr>
        <w:t xml:space="preserve"> La columna D refleja el uso autorizado por la reunión SC59 de los ahorros del presupuesto de 2020 por un total de 293 000 francos suizos, y la columna E </w:t>
      </w:r>
      <w:r w:rsidR="00101150" w:rsidRPr="00064323">
        <w:rPr>
          <w:noProof/>
          <w:lang w:val="es-ES"/>
        </w:rPr>
        <w:t>refleja</w:t>
      </w:r>
      <w:r w:rsidR="00B529D7" w:rsidRPr="00064323">
        <w:rPr>
          <w:noProof/>
          <w:lang w:val="es-ES"/>
        </w:rPr>
        <w:t xml:space="preserve"> los fondos </w:t>
      </w:r>
      <w:r w:rsidR="00101150" w:rsidRPr="00064323">
        <w:rPr>
          <w:noProof/>
          <w:lang w:val="es-ES"/>
        </w:rPr>
        <w:t>sin comprometer</w:t>
      </w:r>
      <w:r w:rsidR="00B529D7" w:rsidRPr="00064323">
        <w:rPr>
          <w:noProof/>
          <w:lang w:val="es-ES"/>
        </w:rPr>
        <w:t xml:space="preserve"> que se </w:t>
      </w:r>
      <w:r w:rsidR="00774079">
        <w:rPr>
          <w:noProof/>
          <w:lang w:val="es-ES"/>
        </w:rPr>
        <w:t>traspasaron</w:t>
      </w:r>
      <w:r w:rsidR="00B529D7" w:rsidRPr="00064323">
        <w:rPr>
          <w:noProof/>
          <w:lang w:val="es-ES"/>
        </w:rPr>
        <w:t xml:space="preserve"> de 2020 a 2021 por un total de 1 297 000 francos suizos, aprobado en la sesión virtual de la reunión SC59 en junio de 2021.</w:t>
      </w:r>
    </w:p>
    <w:p w14:paraId="3A589AAF" w14:textId="77777777" w:rsidR="00ED1AE5" w:rsidRPr="00064323" w:rsidRDefault="00ED1AE5" w:rsidP="00ED1AE5">
      <w:pPr>
        <w:rPr>
          <w:noProof/>
          <w:lang w:val="es-ES"/>
        </w:rPr>
      </w:pPr>
    </w:p>
    <w:p w14:paraId="7366EA22" w14:textId="30BA263C" w:rsidR="00ED1AE5" w:rsidRPr="00064323" w:rsidRDefault="00ED1AE5" w:rsidP="00ED1AE5">
      <w:pPr>
        <w:rPr>
          <w:noProof/>
          <w:lang w:val="es-ES"/>
        </w:rPr>
      </w:pPr>
      <w:r w:rsidRPr="00064323">
        <w:rPr>
          <w:noProof/>
          <w:lang w:val="es-ES"/>
        </w:rPr>
        <w:t>6.</w:t>
      </w:r>
      <w:r w:rsidRPr="00064323">
        <w:rPr>
          <w:noProof/>
          <w:lang w:val="es-ES"/>
        </w:rPr>
        <w:tab/>
      </w:r>
      <w:r w:rsidR="00E64C99">
        <w:rPr>
          <w:noProof/>
          <w:lang w:val="es-ES"/>
        </w:rPr>
        <w:t>Por lo tanto, el</w:t>
      </w:r>
      <w:r w:rsidRPr="00064323">
        <w:rPr>
          <w:noProof/>
          <w:lang w:val="es-ES"/>
        </w:rPr>
        <w:t xml:space="preserve"> presupuesto total disponible para 2021 era</w:t>
      </w:r>
      <w:r w:rsidR="00E64C99">
        <w:rPr>
          <w:noProof/>
          <w:lang w:val="es-ES"/>
        </w:rPr>
        <w:t xml:space="preserve"> </w:t>
      </w:r>
      <w:r w:rsidRPr="00064323">
        <w:rPr>
          <w:noProof/>
          <w:lang w:val="es-ES"/>
        </w:rPr>
        <w:t xml:space="preserve">de 7 459 000 francos suizos. En el Anexo 2 se muestran también los ingresos y gastos definitivos </w:t>
      </w:r>
      <w:r w:rsidR="00E64C99">
        <w:rPr>
          <w:noProof/>
          <w:lang w:val="es-ES"/>
        </w:rPr>
        <w:t>de</w:t>
      </w:r>
      <w:r w:rsidRPr="00064323">
        <w:rPr>
          <w:noProof/>
          <w:lang w:val="es-ES"/>
        </w:rPr>
        <w:t xml:space="preserve"> 2021</w:t>
      </w:r>
      <w:r w:rsidR="00E64C99">
        <w:rPr>
          <w:noProof/>
          <w:lang w:val="es-ES"/>
        </w:rPr>
        <w:t>,</w:t>
      </w:r>
      <w:r w:rsidRPr="00064323">
        <w:rPr>
          <w:noProof/>
          <w:lang w:val="es-ES"/>
        </w:rPr>
        <w:t xml:space="preserve"> confirmados por los estados financieros (Anexo 1) y el saldo a 31 de diciembre de 202</w:t>
      </w:r>
      <w:r w:rsidR="00E64C99">
        <w:rPr>
          <w:noProof/>
          <w:lang w:val="es-ES"/>
        </w:rPr>
        <w:t>1</w:t>
      </w:r>
      <w:r w:rsidRPr="00064323">
        <w:rPr>
          <w:noProof/>
          <w:lang w:val="es-ES"/>
        </w:rPr>
        <w:t xml:space="preserve"> para cada partida y categoría presupuestaria.</w:t>
      </w:r>
    </w:p>
    <w:p w14:paraId="49B0B4C4" w14:textId="77777777" w:rsidR="00323684" w:rsidRPr="00064323" w:rsidRDefault="00323684" w:rsidP="00CE1519">
      <w:pPr>
        <w:ind w:left="0" w:firstLine="0"/>
        <w:rPr>
          <w:noProof/>
          <w:lang w:val="es-ES"/>
        </w:rPr>
      </w:pPr>
    </w:p>
    <w:p w14:paraId="4970415D" w14:textId="418EC69A" w:rsidR="007F1FA4" w:rsidRPr="00064323" w:rsidRDefault="00800F14" w:rsidP="00800F14">
      <w:pPr>
        <w:rPr>
          <w:noProof/>
          <w:lang w:val="es-ES"/>
        </w:rPr>
      </w:pPr>
      <w:r>
        <w:rPr>
          <w:noProof/>
          <w:lang w:val="es-ES"/>
        </w:rPr>
        <w:t>7.</w:t>
      </w:r>
      <w:r>
        <w:rPr>
          <w:noProof/>
          <w:lang w:val="es-ES"/>
        </w:rPr>
        <w:tab/>
      </w:r>
      <w:r w:rsidR="007F1FA4" w:rsidRPr="00064323">
        <w:rPr>
          <w:noProof/>
          <w:lang w:val="es-ES"/>
        </w:rPr>
        <w:t>Se invita al Comité Permanente a examinar y aceptar los estados financieros auditados de 2021 (Anexo 1). Los estados financieros auditados completos de 2021, incluidas las notas y el dictamen de los auditores, han sido publicados en el sitio web de la Convención</w:t>
      </w:r>
      <w:r w:rsidR="007F1FA4" w:rsidRPr="00800F14">
        <w:footnoteReference w:id="1"/>
      </w:r>
      <w:r w:rsidR="007F1FA4" w:rsidRPr="00064323">
        <w:rPr>
          <w:noProof/>
          <w:lang w:val="es-ES"/>
        </w:rPr>
        <w:t>.</w:t>
      </w:r>
    </w:p>
    <w:p w14:paraId="5A5A0238" w14:textId="77777777" w:rsidR="004C6D8E" w:rsidRPr="00064323" w:rsidRDefault="004C6D8E" w:rsidP="00162710">
      <w:pPr>
        <w:rPr>
          <w:noProof/>
          <w:lang w:val="es-ES"/>
        </w:rPr>
      </w:pPr>
    </w:p>
    <w:p w14:paraId="4A6F0CBF" w14:textId="591BCE78" w:rsidR="00EB48B9" w:rsidRPr="00064323" w:rsidRDefault="00EC4FE8" w:rsidP="00EB48B9">
      <w:pPr>
        <w:rPr>
          <w:noProof/>
          <w:lang w:val="es-ES"/>
        </w:rPr>
      </w:pPr>
      <w:r w:rsidRPr="00064323">
        <w:rPr>
          <w:noProof/>
          <w:lang w:val="es-ES"/>
        </w:rPr>
        <w:t>8</w:t>
      </w:r>
      <w:r w:rsidR="004C6D8E" w:rsidRPr="00064323">
        <w:rPr>
          <w:noProof/>
          <w:lang w:val="es-ES"/>
        </w:rPr>
        <w:t>.</w:t>
      </w:r>
      <w:r w:rsidR="004C6D8E" w:rsidRPr="00064323">
        <w:rPr>
          <w:noProof/>
          <w:lang w:val="es-ES"/>
        </w:rPr>
        <w:tab/>
      </w:r>
      <w:r w:rsidR="00EB48B9" w:rsidRPr="00064323">
        <w:rPr>
          <w:noProof/>
          <w:lang w:val="es-ES"/>
        </w:rPr>
        <w:t xml:space="preserve">A finales de 2021, el saldo del presupuesto básico era de 2 798 000 francos suizos. Esto incluía 767 000 francos suizos de fondos </w:t>
      </w:r>
      <w:r w:rsidR="00AB4965" w:rsidRPr="00064323">
        <w:rPr>
          <w:noProof/>
          <w:lang w:val="es-ES"/>
        </w:rPr>
        <w:t>previamente comprometidos</w:t>
      </w:r>
      <w:r w:rsidR="00EB48B9" w:rsidRPr="00064323">
        <w:rPr>
          <w:noProof/>
          <w:lang w:val="es-ES"/>
        </w:rPr>
        <w:t xml:space="preserve"> o </w:t>
      </w:r>
      <w:r w:rsidR="00AB4965" w:rsidRPr="00064323">
        <w:rPr>
          <w:noProof/>
          <w:lang w:val="es-ES"/>
        </w:rPr>
        <w:t>previstos</w:t>
      </w:r>
      <w:r w:rsidR="00EB48B9" w:rsidRPr="00064323">
        <w:rPr>
          <w:noProof/>
          <w:lang w:val="es-ES"/>
        </w:rPr>
        <w:t xml:space="preserve"> </w:t>
      </w:r>
      <w:r w:rsidR="00E64C99">
        <w:rPr>
          <w:noProof/>
          <w:lang w:val="es-ES"/>
        </w:rPr>
        <w:t>de</w:t>
      </w:r>
      <w:r w:rsidR="00EB48B9" w:rsidRPr="00064323">
        <w:rPr>
          <w:noProof/>
          <w:lang w:val="es-ES"/>
        </w:rPr>
        <w:t xml:space="preserve"> 2021</w:t>
      </w:r>
      <w:r w:rsidR="00E64C99">
        <w:rPr>
          <w:noProof/>
          <w:lang w:val="es-ES"/>
        </w:rPr>
        <w:t xml:space="preserve"> a gastar en 2022</w:t>
      </w:r>
      <w:r w:rsidR="00EB48B9" w:rsidRPr="00064323">
        <w:rPr>
          <w:noProof/>
          <w:lang w:val="es-ES"/>
        </w:rPr>
        <w:t xml:space="preserve">, </w:t>
      </w:r>
      <w:r w:rsidR="00505FF9" w:rsidRPr="00064323">
        <w:rPr>
          <w:noProof/>
          <w:lang w:val="es-ES"/>
        </w:rPr>
        <w:t>así como</w:t>
      </w:r>
      <w:r w:rsidR="00EB48B9" w:rsidRPr="00064323">
        <w:rPr>
          <w:noProof/>
          <w:lang w:val="es-ES"/>
        </w:rPr>
        <w:t xml:space="preserve"> 2</w:t>
      </w:r>
      <w:r w:rsidR="00505FF9" w:rsidRPr="00064323">
        <w:rPr>
          <w:noProof/>
          <w:lang w:val="es-ES"/>
        </w:rPr>
        <w:t xml:space="preserve"> </w:t>
      </w:r>
      <w:r w:rsidR="00EB48B9" w:rsidRPr="00064323">
        <w:rPr>
          <w:noProof/>
          <w:lang w:val="es-ES"/>
        </w:rPr>
        <w:t>042</w:t>
      </w:r>
      <w:r w:rsidR="00505FF9" w:rsidRPr="00064323">
        <w:rPr>
          <w:noProof/>
          <w:lang w:val="es-ES"/>
        </w:rPr>
        <w:t xml:space="preserve"> </w:t>
      </w:r>
      <w:r w:rsidR="00EB48B9" w:rsidRPr="00064323">
        <w:rPr>
          <w:noProof/>
          <w:lang w:val="es-ES"/>
        </w:rPr>
        <w:t xml:space="preserve">000 </w:t>
      </w:r>
      <w:r w:rsidR="00E64C99">
        <w:rPr>
          <w:noProof/>
          <w:lang w:val="es-ES"/>
        </w:rPr>
        <w:t>francos suizos</w:t>
      </w:r>
      <w:r w:rsidR="00EB48B9" w:rsidRPr="00064323">
        <w:rPr>
          <w:noProof/>
          <w:lang w:val="es-ES"/>
        </w:rPr>
        <w:t xml:space="preserve"> de ahorros, menos el déficit neto de ingresos de 10</w:t>
      </w:r>
      <w:r w:rsidR="00505FF9" w:rsidRPr="00064323">
        <w:rPr>
          <w:noProof/>
          <w:lang w:val="es-ES"/>
        </w:rPr>
        <w:t xml:space="preserve"> </w:t>
      </w:r>
      <w:r w:rsidR="00EB48B9" w:rsidRPr="00064323">
        <w:rPr>
          <w:noProof/>
          <w:lang w:val="es-ES"/>
        </w:rPr>
        <w:t xml:space="preserve">000 </w:t>
      </w:r>
      <w:r w:rsidR="00505FF9" w:rsidRPr="00064323">
        <w:rPr>
          <w:noProof/>
          <w:lang w:val="es-ES"/>
        </w:rPr>
        <w:t>francos suizos</w:t>
      </w:r>
      <w:r w:rsidR="00EB48B9" w:rsidRPr="00064323">
        <w:rPr>
          <w:noProof/>
          <w:lang w:val="es-ES"/>
        </w:rPr>
        <w:t xml:space="preserve">. El </w:t>
      </w:r>
      <w:r w:rsidR="00505FF9" w:rsidRPr="00064323">
        <w:rPr>
          <w:noProof/>
          <w:lang w:val="es-ES"/>
        </w:rPr>
        <w:t>C</w:t>
      </w:r>
      <w:r w:rsidR="00EB48B9" w:rsidRPr="00064323">
        <w:rPr>
          <w:noProof/>
          <w:lang w:val="es-ES"/>
        </w:rPr>
        <w:t xml:space="preserve">uadro 1 que figura a continuación ofrece un resumen </w:t>
      </w:r>
      <w:r w:rsidR="00E64C99">
        <w:rPr>
          <w:noProof/>
          <w:lang w:val="es-ES"/>
        </w:rPr>
        <w:t>del presupuesto básico</w:t>
      </w:r>
      <w:r w:rsidR="00EB48B9" w:rsidRPr="00064323">
        <w:rPr>
          <w:noProof/>
          <w:lang w:val="es-ES"/>
        </w:rPr>
        <w:t xml:space="preserve"> </w:t>
      </w:r>
      <w:r w:rsidR="00505FF9" w:rsidRPr="00064323">
        <w:rPr>
          <w:noProof/>
          <w:lang w:val="es-ES"/>
        </w:rPr>
        <w:t xml:space="preserve">previamente comprometido o previsto </w:t>
      </w:r>
      <w:r w:rsidR="00F8799E">
        <w:rPr>
          <w:noProof/>
          <w:lang w:val="es-ES"/>
        </w:rPr>
        <w:t>de</w:t>
      </w:r>
      <w:r w:rsidR="00505FF9" w:rsidRPr="00064323">
        <w:rPr>
          <w:noProof/>
          <w:lang w:val="es-ES"/>
        </w:rPr>
        <w:t xml:space="preserve"> </w:t>
      </w:r>
      <w:r w:rsidR="00EB48B9" w:rsidRPr="00064323">
        <w:rPr>
          <w:noProof/>
          <w:lang w:val="es-ES"/>
        </w:rPr>
        <w:t xml:space="preserve">2021 </w:t>
      </w:r>
      <w:r w:rsidR="00E64C99">
        <w:rPr>
          <w:noProof/>
          <w:lang w:val="es-ES"/>
        </w:rPr>
        <w:t>a gastar en</w:t>
      </w:r>
      <w:r w:rsidR="00EB48B9" w:rsidRPr="00064323">
        <w:rPr>
          <w:noProof/>
          <w:lang w:val="es-ES"/>
        </w:rPr>
        <w:t xml:space="preserve"> 2022 y los ahorros del presupuesto básico del trienio 2019-2021. Es importante señalar que el importe de los ahorros se debe en su mayor parte a los fondos acumulados no </w:t>
      </w:r>
      <w:r w:rsidR="00F8799E">
        <w:rPr>
          <w:noProof/>
          <w:lang w:val="es-ES"/>
        </w:rPr>
        <w:t>gastados</w:t>
      </w:r>
      <w:r w:rsidR="00EB48B9" w:rsidRPr="00064323">
        <w:rPr>
          <w:noProof/>
          <w:lang w:val="es-ES"/>
        </w:rPr>
        <w:t xml:space="preserve"> que se </w:t>
      </w:r>
      <w:r w:rsidR="00F8799E">
        <w:rPr>
          <w:noProof/>
          <w:lang w:val="es-ES"/>
        </w:rPr>
        <w:t>transfirieron al año siguiente</w:t>
      </w:r>
      <w:r w:rsidR="00EB48B9" w:rsidRPr="00064323">
        <w:rPr>
          <w:noProof/>
          <w:lang w:val="es-ES"/>
        </w:rPr>
        <w:t xml:space="preserve"> </w:t>
      </w:r>
      <w:r w:rsidR="00F8799E">
        <w:rPr>
          <w:noProof/>
          <w:lang w:val="es-ES"/>
        </w:rPr>
        <w:t xml:space="preserve">dentro </w:t>
      </w:r>
      <w:r w:rsidR="00F8799E">
        <w:rPr>
          <w:noProof/>
          <w:lang w:val="es-ES"/>
        </w:rPr>
        <w:lastRenderedPageBreak/>
        <w:t>del</w:t>
      </w:r>
      <w:r w:rsidR="00EB48B9" w:rsidRPr="00064323">
        <w:rPr>
          <w:noProof/>
          <w:lang w:val="es-ES"/>
        </w:rPr>
        <w:t xml:space="preserve"> trienio 2019-2021 </w:t>
      </w:r>
      <w:r w:rsidR="00F8799E">
        <w:rPr>
          <w:noProof/>
          <w:lang w:val="es-ES"/>
        </w:rPr>
        <w:t>con arreglo a</w:t>
      </w:r>
      <w:r w:rsidR="00EB48B9" w:rsidRPr="00064323">
        <w:rPr>
          <w:noProof/>
          <w:lang w:val="es-ES"/>
        </w:rPr>
        <w:t xml:space="preserve"> la Decisión SC57-50 </w:t>
      </w:r>
      <w:r w:rsidR="00505FF9" w:rsidRPr="00064323">
        <w:rPr>
          <w:noProof/>
          <w:lang w:val="es-ES"/>
        </w:rPr>
        <w:t>del Comité Permanente</w:t>
      </w:r>
      <w:r w:rsidR="00505FF9" w:rsidRPr="00064323">
        <w:rPr>
          <w:rStyle w:val="FootnoteReference"/>
          <w:noProof/>
          <w:lang w:val="es-ES"/>
        </w:rPr>
        <w:footnoteReference w:id="2"/>
      </w:r>
      <w:r w:rsidR="00EB48B9" w:rsidRPr="00064323">
        <w:rPr>
          <w:noProof/>
          <w:lang w:val="es-ES"/>
        </w:rPr>
        <w:t xml:space="preserve">, </w:t>
      </w:r>
      <w:r w:rsidR="002D4D68">
        <w:rPr>
          <w:noProof/>
          <w:lang w:val="es-ES"/>
        </w:rPr>
        <w:t>sobre todo</w:t>
      </w:r>
      <w:r w:rsidR="00EB48B9" w:rsidRPr="00064323">
        <w:rPr>
          <w:noProof/>
          <w:lang w:val="es-ES"/>
        </w:rPr>
        <w:t xml:space="preserve"> debido a la pandemia </w:t>
      </w:r>
      <w:r w:rsidR="00181928" w:rsidRPr="00064323">
        <w:rPr>
          <w:noProof/>
          <w:lang w:val="es-ES"/>
        </w:rPr>
        <w:t xml:space="preserve">del </w:t>
      </w:r>
      <w:r w:rsidR="00EB48B9" w:rsidRPr="00064323">
        <w:rPr>
          <w:noProof/>
          <w:lang w:val="es-ES"/>
        </w:rPr>
        <w:t>COVID-19.</w:t>
      </w:r>
    </w:p>
    <w:p w14:paraId="1C5C2D13" w14:textId="37452BBC" w:rsidR="00F64D2D" w:rsidRPr="00064323" w:rsidRDefault="00F64D2D" w:rsidP="00473A2B">
      <w:pPr>
        <w:ind w:left="0" w:firstLine="0"/>
        <w:rPr>
          <w:noProof/>
          <w:lang w:val="es-ES"/>
        </w:rPr>
      </w:pPr>
    </w:p>
    <w:p w14:paraId="1739ED9F" w14:textId="1ACCB075" w:rsidR="00163F72" w:rsidRPr="00064323" w:rsidRDefault="00404EAB" w:rsidP="00207EE0">
      <w:pPr>
        <w:ind w:left="0" w:firstLine="0"/>
        <w:rPr>
          <w:rFonts w:eastAsia="Times New Roman" w:cs="Calibri"/>
          <w:noProof/>
          <w:color w:val="000000"/>
          <w:sz w:val="20"/>
          <w:szCs w:val="20"/>
          <w:lang w:val="es-ES"/>
        </w:rPr>
      </w:pPr>
      <w:r w:rsidRPr="00064323">
        <w:rPr>
          <w:i/>
          <w:noProof/>
          <w:lang w:val="es-ES"/>
        </w:rPr>
        <w:t xml:space="preserve">Cuadro 1: Resumen de los fondos previamente comprometidos </w:t>
      </w:r>
      <w:r w:rsidR="00207EE0" w:rsidRPr="00064323">
        <w:rPr>
          <w:i/>
          <w:noProof/>
          <w:lang w:val="es-ES"/>
        </w:rPr>
        <w:t>y los ahorros</w:t>
      </w:r>
      <w:r w:rsidRPr="00064323">
        <w:rPr>
          <w:i/>
          <w:noProof/>
          <w:lang w:val="es-ES"/>
        </w:rPr>
        <w:t xml:space="preserve"> del presupuesto </w:t>
      </w:r>
      <w:r w:rsidR="00207EE0" w:rsidRPr="00064323">
        <w:rPr>
          <w:i/>
          <w:noProof/>
          <w:lang w:val="es-ES"/>
        </w:rPr>
        <w:t>del trienio 2019-</w:t>
      </w:r>
      <w:r w:rsidRPr="00064323">
        <w:rPr>
          <w:i/>
          <w:noProof/>
          <w:lang w:val="es-ES"/>
        </w:rPr>
        <w:t>202</w:t>
      </w:r>
      <w:r w:rsidR="00207EE0" w:rsidRPr="00064323">
        <w:rPr>
          <w:i/>
          <w:noProof/>
          <w:lang w:val="es-ES"/>
        </w:rPr>
        <w:t>1</w:t>
      </w:r>
      <w:r w:rsidRPr="00064323">
        <w:rPr>
          <w:i/>
          <w:noProof/>
          <w:lang w:val="es-ES"/>
        </w:rPr>
        <w:t xml:space="preserve"> (en miles de francos suizos, con posibles diferencias de redondeo)</w:t>
      </w:r>
    </w:p>
    <w:tbl>
      <w:tblPr>
        <w:tblW w:w="9498" w:type="dxa"/>
        <w:tblInd w:w="-5" w:type="dxa"/>
        <w:tblLayout w:type="fixed"/>
        <w:tblLook w:val="04A0" w:firstRow="1" w:lastRow="0" w:firstColumn="1" w:lastColumn="0" w:noHBand="0" w:noVBand="1"/>
      </w:tblPr>
      <w:tblGrid>
        <w:gridCol w:w="1560"/>
        <w:gridCol w:w="1370"/>
        <w:gridCol w:w="1370"/>
        <w:gridCol w:w="1370"/>
        <w:gridCol w:w="3828"/>
      </w:tblGrid>
      <w:tr w:rsidR="006712F6" w:rsidRPr="001441B9" w14:paraId="5528CFB5" w14:textId="77777777" w:rsidTr="0017480B">
        <w:trPr>
          <w:cantSplit/>
          <w:tblHeader/>
        </w:trPr>
        <w:tc>
          <w:tcPr>
            <w:tcW w:w="1560"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245DBDB0" w14:textId="41036C8F" w:rsidR="006712F6" w:rsidRPr="00064323" w:rsidRDefault="006712F6" w:rsidP="006712F6">
            <w:pPr>
              <w:ind w:left="0" w:firstLine="0"/>
              <w:jc w:val="center"/>
              <w:rPr>
                <w:rFonts w:eastAsia="Times New Roman" w:cs="Calibri"/>
                <w:b/>
                <w:bCs/>
                <w:noProof/>
                <w:color w:val="000000"/>
                <w:sz w:val="20"/>
                <w:szCs w:val="20"/>
                <w:lang w:val="es-ES" w:eastAsia="en-GB"/>
              </w:rPr>
            </w:pPr>
            <w:r w:rsidRPr="00064323">
              <w:rPr>
                <w:rFonts w:eastAsia="Times New Roman" w:cs="Calibri"/>
                <w:b/>
                <w:bCs/>
                <w:noProof/>
                <w:color w:val="000000"/>
                <w:sz w:val="20"/>
                <w:szCs w:val="20"/>
                <w:lang w:val="es-ES" w:eastAsia="en-GB"/>
              </w:rPr>
              <w:t>Categor</w:t>
            </w:r>
            <w:r w:rsidR="00710D52" w:rsidRPr="00064323">
              <w:rPr>
                <w:rFonts w:eastAsia="Times New Roman" w:cs="Calibri"/>
                <w:b/>
                <w:bCs/>
                <w:noProof/>
                <w:color w:val="000000"/>
                <w:sz w:val="20"/>
                <w:szCs w:val="20"/>
                <w:lang w:val="es-ES" w:eastAsia="en-GB"/>
              </w:rPr>
              <w:t>ía</w:t>
            </w:r>
            <w:r w:rsidRPr="00064323">
              <w:rPr>
                <w:rFonts w:eastAsia="Times New Roman" w:cs="Calibri"/>
                <w:b/>
                <w:bCs/>
                <w:noProof/>
                <w:color w:val="000000"/>
                <w:sz w:val="20"/>
                <w:szCs w:val="20"/>
                <w:lang w:val="es-ES" w:eastAsia="en-GB"/>
              </w:rPr>
              <w:t xml:space="preserve"> </w:t>
            </w:r>
            <w:r w:rsidR="00710D52" w:rsidRPr="00064323">
              <w:rPr>
                <w:rFonts w:eastAsia="Times New Roman" w:cs="Calibri"/>
                <w:b/>
                <w:bCs/>
                <w:noProof/>
                <w:color w:val="000000"/>
                <w:sz w:val="20"/>
                <w:szCs w:val="20"/>
                <w:lang w:val="es-ES" w:eastAsia="en-GB"/>
              </w:rPr>
              <w:t>o</w:t>
            </w:r>
            <w:r w:rsidRPr="00064323">
              <w:rPr>
                <w:rFonts w:eastAsia="Times New Roman" w:cs="Calibri"/>
                <w:b/>
                <w:bCs/>
                <w:noProof/>
                <w:color w:val="000000"/>
                <w:sz w:val="20"/>
                <w:szCs w:val="20"/>
                <w:lang w:val="es-ES" w:eastAsia="en-GB"/>
              </w:rPr>
              <w:t xml:space="preserve"> </w:t>
            </w:r>
            <w:r w:rsidR="00710D52" w:rsidRPr="00064323">
              <w:rPr>
                <w:rFonts w:eastAsia="Times New Roman" w:cs="Calibri"/>
                <w:b/>
                <w:bCs/>
                <w:noProof/>
                <w:color w:val="000000"/>
                <w:sz w:val="20"/>
                <w:szCs w:val="20"/>
                <w:lang w:val="es-ES" w:eastAsia="en-GB"/>
              </w:rPr>
              <w:t>d</w:t>
            </w:r>
            <w:r w:rsidRPr="00064323">
              <w:rPr>
                <w:rFonts w:eastAsia="Times New Roman" w:cs="Calibri"/>
                <w:b/>
                <w:bCs/>
                <w:noProof/>
                <w:color w:val="000000"/>
                <w:sz w:val="20"/>
                <w:szCs w:val="20"/>
                <w:lang w:val="es-ES" w:eastAsia="en-GB"/>
              </w:rPr>
              <w:t>epart</w:t>
            </w:r>
            <w:r w:rsidR="00710D52" w:rsidRPr="00064323">
              <w:rPr>
                <w:rFonts w:eastAsia="Times New Roman" w:cs="Calibri"/>
                <w:b/>
                <w:bCs/>
                <w:noProof/>
                <w:color w:val="000000"/>
                <w:sz w:val="20"/>
                <w:szCs w:val="20"/>
                <w:lang w:val="es-ES" w:eastAsia="en-GB"/>
              </w:rPr>
              <w:t>a</w:t>
            </w:r>
            <w:r w:rsidRPr="00064323">
              <w:rPr>
                <w:rFonts w:eastAsia="Times New Roman" w:cs="Calibri"/>
                <w:b/>
                <w:bCs/>
                <w:noProof/>
                <w:color w:val="000000"/>
                <w:sz w:val="20"/>
                <w:szCs w:val="20"/>
                <w:lang w:val="es-ES" w:eastAsia="en-GB"/>
              </w:rPr>
              <w:t>ment</w:t>
            </w:r>
            <w:r w:rsidR="00710D52" w:rsidRPr="00064323">
              <w:rPr>
                <w:rFonts w:eastAsia="Times New Roman" w:cs="Calibri"/>
                <w:b/>
                <w:bCs/>
                <w:noProof/>
                <w:color w:val="000000"/>
                <w:sz w:val="20"/>
                <w:szCs w:val="20"/>
                <w:lang w:val="es-ES" w:eastAsia="en-GB"/>
              </w:rPr>
              <w:t>o</w:t>
            </w:r>
          </w:p>
        </w:tc>
        <w:tc>
          <w:tcPr>
            <w:tcW w:w="1370" w:type="dxa"/>
            <w:tcBorders>
              <w:top w:val="single" w:sz="4" w:space="0" w:color="auto"/>
              <w:left w:val="nil"/>
              <w:bottom w:val="single" w:sz="4" w:space="0" w:color="auto"/>
              <w:right w:val="single" w:sz="4" w:space="0" w:color="auto"/>
            </w:tcBorders>
            <w:shd w:val="clear" w:color="000000" w:fill="DBE5F1"/>
            <w:vAlign w:val="center"/>
            <w:hideMark/>
          </w:tcPr>
          <w:p w14:paraId="3B42C302" w14:textId="7E7CC5E3" w:rsidR="006712F6" w:rsidRPr="00064323" w:rsidRDefault="00710D52" w:rsidP="00800F14">
            <w:pPr>
              <w:ind w:left="0" w:firstLine="0"/>
              <w:jc w:val="center"/>
              <w:rPr>
                <w:rFonts w:eastAsia="Times New Roman" w:cs="Calibri"/>
                <w:b/>
                <w:bCs/>
                <w:noProof/>
                <w:sz w:val="20"/>
                <w:szCs w:val="20"/>
                <w:lang w:val="es-ES" w:eastAsia="en-GB"/>
              </w:rPr>
            </w:pPr>
            <w:r w:rsidRPr="00064323">
              <w:rPr>
                <w:rFonts w:eastAsia="Times New Roman" w:cs="Calibri"/>
                <w:b/>
                <w:bCs/>
                <w:noProof/>
                <w:sz w:val="20"/>
                <w:szCs w:val="20"/>
                <w:lang w:val="es-ES" w:eastAsia="en-GB"/>
              </w:rPr>
              <w:t>Fondos previamente comprometidos o previstos de</w:t>
            </w:r>
            <w:r w:rsidR="006712F6" w:rsidRPr="00064323">
              <w:rPr>
                <w:rFonts w:eastAsia="Times New Roman" w:cs="Calibri"/>
                <w:b/>
                <w:bCs/>
                <w:noProof/>
                <w:sz w:val="20"/>
                <w:szCs w:val="20"/>
                <w:lang w:val="es-ES" w:eastAsia="en-GB"/>
              </w:rPr>
              <w:t xml:space="preserve"> </w:t>
            </w:r>
            <w:r w:rsidR="00782369" w:rsidRPr="00064323">
              <w:rPr>
                <w:rFonts w:eastAsia="Times New Roman" w:cs="Calibri"/>
                <w:b/>
                <w:bCs/>
                <w:noProof/>
                <w:sz w:val="20"/>
                <w:szCs w:val="20"/>
                <w:lang w:val="es-ES" w:eastAsia="en-GB"/>
              </w:rPr>
              <w:t xml:space="preserve">2021 </w:t>
            </w:r>
            <w:r w:rsidRPr="00064323">
              <w:rPr>
                <w:rFonts w:eastAsia="Times New Roman" w:cs="Calibri"/>
                <w:b/>
                <w:bCs/>
                <w:noProof/>
                <w:sz w:val="20"/>
                <w:szCs w:val="20"/>
                <w:lang w:val="es-ES" w:eastAsia="en-GB"/>
              </w:rPr>
              <w:t xml:space="preserve">a </w:t>
            </w:r>
            <w:r w:rsidR="00181928" w:rsidRPr="00064323">
              <w:rPr>
                <w:rFonts w:eastAsia="Times New Roman" w:cs="Calibri"/>
                <w:b/>
                <w:bCs/>
                <w:noProof/>
                <w:sz w:val="20"/>
                <w:szCs w:val="20"/>
                <w:lang w:val="es-ES" w:eastAsia="en-GB"/>
              </w:rPr>
              <w:t>gastar</w:t>
            </w:r>
            <w:r w:rsidRPr="00064323">
              <w:rPr>
                <w:rFonts w:eastAsia="Times New Roman" w:cs="Calibri"/>
                <w:b/>
                <w:bCs/>
                <w:noProof/>
                <w:sz w:val="20"/>
                <w:szCs w:val="20"/>
                <w:lang w:val="es-ES" w:eastAsia="en-GB"/>
              </w:rPr>
              <w:t xml:space="preserve"> en</w:t>
            </w:r>
            <w:r w:rsidR="006712F6" w:rsidRPr="00064323">
              <w:rPr>
                <w:rFonts w:eastAsia="Times New Roman" w:cs="Calibri"/>
                <w:b/>
                <w:bCs/>
                <w:noProof/>
                <w:sz w:val="20"/>
                <w:szCs w:val="20"/>
                <w:lang w:val="es-ES" w:eastAsia="en-GB"/>
              </w:rPr>
              <w:t xml:space="preserve"> </w:t>
            </w:r>
            <w:r w:rsidR="00782369" w:rsidRPr="00064323">
              <w:rPr>
                <w:rFonts w:eastAsia="Times New Roman" w:cs="Calibri"/>
                <w:b/>
                <w:bCs/>
                <w:noProof/>
                <w:sz w:val="20"/>
                <w:szCs w:val="20"/>
                <w:lang w:val="es-ES" w:eastAsia="en-GB"/>
              </w:rPr>
              <w:t xml:space="preserve">2022 </w:t>
            </w:r>
            <w:r w:rsidR="006712F6" w:rsidRPr="00064323">
              <w:rPr>
                <w:rFonts w:eastAsia="Times New Roman" w:cs="Calibri"/>
                <w:b/>
                <w:bCs/>
                <w:noProof/>
                <w:sz w:val="20"/>
                <w:szCs w:val="20"/>
                <w:lang w:val="es-ES" w:eastAsia="en-GB"/>
              </w:rPr>
              <w:t>(A)</w:t>
            </w:r>
          </w:p>
        </w:tc>
        <w:tc>
          <w:tcPr>
            <w:tcW w:w="1370" w:type="dxa"/>
            <w:tcBorders>
              <w:top w:val="single" w:sz="4" w:space="0" w:color="auto"/>
              <w:left w:val="nil"/>
              <w:bottom w:val="single" w:sz="4" w:space="0" w:color="auto"/>
              <w:right w:val="single" w:sz="4" w:space="0" w:color="auto"/>
            </w:tcBorders>
            <w:shd w:val="clear" w:color="000000" w:fill="DBE5F1"/>
            <w:vAlign w:val="center"/>
            <w:hideMark/>
          </w:tcPr>
          <w:p w14:paraId="0B3FF4CD" w14:textId="21C8D40E" w:rsidR="006712F6" w:rsidRPr="00064323" w:rsidRDefault="00710D52" w:rsidP="00FB0D9D">
            <w:pPr>
              <w:ind w:left="0" w:firstLine="0"/>
              <w:jc w:val="center"/>
              <w:rPr>
                <w:rFonts w:eastAsia="Times New Roman" w:cs="Calibri"/>
                <w:b/>
                <w:bCs/>
                <w:noProof/>
                <w:sz w:val="20"/>
                <w:szCs w:val="20"/>
                <w:lang w:val="es-ES" w:eastAsia="en-GB"/>
              </w:rPr>
            </w:pPr>
            <w:r w:rsidRPr="00064323">
              <w:rPr>
                <w:rFonts w:eastAsia="Times New Roman" w:cs="Calibri"/>
                <w:b/>
                <w:bCs/>
                <w:noProof/>
                <w:sz w:val="20"/>
                <w:szCs w:val="20"/>
                <w:lang w:val="es-ES" w:eastAsia="en-GB"/>
              </w:rPr>
              <w:t>Ahorros</w:t>
            </w:r>
            <w:r w:rsidR="0065726C" w:rsidRPr="00064323">
              <w:rPr>
                <w:rFonts w:eastAsia="Times New Roman" w:cs="Calibri"/>
                <w:b/>
                <w:bCs/>
                <w:noProof/>
                <w:sz w:val="20"/>
                <w:szCs w:val="20"/>
                <w:lang w:val="es-ES" w:eastAsia="en-GB"/>
              </w:rPr>
              <w:t xml:space="preserve"> </w:t>
            </w:r>
            <w:r w:rsidR="00181928" w:rsidRPr="00064323">
              <w:rPr>
                <w:rFonts w:eastAsia="Times New Roman" w:cs="Calibri"/>
                <w:b/>
                <w:bCs/>
                <w:noProof/>
                <w:sz w:val="20"/>
                <w:szCs w:val="20"/>
                <w:lang w:val="es-ES" w:eastAsia="en-GB"/>
              </w:rPr>
              <w:t>2019-</w:t>
            </w:r>
            <w:r w:rsidR="0065726C" w:rsidRPr="00064323">
              <w:rPr>
                <w:rFonts w:eastAsia="Times New Roman" w:cs="Calibri"/>
                <w:b/>
                <w:bCs/>
                <w:noProof/>
                <w:sz w:val="20"/>
                <w:szCs w:val="20"/>
                <w:lang w:val="es-ES" w:eastAsia="en-GB"/>
              </w:rPr>
              <w:t xml:space="preserve">2021 </w:t>
            </w:r>
            <w:r w:rsidR="006712F6" w:rsidRPr="00064323">
              <w:rPr>
                <w:rFonts w:eastAsia="Times New Roman" w:cs="Calibri"/>
                <w:b/>
                <w:bCs/>
                <w:noProof/>
                <w:sz w:val="20"/>
                <w:szCs w:val="20"/>
                <w:lang w:val="es-ES" w:eastAsia="en-GB"/>
              </w:rPr>
              <w:t>(B)</w:t>
            </w:r>
          </w:p>
        </w:tc>
        <w:tc>
          <w:tcPr>
            <w:tcW w:w="1370" w:type="dxa"/>
            <w:tcBorders>
              <w:top w:val="single" w:sz="4" w:space="0" w:color="auto"/>
              <w:left w:val="nil"/>
              <w:bottom w:val="single" w:sz="4" w:space="0" w:color="auto"/>
              <w:right w:val="single" w:sz="4" w:space="0" w:color="auto"/>
            </w:tcBorders>
            <w:shd w:val="clear" w:color="000000" w:fill="DBE5F1"/>
            <w:vAlign w:val="center"/>
            <w:hideMark/>
          </w:tcPr>
          <w:p w14:paraId="2F9F247B" w14:textId="6A56D0B3" w:rsidR="006712F6" w:rsidRPr="00064323" w:rsidRDefault="001C48CC" w:rsidP="00FB0D9D">
            <w:pPr>
              <w:ind w:left="0" w:firstLine="0"/>
              <w:jc w:val="center"/>
              <w:rPr>
                <w:rFonts w:eastAsia="Times New Roman" w:cs="Calibri"/>
                <w:b/>
                <w:bCs/>
                <w:noProof/>
                <w:sz w:val="20"/>
                <w:szCs w:val="20"/>
                <w:lang w:val="es-ES" w:eastAsia="en-GB"/>
              </w:rPr>
            </w:pPr>
            <w:r w:rsidRPr="00064323">
              <w:rPr>
                <w:rFonts w:eastAsia="Times New Roman" w:cs="Calibri"/>
                <w:b/>
                <w:bCs/>
                <w:noProof/>
                <w:sz w:val="20"/>
                <w:szCs w:val="20"/>
                <w:lang w:val="es-ES" w:eastAsia="en-GB"/>
              </w:rPr>
              <w:t xml:space="preserve"> </w:t>
            </w:r>
            <w:r w:rsidR="00710D52" w:rsidRPr="00064323">
              <w:rPr>
                <w:rFonts w:eastAsia="Times New Roman" w:cs="Calibri"/>
                <w:b/>
                <w:bCs/>
                <w:noProof/>
                <w:sz w:val="20"/>
                <w:szCs w:val="20"/>
                <w:lang w:val="es-ES" w:eastAsia="en-GB"/>
              </w:rPr>
              <w:t>Fondos previamente comprometidos de</w:t>
            </w:r>
            <w:r w:rsidR="000C79DC" w:rsidRPr="00064323">
              <w:rPr>
                <w:rFonts w:eastAsia="Times New Roman" w:cs="Calibri"/>
                <w:b/>
                <w:bCs/>
                <w:noProof/>
                <w:sz w:val="20"/>
                <w:szCs w:val="20"/>
                <w:lang w:val="es-ES" w:eastAsia="en-GB"/>
              </w:rPr>
              <w:t xml:space="preserve"> </w:t>
            </w:r>
            <w:r w:rsidR="00E869E4" w:rsidRPr="00064323">
              <w:rPr>
                <w:rFonts w:eastAsia="Times New Roman" w:cs="Calibri"/>
                <w:b/>
                <w:bCs/>
                <w:noProof/>
                <w:sz w:val="20"/>
                <w:szCs w:val="20"/>
                <w:lang w:val="es-ES" w:eastAsia="en-GB"/>
              </w:rPr>
              <w:t xml:space="preserve">2022 </w:t>
            </w:r>
            <w:r w:rsidR="00710D52" w:rsidRPr="00064323">
              <w:rPr>
                <w:rFonts w:eastAsia="Times New Roman" w:cs="Calibri"/>
                <w:b/>
                <w:bCs/>
                <w:noProof/>
                <w:sz w:val="20"/>
                <w:szCs w:val="20"/>
                <w:lang w:val="es-ES" w:eastAsia="en-GB"/>
              </w:rPr>
              <w:t>y ahorros de</w:t>
            </w:r>
            <w:r w:rsidR="00782369" w:rsidRPr="00064323">
              <w:rPr>
                <w:rFonts w:eastAsia="Times New Roman" w:cs="Calibri"/>
                <w:b/>
                <w:bCs/>
                <w:noProof/>
                <w:sz w:val="20"/>
                <w:szCs w:val="20"/>
                <w:lang w:val="es-ES" w:eastAsia="en-GB"/>
              </w:rPr>
              <w:t xml:space="preserve"> </w:t>
            </w:r>
            <w:r w:rsidR="00181928" w:rsidRPr="00064323">
              <w:rPr>
                <w:rFonts w:eastAsia="Times New Roman" w:cs="Calibri"/>
                <w:b/>
                <w:bCs/>
                <w:noProof/>
                <w:sz w:val="20"/>
                <w:szCs w:val="20"/>
                <w:lang w:val="es-ES" w:eastAsia="en-GB"/>
              </w:rPr>
              <w:t>2019-</w:t>
            </w:r>
            <w:r w:rsidR="00E869E4" w:rsidRPr="00064323">
              <w:rPr>
                <w:rFonts w:eastAsia="Times New Roman" w:cs="Calibri"/>
                <w:b/>
                <w:bCs/>
                <w:noProof/>
                <w:sz w:val="20"/>
                <w:szCs w:val="20"/>
                <w:lang w:val="es-ES" w:eastAsia="en-GB"/>
              </w:rPr>
              <w:t>2021</w:t>
            </w:r>
            <w:r w:rsidR="006712F6" w:rsidRPr="00064323">
              <w:rPr>
                <w:rFonts w:eastAsia="Times New Roman" w:cs="Calibri"/>
                <w:b/>
                <w:bCs/>
                <w:noProof/>
                <w:sz w:val="20"/>
                <w:szCs w:val="20"/>
                <w:lang w:val="es-ES" w:eastAsia="en-GB"/>
              </w:rPr>
              <w:t xml:space="preserve"> </w:t>
            </w:r>
            <w:r w:rsidR="006712F6" w:rsidRPr="00064323">
              <w:rPr>
                <w:rFonts w:eastAsia="Times New Roman" w:cs="Calibri"/>
                <w:b/>
                <w:bCs/>
                <w:noProof/>
                <w:sz w:val="20"/>
                <w:szCs w:val="20"/>
                <w:lang w:val="es-ES" w:eastAsia="en-GB"/>
              </w:rPr>
              <w:br/>
              <w:t>(C=A+B)</w:t>
            </w:r>
          </w:p>
        </w:tc>
        <w:tc>
          <w:tcPr>
            <w:tcW w:w="3828" w:type="dxa"/>
            <w:tcBorders>
              <w:top w:val="single" w:sz="4" w:space="0" w:color="auto"/>
              <w:left w:val="nil"/>
              <w:bottom w:val="single" w:sz="4" w:space="0" w:color="auto"/>
              <w:right w:val="single" w:sz="4" w:space="0" w:color="auto"/>
            </w:tcBorders>
            <w:shd w:val="clear" w:color="000000" w:fill="DBE5F1"/>
            <w:noWrap/>
            <w:vAlign w:val="center"/>
            <w:hideMark/>
          </w:tcPr>
          <w:p w14:paraId="07474B85" w14:textId="6045EDC8" w:rsidR="006712F6" w:rsidRPr="00064323" w:rsidRDefault="00710D52" w:rsidP="00FB0D9D">
            <w:pPr>
              <w:ind w:left="0" w:firstLine="0"/>
              <w:jc w:val="center"/>
              <w:rPr>
                <w:rFonts w:eastAsia="Times New Roman" w:cs="Calibri"/>
                <w:b/>
                <w:bCs/>
                <w:noProof/>
                <w:sz w:val="20"/>
                <w:szCs w:val="20"/>
                <w:lang w:val="es-ES" w:eastAsia="en-GB"/>
              </w:rPr>
            </w:pPr>
            <w:r w:rsidRPr="00064323">
              <w:rPr>
                <w:rFonts w:asciiTheme="minorHAnsi" w:hAnsiTheme="minorHAnsi"/>
                <w:b/>
                <w:bCs/>
                <w:noProof/>
                <w:color w:val="000000" w:themeColor="text1"/>
                <w:spacing w:val="-4"/>
                <w:sz w:val="20"/>
                <w:szCs w:val="20"/>
                <w:lang w:val="es-ES"/>
              </w:rPr>
              <w:t>Comentarios sobre los fondos previamente comprometidos</w:t>
            </w:r>
            <w:r w:rsidR="00181928" w:rsidRPr="00064323">
              <w:rPr>
                <w:rFonts w:asciiTheme="minorHAnsi" w:hAnsiTheme="minorHAnsi"/>
                <w:b/>
                <w:bCs/>
                <w:noProof/>
                <w:color w:val="000000" w:themeColor="text1"/>
                <w:spacing w:val="-4"/>
                <w:sz w:val="20"/>
                <w:szCs w:val="20"/>
                <w:lang w:val="es-ES"/>
              </w:rPr>
              <w:t xml:space="preserve"> </w:t>
            </w:r>
            <w:r w:rsidRPr="00064323">
              <w:rPr>
                <w:rFonts w:eastAsia="Times New Roman" w:cs="Calibri"/>
                <w:b/>
                <w:bCs/>
                <w:noProof/>
                <w:sz w:val="20"/>
                <w:szCs w:val="20"/>
                <w:lang w:val="es-ES" w:eastAsia="en-GB"/>
              </w:rPr>
              <w:t>o previstos</w:t>
            </w:r>
            <w:r w:rsidR="00181928" w:rsidRPr="00064323">
              <w:rPr>
                <w:rFonts w:eastAsia="Times New Roman" w:cs="Calibri"/>
                <w:b/>
                <w:bCs/>
                <w:noProof/>
                <w:sz w:val="20"/>
                <w:szCs w:val="20"/>
                <w:lang w:val="es-ES" w:eastAsia="en-GB"/>
              </w:rPr>
              <w:t xml:space="preserve"> </w:t>
            </w:r>
            <w:r w:rsidR="00181928" w:rsidRPr="00064323">
              <w:rPr>
                <w:rFonts w:asciiTheme="minorHAnsi" w:hAnsiTheme="minorHAnsi"/>
                <w:b/>
                <w:bCs/>
                <w:noProof/>
                <w:color w:val="000000" w:themeColor="text1"/>
                <w:spacing w:val="-4"/>
                <w:sz w:val="20"/>
                <w:szCs w:val="20"/>
                <w:lang w:val="es-ES"/>
              </w:rPr>
              <w:t xml:space="preserve">para 2022 </w:t>
            </w:r>
            <w:r w:rsidR="00CE1195" w:rsidRPr="00064323">
              <w:rPr>
                <w:rFonts w:eastAsia="Times New Roman" w:cs="Calibri"/>
                <w:b/>
                <w:bCs/>
                <w:noProof/>
                <w:sz w:val="20"/>
                <w:szCs w:val="20"/>
                <w:lang w:val="es-ES" w:eastAsia="en-GB"/>
              </w:rPr>
              <w:t xml:space="preserve"> </w:t>
            </w:r>
            <w:r w:rsidRPr="00064323">
              <w:rPr>
                <w:rFonts w:eastAsia="Times New Roman" w:cs="Calibri"/>
                <w:b/>
                <w:bCs/>
                <w:noProof/>
                <w:sz w:val="20"/>
                <w:szCs w:val="20"/>
                <w:lang w:val="es-ES" w:eastAsia="en-GB"/>
              </w:rPr>
              <w:t>y los ahorros</w:t>
            </w:r>
            <w:r w:rsidR="00181928" w:rsidRPr="00064323">
              <w:rPr>
                <w:rFonts w:eastAsia="Times New Roman" w:cs="Calibri"/>
                <w:b/>
                <w:bCs/>
                <w:noProof/>
                <w:sz w:val="20"/>
                <w:szCs w:val="20"/>
                <w:lang w:val="es-ES" w:eastAsia="en-GB"/>
              </w:rPr>
              <w:t xml:space="preserve"> de 2019-2021</w:t>
            </w:r>
            <w:r w:rsidR="00830610" w:rsidRPr="00064323">
              <w:rPr>
                <w:rFonts w:eastAsia="Times New Roman" w:cs="Calibri"/>
                <w:b/>
                <w:bCs/>
                <w:noProof/>
                <w:sz w:val="20"/>
                <w:szCs w:val="20"/>
                <w:lang w:val="es-ES" w:eastAsia="en-GB"/>
              </w:rPr>
              <w:t xml:space="preserve"> (como resultado de los fondos </w:t>
            </w:r>
            <w:r w:rsidR="002D4D68">
              <w:rPr>
                <w:rFonts w:eastAsia="Times New Roman" w:cs="Calibri"/>
                <w:b/>
                <w:bCs/>
                <w:noProof/>
                <w:sz w:val="20"/>
                <w:szCs w:val="20"/>
                <w:lang w:val="es-ES" w:eastAsia="en-GB"/>
              </w:rPr>
              <w:t>transferidos al año siguiente</w:t>
            </w:r>
            <w:r w:rsidR="00830610" w:rsidRPr="00064323">
              <w:rPr>
                <w:rFonts w:eastAsia="Times New Roman" w:cs="Calibri"/>
                <w:b/>
                <w:bCs/>
                <w:noProof/>
                <w:sz w:val="20"/>
                <w:szCs w:val="20"/>
                <w:lang w:val="es-ES" w:eastAsia="en-GB"/>
              </w:rPr>
              <w:t xml:space="preserve"> dentro del trienio)</w:t>
            </w:r>
            <w:r w:rsidR="006712F6" w:rsidRPr="00064323">
              <w:rPr>
                <w:rFonts w:eastAsia="Times New Roman" w:cs="Calibri"/>
                <w:b/>
                <w:bCs/>
                <w:noProof/>
                <w:sz w:val="20"/>
                <w:szCs w:val="20"/>
                <w:lang w:val="es-ES" w:eastAsia="en-GB"/>
              </w:rPr>
              <w:t xml:space="preserve"> </w:t>
            </w:r>
          </w:p>
        </w:tc>
      </w:tr>
      <w:tr w:rsidR="006712F6" w:rsidRPr="001441B9" w14:paraId="2271C8DB" w14:textId="77777777" w:rsidTr="0017480B">
        <w:trPr>
          <w:cantSplit/>
        </w:trPr>
        <w:tc>
          <w:tcPr>
            <w:tcW w:w="1560" w:type="dxa"/>
            <w:tcBorders>
              <w:top w:val="nil"/>
              <w:left w:val="single" w:sz="4" w:space="0" w:color="auto"/>
              <w:bottom w:val="single" w:sz="4" w:space="0" w:color="auto"/>
              <w:right w:val="single" w:sz="4" w:space="0" w:color="auto"/>
            </w:tcBorders>
            <w:shd w:val="clear" w:color="auto" w:fill="auto"/>
            <w:noWrap/>
            <w:hideMark/>
          </w:tcPr>
          <w:p w14:paraId="19B53AE8" w14:textId="07182192" w:rsidR="006712F6" w:rsidRPr="00064323" w:rsidRDefault="00830610" w:rsidP="008F7FC4">
            <w:pPr>
              <w:ind w:left="0" w:firstLine="0"/>
              <w:rPr>
                <w:rFonts w:eastAsia="Times New Roman" w:cs="Calibri"/>
                <w:noProof/>
                <w:color w:val="000000"/>
                <w:sz w:val="20"/>
                <w:szCs w:val="20"/>
                <w:lang w:val="es-ES" w:eastAsia="en-GB"/>
              </w:rPr>
            </w:pPr>
            <w:r w:rsidRPr="00064323">
              <w:rPr>
                <w:rFonts w:asciiTheme="minorHAnsi" w:hAnsiTheme="minorHAnsi"/>
                <w:noProof/>
                <w:color w:val="000000" w:themeColor="text1"/>
                <w:sz w:val="20"/>
                <w:szCs w:val="20"/>
                <w:lang w:val="es-ES"/>
              </w:rPr>
              <w:t>Personal directivo y gobernanza</w:t>
            </w:r>
          </w:p>
        </w:tc>
        <w:tc>
          <w:tcPr>
            <w:tcW w:w="1370" w:type="dxa"/>
            <w:tcBorders>
              <w:top w:val="nil"/>
              <w:left w:val="nil"/>
              <w:bottom w:val="single" w:sz="4" w:space="0" w:color="auto"/>
              <w:right w:val="single" w:sz="4" w:space="0" w:color="auto"/>
            </w:tcBorders>
            <w:shd w:val="clear" w:color="auto" w:fill="auto"/>
            <w:hideMark/>
          </w:tcPr>
          <w:p w14:paraId="58A19C30" w14:textId="77777777" w:rsidR="006712F6" w:rsidRPr="00064323" w:rsidRDefault="006712F6" w:rsidP="00FB0D9D">
            <w:pPr>
              <w:ind w:left="0" w:firstLine="0"/>
              <w:jc w:val="right"/>
              <w:rPr>
                <w:rFonts w:eastAsia="Times New Roman" w:cs="Calibri"/>
                <w:noProof/>
                <w:color w:val="000000"/>
                <w:sz w:val="20"/>
                <w:szCs w:val="20"/>
                <w:lang w:val="es-ES" w:eastAsia="en-GB"/>
              </w:rPr>
            </w:pPr>
            <w:r w:rsidRPr="00064323">
              <w:rPr>
                <w:rFonts w:eastAsia="Times New Roman" w:cs="Calibri"/>
                <w:noProof/>
                <w:color w:val="000000"/>
                <w:sz w:val="20"/>
                <w:szCs w:val="20"/>
                <w:lang w:val="es-ES" w:eastAsia="en-GB"/>
              </w:rPr>
              <w:t>0</w:t>
            </w:r>
          </w:p>
        </w:tc>
        <w:tc>
          <w:tcPr>
            <w:tcW w:w="1370" w:type="dxa"/>
            <w:tcBorders>
              <w:top w:val="nil"/>
              <w:left w:val="nil"/>
              <w:bottom w:val="single" w:sz="4" w:space="0" w:color="auto"/>
              <w:right w:val="single" w:sz="4" w:space="0" w:color="auto"/>
            </w:tcBorders>
            <w:shd w:val="clear" w:color="auto" w:fill="auto"/>
            <w:hideMark/>
          </w:tcPr>
          <w:p w14:paraId="4AF1C955" w14:textId="0ECE36E3" w:rsidR="006712F6" w:rsidRPr="00064323" w:rsidRDefault="000C79DC" w:rsidP="00FB0D9D">
            <w:pPr>
              <w:ind w:left="0" w:firstLine="0"/>
              <w:jc w:val="right"/>
              <w:rPr>
                <w:rFonts w:eastAsia="Times New Roman" w:cs="Calibri"/>
                <w:noProof/>
                <w:color w:val="000000"/>
                <w:sz w:val="20"/>
                <w:szCs w:val="20"/>
                <w:lang w:val="es-ES" w:eastAsia="en-GB"/>
              </w:rPr>
            </w:pPr>
            <w:r w:rsidRPr="00064323">
              <w:rPr>
                <w:rFonts w:eastAsia="Times New Roman" w:cs="Calibri"/>
                <w:noProof/>
                <w:color w:val="000000"/>
                <w:sz w:val="20"/>
                <w:szCs w:val="20"/>
                <w:lang w:val="es-ES" w:eastAsia="en-GB"/>
              </w:rPr>
              <w:t>274</w:t>
            </w:r>
          </w:p>
        </w:tc>
        <w:tc>
          <w:tcPr>
            <w:tcW w:w="1370" w:type="dxa"/>
            <w:tcBorders>
              <w:top w:val="nil"/>
              <w:left w:val="nil"/>
              <w:bottom w:val="single" w:sz="4" w:space="0" w:color="auto"/>
              <w:right w:val="single" w:sz="4" w:space="0" w:color="auto"/>
            </w:tcBorders>
            <w:shd w:val="clear" w:color="auto" w:fill="auto"/>
            <w:noWrap/>
            <w:hideMark/>
          </w:tcPr>
          <w:p w14:paraId="38C5B14C" w14:textId="181C4DDA" w:rsidR="006712F6" w:rsidRPr="00064323" w:rsidRDefault="000C79DC" w:rsidP="00FB0D9D">
            <w:pPr>
              <w:ind w:left="0" w:firstLine="0"/>
              <w:jc w:val="right"/>
              <w:rPr>
                <w:rFonts w:eastAsia="Times New Roman" w:cs="Calibri"/>
                <w:noProof/>
                <w:color w:val="000000"/>
                <w:sz w:val="20"/>
                <w:szCs w:val="20"/>
                <w:lang w:val="es-ES" w:eastAsia="en-GB"/>
              </w:rPr>
            </w:pPr>
            <w:r w:rsidRPr="00064323">
              <w:rPr>
                <w:rFonts w:eastAsia="Times New Roman" w:cs="Calibri"/>
                <w:noProof/>
                <w:color w:val="000000"/>
                <w:sz w:val="20"/>
                <w:szCs w:val="20"/>
                <w:lang w:val="es-ES" w:eastAsia="en-GB"/>
              </w:rPr>
              <w:t>274</w:t>
            </w:r>
          </w:p>
        </w:tc>
        <w:tc>
          <w:tcPr>
            <w:tcW w:w="3828" w:type="dxa"/>
            <w:tcBorders>
              <w:top w:val="nil"/>
              <w:left w:val="nil"/>
              <w:bottom w:val="single" w:sz="4" w:space="0" w:color="auto"/>
              <w:right w:val="single" w:sz="4" w:space="0" w:color="auto"/>
            </w:tcBorders>
            <w:shd w:val="clear" w:color="auto" w:fill="auto"/>
            <w:hideMark/>
          </w:tcPr>
          <w:p w14:paraId="132F8E46" w14:textId="04717021" w:rsidR="006712F6" w:rsidRPr="00800F14" w:rsidRDefault="00CB5AD3" w:rsidP="00FB0D9D">
            <w:pPr>
              <w:ind w:left="0" w:firstLine="0"/>
              <w:rPr>
                <w:rFonts w:eastAsia="Times New Roman" w:cs="Calibri"/>
                <w:b/>
                <w:bCs/>
                <w:noProof/>
                <w:color w:val="000000"/>
                <w:sz w:val="20"/>
                <w:szCs w:val="20"/>
                <w:lang w:val="es-ES" w:eastAsia="en-GB"/>
              </w:rPr>
            </w:pPr>
            <w:r w:rsidRPr="00064323">
              <w:rPr>
                <w:rFonts w:eastAsia="Times New Roman" w:cs="Calibri"/>
                <w:b/>
                <w:bCs/>
                <w:noProof/>
                <w:color w:val="000000"/>
                <w:sz w:val="20"/>
                <w:szCs w:val="20"/>
                <w:lang w:val="es-ES" w:eastAsia="en-GB"/>
              </w:rPr>
              <w:t xml:space="preserve">Ahorros: </w:t>
            </w:r>
            <w:r w:rsidRPr="00064323">
              <w:rPr>
                <w:rFonts w:eastAsia="Times New Roman" w:cs="Calibri"/>
                <w:noProof/>
                <w:color w:val="000000"/>
                <w:sz w:val="20"/>
                <w:szCs w:val="20"/>
                <w:lang w:val="es-ES" w:eastAsia="en-GB"/>
              </w:rPr>
              <w:t>(i) puestos vacantes y ajustes en las prestaciones laborales, y (ii) reducción considerable de los viajes a causa de la pandemia.</w:t>
            </w:r>
          </w:p>
        </w:tc>
      </w:tr>
      <w:tr w:rsidR="006712F6" w:rsidRPr="001441B9" w14:paraId="68BC3CB4" w14:textId="77777777" w:rsidTr="0017480B">
        <w:trPr>
          <w:cantSplit/>
        </w:trPr>
        <w:tc>
          <w:tcPr>
            <w:tcW w:w="1560" w:type="dxa"/>
            <w:tcBorders>
              <w:top w:val="nil"/>
              <w:left w:val="single" w:sz="4" w:space="0" w:color="auto"/>
              <w:bottom w:val="single" w:sz="4" w:space="0" w:color="auto"/>
              <w:right w:val="single" w:sz="4" w:space="0" w:color="auto"/>
            </w:tcBorders>
            <w:shd w:val="clear" w:color="auto" w:fill="auto"/>
            <w:noWrap/>
            <w:hideMark/>
          </w:tcPr>
          <w:p w14:paraId="02334098" w14:textId="56FAB631" w:rsidR="006712F6" w:rsidRPr="00064323" w:rsidRDefault="00830610" w:rsidP="008F7FC4">
            <w:pPr>
              <w:ind w:left="0" w:firstLine="0"/>
              <w:rPr>
                <w:rFonts w:eastAsia="Times New Roman" w:cs="Calibri"/>
                <w:noProof/>
                <w:color w:val="000000"/>
                <w:sz w:val="20"/>
                <w:szCs w:val="20"/>
                <w:lang w:val="es-ES" w:eastAsia="en-GB"/>
              </w:rPr>
            </w:pPr>
            <w:r w:rsidRPr="00064323">
              <w:rPr>
                <w:rFonts w:asciiTheme="minorHAnsi" w:hAnsiTheme="minorHAnsi"/>
                <w:noProof/>
                <w:color w:val="000000"/>
                <w:sz w:val="20"/>
                <w:szCs w:val="20"/>
                <w:lang w:val="es-ES"/>
              </w:rPr>
              <w:t>Movilización de recursos y promoción</w:t>
            </w:r>
          </w:p>
        </w:tc>
        <w:tc>
          <w:tcPr>
            <w:tcW w:w="1370" w:type="dxa"/>
            <w:tcBorders>
              <w:top w:val="nil"/>
              <w:left w:val="nil"/>
              <w:bottom w:val="single" w:sz="4" w:space="0" w:color="auto"/>
              <w:right w:val="single" w:sz="4" w:space="0" w:color="auto"/>
            </w:tcBorders>
            <w:shd w:val="clear" w:color="auto" w:fill="auto"/>
            <w:noWrap/>
            <w:hideMark/>
          </w:tcPr>
          <w:p w14:paraId="0341C231" w14:textId="79ABA57A" w:rsidR="006712F6" w:rsidRPr="00064323" w:rsidRDefault="000C79DC" w:rsidP="00FB0D9D">
            <w:pPr>
              <w:ind w:left="0" w:firstLine="0"/>
              <w:jc w:val="right"/>
              <w:rPr>
                <w:rFonts w:eastAsia="Times New Roman" w:cs="Calibri"/>
                <w:noProof/>
                <w:sz w:val="20"/>
                <w:szCs w:val="20"/>
                <w:lang w:val="es-ES" w:eastAsia="en-GB"/>
              </w:rPr>
            </w:pPr>
            <w:r w:rsidRPr="00064323">
              <w:rPr>
                <w:rFonts w:eastAsia="Times New Roman" w:cs="Calibri"/>
                <w:noProof/>
                <w:sz w:val="20"/>
                <w:szCs w:val="20"/>
                <w:lang w:val="es-ES" w:eastAsia="en-GB"/>
              </w:rPr>
              <w:t>211</w:t>
            </w:r>
          </w:p>
        </w:tc>
        <w:tc>
          <w:tcPr>
            <w:tcW w:w="1370" w:type="dxa"/>
            <w:tcBorders>
              <w:top w:val="nil"/>
              <w:left w:val="nil"/>
              <w:bottom w:val="single" w:sz="4" w:space="0" w:color="auto"/>
              <w:right w:val="single" w:sz="4" w:space="0" w:color="auto"/>
            </w:tcBorders>
            <w:shd w:val="clear" w:color="auto" w:fill="auto"/>
            <w:noWrap/>
            <w:hideMark/>
          </w:tcPr>
          <w:p w14:paraId="0CC38369" w14:textId="48F836D3" w:rsidR="006712F6" w:rsidRPr="00064323" w:rsidRDefault="000C79DC" w:rsidP="00FB0D9D">
            <w:pPr>
              <w:ind w:left="0" w:firstLine="0"/>
              <w:jc w:val="right"/>
              <w:rPr>
                <w:rFonts w:eastAsia="Times New Roman" w:cs="Calibri"/>
                <w:noProof/>
                <w:sz w:val="20"/>
                <w:szCs w:val="20"/>
                <w:lang w:val="es-ES" w:eastAsia="en-GB"/>
              </w:rPr>
            </w:pPr>
            <w:r w:rsidRPr="00064323">
              <w:rPr>
                <w:rFonts w:eastAsia="Times New Roman" w:cs="Calibri"/>
                <w:noProof/>
                <w:sz w:val="20"/>
                <w:szCs w:val="20"/>
                <w:lang w:val="es-ES" w:eastAsia="en-GB"/>
              </w:rPr>
              <w:t>151</w:t>
            </w:r>
          </w:p>
        </w:tc>
        <w:tc>
          <w:tcPr>
            <w:tcW w:w="1370" w:type="dxa"/>
            <w:tcBorders>
              <w:top w:val="nil"/>
              <w:left w:val="nil"/>
              <w:bottom w:val="single" w:sz="4" w:space="0" w:color="auto"/>
              <w:right w:val="single" w:sz="4" w:space="0" w:color="auto"/>
            </w:tcBorders>
            <w:shd w:val="clear" w:color="auto" w:fill="auto"/>
            <w:noWrap/>
            <w:hideMark/>
          </w:tcPr>
          <w:p w14:paraId="439500B2" w14:textId="755C2014" w:rsidR="006712F6" w:rsidRPr="00064323" w:rsidRDefault="000C79DC" w:rsidP="00FB0D9D">
            <w:pPr>
              <w:ind w:left="0" w:firstLine="0"/>
              <w:jc w:val="right"/>
              <w:rPr>
                <w:rFonts w:eastAsia="Times New Roman" w:cs="Calibri"/>
                <w:noProof/>
                <w:color w:val="000000"/>
                <w:sz w:val="20"/>
                <w:szCs w:val="20"/>
                <w:lang w:val="es-ES" w:eastAsia="en-GB"/>
              </w:rPr>
            </w:pPr>
            <w:r w:rsidRPr="00064323">
              <w:rPr>
                <w:rFonts w:eastAsia="Times New Roman" w:cs="Calibri"/>
                <w:noProof/>
                <w:color w:val="000000"/>
                <w:sz w:val="20"/>
                <w:szCs w:val="20"/>
                <w:lang w:val="es-ES" w:eastAsia="en-GB"/>
              </w:rPr>
              <w:t>362</w:t>
            </w:r>
          </w:p>
        </w:tc>
        <w:tc>
          <w:tcPr>
            <w:tcW w:w="3828" w:type="dxa"/>
            <w:tcBorders>
              <w:top w:val="nil"/>
              <w:left w:val="nil"/>
              <w:bottom w:val="single" w:sz="4" w:space="0" w:color="auto"/>
              <w:right w:val="single" w:sz="4" w:space="0" w:color="auto"/>
            </w:tcBorders>
            <w:shd w:val="clear" w:color="auto" w:fill="auto"/>
            <w:hideMark/>
          </w:tcPr>
          <w:p w14:paraId="0F1F65EE" w14:textId="1B14BEB1" w:rsidR="007E3865" w:rsidRPr="00064323" w:rsidRDefault="002D4D68" w:rsidP="0017480B">
            <w:pPr>
              <w:ind w:left="0" w:firstLine="0"/>
              <w:rPr>
                <w:rFonts w:eastAsia="Times New Roman" w:cs="Calibri"/>
                <w:noProof/>
                <w:color w:val="000000"/>
                <w:sz w:val="20"/>
                <w:szCs w:val="20"/>
                <w:lang w:val="es-ES" w:eastAsia="en-GB"/>
              </w:rPr>
            </w:pPr>
            <w:r>
              <w:rPr>
                <w:rFonts w:eastAsia="Times New Roman" w:cs="Calibri"/>
                <w:b/>
                <w:bCs/>
                <w:noProof/>
                <w:color w:val="000000"/>
                <w:sz w:val="20"/>
                <w:szCs w:val="20"/>
                <w:lang w:val="es-ES" w:eastAsia="en-GB"/>
              </w:rPr>
              <w:t>Previamente comprometidos</w:t>
            </w:r>
            <w:r w:rsidR="00CB5AD3" w:rsidRPr="00064323">
              <w:rPr>
                <w:rFonts w:eastAsia="Times New Roman" w:cs="Calibri"/>
                <w:b/>
                <w:bCs/>
                <w:noProof/>
                <w:color w:val="000000"/>
                <w:sz w:val="20"/>
                <w:szCs w:val="20"/>
                <w:lang w:val="es-ES" w:eastAsia="en-GB"/>
              </w:rPr>
              <w:t xml:space="preserve"> o previstos</w:t>
            </w:r>
            <w:r w:rsidR="006712F6" w:rsidRPr="00064323">
              <w:rPr>
                <w:rFonts w:eastAsia="Times New Roman" w:cs="Calibri"/>
                <w:b/>
                <w:bCs/>
                <w:noProof/>
                <w:color w:val="000000"/>
                <w:sz w:val="20"/>
                <w:szCs w:val="20"/>
                <w:lang w:val="es-ES" w:eastAsia="en-GB"/>
              </w:rPr>
              <w:t>:</w:t>
            </w:r>
            <w:r w:rsidR="006712F6" w:rsidRPr="00064323">
              <w:rPr>
                <w:rFonts w:eastAsia="Times New Roman" w:cs="Calibri"/>
                <w:noProof/>
                <w:color w:val="000000"/>
                <w:sz w:val="20"/>
                <w:szCs w:val="20"/>
                <w:lang w:val="es-ES" w:eastAsia="en-GB"/>
              </w:rPr>
              <w:t xml:space="preserve"> </w:t>
            </w:r>
          </w:p>
          <w:p w14:paraId="1548B683" w14:textId="5E500E45" w:rsidR="007E3865" w:rsidRPr="00064323" w:rsidRDefault="007E3865" w:rsidP="0017480B">
            <w:pPr>
              <w:ind w:left="0" w:firstLine="0"/>
              <w:rPr>
                <w:rFonts w:eastAsia="Times New Roman" w:cs="Calibri"/>
                <w:noProof/>
                <w:color w:val="000000"/>
                <w:sz w:val="20"/>
                <w:szCs w:val="20"/>
                <w:lang w:val="es-ES" w:eastAsia="en-GB"/>
              </w:rPr>
            </w:pPr>
            <w:r w:rsidRPr="00064323">
              <w:rPr>
                <w:rFonts w:eastAsia="Times New Roman" w:cs="Calibri"/>
                <w:noProof/>
                <w:color w:val="000000"/>
                <w:sz w:val="20"/>
                <w:szCs w:val="20"/>
                <w:lang w:val="es-ES" w:eastAsia="en-GB"/>
              </w:rPr>
              <w:t xml:space="preserve">(i) 86 000 por </w:t>
            </w:r>
            <w:r w:rsidR="00FE0815">
              <w:rPr>
                <w:rFonts w:eastAsia="Times New Roman" w:cs="Calibri"/>
                <w:noProof/>
                <w:color w:val="000000"/>
                <w:sz w:val="20"/>
                <w:szCs w:val="20"/>
                <w:lang w:val="es-ES" w:eastAsia="en-GB"/>
              </w:rPr>
              <w:t>remodelación</w:t>
            </w:r>
            <w:r w:rsidRPr="00064323">
              <w:rPr>
                <w:rFonts w:eastAsia="Times New Roman" w:cs="Calibri"/>
                <w:noProof/>
                <w:color w:val="000000"/>
                <w:sz w:val="20"/>
                <w:szCs w:val="20"/>
                <w:lang w:val="es-ES" w:eastAsia="en-GB"/>
              </w:rPr>
              <w:t xml:space="preserve"> </w:t>
            </w:r>
            <w:r w:rsidR="00FE0815">
              <w:rPr>
                <w:rFonts w:eastAsia="Times New Roman" w:cs="Calibri"/>
                <w:noProof/>
                <w:color w:val="000000"/>
                <w:sz w:val="20"/>
                <w:szCs w:val="20"/>
                <w:lang w:val="es-ES" w:eastAsia="en-GB"/>
              </w:rPr>
              <w:t>del sitio</w:t>
            </w:r>
            <w:r w:rsidRPr="00064323">
              <w:rPr>
                <w:rFonts w:eastAsia="Times New Roman" w:cs="Calibri"/>
                <w:noProof/>
                <w:color w:val="000000"/>
                <w:sz w:val="20"/>
                <w:szCs w:val="20"/>
                <w:lang w:val="es-ES" w:eastAsia="en-GB"/>
              </w:rPr>
              <w:t xml:space="preserve"> web, (ii) 12 000 del Día Mundial de los Humedales, (iii) 56 000 del Programa de CECoP, y (iv) 57 000 de comunicaciones, traducciones, publicaciones y ejecución de informes previsto</w:t>
            </w:r>
            <w:r w:rsidR="00F34139">
              <w:rPr>
                <w:rFonts w:eastAsia="Times New Roman" w:cs="Calibri"/>
                <w:noProof/>
                <w:color w:val="000000"/>
                <w:sz w:val="20"/>
                <w:szCs w:val="20"/>
                <w:lang w:val="es-ES" w:eastAsia="en-GB"/>
              </w:rPr>
              <w:t>s,</w:t>
            </w:r>
            <w:r w:rsidRPr="00064323">
              <w:rPr>
                <w:rFonts w:eastAsia="Times New Roman" w:cs="Calibri"/>
                <w:noProof/>
                <w:color w:val="000000"/>
                <w:sz w:val="20"/>
                <w:szCs w:val="20"/>
                <w:lang w:val="es-ES" w:eastAsia="en-GB"/>
              </w:rPr>
              <w:t xml:space="preserve"> para su uso con miras a la COP14.</w:t>
            </w:r>
          </w:p>
          <w:p w14:paraId="46488FAA" w14:textId="4AFB9C7B" w:rsidR="006712F6" w:rsidRPr="00064323" w:rsidRDefault="007E3865" w:rsidP="0017480B">
            <w:pPr>
              <w:ind w:left="0" w:firstLine="0"/>
              <w:rPr>
                <w:rFonts w:eastAsia="Times New Roman" w:cs="Calibri"/>
                <w:noProof/>
                <w:color w:val="000000"/>
                <w:sz w:val="20"/>
                <w:szCs w:val="20"/>
                <w:lang w:val="es-ES" w:eastAsia="en-GB"/>
              </w:rPr>
            </w:pPr>
            <w:r w:rsidRPr="00064323">
              <w:rPr>
                <w:rFonts w:eastAsia="Times New Roman" w:cs="Calibri"/>
                <w:b/>
                <w:bCs/>
                <w:noProof/>
                <w:color w:val="000000"/>
                <w:sz w:val="20"/>
                <w:szCs w:val="20"/>
                <w:lang w:val="es-ES" w:eastAsia="en-GB"/>
              </w:rPr>
              <w:t>Ahorros:</w:t>
            </w:r>
            <w:r w:rsidRPr="00064323">
              <w:rPr>
                <w:rFonts w:eastAsia="Times New Roman" w:cs="Calibri"/>
                <w:noProof/>
                <w:color w:val="000000"/>
                <w:sz w:val="20"/>
                <w:szCs w:val="20"/>
                <w:lang w:val="es-ES" w:eastAsia="en-GB"/>
              </w:rPr>
              <w:t xml:space="preserve"> (i) puesto de director reclasificado y oficial de movilización de recursos y asociaciones contratado en 2020, (ii) otras prestaciones laborales, y (iii) reducción de viajes.</w:t>
            </w:r>
          </w:p>
        </w:tc>
      </w:tr>
      <w:tr w:rsidR="006712F6" w:rsidRPr="00064323" w14:paraId="025C28F4" w14:textId="77777777" w:rsidTr="0017480B">
        <w:trPr>
          <w:cantSplit/>
        </w:trPr>
        <w:tc>
          <w:tcPr>
            <w:tcW w:w="1560" w:type="dxa"/>
            <w:tcBorders>
              <w:top w:val="nil"/>
              <w:left w:val="single" w:sz="4" w:space="0" w:color="auto"/>
              <w:bottom w:val="single" w:sz="4" w:space="0" w:color="auto"/>
              <w:right w:val="single" w:sz="4" w:space="0" w:color="auto"/>
            </w:tcBorders>
            <w:shd w:val="clear" w:color="auto" w:fill="auto"/>
            <w:noWrap/>
            <w:hideMark/>
          </w:tcPr>
          <w:p w14:paraId="1871BE54" w14:textId="0EE1800E" w:rsidR="006712F6" w:rsidRPr="00064323" w:rsidRDefault="00830610" w:rsidP="008F7FC4">
            <w:pPr>
              <w:ind w:left="0" w:firstLine="0"/>
              <w:rPr>
                <w:rFonts w:eastAsia="Times New Roman" w:cs="Calibri"/>
                <w:noProof/>
                <w:color w:val="000000"/>
                <w:sz w:val="20"/>
                <w:szCs w:val="20"/>
                <w:lang w:val="es-ES" w:eastAsia="en-GB"/>
              </w:rPr>
            </w:pPr>
            <w:r w:rsidRPr="00064323">
              <w:rPr>
                <w:rFonts w:asciiTheme="minorHAnsi" w:hAnsiTheme="minorHAnsi"/>
                <w:noProof/>
                <w:color w:val="000000"/>
                <w:sz w:val="20"/>
                <w:szCs w:val="20"/>
                <w:lang w:val="es-ES"/>
              </w:rPr>
              <w:t>Asesoramiento y apoyo regionales</w:t>
            </w:r>
          </w:p>
        </w:tc>
        <w:tc>
          <w:tcPr>
            <w:tcW w:w="1370" w:type="dxa"/>
            <w:tcBorders>
              <w:top w:val="nil"/>
              <w:left w:val="nil"/>
              <w:bottom w:val="single" w:sz="4" w:space="0" w:color="auto"/>
              <w:right w:val="single" w:sz="4" w:space="0" w:color="auto"/>
            </w:tcBorders>
            <w:shd w:val="clear" w:color="auto" w:fill="auto"/>
            <w:noWrap/>
            <w:hideMark/>
          </w:tcPr>
          <w:p w14:paraId="5E9F566F" w14:textId="77777777" w:rsidR="006712F6" w:rsidRPr="00064323" w:rsidRDefault="006712F6" w:rsidP="00FB0D9D">
            <w:pPr>
              <w:ind w:left="0" w:firstLine="0"/>
              <w:jc w:val="right"/>
              <w:rPr>
                <w:rFonts w:eastAsia="Times New Roman" w:cs="Calibri"/>
                <w:noProof/>
                <w:sz w:val="20"/>
                <w:szCs w:val="20"/>
                <w:lang w:val="es-ES" w:eastAsia="en-GB"/>
              </w:rPr>
            </w:pPr>
            <w:r w:rsidRPr="00064323">
              <w:rPr>
                <w:rFonts w:eastAsia="Times New Roman" w:cs="Calibri"/>
                <w:noProof/>
                <w:sz w:val="20"/>
                <w:szCs w:val="20"/>
                <w:lang w:val="es-ES" w:eastAsia="en-GB"/>
              </w:rPr>
              <w:t>96</w:t>
            </w:r>
          </w:p>
        </w:tc>
        <w:tc>
          <w:tcPr>
            <w:tcW w:w="1370" w:type="dxa"/>
            <w:tcBorders>
              <w:top w:val="nil"/>
              <w:left w:val="nil"/>
              <w:bottom w:val="single" w:sz="4" w:space="0" w:color="auto"/>
              <w:right w:val="single" w:sz="4" w:space="0" w:color="auto"/>
            </w:tcBorders>
            <w:shd w:val="clear" w:color="auto" w:fill="auto"/>
            <w:noWrap/>
            <w:hideMark/>
          </w:tcPr>
          <w:p w14:paraId="21C3C9D3" w14:textId="1FFB4AC5" w:rsidR="006712F6" w:rsidRPr="00064323" w:rsidRDefault="002D1995" w:rsidP="00FB0D9D">
            <w:pPr>
              <w:ind w:left="0" w:firstLine="0"/>
              <w:jc w:val="right"/>
              <w:rPr>
                <w:rFonts w:eastAsia="Times New Roman" w:cs="Calibri"/>
                <w:noProof/>
                <w:sz w:val="20"/>
                <w:szCs w:val="20"/>
                <w:lang w:val="es-ES" w:eastAsia="en-GB"/>
              </w:rPr>
            </w:pPr>
            <w:r w:rsidRPr="00064323">
              <w:rPr>
                <w:rFonts w:eastAsia="Times New Roman" w:cs="Calibri"/>
                <w:noProof/>
                <w:sz w:val="20"/>
                <w:szCs w:val="20"/>
                <w:lang w:val="es-ES" w:eastAsia="en-GB"/>
              </w:rPr>
              <w:t>454</w:t>
            </w:r>
          </w:p>
        </w:tc>
        <w:tc>
          <w:tcPr>
            <w:tcW w:w="1370" w:type="dxa"/>
            <w:tcBorders>
              <w:top w:val="nil"/>
              <w:left w:val="nil"/>
              <w:bottom w:val="single" w:sz="4" w:space="0" w:color="auto"/>
              <w:right w:val="single" w:sz="4" w:space="0" w:color="auto"/>
            </w:tcBorders>
            <w:shd w:val="clear" w:color="auto" w:fill="auto"/>
            <w:noWrap/>
            <w:hideMark/>
          </w:tcPr>
          <w:p w14:paraId="6F2273E6" w14:textId="06703904" w:rsidR="006712F6" w:rsidRPr="00064323" w:rsidRDefault="002D1995" w:rsidP="00FB0D9D">
            <w:pPr>
              <w:ind w:left="0" w:firstLine="0"/>
              <w:jc w:val="right"/>
              <w:rPr>
                <w:rFonts w:eastAsia="Times New Roman" w:cs="Calibri"/>
                <w:noProof/>
                <w:color w:val="000000"/>
                <w:sz w:val="20"/>
                <w:szCs w:val="20"/>
                <w:lang w:val="es-ES" w:eastAsia="en-GB"/>
              </w:rPr>
            </w:pPr>
            <w:r w:rsidRPr="00064323">
              <w:rPr>
                <w:rFonts w:eastAsia="Times New Roman" w:cs="Calibri"/>
                <w:noProof/>
                <w:color w:val="000000"/>
                <w:sz w:val="20"/>
                <w:szCs w:val="20"/>
                <w:lang w:val="es-ES" w:eastAsia="en-GB"/>
              </w:rPr>
              <w:t>550</w:t>
            </w:r>
          </w:p>
        </w:tc>
        <w:tc>
          <w:tcPr>
            <w:tcW w:w="3828" w:type="dxa"/>
            <w:tcBorders>
              <w:top w:val="nil"/>
              <w:left w:val="nil"/>
              <w:bottom w:val="single" w:sz="4" w:space="0" w:color="auto"/>
              <w:right w:val="single" w:sz="4" w:space="0" w:color="auto"/>
            </w:tcBorders>
            <w:shd w:val="clear" w:color="auto" w:fill="auto"/>
            <w:hideMark/>
          </w:tcPr>
          <w:p w14:paraId="06BE40FC" w14:textId="366BC37C" w:rsidR="007E3865" w:rsidRPr="00064323" w:rsidRDefault="002D4D68" w:rsidP="008E66EE">
            <w:pPr>
              <w:ind w:left="0" w:firstLine="0"/>
              <w:rPr>
                <w:rFonts w:eastAsia="Times New Roman" w:cs="Calibri"/>
                <w:noProof/>
                <w:sz w:val="20"/>
                <w:szCs w:val="20"/>
                <w:lang w:val="es-ES" w:eastAsia="en-GB"/>
              </w:rPr>
            </w:pPr>
            <w:r>
              <w:rPr>
                <w:rFonts w:eastAsia="Times New Roman" w:cs="Calibri"/>
                <w:b/>
                <w:bCs/>
                <w:noProof/>
                <w:color w:val="000000"/>
                <w:sz w:val="20"/>
                <w:szCs w:val="20"/>
                <w:lang w:val="es-ES" w:eastAsia="en-GB"/>
              </w:rPr>
              <w:t>Previamente comprometidos</w:t>
            </w:r>
            <w:r w:rsidRPr="00064323">
              <w:rPr>
                <w:rFonts w:eastAsia="Times New Roman" w:cs="Calibri"/>
                <w:b/>
                <w:bCs/>
                <w:noProof/>
                <w:color w:val="000000"/>
                <w:sz w:val="20"/>
                <w:szCs w:val="20"/>
                <w:lang w:val="es-ES" w:eastAsia="en-GB"/>
              </w:rPr>
              <w:t xml:space="preserve"> </w:t>
            </w:r>
            <w:r w:rsidR="007E3865" w:rsidRPr="00064323">
              <w:rPr>
                <w:rFonts w:eastAsia="Times New Roman" w:cs="Calibri"/>
                <w:b/>
                <w:bCs/>
                <w:noProof/>
                <w:color w:val="000000"/>
                <w:sz w:val="20"/>
                <w:szCs w:val="20"/>
                <w:lang w:val="es-ES" w:eastAsia="en-GB"/>
              </w:rPr>
              <w:t>o previstos</w:t>
            </w:r>
            <w:r w:rsidR="006712F6" w:rsidRPr="00064323">
              <w:rPr>
                <w:rFonts w:eastAsia="Times New Roman" w:cs="Calibri"/>
                <w:b/>
                <w:bCs/>
                <w:noProof/>
                <w:sz w:val="20"/>
                <w:szCs w:val="20"/>
                <w:lang w:val="es-ES" w:eastAsia="en-GB"/>
              </w:rPr>
              <w:t>:</w:t>
            </w:r>
            <w:r w:rsidR="006712F6" w:rsidRPr="00064323">
              <w:rPr>
                <w:rFonts w:eastAsia="Times New Roman" w:cs="Calibri"/>
                <w:noProof/>
                <w:sz w:val="20"/>
                <w:szCs w:val="20"/>
                <w:lang w:val="es-ES" w:eastAsia="en-GB"/>
              </w:rPr>
              <w:t xml:space="preserve"> </w:t>
            </w:r>
            <w:r w:rsidR="007E3865" w:rsidRPr="00064323">
              <w:rPr>
                <w:rFonts w:eastAsia="Times New Roman" w:cs="Calibri"/>
                <w:noProof/>
                <w:sz w:val="20"/>
                <w:szCs w:val="20"/>
                <w:lang w:val="es-ES" w:eastAsia="en-GB"/>
              </w:rPr>
              <w:t xml:space="preserve">Ejecución de 96 000 de las Misiones Ramsar de Asesoramiento </w:t>
            </w:r>
            <w:r w:rsidR="00622FB9" w:rsidRPr="00064323">
              <w:rPr>
                <w:rFonts w:eastAsia="Times New Roman" w:cs="Calibri"/>
                <w:noProof/>
                <w:sz w:val="20"/>
                <w:szCs w:val="20"/>
                <w:lang w:val="es-ES" w:eastAsia="en-GB"/>
              </w:rPr>
              <w:t>postergadas</w:t>
            </w:r>
            <w:r w:rsidR="007E3865" w:rsidRPr="00064323">
              <w:rPr>
                <w:rFonts w:eastAsia="Times New Roman" w:cs="Calibri"/>
                <w:noProof/>
                <w:sz w:val="20"/>
                <w:szCs w:val="20"/>
                <w:lang w:val="es-ES" w:eastAsia="en-GB"/>
              </w:rPr>
              <w:t xml:space="preserve"> a 2022. </w:t>
            </w:r>
          </w:p>
          <w:p w14:paraId="17C52D00" w14:textId="285ACC4E" w:rsidR="006712F6" w:rsidRPr="00064323" w:rsidRDefault="00622FB9" w:rsidP="008E66EE">
            <w:pPr>
              <w:ind w:left="0" w:firstLine="0"/>
              <w:rPr>
                <w:rFonts w:eastAsia="Times New Roman" w:cs="Calibri"/>
                <w:noProof/>
                <w:sz w:val="20"/>
                <w:szCs w:val="20"/>
                <w:lang w:val="es-ES" w:eastAsia="en-GB"/>
              </w:rPr>
            </w:pPr>
            <w:r w:rsidRPr="00064323">
              <w:rPr>
                <w:rFonts w:eastAsia="Times New Roman" w:cs="Calibri"/>
                <w:b/>
                <w:bCs/>
                <w:noProof/>
                <w:sz w:val="20"/>
                <w:szCs w:val="20"/>
                <w:lang w:val="es-ES" w:eastAsia="en-GB"/>
              </w:rPr>
              <w:t>Ahorros:</w:t>
            </w:r>
            <w:r w:rsidRPr="00064323">
              <w:rPr>
                <w:rFonts w:eastAsia="Times New Roman" w:cs="Calibri"/>
                <w:noProof/>
                <w:sz w:val="20"/>
                <w:szCs w:val="20"/>
                <w:lang w:val="es-ES" w:eastAsia="en-GB"/>
              </w:rPr>
              <w:t xml:space="preserve"> (i) puestos vacantes y ajustes; puesto de Asesor Regional ocupado a mediados de 2021, y (ii) reducción de viajes.</w:t>
            </w:r>
          </w:p>
        </w:tc>
      </w:tr>
      <w:tr w:rsidR="006712F6" w:rsidRPr="001441B9" w14:paraId="0BA6C91B" w14:textId="77777777" w:rsidTr="0017480B">
        <w:trPr>
          <w:cantSplit/>
        </w:trPr>
        <w:tc>
          <w:tcPr>
            <w:tcW w:w="1560" w:type="dxa"/>
            <w:tcBorders>
              <w:top w:val="nil"/>
              <w:left w:val="single" w:sz="4" w:space="0" w:color="auto"/>
              <w:bottom w:val="single" w:sz="4" w:space="0" w:color="auto"/>
              <w:right w:val="single" w:sz="4" w:space="0" w:color="auto"/>
            </w:tcBorders>
            <w:shd w:val="clear" w:color="auto" w:fill="auto"/>
            <w:noWrap/>
            <w:hideMark/>
          </w:tcPr>
          <w:p w14:paraId="249BC4DA" w14:textId="10121DED" w:rsidR="006712F6" w:rsidRPr="00064323" w:rsidRDefault="00830610" w:rsidP="008F7FC4">
            <w:pPr>
              <w:ind w:left="0" w:firstLine="0"/>
              <w:rPr>
                <w:rFonts w:eastAsia="Times New Roman" w:cs="Calibri"/>
                <w:noProof/>
                <w:color w:val="000000"/>
                <w:sz w:val="20"/>
                <w:szCs w:val="20"/>
                <w:lang w:val="es-ES" w:eastAsia="en-GB"/>
              </w:rPr>
            </w:pPr>
            <w:r w:rsidRPr="00064323">
              <w:rPr>
                <w:rFonts w:asciiTheme="minorHAnsi" w:hAnsiTheme="minorHAnsi"/>
                <w:noProof/>
                <w:color w:val="000000"/>
                <w:sz w:val="20"/>
                <w:szCs w:val="20"/>
                <w:lang w:val="es-ES"/>
              </w:rPr>
              <w:t>Apoyo a las iniciativas regionales de Ramsar</w:t>
            </w:r>
          </w:p>
        </w:tc>
        <w:tc>
          <w:tcPr>
            <w:tcW w:w="1370" w:type="dxa"/>
            <w:tcBorders>
              <w:top w:val="nil"/>
              <w:left w:val="nil"/>
              <w:bottom w:val="single" w:sz="4" w:space="0" w:color="auto"/>
              <w:right w:val="single" w:sz="4" w:space="0" w:color="auto"/>
            </w:tcBorders>
            <w:shd w:val="clear" w:color="auto" w:fill="auto"/>
            <w:hideMark/>
          </w:tcPr>
          <w:p w14:paraId="06DB991F" w14:textId="46EC5347" w:rsidR="006712F6" w:rsidRPr="00064323" w:rsidRDefault="002D1995" w:rsidP="00FB0D9D">
            <w:pPr>
              <w:ind w:left="0" w:firstLine="0"/>
              <w:jc w:val="right"/>
              <w:rPr>
                <w:rFonts w:eastAsia="Times New Roman" w:cs="Calibri"/>
                <w:noProof/>
                <w:sz w:val="20"/>
                <w:szCs w:val="20"/>
                <w:lang w:val="es-ES" w:eastAsia="en-GB"/>
              </w:rPr>
            </w:pPr>
            <w:r w:rsidRPr="00064323">
              <w:rPr>
                <w:rFonts w:eastAsia="Times New Roman" w:cs="Calibri"/>
                <w:noProof/>
                <w:sz w:val="20"/>
                <w:szCs w:val="20"/>
                <w:lang w:val="es-ES" w:eastAsia="en-GB"/>
              </w:rPr>
              <w:t>76</w:t>
            </w:r>
          </w:p>
        </w:tc>
        <w:tc>
          <w:tcPr>
            <w:tcW w:w="1370" w:type="dxa"/>
            <w:tcBorders>
              <w:top w:val="nil"/>
              <w:left w:val="nil"/>
              <w:bottom w:val="single" w:sz="4" w:space="0" w:color="auto"/>
              <w:right w:val="single" w:sz="4" w:space="0" w:color="auto"/>
            </w:tcBorders>
            <w:shd w:val="clear" w:color="auto" w:fill="auto"/>
            <w:hideMark/>
          </w:tcPr>
          <w:p w14:paraId="318DEE0A" w14:textId="73439CC3" w:rsidR="006712F6" w:rsidRPr="00064323" w:rsidRDefault="002D1995" w:rsidP="00FB0D9D">
            <w:pPr>
              <w:ind w:left="0" w:firstLine="0"/>
              <w:jc w:val="right"/>
              <w:rPr>
                <w:rFonts w:eastAsia="Times New Roman" w:cs="Calibri"/>
                <w:noProof/>
                <w:sz w:val="20"/>
                <w:szCs w:val="20"/>
                <w:lang w:val="es-ES" w:eastAsia="en-GB"/>
              </w:rPr>
            </w:pPr>
            <w:r w:rsidRPr="00064323">
              <w:rPr>
                <w:rFonts w:eastAsia="Times New Roman" w:cs="Calibri"/>
                <w:noProof/>
                <w:sz w:val="20"/>
                <w:szCs w:val="20"/>
                <w:lang w:val="es-ES" w:eastAsia="en-GB"/>
              </w:rPr>
              <w:t>1</w:t>
            </w:r>
          </w:p>
        </w:tc>
        <w:tc>
          <w:tcPr>
            <w:tcW w:w="1370" w:type="dxa"/>
            <w:tcBorders>
              <w:top w:val="nil"/>
              <w:left w:val="nil"/>
              <w:bottom w:val="single" w:sz="4" w:space="0" w:color="auto"/>
              <w:right w:val="single" w:sz="4" w:space="0" w:color="auto"/>
            </w:tcBorders>
            <w:shd w:val="clear" w:color="auto" w:fill="auto"/>
            <w:noWrap/>
            <w:hideMark/>
          </w:tcPr>
          <w:p w14:paraId="2CF1BCD1" w14:textId="03E1E592" w:rsidR="006712F6" w:rsidRPr="00064323" w:rsidRDefault="002D1995" w:rsidP="00FB0D9D">
            <w:pPr>
              <w:ind w:left="0" w:firstLine="0"/>
              <w:jc w:val="right"/>
              <w:rPr>
                <w:rFonts w:eastAsia="Times New Roman" w:cs="Calibri"/>
                <w:noProof/>
                <w:sz w:val="20"/>
                <w:szCs w:val="20"/>
                <w:lang w:val="es-ES" w:eastAsia="en-GB"/>
              </w:rPr>
            </w:pPr>
            <w:r w:rsidRPr="00064323">
              <w:rPr>
                <w:rFonts w:eastAsia="Times New Roman" w:cs="Calibri"/>
                <w:noProof/>
                <w:sz w:val="20"/>
                <w:szCs w:val="20"/>
                <w:lang w:val="es-ES" w:eastAsia="en-GB"/>
              </w:rPr>
              <w:t>77</w:t>
            </w:r>
          </w:p>
        </w:tc>
        <w:tc>
          <w:tcPr>
            <w:tcW w:w="3828" w:type="dxa"/>
            <w:tcBorders>
              <w:top w:val="nil"/>
              <w:left w:val="nil"/>
              <w:bottom w:val="single" w:sz="4" w:space="0" w:color="auto"/>
              <w:right w:val="single" w:sz="4" w:space="0" w:color="auto"/>
            </w:tcBorders>
            <w:shd w:val="clear" w:color="auto" w:fill="auto"/>
            <w:hideMark/>
          </w:tcPr>
          <w:p w14:paraId="50E566D5" w14:textId="00345E32" w:rsidR="006712F6" w:rsidRPr="00064323" w:rsidRDefault="002D4D68" w:rsidP="008E66EE">
            <w:pPr>
              <w:ind w:left="0" w:firstLine="0"/>
              <w:rPr>
                <w:rFonts w:eastAsia="Times New Roman" w:cs="Calibri"/>
                <w:noProof/>
                <w:sz w:val="20"/>
                <w:szCs w:val="20"/>
                <w:lang w:val="es-ES" w:eastAsia="en-GB"/>
              </w:rPr>
            </w:pPr>
            <w:r>
              <w:rPr>
                <w:rFonts w:eastAsia="Times New Roman" w:cs="Calibri"/>
                <w:b/>
                <w:bCs/>
                <w:noProof/>
                <w:color w:val="000000"/>
                <w:sz w:val="20"/>
                <w:szCs w:val="20"/>
                <w:lang w:val="es-ES" w:eastAsia="en-GB"/>
              </w:rPr>
              <w:t>Previamente comprometidos</w:t>
            </w:r>
            <w:r w:rsidRPr="00064323">
              <w:rPr>
                <w:rFonts w:eastAsia="Times New Roman" w:cs="Calibri"/>
                <w:b/>
                <w:bCs/>
                <w:noProof/>
                <w:color w:val="000000"/>
                <w:sz w:val="20"/>
                <w:szCs w:val="20"/>
                <w:lang w:val="es-ES" w:eastAsia="en-GB"/>
              </w:rPr>
              <w:t xml:space="preserve"> </w:t>
            </w:r>
            <w:r w:rsidR="00622FB9" w:rsidRPr="00064323">
              <w:rPr>
                <w:rFonts w:eastAsia="Times New Roman" w:cs="Calibri"/>
                <w:b/>
                <w:bCs/>
                <w:noProof/>
                <w:color w:val="000000"/>
                <w:sz w:val="20"/>
                <w:szCs w:val="20"/>
                <w:lang w:val="es-ES" w:eastAsia="en-GB"/>
              </w:rPr>
              <w:t>o previstos</w:t>
            </w:r>
            <w:r w:rsidR="006712F6" w:rsidRPr="00064323">
              <w:rPr>
                <w:rFonts w:eastAsia="Times New Roman" w:cs="Calibri"/>
                <w:b/>
                <w:bCs/>
                <w:noProof/>
                <w:sz w:val="20"/>
                <w:szCs w:val="20"/>
                <w:lang w:val="es-ES" w:eastAsia="en-GB"/>
              </w:rPr>
              <w:t>:</w:t>
            </w:r>
            <w:r w:rsidR="006712F6" w:rsidRPr="00064323">
              <w:rPr>
                <w:rFonts w:eastAsia="Times New Roman" w:cs="Calibri"/>
                <w:noProof/>
                <w:sz w:val="20"/>
                <w:szCs w:val="20"/>
                <w:lang w:val="es-ES" w:eastAsia="en-GB"/>
              </w:rPr>
              <w:t xml:space="preserve"> </w:t>
            </w:r>
            <w:r w:rsidR="00F34139">
              <w:rPr>
                <w:rFonts w:eastAsia="Times New Roman" w:cs="Calibri"/>
                <w:noProof/>
                <w:sz w:val="20"/>
                <w:szCs w:val="20"/>
                <w:lang w:val="es-ES" w:eastAsia="en-GB"/>
              </w:rPr>
              <w:t>L</w:t>
            </w:r>
            <w:r w:rsidR="00622FB9" w:rsidRPr="00064323">
              <w:rPr>
                <w:rFonts w:eastAsia="Times New Roman" w:cs="Calibri"/>
                <w:noProof/>
                <w:sz w:val="20"/>
                <w:szCs w:val="20"/>
                <w:lang w:val="es-ES" w:eastAsia="en-GB"/>
              </w:rPr>
              <w:t>a ejecución de 76 000 continúa en 2022 para la IRR de la cuenca del Amazonas.</w:t>
            </w:r>
          </w:p>
        </w:tc>
      </w:tr>
      <w:tr w:rsidR="006712F6" w:rsidRPr="001441B9" w14:paraId="4EE1D3DD" w14:textId="77777777" w:rsidTr="0017480B">
        <w:trPr>
          <w:cantSplit/>
        </w:trPr>
        <w:tc>
          <w:tcPr>
            <w:tcW w:w="1560" w:type="dxa"/>
            <w:tcBorders>
              <w:top w:val="nil"/>
              <w:left w:val="single" w:sz="4" w:space="0" w:color="auto"/>
              <w:bottom w:val="single" w:sz="4" w:space="0" w:color="auto"/>
              <w:right w:val="single" w:sz="4" w:space="0" w:color="auto"/>
            </w:tcBorders>
            <w:shd w:val="clear" w:color="auto" w:fill="auto"/>
            <w:noWrap/>
            <w:hideMark/>
          </w:tcPr>
          <w:p w14:paraId="187DCE7A" w14:textId="61FF8FA4" w:rsidR="006712F6" w:rsidRPr="00064323" w:rsidRDefault="00830610" w:rsidP="008F7FC4">
            <w:pPr>
              <w:ind w:left="0" w:firstLine="0"/>
              <w:rPr>
                <w:rFonts w:eastAsia="Times New Roman" w:cs="Calibri"/>
                <w:noProof/>
                <w:color w:val="000000"/>
                <w:sz w:val="20"/>
                <w:szCs w:val="20"/>
                <w:lang w:val="es-ES" w:eastAsia="en-GB"/>
              </w:rPr>
            </w:pPr>
            <w:r w:rsidRPr="00064323">
              <w:rPr>
                <w:rFonts w:asciiTheme="minorHAnsi" w:hAnsiTheme="minorHAnsi"/>
                <w:noProof/>
                <w:color w:val="000000"/>
                <w:sz w:val="20"/>
                <w:szCs w:val="20"/>
                <w:lang w:val="es-ES"/>
              </w:rPr>
              <w:t>Servicios científicos y técnicos</w:t>
            </w:r>
          </w:p>
        </w:tc>
        <w:tc>
          <w:tcPr>
            <w:tcW w:w="1370" w:type="dxa"/>
            <w:tcBorders>
              <w:top w:val="nil"/>
              <w:left w:val="nil"/>
              <w:bottom w:val="single" w:sz="4" w:space="0" w:color="auto"/>
              <w:right w:val="single" w:sz="4" w:space="0" w:color="auto"/>
            </w:tcBorders>
            <w:shd w:val="clear" w:color="auto" w:fill="auto"/>
            <w:hideMark/>
          </w:tcPr>
          <w:p w14:paraId="2D66E49B" w14:textId="48958B74" w:rsidR="006712F6" w:rsidRPr="00064323" w:rsidRDefault="002D1995" w:rsidP="00FB0D9D">
            <w:pPr>
              <w:ind w:left="0" w:firstLine="0"/>
              <w:jc w:val="right"/>
              <w:rPr>
                <w:rFonts w:eastAsia="Times New Roman" w:cs="Calibri"/>
                <w:noProof/>
                <w:sz w:val="20"/>
                <w:szCs w:val="20"/>
                <w:lang w:val="es-ES" w:eastAsia="en-GB"/>
              </w:rPr>
            </w:pPr>
            <w:r w:rsidRPr="00064323">
              <w:rPr>
                <w:rFonts w:eastAsia="Times New Roman" w:cs="Calibri"/>
                <w:noProof/>
                <w:sz w:val="20"/>
                <w:szCs w:val="20"/>
                <w:lang w:val="es-ES" w:eastAsia="en-GB"/>
              </w:rPr>
              <w:t>224</w:t>
            </w:r>
          </w:p>
        </w:tc>
        <w:tc>
          <w:tcPr>
            <w:tcW w:w="1370" w:type="dxa"/>
            <w:tcBorders>
              <w:top w:val="nil"/>
              <w:left w:val="nil"/>
              <w:bottom w:val="single" w:sz="4" w:space="0" w:color="auto"/>
              <w:right w:val="single" w:sz="4" w:space="0" w:color="auto"/>
            </w:tcBorders>
            <w:shd w:val="clear" w:color="auto" w:fill="auto"/>
            <w:hideMark/>
          </w:tcPr>
          <w:p w14:paraId="5F5CD052" w14:textId="2C13BA62" w:rsidR="006712F6" w:rsidRPr="00064323" w:rsidRDefault="002D1995" w:rsidP="00FB0D9D">
            <w:pPr>
              <w:ind w:left="0" w:firstLine="0"/>
              <w:jc w:val="right"/>
              <w:rPr>
                <w:rFonts w:eastAsia="Times New Roman" w:cs="Calibri"/>
                <w:noProof/>
                <w:sz w:val="20"/>
                <w:szCs w:val="20"/>
                <w:lang w:val="es-ES" w:eastAsia="en-GB"/>
              </w:rPr>
            </w:pPr>
            <w:r w:rsidRPr="00064323">
              <w:rPr>
                <w:rFonts w:eastAsia="Times New Roman" w:cs="Calibri"/>
                <w:noProof/>
                <w:sz w:val="20"/>
                <w:szCs w:val="20"/>
                <w:lang w:val="es-ES" w:eastAsia="en-GB"/>
              </w:rPr>
              <w:t>453</w:t>
            </w:r>
          </w:p>
        </w:tc>
        <w:tc>
          <w:tcPr>
            <w:tcW w:w="1370" w:type="dxa"/>
            <w:tcBorders>
              <w:top w:val="nil"/>
              <w:left w:val="nil"/>
              <w:bottom w:val="single" w:sz="4" w:space="0" w:color="auto"/>
              <w:right w:val="single" w:sz="4" w:space="0" w:color="auto"/>
            </w:tcBorders>
            <w:shd w:val="clear" w:color="auto" w:fill="auto"/>
            <w:noWrap/>
            <w:hideMark/>
          </w:tcPr>
          <w:p w14:paraId="06B0B49B" w14:textId="0BE201E5" w:rsidR="006712F6" w:rsidRPr="00064323" w:rsidRDefault="002D1995" w:rsidP="00FB0D9D">
            <w:pPr>
              <w:ind w:left="0" w:firstLine="0"/>
              <w:jc w:val="right"/>
              <w:rPr>
                <w:rFonts w:eastAsia="Times New Roman" w:cs="Calibri"/>
                <w:noProof/>
                <w:sz w:val="20"/>
                <w:szCs w:val="20"/>
                <w:lang w:val="es-ES" w:eastAsia="en-GB"/>
              </w:rPr>
            </w:pPr>
            <w:r w:rsidRPr="00064323">
              <w:rPr>
                <w:rFonts w:eastAsia="Times New Roman" w:cs="Calibri"/>
                <w:noProof/>
                <w:sz w:val="20"/>
                <w:szCs w:val="20"/>
                <w:lang w:val="es-ES" w:eastAsia="en-GB"/>
              </w:rPr>
              <w:t>667</w:t>
            </w:r>
          </w:p>
        </w:tc>
        <w:tc>
          <w:tcPr>
            <w:tcW w:w="3828" w:type="dxa"/>
            <w:tcBorders>
              <w:top w:val="nil"/>
              <w:left w:val="nil"/>
              <w:bottom w:val="single" w:sz="4" w:space="0" w:color="auto"/>
              <w:right w:val="single" w:sz="4" w:space="0" w:color="auto"/>
            </w:tcBorders>
            <w:shd w:val="clear" w:color="auto" w:fill="auto"/>
            <w:hideMark/>
          </w:tcPr>
          <w:p w14:paraId="39BF03B8" w14:textId="554FD56B" w:rsidR="00622FB9" w:rsidRPr="00064323" w:rsidRDefault="002D4D68" w:rsidP="0017480B">
            <w:pPr>
              <w:ind w:left="0" w:firstLine="0"/>
              <w:rPr>
                <w:rFonts w:eastAsia="Times New Roman" w:cs="Calibri"/>
                <w:noProof/>
                <w:sz w:val="20"/>
                <w:szCs w:val="20"/>
                <w:lang w:val="es-ES" w:eastAsia="en-GB"/>
              </w:rPr>
            </w:pPr>
            <w:r>
              <w:rPr>
                <w:rFonts w:eastAsia="Times New Roman" w:cs="Calibri"/>
                <w:b/>
                <w:bCs/>
                <w:noProof/>
                <w:color w:val="000000"/>
                <w:sz w:val="20"/>
                <w:szCs w:val="20"/>
                <w:lang w:val="es-ES" w:eastAsia="en-GB"/>
              </w:rPr>
              <w:t>Previamente comprometidos</w:t>
            </w:r>
            <w:r w:rsidRPr="00064323">
              <w:rPr>
                <w:rFonts w:eastAsia="Times New Roman" w:cs="Calibri"/>
                <w:b/>
                <w:bCs/>
                <w:noProof/>
                <w:color w:val="000000"/>
                <w:sz w:val="20"/>
                <w:szCs w:val="20"/>
                <w:lang w:val="es-ES" w:eastAsia="en-GB"/>
              </w:rPr>
              <w:t xml:space="preserve"> </w:t>
            </w:r>
            <w:r w:rsidR="00622FB9" w:rsidRPr="00064323">
              <w:rPr>
                <w:rFonts w:eastAsia="Times New Roman" w:cs="Calibri"/>
                <w:b/>
                <w:bCs/>
                <w:noProof/>
                <w:color w:val="000000"/>
                <w:sz w:val="20"/>
                <w:szCs w:val="20"/>
                <w:lang w:val="es-ES" w:eastAsia="en-GB"/>
              </w:rPr>
              <w:t>o previstos</w:t>
            </w:r>
            <w:r w:rsidR="006712F6" w:rsidRPr="00064323">
              <w:rPr>
                <w:rFonts w:eastAsia="Times New Roman" w:cs="Calibri"/>
                <w:b/>
                <w:bCs/>
                <w:noProof/>
                <w:sz w:val="20"/>
                <w:szCs w:val="20"/>
                <w:lang w:val="es-ES" w:eastAsia="en-GB"/>
              </w:rPr>
              <w:t>:</w:t>
            </w:r>
            <w:r w:rsidR="006712F6" w:rsidRPr="00064323">
              <w:rPr>
                <w:rFonts w:eastAsia="Times New Roman" w:cs="Calibri"/>
                <w:noProof/>
                <w:sz w:val="20"/>
                <w:szCs w:val="20"/>
                <w:lang w:val="es-ES" w:eastAsia="en-GB"/>
              </w:rPr>
              <w:t xml:space="preserve"> </w:t>
            </w:r>
          </w:p>
          <w:p w14:paraId="0E6E2C06" w14:textId="50E4D112" w:rsidR="00622FB9" w:rsidRPr="00064323" w:rsidRDefault="00622FB9" w:rsidP="0017480B">
            <w:pPr>
              <w:ind w:left="0" w:firstLine="0"/>
              <w:rPr>
                <w:rFonts w:eastAsia="Times New Roman" w:cs="Calibri"/>
                <w:noProof/>
                <w:sz w:val="20"/>
                <w:szCs w:val="20"/>
                <w:lang w:val="es-ES" w:eastAsia="en-GB"/>
              </w:rPr>
            </w:pPr>
            <w:r w:rsidRPr="00064323">
              <w:rPr>
                <w:rFonts w:eastAsia="Times New Roman" w:cs="Calibri"/>
                <w:noProof/>
                <w:sz w:val="20"/>
                <w:szCs w:val="20"/>
                <w:lang w:val="es-ES" w:eastAsia="en-GB"/>
              </w:rPr>
              <w:t xml:space="preserve">(i) 10 000 de viajes, (ii) 12 000 de viajes del Presidente del GECT, (iii) 40 000 de </w:t>
            </w:r>
            <w:r w:rsidR="00DC20DD">
              <w:rPr>
                <w:rFonts w:eastAsia="Times New Roman" w:cs="Calibri"/>
                <w:noProof/>
                <w:sz w:val="20"/>
                <w:szCs w:val="20"/>
                <w:lang w:val="es-ES" w:eastAsia="en-GB"/>
              </w:rPr>
              <w:t>trabajo</w:t>
            </w:r>
            <w:r w:rsidRPr="00064323">
              <w:rPr>
                <w:rFonts w:eastAsia="Times New Roman" w:cs="Calibri"/>
                <w:noProof/>
                <w:sz w:val="20"/>
                <w:szCs w:val="20"/>
                <w:lang w:val="es-ES" w:eastAsia="en-GB"/>
              </w:rPr>
              <w:t xml:space="preserve"> del GECT, (iv) 90 000 del Quinto Plan Estratégico y (iii) 72 000 de ejecución </w:t>
            </w:r>
            <w:r w:rsidR="00F34139">
              <w:rPr>
                <w:rFonts w:eastAsia="Times New Roman" w:cs="Calibri"/>
                <w:noProof/>
                <w:sz w:val="20"/>
                <w:szCs w:val="20"/>
                <w:lang w:val="es-ES" w:eastAsia="en-GB"/>
              </w:rPr>
              <w:t>de</w:t>
            </w:r>
            <w:r w:rsidRPr="00064323">
              <w:rPr>
                <w:rFonts w:eastAsia="Times New Roman" w:cs="Calibri"/>
                <w:noProof/>
                <w:sz w:val="20"/>
                <w:szCs w:val="20"/>
                <w:lang w:val="es-ES" w:eastAsia="en-GB"/>
              </w:rPr>
              <w:t xml:space="preserve"> los inventarios que continúa en 2022.</w:t>
            </w:r>
          </w:p>
          <w:p w14:paraId="440D577B" w14:textId="266DB839" w:rsidR="006712F6" w:rsidRPr="00064323" w:rsidRDefault="005A02E1" w:rsidP="0017480B">
            <w:pPr>
              <w:ind w:left="0" w:firstLine="0"/>
              <w:rPr>
                <w:rFonts w:eastAsia="Times New Roman" w:cs="Calibri"/>
                <w:noProof/>
                <w:sz w:val="20"/>
                <w:szCs w:val="20"/>
                <w:lang w:val="es-ES" w:eastAsia="en-GB"/>
              </w:rPr>
            </w:pPr>
            <w:r w:rsidRPr="00064323">
              <w:rPr>
                <w:rFonts w:eastAsia="Times New Roman" w:cs="Calibri"/>
                <w:b/>
                <w:bCs/>
                <w:noProof/>
                <w:sz w:val="20"/>
                <w:szCs w:val="20"/>
                <w:lang w:val="es-ES" w:eastAsia="en-GB"/>
              </w:rPr>
              <w:t>Ahorros:</w:t>
            </w:r>
            <w:r w:rsidRPr="00064323">
              <w:rPr>
                <w:rFonts w:eastAsia="Times New Roman" w:cs="Calibri"/>
                <w:noProof/>
                <w:sz w:val="20"/>
                <w:szCs w:val="20"/>
                <w:lang w:val="es-ES" w:eastAsia="en-GB"/>
              </w:rPr>
              <w:t xml:space="preserve"> (i) contratación del Director de Ciencia y Políticas a mediados de 2021, (ii) reducción de viajes, (iii) no se celebró la reunión presencial del GECT y (iv) el Servicio de Información sobre Sitios Ramsar.</w:t>
            </w:r>
          </w:p>
        </w:tc>
      </w:tr>
      <w:tr w:rsidR="006712F6" w:rsidRPr="00064323" w14:paraId="6971FFCA" w14:textId="77777777" w:rsidTr="0017480B">
        <w:trPr>
          <w:cantSplit/>
        </w:trPr>
        <w:tc>
          <w:tcPr>
            <w:tcW w:w="1560" w:type="dxa"/>
            <w:tcBorders>
              <w:top w:val="nil"/>
              <w:left w:val="single" w:sz="4" w:space="0" w:color="auto"/>
              <w:bottom w:val="single" w:sz="4" w:space="0" w:color="auto"/>
              <w:right w:val="single" w:sz="4" w:space="0" w:color="auto"/>
            </w:tcBorders>
            <w:shd w:val="clear" w:color="auto" w:fill="auto"/>
            <w:noWrap/>
            <w:hideMark/>
          </w:tcPr>
          <w:p w14:paraId="48899861" w14:textId="60EF0F5B" w:rsidR="006712F6" w:rsidRPr="00064323" w:rsidRDefault="00830610" w:rsidP="008F7FC4">
            <w:pPr>
              <w:ind w:left="0" w:firstLine="0"/>
              <w:rPr>
                <w:rFonts w:eastAsia="Times New Roman" w:cs="Calibri"/>
                <w:noProof/>
                <w:color w:val="000000"/>
                <w:sz w:val="20"/>
                <w:szCs w:val="20"/>
                <w:lang w:val="es-ES" w:eastAsia="en-GB"/>
              </w:rPr>
            </w:pPr>
            <w:r w:rsidRPr="00064323">
              <w:rPr>
                <w:rFonts w:asciiTheme="minorHAnsi" w:hAnsiTheme="minorHAnsi"/>
                <w:noProof/>
                <w:color w:val="000000"/>
                <w:sz w:val="20"/>
                <w:szCs w:val="20"/>
                <w:lang w:val="es-ES"/>
              </w:rPr>
              <w:lastRenderedPageBreak/>
              <w:t>Administración</w:t>
            </w:r>
          </w:p>
        </w:tc>
        <w:tc>
          <w:tcPr>
            <w:tcW w:w="1370" w:type="dxa"/>
            <w:tcBorders>
              <w:top w:val="nil"/>
              <w:left w:val="nil"/>
              <w:bottom w:val="single" w:sz="4" w:space="0" w:color="auto"/>
              <w:right w:val="single" w:sz="4" w:space="0" w:color="auto"/>
            </w:tcBorders>
            <w:shd w:val="clear" w:color="auto" w:fill="auto"/>
            <w:noWrap/>
            <w:hideMark/>
          </w:tcPr>
          <w:p w14:paraId="61A7ABEF" w14:textId="73F0456E" w:rsidR="006712F6" w:rsidRPr="00064323" w:rsidRDefault="00430A7A" w:rsidP="00FB0D9D">
            <w:pPr>
              <w:ind w:left="0" w:firstLine="0"/>
              <w:jc w:val="right"/>
              <w:rPr>
                <w:rFonts w:eastAsia="Times New Roman" w:cs="Calibri"/>
                <w:noProof/>
                <w:sz w:val="20"/>
                <w:szCs w:val="20"/>
                <w:lang w:val="es-ES" w:eastAsia="en-GB"/>
              </w:rPr>
            </w:pPr>
            <w:r w:rsidRPr="00064323">
              <w:rPr>
                <w:rFonts w:eastAsia="Times New Roman" w:cs="Calibri"/>
                <w:noProof/>
                <w:sz w:val="20"/>
                <w:szCs w:val="20"/>
                <w:lang w:val="es-ES" w:eastAsia="en-GB"/>
              </w:rPr>
              <w:t>73</w:t>
            </w:r>
          </w:p>
        </w:tc>
        <w:tc>
          <w:tcPr>
            <w:tcW w:w="1370" w:type="dxa"/>
            <w:tcBorders>
              <w:top w:val="nil"/>
              <w:left w:val="nil"/>
              <w:bottom w:val="single" w:sz="4" w:space="0" w:color="auto"/>
              <w:right w:val="single" w:sz="4" w:space="0" w:color="auto"/>
            </w:tcBorders>
            <w:shd w:val="clear" w:color="auto" w:fill="auto"/>
            <w:noWrap/>
            <w:hideMark/>
          </w:tcPr>
          <w:p w14:paraId="787BE2D6" w14:textId="63A474E2" w:rsidR="006712F6" w:rsidRPr="00064323" w:rsidRDefault="00430A7A" w:rsidP="00FB0D9D">
            <w:pPr>
              <w:ind w:left="0" w:firstLine="0"/>
              <w:jc w:val="right"/>
              <w:rPr>
                <w:rFonts w:eastAsia="Times New Roman" w:cs="Calibri"/>
                <w:noProof/>
                <w:sz w:val="20"/>
                <w:szCs w:val="20"/>
                <w:lang w:val="es-ES" w:eastAsia="en-GB"/>
              </w:rPr>
            </w:pPr>
            <w:r w:rsidRPr="00064323">
              <w:rPr>
                <w:rFonts w:eastAsia="Times New Roman" w:cs="Calibri"/>
                <w:noProof/>
                <w:sz w:val="20"/>
                <w:szCs w:val="20"/>
                <w:lang w:val="es-ES" w:eastAsia="en-GB"/>
              </w:rPr>
              <w:t>45</w:t>
            </w:r>
          </w:p>
        </w:tc>
        <w:tc>
          <w:tcPr>
            <w:tcW w:w="1370" w:type="dxa"/>
            <w:tcBorders>
              <w:top w:val="nil"/>
              <w:left w:val="nil"/>
              <w:bottom w:val="single" w:sz="4" w:space="0" w:color="auto"/>
              <w:right w:val="single" w:sz="4" w:space="0" w:color="auto"/>
            </w:tcBorders>
            <w:shd w:val="clear" w:color="auto" w:fill="auto"/>
            <w:noWrap/>
            <w:hideMark/>
          </w:tcPr>
          <w:p w14:paraId="43BA24FA" w14:textId="3724FFE8" w:rsidR="006712F6" w:rsidRPr="00064323" w:rsidRDefault="00430A7A" w:rsidP="00FB0D9D">
            <w:pPr>
              <w:ind w:left="0" w:firstLine="0"/>
              <w:jc w:val="right"/>
              <w:rPr>
                <w:rFonts w:eastAsia="Times New Roman" w:cs="Calibri"/>
                <w:noProof/>
                <w:sz w:val="20"/>
                <w:szCs w:val="20"/>
                <w:lang w:val="es-ES" w:eastAsia="en-GB"/>
              </w:rPr>
            </w:pPr>
            <w:r w:rsidRPr="00064323">
              <w:rPr>
                <w:rFonts w:eastAsia="Times New Roman" w:cs="Calibri"/>
                <w:noProof/>
                <w:sz w:val="20"/>
                <w:szCs w:val="20"/>
                <w:lang w:val="es-ES" w:eastAsia="en-GB"/>
              </w:rPr>
              <w:t>118</w:t>
            </w:r>
          </w:p>
        </w:tc>
        <w:tc>
          <w:tcPr>
            <w:tcW w:w="3828" w:type="dxa"/>
            <w:tcBorders>
              <w:top w:val="nil"/>
              <w:left w:val="nil"/>
              <w:bottom w:val="single" w:sz="4" w:space="0" w:color="auto"/>
              <w:right w:val="single" w:sz="4" w:space="0" w:color="auto"/>
            </w:tcBorders>
            <w:shd w:val="clear" w:color="auto" w:fill="auto"/>
            <w:hideMark/>
          </w:tcPr>
          <w:p w14:paraId="1218EB6A" w14:textId="18B385AB" w:rsidR="005A02E1" w:rsidRPr="00064323" w:rsidRDefault="002D4D68" w:rsidP="008E66EE">
            <w:pPr>
              <w:ind w:left="0" w:firstLine="0"/>
              <w:rPr>
                <w:rFonts w:eastAsia="Times New Roman" w:cs="Calibri"/>
                <w:noProof/>
                <w:sz w:val="20"/>
                <w:szCs w:val="20"/>
                <w:lang w:val="es-ES" w:eastAsia="en-GB"/>
              </w:rPr>
            </w:pPr>
            <w:r>
              <w:rPr>
                <w:rFonts w:eastAsia="Times New Roman" w:cs="Calibri"/>
                <w:b/>
                <w:bCs/>
                <w:noProof/>
                <w:color w:val="000000"/>
                <w:sz w:val="20"/>
                <w:szCs w:val="20"/>
                <w:lang w:val="es-ES" w:eastAsia="en-GB"/>
              </w:rPr>
              <w:t>Previamente comprometidos</w:t>
            </w:r>
            <w:r w:rsidRPr="00064323">
              <w:rPr>
                <w:rFonts w:eastAsia="Times New Roman" w:cs="Calibri"/>
                <w:b/>
                <w:bCs/>
                <w:noProof/>
                <w:color w:val="000000"/>
                <w:sz w:val="20"/>
                <w:szCs w:val="20"/>
                <w:lang w:val="es-ES" w:eastAsia="en-GB"/>
              </w:rPr>
              <w:t xml:space="preserve"> </w:t>
            </w:r>
            <w:r w:rsidR="00622FB9" w:rsidRPr="00064323">
              <w:rPr>
                <w:rFonts w:eastAsia="Times New Roman" w:cs="Calibri"/>
                <w:b/>
                <w:bCs/>
                <w:noProof/>
                <w:color w:val="000000"/>
                <w:sz w:val="20"/>
                <w:szCs w:val="20"/>
                <w:lang w:val="es-ES" w:eastAsia="en-GB"/>
              </w:rPr>
              <w:t>o previstos</w:t>
            </w:r>
            <w:r w:rsidR="006712F6" w:rsidRPr="00064323">
              <w:rPr>
                <w:rFonts w:eastAsia="Times New Roman" w:cs="Calibri"/>
                <w:b/>
                <w:bCs/>
                <w:noProof/>
                <w:sz w:val="20"/>
                <w:szCs w:val="20"/>
                <w:lang w:val="es-ES" w:eastAsia="en-GB"/>
              </w:rPr>
              <w:t>:</w:t>
            </w:r>
            <w:r w:rsidR="006712F6" w:rsidRPr="00064323">
              <w:rPr>
                <w:rFonts w:eastAsia="Times New Roman" w:cs="Calibri"/>
                <w:noProof/>
                <w:sz w:val="20"/>
                <w:szCs w:val="20"/>
                <w:lang w:val="es-ES" w:eastAsia="en-GB"/>
              </w:rPr>
              <w:t xml:space="preserve"> </w:t>
            </w:r>
          </w:p>
          <w:p w14:paraId="572960C3" w14:textId="05A2A238" w:rsidR="006712F6" w:rsidRPr="00064323" w:rsidRDefault="005A02E1" w:rsidP="008E66EE">
            <w:pPr>
              <w:ind w:left="0" w:firstLine="0"/>
              <w:rPr>
                <w:rFonts w:eastAsia="Times New Roman" w:cs="Calibri"/>
                <w:noProof/>
                <w:sz w:val="20"/>
                <w:szCs w:val="20"/>
                <w:lang w:val="es-ES" w:eastAsia="en-GB"/>
              </w:rPr>
            </w:pPr>
            <w:r w:rsidRPr="00064323">
              <w:rPr>
                <w:rFonts w:eastAsia="Times New Roman" w:cs="Calibri"/>
                <w:noProof/>
                <w:sz w:val="20"/>
                <w:szCs w:val="20"/>
                <w:lang w:val="es-ES" w:eastAsia="en-GB"/>
              </w:rPr>
              <w:t>La ejecución de 73 000 para la aplicación del plan de creación de capacidad continúa en el próximo trienio.</w:t>
            </w:r>
            <w:r w:rsidR="006712F6" w:rsidRPr="00064323">
              <w:rPr>
                <w:rFonts w:eastAsia="Times New Roman" w:cs="Calibri"/>
                <w:noProof/>
                <w:sz w:val="20"/>
                <w:szCs w:val="20"/>
                <w:lang w:val="es-ES" w:eastAsia="en-GB"/>
              </w:rPr>
              <w:br/>
            </w:r>
            <w:r w:rsidR="00622FB9" w:rsidRPr="00064323">
              <w:rPr>
                <w:rFonts w:eastAsia="Times New Roman" w:cs="Calibri"/>
                <w:b/>
                <w:bCs/>
                <w:noProof/>
                <w:sz w:val="20"/>
                <w:szCs w:val="20"/>
                <w:lang w:val="es-ES" w:eastAsia="en-GB"/>
              </w:rPr>
              <w:t>Ahorros</w:t>
            </w:r>
            <w:r w:rsidR="006712F6" w:rsidRPr="00064323">
              <w:rPr>
                <w:rFonts w:eastAsia="Times New Roman" w:cs="Calibri"/>
                <w:noProof/>
                <w:sz w:val="20"/>
                <w:szCs w:val="20"/>
                <w:lang w:val="es-ES" w:eastAsia="en-GB"/>
              </w:rPr>
              <w:t xml:space="preserve">: </w:t>
            </w:r>
            <w:r w:rsidR="007C108F">
              <w:rPr>
                <w:rFonts w:eastAsia="Times New Roman" w:cs="Calibri"/>
                <w:noProof/>
                <w:sz w:val="20"/>
                <w:szCs w:val="20"/>
                <w:lang w:val="es-ES" w:eastAsia="en-GB"/>
              </w:rPr>
              <w:t>material</w:t>
            </w:r>
            <w:r w:rsidRPr="00064323">
              <w:rPr>
                <w:rFonts w:eastAsia="Times New Roman" w:cs="Calibri"/>
                <w:noProof/>
                <w:sz w:val="20"/>
                <w:szCs w:val="20"/>
                <w:lang w:val="es-ES" w:eastAsia="en-GB"/>
              </w:rPr>
              <w:t xml:space="preserve"> y equipo de oficina.</w:t>
            </w:r>
          </w:p>
        </w:tc>
      </w:tr>
      <w:tr w:rsidR="006712F6" w:rsidRPr="001441B9" w14:paraId="6CB67644" w14:textId="77777777" w:rsidTr="0017480B">
        <w:trPr>
          <w:cantSplit/>
        </w:trPr>
        <w:tc>
          <w:tcPr>
            <w:tcW w:w="1560" w:type="dxa"/>
            <w:tcBorders>
              <w:top w:val="nil"/>
              <w:left w:val="single" w:sz="4" w:space="0" w:color="auto"/>
              <w:bottom w:val="single" w:sz="4" w:space="0" w:color="auto"/>
              <w:right w:val="single" w:sz="4" w:space="0" w:color="auto"/>
            </w:tcBorders>
            <w:shd w:val="clear" w:color="auto" w:fill="auto"/>
            <w:noWrap/>
            <w:hideMark/>
          </w:tcPr>
          <w:p w14:paraId="556ED840" w14:textId="215B9859" w:rsidR="006712F6" w:rsidRPr="00064323" w:rsidRDefault="00830610" w:rsidP="008F7FC4">
            <w:pPr>
              <w:ind w:left="0" w:firstLine="0"/>
              <w:rPr>
                <w:rFonts w:eastAsia="Times New Roman" w:cs="Calibri"/>
                <w:noProof/>
                <w:color w:val="000000"/>
                <w:sz w:val="20"/>
                <w:szCs w:val="20"/>
                <w:lang w:val="es-ES" w:eastAsia="en-GB"/>
              </w:rPr>
            </w:pPr>
            <w:r w:rsidRPr="00064323">
              <w:rPr>
                <w:rFonts w:asciiTheme="minorHAnsi" w:hAnsiTheme="minorHAnsi"/>
                <w:noProof/>
                <w:color w:val="000000"/>
                <w:sz w:val="20"/>
                <w:szCs w:val="20"/>
                <w:lang w:val="es-ES"/>
              </w:rPr>
              <w:t>Servicios para el Comité Permanente</w:t>
            </w:r>
          </w:p>
        </w:tc>
        <w:tc>
          <w:tcPr>
            <w:tcW w:w="1370" w:type="dxa"/>
            <w:tcBorders>
              <w:top w:val="nil"/>
              <w:left w:val="nil"/>
              <w:bottom w:val="single" w:sz="4" w:space="0" w:color="auto"/>
              <w:right w:val="single" w:sz="4" w:space="0" w:color="auto"/>
            </w:tcBorders>
            <w:shd w:val="clear" w:color="auto" w:fill="auto"/>
            <w:hideMark/>
          </w:tcPr>
          <w:p w14:paraId="186AF05C" w14:textId="24F020DB" w:rsidR="006712F6" w:rsidRPr="00064323" w:rsidRDefault="00430A7A" w:rsidP="00FB0D9D">
            <w:pPr>
              <w:ind w:left="0" w:firstLine="0"/>
              <w:jc w:val="right"/>
              <w:rPr>
                <w:rFonts w:eastAsia="Times New Roman" w:cs="Calibri"/>
                <w:noProof/>
                <w:sz w:val="20"/>
                <w:szCs w:val="20"/>
                <w:lang w:val="es-ES" w:eastAsia="en-GB"/>
              </w:rPr>
            </w:pPr>
            <w:r w:rsidRPr="00064323">
              <w:rPr>
                <w:rFonts w:eastAsia="Times New Roman" w:cs="Calibri"/>
                <w:noProof/>
                <w:sz w:val="20"/>
                <w:szCs w:val="20"/>
                <w:lang w:val="es-ES" w:eastAsia="en-GB"/>
              </w:rPr>
              <w:t>25</w:t>
            </w:r>
          </w:p>
        </w:tc>
        <w:tc>
          <w:tcPr>
            <w:tcW w:w="1370" w:type="dxa"/>
            <w:tcBorders>
              <w:top w:val="nil"/>
              <w:left w:val="nil"/>
              <w:bottom w:val="single" w:sz="4" w:space="0" w:color="auto"/>
              <w:right w:val="single" w:sz="4" w:space="0" w:color="auto"/>
            </w:tcBorders>
            <w:shd w:val="clear" w:color="auto" w:fill="auto"/>
            <w:hideMark/>
          </w:tcPr>
          <w:p w14:paraId="5993BC7B" w14:textId="2B29354C" w:rsidR="006712F6" w:rsidRPr="00064323" w:rsidRDefault="00430A7A" w:rsidP="00FB0D9D">
            <w:pPr>
              <w:ind w:left="0" w:firstLine="0"/>
              <w:jc w:val="right"/>
              <w:rPr>
                <w:rFonts w:eastAsia="Times New Roman" w:cs="Calibri"/>
                <w:noProof/>
                <w:sz w:val="20"/>
                <w:szCs w:val="20"/>
                <w:lang w:val="es-ES" w:eastAsia="en-GB"/>
              </w:rPr>
            </w:pPr>
            <w:r w:rsidRPr="00064323">
              <w:rPr>
                <w:rFonts w:eastAsia="Times New Roman" w:cs="Calibri"/>
                <w:noProof/>
                <w:sz w:val="20"/>
                <w:szCs w:val="20"/>
                <w:lang w:val="es-ES" w:eastAsia="en-GB"/>
              </w:rPr>
              <w:t>58</w:t>
            </w:r>
          </w:p>
        </w:tc>
        <w:tc>
          <w:tcPr>
            <w:tcW w:w="1370" w:type="dxa"/>
            <w:tcBorders>
              <w:top w:val="nil"/>
              <w:left w:val="nil"/>
              <w:bottom w:val="single" w:sz="4" w:space="0" w:color="auto"/>
              <w:right w:val="single" w:sz="4" w:space="0" w:color="auto"/>
            </w:tcBorders>
            <w:shd w:val="clear" w:color="auto" w:fill="auto"/>
            <w:noWrap/>
            <w:hideMark/>
          </w:tcPr>
          <w:p w14:paraId="13B2AA54" w14:textId="66EE5FE0" w:rsidR="006712F6" w:rsidRPr="00064323" w:rsidRDefault="00430A7A" w:rsidP="00FB0D9D">
            <w:pPr>
              <w:ind w:left="0" w:firstLine="0"/>
              <w:jc w:val="right"/>
              <w:rPr>
                <w:rFonts w:eastAsia="Times New Roman" w:cs="Calibri"/>
                <w:noProof/>
                <w:sz w:val="20"/>
                <w:szCs w:val="20"/>
                <w:lang w:val="es-ES" w:eastAsia="en-GB"/>
              </w:rPr>
            </w:pPr>
            <w:r w:rsidRPr="00064323">
              <w:rPr>
                <w:rFonts w:eastAsia="Times New Roman" w:cs="Calibri"/>
                <w:noProof/>
                <w:sz w:val="20"/>
                <w:szCs w:val="20"/>
                <w:lang w:val="es-ES" w:eastAsia="en-GB"/>
              </w:rPr>
              <w:t>83</w:t>
            </w:r>
          </w:p>
        </w:tc>
        <w:tc>
          <w:tcPr>
            <w:tcW w:w="3828" w:type="dxa"/>
            <w:tcBorders>
              <w:top w:val="nil"/>
              <w:left w:val="nil"/>
              <w:bottom w:val="single" w:sz="4" w:space="0" w:color="auto"/>
              <w:right w:val="single" w:sz="4" w:space="0" w:color="auto"/>
            </w:tcBorders>
            <w:shd w:val="clear" w:color="auto" w:fill="auto"/>
            <w:hideMark/>
          </w:tcPr>
          <w:p w14:paraId="20A3E2E9" w14:textId="50895EA2" w:rsidR="005A02E1" w:rsidRPr="00064323" w:rsidRDefault="002D4D68" w:rsidP="0017480B">
            <w:pPr>
              <w:ind w:left="0" w:firstLine="0"/>
              <w:rPr>
                <w:rFonts w:eastAsia="Times New Roman" w:cs="Calibri"/>
                <w:noProof/>
                <w:sz w:val="20"/>
                <w:szCs w:val="20"/>
                <w:lang w:val="es-ES" w:eastAsia="en-GB"/>
              </w:rPr>
            </w:pPr>
            <w:r>
              <w:rPr>
                <w:rFonts w:eastAsia="Times New Roman" w:cs="Calibri"/>
                <w:b/>
                <w:bCs/>
                <w:noProof/>
                <w:color w:val="000000"/>
                <w:sz w:val="20"/>
                <w:szCs w:val="20"/>
                <w:lang w:val="es-ES" w:eastAsia="en-GB"/>
              </w:rPr>
              <w:t>Previamente comprometidos</w:t>
            </w:r>
            <w:r w:rsidRPr="00064323">
              <w:rPr>
                <w:rFonts w:eastAsia="Times New Roman" w:cs="Calibri"/>
                <w:b/>
                <w:bCs/>
                <w:noProof/>
                <w:color w:val="000000"/>
                <w:sz w:val="20"/>
                <w:szCs w:val="20"/>
                <w:lang w:val="es-ES" w:eastAsia="en-GB"/>
              </w:rPr>
              <w:t xml:space="preserve"> </w:t>
            </w:r>
            <w:r w:rsidR="00622FB9" w:rsidRPr="00064323">
              <w:rPr>
                <w:rFonts w:eastAsia="Times New Roman" w:cs="Calibri"/>
                <w:b/>
                <w:bCs/>
                <w:noProof/>
                <w:color w:val="000000"/>
                <w:sz w:val="20"/>
                <w:szCs w:val="20"/>
                <w:lang w:val="es-ES" w:eastAsia="en-GB"/>
              </w:rPr>
              <w:t>o previstos</w:t>
            </w:r>
            <w:r w:rsidR="006712F6" w:rsidRPr="00064323">
              <w:rPr>
                <w:rFonts w:eastAsia="Times New Roman" w:cs="Calibri"/>
                <w:b/>
                <w:bCs/>
                <w:noProof/>
                <w:sz w:val="20"/>
                <w:szCs w:val="20"/>
                <w:lang w:val="es-ES" w:eastAsia="en-GB"/>
              </w:rPr>
              <w:t>:</w:t>
            </w:r>
            <w:r w:rsidR="006712F6" w:rsidRPr="00064323">
              <w:rPr>
                <w:rFonts w:eastAsia="Times New Roman" w:cs="Calibri"/>
                <w:noProof/>
                <w:sz w:val="20"/>
                <w:szCs w:val="20"/>
                <w:lang w:val="es-ES" w:eastAsia="en-GB"/>
              </w:rPr>
              <w:t xml:space="preserve"> </w:t>
            </w:r>
          </w:p>
          <w:p w14:paraId="48F0D397" w14:textId="38345331" w:rsidR="005A02E1" w:rsidRPr="00064323" w:rsidRDefault="005A02E1" w:rsidP="0017480B">
            <w:pPr>
              <w:ind w:left="0" w:firstLine="0"/>
              <w:rPr>
                <w:rFonts w:eastAsia="Times New Roman" w:cs="Calibri"/>
                <w:noProof/>
                <w:sz w:val="20"/>
                <w:szCs w:val="20"/>
                <w:lang w:val="es-ES" w:eastAsia="en-GB"/>
              </w:rPr>
            </w:pPr>
            <w:r w:rsidRPr="00064323">
              <w:rPr>
                <w:rFonts w:eastAsia="Times New Roman" w:cs="Calibri"/>
                <w:noProof/>
                <w:sz w:val="20"/>
                <w:szCs w:val="20"/>
                <w:lang w:val="es-ES" w:eastAsia="en-GB"/>
              </w:rPr>
              <w:t>(i) 9 000 para la reunión del Comité Permanente, (ii) 14 000 para el Grupo de trabajo sobre la eficacia, y (ii) 2 000 para el examen de las resoluciones (Resolución XIII.4).</w:t>
            </w:r>
          </w:p>
          <w:p w14:paraId="483D24B8" w14:textId="737D986C" w:rsidR="006712F6" w:rsidRPr="00064323" w:rsidRDefault="00F750C7" w:rsidP="0017480B">
            <w:pPr>
              <w:ind w:left="0" w:firstLine="0"/>
              <w:rPr>
                <w:rFonts w:eastAsia="Times New Roman" w:cs="Calibri"/>
                <w:noProof/>
                <w:sz w:val="20"/>
                <w:szCs w:val="20"/>
                <w:lang w:val="es-ES" w:eastAsia="en-GB"/>
              </w:rPr>
            </w:pPr>
            <w:r w:rsidRPr="00064323">
              <w:rPr>
                <w:rFonts w:eastAsia="Times New Roman" w:cs="Calibri"/>
                <w:b/>
                <w:bCs/>
                <w:noProof/>
                <w:sz w:val="20"/>
                <w:szCs w:val="20"/>
                <w:lang w:val="es-ES" w:eastAsia="en-GB"/>
              </w:rPr>
              <w:t>Ahorros:</w:t>
            </w:r>
            <w:r w:rsidRPr="00064323">
              <w:rPr>
                <w:rFonts w:eastAsia="Times New Roman" w:cs="Calibri"/>
                <w:noProof/>
                <w:sz w:val="20"/>
                <w:szCs w:val="20"/>
                <w:lang w:val="es-ES" w:eastAsia="en-GB"/>
              </w:rPr>
              <w:t xml:space="preserve"> Servicios del Comité Permanente y apoyo a los delegados </w:t>
            </w:r>
            <w:r w:rsidR="00123C65">
              <w:rPr>
                <w:rFonts w:eastAsia="Times New Roman" w:cs="Calibri"/>
                <w:noProof/>
                <w:sz w:val="20"/>
                <w:szCs w:val="20"/>
                <w:lang w:val="es-ES" w:eastAsia="en-GB"/>
              </w:rPr>
              <w:t>dado que no se celebró</w:t>
            </w:r>
            <w:r w:rsidRPr="00064323">
              <w:rPr>
                <w:rFonts w:eastAsia="Times New Roman" w:cs="Calibri"/>
                <w:noProof/>
                <w:sz w:val="20"/>
                <w:szCs w:val="20"/>
                <w:lang w:val="es-ES" w:eastAsia="en-GB"/>
              </w:rPr>
              <w:t xml:space="preserve"> la reunión presencial.</w:t>
            </w:r>
          </w:p>
        </w:tc>
      </w:tr>
      <w:tr w:rsidR="006712F6" w:rsidRPr="001441B9" w14:paraId="70081F2A" w14:textId="77777777" w:rsidTr="0017480B">
        <w:trPr>
          <w:cantSplit/>
        </w:trPr>
        <w:tc>
          <w:tcPr>
            <w:tcW w:w="1560" w:type="dxa"/>
            <w:tcBorders>
              <w:top w:val="nil"/>
              <w:left w:val="single" w:sz="4" w:space="0" w:color="auto"/>
              <w:bottom w:val="single" w:sz="4" w:space="0" w:color="auto"/>
              <w:right w:val="single" w:sz="4" w:space="0" w:color="auto"/>
            </w:tcBorders>
            <w:shd w:val="clear" w:color="auto" w:fill="auto"/>
            <w:hideMark/>
          </w:tcPr>
          <w:p w14:paraId="2EE3FD39" w14:textId="316D72B4" w:rsidR="006712F6" w:rsidRPr="00064323" w:rsidRDefault="00830610" w:rsidP="008F7FC4">
            <w:pPr>
              <w:ind w:left="0" w:firstLine="0"/>
              <w:rPr>
                <w:rFonts w:eastAsia="Times New Roman" w:cs="Calibri"/>
                <w:noProof/>
                <w:color w:val="000000"/>
                <w:sz w:val="20"/>
                <w:szCs w:val="20"/>
                <w:lang w:val="es-ES" w:eastAsia="en-GB"/>
              </w:rPr>
            </w:pPr>
            <w:r w:rsidRPr="00064323">
              <w:rPr>
                <w:rFonts w:asciiTheme="minorHAnsi" w:hAnsiTheme="minorHAnsi"/>
                <w:noProof/>
                <w:color w:val="000000"/>
                <w:sz w:val="20"/>
                <w:szCs w:val="20"/>
                <w:lang w:val="es-ES"/>
              </w:rPr>
              <w:t>Provisiones, diferencias de tipo de cambio y servicios jurídicos</w:t>
            </w:r>
          </w:p>
        </w:tc>
        <w:tc>
          <w:tcPr>
            <w:tcW w:w="1370" w:type="dxa"/>
            <w:tcBorders>
              <w:top w:val="nil"/>
              <w:left w:val="nil"/>
              <w:bottom w:val="single" w:sz="4" w:space="0" w:color="auto"/>
              <w:right w:val="single" w:sz="4" w:space="0" w:color="auto"/>
            </w:tcBorders>
            <w:shd w:val="clear" w:color="auto" w:fill="auto"/>
            <w:hideMark/>
          </w:tcPr>
          <w:p w14:paraId="7B764A8C" w14:textId="1104F8C8" w:rsidR="006712F6" w:rsidRPr="00064323" w:rsidRDefault="00D85F2C" w:rsidP="00FB0D9D">
            <w:pPr>
              <w:ind w:left="0" w:firstLine="0"/>
              <w:jc w:val="right"/>
              <w:rPr>
                <w:rFonts w:eastAsia="Times New Roman" w:cs="Calibri"/>
                <w:noProof/>
                <w:sz w:val="20"/>
                <w:szCs w:val="20"/>
                <w:lang w:val="es-ES" w:eastAsia="en-GB"/>
              </w:rPr>
            </w:pPr>
            <w:r w:rsidRPr="00064323">
              <w:rPr>
                <w:rFonts w:eastAsia="Times New Roman" w:cs="Calibri"/>
                <w:noProof/>
                <w:sz w:val="20"/>
                <w:szCs w:val="20"/>
                <w:lang w:val="es-ES" w:eastAsia="en-GB"/>
              </w:rPr>
              <w:t>62</w:t>
            </w:r>
          </w:p>
        </w:tc>
        <w:tc>
          <w:tcPr>
            <w:tcW w:w="1370" w:type="dxa"/>
            <w:tcBorders>
              <w:top w:val="nil"/>
              <w:left w:val="nil"/>
              <w:bottom w:val="single" w:sz="4" w:space="0" w:color="auto"/>
              <w:right w:val="single" w:sz="4" w:space="0" w:color="auto"/>
            </w:tcBorders>
            <w:shd w:val="clear" w:color="auto" w:fill="auto"/>
            <w:hideMark/>
          </w:tcPr>
          <w:p w14:paraId="0416CAB5" w14:textId="06C8B91F" w:rsidR="006712F6" w:rsidRPr="00064323" w:rsidRDefault="00D85F2C" w:rsidP="00FB0D9D">
            <w:pPr>
              <w:ind w:left="0" w:firstLine="0"/>
              <w:jc w:val="right"/>
              <w:rPr>
                <w:rFonts w:eastAsia="Times New Roman" w:cs="Calibri"/>
                <w:noProof/>
                <w:sz w:val="20"/>
                <w:szCs w:val="20"/>
                <w:lang w:val="es-ES" w:eastAsia="en-GB"/>
              </w:rPr>
            </w:pPr>
            <w:r w:rsidRPr="00064323">
              <w:rPr>
                <w:rFonts w:eastAsia="Times New Roman" w:cs="Calibri"/>
                <w:noProof/>
                <w:sz w:val="20"/>
                <w:szCs w:val="20"/>
                <w:lang w:val="es-ES" w:eastAsia="en-GB"/>
              </w:rPr>
              <w:t>560</w:t>
            </w:r>
          </w:p>
        </w:tc>
        <w:tc>
          <w:tcPr>
            <w:tcW w:w="1370" w:type="dxa"/>
            <w:tcBorders>
              <w:top w:val="nil"/>
              <w:left w:val="nil"/>
              <w:bottom w:val="single" w:sz="4" w:space="0" w:color="auto"/>
              <w:right w:val="single" w:sz="4" w:space="0" w:color="auto"/>
            </w:tcBorders>
            <w:shd w:val="clear" w:color="auto" w:fill="auto"/>
            <w:noWrap/>
            <w:hideMark/>
          </w:tcPr>
          <w:p w14:paraId="796B4051" w14:textId="5D729108" w:rsidR="006712F6" w:rsidRPr="00064323" w:rsidRDefault="00543927" w:rsidP="00FB0D9D">
            <w:pPr>
              <w:ind w:left="0" w:firstLine="0"/>
              <w:jc w:val="right"/>
              <w:rPr>
                <w:rFonts w:eastAsia="Times New Roman" w:cs="Calibri"/>
                <w:noProof/>
                <w:sz w:val="20"/>
                <w:szCs w:val="20"/>
                <w:lang w:val="es-ES" w:eastAsia="en-GB"/>
              </w:rPr>
            </w:pPr>
            <w:r w:rsidRPr="00064323">
              <w:rPr>
                <w:rFonts w:eastAsia="Times New Roman" w:cs="Calibri"/>
                <w:noProof/>
                <w:sz w:val="20"/>
                <w:szCs w:val="20"/>
                <w:lang w:val="es-ES" w:eastAsia="en-GB"/>
              </w:rPr>
              <w:t>622</w:t>
            </w:r>
          </w:p>
        </w:tc>
        <w:tc>
          <w:tcPr>
            <w:tcW w:w="3828" w:type="dxa"/>
            <w:tcBorders>
              <w:top w:val="nil"/>
              <w:left w:val="nil"/>
              <w:bottom w:val="single" w:sz="4" w:space="0" w:color="auto"/>
              <w:right w:val="single" w:sz="4" w:space="0" w:color="auto"/>
            </w:tcBorders>
            <w:shd w:val="clear" w:color="auto" w:fill="auto"/>
            <w:hideMark/>
          </w:tcPr>
          <w:p w14:paraId="38BD7409" w14:textId="452E68BF" w:rsidR="006478B4" w:rsidRPr="00064323" w:rsidRDefault="002D4D68" w:rsidP="00891CBE">
            <w:pPr>
              <w:ind w:left="0" w:firstLine="0"/>
              <w:rPr>
                <w:rFonts w:eastAsia="Times New Roman" w:cs="Calibri"/>
                <w:noProof/>
                <w:sz w:val="20"/>
                <w:szCs w:val="20"/>
                <w:lang w:val="es-ES" w:eastAsia="en-GB"/>
              </w:rPr>
            </w:pPr>
            <w:r>
              <w:rPr>
                <w:rFonts w:eastAsia="Times New Roman" w:cs="Calibri"/>
                <w:b/>
                <w:bCs/>
                <w:noProof/>
                <w:color w:val="000000"/>
                <w:sz w:val="20"/>
                <w:szCs w:val="20"/>
                <w:lang w:val="es-ES" w:eastAsia="en-GB"/>
              </w:rPr>
              <w:t>Previamente comprometidos</w:t>
            </w:r>
            <w:r w:rsidRPr="00064323">
              <w:rPr>
                <w:rFonts w:eastAsia="Times New Roman" w:cs="Calibri"/>
                <w:b/>
                <w:bCs/>
                <w:noProof/>
                <w:color w:val="000000"/>
                <w:sz w:val="20"/>
                <w:szCs w:val="20"/>
                <w:lang w:val="es-ES" w:eastAsia="en-GB"/>
              </w:rPr>
              <w:t xml:space="preserve"> </w:t>
            </w:r>
            <w:r w:rsidR="00622FB9" w:rsidRPr="00064323">
              <w:rPr>
                <w:rFonts w:eastAsia="Times New Roman" w:cs="Calibri"/>
                <w:b/>
                <w:bCs/>
                <w:noProof/>
                <w:color w:val="000000"/>
                <w:sz w:val="20"/>
                <w:szCs w:val="20"/>
                <w:lang w:val="es-ES" w:eastAsia="en-GB"/>
              </w:rPr>
              <w:t>o previstos</w:t>
            </w:r>
            <w:r w:rsidR="006712F6" w:rsidRPr="00064323">
              <w:rPr>
                <w:rFonts w:eastAsia="Times New Roman" w:cs="Calibri"/>
                <w:b/>
                <w:bCs/>
                <w:noProof/>
                <w:sz w:val="20"/>
                <w:szCs w:val="20"/>
                <w:lang w:val="es-ES" w:eastAsia="en-GB"/>
              </w:rPr>
              <w:t>:</w:t>
            </w:r>
            <w:r w:rsidR="006712F6" w:rsidRPr="00064323">
              <w:rPr>
                <w:rFonts w:eastAsia="Times New Roman" w:cs="Calibri"/>
                <w:noProof/>
                <w:sz w:val="20"/>
                <w:szCs w:val="20"/>
                <w:lang w:val="es-ES" w:eastAsia="en-GB"/>
              </w:rPr>
              <w:t xml:space="preserve"> </w:t>
            </w:r>
          </w:p>
          <w:p w14:paraId="73CDE01C" w14:textId="4300F387" w:rsidR="006478B4" w:rsidRPr="00064323" w:rsidRDefault="006478B4" w:rsidP="00891CBE">
            <w:pPr>
              <w:ind w:left="0" w:firstLine="0"/>
              <w:rPr>
                <w:rFonts w:eastAsia="Times New Roman" w:cs="Calibri"/>
                <w:noProof/>
                <w:sz w:val="20"/>
                <w:szCs w:val="20"/>
                <w:lang w:val="es-ES" w:eastAsia="en-GB"/>
              </w:rPr>
            </w:pPr>
            <w:r w:rsidRPr="00064323">
              <w:rPr>
                <w:rFonts w:eastAsia="Times New Roman" w:cs="Calibri"/>
                <w:noProof/>
                <w:sz w:val="20"/>
                <w:szCs w:val="20"/>
                <w:lang w:val="es-ES" w:eastAsia="en-GB"/>
              </w:rPr>
              <w:t xml:space="preserve">(i) honorarios jurídicos: 8 000 para el análisis financiero de la situación jurídica de la Secretaría, 38 000 para </w:t>
            </w:r>
            <w:r w:rsidR="00123C65">
              <w:rPr>
                <w:rFonts w:eastAsia="Times New Roman" w:cs="Calibri"/>
                <w:noProof/>
                <w:sz w:val="20"/>
                <w:szCs w:val="20"/>
                <w:lang w:val="es-ES" w:eastAsia="en-GB"/>
              </w:rPr>
              <w:t xml:space="preserve">el </w:t>
            </w:r>
            <w:r w:rsidRPr="00064323">
              <w:rPr>
                <w:rFonts w:eastAsia="Times New Roman" w:cs="Calibri"/>
                <w:noProof/>
                <w:sz w:val="20"/>
                <w:szCs w:val="20"/>
                <w:lang w:val="es-ES" w:eastAsia="en-GB"/>
              </w:rPr>
              <w:t>asesoramiento jurídico y 16 000 para la auditoría.</w:t>
            </w:r>
          </w:p>
          <w:p w14:paraId="228F56F8" w14:textId="7914B882" w:rsidR="006712F6" w:rsidRPr="00064323" w:rsidRDefault="006478B4" w:rsidP="00891CBE">
            <w:pPr>
              <w:ind w:left="0" w:firstLine="0"/>
              <w:rPr>
                <w:rFonts w:eastAsia="Times New Roman" w:cs="Calibri"/>
                <w:noProof/>
                <w:sz w:val="20"/>
                <w:szCs w:val="20"/>
                <w:lang w:val="es-ES" w:eastAsia="en-GB"/>
              </w:rPr>
            </w:pPr>
            <w:r w:rsidRPr="00064323">
              <w:rPr>
                <w:rFonts w:eastAsia="Times New Roman" w:cs="Calibri"/>
                <w:b/>
                <w:bCs/>
                <w:noProof/>
                <w:sz w:val="20"/>
                <w:szCs w:val="20"/>
                <w:lang w:val="es-ES" w:eastAsia="en-GB"/>
              </w:rPr>
              <w:t>Ahorros:</w:t>
            </w:r>
            <w:r w:rsidRPr="00064323">
              <w:rPr>
                <w:rFonts w:eastAsia="Times New Roman" w:cs="Calibri"/>
                <w:noProof/>
                <w:sz w:val="20"/>
                <w:szCs w:val="20"/>
                <w:lang w:val="es-ES" w:eastAsia="en-GB"/>
              </w:rPr>
              <w:t xml:space="preserve"> netos de (i) 85 000 de provisiones para el personal, (ii) 59 000 de ahorro</w:t>
            </w:r>
            <w:r w:rsidR="00123C65">
              <w:rPr>
                <w:rFonts w:eastAsia="Times New Roman" w:cs="Calibri"/>
                <w:noProof/>
                <w:sz w:val="20"/>
                <w:szCs w:val="20"/>
                <w:lang w:val="es-ES" w:eastAsia="en-GB"/>
              </w:rPr>
              <w:t>s</w:t>
            </w:r>
            <w:r w:rsidRPr="00064323">
              <w:rPr>
                <w:rFonts w:eastAsia="Times New Roman" w:cs="Calibri"/>
                <w:noProof/>
                <w:sz w:val="20"/>
                <w:szCs w:val="20"/>
                <w:lang w:val="es-ES" w:eastAsia="en-GB"/>
              </w:rPr>
              <w:t xml:space="preserve"> en servicios jurídicos, (iii) 80 000 de ganancia</w:t>
            </w:r>
            <w:r w:rsidR="00123C65">
              <w:rPr>
                <w:rFonts w:eastAsia="Times New Roman" w:cs="Calibri"/>
                <w:noProof/>
                <w:sz w:val="20"/>
                <w:szCs w:val="20"/>
                <w:lang w:val="es-ES" w:eastAsia="en-GB"/>
              </w:rPr>
              <w:t>s</w:t>
            </w:r>
            <w:r w:rsidRPr="00064323">
              <w:rPr>
                <w:rFonts w:eastAsia="Times New Roman" w:cs="Calibri"/>
                <w:noProof/>
                <w:sz w:val="20"/>
                <w:szCs w:val="20"/>
                <w:lang w:val="es-ES" w:eastAsia="en-GB"/>
              </w:rPr>
              <w:t xml:space="preserve"> por diferencias de tipo de cambio </w:t>
            </w:r>
            <w:r w:rsidR="008224F2" w:rsidRPr="00064323">
              <w:rPr>
                <w:rFonts w:eastAsia="Times New Roman" w:cs="Calibri"/>
                <w:noProof/>
                <w:sz w:val="20"/>
                <w:szCs w:val="20"/>
                <w:lang w:val="es-ES" w:eastAsia="en-GB"/>
              </w:rPr>
              <w:t>en</w:t>
            </w:r>
            <w:r w:rsidRPr="00064323">
              <w:rPr>
                <w:rFonts w:eastAsia="Times New Roman" w:cs="Calibri"/>
                <w:noProof/>
                <w:sz w:val="20"/>
                <w:szCs w:val="20"/>
                <w:lang w:val="es-ES" w:eastAsia="en-GB"/>
              </w:rPr>
              <w:t xml:space="preserve"> el trienio 2019-2021 y (iv) 496 000 de ahorro presupuestario de la reunión SC58 de 2020.</w:t>
            </w:r>
          </w:p>
        </w:tc>
      </w:tr>
      <w:tr w:rsidR="006712F6" w:rsidRPr="00064323" w14:paraId="3D750C17" w14:textId="77777777" w:rsidTr="0017480B">
        <w:trPr>
          <w:cantSplit/>
        </w:trPr>
        <w:tc>
          <w:tcPr>
            <w:tcW w:w="1560" w:type="dxa"/>
            <w:tcBorders>
              <w:top w:val="nil"/>
              <w:left w:val="single" w:sz="4" w:space="0" w:color="auto"/>
              <w:bottom w:val="single" w:sz="4" w:space="0" w:color="auto"/>
              <w:right w:val="single" w:sz="4" w:space="0" w:color="auto"/>
            </w:tcBorders>
            <w:shd w:val="clear" w:color="000000" w:fill="DBE5F1"/>
            <w:noWrap/>
            <w:hideMark/>
          </w:tcPr>
          <w:p w14:paraId="02A07B82" w14:textId="0334DD92" w:rsidR="006712F6" w:rsidRPr="00064323" w:rsidRDefault="006712F6" w:rsidP="008F7FC4">
            <w:pPr>
              <w:ind w:left="0" w:firstLine="0"/>
              <w:rPr>
                <w:rFonts w:eastAsia="Times New Roman" w:cs="Calibri"/>
                <w:b/>
                <w:bCs/>
                <w:noProof/>
                <w:color w:val="000000"/>
                <w:sz w:val="20"/>
                <w:szCs w:val="20"/>
                <w:lang w:val="es-ES" w:eastAsia="en-GB"/>
              </w:rPr>
            </w:pPr>
            <w:r w:rsidRPr="00064323">
              <w:rPr>
                <w:rFonts w:eastAsia="Times New Roman" w:cs="Calibri"/>
                <w:b/>
                <w:bCs/>
                <w:noProof/>
                <w:color w:val="000000"/>
                <w:sz w:val="20"/>
                <w:szCs w:val="20"/>
                <w:lang w:val="es-ES" w:eastAsia="en-GB"/>
              </w:rPr>
              <w:t>Sub</w:t>
            </w:r>
            <w:r w:rsidR="00CE5889" w:rsidRPr="00064323">
              <w:rPr>
                <w:rFonts w:eastAsia="Times New Roman" w:cs="Calibri"/>
                <w:b/>
                <w:bCs/>
                <w:noProof/>
                <w:color w:val="000000"/>
                <w:sz w:val="20"/>
                <w:szCs w:val="20"/>
                <w:lang w:val="es-ES" w:eastAsia="en-GB"/>
              </w:rPr>
              <w:t>t</w:t>
            </w:r>
            <w:r w:rsidRPr="00064323">
              <w:rPr>
                <w:rFonts w:eastAsia="Times New Roman" w:cs="Calibri"/>
                <w:b/>
                <w:bCs/>
                <w:noProof/>
                <w:color w:val="000000"/>
                <w:sz w:val="20"/>
                <w:szCs w:val="20"/>
                <w:lang w:val="es-ES" w:eastAsia="en-GB"/>
              </w:rPr>
              <w:t>otal</w:t>
            </w:r>
          </w:p>
        </w:tc>
        <w:tc>
          <w:tcPr>
            <w:tcW w:w="1370" w:type="dxa"/>
            <w:tcBorders>
              <w:top w:val="nil"/>
              <w:left w:val="nil"/>
              <w:bottom w:val="single" w:sz="4" w:space="0" w:color="auto"/>
              <w:right w:val="single" w:sz="4" w:space="0" w:color="auto"/>
            </w:tcBorders>
            <w:shd w:val="clear" w:color="000000" w:fill="DBE5F1"/>
            <w:noWrap/>
            <w:hideMark/>
          </w:tcPr>
          <w:p w14:paraId="61AED768" w14:textId="071390A2" w:rsidR="006712F6" w:rsidRPr="00064323" w:rsidRDefault="00C85D9D" w:rsidP="00FB0D9D">
            <w:pPr>
              <w:ind w:left="0" w:firstLine="0"/>
              <w:jc w:val="right"/>
              <w:rPr>
                <w:rFonts w:eastAsia="Times New Roman" w:cs="Calibri"/>
                <w:b/>
                <w:bCs/>
                <w:noProof/>
                <w:color w:val="000000"/>
                <w:sz w:val="20"/>
                <w:szCs w:val="20"/>
                <w:lang w:val="es-ES" w:eastAsia="en-GB"/>
              </w:rPr>
            </w:pPr>
            <w:r w:rsidRPr="00064323">
              <w:rPr>
                <w:rFonts w:eastAsia="Times New Roman" w:cs="Calibri"/>
                <w:b/>
                <w:bCs/>
                <w:noProof/>
                <w:color w:val="000000"/>
                <w:sz w:val="20"/>
                <w:szCs w:val="20"/>
                <w:lang w:val="es-ES" w:eastAsia="en-GB"/>
              </w:rPr>
              <w:t>767</w:t>
            </w:r>
          </w:p>
        </w:tc>
        <w:tc>
          <w:tcPr>
            <w:tcW w:w="1370" w:type="dxa"/>
            <w:tcBorders>
              <w:top w:val="nil"/>
              <w:left w:val="nil"/>
              <w:bottom w:val="single" w:sz="4" w:space="0" w:color="auto"/>
              <w:right w:val="single" w:sz="4" w:space="0" w:color="auto"/>
            </w:tcBorders>
            <w:shd w:val="clear" w:color="000000" w:fill="DBE5F1"/>
            <w:noWrap/>
            <w:hideMark/>
          </w:tcPr>
          <w:p w14:paraId="0B8A9EEF" w14:textId="58CA886A" w:rsidR="006712F6" w:rsidRPr="00064323" w:rsidRDefault="00C85D9D" w:rsidP="009C5CE3">
            <w:pPr>
              <w:ind w:left="0" w:firstLine="0"/>
              <w:jc w:val="right"/>
              <w:rPr>
                <w:rFonts w:eastAsia="Times New Roman" w:cs="Calibri"/>
                <w:b/>
                <w:bCs/>
                <w:noProof/>
                <w:color w:val="000000"/>
                <w:sz w:val="20"/>
                <w:szCs w:val="20"/>
                <w:lang w:val="es-ES" w:eastAsia="en-GB"/>
              </w:rPr>
            </w:pPr>
            <w:r w:rsidRPr="00064323">
              <w:rPr>
                <w:rFonts w:eastAsia="Times New Roman" w:cs="Calibri"/>
                <w:b/>
                <w:bCs/>
                <w:noProof/>
                <w:color w:val="000000"/>
                <w:sz w:val="20"/>
                <w:szCs w:val="20"/>
                <w:lang w:val="es-ES" w:eastAsia="en-GB"/>
              </w:rPr>
              <w:t>2</w:t>
            </w:r>
            <w:r w:rsidR="00CB5AD3" w:rsidRPr="00064323">
              <w:rPr>
                <w:rFonts w:eastAsia="Times New Roman" w:cs="Calibri"/>
                <w:b/>
                <w:bCs/>
                <w:noProof/>
                <w:color w:val="000000"/>
                <w:sz w:val="20"/>
                <w:szCs w:val="20"/>
                <w:lang w:val="es-ES" w:eastAsia="en-GB"/>
              </w:rPr>
              <w:t xml:space="preserve"> </w:t>
            </w:r>
            <w:r w:rsidRPr="00064323">
              <w:rPr>
                <w:rFonts w:eastAsia="Times New Roman" w:cs="Calibri"/>
                <w:b/>
                <w:bCs/>
                <w:noProof/>
                <w:color w:val="000000"/>
                <w:sz w:val="20"/>
                <w:szCs w:val="20"/>
                <w:lang w:val="es-ES" w:eastAsia="en-GB"/>
              </w:rPr>
              <w:t>042</w:t>
            </w:r>
          </w:p>
        </w:tc>
        <w:tc>
          <w:tcPr>
            <w:tcW w:w="1370" w:type="dxa"/>
            <w:tcBorders>
              <w:top w:val="nil"/>
              <w:left w:val="nil"/>
              <w:bottom w:val="single" w:sz="4" w:space="0" w:color="auto"/>
              <w:right w:val="single" w:sz="4" w:space="0" w:color="auto"/>
            </w:tcBorders>
            <w:shd w:val="clear" w:color="000000" w:fill="DBE5F1"/>
            <w:noWrap/>
            <w:hideMark/>
          </w:tcPr>
          <w:p w14:paraId="5FFFDB63" w14:textId="70B67B48" w:rsidR="006712F6" w:rsidRPr="00064323" w:rsidRDefault="00A60D34" w:rsidP="00FB0D9D">
            <w:pPr>
              <w:ind w:left="0" w:firstLine="0"/>
              <w:jc w:val="right"/>
              <w:rPr>
                <w:rFonts w:eastAsia="Times New Roman" w:cs="Calibri"/>
                <w:b/>
                <w:bCs/>
                <w:noProof/>
                <w:color w:val="000000"/>
                <w:sz w:val="20"/>
                <w:szCs w:val="20"/>
                <w:lang w:val="es-ES" w:eastAsia="en-GB"/>
              </w:rPr>
            </w:pPr>
            <w:r w:rsidRPr="00064323">
              <w:rPr>
                <w:rFonts w:eastAsia="Times New Roman" w:cs="Calibri"/>
                <w:b/>
                <w:bCs/>
                <w:noProof/>
                <w:color w:val="000000"/>
                <w:sz w:val="20"/>
                <w:szCs w:val="20"/>
                <w:lang w:val="es-ES" w:eastAsia="en-GB"/>
              </w:rPr>
              <w:t>2</w:t>
            </w:r>
            <w:r w:rsidR="00CB5AD3" w:rsidRPr="00064323">
              <w:rPr>
                <w:rFonts w:eastAsia="Times New Roman" w:cs="Calibri"/>
                <w:b/>
                <w:bCs/>
                <w:noProof/>
                <w:color w:val="000000"/>
                <w:sz w:val="20"/>
                <w:szCs w:val="20"/>
                <w:lang w:val="es-ES" w:eastAsia="en-GB"/>
              </w:rPr>
              <w:t xml:space="preserve"> </w:t>
            </w:r>
            <w:r w:rsidR="00AA1B8D" w:rsidRPr="00064323">
              <w:rPr>
                <w:rFonts w:eastAsia="Times New Roman" w:cs="Calibri"/>
                <w:b/>
                <w:bCs/>
                <w:noProof/>
                <w:color w:val="000000"/>
                <w:sz w:val="20"/>
                <w:szCs w:val="20"/>
                <w:lang w:val="es-ES" w:eastAsia="en-GB"/>
              </w:rPr>
              <w:t>809</w:t>
            </w:r>
          </w:p>
        </w:tc>
        <w:tc>
          <w:tcPr>
            <w:tcW w:w="3828" w:type="dxa"/>
            <w:tcBorders>
              <w:top w:val="nil"/>
              <w:left w:val="nil"/>
              <w:bottom w:val="single" w:sz="4" w:space="0" w:color="auto"/>
              <w:right w:val="single" w:sz="4" w:space="0" w:color="auto"/>
            </w:tcBorders>
            <w:shd w:val="clear" w:color="000000" w:fill="DBE5F1"/>
            <w:noWrap/>
            <w:hideMark/>
          </w:tcPr>
          <w:p w14:paraId="75905761" w14:textId="77777777" w:rsidR="006712F6" w:rsidRPr="00064323" w:rsidRDefault="006712F6" w:rsidP="00FB0D9D">
            <w:pPr>
              <w:ind w:left="0" w:firstLine="0"/>
              <w:rPr>
                <w:rFonts w:eastAsia="Times New Roman" w:cs="Calibri"/>
                <w:noProof/>
                <w:color w:val="000000"/>
                <w:sz w:val="20"/>
                <w:szCs w:val="20"/>
                <w:lang w:val="es-ES" w:eastAsia="en-GB"/>
              </w:rPr>
            </w:pPr>
            <w:r w:rsidRPr="00064323">
              <w:rPr>
                <w:rFonts w:eastAsia="Times New Roman" w:cs="Calibri"/>
                <w:noProof/>
                <w:color w:val="000000"/>
                <w:sz w:val="20"/>
                <w:szCs w:val="20"/>
                <w:lang w:val="es-ES" w:eastAsia="en-GB"/>
              </w:rPr>
              <w:t> </w:t>
            </w:r>
          </w:p>
        </w:tc>
      </w:tr>
      <w:tr w:rsidR="006712F6" w:rsidRPr="001441B9" w14:paraId="124F64CA" w14:textId="77777777" w:rsidTr="0017480B">
        <w:trPr>
          <w:cantSplit/>
        </w:trPr>
        <w:tc>
          <w:tcPr>
            <w:tcW w:w="1560" w:type="dxa"/>
            <w:tcBorders>
              <w:top w:val="nil"/>
              <w:left w:val="single" w:sz="4" w:space="0" w:color="auto"/>
              <w:bottom w:val="single" w:sz="4" w:space="0" w:color="auto"/>
              <w:right w:val="single" w:sz="4" w:space="0" w:color="auto"/>
            </w:tcBorders>
            <w:shd w:val="clear" w:color="auto" w:fill="auto"/>
            <w:noWrap/>
            <w:hideMark/>
          </w:tcPr>
          <w:p w14:paraId="4E5D9EE7" w14:textId="3628DBD5" w:rsidR="006712F6" w:rsidRPr="00064323" w:rsidRDefault="00830610" w:rsidP="008F7FC4">
            <w:pPr>
              <w:ind w:left="0" w:firstLine="0"/>
              <w:outlineLvl w:val="0"/>
              <w:rPr>
                <w:rFonts w:eastAsia="Times New Roman" w:cs="Calibri"/>
                <w:noProof/>
                <w:color w:val="000000"/>
                <w:sz w:val="20"/>
                <w:szCs w:val="20"/>
                <w:lang w:val="es-ES" w:eastAsia="en-GB"/>
              </w:rPr>
            </w:pPr>
            <w:r w:rsidRPr="00064323">
              <w:rPr>
                <w:rFonts w:asciiTheme="minorHAnsi" w:hAnsiTheme="minorHAnsi"/>
                <w:noProof/>
                <w:color w:val="000000"/>
                <w:sz w:val="20"/>
                <w:szCs w:val="20"/>
                <w:lang w:val="es-ES"/>
              </w:rPr>
              <w:t>Déficit de ingresos con respecto al presupuesto</w:t>
            </w:r>
          </w:p>
        </w:tc>
        <w:tc>
          <w:tcPr>
            <w:tcW w:w="1370" w:type="dxa"/>
            <w:tcBorders>
              <w:top w:val="nil"/>
              <w:left w:val="nil"/>
              <w:bottom w:val="single" w:sz="4" w:space="0" w:color="auto"/>
              <w:right w:val="single" w:sz="4" w:space="0" w:color="auto"/>
            </w:tcBorders>
            <w:shd w:val="clear" w:color="auto" w:fill="auto"/>
            <w:hideMark/>
          </w:tcPr>
          <w:p w14:paraId="78A5E7DF" w14:textId="77777777" w:rsidR="006712F6" w:rsidRPr="00064323" w:rsidRDefault="006712F6" w:rsidP="00FB0D9D">
            <w:pPr>
              <w:ind w:left="0" w:firstLine="0"/>
              <w:jc w:val="right"/>
              <w:outlineLvl w:val="0"/>
              <w:rPr>
                <w:rFonts w:eastAsia="Times New Roman" w:cs="Calibri"/>
                <w:noProof/>
                <w:sz w:val="20"/>
                <w:szCs w:val="20"/>
                <w:lang w:val="es-ES" w:eastAsia="en-GB"/>
              </w:rPr>
            </w:pPr>
          </w:p>
        </w:tc>
        <w:tc>
          <w:tcPr>
            <w:tcW w:w="1370" w:type="dxa"/>
            <w:tcBorders>
              <w:top w:val="nil"/>
              <w:left w:val="nil"/>
              <w:bottom w:val="nil"/>
              <w:right w:val="nil"/>
            </w:tcBorders>
            <w:shd w:val="clear" w:color="auto" w:fill="auto"/>
            <w:noWrap/>
            <w:hideMark/>
          </w:tcPr>
          <w:p w14:paraId="0FBD3BB1" w14:textId="398974EA" w:rsidR="006712F6" w:rsidRPr="00064323" w:rsidRDefault="0062467F" w:rsidP="00FB0D9D">
            <w:pPr>
              <w:ind w:left="0" w:firstLine="0"/>
              <w:jc w:val="right"/>
              <w:outlineLvl w:val="0"/>
              <w:rPr>
                <w:rFonts w:eastAsia="Times New Roman" w:cs="Calibri"/>
                <w:noProof/>
                <w:sz w:val="20"/>
                <w:szCs w:val="20"/>
                <w:lang w:val="es-ES" w:eastAsia="en-GB"/>
              </w:rPr>
            </w:pPr>
            <w:r w:rsidRPr="00064323">
              <w:rPr>
                <w:rFonts w:eastAsia="Times New Roman" w:cs="Calibri"/>
                <w:noProof/>
                <w:sz w:val="20"/>
                <w:szCs w:val="20"/>
                <w:lang w:val="es-ES" w:eastAsia="en-GB"/>
              </w:rPr>
              <w:t>-</w:t>
            </w:r>
            <w:r w:rsidR="00AA1B8D" w:rsidRPr="00064323">
              <w:rPr>
                <w:rFonts w:eastAsia="Times New Roman" w:cs="Calibri"/>
                <w:noProof/>
                <w:sz w:val="20"/>
                <w:szCs w:val="20"/>
                <w:lang w:val="es-ES" w:eastAsia="en-GB"/>
              </w:rPr>
              <w:t>10</w:t>
            </w:r>
          </w:p>
        </w:tc>
        <w:tc>
          <w:tcPr>
            <w:tcW w:w="1370" w:type="dxa"/>
            <w:tcBorders>
              <w:top w:val="nil"/>
              <w:left w:val="single" w:sz="4" w:space="0" w:color="auto"/>
              <w:bottom w:val="single" w:sz="4" w:space="0" w:color="auto"/>
              <w:right w:val="single" w:sz="4" w:space="0" w:color="auto"/>
            </w:tcBorders>
            <w:shd w:val="clear" w:color="auto" w:fill="auto"/>
            <w:noWrap/>
            <w:hideMark/>
          </w:tcPr>
          <w:p w14:paraId="69A7BB82" w14:textId="695716DD" w:rsidR="006712F6" w:rsidRPr="00064323" w:rsidRDefault="006712F6" w:rsidP="00FB0D9D">
            <w:pPr>
              <w:ind w:left="0" w:firstLine="0"/>
              <w:jc w:val="right"/>
              <w:outlineLvl w:val="0"/>
              <w:rPr>
                <w:rFonts w:eastAsia="Times New Roman" w:cs="Calibri"/>
                <w:noProof/>
                <w:sz w:val="20"/>
                <w:szCs w:val="20"/>
                <w:lang w:val="es-ES" w:eastAsia="en-GB"/>
              </w:rPr>
            </w:pPr>
            <w:r w:rsidRPr="00064323">
              <w:rPr>
                <w:rFonts w:eastAsia="Times New Roman" w:cs="Calibri"/>
                <w:noProof/>
                <w:sz w:val="20"/>
                <w:szCs w:val="20"/>
                <w:lang w:val="es-ES" w:eastAsia="en-GB"/>
              </w:rPr>
              <w:t>-</w:t>
            </w:r>
            <w:r w:rsidR="00AA1B8D" w:rsidRPr="00064323">
              <w:rPr>
                <w:rFonts w:eastAsia="Times New Roman" w:cs="Calibri"/>
                <w:noProof/>
                <w:sz w:val="20"/>
                <w:szCs w:val="20"/>
                <w:lang w:val="es-ES" w:eastAsia="en-GB"/>
              </w:rPr>
              <w:t>10</w:t>
            </w:r>
          </w:p>
        </w:tc>
        <w:tc>
          <w:tcPr>
            <w:tcW w:w="3828" w:type="dxa"/>
            <w:tcBorders>
              <w:top w:val="nil"/>
              <w:left w:val="nil"/>
              <w:bottom w:val="single" w:sz="4" w:space="0" w:color="auto"/>
              <w:right w:val="single" w:sz="4" w:space="0" w:color="auto"/>
            </w:tcBorders>
            <w:shd w:val="clear" w:color="auto" w:fill="auto"/>
            <w:hideMark/>
          </w:tcPr>
          <w:p w14:paraId="62D14BA2" w14:textId="0BE26623" w:rsidR="006712F6" w:rsidRPr="00064323" w:rsidRDefault="008224F2" w:rsidP="00FB0D9D">
            <w:pPr>
              <w:ind w:left="0" w:firstLine="0"/>
              <w:outlineLvl w:val="0"/>
              <w:rPr>
                <w:rFonts w:eastAsia="Times New Roman" w:cs="Calibri"/>
                <w:noProof/>
                <w:color w:val="000000"/>
                <w:sz w:val="20"/>
                <w:szCs w:val="20"/>
                <w:lang w:val="es-ES" w:eastAsia="en-GB"/>
              </w:rPr>
            </w:pPr>
            <w:r w:rsidRPr="00064323">
              <w:rPr>
                <w:rFonts w:eastAsia="Times New Roman" w:cs="Calibri"/>
                <w:noProof/>
                <w:color w:val="000000"/>
                <w:sz w:val="20"/>
                <w:szCs w:val="20"/>
                <w:lang w:val="es-ES" w:eastAsia="en-GB"/>
              </w:rPr>
              <w:t>10 000 menos de impuesto sobre la renta e ingresos por intereses.</w:t>
            </w:r>
          </w:p>
        </w:tc>
      </w:tr>
      <w:tr w:rsidR="006712F6" w:rsidRPr="00064323" w14:paraId="67CB3B08" w14:textId="77777777" w:rsidTr="0017480B">
        <w:trPr>
          <w:cantSplit/>
        </w:trPr>
        <w:tc>
          <w:tcPr>
            <w:tcW w:w="1560" w:type="dxa"/>
            <w:tcBorders>
              <w:top w:val="nil"/>
              <w:left w:val="single" w:sz="4" w:space="0" w:color="auto"/>
              <w:bottom w:val="single" w:sz="4" w:space="0" w:color="auto"/>
              <w:right w:val="single" w:sz="4" w:space="0" w:color="auto"/>
            </w:tcBorders>
            <w:shd w:val="clear" w:color="auto" w:fill="auto"/>
            <w:noWrap/>
          </w:tcPr>
          <w:p w14:paraId="0ADA522F" w14:textId="30AE2297" w:rsidR="006712F6" w:rsidRPr="00064323" w:rsidRDefault="00830610" w:rsidP="008F7FC4">
            <w:pPr>
              <w:ind w:left="0" w:firstLine="0"/>
              <w:outlineLvl w:val="0"/>
              <w:rPr>
                <w:rFonts w:eastAsia="Times New Roman" w:cs="Calibri"/>
                <w:noProof/>
                <w:color w:val="000000"/>
                <w:sz w:val="20"/>
                <w:szCs w:val="20"/>
                <w:lang w:val="es-ES" w:eastAsia="en-GB"/>
              </w:rPr>
            </w:pPr>
            <w:r w:rsidRPr="00064323">
              <w:rPr>
                <w:rFonts w:eastAsia="Times New Roman" w:cs="Calibri"/>
                <w:noProof/>
                <w:color w:val="000000"/>
                <w:sz w:val="20"/>
                <w:szCs w:val="20"/>
                <w:lang w:val="es-ES" w:eastAsia="en-GB"/>
              </w:rPr>
              <w:t>Redondeo</w:t>
            </w:r>
          </w:p>
        </w:tc>
        <w:tc>
          <w:tcPr>
            <w:tcW w:w="1370" w:type="dxa"/>
            <w:tcBorders>
              <w:top w:val="nil"/>
              <w:left w:val="nil"/>
              <w:bottom w:val="nil"/>
              <w:right w:val="nil"/>
            </w:tcBorders>
            <w:shd w:val="clear" w:color="auto" w:fill="auto"/>
            <w:noWrap/>
            <w:hideMark/>
          </w:tcPr>
          <w:p w14:paraId="748F7C69" w14:textId="77777777" w:rsidR="006712F6" w:rsidRPr="00064323" w:rsidRDefault="006712F6" w:rsidP="00FB0D9D">
            <w:pPr>
              <w:ind w:left="0" w:firstLine="0"/>
              <w:jc w:val="right"/>
              <w:outlineLvl w:val="0"/>
              <w:rPr>
                <w:rFonts w:ascii="Arial" w:eastAsia="Times New Roman" w:hAnsi="Arial" w:cs="Arial"/>
                <w:noProof/>
                <w:color w:val="000000"/>
                <w:sz w:val="20"/>
                <w:szCs w:val="20"/>
                <w:lang w:val="es-ES" w:eastAsia="en-GB"/>
              </w:rPr>
            </w:pP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3FA4AFD8" w14:textId="323A9389" w:rsidR="006712F6" w:rsidRPr="00064323" w:rsidRDefault="00C85D9D" w:rsidP="009C5CE3">
            <w:pPr>
              <w:ind w:left="0" w:firstLine="0"/>
              <w:jc w:val="right"/>
              <w:outlineLvl w:val="0"/>
              <w:rPr>
                <w:rFonts w:eastAsia="Times New Roman" w:cs="Calibri"/>
                <w:noProof/>
                <w:color w:val="000000"/>
                <w:sz w:val="20"/>
                <w:szCs w:val="20"/>
                <w:lang w:val="es-ES" w:eastAsia="en-GB"/>
              </w:rPr>
            </w:pPr>
            <w:r w:rsidRPr="00064323">
              <w:rPr>
                <w:rFonts w:eastAsia="Times New Roman" w:cs="Calibri"/>
                <w:noProof/>
                <w:color w:val="000000"/>
                <w:sz w:val="20"/>
                <w:szCs w:val="20"/>
                <w:lang w:val="es-ES" w:eastAsia="en-GB"/>
              </w:rPr>
              <w:t>-1</w:t>
            </w:r>
          </w:p>
        </w:tc>
        <w:tc>
          <w:tcPr>
            <w:tcW w:w="1370" w:type="dxa"/>
            <w:tcBorders>
              <w:top w:val="nil"/>
              <w:left w:val="nil"/>
              <w:bottom w:val="single" w:sz="4" w:space="0" w:color="auto"/>
              <w:right w:val="single" w:sz="4" w:space="0" w:color="auto"/>
            </w:tcBorders>
            <w:shd w:val="clear" w:color="auto" w:fill="auto"/>
            <w:noWrap/>
            <w:hideMark/>
          </w:tcPr>
          <w:p w14:paraId="2BFADA4C" w14:textId="451806E3" w:rsidR="006712F6" w:rsidRPr="00064323" w:rsidRDefault="001326E7" w:rsidP="009C5CE3">
            <w:pPr>
              <w:ind w:left="0" w:firstLine="0"/>
              <w:jc w:val="right"/>
              <w:outlineLvl w:val="0"/>
              <w:rPr>
                <w:rFonts w:eastAsia="Times New Roman" w:cs="Calibri"/>
                <w:noProof/>
                <w:sz w:val="20"/>
                <w:szCs w:val="20"/>
                <w:lang w:val="es-ES" w:eastAsia="en-GB"/>
              </w:rPr>
            </w:pPr>
            <w:r w:rsidRPr="00064323">
              <w:rPr>
                <w:rFonts w:eastAsia="Times New Roman" w:cs="Calibri"/>
                <w:noProof/>
                <w:sz w:val="20"/>
                <w:szCs w:val="20"/>
                <w:lang w:val="es-ES" w:eastAsia="en-GB"/>
              </w:rPr>
              <w:t>-1</w:t>
            </w:r>
          </w:p>
        </w:tc>
        <w:tc>
          <w:tcPr>
            <w:tcW w:w="3828" w:type="dxa"/>
            <w:tcBorders>
              <w:top w:val="nil"/>
              <w:left w:val="nil"/>
              <w:bottom w:val="single" w:sz="4" w:space="0" w:color="auto"/>
              <w:right w:val="single" w:sz="4" w:space="0" w:color="auto"/>
            </w:tcBorders>
            <w:shd w:val="clear" w:color="auto" w:fill="auto"/>
            <w:noWrap/>
          </w:tcPr>
          <w:p w14:paraId="51954D81" w14:textId="674C9319" w:rsidR="006712F6" w:rsidRPr="00064323" w:rsidRDefault="00CB5AD3" w:rsidP="00FB0D9D">
            <w:pPr>
              <w:ind w:left="0" w:firstLine="0"/>
              <w:outlineLvl w:val="0"/>
              <w:rPr>
                <w:rFonts w:eastAsia="Times New Roman" w:cs="Calibri"/>
                <w:noProof/>
                <w:color w:val="000000"/>
                <w:sz w:val="20"/>
                <w:szCs w:val="20"/>
                <w:lang w:val="es-ES" w:eastAsia="en-GB"/>
              </w:rPr>
            </w:pPr>
            <w:r w:rsidRPr="00064323">
              <w:rPr>
                <w:rFonts w:eastAsia="Times New Roman" w:cs="Calibri"/>
                <w:noProof/>
                <w:color w:val="000000"/>
                <w:sz w:val="20"/>
                <w:szCs w:val="20"/>
                <w:lang w:val="es-ES" w:eastAsia="en-GB"/>
              </w:rPr>
              <w:t>Redondeo</w:t>
            </w:r>
            <w:r w:rsidR="0017480B" w:rsidRPr="00064323">
              <w:rPr>
                <w:rFonts w:eastAsia="Times New Roman" w:cs="Calibri"/>
                <w:noProof/>
                <w:color w:val="000000"/>
                <w:sz w:val="20"/>
                <w:szCs w:val="20"/>
                <w:lang w:val="es-ES" w:eastAsia="en-GB"/>
              </w:rPr>
              <w:t>.</w:t>
            </w:r>
          </w:p>
        </w:tc>
      </w:tr>
      <w:tr w:rsidR="006712F6" w:rsidRPr="00064323" w14:paraId="7DA620F3" w14:textId="77777777" w:rsidTr="0017480B">
        <w:trPr>
          <w:cantSplit/>
        </w:trPr>
        <w:tc>
          <w:tcPr>
            <w:tcW w:w="1560" w:type="dxa"/>
            <w:tcBorders>
              <w:top w:val="nil"/>
              <w:left w:val="single" w:sz="4" w:space="0" w:color="auto"/>
              <w:bottom w:val="single" w:sz="4" w:space="0" w:color="auto"/>
              <w:right w:val="single" w:sz="4" w:space="0" w:color="auto"/>
            </w:tcBorders>
            <w:shd w:val="clear" w:color="000000" w:fill="DBE5F1"/>
            <w:noWrap/>
            <w:hideMark/>
          </w:tcPr>
          <w:p w14:paraId="7AA494B1" w14:textId="10509585" w:rsidR="006712F6" w:rsidRPr="00064323" w:rsidRDefault="00830610" w:rsidP="008F7FC4">
            <w:pPr>
              <w:ind w:left="0" w:firstLine="0"/>
              <w:outlineLvl w:val="0"/>
              <w:rPr>
                <w:rFonts w:eastAsia="Times New Roman" w:cs="Calibri"/>
                <w:b/>
                <w:bCs/>
                <w:noProof/>
                <w:color w:val="000000"/>
                <w:sz w:val="20"/>
                <w:szCs w:val="20"/>
                <w:lang w:val="es-ES" w:eastAsia="en-GB"/>
              </w:rPr>
            </w:pPr>
            <w:r w:rsidRPr="00064323">
              <w:rPr>
                <w:rFonts w:asciiTheme="minorHAnsi" w:hAnsiTheme="minorHAnsi"/>
                <w:b/>
                <w:bCs/>
                <w:noProof/>
                <w:color w:val="000000"/>
                <w:sz w:val="20"/>
                <w:szCs w:val="20"/>
                <w:lang w:val="es-ES"/>
              </w:rPr>
              <w:t xml:space="preserve">Saldo total del presupuesto básico </w:t>
            </w:r>
            <w:r w:rsidR="00123C65">
              <w:rPr>
                <w:rFonts w:asciiTheme="minorHAnsi" w:hAnsiTheme="minorHAnsi"/>
                <w:b/>
                <w:bCs/>
                <w:noProof/>
                <w:color w:val="000000"/>
                <w:sz w:val="20"/>
                <w:szCs w:val="20"/>
                <w:lang w:val="es-ES"/>
              </w:rPr>
              <w:t>de</w:t>
            </w:r>
            <w:r w:rsidRPr="00064323">
              <w:rPr>
                <w:rFonts w:asciiTheme="minorHAnsi" w:hAnsiTheme="minorHAnsi"/>
                <w:b/>
                <w:bCs/>
                <w:noProof/>
                <w:color w:val="000000"/>
                <w:sz w:val="20"/>
                <w:szCs w:val="20"/>
                <w:lang w:val="es-ES"/>
              </w:rPr>
              <w:t xml:space="preserve"> </w:t>
            </w:r>
            <w:r w:rsidR="006712F6" w:rsidRPr="00064323">
              <w:rPr>
                <w:rFonts w:eastAsia="Times New Roman" w:cs="Calibri"/>
                <w:b/>
                <w:bCs/>
                <w:noProof/>
                <w:color w:val="000000"/>
                <w:sz w:val="20"/>
                <w:szCs w:val="20"/>
                <w:lang w:val="es-ES" w:eastAsia="en-GB"/>
              </w:rPr>
              <w:t>202</w:t>
            </w:r>
            <w:r w:rsidR="00E869E4" w:rsidRPr="00064323">
              <w:rPr>
                <w:rFonts w:eastAsia="Times New Roman" w:cs="Calibri"/>
                <w:b/>
                <w:bCs/>
                <w:noProof/>
                <w:color w:val="000000"/>
                <w:sz w:val="20"/>
                <w:szCs w:val="20"/>
                <w:lang w:val="es-ES" w:eastAsia="en-GB"/>
              </w:rPr>
              <w:t>1</w:t>
            </w:r>
          </w:p>
        </w:tc>
        <w:tc>
          <w:tcPr>
            <w:tcW w:w="1370" w:type="dxa"/>
            <w:tcBorders>
              <w:top w:val="single" w:sz="4" w:space="0" w:color="auto"/>
              <w:left w:val="nil"/>
              <w:bottom w:val="single" w:sz="4" w:space="0" w:color="auto"/>
              <w:right w:val="single" w:sz="4" w:space="0" w:color="auto"/>
            </w:tcBorders>
            <w:shd w:val="clear" w:color="000000" w:fill="DBE5F1"/>
            <w:noWrap/>
            <w:hideMark/>
          </w:tcPr>
          <w:p w14:paraId="16E954FF" w14:textId="68B6A2FA" w:rsidR="006712F6" w:rsidRPr="00064323" w:rsidRDefault="00C85D9D" w:rsidP="00FB0D9D">
            <w:pPr>
              <w:ind w:left="0" w:firstLine="0"/>
              <w:jc w:val="right"/>
              <w:outlineLvl w:val="0"/>
              <w:rPr>
                <w:rFonts w:eastAsia="Times New Roman" w:cs="Calibri"/>
                <w:b/>
                <w:bCs/>
                <w:noProof/>
                <w:color w:val="000000"/>
                <w:sz w:val="20"/>
                <w:szCs w:val="20"/>
                <w:lang w:val="es-ES" w:eastAsia="en-GB"/>
              </w:rPr>
            </w:pPr>
            <w:r w:rsidRPr="00064323">
              <w:rPr>
                <w:rFonts w:eastAsia="Times New Roman" w:cs="Calibri"/>
                <w:b/>
                <w:bCs/>
                <w:noProof/>
                <w:color w:val="000000"/>
                <w:sz w:val="20"/>
                <w:szCs w:val="20"/>
                <w:lang w:val="es-ES" w:eastAsia="en-GB"/>
              </w:rPr>
              <w:t>767</w:t>
            </w:r>
          </w:p>
        </w:tc>
        <w:tc>
          <w:tcPr>
            <w:tcW w:w="1370" w:type="dxa"/>
            <w:tcBorders>
              <w:top w:val="nil"/>
              <w:left w:val="nil"/>
              <w:bottom w:val="single" w:sz="4" w:space="0" w:color="auto"/>
              <w:right w:val="single" w:sz="4" w:space="0" w:color="auto"/>
            </w:tcBorders>
            <w:shd w:val="clear" w:color="000000" w:fill="DBE5F1"/>
            <w:noWrap/>
            <w:hideMark/>
          </w:tcPr>
          <w:p w14:paraId="106E7682" w14:textId="76BC9C95" w:rsidR="006712F6" w:rsidRPr="00064323" w:rsidRDefault="00C85D9D" w:rsidP="00FB0D9D">
            <w:pPr>
              <w:ind w:left="0" w:firstLine="0"/>
              <w:jc w:val="right"/>
              <w:outlineLvl w:val="0"/>
              <w:rPr>
                <w:rFonts w:eastAsia="Times New Roman" w:cs="Calibri"/>
                <w:b/>
                <w:bCs/>
                <w:noProof/>
                <w:color w:val="000000"/>
                <w:sz w:val="20"/>
                <w:szCs w:val="20"/>
                <w:lang w:val="es-ES" w:eastAsia="en-GB"/>
              </w:rPr>
            </w:pPr>
            <w:r w:rsidRPr="00064323">
              <w:rPr>
                <w:rFonts w:eastAsia="Times New Roman" w:cs="Calibri"/>
                <w:b/>
                <w:bCs/>
                <w:noProof/>
                <w:color w:val="000000"/>
                <w:sz w:val="20"/>
                <w:szCs w:val="20"/>
                <w:lang w:val="es-ES" w:eastAsia="en-GB"/>
              </w:rPr>
              <w:t>2</w:t>
            </w:r>
            <w:r w:rsidR="00CB5AD3" w:rsidRPr="00064323">
              <w:rPr>
                <w:rFonts w:eastAsia="Times New Roman" w:cs="Calibri"/>
                <w:b/>
                <w:bCs/>
                <w:noProof/>
                <w:color w:val="000000"/>
                <w:sz w:val="20"/>
                <w:szCs w:val="20"/>
                <w:lang w:val="es-ES" w:eastAsia="en-GB"/>
              </w:rPr>
              <w:t xml:space="preserve"> </w:t>
            </w:r>
            <w:r w:rsidRPr="00064323">
              <w:rPr>
                <w:rFonts w:eastAsia="Times New Roman" w:cs="Calibri"/>
                <w:b/>
                <w:bCs/>
                <w:noProof/>
                <w:color w:val="000000"/>
                <w:sz w:val="20"/>
                <w:szCs w:val="20"/>
                <w:lang w:val="es-ES" w:eastAsia="en-GB"/>
              </w:rPr>
              <w:t>031</w:t>
            </w:r>
          </w:p>
        </w:tc>
        <w:tc>
          <w:tcPr>
            <w:tcW w:w="1370" w:type="dxa"/>
            <w:tcBorders>
              <w:top w:val="nil"/>
              <w:left w:val="nil"/>
              <w:bottom w:val="single" w:sz="4" w:space="0" w:color="auto"/>
              <w:right w:val="single" w:sz="4" w:space="0" w:color="auto"/>
            </w:tcBorders>
            <w:shd w:val="clear" w:color="000000" w:fill="DBE5F1"/>
            <w:noWrap/>
            <w:hideMark/>
          </w:tcPr>
          <w:p w14:paraId="78C511B8" w14:textId="0FAFD0FA" w:rsidR="006712F6" w:rsidRPr="00064323" w:rsidRDefault="0062467F" w:rsidP="009C5CE3">
            <w:pPr>
              <w:ind w:left="0" w:firstLine="0"/>
              <w:jc w:val="right"/>
              <w:outlineLvl w:val="0"/>
              <w:rPr>
                <w:rFonts w:eastAsia="Times New Roman" w:cs="Calibri"/>
                <w:b/>
                <w:bCs/>
                <w:noProof/>
                <w:color w:val="000000"/>
                <w:sz w:val="20"/>
                <w:szCs w:val="20"/>
                <w:lang w:val="es-ES" w:eastAsia="en-GB"/>
              </w:rPr>
            </w:pPr>
            <w:r w:rsidRPr="00064323">
              <w:rPr>
                <w:rFonts w:eastAsia="Times New Roman" w:cs="Calibri"/>
                <w:b/>
                <w:bCs/>
                <w:noProof/>
                <w:color w:val="000000"/>
                <w:sz w:val="20"/>
                <w:szCs w:val="20"/>
                <w:lang w:val="es-ES" w:eastAsia="en-GB"/>
              </w:rPr>
              <w:t>2</w:t>
            </w:r>
            <w:r w:rsidR="00CB5AD3" w:rsidRPr="00064323">
              <w:rPr>
                <w:rFonts w:eastAsia="Times New Roman" w:cs="Calibri"/>
                <w:b/>
                <w:bCs/>
                <w:noProof/>
                <w:color w:val="000000"/>
                <w:sz w:val="20"/>
                <w:szCs w:val="20"/>
                <w:lang w:val="es-ES" w:eastAsia="en-GB"/>
              </w:rPr>
              <w:t xml:space="preserve"> </w:t>
            </w:r>
            <w:r w:rsidR="00AA1B8D" w:rsidRPr="00064323">
              <w:rPr>
                <w:rFonts w:eastAsia="Times New Roman" w:cs="Calibri"/>
                <w:b/>
                <w:bCs/>
                <w:noProof/>
                <w:color w:val="000000"/>
                <w:sz w:val="20"/>
                <w:szCs w:val="20"/>
                <w:lang w:val="es-ES" w:eastAsia="en-GB"/>
              </w:rPr>
              <w:t>7</w:t>
            </w:r>
            <w:r w:rsidR="00E869E4" w:rsidRPr="00064323">
              <w:rPr>
                <w:rFonts w:eastAsia="Times New Roman" w:cs="Calibri"/>
                <w:b/>
                <w:bCs/>
                <w:noProof/>
                <w:color w:val="000000"/>
                <w:sz w:val="20"/>
                <w:szCs w:val="20"/>
                <w:lang w:val="es-ES" w:eastAsia="en-GB"/>
              </w:rPr>
              <w:t>9</w:t>
            </w:r>
            <w:r w:rsidR="001326E7" w:rsidRPr="00064323">
              <w:rPr>
                <w:rFonts w:eastAsia="Times New Roman" w:cs="Calibri"/>
                <w:b/>
                <w:bCs/>
                <w:noProof/>
                <w:color w:val="000000"/>
                <w:sz w:val="20"/>
                <w:szCs w:val="20"/>
                <w:lang w:val="es-ES" w:eastAsia="en-GB"/>
              </w:rPr>
              <w:t>8</w:t>
            </w:r>
          </w:p>
        </w:tc>
        <w:tc>
          <w:tcPr>
            <w:tcW w:w="3828" w:type="dxa"/>
            <w:tcBorders>
              <w:top w:val="nil"/>
              <w:left w:val="nil"/>
              <w:bottom w:val="single" w:sz="4" w:space="0" w:color="auto"/>
              <w:right w:val="single" w:sz="4" w:space="0" w:color="auto"/>
            </w:tcBorders>
            <w:shd w:val="clear" w:color="000000" w:fill="DBE5F1"/>
            <w:noWrap/>
            <w:hideMark/>
          </w:tcPr>
          <w:p w14:paraId="3B45BE66" w14:textId="77777777" w:rsidR="006712F6" w:rsidRPr="00064323" w:rsidRDefault="006712F6" w:rsidP="00FB0D9D">
            <w:pPr>
              <w:ind w:left="0" w:firstLine="0"/>
              <w:outlineLvl w:val="0"/>
              <w:rPr>
                <w:rFonts w:eastAsia="Times New Roman" w:cs="Calibri"/>
                <w:noProof/>
                <w:color w:val="000000"/>
                <w:sz w:val="20"/>
                <w:szCs w:val="20"/>
                <w:lang w:val="es-ES" w:eastAsia="en-GB"/>
              </w:rPr>
            </w:pPr>
            <w:r w:rsidRPr="00064323">
              <w:rPr>
                <w:rFonts w:eastAsia="Times New Roman" w:cs="Calibri"/>
                <w:noProof/>
                <w:color w:val="000000"/>
                <w:sz w:val="20"/>
                <w:szCs w:val="20"/>
                <w:lang w:val="es-ES" w:eastAsia="en-GB"/>
              </w:rPr>
              <w:t> </w:t>
            </w:r>
          </w:p>
        </w:tc>
      </w:tr>
    </w:tbl>
    <w:p w14:paraId="694AF892" w14:textId="77777777" w:rsidR="0036778B" w:rsidRPr="00064323" w:rsidRDefault="0036778B" w:rsidP="005A41C9">
      <w:pPr>
        <w:ind w:left="0" w:firstLine="0"/>
        <w:rPr>
          <w:rFonts w:eastAsia="Times New Roman" w:cs="Calibri"/>
          <w:noProof/>
          <w:color w:val="000000"/>
          <w:sz w:val="20"/>
          <w:szCs w:val="20"/>
          <w:lang w:val="es-ES" w:eastAsia="en-GB"/>
        </w:rPr>
      </w:pPr>
    </w:p>
    <w:p w14:paraId="7C2EE143" w14:textId="77777777" w:rsidR="0036778B" w:rsidRPr="00064323" w:rsidRDefault="0036778B" w:rsidP="005A41C9">
      <w:pPr>
        <w:ind w:left="0" w:firstLine="0"/>
        <w:rPr>
          <w:rFonts w:eastAsia="Times New Roman" w:cs="Calibri"/>
          <w:noProof/>
          <w:color w:val="000000"/>
          <w:sz w:val="20"/>
          <w:szCs w:val="20"/>
          <w:lang w:val="es-ES" w:eastAsia="en-GB"/>
        </w:rPr>
      </w:pPr>
    </w:p>
    <w:p w14:paraId="2D84BA95" w14:textId="112D3A10" w:rsidR="004753C0" w:rsidRPr="00064323" w:rsidRDefault="00523B6B" w:rsidP="00162710">
      <w:pPr>
        <w:rPr>
          <w:noProof/>
          <w:lang w:val="es-ES"/>
        </w:rPr>
      </w:pPr>
      <w:r w:rsidRPr="0062580B">
        <w:rPr>
          <w:noProof/>
          <w:lang w:val="es-ES"/>
        </w:rPr>
        <w:t>9</w:t>
      </w:r>
      <w:r w:rsidR="00112F62" w:rsidRPr="0062580B">
        <w:rPr>
          <w:noProof/>
          <w:lang w:val="es-ES"/>
        </w:rPr>
        <w:t>.</w:t>
      </w:r>
      <w:r w:rsidR="00112F62" w:rsidRPr="0062580B">
        <w:rPr>
          <w:noProof/>
          <w:lang w:val="es-ES"/>
        </w:rPr>
        <w:tab/>
      </w:r>
      <w:r w:rsidR="0038144E" w:rsidRPr="0062580B">
        <w:rPr>
          <w:noProof/>
          <w:lang w:val="es-ES"/>
        </w:rPr>
        <w:t xml:space="preserve">Se destacan los siguientes puntos para </w:t>
      </w:r>
      <w:r w:rsidR="00AA1F55" w:rsidRPr="0062580B">
        <w:rPr>
          <w:noProof/>
          <w:lang w:val="es-ES"/>
        </w:rPr>
        <w:t>que el</w:t>
      </w:r>
      <w:r w:rsidR="0038144E" w:rsidRPr="0062580B">
        <w:rPr>
          <w:noProof/>
          <w:lang w:val="es-ES"/>
        </w:rPr>
        <w:t xml:space="preserve"> Comité Permanente</w:t>
      </w:r>
      <w:r w:rsidR="00AA1F55" w:rsidRPr="0062580B">
        <w:rPr>
          <w:noProof/>
          <w:lang w:val="es-ES"/>
        </w:rPr>
        <w:t xml:space="preserve"> los examine</w:t>
      </w:r>
      <w:r w:rsidR="0038144E" w:rsidRPr="0062580B">
        <w:rPr>
          <w:noProof/>
          <w:lang w:val="es-ES"/>
        </w:rPr>
        <w:t>:</w:t>
      </w:r>
      <w:r w:rsidR="0038144E" w:rsidRPr="00064323">
        <w:rPr>
          <w:noProof/>
          <w:lang w:val="es-ES"/>
        </w:rPr>
        <w:t xml:space="preserve"> </w:t>
      </w:r>
    </w:p>
    <w:p w14:paraId="57F6A7B1" w14:textId="77777777" w:rsidR="00112F62" w:rsidRPr="00064323" w:rsidRDefault="00112F62" w:rsidP="00162710">
      <w:pPr>
        <w:pStyle w:val="NoSpacing"/>
        <w:ind w:left="850"/>
        <w:rPr>
          <w:noProof/>
          <w:lang w:val="es-ES"/>
        </w:rPr>
      </w:pPr>
    </w:p>
    <w:p w14:paraId="075AD468" w14:textId="25BA05BE" w:rsidR="0038144E" w:rsidRPr="00064323" w:rsidRDefault="00112F62" w:rsidP="00162710">
      <w:pPr>
        <w:pStyle w:val="NoSpacing"/>
        <w:ind w:left="850"/>
        <w:rPr>
          <w:noProof/>
          <w:lang w:val="es-ES"/>
        </w:rPr>
      </w:pPr>
      <w:r w:rsidRPr="00064323">
        <w:rPr>
          <w:noProof/>
          <w:lang w:val="es-ES"/>
        </w:rPr>
        <w:t>a.</w:t>
      </w:r>
      <w:r w:rsidRPr="00064323">
        <w:rPr>
          <w:noProof/>
          <w:lang w:val="es-ES"/>
        </w:rPr>
        <w:tab/>
      </w:r>
      <w:r w:rsidR="0038144E" w:rsidRPr="00064323">
        <w:rPr>
          <w:noProof/>
          <w:lang w:val="es-ES"/>
        </w:rPr>
        <w:t>En general, los ingresos proyectados fueron los presupuestados, excepto el impuesto sobre la renta, que superó en 2 000 francos suizos el presupuestado</w:t>
      </w:r>
      <w:r w:rsidR="00A83F80">
        <w:rPr>
          <w:noProof/>
          <w:lang w:val="es-ES"/>
        </w:rPr>
        <w:t>,</w:t>
      </w:r>
      <w:r w:rsidR="00A14DDB" w:rsidRPr="00064323">
        <w:rPr>
          <w:noProof/>
          <w:lang w:val="es-ES"/>
        </w:rPr>
        <w:t xml:space="preserve"> mientras</w:t>
      </w:r>
      <w:r w:rsidR="00A83F80">
        <w:rPr>
          <w:noProof/>
          <w:lang w:val="es-ES"/>
        </w:rPr>
        <w:t xml:space="preserve"> que</w:t>
      </w:r>
      <w:r w:rsidR="00A14DDB" w:rsidRPr="00064323">
        <w:rPr>
          <w:noProof/>
          <w:lang w:val="es-ES"/>
        </w:rPr>
        <w:t xml:space="preserve"> no </w:t>
      </w:r>
      <w:r w:rsidR="0038144E" w:rsidRPr="00064323">
        <w:rPr>
          <w:noProof/>
          <w:lang w:val="es-ES"/>
        </w:rPr>
        <w:t xml:space="preserve">hubo otros ingresos ni </w:t>
      </w:r>
      <w:r w:rsidR="004D2FBF" w:rsidRPr="00064323">
        <w:rPr>
          <w:noProof/>
          <w:lang w:val="es-ES"/>
        </w:rPr>
        <w:t xml:space="preserve">ingresos por </w:t>
      </w:r>
      <w:r w:rsidR="0038144E" w:rsidRPr="00064323">
        <w:rPr>
          <w:noProof/>
          <w:lang w:val="es-ES"/>
        </w:rPr>
        <w:t>intereses.</w:t>
      </w:r>
    </w:p>
    <w:p w14:paraId="13355A05" w14:textId="77777777" w:rsidR="00126808" w:rsidRPr="00064323" w:rsidRDefault="00126808" w:rsidP="00162710">
      <w:pPr>
        <w:pStyle w:val="NoSpacing"/>
        <w:ind w:left="850"/>
        <w:rPr>
          <w:noProof/>
          <w:lang w:val="es-ES"/>
        </w:rPr>
      </w:pPr>
    </w:p>
    <w:p w14:paraId="0F733C9E" w14:textId="2E72D18A" w:rsidR="00112F62" w:rsidRPr="00064323" w:rsidRDefault="00112F62" w:rsidP="00A14DDB">
      <w:pPr>
        <w:pStyle w:val="NoSpacing"/>
        <w:ind w:left="850"/>
        <w:rPr>
          <w:noProof/>
          <w:lang w:val="es-ES"/>
        </w:rPr>
      </w:pPr>
      <w:r w:rsidRPr="00064323">
        <w:rPr>
          <w:noProof/>
          <w:lang w:val="es-ES"/>
        </w:rPr>
        <w:t>b.</w:t>
      </w:r>
      <w:r w:rsidR="000F6B45" w:rsidRPr="00064323">
        <w:rPr>
          <w:noProof/>
          <w:lang w:val="es-ES"/>
        </w:rPr>
        <w:tab/>
      </w:r>
      <w:r w:rsidR="00A14DDB" w:rsidRPr="00064323">
        <w:rPr>
          <w:noProof/>
          <w:lang w:val="es-ES"/>
        </w:rPr>
        <w:t>Los gastos salariales generales de 3 233 000 francos suizos supusieron una tasa de ejecución presupuestaria del 89 %, y los gastos salariales representaron el 70 % del gasto total.</w:t>
      </w:r>
    </w:p>
    <w:p w14:paraId="05DD5CEC" w14:textId="77777777" w:rsidR="00A14DDB" w:rsidRPr="00064323" w:rsidRDefault="00A14DDB" w:rsidP="00A14DDB">
      <w:pPr>
        <w:pStyle w:val="NoSpacing"/>
        <w:ind w:left="850"/>
        <w:rPr>
          <w:noProof/>
          <w:lang w:val="es-ES"/>
        </w:rPr>
      </w:pPr>
    </w:p>
    <w:p w14:paraId="36030F68" w14:textId="374ABCD3" w:rsidR="00A14DDB" w:rsidRPr="00064323" w:rsidRDefault="00112F62" w:rsidP="00162710">
      <w:pPr>
        <w:pStyle w:val="NoSpacing"/>
        <w:ind w:left="850"/>
        <w:rPr>
          <w:noProof/>
          <w:lang w:val="es-ES"/>
        </w:rPr>
      </w:pPr>
      <w:r w:rsidRPr="00064323">
        <w:rPr>
          <w:noProof/>
          <w:lang w:val="es-ES"/>
        </w:rPr>
        <w:t>c.</w:t>
      </w:r>
      <w:r w:rsidRPr="00064323">
        <w:rPr>
          <w:noProof/>
          <w:lang w:val="es-ES"/>
        </w:rPr>
        <w:tab/>
      </w:r>
      <w:r w:rsidR="00A14DDB" w:rsidRPr="00064323">
        <w:rPr>
          <w:noProof/>
          <w:lang w:val="es-ES"/>
        </w:rPr>
        <w:t>Desde 2011</w:t>
      </w:r>
      <w:r w:rsidR="0062580B">
        <w:rPr>
          <w:noProof/>
          <w:lang w:val="es-ES"/>
        </w:rPr>
        <w:t>,</w:t>
      </w:r>
      <w:r w:rsidR="00A14DDB" w:rsidRPr="00064323">
        <w:rPr>
          <w:noProof/>
          <w:lang w:val="es-ES"/>
        </w:rPr>
        <w:t xml:space="preserve"> </w:t>
      </w:r>
      <w:r w:rsidR="0062580B">
        <w:rPr>
          <w:noProof/>
          <w:lang w:val="es-ES"/>
        </w:rPr>
        <w:t xml:space="preserve">la UICN </w:t>
      </w:r>
      <w:r w:rsidR="00A14DDB" w:rsidRPr="00064323">
        <w:rPr>
          <w:noProof/>
          <w:lang w:val="es-ES"/>
        </w:rPr>
        <w:t xml:space="preserve">no </w:t>
      </w:r>
      <w:r w:rsidR="0062580B">
        <w:rPr>
          <w:noProof/>
          <w:lang w:val="es-ES"/>
        </w:rPr>
        <w:t>impuso</w:t>
      </w:r>
      <w:r w:rsidR="00A14DDB" w:rsidRPr="00064323">
        <w:rPr>
          <w:noProof/>
          <w:lang w:val="es-ES"/>
        </w:rPr>
        <w:t xml:space="preserve"> ningún aumento </w:t>
      </w:r>
      <w:r w:rsidR="00E17DC1" w:rsidRPr="00064323">
        <w:rPr>
          <w:noProof/>
          <w:lang w:val="es-ES"/>
        </w:rPr>
        <w:t xml:space="preserve">por </w:t>
      </w:r>
      <w:r w:rsidR="00A14DDB" w:rsidRPr="00064323">
        <w:rPr>
          <w:noProof/>
          <w:lang w:val="es-ES"/>
        </w:rPr>
        <w:t xml:space="preserve">el costo de la vida. Los aumentos salariales basados en el desempeño </w:t>
      </w:r>
      <w:r w:rsidR="00E17DC1" w:rsidRPr="00064323">
        <w:rPr>
          <w:noProof/>
          <w:lang w:val="es-ES"/>
        </w:rPr>
        <w:t>aplicados</w:t>
      </w:r>
      <w:r w:rsidR="00A14DDB" w:rsidRPr="00064323">
        <w:rPr>
          <w:noProof/>
          <w:lang w:val="es-ES"/>
        </w:rPr>
        <w:t xml:space="preserve"> por la UICN en 2017 se aplicaron </w:t>
      </w:r>
      <w:r w:rsidR="00E17DC1" w:rsidRPr="00064323">
        <w:rPr>
          <w:noProof/>
          <w:lang w:val="es-ES"/>
        </w:rPr>
        <w:t>en</w:t>
      </w:r>
      <w:r w:rsidR="00A14DDB" w:rsidRPr="00064323">
        <w:rPr>
          <w:noProof/>
          <w:lang w:val="es-ES"/>
        </w:rPr>
        <w:t xml:space="preserve"> la </w:t>
      </w:r>
      <w:r w:rsidR="00A14DDB" w:rsidRPr="00064323">
        <w:rPr>
          <w:noProof/>
          <w:lang w:val="es-ES"/>
        </w:rPr>
        <w:lastRenderedPageBreak/>
        <w:t>Secretaría en 2021 de acuerdo con las políticas y prácticas de la UICN. En 2021, la Secretaría aplicó la</w:t>
      </w:r>
      <w:r w:rsidR="0062580B">
        <w:rPr>
          <w:noProof/>
          <w:lang w:val="es-ES"/>
        </w:rPr>
        <w:t>s</w:t>
      </w:r>
      <w:r w:rsidR="00A14DDB" w:rsidRPr="00064323">
        <w:rPr>
          <w:noProof/>
          <w:lang w:val="es-ES"/>
        </w:rPr>
        <w:t xml:space="preserve"> política</w:t>
      </w:r>
      <w:r w:rsidR="0062580B">
        <w:rPr>
          <w:noProof/>
          <w:lang w:val="es-ES"/>
        </w:rPr>
        <w:t>s</w:t>
      </w:r>
      <w:r w:rsidR="00A14DDB" w:rsidRPr="00064323">
        <w:rPr>
          <w:noProof/>
          <w:lang w:val="es-ES"/>
        </w:rPr>
        <w:t xml:space="preserve"> de ascenso </w:t>
      </w:r>
      <w:r w:rsidR="00E17DC1" w:rsidRPr="00064323">
        <w:rPr>
          <w:noProof/>
          <w:lang w:val="es-ES"/>
        </w:rPr>
        <w:t>que</w:t>
      </w:r>
      <w:r w:rsidR="00A14DDB" w:rsidRPr="00064323">
        <w:rPr>
          <w:noProof/>
          <w:lang w:val="es-ES"/>
        </w:rPr>
        <w:t xml:space="preserve"> la UICN </w:t>
      </w:r>
      <w:r w:rsidR="00E17DC1" w:rsidRPr="00064323">
        <w:rPr>
          <w:noProof/>
          <w:lang w:val="es-ES"/>
        </w:rPr>
        <w:t>aplicó</w:t>
      </w:r>
      <w:r w:rsidR="00A14DDB" w:rsidRPr="00064323">
        <w:rPr>
          <w:noProof/>
          <w:lang w:val="es-ES"/>
        </w:rPr>
        <w:t xml:space="preserve"> en 2019</w:t>
      </w:r>
      <w:r w:rsidR="0062580B">
        <w:rPr>
          <w:noProof/>
          <w:lang w:val="es-ES"/>
        </w:rPr>
        <w:t>,</w:t>
      </w:r>
      <w:r w:rsidR="00A14DDB" w:rsidRPr="00064323">
        <w:rPr>
          <w:noProof/>
          <w:lang w:val="es-ES"/>
        </w:rPr>
        <w:t xml:space="preserve"> en </w:t>
      </w:r>
      <w:r w:rsidR="00E17DC1" w:rsidRPr="00064323">
        <w:rPr>
          <w:noProof/>
          <w:lang w:val="es-ES"/>
        </w:rPr>
        <w:t>consonancia</w:t>
      </w:r>
      <w:r w:rsidR="00A14DDB" w:rsidRPr="00064323">
        <w:rPr>
          <w:noProof/>
          <w:lang w:val="es-ES"/>
        </w:rPr>
        <w:t xml:space="preserve"> con </w:t>
      </w:r>
      <w:r w:rsidR="00E17DC1" w:rsidRPr="00064323">
        <w:rPr>
          <w:noProof/>
          <w:lang w:val="es-ES"/>
        </w:rPr>
        <w:t>los lineamientos</w:t>
      </w:r>
      <w:r w:rsidR="00A14DDB" w:rsidRPr="00064323">
        <w:rPr>
          <w:noProof/>
          <w:lang w:val="es-ES"/>
        </w:rPr>
        <w:t xml:space="preserve"> de </w:t>
      </w:r>
      <w:r w:rsidR="00740446" w:rsidRPr="00064323">
        <w:rPr>
          <w:noProof/>
          <w:lang w:val="es-ES"/>
        </w:rPr>
        <w:t>ascenso</w:t>
      </w:r>
      <w:r w:rsidR="00A14DDB" w:rsidRPr="00064323">
        <w:rPr>
          <w:noProof/>
          <w:lang w:val="es-ES"/>
        </w:rPr>
        <w:t xml:space="preserve"> de RR</w:t>
      </w:r>
      <w:r w:rsidR="0062580B">
        <w:rPr>
          <w:noProof/>
          <w:lang w:val="es-ES"/>
        </w:rPr>
        <w:t>.</w:t>
      </w:r>
      <w:r w:rsidR="00A14DDB" w:rsidRPr="00064323">
        <w:rPr>
          <w:noProof/>
          <w:lang w:val="es-ES"/>
        </w:rPr>
        <w:t>HH</w:t>
      </w:r>
      <w:r w:rsidR="0062580B">
        <w:rPr>
          <w:noProof/>
          <w:lang w:val="es-ES"/>
        </w:rPr>
        <w:t>.</w:t>
      </w:r>
      <w:r w:rsidR="00A14DDB" w:rsidRPr="00064323">
        <w:rPr>
          <w:noProof/>
          <w:lang w:val="es-ES"/>
        </w:rPr>
        <w:t xml:space="preserve"> de la UICN a </w:t>
      </w:r>
      <w:r w:rsidR="00E17DC1" w:rsidRPr="00064323">
        <w:rPr>
          <w:noProof/>
          <w:lang w:val="es-ES"/>
        </w:rPr>
        <w:t>escala</w:t>
      </w:r>
      <w:r w:rsidR="00A14DDB" w:rsidRPr="00064323">
        <w:rPr>
          <w:noProof/>
          <w:lang w:val="es-ES"/>
        </w:rPr>
        <w:t xml:space="preserve"> mundial. Los aumentos salariales </w:t>
      </w:r>
      <w:r w:rsidR="00C46F9E">
        <w:rPr>
          <w:noProof/>
          <w:lang w:val="es-ES"/>
        </w:rPr>
        <w:t>consiguientes</w:t>
      </w:r>
      <w:r w:rsidR="00A14DDB" w:rsidRPr="00064323">
        <w:rPr>
          <w:noProof/>
          <w:lang w:val="es-ES"/>
        </w:rPr>
        <w:t xml:space="preserve"> se habían incluido en el presupuesto aprobado para el trienio (</w:t>
      </w:r>
      <w:r w:rsidR="00E17DC1" w:rsidRPr="00064323">
        <w:rPr>
          <w:noProof/>
          <w:lang w:val="es-ES"/>
        </w:rPr>
        <w:t xml:space="preserve">párrafo 14 y Anexo 1 de la </w:t>
      </w:r>
      <w:r w:rsidR="00A14DDB" w:rsidRPr="00064323">
        <w:rPr>
          <w:noProof/>
          <w:lang w:val="es-ES"/>
        </w:rPr>
        <w:t>Resolución XIII.2).</w:t>
      </w:r>
    </w:p>
    <w:p w14:paraId="547A20EC" w14:textId="77777777" w:rsidR="00112F62" w:rsidRPr="00064323" w:rsidRDefault="00112F62" w:rsidP="00162710">
      <w:pPr>
        <w:pStyle w:val="NoSpacing"/>
        <w:ind w:left="850"/>
        <w:rPr>
          <w:noProof/>
          <w:lang w:val="es-ES"/>
        </w:rPr>
      </w:pPr>
    </w:p>
    <w:p w14:paraId="7F873710" w14:textId="03B0E8F3" w:rsidR="00740446" w:rsidRPr="00064323" w:rsidRDefault="008F7FC4" w:rsidP="00C7449E">
      <w:pPr>
        <w:pStyle w:val="NoSpacing"/>
        <w:ind w:left="850"/>
        <w:rPr>
          <w:noProof/>
          <w:lang w:val="es-ES"/>
        </w:rPr>
      </w:pPr>
      <w:r w:rsidRPr="00064323">
        <w:rPr>
          <w:noProof/>
          <w:lang w:val="es-ES"/>
        </w:rPr>
        <w:t>d</w:t>
      </w:r>
      <w:r w:rsidR="00EA1333" w:rsidRPr="00064323">
        <w:rPr>
          <w:noProof/>
          <w:lang w:val="es-ES"/>
        </w:rPr>
        <w:t>.</w:t>
      </w:r>
      <w:r w:rsidR="00EA1333" w:rsidRPr="00064323">
        <w:rPr>
          <w:noProof/>
          <w:lang w:val="es-ES"/>
        </w:rPr>
        <w:tab/>
      </w:r>
      <w:r w:rsidR="00740446" w:rsidRPr="00064323">
        <w:rPr>
          <w:noProof/>
          <w:lang w:val="es-ES"/>
        </w:rPr>
        <w:t>De acuerdo con la Decisión SC58-31, las provisiones se presentan en dos partidas presupuestarias separadas: 1) “Provisiones correspondientes al personal”; y 2) “Provisiones correspondientes a las contribuciones pendientes”. Esto es para permitir una mejor gestión y transparencia en el uso de las provisiones.</w:t>
      </w:r>
    </w:p>
    <w:p w14:paraId="0111D70E" w14:textId="77777777" w:rsidR="00EA1333" w:rsidRPr="00064323" w:rsidRDefault="00EA1333" w:rsidP="00162710">
      <w:pPr>
        <w:pStyle w:val="NoSpacing"/>
        <w:ind w:left="850" w:firstLine="0"/>
        <w:rPr>
          <w:noProof/>
          <w:lang w:val="es-ES"/>
        </w:rPr>
      </w:pPr>
    </w:p>
    <w:p w14:paraId="5D444864" w14:textId="4C4469FE" w:rsidR="00740446" w:rsidRPr="00064323" w:rsidRDefault="00FA0633" w:rsidP="00FA0633">
      <w:pPr>
        <w:pStyle w:val="NoSpacing"/>
        <w:ind w:left="851"/>
        <w:rPr>
          <w:noProof/>
          <w:lang w:val="es-ES"/>
        </w:rPr>
      </w:pPr>
      <w:r w:rsidRPr="00064323">
        <w:rPr>
          <w:noProof/>
          <w:lang w:val="es-ES"/>
        </w:rPr>
        <w:t>e.</w:t>
      </w:r>
      <w:r w:rsidRPr="00064323">
        <w:rPr>
          <w:noProof/>
          <w:lang w:val="es-ES"/>
        </w:rPr>
        <w:tab/>
      </w:r>
      <w:r w:rsidR="00740446" w:rsidRPr="00064323">
        <w:rPr>
          <w:noProof/>
          <w:lang w:val="es-ES"/>
        </w:rPr>
        <w:t xml:space="preserve">Las provisiones </w:t>
      </w:r>
      <w:r w:rsidR="00532D8A" w:rsidRPr="00064323">
        <w:rPr>
          <w:noProof/>
          <w:lang w:val="es-ES"/>
        </w:rPr>
        <w:t>correspondientes al</w:t>
      </w:r>
      <w:r w:rsidR="00740446" w:rsidRPr="00064323">
        <w:rPr>
          <w:noProof/>
          <w:lang w:val="es-ES"/>
        </w:rPr>
        <w:t xml:space="preserve"> personal aumentaron en 38 000 francos suizos como resultado de un aumento de 20 000 francos suizos de la provisión para </w:t>
      </w:r>
      <w:r w:rsidR="00A632C7" w:rsidRPr="00064323">
        <w:rPr>
          <w:noProof/>
          <w:lang w:val="es-ES"/>
        </w:rPr>
        <w:t>la separación</w:t>
      </w:r>
      <w:r w:rsidR="00740446" w:rsidRPr="00064323">
        <w:rPr>
          <w:noProof/>
          <w:lang w:val="es-ES"/>
        </w:rPr>
        <w:t xml:space="preserve"> de</w:t>
      </w:r>
      <w:r w:rsidR="005C60E4">
        <w:rPr>
          <w:noProof/>
          <w:lang w:val="es-ES"/>
        </w:rPr>
        <w:t>l</w:t>
      </w:r>
      <w:r w:rsidR="00740446" w:rsidRPr="00064323">
        <w:rPr>
          <w:noProof/>
          <w:lang w:val="es-ES"/>
        </w:rPr>
        <w:t xml:space="preserve"> personal, un aumento </w:t>
      </w:r>
      <w:r w:rsidR="00532D8A" w:rsidRPr="00064323">
        <w:rPr>
          <w:noProof/>
          <w:lang w:val="es-ES"/>
        </w:rPr>
        <w:t xml:space="preserve">de 12 000 francos suizos de </w:t>
      </w:r>
      <w:r w:rsidR="00740446" w:rsidRPr="00064323">
        <w:rPr>
          <w:noProof/>
          <w:lang w:val="es-ES"/>
        </w:rPr>
        <w:t xml:space="preserve">la provisión para </w:t>
      </w:r>
      <w:r w:rsidR="00532D8A" w:rsidRPr="00064323">
        <w:rPr>
          <w:noProof/>
          <w:lang w:val="es-ES"/>
        </w:rPr>
        <w:t xml:space="preserve">la </w:t>
      </w:r>
      <w:r w:rsidR="00740446" w:rsidRPr="00064323">
        <w:rPr>
          <w:noProof/>
          <w:lang w:val="es-ES"/>
        </w:rPr>
        <w:t>repatriación de</w:t>
      </w:r>
      <w:r w:rsidR="004F2C25">
        <w:rPr>
          <w:noProof/>
          <w:lang w:val="es-ES"/>
        </w:rPr>
        <w:t>l</w:t>
      </w:r>
      <w:r w:rsidR="00740446" w:rsidRPr="00064323">
        <w:rPr>
          <w:noProof/>
          <w:lang w:val="es-ES"/>
        </w:rPr>
        <w:t xml:space="preserve"> personal y un aumento </w:t>
      </w:r>
      <w:r w:rsidR="00532D8A" w:rsidRPr="00064323">
        <w:rPr>
          <w:noProof/>
          <w:lang w:val="es-ES"/>
        </w:rPr>
        <w:t xml:space="preserve">de 6 000 francos suizos </w:t>
      </w:r>
      <w:r w:rsidR="00740446" w:rsidRPr="00064323">
        <w:rPr>
          <w:noProof/>
          <w:lang w:val="es-ES"/>
        </w:rPr>
        <w:t xml:space="preserve">de la provisión para </w:t>
      </w:r>
      <w:r w:rsidR="00532D8A" w:rsidRPr="00064323">
        <w:rPr>
          <w:noProof/>
          <w:lang w:val="es-ES"/>
        </w:rPr>
        <w:t xml:space="preserve">las </w:t>
      </w:r>
      <w:r w:rsidR="00740446" w:rsidRPr="00064323">
        <w:rPr>
          <w:noProof/>
          <w:lang w:val="es-ES"/>
        </w:rPr>
        <w:t>vacaciones de</w:t>
      </w:r>
      <w:r w:rsidR="00532D8A" w:rsidRPr="00064323">
        <w:rPr>
          <w:noProof/>
          <w:lang w:val="es-ES"/>
        </w:rPr>
        <w:t>l</w:t>
      </w:r>
      <w:r w:rsidR="00740446" w:rsidRPr="00064323">
        <w:rPr>
          <w:noProof/>
          <w:lang w:val="es-ES"/>
        </w:rPr>
        <w:t xml:space="preserve"> personal.</w:t>
      </w:r>
    </w:p>
    <w:p w14:paraId="0A6DF4AF" w14:textId="77777777" w:rsidR="0000371F" w:rsidRPr="00064323" w:rsidRDefault="0000371F" w:rsidP="00FA0633">
      <w:pPr>
        <w:pStyle w:val="NoSpacing"/>
        <w:ind w:left="851"/>
        <w:rPr>
          <w:noProof/>
          <w:lang w:val="es-ES"/>
        </w:rPr>
      </w:pPr>
    </w:p>
    <w:p w14:paraId="125B16FE" w14:textId="2F9DAF17" w:rsidR="00B73177" w:rsidRPr="00064323" w:rsidRDefault="008F7FC4" w:rsidP="008F7FC4">
      <w:pPr>
        <w:pStyle w:val="NoSpacing"/>
        <w:ind w:left="851"/>
        <w:rPr>
          <w:noProof/>
          <w:lang w:val="es-ES"/>
        </w:rPr>
      </w:pPr>
      <w:r w:rsidRPr="00064323">
        <w:rPr>
          <w:noProof/>
          <w:lang w:val="es-ES"/>
        </w:rPr>
        <w:t>f.</w:t>
      </w:r>
      <w:r w:rsidRPr="00064323">
        <w:rPr>
          <w:noProof/>
          <w:lang w:val="es-ES"/>
        </w:rPr>
        <w:tab/>
      </w:r>
      <w:r w:rsidR="00B73177" w:rsidRPr="00064323">
        <w:rPr>
          <w:noProof/>
          <w:lang w:val="es-ES"/>
        </w:rPr>
        <w:t>Del total de provisiones presupuestadas para las contribuciones pendientes de 140 000 francos suizos, el total utilizado</w:t>
      </w:r>
      <w:r w:rsidR="004D2FBF" w:rsidRPr="00064323">
        <w:rPr>
          <w:noProof/>
          <w:lang w:val="es-ES"/>
        </w:rPr>
        <w:t xml:space="preserve"> en 2021</w:t>
      </w:r>
      <w:r w:rsidR="00B73177" w:rsidRPr="00064323">
        <w:rPr>
          <w:noProof/>
          <w:lang w:val="es-ES"/>
        </w:rPr>
        <w:t xml:space="preserve"> fue de 59 000 francos suizos, </w:t>
      </w:r>
      <w:r w:rsidR="00574D5F">
        <w:rPr>
          <w:noProof/>
          <w:lang w:val="es-ES"/>
        </w:rPr>
        <w:t>lo que dejó</w:t>
      </w:r>
      <w:r w:rsidR="00B73177" w:rsidRPr="00064323">
        <w:rPr>
          <w:noProof/>
          <w:lang w:val="es-ES"/>
        </w:rPr>
        <w:t xml:space="preserve"> un saldo no utilizado de 81 000 francos suizos. La Secretaría sugiere que este saldo no utilizado se devuelva a la partida presupuestaria </w:t>
      </w:r>
      <w:r w:rsidR="004D2FBF" w:rsidRPr="00064323">
        <w:rPr>
          <w:noProof/>
          <w:lang w:val="es-ES"/>
        </w:rPr>
        <w:t>“Presupuesto para 2020 aprobado por la reunión SC58 y ahorros no comprometidos traspasados al año siguiente”</w:t>
      </w:r>
      <w:r w:rsidR="00B73177" w:rsidRPr="00064323">
        <w:rPr>
          <w:noProof/>
          <w:lang w:val="es-ES"/>
        </w:rPr>
        <w:t xml:space="preserve">, </w:t>
      </w:r>
      <w:r w:rsidR="00574D5F">
        <w:rPr>
          <w:noProof/>
          <w:lang w:val="es-ES"/>
        </w:rPr>
        <w:t>de</w:t>
      </w:r>
      <w:r w:rsidR="00B73177" w:rsidRPr="00064323">
        <w:rPr>
          <w:noProof/>
          <w:lang w:val="es-ES"/>
        </w:rPr>
        <w:t xml:space="preserve"> donde fue asignado por la Decisión SC59-28 del Comité Permanente, como </w:t>
      </w:r>
      <w:r w:rsidR="00574D5F">
        <w:rPr>
          <w:noProof/>
          <w:lang w:val="es-ES"/>
        </w:rPr>
        <w:t>figura</w:t>
      </w:r>
      <w:r w:rsidR="00B73177" w:rsidRPr="00064323">
        <w:rPr>
          <w:noProof/>
          <w:lang w:val="es-ES"/>
        </w:rPr>
        <w:t xml:space="preserve"> en el párrafo 15</w:t>
      </w:r>
      <w:r w:rsidR="004D2FBF" w:rsidRPr="00064323">
        <w:rPr>
          <w:noProof/>
          <w:lang w:val="es-ES"/>
        </w:rPr>
        <w:t>, más abajo, en</w:t>
      </w:r>
      <w:r w:rsidR="00B73177" w:rsidRPr="00064323">
        <w:rPr>
          <w:noProof/>
          <w:lang w:val="es-ES"/>
        </w:rPr>
        <w:t xml:space="preserve"> la sección titulada </w:t>
      </w:r>
      <w:r w:rsidR="002A0FB3" w:rsidRPr="00064323">
        <w:rPr>
          <w:noProof/>
          <w:lang w:val="es-ES"/>
        </w:rPr>
        <w:t>“</w:t>
      </w:r>
      <w:r w:rsidR="00B73177" w:rsidRPr="00064323">
        <w:rPr>
          <w:noProof/>
          <w:lang w:val="es-ES"/>
        </w:rPr>
        <w:t xml:space="preserve">Ajustes propuestos por la Secretaría </w:t>
      </w:r>
      <w:r w:rsidR="004D2FBF" w:rsidRPr="00064323">
        <w:rPr>
          <w:noProof/>
          <w:lang w:val="es-ES"/>
        </w:rPr>
        <w:t xml:space="preserve">respecto </w:t>
      </w:r>
      <w:r w:rsidR="00B73177" w:rsidRPr="00064323">
        <w:rPr>
          <w:noProof/>
          <w:lang w:val="es-ES"/>
        </w:rPr>
        <w:t>a los saldos de 2021</w:t>
      </w:r>
      <w:r w:rsidR="002A0FB3" w:rsidRPr="00064323">
        <w:rPr>
          <w:noProof/>
          <w:lang w:val="es-ES"/>
        </w:rPr>
        <w:t>”</w:t>
      </w:r>
      <w:r w:rsidR="00B73177" w:rsidRPr="00064323">
        <w:rPr>
          <w:noProof/>
          <w:lang w:val="es-ES"/>
        </w:rPr>
        <w:t>.</w:t>
      </w:r>
    </w:p>
    <w:p w14:paraId="287C0599" w14:textId="77777777" w:rsidR="000F435C" w:rsidRPr="00064323" w:rsidRDefault="000F435C" w:rsidP="00162710">
      <w:pPr>
        <w:pStyle w:val="NoSpacing"/>
        <w:ind w:left="850"/>
        <w:rPr>
          <w:noProof/>
          <w:lang w:val="es-ES"/>
        </w:rPr>
      </w:pPr>
    </w:p>
    <w:p w14:paraId="44FFED04" w14:textId="6C67E903" w:rsidR="002A0FB3" w:rsidRPr="00064323" w:rsidRDefault="00523B6B" w:rsidP="00162710">
      <w:pPr>
        <w:pStyle w:val="NoSpacing"/>
        <w:rPr>
          <w:noProof/>
          <w:lang w:val="es-ES"/>
        </w:rPr>
      </w:pPr>
      <w:r w:rsidRPr="00064323">
        <w:rPr>
          <w:noProof/>
          <w:lang w:val="es-ES"/>
        </w:rPr>
        <w:t>10</w:t>
      </w:r>
      <w:r w:rsidR="000F435C" w:rsidRPr="00064323">
        <w:rPr>
          <w:noProof/>
          <w:lang w:val="es-ES"/>
        </w:rPr>
        <w:t>.</w:t>
      </w:r>
      <w:r w:rsidR="000F435C" w:rsidRPr="00064323">
        <w:rPr>
          <w:noProof/>
          <w:lang w:val="es-ES"/>
        </w:rPr>
        <w:tab/>
      </w:r>
      <w:r w:rsidR="002A0FB3" w:rsidRPr="00064323">
        <w:rPr>
          <w:noProof/>
          <w:lang w:val="es-ES"/>
        </w:rPr>
        <w:t>En consonancia con las decisiones adoptadas por el Comité Permanente</w:t>
      </w:r>
      <w:r w:rsidR="006146CF">
        <w:rPr>
          <w:noProof/>
          <w:lang w:val="es-ES"/>
        </w:rPr>
        <w:t>,</w:t>
      </w:r>
      <w:r w:rsidR="002A0FB3" w:rsidRPr="00064323">
        <w:rPr>
          <w:noProof/>
          <w:lang w:val="es-ES"/>
        </w:rPr>
        <w:t xml:space="preserve"> mencionadas en el párrafo 5, la Secretaría propone </w:t>
      </w:r>
      <w:r w:rsidR="006146CF">
        <w:rPr>
          <w:noProof/>
          <w:lang w:val="es-ES"/>
        </w:rPr>
        <w:t>traspasar</w:t>
      </w:r>
      <w:r w:rsidR="002A0FB3" w:rsidRPr="00064323">
        <w:rPr>
          <w:noProof/>
          <w:lang w:val="es-ES"/>
        </w:rPr>
        <w:t xml:space="preserve"> a 2022 el total de los fondos </w:t>
      </w:r>
      <w:r w:rsidR="006146CF" w:rsidRPr="00064323">
        <w:rPr>
          <w:noProof/>
          <w:lang w:val="es-ES"/>
        </w:rPr>
        <w:t xml:space="preserve">previamente </w:t>
      </w:r>
      <w:r w:rsidR="002A0FB3" w:rsidRPr="00064323">
        <w:rPr>
          <w:noProof/>
          <w:lang w:val="es-ES"/>
        </w:rPr>
        <w:t xml:space="preserve">comprometidos. El importe total de los fondos </w:t>
      </w:r>
      <w:r w:rsidR="006146CF" w:rsidRPr="00064323">
        <w:rPr>
          <w:noProof/>
          <w:lang w:val="es-ES"/>
        </w:rPr>
        <w:t xml:space="preserve">previamente </w:t>
      </w:r>
      <w:r w:rsidR="002A0FB3" w:rsidRPr="00064323">
        <w:rPr>
          <w:noProof/>
          <w:lang w:val="es-ES"/>
        </w:rPr>
        <w:t xml:space="preserve">comprometidos suma 767 000 francos suizos, como se indica en el Cuadro 1, columna “Fondos previamente comprometidos o previstos de 2021 a </w:t>
      </w:r>
      <w:r w:rsidR="00E6198A">
        <w:rPr>
          <w:noProof/>
          <w:lang w:val="es-ES"/>
        </w:rPr>
        <w:t>gastar</w:t>
      </w:r>
      <w:r w:rsidR="002A0FB3" w:rsidRPr="00064323">
        <w:rPr>
          <w:noProof/>
          <w:lang w:val="es-ES"/>
        </w:rPr>
        <w:t xml:space="preserve"> en 2022”.</w:t>
      </w:r>
      <w:r w:rsidR="00E6198A">
        <w:rPr>
          <w:noProof/>
          <w:lang w:val="es-ES"/>
        </w:rPr>
        <w:t xml:space="preserve"> </w:t>
      </w:r>
    </w:p>
    <w:p w14:paraId="5A979A54" w14:textId="77777777" w:rsidR="00E02B6E" w:rsidRPr="00064323" w:rsidRDefault="00E02B6E" w:rsidP="002A0FB3">
      <w:pPr>
        <w:pStyle w:val="NoSpacing"/>
        <w:ind w:left="0" w:firstLine="0"/>
        <w:rPr>
          <w:noProof/>
          <w:lang w:val="es-ES"/>
        </w:rPr>
      </w:pPr>
    </w:p>
    <w:p w14:paraId="5E966F9A" w14:textId="12A717C6" w:rsidR="002A0FB3" w:rsidRPr="00064323" w:rsidRDefault="00523B6B" w:rsidP="00162710">
      <w:pPr>
        <w:pStyle w:val="NoSpacing"/>
        <w:rPr>
          <w:noProof/>
          <w:lang w:val="es-ES"/>
        </w:rPr>
      </w:pPr>
      <w:r w:rsidRPr="00064323">
        <w:rPr>
          <w:noProof/>
          <w:lang w:val="es-ES"/>
        </w:rPr>
        <w:t>11</w:t>
      </w:r>
      <w:r w:rsidR="00A523BE" w:rsidRPr="00064323">
        <w:rPr>
          <w:noProof/>
          <w:lang w:val="es-ES"/>
        </w:rPr>
        <w:t>.</w:t>
      </w:r>
      <w:r w:rsidR="00A523BE" w:rsidRPr="00064323">
        <w:rPr>
          <w:noProof/>
          <w:lang w:val="es-ES"/>
        </w:rPr>
        <w:tab/>
      </w:r>
      <w:r w:rsidR="00544CFD">
        <w:rPr>
          <w:noProof/>
          <w:lang w:val="es-ES"/>
        </w:rPr>
        <w:t>L</w:t>
      </w:r>
      <w:r w:rsidR="0081781D">
        <w:rPr>
          <w:noProof/>
          <w:lang w:val="es-ES"/>
        </w:rPr>
        <w:t xml:space="preserve">os </w:t>
      </w:r>
      <w:r w:rsidR="002A0FB3" w:rsidRPr="00064323">
        <w:rPr>
          <w:noProof/>
          <w:lang w:val="es-ES"/>
        </w:rPr>
        <w:t xml:space="preserve">fondos </w:t>
      </w:r>
      <w:r w:rsidR="00544CFD">
        <w:rPr>
          <w:noProof/>
          <w:lang w:val="es-ES"/>
        </w:rPr>
        <w:t>transferidos</w:t>
      </w:r>
      <w:r w:rsidR="002A0FB3" w:rsidRPr="00064323">
        <w:rPr>
          <w:noProof/>
          <w:lang w:val="es-ES"/>
        </w:rPr>
        <w:t xml:space="preserve"> </w:t>
      </w:r>
      <w:r w:rsidR="00544CFD">
        <w:rPr>
          <w:noProof/>
          <w:lang w:val="es-ES"/>
        </w:rPr>
        <w:t xml:space="preserve">antes de 2017 </w:t>
      </w:r>
      <w:r w:rsidR="002A0FB3" w:rsidRPr="00064323">
        <w:rPr>
          <w:noProof/>
          <w:lang w:val="es-ES"/>
        </w:rPr>
        <w:t xml:space="preserve">a proyectos </w:t>
      </w:r>
      <w:r w:rsidR="00315F0F">
        <w:rPr>
          <w:noProof/>
          <w:lang w:val="es-ES"/>
        </w:rPr>
        <w:t xml:space="preserve">financiados con cargo a fondos no básicos </w:t>
      </w:r>
      <w:r w:rsidR="002A0FB3" w:rsidRPr="00064323">
        <w:rPr>
          <w:noProof/>
          <w:lang w:val="es-ES"/>
        </w:rPr>
        <w:t>permanec</w:t>
      </w:r>
      <w:r w:rsidR="00544CFD">
        <w:rPr>
          <w:noProof/>
          <w:lang w:val="es-ES"/>
        </w:rPr>
        <w:t>e</w:t>
      </w:r>
      <w:r w:rsidR="002A0FB3" w:rsidRPr="00064323">
        <w:rPr>
          <w:noProof/>
          <w:lang w:val="es-ES"/>
        </w:rPr>
        <w:t xml:space="preserve">n en la categoría de financiación </w:t>
      </w:r>
      <w:r w:rsidR="00315F0F" w:rsidRPr="0081781D">
        <w:rPr>
          <w:noProof/>
          <w:lang w:val="es-ES"/>
        </w:rPr>
        <w:t>con cargo a fondos no básicos</w:t>
      </w:r>
      <w:r w:rsidR="00315F0F" w:rsidRPr="00064323">
        <w:rPr>
          <w:noProof/>
          <w:lang w:val="es-ES"/>
        </w:rPr>
        <w:t xml:space="preserve"> </w:t>
      </w:r>
      <w:r w:rsidR="002A0FB3" w:rsidRPr="00064323">
        <w:rPr>
          <w:noProof/>
          <w:lang w:val="es-ES"/>
        </w:rPr>
        <w:t xml:space="preserve">y se están utilizando para el propósito específico aprobado mediante la Decisión SC54-26. En el informe sobre </w:t>
      </w:r>
      <w:r w:rsidR="0081781D">
        <w:rPr>
          <w:noProof/>
          <w:lang w:val="es-ES"/>
        </w:rPr>
        <w:t>la financiación</w:t>
      </w:r>
      <w:r w:rsidR="002A0FB3" w:rsidRPr="00064323">
        <w:rPr>
          <w:noProof/>
          <w:lang w:val="es-ES"/>
        </w:rPr>
        <w:t xml:space="preserve"> </w:t>
      </w:r>
      <w:r w:rsidR="0081781D" w:rsidRPr="0081781D">
        <w:rPr>
          <w:noProof/>
          <w:lang w:val="es-ES"/>
        </w:rPr>
        <w:t>con cargo a fondos no básicos</w:t>
      </w:r>
      <w:r w:rsidR="0081781D" w:rsidRPr="00064323">
        <w:rPr>
          <w:noProof/>
          <w:lang w:val="es-ES"/>
        </w:rPr>
        <w:t xml:space="preserve"> </w:t>
      </w:r>
      <w:r w:rsidR="002A0FB3" w:rsidRPr="00064323">
        <w:rPr>
          <w:noProof/>
          <w:lang w:val="es-ES"/>
        </w:rPr>
        <w:t xml:space="preserve">del </w:t>
      </w:r>
      <w:r w:rsidR="00B74DBC" w:rsidRPr="00064323">
        <w:rPr>
          <w:noProof/>
          <w:lang w:val="es-ES"/>
        </w:rPr>
        <w:t>A</w:t>
      </w:r>
      <w:r w:rsidR="002A0FB3" w:rsidRPr="00064323">
        <w:rPr>
          <w:noProof/>
          <w:lang w:val="es-ES"/>
        </w:rPr>
        <w:t xml:space="preserve">nexo 3 se </w:t>
      </w:r>
      <w:r w:rsidR="00B74DBC" w:rsidRPr="00064323">
        <w:rPr>
          <w:noProof/>
          <w:lang w:val="es-ES"/>
        </w:rPr>
        <w:t>encuentra</w:t>
      </w:r>
      <w:r w:rsidR="002A0FB3" w:rsidRPr="00064323">
        <w:rPr>
          <w:noProof/>
          <w:lang w:val="es-ES"/>
        </w:rPr>
        <w:t xml:space="preserve"> una </w:t>
      </w:r>
      <w:r w:rsidR="00B74DBC" w:rsidRPr="00064323">
        <w:rPr>
          <w:noProof/>
          <w:lang w:val="es-ES"/>
        </w:rPr>
        <w:t>sinopsis</w:t>
      </w:r>
      <w:r w:rsidR="002A0FB3" w:rsidRPr="00064323">
        <w:rPr>
          <w:noProof/>
          <w:lang w:val="es-ES"/>
        </w:rPr>
        <w:t xml:space="preserve"> de los mismos. La práctica de efectuar dich</w:t>
      </w:r>
      <w:r w:rsidR="00B74DBC" w:rsidRPr="00064323">
        <w:rPr>
          <w:noProof/>
          <w:lang w:val="es-ES"/>
        </w:rPr>
        <w:t>o</w:t>
      </w:r>
      <w:r w:rsidR="002A0FB3" w:rsidRPr="00064323">
        <w:rPr>
          <w:noProof/>
          <w:lang w:val="es-ES"/>
        </w:rPr>
        <w:t xml:space="preserve">s </w:t>
      </w:r>
      <w:r w:rsidR="00B74DBC" w:rsidRPr="00064323">
        <w:rPr>
          <w:noProof/>
          <w:lang w:val="es-ES"/>
        </w:rPr>
        <w:t>traslados</w:t>
      </w:r>
      <w:r w:rsidR="002A0FB3" w:rsidRPr="00064323">
        <w:rPr>
          <w:noProof/>
          <w:lang w:val="es-ES"/>
        </w:rPr>
        <w:t xml:space="preserve"> se </w:t>
      </w:r>
      <w:r w:rsidR="00B74DBC" w:rsidRPr="00064323">
        <w:rPr>
          <w:noProof/>
          <w:lang w:val="es-ES"/>
        </w:rPr>
        <w:t>suspendió</w:t>
      </w:r>
      <w:r w:rsidR="002A0FB3" w:rsidRPr="00064323">
        <w:rPr>
          <w:noProof/>
          <w:lang w:val="es-ES"/>
        </w:rPr>
        <w:t xml:space="preserve"> en 2017.</w:t>
      </w:r>
    </w:p>
    <w:p w14:paraId="2EAC237B" w14:textId="77777777" w:rsidR="004E30C5" w:rsidRPr="00064323" w:rsidRDefault="004E30C5" w:rsidP="005A41C9">
      <w:pPr>
        <w:pStyle w:val="NoSpacing"/>
        <w:rPr>
          <w:i/>
          <w:noProof/>
          <w:sz w:val="20"/>
          <w:szCs w:val="20"/>
          <w:lang w:val="es-ES"/>
        </w:rPr>
      </w:pPr>
    </w:p>
    <w:p w14:paraId="646A5AF4" w14:textId="34F0AB6B" w:rsidR="00B74DBC" w:rsidRPr="00064323" w:rsidRDefault="00962383" w:rsidP="00FA0633">
      <w:pPr>
        <w:ind w:left="0" w:firstLine="0"/>
        <w:rPr>
          <w:i/>
          <w:noProof/>
          <w:lang w:val="es-ES"/>
        </w:rPr>
      </w:pPr>
      <w:r w:rsidRPr="00064323">
        <w:rPr>
          <w:i/>
          <w:noProof/>
          <w:lang w:val="es-ES"/>
        </w:rPr>
        <w:t>Modificaciones al</w:t>
      </w:r>
      <w:r w:rsidR="00B74DBC" w:rsidRPr="00064323">
        <w:rPr>
          <w:i/>
          <w:noProof/>
          <w:lang w:val="es-ES"/>
        </w:rPr>
        <w:t xml:space="preserve"> presupuesto básico de 2021 aprobadas por el Comité Permanente</w:t>
      </w:r>
    </w:p>
    <w:p w14:paraId="701E8104" w14:textId="77777777" w:rsidR="00F1054B" w:rsidRPr="00064323" w:rsidRDefault="00F1054B" w:rsidP="00162710">
      <w:pPr>
        <w:rPr>
          <w:noProof/>
          <w:lang w:val="es-ES"/>
        </w:rPr>
      </w:pPr>
    </w:p>
    <w:p w14:paraId="5D486918" w14:textId="4D3B18CB" w:rsidR="00F1054B" w:rsidRPr="00064323" w:rsidRDefault="00523B6B" w:rsidP="00162710">
      <w:pPr>
        <w:rPr>
          <w:noProof/>
          <w:lang w:val="es-ES"/>
        </w:rPr>
      </w:pPr>
      <w:r w:rsidRPr="00064323">
        <w:rPr>
          <w:noProof/>
          <w:lang w:val="es-ES"/>
        </w:rPr>
        <w:t>12</w:t>
      </w:r>
      <w:r w:rsidR="00F1054B" w:rsidRPr="00064323">
        <w:rPr>
          <w:noProof/>
          <w:lang w:val="es-ES"/>
        </w:rPr>
        <w:t>.</w:t>
      </w:r>
      <w:r w:rsidR="00F1054B" w:rsidRPr="00064323">
        <w:rPr>
          <w:noProof/>
          <w:lang w:val="es-ES"/>
        </w:rPr>
        <w:tab/>
      </w:r>
      <w:r w:rsidR="00595318" w:rsidRPr="00064323">
        <w:rPr>
          <w:noProof/>
          <w:lang w:val="es-ES"/>
        </w:rPr>
        <w:t xml:space="preserve">Se realizaron las siguientes modificaciones al presupuesto básico de 2021: </w:t>
      </w:r>
    </w:p>
    <w:p w14:paraId="3DF49443" w14:textId="77777777" w:rsidR="00F1054B" w:rsidRPr="00064323" w:rsidRDefault="00F1054B" w:rsidP="00162710">
      <w:pPr>
        <w:rPr>
          <w:noProof/>
          <w:lang w:val="es-ES"/>
        </w:rPr>
      </w:pPr>
    </w:p>
    <w:p w14:paraId="12DDEDAB" w14:textId="65E7E5B7" w:rsidR="00595318" w:rsidRPr="00064323" w:rsidRDefault="00FA0633" w:rsidP="00211E61">
      <w:pPr>
        <w:pStyle w:val="NoSpacing"/>
        <w:ind w:left="851"/>
        <w:rPr>
          <w:noProof/>
          <w:lang w:val="es-ES"/>
        </w:rPr>
      </w:pPr>
      <w:r w:rsidRPr="00064323">
        <w:rPr>
          <w:noProof/>
          <w:lang w:val="es-ES"/>
        </w:rPr>
        <w:t>a.</w:t>
      </w:r>
      <w:r w:rsidRPr="00064323">
        <w:rPr>
          <w:noProof/>
          <w:lang w:val="es-ES"/>
        </w:rPr>
        <w:tab/>
      </w:r>
      <w:r w:rsidR="00595318" w:rsidRPr="00064323">
        <w:rPr>
          <w:noProof/>
          <w:lang w:val="es-ES"/>
        </w:rPr>
        <w:t xml:space="preserve">El presupuesto básico para 2021 aprobado por la COP13 se examinó durante la reunión virtual </w:t>
      </w:r>
      <w:r w:rsidR="0081781D">
        <w:rPr>
          <w:noProof/>
          <w:lang w:val="es-ES"/>
        </w:rPr>
        <w:t xml:space="preserve">de la </w:t>
      </w:r>
      <w:r w:rsidR="00595318" w:rsidRPr="00064323">
        <w:rPr>
          <w:noProof/>
          <w:lang w:val="es-ES"/>
        </w:rPr>
        <w:t xml:space="preserve">SC59 en junio de 2021 (Decisión SC59-27) para realizar un ajuste entre las partidas presupuestarias relacionadas con los viajes del personal, los salarios del personal, otras prestaciones laborales y los costos de contratación y </w:t>
      </w:r>
      <w:r w:rsidR="00A632C7" w:rsidRPr="00064323">
        <w:rPr>
          <w:noProof/>
          <w:lang w:val="es-ES"/>
        </w:rPr>
        <w:t>separación</w:t>
      </w:r>
      <w:r w:rsidR="00595318" w:rsidRPr="00064323">
        <w:rPr>
          <w:noProof/>
          <w:lang w:val="es-ES"/>
        </w:rPr>
        <w:t xml:space="preserve"> de</w:t>
      </w:r>
      <w:r w:rsidR="0081781D">
        <w:rPr>
          <w:noProof/>
          <w:lang w:val="es-ES"/>
        </w:rPr>
        <w:t>l</w:t>
      </w:r>
      <w:r w:rsidR="00595318" w:rsidRPr="00064323">
        <w:rPr>
          <w:noProof/>
          <w:lang w:val="es-ES"/>
        </w:rPr>
        <w:t xml:space="preserve"> personal dentro del presupuesto aprobado </w:t>
      </w:r>
      <w:r w:rsidR="00211407">
        <w:rPr>
          <w:noProof/>
          <w:lang w:val="es-ES"/>
        </w:rPr>
        <w:t>que corresponde</w:t>
      </w:r>
      <w:r w:rsidR="00595318" w:rsidRPr="00064323">
        <w:rPr>
          <w:noProof/>
          <w:lang w:val="es-ES"/>
        </w:rPr>
        <w:t xml:space="preserve"> al personal.</w:t>
      </w:r>
    </w:p>
    <w:p w14:paraId="795AEBF5" w14:textId="77777777" w:rsidR="00F1054B" w:rsidRPr="00064323" w:rsidRDefault="00F1054B" w:rsidP="00FA0633">
      <w:pPr>
        <w:pStyle w:val="NoSpacing"/>
        <w:ind w:left="851"/>
        <w:rPr>
          <w:noProof/>
          <w:lang w:val="es-ES"/>
        </w:rPr>
      </w:pPr>
    </w:p>
    <w:p w14:paraId="2C017F2C" w14:textId="433358AC" w:rsidR="00595318" w:rsidRPr="00064323" w:rsidRDefault="00523B6B" w:rsidP="00523B6B">
      <w:pPr>
        <w:pStyle w:val="NoSpacing"/>
        <w:ind w:left="851"/>
        <w:rPr>
          <w:noProof/>
          <w:lang w:val="es-ES"/>
        </w:rPr>
      </w:pPr>
      <w:bookmarkStart w:id="1" w:name="_Hlk98155519"/>
      <w:r w:rsidRPr="00064323">
        <w:rPr>
          <w:noProof/>
          <w:lang w:val="es-ES"/>
        </w:rPr>
        <w:t>b.</w:t>
      </w:r>
      <w:r w:rsidRPr="00064323">
        <w:rPr>
          <w:noProof/>
          <w:lang w:val="es-ES"/>
        </w:rPr>
        <w:tab/>
      </w:r>
      <w:r w:rsidR="00595318" w:rsidRPr="00064323">
        <w:rPr>
          <w:noProof/>
          <w:lang w:val="es-ES"/>
        </w:rPr>
        <w:t>Asimismo, según la misma Decisión SC59-27, las partidas presupuestarias “salarios, gastos sociales y otras prestaciones laborales” se fusionaron para cada área presupuestaria.</w:t>
      </w:r>
    </w:p>
    <w:bookmarkEnd w:id="1"/>
    <w:p w14:paraId="27011245" w14:textId="77777777" w:rsidR="00F55A53" w:rsidRPr="00064323" w:rsidRDefault="00F55A53" w:rsidP="00FA0633">
      <w:pPr>
        <w:pStyle w:val="NoSpacing"/>
        <w:ind w:left="851"/>
        <w:rPr>
          <w:noProof/>
          <w:lang w:val="es-ES"/>
        </w:rPr>
      </w:pPr>
    </w:p>
    <w:p w14:paraId="1528D207" w14:textId="74B6E385" w:rsidR="00E42818" w:rsidRPr="00064323" w:rsidRDefault="00523B6B" w:rsidP="00D0731E">
      <w:pPr>
        <w:pStyle w:val="NoSpacing"/>
        <w:ind w:left="851"/>
        <w:rPr>
          <w:noProof/>
          <w:lang w:val="es-ES"/>
        </w:rPr>
      </w:pPr>
      <w:r w:rsidRPr="00064323">
        <w:rPr>
          <w:noProof/>
          <w:lang w:val="es-ES"/>
        </w:rPr>
        <w:t>c</w:t>
      </w:r>
      <w:r w:rsidR="00FA0633" w:rsidRPr="00064323">
        <w:rPr>
          <w:noProof/>
          <w:lang w:val="es-ES"/>
        </w:rPr>
        <w:t>.</w:t>
      </w:r>
      <w:r w:rsidR="00FA0633" w:rsidRPr="00064323">
        <w:rPr>
          <w:noProof/>
          <w:lang w:val="es-ES"/>
        </w:rPr>
        <w:tab/>
      </w:r>
      <w:r w:rsidR="00595318" w:rsidRPr="00064323">
        <w:rPr>
          <w:noProof/>
          <w:lang w:val="es-ES"/>
        </w:rPr>
        <w:t xml:space="preserve">Mediante la Decisión SC59-33, </w:t>
      </w:r>
      <w:r w:rsidR="00E42818" w:rsidRPr="00064323">
        <w:rPr>
          <w:noProof/>
          <w:lang w:val="es-ES"/>
        </w:rPr>
        <w:t>“</w:t>
      </w:r>
      <w:r w:rsidR="00E42818" w:rsidRPr="00064323">
        <w:rPr>
          <w:rFonts w:asciiTheme="minorHAnsi" w:eastAsiaTheme="minorHAnsi" w:hAnsiTheme="minorHAnsi" w:cstheme="minorHAnsi"/>
          <w:noProof/>
          <w:lang w:val="es-ES"/>
        </w:rPr>
        <w:t xml:space="preserve">el Comité Permanente aprobó la asignación de 25 000 francos suizos a cada una de las cuatro iniciativas regionales de Ramsar que reunieran los </w:t>
      </w:r>
      <w:r w:rsidR="00E42818" w:rsidRPr="00064323">
        <w:rPr>
          <w:rFonts w:asciiTheme="minorHAnsi" w:eastAsiaTheme="minorHAnsi" w:hAnsiTheme="minorHAnsi" w:cstheme="minorHAnsi"/>
          <w:noProof/>
          <w:lang w:val="es-ES"/>
        </w:rPr>
        <w:lastRenderedPageBreak/>
        <w:t>requisitos para sus actividades en 2021 con cargo a la partida D del presupuesto básico ‘Apoyo a las iniciativas regionales’ a condición de que las IRR beneficiarias cumplieran el subpárrafo 8.d. de la Resolución XIII.9”.</w:t>
      </w:r>
      <w:r w:rsidR="00E42818" w:rsidRPr="00064323">
        <w:rPr>
          <w:noProof/>
          <w:lang w:val="es-ES"/>
        </w:rPr>
        <w:t xml:space="preserve"> </w:t>
      </w:r>
    </w:p>
    <w:p w14:paraId="3B812C18" w14:textId="26F637AA" w:rsidR="00662CD5" w:rsidRPr="00064323" w:rsidRDefault="00662CD5" w:rsidP="00E42818">
      <w:pPr>
        <w:pStyle w:val="NoSpacing"/>
        <w:ind w:left="0" w:firstLine="0"/>
        <w:rPr>
          <w:noProof/>
          <w:lang w:val="es-ES"/>
        </w:rPr>
      </w:pPr>
    </w:p>
    <w:p w14:paraId="5F6C7321" w14:textId="120E84C8" w:rsidR="00E42818" w:rsidRPr="00064323" w:rsidRDefault="00523B6B" w:rsidP="00FA0633">
      <w:pPr>
        <w:pStyle w:val="NoSpacing"/>
        <w:ind w:left="851"/>
        <w:rPr>
          <w:noProof/>
          <w:lang w:val="es-ES"/>
        </w:rPr>
      </w:pPr>
      <w:r w:rsidRPr="00064323">
        <w:rPr>
          <w:noProof/>
          <w:lang w:val="es-ES"/>
        </w:rPr>
        <w:t>d.</w:t>
      </w:r>
      <w:r w:rsidR="00BA1A86" w:rsidRPr="00064323">
        <w:rPr>
          <w:noProof/>
          <w:lang w:val="es-ES"/>
        </w:rPr>
        <w:tab/>
      </w:r>
      <w:r w:rsidR="00E42818" w:rsidRPr="00064323">
        <w:rPr>
          <w:noProof/>
          <w:lang w:val="es-ES"/>
        </w:rPr>
        <w:t xml:space="preserve">Además, mediante la Decisión SC59-34, </w:t>
      </w:r>
      <w:r w:rsidR="00E42818" w:rsidRPr="00064323">
        <w:rPr>
          <w:rFonts w:cstheme="minorHAnsi"/>
          <w:noProof/>
          <w:lang w:val="es-ES"/>
        </w:rPr>
        <w:t xml:space="preserve">el Comité Permanente decidió que toda solicitud por parte de las iniciativas regionales de Ramsar de fondos del presupuesto básico incluyera una justificación de </w:t>
      </w:r>
      <w:r w:rsidR="00826FC6">
        <w:rPr>
          <w:rFonts w:cstheme="minorHAnsi"/>
          <w:noProof/>
          <w:lang w:val="es-ES"/>
        </w:rPr>
        <w:t>la forma en que estas</w:t>
      </w:r>
      <w:r w:rsidR="00E42818" w:rsidRPr="00064323">
        <w:rPr>
          <w:rFonts w:cstheme="minorHAnsi"/>
          <w:noProof/>
          <w:lang w:val="es-ES"/>
        </w:rPr>
        <w:t xml:space="preserve"> ayudarían a las Partes Contratantes a aplicar la Convención y sus resoluciones y orientaciones, y que esas solicitudes se proporcionaran en inglés (siendo aceptables </w:t>
      </w:r>
      <w:r w:rsidR="0081781D">
        <w:rPr>
          <w:rFonts w:cstheme="minorHAnsi"/>
          <w:noProof/>
          <w:lang w:val="es-ES"/>
        </w:rPr>
        <w:t xml:space="preserve">las </w:t>
      </w:r>
      <w:r w:rsidR="00E42818" w:rsidRPr="00064323">
        <w:rPr>
          <w:rFonts w:cstheme="minorHAnsi"/>
          <w:noProof/>
          <w:lang w:val="es-ES"/>
        </w:rPr>
        <w:t>traducciones oficiosas de tipo “Google translate” revisadas por el coordinador nacional del país), de forma que el Subgrupo de Finanzas pudiera tomar decisiones fundamentadas en los plazos establecidos.</w:t>
      </w:r>
    </w:p>
    <w:p w14:paraId="4F2B1B98" w14:textId="76AA8446" w:rsidR="00BA1A86" w:rsidRPr="00064323" w:rsidRDefault="00BA1A86" w:rsidP="00FA0633">
      <w:pPr>
        <w:pStyle w:val="NoSpacing"/>
        <w:ind w:left="851"/>
        <w:rPr>
          <w:noProof/>
          <w:lang w:val="es-ES"/>
        </w:rPr>
      </w:pPr>
    </w:p>
    <w:p w14:paraId="2B783D62" w14:textId="762746A6" w:rsidR="00E42818" w:rsidRPr="00064323" w:rsidRDefault="00523B6B" w:rsidP="001E1397">
      <w:pPr>
        <w:ind w:left="851"/>
        <w:rPr>
          <w:rFonts w:cstheme="minorHAnsi"/>
          <w:iCs/>
          <w:noProof/>
          <w:lang w:val="es-ES"/>
        </w:rPr>
      </w:pPr>
      <w:r w:rsidRPr="00061799">
        <w:rPr>
          <w:noProof/>
          <w:lang w:val="es-ES"/>
        </w:rPr>
        <w:t>e.</w:t>
      </w:r>
      <w:r w:rsidR="00F55A53" w:rsidRPr="00061799">
        <w:rPr>
          <w:noProof/>
          <w:lang w:val="es-ES"/>
        </w:rPr>
        <w:tab/>
      </w:r>
      <w:r w:rsidR="00E42818" w:rsidRPr="00061799">
        <w:rPr>
          <w:noProof/>
          <w:lang w:val="es-ES"/>
        </w:rPr>
        <w:t xml:space="preserve">Adicionalmente, el Comité Permanente aprobó el uso de </w:t>
      </w:r>
      <w:r w:rsidR="00AF5CB3">
        <w:rPr>
          <w:noProof/>
          <w:lang w:val="es-ES"/>
        </w:rPr>
        <w:t xml:space="preserve">los </w:t>
      </w:r>
      <w:r w:rsidR="00E42818" w:rsidRPr="00061799">
        <w:rPr>
          <w:noProof/>
          <w:lang w:val="es-ES"/>
        </w:rPr>
        <w:t xml:space="preserve">ahorros del presupuesto de 2020 por un total de 293 000 francos suizos a través de las siguientes decisiones: (i) </w:t>
      </w:r>
      <w:r w:rsidR="0081781D" w:rsidRPr="00061799">
        <w:rPr>
          <w:noProof/>
          <w:lang w:val="es-ES"/>
        </w:rPr>
        <w:t>mediante</w:t>
      </w:r>
      <w:r w:rsidR="00E42818" w:rsidRPr="00061799">
        <w:rPr>
          <w:noProof/>
          <w:lang w:val="es-ES"/>
        </w:rPr>
        <w:t xml:space="preserve"> la Decisión SC59-35, el Comité Permanente </w:t>
      </w:r>
      <w:r w:rsidR="00E2276E" w:rsidRPr="00061799">
        <w:rPr>
          <w:rFonts w:eastAsia="Yu Gothic" w:cs="MS PGothic"/>
          <w:noProof/>
          <w:lang w:val="es-ES"/>
        </w:rPr>
        <w:t xml:space="preserve">aprobó </w:t>
      </w:r>
      <w:r w:rsidR="008D17FC" w:rsidRPr="00061799">
        <w:rPr>
          <w:rFonts w:eastAsia="Yu Gothic" w:cs="MS PGothic"/>
          <w:noProof/>
          <w:lang w:val="es-ES"/>
        </w:rPr>
        <w:t>la asignación restante</w:t>
      </w:r>
      <w:r w:rsidR="006C6047">
        <w:rPr>
          <w:rFonts w:eastAsia="Yu Gothic" w:cs="MS PGothic"/>
          <w:noProof/>
          <w:lang w:val="es-ES"/>
        </w:rPr>
        <w:t xml:space="preserve"> presupuestada</w:t>
      </w:r>
      <w:r w:rsidR="008D17FC" w:rsidRPr="00061799">
        <w:rPr>
          <w:rFonts w:eastAsia="Yu Gothic" w:cs="MS PGothic"/>
          <w:noProof/>
          <w:lang w:val="es-ES"/>
        </w:rPr>
        <w:t xml:space="preserve"> de 10 000 francos suizos </w:t>
      </w:r>
      <w:r w:rsidR="00157003" w:rsidRPr="00061799">
        <w:rPr>
          <w:rFonts w:eastAsia="Yu Gothic" w:cs="MS PGothic"/>
          <w:noProof/>
          <w:lang w:val="es-ES"/>
        </w:rPr>
        <w:t>cada una</w:t>
      </w:r>
      <w:r w:rsidR="00773E4B" w:rsidRPr="00061799">
        <w:rPr>
          <w:rFonts w:eastAsia="Yu Gothic" w:cs="MS PGothic"/>
          <w:noProof/>
          <w:lang w:val="es-ES"/>
        </w:rPr>
        <w:t xml:space="preserve"> </w:t>
      </w:r>
      <w:r w:rsidR="00E47483">
        <w:rPr>
          <w:rFonts w:eastAsia="Yu Gothic" w:cs="MS PGothic"/>
          <w:noProof/>
          <w:lang w:val="es-ES"/>
        </w:rPr>
        <w:t>a</w:t>
      </w:r>
      <w:r w:rsidR="00773E4B" w:rsidRPr="00061799">
        <w:rPr>
          <w:rFonts w:eastAsia="Yu Gothic" w:cs="MS PGothic"/>
          <w:noProof/>
          <w:lang w:val="es-ES"/>
        </w:rPr>
        <w:t xml:space="preserve"> </w:t>
      </w:r>
      <w:r w:rsidR="00E47483">
        <w:rPr>
          <w:rFonts w:eastAsia="Yu Gothic" w:cs="MS PGothic"/>
          <w:noProof/>
          <w:lang w:val="es-ES"/>
        </w:rPr>
        <w:t>dos</w:t>
      </w:r>
      <w:r w:rsidR="00773E4B" w:rsidRPr="00061799">
        <w:rPr>
          <w:rFonts w:eastAsia="Yu Gothic" w:cs="MS PGothic"/>
          <w:noProof/>
          <w:lang w:val="es-ES"/>
        </w:rPr>
        <w:t xml:space="preserve"> iniciativas regionales </w:t>
      </w:r>
      <w:r w:rsidR="00E47483" w:rsidRPr="00061799">
        <w:rPr>
          <w:rFonts w:eastAsia="Yu Gothic" w:cs="MS PGothic"/>
          <w:noProof/>
          <w:lang w:val="es-ES"/>
        </w:rPr>
        <w:t xml:space="preserve">en el contexto de la Decisión </w:t>
      </w:r>
      <w:r w:rsidR="00E47483" w:rsidRPr="00061799">
        <w:rPr>
          <w:rFonts w:asciiTheme="minorHAnsi" w:hAnsiTheme="minorHAnsi" w:cstheme="minorHAnsi"/>
          <w:noProof/>
          <w:lang w:val="es-ES"/>
        </w:rPr>
        <w:t>SC58-28</w:t>
      </w:r>
      <w:r w:rsidR="00E47483">
        <w:rPr>
          <w:rFonts w:asciiTheme="minorHAnsi" w:hAnsiTheme="minorHAnsi" w:cstheme="minorHAnsi"/>
          <w:noProof/>
          <w:lang w:val="es-ES"/>
        </w:rPr>
        <w:t xml:space="preserve">, </w:t>
      </w:r>
      <w:r w:rsidR="00E47483" w:rsidRPr="00E47483">
        <w:rPr>
          <w:rFonts w:asciiTheme="minorHAnsi" w:hAnsiTheme="minorHAnsi" w:cstheme="minorHAnsi"/>
          <w:noProof/>
          <w:lang w:val="es-ES"/>
        </w:rPr>
        <w:t>para sus actividades planificadas en 2020 pero retrasadas a 2021 y para su desembolso en 2021</w:t>
      </w:r>
      <w:r w:rsidR="00E42818" w:rsidRPr="00061799">
        <w:rPr>
          <w:noProof/>
          <w:lang w:val="es-ES"/>
        </w:rPr>
        <w:t xml:space="preserve">; (ii) </w:t>
      </w:r>
      <w:r w:rsidR="00157003" w:rsidRPr="00061799">
        <w:rPr>
          <w:noProof/>
          <w:lang w:val="es-ES"/>
        </w:rPr>
        <w:t>mediante</w:t>
      </w:r>
      <w:r w:rsidR="001E1397" w:rsidRPr="00061799">
        <w:rPr>
          <w:noProof/>
          <w:lang w:val="es-ES"/>
        </w:rPr>
        <w:t xml:space="preserve"> la Decisión SC59-28, </w:t>
      </w:r>
      <w:r w:rsidR="001E1397" w:rsidRPr="00061799">
        <w:rPr>
          <w:rFonts w:cstheme="minorHAnsi"/>
          <w:noProof/>
          <w:lang w:val="es-ES"/>
        </w:rPr>
        <w:t>el</w:t>
      </w:r>
      <w:r w:rsidR="00E2276E" w:rsidRPr="00061799">
        <w:rPr>
          <w:rFonts w:cstheme="minorHAnsi"/>
          <w:noProof/>
          <w:lang w:val="es-ES"/>
        </w:rPr>
        <w:t xml:space="preserve"> Comité Permanente aprobó la asignación de 72 000 francos suizos</w:t>
      </w:r>
      <w:r w:rsidR="006C6047">
        <w:rPr>
          <w:rFonts w:cstheme="minorHAnsi"/>
          <w:noProof/>
          <w:lang w:val="es-ES"/>
        </w:rPr>
        <w:t xml:space="preserve"> </w:t>
      </w:r>
      <w:r w:rsidR="003602C1" w:rsidRPr="00061799">
        <w:rPr>
          <w:rFonts w:cstheme="minorHAnsi"/>
          <w:noProof/>
          <w:lang w:val="es-ES"/>
        </w:rPr>
        <w:t>para hacer frente al</w:t>
      </w:r>
      <w:r w:rsidR="00E2276E" w:rsidRPr="00061799">
        <w:rPr>
          <w:rFonts w:cstheme="minorHAnsi"/>
          <w:noProof/>
          <w:lang w:val="es-ES"/>
        </w:rPr>
        <w:t xml:space="preserve"> incremento de las provisiones para las contribuciones pendientes en el presupuesto de 2021</w:t>
      </w:r>
      <w:r w:rsidR="00E42818" w:rsidRPr="00061799">
        <w:rPr>
          <w:noProof/>
          <w:lang w:val="es-ES"/>
        </w:rPr>
        <w:t xml:space="preserve">; (iii) </w:t>
      </w:r>
      <w:r w:rsidR="00B66AC6" w:rsidRPr="00061799">
        <w:rPr>
          <w:noProof/>
          <w:lang w:val="es-ES"/>
        </w:rPr>
        <w:t>mediante</w:t>
      </w:r>
      <w:r w:rsidR="00E42818" w:rsidRPr="00061799">
        <w:rPr>
          <w:noProof/>
          <w:lang w:val="es-ES"/>
        </w:rPr>
        <w:t xml:space="preserve"> la Decisión SC59-29, el Comité Permanente aprobó </w:t>
      </w:r>
      <w:r w:rsidR="001E1397" w:rsidRPr="00061799">
        <w:rPr>
          <w:noProof/>
          <w:lang w:val="es-ES"/>
        </w:rPr>
        <w:t xml:space="preserve">el uso de </w:t>
      </w:r>
      <w:r w:rsidR="00E2276E" w:rsidRPr="00061799">
        <w:rPr>
          <w:rFonts w:cstheme="minorHAnsi"/>
          <w:noProof/>
          <w:lang w:val="es-ES"/>
        </w:rPr>
        <w:t xml:space="preserve">25 000 francos suizos para la preparación </w:t>
      </w:r>
      <w:r w:rsidR="00124A43" w:rsidRPr="00061799">
        <w:rPr>
          <w:rFonts w:cstheme="minorHAnsi"/>
          <w:noProof/>
          <w:lang w:val="es-ES"/>
        </w:rPr>
        <w:t xml:space="preserve">y </w:t>
      </w:r>
      <w:r w:rsidR="006C6047">
        <w:rPr>
          <w:rFonts w:cstheme="minorHAnsi"/>
          <w:noProof/>
          <w:lang w:val="es-ES"/>
        </w:rPr>
        <w:t>producción</w:t>
      </w:r>
      <w:r w:rsidR="00E2276E" w:rsidRPr="00061799">
        <w:rPr>
          <w:rFonts w:cstheme="minorHAnsi"/>
          <w:noProof/>
          <w:lang w:val="es-ES"/>
        </w:rPr>
        <w:t xml:space="preserve"> </w:t>
      </w:r>
      <w:r w:rsidR="00124A43" w:rsidRPr="00061799">
        <w:rPr>
          <w:rFonts w:cstheme="minorHAnsi"/>
          <w:noProof/>
          <w:lang w:val="es-ES"/>
        </w:rPr>
        <w:t>d</w:t>
      </w:r>
      <w:r w:rsidR="00E2276E" w:rsidRPr="00061799">
        <w:rPr>
          <w:rFonts w:cstheme="minorHAnsi"/>
          <w:noProof/>
          <w:lang w:val="es-ES"/>
        </w:rPr>
        <w:t>el Día Mundial de los Humedales 2022</w:t>
      </w:r>
      <w:r w:rsidR="00E42818" w:rsidRPr="00061799">
        <w:rPr>
          <w:noProof/>
          <w:lang w:val="es-ES"/>
        </w:rPr>
        <w:t xml:space="preserve"> </w:t>
      </w:r>
      <w:r w:rsidR="001E1397" w:rsidRPr="00061799">
        <w:rPr>
          <w:noProof/>
          <w:lang w:val="es-ES"/>
        </w:rPr>
        <w:t xml:space="preserve">y </w:t>
      </w:r>
      <w:r w:rsidR="00E2276E" w:rsidRPr="00061799">
        <w:rPr>
          <w:rFonts w:cstheme="minorHAnsi"/>
          <w:noProof/>
          <w:lang w:val="es-ES"/>
        </w:rPr>
        <w:t>86 000 francos suizos para realizar mejoras en el sitio web de la Convención</w:t>
      </w:r>
      <w:r w:rsidR="00E42818" w:rsidRPr="00061799">
        <w:rPr>
          <w:noProof/>
          <w:lang w:val="es-ES"/>
        </w:rPr>
        <w:t xml:space="preserve">; y (iv) </w:t>
      </w:r>
      <w:r w:rsidR="00124A43" w:rsidRPr="00061799">
        <w:rPr>
          <w:noProof/>
          <w:lang w:val="es-ES"/>
        </w:rPr>
        <w:t>mediante</w:t>
      </w:r>
      <w:r w:rsidR="00E42818" w:rsidRPr="00061799">
        <w:rPr>
          <w:noProof/>
          <w:lang w:val="es-ES"/>
        </w:rPr>
        <w:t xml:space="preserve"> la Decisión SC59-32, </w:t>
      </w:r>
      <w:r w:rsidR="001E1397" w:rsidRPr="00061799">
        <w:rPr>
          <w:rFonts w:cstheme="minorHAnsi"/>
          <w:iCs/>
          <w:noProof/>
          <w:lang w:val="es-ES"/>
        </w:rPr>
        <w:t>e</w:t>
      </w:r>
      <w:r w:rsidR="00E2276E" w:rsidRPr="00061799">
        <w:rPr>
          <w:rFonts w:cstheme="minorHAnsi"/>
          <w:iCs/>
          <w:noProof/>
          <w:lang w:val="es-ES"/>
        </w:rPr>
        <w:t>l Comité Permanente aprobó la asignación de 90 000 francos suizos para la labor del Grupo de trabajo sobre examen el Plan Estratégico.</w:t>
      </w:r>
    </w:p>
    <w:p w14:paraId="0D982615" w14:textId="77777777" w:rsidR="00F55A53" w:rsidRPr="00064323" w:rsidRDefault="00F55A53" w:rsidP="001E1397">
      <w:pPr>
        <w:pStyle w:val="NoSpacing"/>
        <w:rPr>
          <w:noProof/>
          <w:lang w:val="es-ES"/>
        </w:rPr>
      </w:pPr>
    </w:p>
    <w:p w14:paraId="28406C0E" w14:textId="3D918FC5" w:rsidR="001E1397" w:rsidRPr="00064323" w:rsidRDefault="00523B6B" w:rsidP="008F7FC4">
      <w:pPr>
        <w:pStyle w:val="NoSpacing"/>
        <w:ind w:left="851"/>
        <w:rPr>
          <w:noProof/>
          <w:lang w:val="es-ES"/>
        </w:rPr>
      </w:pPr>
      <w:r w:rsidRPr="00064323">
        <w:rPr>
          <w:noProof/>
          <w:lang w:val="es-ES"/>
        </w:rPr>
        <w:t>f</w:t>
      </w:r>
      <w:r w:rsidR="008F7FC4" w:rsidRPr="00064323">
        <w:rPr>
          <w:noProof/>
          <w:lang w:val="es-ES"/>
        </w:rPr>
        <w:t>.</w:t>
      </w:r>
      <w:r w:rsidR="008F7FC4" w:rsidRPr="00064323">
        <w:rPr>
          <w:noProof/>
          <w:lang w:val="es-ES"/>
        </w:rPr>
        <w:tab/>
      </w:r>
      <w:r w:rsidR="008E5EE1" w:rsidRPr="00064323">
        <w:rPr>
          <w:noProof/>
          <w:lang w:val="es-ES"/>
        </w:rPr>
        <w:t xml:space="preserve">Estas modificaciones se reflejan en el presupuesto de 2021. El total de los ahorros restantes que no se asignaron del presupuesto de 2020, que ascienden a 416 000 francos suizos, se presenta en una partida presupuestaria separada bajo el punto K “Varios - fondos de reserva” como </w:t>
      </w:r>
      <w:r w:rsidR="004D2FBF" w:rsidRPr="00064323">
        <w:rPr>
          <w:noProof/>
          <w:lang w:val="es-ES"/>
        </w:rPr>
        <w:t xml:space="preserve">“Presupuesto aprobado por la reunión SC58 y ahorros no comprometidos traspasados al año siguiente” </w:t>
      </w:r>
      <w:r w:rsidR="008E5EE1" w:rsidRPr="00064323">
        <w:rPr>
          <w:noProof/>
          <w:lang w:val="es-ES"/>
        </w:rPr>
        <w:t>en el Anexo 2.</w:t>
      </w:r>
    </w:p>
    <w:p w14:paraId="61ECB6E2" w14:textId="5130D6C4" w:rsidR="00CE1519" w:rsidRPr="00064323" w:rsidRDefault="00CE1519" w:rsidP="008F7FC4">
      <w:pPr>
        <w:pStyle w:val="NoSpacing"/>
        <w:ind w:left="851"/>
        <w:rPr>
          <w:noProof/>
          <w:lang w:val="es-ES"/>
        </w:rPr>
      </w:pPr>
    </w:p>
    <w:p w14:paraId="5B118062" w14:textId="40A68A73" w:rsidR="00EC2664" w:rsidRPr="00064323" w:rsidRDefault="00EC2664" w:rsidP="00CE1519">
      <w:pPr>
        <w:rPr>
          <w:i/>
          <w:noProof/>
          <w:lang w:val="es-ES"/>
        </w:rPr>
      </w:pPr>
      <w:r w:rsidRPr="00064323">
        <w:rPr>
          <w:i/>
          <w:noProof/>
          <w:lang w:val="es-ES"/>
        </w:rPr>
        <w:t xml:space="preserve">Ajustes </w:t>
      </w:r>
      <w:r w:rsidR="00574D5F">
        <w:rPr>
          <w:i/>
          <w:noProof/>
          <w:lang w:val="es-ES"/>
        </w:rPr>
        <w:t>propuestos por</w:t>
      </w:r>
      <w:r w:rsidRPr="00064323">
        <w:rPr>
          <w:i/>
          <w:noProof/>
          <w:lang w:val="es-ES"/>
        </w:rPr>
        <w:t xml:space="preserve"> la Secretaría </w:t>
      </w:r>
      <w:r w:rsidR="00574D5F">
        <w:rPr>
          <w:i/>
          <w:noProof/>
          <w:lang w:val="es-ES"/>
        </w:rPr>
        <w:t>respecto a</w:t>
      </w:r>
      <w:r w:rsidRPr="00064323">
        <w:rPr>
          <w:i/>
          <w:noProof/>
          <w:lang w:val="es-ES"/>
        </w:rPr>
        <w:t xml:space="preserve"> los saldos de 2021</w:t>
      </w:r>
    </w:p>
    <w:p w14:paraId="1BE1E117" w14:textId="77777777" w:rsidR="00CE1519" w:rsidRPr="00064323" w:rsidRDefault="00CE1519" w:rsidP="00CE1519">
      <w:pPr>
        <w:rPr>
          <w:noProof/>
          <w:lang w:val="es-ES"/>
        </w:rPr>
      </w:pPr>
      <w:r w:rsidRPr="00064323">
        <w:rPr>
          <w:noProof/>
          <w:lang w:val="es-ES"/>
        </w:rPr>
        <w:tab/>
      </w:r>
    </w:p>
    <w:p w14:paraId="3E25B59C" w14:textId="7C483F0C" w:rsidR="00EC2664" w:rsidRPr="00064323" w:rsidRDefault="004D0989" w:rsidP="004D0989">
      <w:pPr>
        <w:ind w:left="426" w:hanging="426"/>
        <w:rPr>
          <w:noProof/>
          <w:lang w:val="es-ES"/>
        </w:rPr>
      </w:pPr>
      <w:r w:rsidRPr="00064323">
        <w:rPr>
          <w:noProof/>
          <w:lang w:val="es-ES"/>
        </w:rPr>
        <w:t>13.</w:t>
      </w:r>
      <w:r w:rsidRPr="00064323">
        <w:rPr>
          <w:noProof/>
          <w:lang w:val="es-ES"/>
        </w:rPr>
        <w:tab/>
      </w:r>
      <w:r w:rsidR="00EC2664" w:rsidRPr="00064323">
        <w:rPr>
          <w:noProof/>
          <w:lang w:val="es-ES"/>
        </w:rPr>
        <w:t xml:space="preserve">En 2021, hubo </w:t>
      </w:r>
      <w:r w:rsidR="00A632C7" w:rsidRPr="00064323">
        <w:rPr>
          <w:noProof/>
          <w:lang w:val="es-ES"/>
        </w:rPr>
        <w:t xml:space="preserve">un exceso de </w:t>
      </w:r>
      <w:r w:rsidR="00EC2664" w:rsidRPr="00064323">
        <w:rPr>
          <w:noProof/>
          <w:lang w:val="es-ES"/>
        </w:rPr>
        <w:t>gastos con cargo al presupuesto básico aprobado para 2021 en las siguientes partidas presupuestarias: (i) un exceso de gasto</w:t>
      </w:r>
      <w:r w:rsidR="00A632C7" w:rsidRPr="00064323">
        <w:rPr>
          <w:noProof/>
          <w:lang w:val="es-ES"/>
        </w:rPr>
        <w:t>s</w:t>
      </w:r>
      <w:r w:rsidR="00EC2664" w:rsidRPr="00064323">
        <w:rPr>
          <w:noProof/>
          <w:lang w:val="es-ES"/>
        </w:rPr>
        <w:t xml:space="preserve"> </w:t>
      </w:r>
      <w:r w:rsidR="00C41113">
        <w:rPr>
          <w:noProof/>
          <w:lang w:val="es-ES"/>
        </w:rPr>
        <w:t>de</w:t>
      </w:r>
      <w:r w:rsidR="00EC2664" w:rsidRPr="00064323">
        <w:rPr>
          <w:noProof/>
          <w:lang w:val="es-ES"/>
        </w:rPr>
        <w:t xml:space="preserve"> 11 000 francos suizos en “</w:t>
      </w:r>
      <w:r w:rsidR="00EC2664" w:rsidRPr="00064323">
        <w:rPr>
          <w:rFonts w:asciiTheme="minorHAnsi" w:hAnsiTheme="minorHAnsi"/>
          <w:bCs/>
          <w:noProof/>
          <w:lang w:val="es-ES"/>
        </w:rPr>
        <w:t>Costos de contratación y separación del personal</w:t>
      </w:r>
      <w:r w:rsidR="00EC2664" w:rsidRPr="00064323">
        <w:rPr>
          <w:noProof/>
          <w:lang w:val="es-ES"/>
        </w:rPr>
        <w:t>” debido a los costos de traslado relacionados con la separación y contratación para el puesto de Asesor Principal para Asia en 2021; (ii) un exceso de gasto</w:t>
      </w:r>
      <w:r w:rsidR="00A632C7" w:rsidRPr="00064323">
        <w:rPr>
          <w:noProof/>
          <w:lang w:val="es-ES"/>
        </w:rPr>
        <w:t>s</w:t>
      </w:r>
      <w:r w:rsidR="00EC2664" w:rsidRPr="00064323">
        <w:rPr>
          <w:noProof/>
          <w:lang w:val="es-ES"/>
        </w:rPr>
        <w:t xml:space="preserve"> </w:t>
      </w:r>
      <w:r w:rsidR="00C41113">
        <w:rPr>
          <w:noProof/>
          <w:lang w:val="es-ES"/>
        </w:rPr>
        <w:t>de</w:t>
      </w:r>
      <w:r w:rsidR="00EC2664" w:rsidRPr="00064323">
        <w:rPr>
          <w:noProof/>
          <w:lang w:val="es-ES"/>
        </w:rPr>
        <w:t xml:space="preserve"> 15</w:t>
      </w:r>
      <w:r w:rsidR="00A632C7" w:rsidRPr="00064323">
        <w:rPr>
          <w:noProof/>
          <w:lang w:val="es-ES"/>
        </w:rPr>
        <w:t xml:space="preserve"> 000</w:t>
      </w:r>
      <w:r w:rsidR="00EC2664" w:rsidRPr="00064323">
        <w:rPr>
          <w:noProof/>
          <w:lang w:val="es-ES"/>
        </w:rPr>
        <w:t xml:space="preserve"> </w:t>
      </w:r>
      <w:r w:rsidR="00A632C7" w:rsidRPr="00064323">
        <w:rPr>
          <w:noProof/>
          <w:lang w:val="es-ES"/>
        </w:rPr>
        <w:t>francos suizos</w:t>
      </w:r>
      <w:r w:rsidR="00EC2664" w:rsidRPr="00064323">
        <w:rPr>
          <w:noProof/>
          <w:lang w:val="es-ES"/>
        </w:rPr>
        <w:t xml:space="preserve"> en la </w:t>
      </w:r>
      <w:r w:rsidR="00A632C7" w:rsidRPr="00064323">
        <w:rPr>
          <w:noProof/>
          <w:lang w:val="es-ES"/>
        </w:rPr>
        <w:t>partida</w:t>
      </w:r>
      <w:r w:rsidR="00EC2664" w:rsidRPr="00064323">
        <w:rPr>
          <w:noProof/>
          <w:lang w:val="es-ES"/>
        </w:rPr>
        <w:t xml:space="preserve"> presupuestaria </w:t>
      </w:r>
      <w:r w:rsidR="00A632C7" w:rsidRPr="00064323">
        <w:rPr>
          <w:noProof/>
          <w:lang w:val="es-ES"/>
        </w:rPr>
        <w:t>“</w:t>
      </w:r>
      <w:r w:rsidR="00EC2664" w:rsidRPr="00064323">
        <w:rPr>
          <w:noProof/>
          <w:lang w:val="es-ES"/>
        </w:rPr>
        <w:t>Traducci</w:t>
      </w:r>
      <w:r w:rsidR="00A632C7" w:rsidRPr="00064323">
        <w:rPr>
          <w:noProof/>
          <w:lang w:val="es-ES"/>
        </w:rPr>
        <w:t>ón para las reuniones del CP”</w:t>
      </w:r>
      <w:r w:rsidR="00EC2664" w:rsidRPr="00064323">
        <w:rPr>
          <w:noProof/>
          <w:lang w:val="es-ES"/>
        </w:rPr>
        <w:t xml:space="preserve"> debido al mayor volumen de documentos e informes </w:t>
      </w:r>
      <w:r w:rsidR="003602C1">
        <w:rPr>
          <w:noProof/>
          <w:lang w:val="es-ES"/>
        </w:rPr>
        <w:t>cuya traducción fue necesaria</w:t>
      </w:r>
      <w:r w:rsidR="00EC2664" w:rsidRPr="00064323">
        <w:rPr>
          <w:noProof/>
          <w:lang w:val="es-ES"/>
        </w:rPr>
        <w:t xml:space="preserve"> para las reuniones </w:t>
      </w:r>
      <w:r w:rsidR="00A632C7" w:rsidRPr="00064323">
        <w:rPr>
          <w:noProof/>
          <w:lang w:val="es-ES"/>
        </w:rPr>
        <w:t xml:space="preserve">de la </w:t>
      </w:r>
      <w:r w:rsidR="00EC2664" w:rsidRPr="00064323">
        <w:rPr>
          <w:noProof/>
          <w:lang w:val="es-ES"/>
        </w:rPr>
        <w:t xml:space="preserve">SC59; y (iii) </w:t>
      </w:r>
      <w:r w:rsidR="00A632C7" w:rsidRPr="00064323">
        <w:rPr>
          <w:noProof/>
          <w:lang w:val="es-ES"/>
        </w:rPr>
        <w:t xml:space="preserve">un exceso de gastos </w:t>
      </w:r>
      <w:r w:rsidR="00C41113">
        <w:rPr>
          <w:noProof/>
          <w:lang w:val="es-ES"/>
        </w:rPr>
        <w:t>de</w:t>
      </w:r>
      <w:r w:rsidR="00A632C7" w:rsidRPr="00064323">
        <w:rPr>
          <w:noProof/>
          <w:lang w:val="es-ES"/>
        </w:rPr>
        <w:t xml:space="preserve"> </w:t>
      </w:r>
      <w:r w:rsidR="00EC2664" w:rsidRPr="00064323">
        <w:rPr>
          <w:noProof/>
          <w:lang w:val="es-ES"/>
        </w:rPr>
        <w:t>23</w:t>
      </w:r>
      <w:r w:rsidR="00A632C7" w:rsidRPr="00064323">
        <w:rPr>
          <w:noProof/>
          <w:lang w:val="es-ES"/>
        </w:rPr>
        <w:t xml:space="preserve"> 000</w:t>
      </w:r>
      <w:r w:rsidR="00EC2664" w:rsidRPr="00064323">
        <w:rPr>
          <w:noProof/>
          <w:lang w:val="es-ES"/>
        </w:rPr>
        <w:t xml:space="preserve"> </w:t>
      </w:r>
      <w:r w:rsidR="00A632C7" w:rsidRPr="00064323">
        <w:rPr>
          <w:noProof/>
          <w:lang w:val="es-ES"/>
        </w:rPr>
        <w:t>francos suizos</w:t>
      </w:r>
      <w:r w:rsidR="00EC2664" w:rsidRPr="00064323">
        <w:rPr>
          <w:noProof/>
          <w:lang w:val="es-ES"/>
        </w:rPr>
        <w:t xml:space="preserve"> en la </w:t>
      </w:r>
      <w:r w:rsidR="00A632C7" w:rsidRPr="00064323">
        <w:rPr>
          <w:noProof/>
          <w:lang w:val="es-ES"/>
        </w:rPr>
        <w:t>partida</w:t>
      </w:r>
      <w:r w:rsidR="00EC2664" w:rsidRPr="00064323">
        <w:rPr>
          <w:noProof/>
          <w:lang w:val="es-ES"/>
        </w:rPr>
        <w:t xml:space="preserve"> presupuestaria </w:t>
      </w:r>
      <w:r w:rsidR="00A632C7" w:rsidRPr="00064323">
        <w:rPr>
          <w:noProof/>
          <w:lang w:val="es-ES"/>
        </w:rPr>
        <w:t>“</w:t>
      </w:r>
      <w:r w:rsidR="00A632C7" w:rsidRPr="00064323">
        <w:rPr>
          <w:rFonts w:asciiTheme="minorHAnsi" w:hAnsiTheme="minorHAnsi"/>
          <w:bCs/>
          <w:noProof/>
          <w:lang w:val="es-ES"/>
        </w:rPr>
        <w:t>Interpretación simultánea en las reuniones del CP</w:t>
      </w:r>
      <w:r w:rsidR="00A632C7" w:rsidRPr="00064323">
        <w:rPr>
          <w:noProof/>
          <w:lang w:val="es-ES"/>
        </w:rPr>
        <w:t>”</w:t>
      </w:r>
      <w:r w:rsidR="00EC2664" w:rsidRPr="00064323">
        <w:rPr>
          <w:noProof/>
          <w:lang w:val="es-ES"/>
        </w:rPr>
        <w:t xml:space="preserve"> debido a los cost</w:t>
      </w:r>
      <w:r w:rsidR="00A632C7" w:rsidRPr="00064323">
        <w:rPr>
          <w:noProof/>
          <w:lang w:val="es-ES"/>
        </w:rPr>
        <w:t>o</w:t>
      </w:r>
      <w:r w:rsidR="00EC2664" w:rsidRPr="00064323">
        <w:rPr>
          <w:noProof/>
          <w:lang w:val="es-ES"/>
        </w:rPr>
        <w:t xml:space="preserve">s adicionales de interpretación durante la reunión virtual SC59 y la Tercera Conferencia Extraordinaria de las Partes Contratantes (ExCOP3) en octubre de 2021.  </w:t>
      </w:r>
    </w:p>
    <w:p w14:paraId="60238754" w14:textId="77777777" w:rsidR="00CE1519" w:rsidRPr="00064323" w:rsidRDefault="00CE1519" w:rsidP="00C41113">
      <w:pPr>
        <w:ind w:left="0" w:firstLine="0"/>
        <w:rPr>
          <w:noProof/>
          <w:lang w:val="es-ES"/>
        </w:rPr>
      </w:pPr>
    </w:p>
    <w:p w14:paraId="68AC44E7" w14:textId="2F57EF6C" w:rsidR="00A632C7" w:rsidRPr="00064323" w:rsidRDefault="004D0989" w:rsidP="004D0989">
      <w:pPr>
        <w:pStyle w:val="NoSpacing"/>
        <w:ind w:left="426" w:hanging="426"/>
        <w:rPr>
          <w:noProof/>
          <w:lang w:val="es-ES"/>
        </w:rPr>
      </w:pPr>
      <w:r w:rsidRPr="00064323">
        <w:rPr>
          <w:noProof/>
          <w:lang w:val="es-ES"/>
        </w:rPr>
        <w:t>14.</w:t>
      </w:r>
      <w:r w:rsidRPr="00064323">
        <w:rPr>
          <w:noProof/>
          <w:lang w:val="es-ES"/>
        </w:rPr>
        <w:tab/>
      </w:r>
      <w:r w:rsidR="00A632C7" w:rsidRPr="00064323">
        <w:rPr>
          <w:noProof/>
          <w:lang w:val="es-ES"/>
        </w:rPr>
        <w:t xml:space="preserve">La Secretaría propone los siguientes ajustes al presupuesto básico de 2021, tal como se presenta en la columna H del Anexo 2: (i) cubrir el exceso de gasto </w:t>
      </w:r>
      <w:r w:rsidR="00C41113">
        <w:rPr>
          <w:noProof/>
          <w:lang w:val="es-ES"/>
        </w:rPr>
        <w:t>de</w:t>
      </w:r>
      <w:r w:rsidR="006E1DF2" w:rsidRPr="00064323">
        <w:rPr>
          <w:noProof/>
          <w:lang w:val="es-ES"/>
        </w:rPr>
        <w:t xml:space="preserve"> 11 000 francos suizos</w:t>
      </w:r>
      <w:r w:rsidR="00A632C7" w:rsidRPr="00064323">
        <w:rPr>
          <w:noProof/>
          <w:lang w:val="es-ES"/>
        </w:rPr>
        <w:t xml:space="preserve"> en </w:t>
      </w:r>
      <w:r w:rsidR="006E1DF2" w:rsidRPr="00064323">
        <w:rPr>
          <w:noProof/>
          <w:lang w:val="es-ES"/>
        </w:rPr>
        <w:t>“</w:t>
      </w:r>
      <w:r w:rsidR="006E1DF2" w:rsidRPr="00064323">
        <w:rPr>
          <w:rFonts w:asciiTheme="minorHAnsi" w:hAnsiTheme="minorHAnsi"/>
          <w:bCs/>
          <w:noProof/>
          <w:lang w:val="es-ES"/>
        </w:rPr>
        <w:t>Costos de contratación y separación del personal</w:t>
      </w:r>
      <w:r w:rsidR="006E1DF2" w:rsidRPr="00064323">
        <w:rPr>
          <w:noProof/>
          <w:lang w:val="es-ES"/>
        </w:rPr>
        <w:t xml:space="preserve">” </w:t>
      </w:r>
      <w:r w:rsidR="00A632C7" w:rsidRPr="00064323">
        <w:rPr>
          <w:noProof/>
          <w:lang w:val="es-ES"/>
        </w:rPr>
        <w:t xml:space="preserve">utilizando el saldo no </w:t>
      </w:r>
      <w:r w:rsidR="006E1DF2" w:rsidRPr="00064323">
        <w:rPr>
          <w:noProof/>
          <w:lang w:val="es-ES"/>
        </w:rPr>
        <w:t>ejecutado</w:t>
      </w:r>
      <w:r w:rsidR="00A632C7" w:rsidRPr="00064323">
        <w:rPr>
          <w:noProof/>
          <w:lang w:val="es-ES"/>
        </w:rPr>
        <w:t xml:space="preserve"> de la </w:t>
      </w:r>
      <w:r w:rsidR="006E1DF2" w:rsidRPr="00064323">
        <w:rPr>
          <w:noProof/>
          <w:lang w:val="es-ES"/>
        </w:rPr>
        <w:t>partida</w:t>
      </w:r>
      <w:r w:rsidR="00A632C7" w:rsidRPr="00064323">
        <w:rPr>
          <w:noProof/>
          <w:lang w:val="es-ES"/>
        </w:rPr>
        <w:t xml:space="preserve"> presupuestaria </w:t>
      </w:r>
      <w:r w:rsidR="006E1DF2" w:rsidRPr="00064323">
        <w:rPr>
          <w:noProof/>
          <w:lang w:val="es-ES"/>
        </w:rPr>
        <w:t>“</w:t>
      </w:r>
      <w:r w:rsidR="00A632C7" w:rsidRPr="00064323">
        <w:rPr>
          <w:noProof/>
          <w:lang w:val="es-ES"/>
        </w:rPr>
        <w:t xml:space="preserve">Salarios, </w:t>
      </w:r>
      <w:r w:rsidR="006E1DF2" w:rsidRPr="00064323">
        <w:rPr>
          <w:noProof/>
          <w:lang w:val="es-ES"/>
        </w:rPr>
        <w:t>gastos</w:t>
      </w:r>
      <w:r w:rsidR="00A632C7" w:rsidRPr="00064323">
        <w:rPr>
          <w:noProof/>
          <w:lang w:val="es-ES"/>
        </w:rPr>
        <w:t xml:space="preserve"> sociales y </w:t>
      </w:r>
      <w:r w:rsidR="006E1DF2" w:rsidRPr="00064323">
        <w:rPr>
          <w:noProof/>
          <w:lang w:val="es-ES"/>
        </w:rPr>
        <w:t>otras prestaciones</w:t>
      </w:r>
      <w:r w:rsidR="00A632C7" w:rsidRPr="00064323">
        <w:rPr>
          <w:noProof/>
          <w:lang w:val="es-ES"/>
        </w:rPr>
        <w:t xml:space="preserve"> </w:t>
      </w:r>
      <w:r w:rsidR="006E1DF2" w:rsidRPr="00064323">
        <w:rPr>
          <w:noProof/>
          <w:lang w:val="es-ES"/>
        </w:rPr>
        <w:t xml:space="preserve">laborales </w:t>
      </w:r>
      <w:r w:rsidR="00A632C7" w:rsidRPr="00064323">
        <w:rPr>
          <w:noProof/>
          <w:lang w:val="es-ES"/>
        </w:rPr>
        <w:t>para el asesoramiento y apoyo regional</w:t>
      </w:r>
      <w:r w:rsidR="006E1DF2" w:rsidRPr="00064323">
        <w:rPr>
          <w:noProof/>
          <w:lang w:val="es-ES"/>
        </w:rPr>
        <w:t>es”</w:t>
      </w:r>
      <w:r w:rsidR="00A632C7" w:rsidRPr="00064323">
        <w:rPr>
          <w:noProof/>
          <w:lang w:val="es-ES"/>
        </w:rPr>
        <w:t xml:space="preserve">; (ii) cubrir el exceso de gasto </w:t>
      </w:r>
      <w:r w:rsidR="00C41113">
        <w:rPr>
          <w:noProof/>
          <w:lang w:val="es-ES"/>
        </w:rPr>
        <w:t>de</w:t>
      </w:r>
      <w:r w:rsidR="006E1DF2" w:rsidRPr="00064323">
        <w:rPr>
          <w:noProof/>
          <w:lang w:val="es-ES"/>
        </w:rPr>
        <w:t xml:space="preserve"> 15 000 francos suizos en </w:t>
      </w:r>
      <w:r w:rsidR="00A632C7" w:rsidRPr="00064323">
        <w:rPr>
          <w:noProof/>
          <w:lang w:val="es-ES"/>
        </w:rPr>
        <w:t xml:space="preserve">la </w:t>
      </w:r>
      <w:r w:rsidR="006E1DF2" w:rsidRPr="00064323">
        <w:rPr>
          <w:noProof/>
          <w:lang w:val="es-ES"/>
        </w:rPr>
        <w:t>partida</w:t>
      </w:r>
      <w:r w:rsidR="00A632C7" w:rsidRPr="00064323">
        <w:rPr>
          <w:noProof/>
          <w:lang w:val="es-ES"/>
        </w:rPr>
        <w:t xml:space="preserve"> presupuestaria </w:t>
      </w:r>
      <w:r w:rsidR="006E1DF2" w:rsidRPr="00064323">
        <w:rPr>
          <w:noProof/>
          <w:lang w:val="es-ES"/>
        </w:rPr>
        <w:t xml:space="preserve">“Traducción para las reuniones del CP” </w:t>
      </w:r>
      <w:r w:rsidR="00A632C7" w:rsidRPr="00064323">
        <w:rPr>
          <w:noProof/>
          <w:lang w:val="es-ES"/>
        </w:rPr>
        <w:t xml:space="preserve">y </w:t>
      </w:r>
      <w:r w:rsidR="00C41113">
        <w:rPr>
          <w:noProof/>
          <w:lang w:val="es-ES"/>
        </w:rPr>
        <w:t xml:space="preserve">de </w:t>
      </w:r>
      <w:r w:rsidR="00A632C7" w:rsidRPr="00064323">
        <w:rPr>
          <w:noProof/>
          <w:lang w:val="es-ES"/>
        </w:rPr>
        <w:t>23</w:t>
      </w:r>
      <w:r w:rsidR="006E1DF2" w:rsidRPr="00064323">
        <w:rPr>
          <w:noProof/>
          <w:lang w:val="es-ES"/>
        </w:rPr>
        <w:t xml:space="preserve"> 000</w:t>
      </w:r>
      <w:r w:rsidR="00A632C7" w:rsidRPr="00064323">
        <w:rPr>
          <w:noProof/>
          <w:lang w:val="es-ES"/>
        </w:rPr>
        <w:t xml:space="preserve"> </w:t>
      </w:r>
      <w:r w:rsidR="006E1DF2" w:rsidRPr="00064323">
        <w:rPr>
          <w:noProof/>
          <w:lang w:val="es-ES"/>
        </w:rPr>
        <w:t>francos suizos</w:t>
      </w:r>
      <w:r w:rsidR="00A632C7" w:rsidRPr="00064323">
        <w:rPr>
          <w:noProof/>
          <w:lang w:val="es-ES"/>
        </w:rPr>
        <w:t xml:space="preserve"> en la </w:t>
      </w:r>
      <w:r w:rsidR="006E1DF2" w:rsidRPr="00064323">
        <w:rPr>
          <w:noProof/>
          <w:lang w:val="es-ES"/>
        </w:rPr>
        <w:lastRenderedPageBreak/>
        <w:t>partida</w:t>
      </w:r>
      <w:r w:rsidR="00A632C7" w:rsidRPr="00064323">
        <w:rPr>
          <w:noProof/>
          <w:lang w:val="es-ES"/>
        </w:rPr>
        <w:t xml:space="preserve"> presupuestaria </w:t>
      </w:r>
      <w:r w:rsidR="006E1DF2" w:rsidRPr="00064323">
        <w:rPr>
          <w:noProof/>
          <w:lang w:val="es-ES"/>
        </w:rPr>
        <w:t>“</w:t>
      </w:r>
      <w:r w:rsidR="006E1DF2" w:rsidRPr="00064323">
        <w:rPr>
          <w:rFonts w:asciiTheme="minorHAnsi" w:hAnsiTheme="minorHAnsi"/>
          <w:bCs/>
          <w:noProof/>
          <w:lang w:val="es-ES"/>
        </w:rPr>
        <w:t>Interpretación simultánea en las reuniones del CP</w:t>
      </w:r>
      <w:r w:rsidR="006E1DF2" w:rsidRPr="00064323">
        <w:rPr>
          <w:noProof/>
          <w:lang w:val="es-ES"/>
        </w:rPr>
        <w:t xml:space="preserve">” </w:t>
      </w:r>
      <w:r w:rsidR="00A632C7" w:rsidRPr="00064323">
        <w:rPr>
          <w:noProof/>
          <w:lang w:val="es-ES"/>
        </w:rPr>
        <w:t>con 38</w:t>
      </w:r>
      <w:r w:rsidR="006E1DF2" w:rsidRPr="00064323">
        <w:rPr>
          <w:noProof/>
          <w:lang w:val="es-ES"/>
        </w:rPr>
        <w:t xml:space="preserve"> 000 francos suizos</w:t>
      </w:r>
      <w:r w:rsidR="00A632C7" w:rsidRPr="00064323">
        <w:rPr>
          <w:noProof/>
          <w:lang w:val="es-ES"/>
        </w:rPr>
        <w:t xml:space="preserve"> de la </w:t>
      </w:r>
      <w:r w:rsidR="006E1DF2" w:rsidRPr="00064323">
        <w:rPr>
          <w:noProof/>
          <w:lang w:val="es-ES"/>
        </w:rPr>
        <w:t>partida</w:t>
      </w:r>
      <w:r w:rsidR="00A632C7" w:rsidRPr="00064323">
        <w:rPr>
          <w:noProof/>
          <w:lang w:val="es-ES"/>
        </w:rPr>
        <w:t xml:space="preserve"> presupuestaria </w:t>
      </w:r>
      <w:r w:rsidR="006E1DF2" w:rsidRPr="00064323">
        <w:rPr>
          <w:noProof/>
          <w:lang w:val="es-ES"/>
        </w:rPr>
        <w:t>“</w:t>
      </w:r>
      <w:r w:rsidR="00A632C7" w:rsidRPr="00064323">
        <w:rPr>
          <w:noProof/>
          <w:lang w:val="es-ES"/>
        </w:rPr>
        <w:t>Apoyo a los delegados del Comité Permanente</w:t>
      </w:r>
      <w:r w:rsidR="006E1DF2" w:rsidRPr="00064323">
        <w:rPr>
          <w:noProof/>
          <w:lang w:val="es-ES"/>
        </w:rPr>
        <w:t>”</w:t>
      </w:r>
      <w:r w:rsidR="00A632C7" w:rsidRPr="00064323">
        <w:rPr>
          <w:noProof/>
          <w:lang w:val="es-ES"/>
        </w:rPr>
        <w:t>.</w:t>
      </w:r>
    </w:p>
    <w:p w14:paraId="6E3AD166" w14:textId="77777777" w:rsidR="00274D17" w:rsidRPr="00064323" w:rsidRDefault="00274D17" w:rsidP="006E1DF2">
      <w:pPr>
        <w:pStyle w:val="NoSpacing"/>
        <w:ind w:left="0" w:firstLine="0"/>
        <w:rPr>
          <w:noProof/>
          <w:lang w:val="es-ES"/>
        </w:rPr>
      </w:pPr>
    </w:p>
    <w:p w14:paraId="0FD460EC" w14:textId="244B2D70" w:rsidR="006E1DF2" w:rsidRPr="00064323" w:rsidRDefault="004D0989" w:rsidP="004D0989">
      <w:pPr>
        <w:pStyle w:val="NoSpacing"/>
        <w:ind w:left="426" w:hanging="426"/>
        <w:rPr>
          <w:noProof/>
          <w:lang w:val="es-ES"/>
        </w:rPr>
      </w:pPr>
      <w:r w:rsidRPr="00064323">
        <w:rPr>
          <w:noProof/>
          <w:lang w:val="es-ES"/>
        </w:rPr>
        <w:t>15.</w:t>
      </w:r>
      <w:r w:rsidRPr="00064323">
        <w:rPr>
          <w:noProof/>
          <w:lang w:val="es-ES"/>
        </w:rPr>
        <w:tab/>
      </w:r>
      <w:r w:rsidR="006E1DF2" w:rsidRPr="00064323">
        <w:rPr>
          <w:noProof/>
          <w:lang w:val="es-ES"/>
        </w:rPr>
        <w:t>Además, como se explica</w:t>
      </w:r>
      <w:r w:rsidR="005D1D69">
        <w:rPr>
          <w:noProof/>
          <w:lang w:val="es-ES"/>
        </w:rPr>
        <w:t xml:space="preserve"> más arriba</w:t>
      </w:r>
      <w:r w:rsidR="006E1DF2" w:rsidRPr="00064323">
        <w:rPr>
          <w:noProof/>
          <w:lang w:val="es-ES"/>
        </w:rPr>
        <w:t xml:space="preserve"> en los </w:t>
      </w:r>
      <w:r w:rsidR="0044790D" w:rsidRPr="00064323">
        <w:rPr>
          <w:noProof/>
          <w:lang w:val="es-ES"/>
        </w:rPr>
        <w:t>párrafos</w:t>
      </w:r>
      <w:r w:rsidR="006E1DF2" w:rsidRPr="00064323">
        <w:rPr>
          <w:noProof/>
          <w:lang w:val="es-ES"/>
        </w:rPr>
        <w:t xml:space="preserve"> 9.f y 12.e, la Secretaría propone </w:t>
      </w:r>
      <w:r w:rsidR="00D92ADD">
        <w:rPr>
          <w:noProof/>
          <w:lang w:val="es-ES"/>
        </w:rPr>
        <w:t>que</w:t>
      </w:r>
      <w:r w:rsidR="006E1DF2" w:rsidRPr="00064323">
        <w:rPr>
          <w:noProof/>
          <w:lang w:val="es-ES"/>
        </w:rPr>
        <w:t xml:space="preserve"> el saldo no utilizado de 81 000 francos suizos para la provisión de contribuciones pendientes </w:t>
      </w:r>
      <w:r w:rsidR="00D92ADD">
        <w:rPr>
          <w:noProof/>
          <w:lang w:val="es-ES"/>
        </w:rPr>
        <w:t xml:space="preserve">se traslade de vuelta </w:t>
      </w:r>
      <w:r w:rsidR="006E1DF2" w:rsidRPr="00064323">
        <w:rPr>
          <w:noProof/>
          <w:lang w:val="es-ES"/>
        </w:rPr>
        <w:t xml:space="preserve">a la partida presupuestaria </w:t>
      </w:r>
      <w:r w:rsidR="005D1D69" w:rsidRPr="00064323">
        <w:rPr>
          <w:noProof/>
          <w:lang w:val="es-ES"/>
        </w:rPr>
        <w:t>“</w:t>
      </w:r>
      <w:r w:rsidR="005D1D69" w:rsidRPr="00064323">
        <w:rPr>
          <w:rFonts w:asciiTheme="minorHAnsi" w:hAnsiTheme="minorHAnsi"/>
          <w:noProof/>
          <w:lang w:val="es-ES"/>
        </w:rPr>
        <w:t xml:space="preserve">Presupuesto aprobado por la reunión SC58 y </w:t>
      </w:r>
      <w:r w:rsidR="005D1D69" w:rsidRPr="00064323">
        <w:rPr>
          <w:rFonts w:asciiTheme="minorHAnsi" w:hAnsiTheme="minorHAnsi"/>
          <w:noProof/>
          <w:color w:val="000000" w:themeColor="text1"/>
          <w:lang w:val="es-ES"/>
        </w:rPr>
        <w:t>ahorros no comprometidos traspasados al año siguiente</w:t>
      </w:r>
      <w:r w:rsidR="005D1D69" w:rsidRPr="00064323">
        <w:rPr>
          <w:noProof/>
          <w:lang w:val="es-ES"/>
        </w:rPr>
        <w:t>”</w:t>
      </w:r>
      <w:r w:rsidR="006E1DF2" w:rsidRPr="00064323">
        <w:rPr>
          <w:noProof/>
          <w:lang w:val="es-ES"/>
        </w:rPr>
        <w:t xml:space="preserve">, de </w:t>
      </w:r>
      <w:r w:rsidR="0044790D" w:rsidRPr="00064323">
        <w:rPr>
          <w:noProof/>
          <w:lang w:val="es-ES"/>
        </w:rPr>
        <w:t>donde se había asignado</w:t>
      </w:r>
      <w:r w:rsidR="00D92ADD">
        <w:rPr>
          <w:noProof/>
          <w:lang w:val="es-ES"/>
        </w:rPr>
        <w:t xml:space="preserve"> originalmente</w:t>
      </w:r>
      <w:r w:rsidR="006E1DF2" w:rsidRPr="00064323">
        <w:rPr>
          <w:noProof/>
          <w:lang w:val="es-ES"/>
        </w:rPr>
        <w:t xml:space="preserve"> mediante la Decisión SC59-28.</w:t>
      </w:r>
    </w:p>
    <w:p w14:paraId="59302389" w14:textId="77777777" w:rsidR="00CE1519" w:rsidRPr="00064323" w:rsidRDefault="00CE1519" w:rsidP="008F7FC4">
      <w:pPr>
        <w:pStyle w:val="NoSpacing"/>
        <w:ind w:left="851"/>
        <w:rPr>
          <w:noProof/>
          <w:lang w:val="es-ES"/>
        </w:rPr>
      </w:pPr>
    </w:p>
    <w:p w14:paraId="62A4C63A" w14:textId="0A74AFE2" w:rsidR="0044790D" w:rsidRPr="00064323" w:rsidRDefault="004D0989" w:rsidP="004D0989">
      <w:pPr>
        <w:pStyle w:val="NoSpacing"/>
        <w:rPr>
          <w:noProof/>
          <w:lang w:val="es-ES"/>
        </w:rPr>
      </w:pPr>
      <w:r w:rsidRPr="00064323">
        <w:rPr>
          <w:noProof/>
          <w:lang w:val="es-ES"/>
        </w:rPr>
        <w:t>16.</w:t>
      </w:r>
      <w:r w:rsidRPr="00064323">
        <w:rPr>
          <w:noProof/>
          <w:lang w:val="es-ES"/>
        </w:rPr>
        <w:tab/>
      </w:r>
      <w:r w:rsidR="0044790D" w:rsidRPr="00064323">
        <w:rPr>
          <w:noProof/>
          <w:lang w:val="es-ES"/>
        </w:rPr>
        <w:t xml:space="preserve">Los ajustes antes propuestos corresponden </w:t>
      </w:r>
      <w:r w:rsidR="00D22FEC" w:rsidRPr="00064323">
        <w:rPr>
          <w:noProof/>
          <w:lang w:val="es-ES"/>
        </w:rPr>
        <w:t>a</w:t>
      </w:r>
      <w:r w:rsidR="0044790D" w:rsidRPr="00064323">
        <w:rPr>
          <w:noProof/>
          <w:lang w:val="es-ES"/>
        </w:rPr>
        <w:t xml:space="preserve"> las partidas presupuestarias aprobadas, </w:t>
      </w:r>
      <w:r w:rsidR="00D92ADD">
        <w:rPr>
          <w:noProof/>
          <w:lang w:val="es-ES"/>
        </w:rPr>
        <w:t xml:space="preserve">mientras </w:t>
      </w:r>
      <w:r w:rsidR="0044790D" w:rsidRPr="00064323">
        <w:rPr>
          <w:noProof/>
          <w:lang w:val="es-ES"/>
        </w:rPr>
        <w:t>que el presupuesto básico total aprobado para 2021 no se ha modificado.</w:t>
      </w:r>
    </w:p>
    <w:p w14:paraId="7DCFB11F" w14:textId="77777777" w:rsidR="0029351E" w:rsidRPr="00064323" w:rsidRDefault="0029351E" w:rsidP="00662CD5">
      <w:pPr>
        <w:pStyle w:val="NoSpacing"/>
        <w:ind w:left="851" w:firstLine="0"/>
        <w:rPr>
          <w:noProof/>
          <w:lang w:val="es-ES"/>
        </w:rPr>
      </w:pPr>
    </w:p>
    <w:p w14:paraId="36A202B6" w14:textId="4CDCA336" w:rsidR="00E32440" w:rsidRPr="00064323" w:rsidRDefault="00811FC9" w:rsidP="00162710">
      <w:pPr>
        <w:pStyle w:val="NoSpacing"/>
        <w:keepNext/>
        <w:ind w:left="0" w:firstLine="0"/>
        <w:rPr>
          <w:b/>
          <w:noProof/>
          <w:lang w:val="es-ES"/>
        </w:rPr>
      </w:pPr>
      <w:r w:rsidRPr="00064323">
        <w:rPr>
          <w:b/>
          <w:noProof/>
          <w:lang w:val="es-ES"/>
        </w:rPr>
        <w:t>Excedente</w:t>
      </w:r>
      <w:r w:rsidR="0044790D" w:rsidRPr="00064323">
        <w:rPr>
          <w:b/>
          <w:noProof/>
          <w:lang w:val="es-ES"/>
        </w:rPr>
        <w:t xml:space="preserve"> de 2021</w:t>
      </w:r>
    </w:p>
    <w:p w14:paraId="004ED71D" w14:textId="77777777" w:rsidR="008F4DA8" w:rsidRPr="00064323" w:rsidRDefault="008F4DA8" w:rsidP="00162710">
      <w:pPr>
        <w:keepNext/>
        <w:rPr>
          <w:noProof/>
          <w:lang w:val="es-ES"/>
        </w:rPr>
      </w:pPr>
    </w:p>
    <w:p w14:paraId="44EAD683" w14:textId="52D09E58" w:rsidR="00027678" w:rsidRPr="00064323" w:rsidRDefault="00523B6B" w:rsidP="00162710">
      <w:pPr>
        <w:rPr>
          <w:noProof/>
          <w:lang w:val="es-ES"/>
        </w:rPr>
      </w:pPr>
      <w:r w:rsidRPr="00064323">
        <w:rPr>
          <w:noProof/>
          <w:lang w:val="es-ES"/>
        </w:rPr>
        <w:t>1</w:t>
      </w:r>
      <w:r w:rsidR="004D0989" w:rsidRPr="00064323">
        <w:rPr>
          <w:noProof/>
          <w:lang w:val="es-ES"/>
        </w:rPr>
        <w:t>7</w:t>
      </w:r>
      <w:r w:rsidR="008F4DA8" w:rsidRPr="00064323">
        <w:rPr>
          <w:noProof/>
          <w:lang w:val="es-ES"/>
        </w:rPr>
        <w:t>.</w:t>
      </w:r>
      <w:r w:rsidR="008F4DA8" w:rsidRPr="00064323">
        <w:rPr>
          <w:noProof/>
          <w:lang w:val="es-ES"/>
        </w:rPr>
        <w:tab/>
      </w:r>
      <w:r w:rsidR="00027678" w:rsidRPr="00064323">
        <w:rPr>
          <w:noProof/>
          <w:lang w:val="es-ES"/>
        </w:rPr>
        <w:t>El estado de ingresos y gastos para 2021 en los estados financieros auditados (véase el</w:t>
      </w:r>
      <w:r w:rsidR="00811FC9" w:rsidRPr="00064323">
        <w:rPr>
          <w:noProof/>
          <w:lang w:val="es-ES"/>
        </w:rPr>
        <w:t xml:space="preserve"> Cuadro II del</w:t>
      </w:r>
      <w:r w:rsidR="00027678" w:rsidRPr="00064323">
        <w:rPr>
          <w:noProof/>
          <w:lang w:val="es-ES"/>
        </w:rPr>
        <w:t xml:space="preserve"> Anexo 1) </w:t>
      </w:r>
      <w:r w:rsidR="00811FC9" w:rsidRPr="00064323">
        <w:rPr>
          <w:noProof/>
          <w:lang w:val="es-ES"/>
        </w:rPr>
        <w:t>muestra</w:t>
      </w:r>
      <w:r w:rsidR="00027678" w:rsidRPr="00064323">
        <w:rPr>
          <w:noProof/>
          <w:lang w:val="es-ES"/>
        </w:rPr>
        <w:t xml:space="preserve"> que el saldo del </w:t>
      </w:r>
      <w:r w:rsidR="00811FC9" w:rsidRPr="00064323">
        <w:rPr>
          <w:noProof/>
          <w:lang w:val="es-ES"/>
        </w:rPr>
        <w:t>presupuesto</w:t>
      </w:r>
      <w:r w:rsidR="00027678" w:rsidRPr="00064323">
        <w:rPr>
          <w:noProof/>
          <w:lang w:val="es-ES"/>
        </w:rPr>
        <w:t xml:space="preserve"> básico al final del año </w:t>
      </w:r>
      <w:r w:rsidR="00811FC9" w:rsidRPr="00064323">
        <w:rPr>
          <w:noProof/>
          <w:lang w:val="es-ES"/>
        </w:rPr>
        <w:t>era de</w:t>
      </w:r>
      <w:r w:rsidR="00027678" w:rsidRPr="00064323">
        <w:rPr>
          <w:noProof/>
          <w:lang w:val="es-ES"/>
        </w:rPr>
        <w:t xml:space="preserve"> 3 738 000 francos suizos. Esto incluye el saldo </w:t>
      </w:r>
      <w:r w:rsidR="005D1D69">
        <w:rPr>
          <w:noProof/>
          <w:lang w:val="es-ES"/>
        </w:rPr>
        <w:t>del presupuesto</w:t>
      </w:r>
      <w:r w:rsidR="00027678" w:rsidRPr="00064323">
        <w:rPr>
          <w:noProof/>
          <w:lang w:val="es-ES"/>
        </w:rPr>
        <w:t xml:space="preserve"> básico de 2020 (a principios de 2021)</w:t>
      </w:r>
      <w:r w:rsidR="005D1D69">
        <w:rPr>
          <w:noProof/>
          <w:lang w:val="es-ES"/>
        </w:rPr>
        <w:t xml:space="preserve"> por un total</w:t>
      </w:r>
      <w:r w:rsidR="00027678" w:rsidRPr="00064323">
        <w:rPr>
          <w:noProof/>
          <w:lang w:val="es-ES"/>
        </w:rPr>
        <w:t xml:space="preserve"> de 3 318 000 francos suizos y los ingresos netos </w:t>
      </w:r>
      <w:r w:rsidR="00811FC9" w:rsidRPr="00064323">
        <w:rPr>
          <w:noProof/>
          <w:lang w:val="es-ES"/>
        </w:rPr>
        <w:t>con respecto a</w:t>
      </w:r>
      <w:r w:rsidR="00027678" w:rsidRPr="00064323">
        <w:rPr>
          <w:noProof/>
          <w:lang w:val="es-ES"/>
        </w:rPr>
        <w:t xml:space="preserve"> los gastos </w:t>
      </w:r>
      <w:r w:rsidR="005D1D69">
        <w:rPr>
          <w:noProof/>
          <w:lang w:val="es-ES"/>
        </w:rPr>
        <w:t>de</w:t>
      </w:r>
      <w:r w:rsidR="00027678" w:rsidRPr="00064323">
        <w:rPr>
          <w:noProof/>
          <w:lang w:val="es-ES"/>
        </w:rPr>
        <w:t xml:space="preserve"> 2021 </w:t>
      </w:r>
      <w:r w:rsidR="005D1D69">
        <w:rPr>
          <w:noProof/>
          <w:lang w:val="es-ES"/>
        </w:rPr>
        <w:t>que ascendieron a</w:t>
      </w:r>
      <w:r w:rsidR="00027678" w:rsidRPr="00064323">
        <w:rPr>
          <w:noProof/>
          <w:lang w:val="es-ES"/>
        </w:rPr>
        <w:t xml:space="preserve"> 420 000 francos suizos según los estados financieros auditados y los resultados </w:t>
      </w:r>
      <w:r w:rsidR="00811FC9" w:rsidRPr="00064323">
        <w:rPr>
          <w:noProof/>
          <w:lang w:val="es-ES"/>
        </w:rPr>
        <w:t>del presupuesto básico</w:t>
      </w:r>
      <w:r w:rsidR="00027678" w:rsidRPr="00064323">
        <w:rPr>
          <w:noProof/>
          <w:lang w:val="es-ES"/>
        </w:rPr>
        <w:t xml:space="preserve"> de 2021 para el período comprendido entre el 1 de enero y el 31 de diciembre de 2021 (Anexo 2).</w:t>
      </w:r>
    </w:p>
    <w:p w14:paraId="52FED764" w14:textId="77777777" w:rsidR="00AE5291" w:rsidRPr="00064323" w:rsidRDefault="00AE5291" w:rsidP="00811FC9">
      <w:pPr>
        <w:ind w:left="0" w:firstLine="0"/>
        <w:rPr>
          <w:noProof/>
          <w:lang w:val="es-ES"/>
        </w:rPr>
      </w:pPr>
    </w:p>
    <w:p w14:paraId="107E6071" w14:textId="67FCCA9D" w:rsidR="00811FC9" w:rsidRPr="001C59FA" w:rsidRDefault="001C59FA" w:rsidP="001C59FA">
      <w:pPr>
        <w:rPr>
          <w:noProof/>
          <w:lang w:val="es-ES"/>
        </w:rPr>
      </w:pPr>
      <w:r>
        <w:rPr>
          <w:noProof/>
          <w:lang w:val="es-ES"/>
        </w:rPr>
        <w:t>18.</w:t>
      </w:r>
      <w:r>
        <w:rPr>
          <w:noProof/>
          <w:lang w:val="es-ES"/>
        </w:rPr>
        <w:tab/>
      </w:r>
      <w:r w:rsidR="00811FC9" w:rsidRPr="001C59FA">
        <w:rPr>
          <w:noProof/>
          <w:lang w:val="es-ES"/>
        </w:rPr>
        <w:t>El saldo del presupuesto básico de 2021 antes mencionado incluye el fondo de reserva de 762 000 francos suizos. Esto corresponde al 15 % del presupuesto básico anual, el nivel máximo aprobado por la COP13 en el párrafo 33 de la Resolución XIII.2. Por lo tanto, no hay necesidad de reasignar recursos para este propósito.</w:t>
      </w:r>
    </w:p>
    <w:p w14:paraId="51D0A1BC" w14:textId="77777777" w:rsidR="00155710" w:rsidRPr="00064323" w:rsidRDefault="00155710" w:rsidP="00811FC9">
      <w:pPr>
        <w:ind w:left="0" w:firstLine="0"/>
        <w:rPr>
          <w:noProof/>
          <w:lang w:val="es-ES"/>
        </w:rPr>
      </w:pPr>
    </w:p>
    <w:p w14:paraId="39E55921" w14:textId="5A14D341" w:rsidR="00C31458" w:rsidRPr="00064323" w:rsidRDefault="00523B6B" w:rsidP="00C31458">
      <w:pPr>
        <w:rPr>
          <w:noProof/>
          <w:lang w:val="es-ES"/>
        </w:rPr>
      </w:pPr>
      <w:r w:rsidRPr="00064323">
        <w:rPr>
          <w:noProof/>
          <w:lang w:val="es-ES"/>
        </w:rPr>
        <w:t>1</w:t>
      </w:r>
      <w:r w:rsidR="004D0989" w:rsidRPr="00064323">
        <w:rPr>
          <w:noProof/>
          <w:lang w:val="es-ES"/>
        </w:rPr>
        <w:t>9</w:t>
      </w:r>
      <w:r w:rsidR="00AD0650" w:rsidRPr="00064323">
        <w:rPr>
          <w:noProof/>
          <w:lang w:val="es-ES"/>
        </w:rPr>
        <w:t>.</w:t>
      </w:r>
      <w:r w:rsidR="00AD0650" w:rsidRPr="00064323">
        <w:rPr>
          <w:noProof/>
          <w:lang w:val="es-ES"/>
        </w:rPr>
        <w:tab/>
      </w:r>
      <w:r w:rsidR="00C31458" w:rsidRPr="00064323">
        <w:rPr>
          <w:noProof/>
          <w:lang w:val="es-ES"/>
        </w:rPr>
        <w:t xml:space="preserve">El saldo del presupuesto básico también incluye un total de 196 000 francos suizos aprobados por la ExCOP3 de los ahorros del presupuesto de 2020 (Resolución ExCOP3.2 sobre </w:t>
      </w:r>
      <w:r w:rsidR="00C31458" w:rsidRPr="00064323">
        <w:rPr>
          <w:i/>
          <w:iCs/>
          <w:noProof/>
          <w:lang w:val="es-ES"/>
        </w:rPr>
        <w:t>Cuestiones financieras y presupuestarias: presupuesto básico de 2022 de la Convención sobre los Humedales</w:t>
      </w:r>
      <w:r w:rsidR="00C31458" w:rsidRPr="00064323">
        <w:rPr>
          <w:noProof/>
          <w:lang w:val="es-ES"/>
        </w:rPr>
        <w:t>) que se utilizarán en 2022. Este total incluye 76 000 francos suizos, los mismos que</w:t>
      </w:r>
      <w:r w:rsidR="001C59FA">
        <w:rPr>
          <w:noProof/>
          <w:lang w:val="es-ES"/>
        </w:rPr>
        <w:t xml:space="preserve"> estaban</w:t>
      </w:r>
      <w:r w:rsidR="00C31458" w:rsidRPr="00064323">
        <w:rPr>
          <w:noProof/>
          <w:lang w:val="es-ES"/>
        </w:rPr>
        <w:t xml:space="preserve"> </w:t>
      </w:r>
      <w:r w:rsidR="001C59FA">
        <w:rPr>
          <w:noProof/>
          <w:lang w:val="es-ES"/>
        </w:rPr>
        <w:t>previstos</w:t>
      </w:r>
      <w:r w:rsidR="00C31458" w:rsidRPr="00064323">
        <w:rPr>
          <w:noProof/>
          <w:lang w:val="es-ES"/>
        </w:rPr>
        <w:t xml:space="preserve"> para el trienio 2019-2021 en </w:t>
      </w:r>
      <w:r w:rsidR="00C31458" w:rsidRPr="00064323">
        <w:rPr>
          <w:noProof/>
          <w:color w:val="000000" w:themeColor="text1"/>
          <w:lang w:val="es-ES"/>
        </w:rPr>
        <w:t xml:space="preserve">el párrafo 15 de la Resolución XIII.2, a fin de cubrir el déficit creado en el presupuesto básico de la Secretaría para sufragar el costo de un nuevo puesto de auxiliar contable </w:t>
      </w:r>
      <w:r w:rsidR="00C31458" w:rsidRPr="00064323">
        <w:rPr>
          <w:noProof/>
          <w:lang w:val="es-ES"/>
        </w:rPr>
        <w:t xml:space="preserve">y financiero (se hicieron recortes en las partidas presupuestarias de comunicaciones, viajes, GECT y planificación y creación de la capacidad que se </w:t>
      </w:r>
      <w:r w:rsidR="00DD0F90">
        <w:rPr>
          <w:noProof/>
          <w:lang w:val="es-ES"/>
        </w:rPr>
        <w:t>rellenaron</w:t>
      </w:r>
      <w:r w:rsidR="00C31458" w:rsidRPr="00064323">
        <w:rPr>
          <w:noProof/>
          <w:lang w:val="es-ES"/>
        </w:rPr>
        <w:t xml:space="preserve"> con este excedente) y 120 000 francos suizos para aumentar la provisión para contribuciones pendientes en 2022.</w:t>
      </w:r>
    </w:p>
    <w:p w14:paraId="745A526F" w14:textId="77777777" w:rsidR="008E00BF" w:rsidRPr="00064323" w:rsidRDefault="008E00BF" w:rsidP="00162710">
      <w:pPr>
        <w:rPr>
          <w:noProof/>
          <w:lang w:val="es-ES"/>
        </w:rPr>
      </w:pPr>
    </w:p>
    <w:p w14:paraId="70911C29" w14:textId="3BDE747A" w:rsidR="00F34BC2" w:rsidRPr="00064323" w:rsidRDefault="001C59FA" w:rsidP="001C59FA">
      <w:pPr>
        <w:rPr>
          <w:noProof/>
          <w:lang w:val="es-ES"/>
        </w:rPr>
      </w:pPr>
      <w:r>
        <w:rPr>
          <w:noProof/>
          <w:lang w:val="es-ES"/>
        </w:rPr>
        <w:t>20.</w:t>
      </w:r>
      <w:r>
        <w:rPr>
          <w:noProof/>
          <w:lang w:val="es-ES"/>
        </w:rPr>
        <w:tab/>
      </w:r>
      <w:r w:rsidR="00F34BC2" w:rsidRPr="00064323">
        <w:rPr>
          <w:noProof/>
          <w:lang w:val="es-ES"/>
        </w:rPr>
        <w:t xml:space="preserve">Además, este saldo también incluye los saldos previamente comprometidos de 767 000 francos suizos, incluida la utilización autorizada del excedente de </w:t>
      </w:r>
      <w:r w:rsidR="00F34BC2" w:rsidRPr="00064323">
        <w:rPr>
          <w:noProof/>
          <w:color w:val="000000" w:themeColor="text1"/>
          <w:lang w:val="es-ES"/>
        </w:rPr>
        <w:t xml:space="preserve">2018 (Decisión SC57-47), y el presupuesto ajustado </w:t>
      </w:r>
      <w:r>
        <w:rPr>
          <w:noProof/>
          <w:color w:val="000000" w:themeColor="text1"/>
          <w:lang w:val="es-ES"/>
        </w:rPr>
        <w:t xml:space="preserve">por la reunión SC59 </w:t>
      </w:r>
      <w:r w:rsidR="00F34BC2" w:rsidRPr="00064323">
        <w:rPr>
          <w:noProof/>
          <w:color w:val="000000" w:themeColor="text1"/>
          <w:lang w:val="es-ES"/>
        </w:rPr>
        <w:t xml:space="preserve">entre períodos de sesiones, </w:t>
      </w:r>
      <w:r w:rsidR="00F34BC2" w:rsidRPr="00064323">
        <w:rPr>
          <w:noProof/>
          <w:lang w:val="es-ES"/>
        </w:rPr>
        <w:t xml:space="preserve">como se detalla en el Cuadro 1, más arriba, </w:t>
      </w:r>
      <w:r w:rsidR="00DD0F90">
        <w:rPr>
          <w:noProof/>
          <w:lang w:val="es-ES"/>
        </w:rPr>
        <w:t xml:space="preserve">que se gastarán </w:t>
      </w:r>
      <w:r w:rsidR="00F34BC2" w:rsidRPr="00064323">
        <w:rPr>
          <w:noProof/>
          <w:lang w:val="es-ES"/>
        </w:rPr>
        <w:t xml:space="preserve">en 2022 y, por lo tanto, </w:t>
      </w:r>
      <w:r w:rsidR="00DD0F90">
        <w:rPr>
          <w:noProof/>
          <w:lang w:val="es-ES"/>
        </w:rPr>
        <w:t xml:space="preserve">se han </w:t>
      </w:r>
      <w:r w:rsidR="00F34BC2" w:rsidRPr="00064323">
        <w:rPr>
          <w:noProof/>
          <w:lang w:val="es-ES"/>
        </w:rPr>
        <w:t>incluido en el presupuesto de 2022 (Anexo 4).</w:t>
      </w:r>
    </w:p>
    <w:p w14:paraId="1003E436" w14:textId="63E76A1A" w:rsidR="00AC5BA6" w:rsidRPr="00064323" w:rsidRDefault="00AC5BA6" w:rsidP="00A42E5E">
      <w:pPr>
        <w:ind w:left="0" w:firstLine="0"/>
        <w:rPr>
          <w:noProof/>
          <w:lang w:val="es-ES"/>
        </w:rPr>
      </w:pPr>
    </w:p>
    <w:p w14:paraId="22E44679" w14:textId="154618E7" w:rsidR="00A42E5E" w:rsidRPr="00064323" w:rsidRDefault="004D0989" w:rsidP="00523B6B">
      <w:pPr>
        <w:rPr>
          <w:noProof/>
          <w:lang w:val="es-ES"/>
        </w:rPr>
      </w:pPr>
      <w:r w:rsidRPr="00064323">
        <w:rPr>
          <w:noProof/>
          <w:lang w:val="es-ES"/>
        </w:rPr>
        <w:t>21</w:t>
      </w:r>
      <w:r w:rsidR="00523B6B" w:rsidRPr="00064323">
        <w:rPr>
          <w:noProof/>
          <w:lang w:val="es-ES"/>
        </w:rPr>
        <w:t>.</w:t>
      </w:r>
      <w:r w:rsidR="00523B6B" w:rsidRPr="00064323">
        <w:rPr>
          <w:noProof/>
          <w:lang w:val="es-ES"/>
        </w:rPr>
        <w:tab/>
      </w:r>
      <w:r w:rsidR="00A42E5E" w:rsidRPr="00064323">
        <w:rPr>
          <w:noProof/>
          <w:lang w:val="es-ES"/>
        </w:rPr>
        <w:t>Además, el saldo del presupuesto básico incluye ahorros de</w:t>
      </w:r>
      <w:r w:rsidR="00B5292F" w:rsidRPr="00064323">
        <w:rPr>
          <w:noProof/>
          <w:lang w:val="es-ES"/>
        </w:rPr>
        <w:t xml:space="preserve"> la partida</w:t>
      </w:r>
      <w:r w:rsidR="00A42E5E" w:rsidRPr="00064323">
        <w:rPr>
          <w:noProof/>
          <w:lang w:val="es-ES"/>
        </w:rPr>
        <w:t xml:space="preserve"> </w:t>
      </w:r>
      <w:r w:rsidR="00B5292F" w:rsidRPr="00064323">
        <w:rPr>
          <w:noProof/>
          <w:lang w:val="es-ES"/>
        </w:rPr>
        <w:t>“</w:t>
      </w:r>
      <w:r w:rsidR="00B5292F" w:rsidRPr="00064323">
        <w:rPr>
          <w:rFonts w:asciiTheme="minorHAnsi" w:hAnsiTheme="minorHAnsi"/>
          <w:noProof/>
          <w:lang w:val="es-ES"/>
        </w:rPr>
        <w:t xml:space="preserve">Presupuesto aprobado por la reunión SC58 y </w:t>
      </w:r>
      <w:r w:rsidR="00B5292F" w:rsidRPr="00064323">
        <w:rPr>
          <w:rFonts w:asciiTheme="minorHAnsi" w:hAnsiTheme="minorHAnsi"/>
          <w:noProof/>
          <w:color w:val="000000" w:themeColor="text1"/>
          <w:lang w:val="es-ES"/>
        </w:rPr>
        <w:t>ahorros no comprometidos traspasados al año siguiente</w:t>
      </w:r>
      <w:r w:rsidR="00B5292F" w:rsidRPr="00064323">
        <w:rPr>
          <w:noProof/>
          <w:lang w:val="es-ES"/>
        </w:rPr>
        <w:t>”</w:t>
      </w:r>
      <w:r w:rsidR="00A42E5E" w:rsidRPr="00064323">
        <w:rPr>
          <w:noProof/>
          <w:lang w:val="es-ES"/>
        </w:rPr>
        <w:t xml:space="preserve"> de 496</w:t>
      </w:r>
      <w:r w:rsidR="00B5292F" w:rsidRPr="00064323">
        <w:rPr>
          <w:noProof/>
          <w:lang w:val="es-ES"/>
        </w:rPr>
        <w:t xml:space="preserve"> </w:t>
      </w:r>
      <w:r w:rsidR="00A42E5E" w:rsidRPr="00064323">
        <w:rPr>
          <w:noProof/>
          <w:lang w:val="es-ES"/>
        </w:rPr>
        <w:t>000</w:t>
      </w:r>
      <w:r w:rsidR="00B5292F" w:rsidRPr="00064323">
        <w:rPr>
          <w:noProof/>
          <w:lang w:val="es-ES"/>
        </w:rPr>
        <w:t xml:space="preserve"> francos suizos</w:t>
      </w:r>
      <w:r w:rsidR="00B5292F" w:rsidRPr="00064323">
        <w:rPr>
          <w:rStyle w:val="FootnoteReference"/>
          <w:noProof/>
          <w:lang w:val="es-ES"/>
        </w:rPr>
        <w:footnoteReference w:id="3"/>
      </w:r>
      <w:r w:rsidR="00A42E5E" w:rsidRPr="00064323">
        <w:rPr>
          <w:noProof/>
          <w:lang w:val="es-ES"/>
        </w:rPr>
        <w:t xml:space="preserve"> (según la Decisión SC59-26). Este total incluye el ajuste sugerido en los párrafos 9.f y 15</w:t>
      </w:r>
      <w:r w:rsidR="00B5292F" w:rsidRPr="00064323">
        <w:rPr>
          <w:noProof/>
          <w:lang w:val="es-ES"/>
        </w:rPr>
        <w:t>, más arriba</w:t>
      </w:r>
      <w:r w:rsidR="00A42E5E" w:rsidRPr="00064323">
        <w:rPr>
          <w:noProof/>
          <w:lang w:val="es-ES"/>
        </w:rPr>
        <w:t>.</w:t>
      </w:r>
    </w:p>
    <w:p w14:paraId="06C915B0" w14:textId="77777777" w:rsidR="00084E5D" w:rsidRPr="00064323" w:rsidRDefault="00084E5D" w:rsidP="00B5292F">
      <w:pPr>
        <w:ind w:left="0" w:firstLine="0"/>
        <w:rPr>
          <w:noProof/>
          <w:lang w:val="es-ES"/>
        </w:rPr>
      </w:pPr>
    </w:p>
    <w:p w14:paraId="610CCB95" w14:textId="54296BA2" w:rsidR="00B5292F" w:rsidRPr="00064323" w:rsidRDefault="004D0989" w:rsidP="00492E50">
      <w:pPr>
        <w:rPr>
          <w:noProof/>
          <w:lang w:val="es-ES"/>
        </w:rPr>
      </w:pPr>
      <w:r w:rsidRPr="00452086">
        <w:rPr>
          <w:noProof/>
          <w:lang w:val="es-ES"/>
        </w:rPr>
        <w:lastRenderedPageBreak/>
        <w:t>22</w:t>
      </w:r>
      <w:r w:rsidR="00523B6B" w:rsidRPr="00452086">
        <w:rPr>
          <w:noProof/>
          <w:lang w:val="es-ES"/>
        </w:rPr>
        <w:t>.</w:t>
      </w:r>
      <w:r w:rsidR="00523B6B" w:rsidRPr="00452086">
        <w:rPr>
          <w:noProof/>
          <w:lang w:val="es-ES"/>
        </w:rPr>
        <w:tab/>
      </w:r>
      <w:r w:rsidR="00B5292F" w:rsidRPr="00452086">
        <w:rPr>
          <w:noProof/>
          <w:lang w:val="es-ES"/>
        </w:rPr>
        <w:t xml:space="preserve">A principios de abril de 2022, el Comité Permanente aprobó entre períodos de sesiones </w:t>
      </w:r>
      <w:r w:rsidR="001D1404">
        <w:rPr>
          <w:noProof/>
          <w:lang w:val="es-ES"/>
        </w:rPr>
        <w:t xml:space="preserve">que </w:t>
      </w:r>
      <w:r w:rsidR="00B5292F" w:rsidRPr="00452086">
        <w:rPr>
          <w:noProof/>
          <w:lang w:val="es-ES"/>
        </w:rPr>
        <w:t xml:space="preserve">de esta partida presupuestaria </w:t>
      </w:r>
      <w:r w:rsidR="001D1404">
        <w:rPr>
          <w:noProof/>
          <w:lang w:val="es-ES"/>
        </w:rPr>
        <w:t xml:space="preserve">se asignarían hasta </w:t>
      </w:r>
      <w:r w:rsidR="00B5292F" w:rsidRPr="00452086">
        <w:rPr>
          <w:noProof/>
          <w:lang w:val="es-ES"/>
        </w:rPr>
        <w:t xml:space="preserve">89 500 francos suizos </w:t>
      </w:r>
      <w:r w:rsidR="001D1404">
        <w:rPr>
          <w:noProof/>
          <w:lang w:val="es-ES"/>
        </w:rPr>
        <w:t xml:space="preserve">en total </w:t>
      </w:r>
      <w:r w:rsidR="00B5292F" w:rsidRPr="00452086">
        <w:rPr>
          <w:noProof/>
          <w:lang w:val="es-ES"/>
        </w:rPr>
        <w:t xml:space="preserve">para la contratación del próximo Secretario General, de conformidad con la Decisión SC59-39 de noviembre de 2021. Por consiguiente, el </w:t>
      </w:r>
      <w:r w:rsidR="00D22FEC" w:rsidRPr="00452086">
        <w:rPr>
          <w:noProof/>
          <w:lang w:val="es-ES"/>
        </w:rPr>
        <w:t>saldo</w:t>
      </w:r>
      <w:r w:rsidR="00B5292F" w:rsidRPr="00452086">
        <w:rPr>
          <w:noProof/>
          <w:lang w:val="es-ES"/>
        </w:rPr>
        <w:t xml:space="preserve"> del “</w:t>
      </w:r>
      <w:r w:rsidR="00B5292F" w:rsidRPr="00452086">
        <w:rPr>
          <w:rFonts w:asciiTheme="minorHAnsi" w:hAnsiTheme="minorHAnsi"/>
          <w:noProof/>
          <w:lang w:val="es-ES"/>
        </w:rPr>
        <w:t xml:space="preserve">Presupuesto aprobado por la reunión SC58 y </w:t>
      </w:r>
      <w:r w:rsidR="00B5292F" w:rsidRPr="00452086">
        <w:rPr>
          <w:rFonts w:asciiTheme="minorHAnsi" w:hAnsiTheme="minorHAnsi"/>
          <w:noProof/>
          <w:color w:val="000000" w:themeColor="text1"/>
          <w:lang w:val="es-ES"/>
        </w:rPr>
        <w:t>ahorros no comprometidos traspasados al año siguiente</w:t>
      </w:r>
      <w:r w:rsidR="00B5292F" w:rsidRPr="00452086">
        <w:rPr>
          <w:noProof/>
          <w:lang w:val="es-ES"/>
        </w:rPr>
        <w:t xml:space="preserve">” se </w:t>
      </w:r>
      <w:r w:rsidR="001D1404">
        <w:rPr>
          <w:noProof/>
          <w:lang w:val="es-ES"/>
        </w:rPr>
        <w:t>ha reducido</w:t>
      </w:r>
      <w:r w:rsidR="00B5292F" w:rsidRPr="00452086">
        <w:rPr>
          <w:noProof/>
          <w:lang w:val="es-ES"/>
        </w:rPr>
        <w:t xml:space="preserve"> a 406 500 francos suizos. La Secretaría propone que este saldo se </w:t>
      </w:r>
      <w:r w:rsidR="008824F8" w:rsidRPr="00452086">
        <w:rPr>
          <w:noProof/>
          <w:lang w:val="es-ES"/>
        </w:rPr>
        <w:t>transfiera</w:t>
      </w:r>
      <w:r w:rsidR="00B5292F" w:rsidRPr="00452086">
        <w:rPr>
          <w:noProof/>
          <w:lang w:val="es-ES"/>
        </w:rPr>
        <w:t xml:space="preserve"> al presupuesto de 2022 como fondo de reserva adicional, tal como se presenta en el párrafo 39</w:t>
      </w:r>
      <w:r w:rsidR="00283F18" w:rsidRPr="00452086">
        <w:rPr>
          <w:noProof/>
          <w:lang w:val="es-ES"/>
        </w:rPr>
        <w:t>,</w:t>
      </w:r>
      <w:r w:rsidR="00B5292F" w:rsidRPr="00452086">
        <w:rPr>
          <w:noProof/>
          <w:lang w:val="es-ES"/>
        </w:rPr>
        <w:t xml:space="preserve"> </w:t>
      </w:r>
      <w:r w:rsidR="00283F18" w:rsidRPr="00452086">
        <w:rPr>
          <w:noProof/>
          <w:lang w:val="es-ES"/>
        </w:rPr>
        <w:t>más abajo,</w:t>
      </w:r>
      <w:r w:rsidR="00B5292F" w:rsidRPr="00452086">
        <w:rPr>
          <w:noProof/>
          <w:lang w:val="es-ES"/>
        </w:rPr>
        <w:t xml:space="preserve"> y en el Anexo 4. El Comité Permanente deberá decidir sobre la asignación de este fondo de reserva adicional, por ejemplo para </w:t>
      </w:r>
      <w:r w:rsidR="001D1404">
        <w:rPr>
          <w:noProof/>
          <w:lang w:val="es-ES"/>
        </w:rPr>
        <w:t xml:space="preserve">realizar </w:t>
      </w:r>
      <w:r w:rsidR="00B5292F" w:rsidRPr="00452086">
        <w:rPr>
          <w:noProof/>
          <w:lang w:val="es-ES"/>
        </w:rPr>
        <w:t xml:space="preserve">ajustes </w:t>
      </w:r>
      <w:r w:rsidR="00283F18" w:rsidRPr="00452086">
        <w:rPr>
          <w:noProof/>
          <w:lang w:val="es-ES"/>
        </w:rPr>
        <w:t xml:space="preserve">en el futuro </w:t>
      </w:r>
      <w:r w:rsidR="00B5292F" w:rsidRPr="00452086">
        <w:rPr>
          <w:noProof/>
          <w:lang w:val="es-ES"/>
        </w:rPr>
        <w:t>en las provisiones para las contribuciones pendientes.</w:t>
      </w:r>
    </w:p>
    <w:p w14:paraId="0B280C2F" w14:textId="77777777" w:rsidR="00283F18" w:rsidRPr="00064323" w:rsidRDefault="00283F18" w:rsidP="00162710">
      <w:pPr>
        <w:ind w:firstLine="0"/>
        <w:rPr>
          <w:noProof/>
          <w:lang w:val="es-ES"/>
        </w:rPr>
      </w:pPr>
    </w:p>
    <w:p w14:paraId="26C9A528" w14:textId="2CEAD714" w:rsidR="00283F18" w:rsidRPr="00064323" w:rsidRDefault="004D0989" w:rsidP="00A260F0">
      <w:pPr>
        <w:rPr>
          <w:noProof/>
          <w:lang w:val="es-ES"/>
        </w:rPr>
      </w:pPr>
      <w:r w:rsidRPr="00064323">
        <w:rPr>
          <w:noProof/>
          <w:lang w:val="es-ES"/>
        </w:rPr>
        <w:t>23</w:t>
      </w:r>
      <w:r w:rsidR="00DA6FAA" w:rsidRPr="00064323">
        <w:rPr>
          <w:noProof/>
          <w:lang w:val="es-ES"/>
        </w:rPr>
        <w:t>.</w:t>
      </w:r>
      <w:r w:rsidR="00DA6FAA" w:rsidRPr="00064323">
        <w:rPr>
          <w:noProof/>
          <w:lang w:val="es-ES"/>
        </w:rPr>
        <w:tab/>
      </w:r>
      <w:r w:rsidR="00283F18" w:rsidRPr="00064323">
        <w:rPr>
          <w:noProof/>
          <w:lang w:val="es-ES"/>
        </w:rPr>
        <w:t xml:space="preserve">Por lo tanto, el </w:t>
      </w:r>
      <w:r w:rsidR="006E71C7">
        <w:rPr>
          <w:noProof/>
          <w:lang w:val="es-ES"/>
        </w:rPr>
        <w:t>saldo</w:t>
      </w:r>
      <w:r w:rsidR="00283F18" w:rsidRPr="00064323">
        <w:rPr>
          <w:noProof/>
          <w:lang w:val="es-ES"/>
        </w:rPr>
        <w:t xml:space="preserve"> del presupuesto básico de 2021 que está disponible para su examen y asignación por parte del Comité Permanente asciende a 1 517 000 francos suizos. Se invita al Comité Permanente a decidir </w:t>
      </w:r>
      <w:r w:rsidR="00E70772">
        <w:rPr>
          <w:noProof/>
          <w:lang w:val="es-ES"/>
        </w:rPr>
        <w:t xml:space="preserve">sobre </w:t>
      </w:r>
      <w:r w:rsidR="00283F18" w:rsidRPr="00064323">
        <w:rPr>
          <w:noProof/>
          <w:lang w:val="es-ES"/>
        </w:rPr>
        <w:t xml:space="preserve">el uso de este </w:t>
      </w:r>
      <w:r w:rsidR="006E71C7">
        <w:rPr>
          <w:noProof/>
          <w:lang w:val="es-ES"/>
        </w:rPr>
        <w:t>saldo</w:t>
      </w:r>
      <w:r w:rsidR="00283F18" w:rsidRPr="00064323">
        <w:rPr>
          <w:noProof/>
          <w:lang w:val="es-ES"/>
        </w:rPr>
        <w:t xml:space="preserve">. En el </w:t>
      </w:r>
      <w:r w:rsidR="006E71C7">
        <w:rPr>
          <w:noProof/>
          <w:lang w:val="es-ES"/>
        </w:rPr>
        <w:t>C</w:t>
      </w:r>
      <w:r w:rsidR="00283F18" w:rsidRPr="00064323">
        <w:rPr>
          <w:noProof/>
          <w:lang w:val="es-ES"/>
        </w:rPr>
        <w:t xml:space="preserve">uadro 2 que figura a continuación se ofrecen detalles </w:t>
      </w:r>
      <w:r w:rsidR="00E70772">
        <w:rPr>
          <w:noProof/>
          <w:lang w:val="es-ES"/>
        </w:rPr>
        <w:t>a este</w:t>
      </w:r>
      <w:r w:rsidR="00283F18" w:rsidRPr="00064323">
        <w:rPr>
          <w:noProof/>
          <w:lang w:val="es-ES"/>
        </w:rPr>
        <w:t xml:space="preserve"> respecto.</w:t>
      </w:r>
    </w:p>
    <w:p w14:paraId="2C0AAAFB" w14:textId="304E1C10" w:rsidR="003A790E" w:rsidRPr="00064323" w:rsidRDefault="003A790E" w:rsidP="001D398E">
      <w:pPr>
        <w:ind w:left="0" w:firstLine="0"/>
        <w:rPr>
          <w:noProof/>
          <w:lang w:val="es-ES"/>
        </w:rPr>
      </w:pPr>
    </w:p>
    <w:p w14:paraId="3DB4F436" w14:textId="6A95CDD9" w:rsidR="003A790E" w:rsidRPr="00064323" w:rsidRDefault="001D398E" w:rsidP="001D398E">
      <w:pPr>
        <w:rPr>
          <w:i/>
          <w:noProof/>
          <w:lang w:val="es-ES"/>
        </w:rPr>
      </w:pPr>
      <w:r w:rsidRPr="00064323">
        <w:rPr>
          <w:i/>
          <w:noProof/>
          <w:lang w:val="es-ES"/>
        </w:rPr>
        <w:t>Cuadro</w:t>
      </w:r>
      <w:r w:rsidR="003A790E" w:rsidRPr="00064323">
        <w:rPr>
          <w:i/>
          <w:noProof/>
          <w:lang w:val="es-ES"/>
        </w:rPr>
        <w:t xml:space="preserve"> </w:t>
      </w:r>
      <w:r w:rsidR="002058A3" w:rsidRPr="00064323">
        <w:rPr>
          <w:i/>
          <w:noProof/>
          <w:lang w:val="es-ES"/>
        </w:rPr>
        <w:t>2</w:t>
      </w:r>
      <w:r w:rsidR="003A790E" w:rsidRPr="00064323">
        <w:rPr>
          <w:i/>
          <w:noProof/>
          <w:lang w:val="es-ES"/>
        </w:rPr>
        <w:t xml:space="preserve">: </w:t>
      </w:r>
      <w:r w:rsidRPr="00064323">
        <w:rPr>
          <w:i/>
          <w:noProof/>
          <w:lang w:val="es-ES"/>
        </w:rPr>
        <w:t>Saldo del presupuesto básico de 2021 por asignar (en miles de francos suizos)</w:t>
      </w:r>
    </w:p>
    <w:tbl>
      <w:tblPr>
        <w:tblW w:w="8926" w:type="dxa"/>
        <w:tblLook w:val="04A0" w:firstRow="1" w:lastRow="0" w:firstColumn="1" w:lastColumn="0" w:noHBand="0" w:noVBand="1"/>
      </w:tblPr>
      <w:tblGrid>
        <w:gridCol w:w="7225"/>
        <w:gridCol w:w="1701"/>
      </w:tblGrid>
      <w:tr w:rsidR="003A790E" w:rsidRPr="00064323" w14:paraId="0DFC92D2" w14:textId="77777777" w:rsidTr="003A790E">
        <w:trPr>
          <w:trHeight w:val="780"/>
        </w:trPr>
        <w:tc>
          <w:tcPr>
            <w:tcW w:w="7225"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768BD99A" w14:textId="55CBDBC2" w:rsidR="001D398E" w:rsidRPr="00064323" w:rsidRDefault="003A790E" w:rsidP="003A790E">
            <w:pPr>
              <w:ind w:left="0" w:firstLine="0"/>
              <w:rPr>
                <w:rFonts w:eastAsia="Times New Roman" w:cs="Calibri"/>
                <w:b/>
                <w:bCs/>
                <w:noProof/>
                <w:color w:val="000000"/>
                <w:lang w:val="es-ES" w:eastAsia="en-GB"/>
              </w:rPr>
            </w:pPr>
            <w:r w:rsidRPr="00064323">
              <w:rPr>
                <w:rFonts w:eastAsia="Times New Roman" w:cs="Calibri"/>
                <w:b/>
                <w:bCs/>
                <w:noProof/>
                <w:color w:val="000000"/>
                <w:lang w:val="es-ES" w:eastAsia="en-GB"/>
              </w:rPr>
              <w:t xml:space="preserve">(I) </w:t>
            </w:r>
            <w:r w:rsidR="001D398E" w:rsidRPr="00064323">
              <w:rPr>
                <w:rFonts w:eastAsia="Times New Roman" w:cs="Calibri"/>
                <w:b/>
                <w:bCs/>
                <w:noProof/>
                <w:color w:val="000000"/>
                <w:lang w:val="es-ES" w:eastAsia="en-GB"/>
              </w:rPr>
              <w:t xml:space="preserve">Saldo del presupuesto básico a 31 de diciembre de 2021 según los estados auditados </w:t>
            </w:r>
          </w:p>
          <w:p w14:paraId="6209959B" w14:textId="5006E712" w:rsidR="003A790E" w:rsidRPr="00064323" w:rsidRDefault="003A790E" w:rsidP="003A790E">
            <w:pPr>
              <w:ind w:left="0" w:firstLine="0"/>
              <w:rPr>
                <w:rFonts w:eastAsia="Times New Roman" w:cs="Calibri"/>
                <w:b/>
                <w:bCs/>
                <w:noProof/>
                <w:color w:val="000000"/>
                <w:lang w:val="es-ES" w:eastAsia="en-GB"/>
              </w:rPr>
            </w:pPr>
          </w:p>
        </w:tc>
        <w:tc>
          <w:tcPr>
            <w:tcW w:w="1701" w:type="dxa"/>
            <w:tcBorders>
              <w:top w:val="single" w:sz="4" w:space="0" w:color="auto"/>
              <w:left w:val="nil"/>
              <w:bottom w:val="single" w:sz="4" w:space="0" w:color="auto"/>
              <w:right w:val="single" w:sz="4" w:space="0" w:color="auto"/>
            </w:tcBorders>
            <w:shd w:val="clear" w:color="000000" w:fill="DBE5F1"/>
            <w:noWrap/>
            <w:vAlign w:val="center"/>
            <w:hideMark/>
          </w:tcPr>
          <w:p w14:paraId="24BD51EC" w14:textId="769DC9A3" w:rsidR="003A790E" w:rsidRPr="00064323" w:rsidRDefault="003A790E" w:rsidP="003A790E">
            <w:pPr>
              <w:ind w:left="0" w:firstLine="0"/>
              <w:jc w:val="right"/>
              <w:rPr>
                <w:rFonts w:eastAsia="Times New Roman" w:cs="Calibri"/>
                <w:b/>
                <w:bCs/>
                <w:noProof/>
                <w:color w:val="000000"/>
                <w:lang w:val="es-ES" w:eastAsia="en-GB"/>
              </w:rPr>
            </w:pPr>
            <w:r w:rsidRPr="00064323">
              <w:rPr>
                <w:rFonts w:eastAsia="Times New Roman" w:cs="Calibri"/>
                <w:b/>
                <w:bCs/>
                <w:noProof/>
                <w:color w:val="000000"/>
                <w:lang w:val="es-ES" w:eastAsia="en-GB"/>
              </w:rPr>
              <w:t>3</w:t>
            </w:r>
            <w:r w:rsidR="001D398E" w:rsidRPr="00064323">
              <w:rPr>
                <w:rFonts w:eastAsia="Times New Roman" w:cs="Calibri"/>
                <w:b/>
                <w:bCs/>
                <w:noProof/>
                <w:color w:val="000000"/>
                <w:lang w:val="es-ES" w:eastAsia="en-GB"/>
              </w:rPr>
              <w:t xml:space="preserve"> </w:t>
            </w:r>
            <w:r w:rsidRPr="00064323">
              <w:rPr>
                <w:rFonts w:eastAsia="Times New Roman" w:cs="Calibri"/>
                <w:b/>
                <w:bCs/>
                <w:noProof/>
                <w:color w:val="000000"/>
                <w:lang w:val="es-ES" w:eastAsia="en-GB"/>
              </w:rPr>
              <w:t>738</w:t>
            </w:r>
          </w:p>
        </w:tc>
      </w:tr>
      <w:tr w:rsidR="003A790E" w:rsidRPr="00064323" w14:paraId="78320A6A" w14:textId="77777777" w:rsidTr="003A790E">
        <w:trPr>
          <w:trHeight w:val="37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2D992BBA" w14:textId="07375AE2" w:rsidR="003A790E" w:rsidRPr="00064323" w:rsidRDefault="001D398E" w:rsidP="003A790E">
            <w:pPr>
              <w:ind w:left="0" w:firstLine="0"/>
              <w:rPr>
                <w:rFonts w:eastAsia="Times New Roman" w:cs="Calibri"/>
                <w:b/>
                <w:bCs/>
                <w:noProof/>
                <w:color w:val="000000"/>
                <w:lang w:val="es-ES" w:eastAsia="en-GB"/>
              </w:rPr>
            </w:pPr>
            <w:r w:rsidRPr="00064323">
              <w:rPr>
                <w:rFonts w:eastAsia="Times New Roman" w:cs="Calibri"/>
                <w:b/>
                <w:bCs/>
                <w:noProof/>
                <w:color w:val="000000"/>
                <w:lang w:val="es-ES" w:eastAsia="en-GB"/>
              </w:rPr>
              <w:t>Reserva, aprobada y previamente comprometida:</w:t>
            </w:r>
            <w:r w:rsidRPr="00064323">
              <w:rPr>
                <w:rFonts w:eastAsia="Times New Roman" w:cs="Calibri"/>
                <w:b/>
                <w:bCs/>
                <w:noProof/>
                <w:color w:val="000000"/>
                <w:lang w:val="es-ES" w:eastAsia="en-GB"/>
              </w:rPr>
              <w:tab/>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682F4334" w14:textId="77777777" w:rsidR="003A790E" w:rsidRPr="00064323" w:rsidRDefault="003A790E" w:rsidP="003A790E">
            <w:pPr>
              <w:ind w:left="0" w:firstLine="0"/>
              <w:jc w:val="right"/>
              <w:rPr>
                <w:rFonts w:eastAsia="Times New Roman" w:cs="Calibri"/>
                <w:noProof/>
                <w:color w:val="000000"/>
                <w:lang w:val="es-ES" w:eastAsia="en-GB"/>
              </w:rPr>
            </w:pPr>
            <w:r w:rsidRPr="00064323">
              <w:rPr>
                <w:rFonts w:eastAsia="Times New Roman" w:cs="Calibri"/>
                <w:noProof/>
                <w:color w:val="000000"/>
                <w:lang w:val="es-ES" w:eastAsia="en-GB"/>
              </w:rPr>
              <w:t> </w:t>
            </w:r>
          </w:p>
        </w:tc>
      </w:tr>
      <w:tr w:rsidR="003A790E" w:rsidRPr="00064323" w14:paraId="016565BD" w14:textId="77777777" w:rsidTr="003A790E">
        <w:trPr>
          <w:trHeight w:val="37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13A08940" w14:textId="35DFCBDC" w:rsidR="001D398E" w:rsidRPr="00064323" w:rsidRDefault="001D398E" w:rsidP="001D398E">
            <w:pPr>
              <w:ind w:left="0" w:firstLine="0"/>
              <w:rPr>
                <w:rFonts w:eastAsia="Times New Roman" w:cs="Calibri"/>
                <w:noProof/>
                <w:color w:val="000000"/>
                <w:lang w:val="es-ES" w:eastAsia="en-GB"/>
              </w:rPr>
            </w:pPr>
            <w:r w:rsidRPr="00064323">
              <w:rPr>
                <w:rFonts w:eastAsia="Times New Roman" w:cs="Calibri"/>
                <w:noProof/>
                <w:color w:val="000000"/>
                <w:lang w:val="es-ES" w:eastAsia="en-GB"/>
              </w:rPr>
              <w:t xml:space="preserve">Fondo de reserva </w:t>
            </w:r>
            <w:r w:rsidR="006E71C7">
              <w:rPr>
                <w:rFonts w:eastAsia="Times New Roman" w:cs="Calibri"/>
                <w:noProof/>
                <w:color w:val="000000"/>
                <w:lang w:val="es-ES" w:eastAsia="en-GB"/>
              </w:rPr>
              <w:t>del</w:t>
            </w:r>
            <w:r w:rsidRPr="00064323">
              <w:rPr>
                <w:rFonts w:eastAsia="Times New Roman" w:cs="Calibri"/>
                <w:noProof/>
                <w:color w:val="000000"/>
                <w:lang w:val="es-ES" w:eastAsia="en-GB"/>
              </w:rPr>
              <w:t xml:space="preserve"> 15 % (párrafo 33 de la Resolución XIII.2) </w:t>
            </w:r>
          </w:p>
          <w:p w14:paraId="32C66D42" w14:textId="1977BFAE" w:rsidR="003A790E" w:rsidRPr="00064323" w:rsidRDefault="003A790E" w:rsidP="003A790E">
            <w:pPr>
              <w:ind w:left="0" w:firstLine="0"/>
              <w:rPr>
                <w:rFonts w:eastAsia="Times New Roman" w:cs="Calibri"/>
                <w:noProof/>
                <w:color w:val="000000"/>
                <w:lang w:val="es-ES" w:eastAsia="en-GB"/>
              </w:rPr>
            </w:pPr>
          </w:p>
        </w:tc>
        <w:tc>
          <w:tcPr>
            <w:tcW w:w="1701" w:type="dxa"/>
            <w:tcBorders>
              <w:top w:val="nil"/>
              <w:left w:val="nil"/>
              <w:bottom w:val="single" w:sz="4" w:space="0" w:color="auto"/>
              <w:right w:val="single" w:sz="4" w:space="0" w:color="auto"/>
            </w:tcBorders>
            <w:shd w:val="clear" w:color="auto" w:fill="auto"/>
            <w:noWrap/>
            <w:vAlign w:val="center"/>
            <w:hideMark/>
          </w:tcPr>
          <w:p w14:paraId="015A546C" w14:textId="77777777" w:rsidR="003A790E" w:rsidRPr="00064323" w:rsidRDefault="003A790E" w:rsidP="003A790E">
            <w:pPr>
              <w:ind w:left="0" w:firstLine="0"/>
              <w:jc w:val="right"/>
              <w:rPr>
                <w:rFonts w:eastAsia="Times New Roman" w:cs="Calibri"/>
                <w:noProof/>
                <w:color w:val="000000"/>
                <w:lang w:val="es-ES" w:eastAsia="en-GB"/>
              </w:rPr>
            </w:pPr>
            <w:r w:rsidRPr="00064323">
              <w:rPr>
                <w:rFonts w:eastAsia="Times New Roman" w:cs="Calibri"/>
                <w:noProof/>
                <w:color w:val="000000"/>
                <w:lang w:val="es-ES" w:eastAsia="en-GB"/>
              </w:rPr>
              <w:t>762</w:t>
            </w:r>
          </w:p>
        </w:tc>
      </w:tr>
      <w:tr w:rsidR="003A790E" w:rsidRPr="00064323" w14:paraId="1C417FAB" w14:textId="77777777" w:rsidTr="003A790E">
        <w:trPr>
          <w:trHeight w:val="37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29FCC779" w14:textId="659C878B" w:rsidR="003A790E" w:rsidRPr="00064323" w:rsidRDefault="001D398E" w:rsidP="00A260F0">
            <w:pPr>
              <w:ind w:left="0" w:firstLine="0"/>
              <w:rPr>
                <w:rFonts w:eastAsia="Times New Roman" w:cs="Calibri"/>
                <w:noProof/>
                <w:lang w:val="es-ES" w:eastAsia="en-GB"/>
              </w:rPr>
            </w:pPr>
            <w:r w:rsidRPr="00064323">
              <w:rPr>
                <w:rFonts w:eastAsia="Times New Roman" w:cs="Calibri"/>
                <w:noProof/>
                <w:lang w:val="es-ES" w:eastAsia="en-GB"/>
              </w:rPr>
              <w:t>Uso aprobado por la ExCOP3 de los ahorros de</w:t>
            </w:r>
            <w:r w:rsidR="00D22FEC" w:rsidRPr="00064323">
              <w:rPr>
                <w:rFonts w:eastAsia="Times New Roman" w:cs="Calibri"/>
                <w:noProof/>
                <w:lang w:val="es-ES" w:eastAsia="en-GB"/>
              </w:rPr>
              <w:t>l presupuesto de</w:t>
            </w:r>
            <w:r w:rsidRPr="00064323">
              <w:rPr>
                <w:rFonts w:eastAsia="Times New Roman" w:cs="Calibri"/>
                <w:noProof/>
                <w:lang w:val="es-ES" w:eastAsia="en-GB"/>
              </w:rPr>
              <w:t xml:space="preserve"> 2020 (para cubrir el déficit y para provisiones pendientes)</w:t>
            </w:r>
          </w:p>
        </w:tc>
        <w:tc>
          <w:tcPr>
            <w:tcW w:w="1701" w:type="dxa"/>
            <w:tcBorders>
              <w:top w:val="nil"/>
              <w:left w:val="nil"/>
              <w:bottom w:val="single" w:sz="4" w:space="0" w:color="auto"/>
              <w:right w:val="single" w:sz="4" w:space="0" w:color="auto"/>
            </w:tcBorders>
            <w:shd w:val="clear" w:color="auto" w:fill="auto"/>
            <w:noWrap/>
            <w:vAlign w:val="center"/>
            <w:hideMark/>
          </w:tcPr>
          <w:p w14:paraId="617D3AB1" w14:textId="77777777" w:rsidR="003A790E" w:rsidRPr="00064323" w:rsidRDefault="003A790E" w:rsidP="003A790E">
            <w:pPr>
              <w:ind w:left="0" w:firstLine="0"/>
              <w:jc w:val="right"/>
              <w:rPr>
                <w:rFonts w:eastAsia="Times New Roman" w:cs="Calibri"/>
                <w:noProof/>
                <w:color w:val="000000"/>
                <w:lang w:val="es-ES" w:eastAsia="en-GB"/>
              </w:rPr>
            </w:pPr>
            <w:r w:rsidRPr="00064323">
              <w:rPr>
                <w:rFonts w:eastAsia="Times New Roman" w:cs="Calibri"/>
                <w:noProof/>
                <w:color w:val="000000"/>
                <w:lang w:val="es-ES" w:eastAsia="en-GB"/>
              </w:rPr>
              <w:t>196</w:t>
            </w:r>
          </w:p>
        </w:tc>
      </w:tr>
      <w:tr w:rsidR="003A790E" w:rsidRPr="00064323" w14:paraId="2477EDF6" w14:textId="77777777" w:rsidTr="003A790E">
        <w:trPr>
          <w:trHeight w:val="37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17CB795F" w14:textId="269E8F67" w:rsidR="003A790E" w:rsidRPr="00064323" w:rsidRDefault="001D398E" w:rsidP="003A790E">
            <w:pPr>
              <w:ind w:left="0" w:firstLine="0"/>
              <w:rPr>
                <w:rFonts w:eastAsia="Times New Roman" w:cs="Calibri"/>
                <w:noProof/>
                <w:color w:val="000000"/>
                <w:lang w:val="es-ES" w:eastAsia="en-GB"/>
              </w:rPr>
            </w:pPr>
            <w:r w:rsidRPr="00064323">
              <w:rPr>
                <w:rFonts w:eastAsia="Times New Roman" w:cs="Calibri"/>
                <w:noProof/>
                <w:color w:val="000000"/>
                <w:lang w:val="es-ES" w:eastAsia="en-GB"/>
              </w:rPr>
              <w:t>Saldos previamente comprometidos (Cuadro 1)</w:t>
            </w:r>
          </w:p>
        </w:tc>
        <w:tc>
          <w:tcPr>
            <w:tcW w:w="1701" w:type="dxa"/>
            <w:tcBorders>
              <w:top w:val="nil"/>
              <w:left w:val="nil"/>
              <w:bottom w:val="single" w:sz="4" w:space="0" w:color="auto"/>
              <w:right w:val="single" w:sz="4" w:space="0" w:color="auto"/>
            </w:tcBorders>
            <w:shd w:val="clear" w:color="auto" w:fill="auto"/>
            <w:noWrap/>
            <w:vAlign w:val="center"/>
            <w:hideMark/>
          </w:tcPr>
          <w:p w14:paraId="73FBF877" w14:textId="754616AD" w:rsidR="003A790E" w:rsidRPr="00064323" w:rsidRDefault="003A790E" w:rsidP="003A790E">
            <w:pPr>
              <w:ind w:left="0" w:firstLine="0"/>
              <w:jc w:val="right"/>
              <w:rPr>
                <w:rFonts w:eastAsia="Times New Roman" w:cs="Calibri"/>
                <w:noProof/>
                <w:color w:val="000000"/>
                <w:lang w:val="es-ES" w:eastAsia="en-GB"/>
              </w:rPr>
            </w:pPr>
            <w:r w:rsidRPr="00064323">
              <w:rPr>
                <w:rFonts w:eastAsia="Times New Roman" w:cs="Calibri"/>
                <w:noProof/>
                <w:color w:val="000000"/>
                <w:lang w:val="es-ES" w:eastAsia="en-GB"/>
              </w:rPr>
              <w:t xml:space="preserve">                       767 </w:t>
            </w:r>
          </w:p>
        </w:tc>
      </w:tr>
      <w:tr w:rsidR="003A790E" w:rsidRPr="00064323" w14:paraId="18239BF9" w14:textId="77777777" w:rsidTr="003A790E">
        <w:trPr>
          <w:trHeight w:val="37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0F445118" w14:textId="4AE7C7E1" w:rsidR="001D398E" w:rsidRPr="00064323" w:rsidRDefault="001D398E" w:rsidP="003A790E">
            <w:pPr>
              <w:ind w:left="0" w:firstLine="0"/>
              <w:rPr>
                <w:rFonts w:eastAsia="Times New Roman" w:cs="Calibri"/>
                <w:noProof/>
                <w:color w:val="000000"/>
                <w:lang w:val="es-ES" w:eastAsia="en-GB"/>
              </w:rPr>
            </w:pPr>
            <w:r w:rsidRPr="00064323">
              <w:rPr>
                <w:rFonts w:asciiTheme="minorHAnsi" w:hAnsiTheme="minorHAnsi"/>
                <w:noProof/>
                <w:lang w:val="es-ES"/>
              </w:rPr>
              <w:t xml:space="preserve">Presupuesto aprobado por la reunión SC58 y </w:t>
            </w:r>
            <w:r w:rsidRPr="00064323">
              <w:rPr>
                <w:rFonts w:asciiTheme="minorHAnsi" w:hAnsiTheme="minorHAnsi"/>
                <w:noProof/>
                <w:color w:val="000000" w:themeColor="text1"/>
                <w:lang w:val="es-ES"/>
              </w:rPr>
              <w:t>ahorros no comprometidos traspasados al año siguiente</w:t>
            </w:r>
          </w:p>
          <w:p w14:paraId="27F0AC3E" w14:textId="5A6A2E99" w:rsidR="003A790E" w:rsidRPr="00064323" w:rsidRDefault="003A790E" w:rsidP="003A790E">
            <w:pPr>
              <w:ind w:left="0" w:firstLine="0"/>
              <w:rPr>
                <w:rFonts w:eastAsia="Times New Roman" w:cs="Calibri"/>
                <w:noProof/>
                <w:color w:val="000000"/>
                <w:lang w:val="es-ES" w:eastAsia="en-GB"/>
              </w:rPr>
            </w:pPr>
          </w:p>
        </w:tc>
        <w:tc>
          <w:tcPr>
            <w:tcW w:w="1701" w:type="dxa"/>
            <w:tcBorders>
              <w:top w:val="nil"/>
              <w:left w:val="nil"/>
              <w:bottom w:val="single" w:sz="4" w:space="0" w:color="auto"/>
              <w:right w:val="single" w:sz="4" w:space="0" w:color="auto"/>
            </w:tcBorders>
            <w:shd w:val="clear" w:color="auto" w:fill="auto"/>
            <w:noWrap/>
            <w:vAlign w:val="center"/>
            <w:hideMark/>
          </w:tcPr>
          <w:p w14:paraId="570C9100" w14:textId="7B67797B" w:rsidR="003A790E" w:rsidRPr="00064323" w:rsidRDefault="003A790E" w:rsidP="00A260F0">
            <w:pPr>
              <w:ind w:left="0" w:firstLine="0"/>
              <w:jc w:val="right"/>
              <w:rPr>
                <w:rFonts w:eastAsia="Times New Roman" w:cs="Calibri"/>
                <w:noProof/>
                <w:color w:val="000000"/>
                <w:lang w:val="es-ES" w:eastAsia="en-GB"/>
              </w:rPr>
            </w:pPr>
            <w:r w:rsidRPr="00064323">
              <w:rPr>
                <w:rFonts w:eastAsia="Times New Roman" w:cs="Calibri"/>
                <w:noProof/>
                <w:color w:val="000000"/>
                <w:lang w:val="es-ES" w:eastAsia="en-GB"/>
              </w:rPr>
              <w:t xml:space="preserve">                   </w:t>
            </w:r>
            <w:r w:rsidR="00E04803" w:rsidRPr="00064323">
              <w:rPr>
                <w:rFonts w:eastAsia="Times New Roman" w:cs="Calibri"/>
                <w:noProof/>
                <w:color w:val="000000"/>
                <w:lang w:val="es-ES" w:eastAsia="en-GB"/>
              </w:rPr>
              <w:t>40</w:t>
            </w:r>
            <w:r w:rsidR="00723444" w:rsidRPr="00064323">
              <w:rPr>
                <w:rFonts w:eastAsia="Times New Roman" w:cs="Calibri"/>
                <w:noProof/>
                <w:color w:val="000000"/>
                <w:lang w:val="es-ES" w:eastAsia="en-GB"/>
              </w:rPr>
              <w:t>6</w:t>
            </w:r>
            <w:r w:rsidR="00EF05A9" w:rsidRPr="00064323">
              <w:rPr>
                <w:rFonts w:eastAsia="Times New Roman" w:cs="Calibri"/>
                <w:noProof/>
                <w:color w:val="000000"/>
                <w:lang w:val="es-ES" w:eastAsia="en-GB"/>
              </w:rPr>
              <w:t>,</w:t>
            </w:r>
            <w:r w:rsidR="00723444" w:rsidRPr="00064323">
              <w:rPr>
                <w:rFonts w:eastAsia="Times New Roman" w:cs="Calibri"/>
                <w:noProof/>
                <w:color w:val="000000"/>
                <w:lang w:val="es-ES" w:eastAsia="en-GB"/>
              </w:rPr>
              <w:t>5</w:t>
            </w:r>
            <w:r w:rsidRPr="00064323">
              <w:rPr>
                <w:rFonts w:eastAsia="Times New Roman" w:cs="Calibri"/>
                <w:noProof/>
                <w:color w:val="000000"/>
                <w:lang w:val="es-ES" w:eastAsia="en-GB"/>
              </w:rPr>
              <w:t xml:space="preserve"> </w:t>
            </w:r>
          </w:p>
        </w:tc>
      </w:tr>
      <w:tr w:rsidR="00613D8C" w:rsidRPr="00064323" w14:paraId="10EB5BAB" w14:textId="77777777" w:rsidTr="003A790E">
        <w:trPr>
          <w:trHeight w:val="375"/>
        </w:trPr>
        <w:tc>
          <w:tcPr>
            <w:tcW w:w="7225" w:type="dxa"/>
            <w:tcBorders>
              <w:top w:val="nil"/>
              <w:left w:val="single" w:sz="4" w:space="0" w:color="auto"/>
              <w:bottom w:val="single" w:sz="4" w:space="0" w:color="auto"/>
              <w:right w:val="single" w:sz="4" w:space="0" w:color="auto"/>
            </w:tcBorders>
            <w:shd w:val="clear" w:color="auto" w:fill="auto"/>
            <w:vAlign w:val="center"/>
          </w:tcPr>
          <w:p w14:paraId="2018671E" w14:textId="0F357018" w:rsidR="00613D8C" w:rsidRPr="00064323" w:rsidRDefault="00EF05A9" w:rsidP="003A790E">
            <w:pPr>
              <w:ind w:left="0" w:firstLine="0"/>
              <w:rPr>
                <w:rFonts w:eastAsia="Times New Roman" w:cs="Calibri"/>
                <w:noProof/>
                <w:color w:val="000000"/>
                <w:lang w:val="es-ES" w:eastAsia="en-GB"/>
              </w:rPr>
            </w:pPr>
            <w:r w:rsidRPr="00064323">
              <w:rPr>
                <w:rFonts w:eastAsia="Times New Roman" w:cs="Calibri"/>
                <w:noProof/>
                <w:color w:val="000000"/>
                <w:lang w:val="es-ES" w:eastAsia="en-GB"/>
              </w:rPr>
              <w:t>Aprobación del presupuesto entre períodos de sesiones del Comité Permanente para la contratación del próximo Secretario General, abril de 2022</w:t>
            </w:r>
          </w:p>
        </w:tc>
        <w:tc>
          <w:tcPr>
            <w:tcW w:w="1701" w:type="dxa"/>
            <w:tcBorders>
              <w:top w:val="nil"/>
              <w:left w:val="nil"/>
              <w:bottom w:val="single" w:sz="4" w:space="0" w:color="auto"/>
              <w:right w:val="single" w:sz="4" w:space="0" w:color="auto"/>
            </w:tcBorders>
            <w:shd w:val="clear" w:color="auto" w:fill="auto"/>
            <w:noWrap/>
            <w:vAlign w:val="center"/>
          </w:tcPr>
          <w:p w14:paraId="6338B101" w14:textId="4F3D83B9" w:rsidR="00613D8C" w:rsidRPr="00064323" w:rsidRDefault="00723444" w:rsidP="003A790E">
            <w:pPr>
              <w:ind w:left="0" w:firstLine="0"/>
              <w:jc w:val="right"/>
              <w:rPr>
                <w:rFonts w:eastAsia="Times New Roman" w:cs="Calibri"/>
                <w:noProof/>
                <w:color w:val="000000"/>
                <w:lang w:val="es-ES" w:eastAsia="en-GB"/>
              </w:rPr>
            </w:pPr>
            <w:r w:rsidRPr="00064323">
              <w:rPr>
                <w:rFonts w:eastAsia="Times New Roman" w:cs="Calibri"/>
                <w:noProof/>
                <w:color w:val="000000"/>
                <w:lang w:val="es-ES" w:eastAsia="en-GB"/>
              </w:rPr>
              <w:t>89</w:t>
            </w:r>
            <w:r w:rsidR="00EF05A9" w:rsidRPr="00064323">
              <w:rPr>
                <w:rFonts w:eastAsia="Times New Roman" w:cs="Calibri"/>
                <w:noProof/>
                <w:color w:val="000000"/>
                <w:lang w:val="es-ES" w:eastAsia="en-GB"/>
              </w:rPr>
              <w:t>,</w:t>
            </w:r>
            <w:r w:rsidRPr="00064323">
              <w:rPr>
                <w:rFonts w:eastAsia="Times New Roman" w:cs="Calibri"/>
                <w:noProof/>
                <w:color w:val="000000"/>
                <w:lang w:val="es-ES" w:eastAsia="en-GB"/>
              </w:rPr>
              <w:t>5</w:t>
            </w:r>
          </w:p>
        </w:tc>
      </w:tr>
      <w:tr w:rsidR="003A790E" w:rsidRPr="00064323" w14:paraId="697C2EFA" w14:textId="77777777" w:rsidTr="003A790E">
        <w:trPr>
          <w:trHeight w:val="375"/>
        </w:trPr>
        <w:tc>
          <w:tcPr>
            <w:tcW w:w="7225" w:type="dxa"/>
            <w:tcBorders>
              <w:top w:val="nil"/>
              <w:left w:val="single" w:sz="4" w:space="0" w:color="auto"/>
              <w:bottom w:val="single" w:sz="4" w:space="0" w:color="auto"/>
              <w:right w:val="single" w:sz="4" w:space="0" w:color="auto"/>
            </w:tcBorders>
            <w:shd w:val="clear" w:color="000000" w:fill="DDEBF7"/>
            <w:vAlign w:val="center"/>
            <w:hideMark/>
          </w:tcPr>
          <w:p w14:paraId="2923534F" w14:textId="7DCD6944" w:rsidR="003A790E" w:rsidRPr="00064323" w:rsidRDefault="003A790E" w:rsidP="003A790E">
            <w:pPr>
              <w:ind w:left="0" w:firstLine="0"/>
              <w:rPr>
                <w:rFonts w:eastAsia="Times New Roman" w:cs="Calibri"/>
                <w:b/>
                <w:bCs/>
                <w:noProof/>
                <w:color w:val="000000"/>
                <w:lang w:val="es-ES" w:eastAsia="en-GB"/>
              </w:rPr>
            </w:pPr>
            <w:r w:rsidRPr="00064323">
              <w:rPr>
                <w:rFonts w:eastAsia="Times New Roman" w:cs="Calibri"/>
                <w:b/>
                <w:bCs/>
                <w:noProof/>
                <w:color w:val="000000"/>
                <w:lang w:val="es-ES" w:eastAsia="en-GB"/>
              </w:rPr>
              <w:t xml:space="preserve">(II) </w:t>
            </w:r>
            <w:r w:rsidR="00EF05A9" w:rsidRPr="00064323">
              <w:rPr>
                <w:rFonts w:eastAsia="Times New Roman" w:cs="Calibri"/>
                <w:b/>
                <w:bCs/>
                <w:noProof/>
                <w:color w:val="000000"/>
                <w:lang w:val="es-ES" w:eastAsia="en-GB"/>
              </w:rPr>
              <w:t xml:space="preserve">Reserva total, aprobada y previamente comprometida </w:t>
            </w:r>
          </w:p>
        </w:tc>
        <w:tc>
          <w:tcPr>
            <w:tcW w:w="1701" w:type="dxa"/>
            <w:tcBorders>
              <w:top w:val="nil"/>
              <w:left w:val="nil"/>
              <w:bottom w:val="single" w:sz="4" w:space="0" w:color="auto"/>
              <w:right w:val="single" w:sz="4" w:space="0" w:color="auto"/>
            </w:tcBorders>
            <w:shd w:val="clear" w:color="000000" w:fill="DBE5F1"/>
            <w:noWrap/>
            <w:vAlign w:val="center"/>
            <w:hideMark/>
          </w:tcPr>
          <w:p w14:paraId="4B3FCBD9" w14:textId="56002260" w:rsidR="003A790E" w:rsidRPr="00064323" w:rsidRDefault="003A790E" w:rsidP="003A790E">
            <w:pPr>
              <w:ind w:left="0" w:firstLine="0"/>
              <w:jc w:val="right"/>
              <w:rPr>
                <w:rFonts w:eastAsia="Times New Roman" w:cs="Calibri"/>
                <w:b/>
                <w:bCs/>
                <w:noProof/>
                <w:color w:val="000000"/>
                <w:lang w:val="es-ES" w:eastAsia="en-GB"/>
              </w:rPr>
            </w:pPr>
            <w:r w:rsidRPr="00064323">
              <w:rPr>
                <w:rFonts w:eastAsia="Times New Roman" w:cs="Calibri"/>
                <w:b/>
                <w:bCs/>
                <w:noProof/>
                <w:color w:val="000000"/>
                <w:lang w:val="es-ES" w:eastAsia="en-GB"/>
              </w:rPr>
              <w:t>2</w:t>
            </w:r>
            <w:r w:rsidR="00EF05A9" w:rsidRPr="00064323">
              <w:rPr>
                <w:rFonts w:eastAsia="Times New Roman" w:cs="Calibri"/>
                <w:b/>
                <w:bCs/>
                <w:noProof/>
                <w:color w:val="000000"/>
                <w:lang w:val="es-ES" w:eastAsia="en-GB"/>
              </w:rPr>
              <w:t xml:space="preserve"> </w:t>
            </w:r>
            <w:r w:rsidR="00613D8C" w:rsidRPr="00064323">
              <w:rPr>
                <w:rFonts w:eastAsia="Times New Roman" w:cs="Calibri"/>
                <w:b/>
                <w:bCs/>
                <w:noProof/>
                <w:color w:val="000000"/>
                <w:lang w:val="es-ES" w:eastAsia="en-GB"/>
              </w:rPr>
              <w:t>221</w:t>
            </w:r>
          </w:p>
        </w:tc>
      </w:tr>
      <w:tr w:rsidR="003A790E" w:rsidRPr="00064323" w14:paraId="5B688ECC" w14:textId="77777777" w:rsidTr="003A790E">
        <w:trPr>
          <w:trHeight w:val="495"/>
        </w:trPr>
        <w:tc>
          <w:tcPr>
            <w:tcW w:w="7225" w:type="dxa"/>
            <w:tcBorders>
              <w:top w:val="nil"/>
              <w:left w:val="single" w:sz="4" w:space="0" w:color="auto"/>
              <w:bottom w:val="single" w:sz="4" w:space="0" w:color="auto"/>
              <w:right w:val="single" w:sz="4" w:space="0" w:color="auto"/>
            </w:tcBorders>
            <w:shd w:val="clear" w:color="000000" w:fill="9BC2E6"/>
            <w:vAlign w:val="center"/>
            <w:hideMark/>
          </w:tcPr>
          <w:p w14:paraId="5C232348" w14:textId="25FD7883" w:rsidR="003A790E" w:rsidRPr="00064323" w:rsidRDefault="003A790E" w:rsidP="003A790E">
            <w:pPr>
              <w:ind w:left="0" w:firstLine="0"/>
              <w:rPr>
                <w:rFonts w:eastAsia="Times New Roman" w:cs="Calibri"/>
                <w:b/>
                <w:bCs/>
                <w:noProof/>
                <w:color w:val="000000"/>
                <w:lang w:val="es-ES" w:eastAsia="en-GB"/>
              </w:rPr>
            </w:pPr>
            <w:r w:rsidRPr="00064323">
              <w:rPr>
                <w:rFonts w:eastAsia="Times New Roman" w:cs="Calibri"/>
                <w:b/>
                <w:bCs/>
                <w:noProof/>
                <w:color w:val="000000"/>
                <w:lang w:val="es-ES" w:eastAsia="en-GB"/>
              </w:rPr>
              <w:t xml:space="preserve">(III=I-II) </w:t>
            </w:r>
            <w:r w:rsidR="00EF05A9" w:rsidRPr="00064323">
              <w:rPr>
                <w:rFonts w:eastAsia="Times New Roman" w:cs="Calibri"/>
                <w:b/>
                <w:bCs/>
                <w:noProof/>
                <w:color w:val="000000"/>
                <w:lang w:val="es-ES" w:eastAsia="en-GB"/>
              </w:rPr>
              <w:t>Saldo del presupuesto básico de 2021 después de</w:t>
            </w:r>
            <w:r w:rsidR="006E71C7">
              <w:rPr>
                <w:rFonts w:eastAsia="Times New Roman" w:cs="Calibri"/>
                <w:b/>
                <w:bCs/>
                <w:noProof/>
                <w:color w:val="000000"/>
                <w:lang w:val="es-ES" w:eastAsia="en-GB"/>
              </w:rPr>
              <w:t xml:space="preserve"> ser</w:t>
            </w:r>
            <w:r w:rsidR="00EF05A9" w:rsidRPr="00064323">
              <w:rPr>
                <w:rFonts w:eastAsia="Times New Roman" w:cs="Calibri"/>
                <w:b/>
                <w:bCs/>
                <w:noProof/>
                <w:color w:val="000000"/>
                <w:lang w:val="es-ES" w:eastAsia="en-GB"/>
              </w:rPr>
              <w:t xml:space="preserve"> aprobado y previamente comprometido, por asignar</w:t>
            </w:r>
          </w:p>
        </w:tc>
        <w:tc>
          <w:tcPr>
            <w:tcW w:w="1701" w:type="dxa"/>
            <w:tcBorders>
              <w:top w:val="nil"/>
              <w:left w:val="nil"/>
              <w:bottom w:val="single" w:sz="4" w:space="0" w:color="auto"/>
              <w:right w:val="single" w:sz="4" w:space="0" w:color="auto"/>
            </w:tcBorders>
            <w:shd w:val="clear" w:color="000000" w:fill="9BC2E6"/>
            <w:noWrap/>
            <w:vAlign w:val="center"/>
            <w:hideMark/>
          </w:tcPr>
          <w:p w14:paraId="4B0D61AA" w14:textId="1978DBCD" w:rsidR="003A790E" w:rsidRPr="00064323" w:rsidRDefault="00EF05A9" w:rsidP="00EF05A9">
            <w:pPr>
              <w:jc w:val="right"/>
              <w:rPr>
                <w:rFonts w:eastAsia="Times New Roman" w:cs="Calibri"/>
                <w:b/>
                <w:bCs/>
                <w:noProof/>
                <w:color w:val="000000"/>
                <w:lang w:val="es-ES" w:eastAsia="en-GB"/>
              </w:rPr>
            </w:pPr>
            <w:r w:rsidRPr="00064323">
              <w:rPr>
                <w:rFonts w:eastAsia="Times New Roman" w:cs="Calibri"/>
                <w:b/>
                <w:bCs/>
                <w:noProof/>
                <w:color w:val="000000"/>
                <w:lang w:val="es-ES" w:eastAsia="en-GB"/>
              </w:rPr>
              <w:t>1 517</w:t>
            </w:r>
          </w:p>
        </w:tc>
      </w:tr>
    </w:tbl>
    <w:p w14:paraId="66F8DAB9" w14:textId="77777777" w:rsidR="00FF2210" w:rsidRDefault="00FF2210" w:rsidP="00DA6FAA">
      <w:pPr>
        <w:rPr>
          <w:noProof/>
          <w:lang w:val="es-ES"/>
        </w:rPr>
      </w:pPr>
    </w:p>
    <w:p w14:paraId="2BFD11A1" w14:textId="77777777" w:rsidR="00FF2210" w:rsidRDefault="00FF2210" w:rsidP="00DA6FAA">
      <w:pPr>
        <w:rPr>
          <w:noProof/>
          <w:lang w:val="es-ES"/>
        </w:rPr>
      </w:pPr>
    </w:p>
    <w:p w14:paraId="2FCB349C" w14:textId="2500D521" w:rsidR="00FA2D07" w:rsidRPr="00064323" w:rsidRDefault="004D0989" w:rsidP="00DA6FAA">
      <w:pPr>
        <w:rPr>
          <w:noProof/>
          <w:lang w:val="es-ES"/>
        </w:rPr>
      </w:pPr>
      <w:r w:rsidRPr="00064323">
        <w:rPr>
          <w:noProof/>
          <w:lang w:val="es-ES"/>
        </w:rPr>
        <w:t>24</w:t>
      </w:r>
      <w:r w:rsidR="00374172" w:rsidRPr="00064323">
        <w:rPr>
          <w:noProof/>
          <w:lang w:val="es-ES"/>
        </w:rPr>
        <w:t>.</w:t>
      </w:r>
      <w:r w:rsidR="00DC34DB" w:rsidRPr="00064323">
        <w:rPr>
          <w:noProof/>
          <w:lang w:val="es-ES"/>
        </w:rPr>
        <w:tab/>
      </w:r>
      <w:r w:rsidR="00FA2D07" w:rsidRPr="00064323">
        <w:rPr>
          <w:noProof/>
          <w:lang w:val="es-ES"/>
        </w:rPr>
        <w:t xml:space="preserve">La Secretaría sugiere algunos posibles usos de los ahorros en la sección </w:t>
      </w:r>
      <w:r w:rsidR="00FA2D07" w:rsidRPr="00E70772">
        <w:rPr>
          <w:noProof/>
          <w:lang w:val="es-ES"/>
        </w:rPr>
        <w:t>“Presupuesto básico propuesto para 2022”</w:t>
      </w:r>
      <w:r w:rsidR="00FA2D07" w:rsidRPr="00064323">
        <w:rPr>
          <w:noProof/>
          <w:lang w:val="es-ES"/>
        </w:rPr>
        <w:t xml:space="preserve"> y en su subsección </w:t>
      </w:r>
      <w:r w:rsidR="00FA2D07" w:rsidRPr="00A717B3">
        <w:rPr>
          <w:noProof/>
          <w:lang w:val="es-ES"/>
        </w:rPr>
        <w:t xml:space="preserve">“Posible uso </w:t>
      </w:r>
      <w:r w:rsidR="00A717B3" w:rsidRPr="00A717B3">
        <w:rPr>
          <w:noProof/>
          <w:lang w:val="es-ES"/>
        </w:rPr>
        <w:t>de los ahorros</w:t>
      </w:r>
      <w:r w:rsidR="00FA2D07" w:rsidRPr="00A717B3">
        <w:rPr>
          <w:noProof/>
          <w:lang w:val="es-ES"/>
        </w:rPr>
        <w:t xml:space="preserve"> de 2021”</w:t>
      </w:r>
      <w:r w:rsidR="00FA2D07" w:rsidRPr="00064323">
        <w:rPr>
          <w:noProof/>
          <w:lang w:val="es-ES"/>
        </w:rPr>
        <w:t>.</w:t>
      </w:r>
    </w:p>
    <w:p w14:paraId="654C0F8E" w14:textId="77777777" w:rsidR="003F3307" w:rsidRPr="00064323" w:rsidRDefault="003F3307" w:rsidP="00162710">
      <w:pPr>
        <w:ind w:left="0" w:firstLine="0"/>
        <w:rPr>
          <w:noProof/>
          <w:lang w:val="es-ES"/>
        </w:rPr>
      </w:pPr>
    </w:p>
    <w:p w14:paraId="4BC29A52" w14:textId="77777777" w:rsidR="00FA2D07" w:rsidRPr="00064323" w:rsidRDefault="00FA2D07" w:rsidP="00162710">
      <w:pPr>
        <w:pStyle w:val="NoSpacing"/>
        <w:keepNext/>
        <w:rPr>
          <w:b/>
          <w:noProof/>
          <w:lang w:val="es-ES"/>
        </w:rPr>
      </w:pPr>
      <w:r w:rsidRPr="00064323">
        <w:rPr>
          <w:b/>
          <w:noProof/>
          <w:lang w:val="es-ES"/>
        </w:rPr>
        <w:t xml:space="preserve">Resultados de 2021: presupuesto no básico y contribuciones voluntarias </w:t>
      </w:r>
    </w:p>
    <w:p w14:paraId="6A5BD270" w14:textId="77777777" w:rsidR="00C73471" w:rsidRPr="00064323" w:rsidRDefault="00C73471" w:rsidP="00162710">
      <w:pPr>
        <w:pStyle w:val="NoSpacing"/>
        <w:keepNext/>
        <w:rPr>
          <w:b/>
          <w:noProof/>
          <w:lang w:val="es-ES"/>
        </w:rPr>
      </w:pPr>
    </w:p>
    <w:p w14:paraId="3C239117" w14:textId="646ACEC4" w:rsidR="00FA2D07" w:rsidRPr="00064323" w:rsidRDefault="00523B6B" w:rsidP="00464D2B">
      <w:pPr>
        <w:rPr>
          <w:noProof/>
          <w:lang w:val="es-ES"/>
        </w:rPr>
      </w:pPr>
      <w:r w:rsidRPr="00064323">
        <w:rPr>
          <w:noProof/>
          <w:lang w:val="es-ES"/>
        </w:rPr>
        <w:t>2</w:t>
      </w:r>
      <w:r w:rsidR="004D0989" w:rsidRPr="00064323">
        <w:rPr>
          <w:noProof/>
          <w:lang w:val="es-ES"/>
        </w:rPr>
        <w:t>5</w:t>
      </w:r>
      <w:r w:rsidR="00112F62" w:rsidRPr="00064323">
        <w:rPr>
          <w:noProof/>
          <w:lang w:val="es-ES"/>
        </w:rPr>
        <w:t>.</w:t>
      </w:r>
      <w:r w:rsidR="00112F62" w:rsidRPr="00064323">
        <w:rPr>
          <w:noProof/>
          <w:lang w:val="es-ES"/>
        </w:rPr>
        <w:tab/>
      </w:r>
      <w:r w:rsidR="00FA2D07" w:rsidRPr="00064323">
        <w:rPr>
          <w:noProof/>
          <w:lang w:val="es-ES"/>
        </w:rPr>
        <w:t xml:space="preserve">De conformidad con la sección II del Anexo 1, </w:t>
      </w:r>
      <w:r w:rsidR="00A717B3" w:rsidRPr="00A717B3">
        <w:rPr>
          <w:i/>
          <w:iCs/>
          <w:noProof/>
          <w:lang w:val="es-ES"/>
        </w:rPr>
        <w:t>Estado de resultados del ejercicio finalizado el 31 de diciembre de 2021</w:t>
      </w:r>
      <w:r w:rsidR="00FA2D07" w:rsidRPr="00064323">
        <w:rPr>
          <w:noProof/>
          <w:lang w:val="es-ES"/>
        </w:rPr>
        <w:t xml:space="preserve">, en 2021 se recibieron 462 000 francos suizos de ingresos por proyectos y 11 000 francos suizos de contribuciones voluntarias </w:t>
      </w:r>
      <w:r w:rsidR="00C80A3E" w:rsidRPr="00064323">
        <w:rPr>
          <w:noProof/>
          <w:lang w:val="es-ES"/>
        </w:rPr>
        <w:t>de países africanos</w:t>
      </w:r>
      <w:r w:rsidR="00237F04" w:rsidRPr="00064323">
        <w:rPr>
          <w:rStyle w:val="FootnoteReference"/>
          <w:noProof/>
          <w:lang w:val="es-ES"/>
        </w:rPr>
        <w:footnoteReference w:id="4"/>
      </w:r>
      <w:r w:rsidR="00FA2D07" w:rsidRPr="00064323">
        <w:rPr>
          <w:noProof/>
          <w:lang w:val="es-ES"/>
        </w:rPr>
        <w:t xml:space="preserve">, por lo que el total de ingresos por contribuciones voluntarias </w:t>
      </w:r>
      <w:r w:rsidR="00A717B3">
        <w:rPr>
          <w:noProof/>
          <w:lang w:val="es-ES"/>
        </w:rPr>
        <w:t>complementarias</w:t>
      </w:r>
      <w:r w:rsidR="00FA2D07" w:rsidRPr="00064323">
        <w:rPr>
          <w:noProof/>
          <w:lang w:val="es-ES"/>
        </w:rPr>
        <w:t xml:space="preserve"> es de 473 000 francos suizos. Los detalles del presupuesto no básico a 31 de diciembre de 2021 se encuentran en el Anexo 3.</w:t>
      </w:r>
    </w:p>
    <w:p w14:paraId="572970A9" w14:textId="77777777" w:rsidR="00112F62" w:rsidRPr="00064323" w:rsidRDefault="00112F62" w:rsidP="00237F04">
      <w:pPr>
        <w:ind w:left="0" w:firstLine="0"/>
        <w:rPr>
          <w:noProof/>
          <w:lang w:val="es-ES"/>
        </w:rPr>
      </w:pPr>
    </w:p>
    <w:p w14:paraId="22A47821" w14:textId="2D3AB5C9" w:rsidR="00237F04" w:rsidRPr="00064323" w:rsidRDefault="00523B6B" w:rsidP="00237F04">
      <w:pPr>
        <w:rPr>
          <w:noProof/>
          <w:lang w:val="es-ES"/>
        </w:rPr>
      </w:pPr>
      <w:r w:rsidRPr="00064323">
        <w:rPr>
          <w:noProof/>
          <w:lang w:val="es-ES"/>
        </w:rPr>
        <w:lastRenderedPageBreak/>
        <w:t>2</w:t>
      </w:r>
      <w:r w:rsidR="004D0989" w:rsidRPr="00064323">
        <w:rPr>
          <w:noProof/>
          <w:lang w:val="es-ES"/>
        </w:rPr>
        <w:t>6</w:t>
      </w:r>
      <w:r w:rsidR="00112F62" w:rsidRPr="00064323">
        <w:rPr>
          <w:noProof/>
          <w:lang w:val="es-ES"/>
        </w:rPr>
        <w:t>.</w:t>
      </w:r>
      <w:r w:rsidR="00112F62" w:rsidRPr="00064323">
        <w:rPr>
          <w:noProof/>
          <w:lang w:val="es-ES"/>
        </w:rPr>
        <w:tab/>
      </w:r>
      <w:r w:rsidR="00237F04" w:rsidRPr="00064323">
        <w:rPr>
          <w:noProof/>
          <w:lang w:val="es-ES"/>
        </w:rPr>
        <w:t xml:space="preserve">Las contribuciones voluntarias recibidas en 2021 </w:t>
      </w:r>
      <w:r w:rsidR="00A717B3">
        <w:rPr>
          <w:noProof/>
          <w:lang w:val="es-ES"/>
        </w:rPr>
        <w:t>figuran</w:t>
      </w:r>
      <w:r w:rsidR="00237F04" w:rsidRPr="00064323">
        <w:rPr>
          <w:noProof/>
          <w:lang w:val="es-ES"/>
        </w:rPr>
        <w:t xml:space="preserve"> en el Cuadro 3</w:t>
      </w:r>
      <w:r w:rsidR="00A717B3">
        <w:rPr>
          <w:noProof/>
          <w:lang w:val="es-ES"/>
        </w:rPr>
        <w:t xml:space="preserve">, </w:t>
      </w:r>
      <w:r w:rsidR="00237F04" w:rsidRPr="00064323">
        <w:rPr>
          <w:noProof/>
          <w:lang w:val="es-ES"/>
        </w:rPr>
        <w:t xml:space="preserve">a continuación. De acuerdo con las instrucciones del Comité Permanente mediante la Decisión SC53-32, el cuadro ofrece un panorama general de las contribuciones recibidas y su </w:t>
      </w:r>
      <w:r w:rsidR="00A717B3">
        <w:rPr>
          <w:noProof/>
          <w:lang w:val="es-ES"/>
        </w:rPr>
        <w:t>uso específico</w:t>
      </w:r>
      <w:r w:rsidR="00237F04" w:rsidRPr="00064323">
        <w:rPr>
          <w:noProof/>
          <w:lang w:val="es-ES"/>
        </w:rPr>
        <w:t>. Se hace referencia a las prioridades para la recaudación de fondos</w:t>
      </w:r>
      <w:r w:rsidR="00C36318">
        <w:rPr>
          <w:noProof/>
          <w:lang w:val="es-ES"/>
        </w:rPr>
        <w:t>,</w:t>
      </w:r>
      <w:r w:rsidR="00237F04" w:rsidRPr="00064323">
        <w:rPr>
          <w:noProof/>
          <w:lang w:val="es-ES"/>
        </w:rPr>
        <w:t xml:space="preserve"> determinadas por las Partes Contratantes</w:t>
      </w:r>
      <w:r w:rsidR="00C36318">
        <w:rPr>
          <w:noProof/>
          <w:lang w:val="es-ES"/>
        </w:rPr>
        <w:t xml:space="preserve"> en el </w:t>
      </w:r>
      <w:r w:rsidR="00237F04" w:rsidRPr="00064323">
        <w:rPr>
          <w:noProof/>
          <w:lang w:val="es-ES"/>
        </w:rPr>
        <w:t>Anexo 3 de la Resolución XIII.2.</w:t>
      </w:r>
    </w:p>
    <w:p w14:paraId="39E697F4" w14:textId="77777777" w:rsidR="00DE67E9" w:rsidRPr="00064323" w:rsidRDefault="00DE67E9" w:rsidP="009D2CC9">
      <w:pPr>
        <w:pStyle w:val="NoSpacing"/>
        <w:keepNext/>
        <w:ind w:left="0" w:firstLine="0"/>
        <w:rPr>
          <w:rFonts w:eastAsia="Times New Roman" w:cs="Calibri"/>
          <w:i/>
          <w:iCs/>
          <w:noProof/>
          <w:lang w:val="es-ES" w:eastAsia="en-GB"/>
        </w:rPr>
      </w:pPr>
    </w:p>
    <w:p w14:paraId="5E6034B2" w14:textId="6A0ACE0F" w:rsidR="00DA6FAA" w:rsidRPr="00064323" w:rsidRDefault="00237F04" w:rsidP="009D2CC9">
      <w:pPr>
        <w:pStyle w:val="NoSpacing"/>
        <w:keepNext/>
        <w:ind w:left="0" w:firstLine="0"/>
        <w:rPr>
          <w:i/>
          <w:noProof/>
          <w:lang w:val="es-ES"/>
        </w:rPr>
      </w:pPr>
      <w:r w:rsidRPr="00064323">
        <w:rPr>
          <w:i/>
          <w:iCs/>
          <w:noProof/>
          <w:lang w:val="es-ES"/>
        </w:rPr>
        <w:t xml:space="preserve">Cuadro 3: </w:t>
      </w:r>
      <w:r w:rsidRPr="00064323">
        <w:rPr>
          <w:i/>
          <w:noProof/>
          <w:lang w:val="es-ES"/>
        </w:rPr>
        <w:t xml:space="preserve">Ingresos </w:t>
      </w:r>
      <w:r w:rsidRPr="00064323">
        <w:rPr>
          <w:i/>
          <w:noProof/>
          <w:color w:val="000000" w:themeColor="text1"/>
          <w:lang w:val="es-ES"/>
        </w:rPr>
        <w:t xml:space="preserve">para proyectos por </w:t>
      </w:r>
      <w:r w:rsidRPr="00064323">
        <w:rPr>
          <w:i/>
          <w:noProof/>
          <w:lang w:val="es-ES"/>
        </w:rPr>
        <w:t>contribuciones voluntarias complementarias recibidas en 2021 (en miles de francos suizos, con posibles diferencias de redondeo)</w:t>
      </w:r>
    </w:p>
    <w:tbl>
      <w:tblPr>
        <w:tblW w:w="921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73"/>
        <w:gridCol w:w="1843"/>
        <w:gridCol w:w="5098"/>
      </w:tblGrid>
      <w:tr w:rsidR="00061CBA" w:rsidRPr="00064323" w14:paraId="11051277" w14:textId="77777777" w:rsidTr="00F636DE">
        <w:trPr>
          <w:trHeight w:val="244"/>
        </w:trPr>
        <w:tc>
          <w:tcPr>
            <w:tcW w:w="2273" w:type="dxa"/>
            <w:shd w:val="clear" w:color="auto" w:fill="DBE5F1" w:themeFill="accent1" w:themeFillTint="33"/>
            <w:vAlign w:val="center"/>
          </w:tcPr>
          <w:p w14:paraId="2BD26E53" w14:textId="6D9AF14A" w:rsidR="00061CBA" w:rsidRPr="00064323" w:rsidRDefault="00061CBA" w:rsidP="00061CBA">
            <w:pPr>
              <w:ind w:left="0" w:firstLine="0"/>
              <w:jc w:val="center"/>
              <w:rPr>
                <w:rFonts w:eastAsia="Times New Roman" w:cs="Calibri"/>
                <w:b/>
                <w:bCs/>
                <w:noProof/>
                <w:color w:val="000000"/>
                <w:lang w:val="es-ES" w:eastAsia="en-GB"/>
              </w:rPr>
            </w:pPr>
            <w:r w:rsidRPr="00064323">
              <w:rPr>
                <w:b/>
                <w:bCs/>
                <w:noProof/>
                <w:color w:val="000000"/>
                <w:lang w:val="es-ES"/>
              </w:rPr>
              <w:t>Nombre del donante</w:t>
            </w:r>
          </w:p>
        </w:tc>
        <w:tc>
          <w:tcPr>
            <w:tcW w:w="1843" w:type="dxa"/>
            <w:shd w:val="clear" w:color="auto" w:fill="DBE5F1" w:themeFill="accent1" w:themeFillTint="33"/>
            <w:vAlign w:val="center"/>
          </w:tcPr>
          <w:p w14:paraId="42DF41F1" w14:textId="461405A8" w:rsidR="00061CBA" w:rsidRPr="00064323" w:rsidRDefault="00061CBA" w:rsidP="00061CBA">
            <w:pPr>
              <w:keepNext/>
              <w:ind w:left="0" w:firstLine="0"/>
              <w:jc w:val="center"/>
              <w:rPr>
                <w:rFonts w:eastAsia="Times New Roman" w:cs="Calibri"/>
                <w:b/>
                <w:bCs/>
                <w:noProof/>
                <w:color w:val="000000"/>
                <w:lang w:val="es-ES" w:eastAsia="en-GB"/>
              </w:rPr>
            </w:pPr>
            <w:r w:rsidRPr="00064323">
              <w:rPr>
                <w:b/>
                <w:bCs/>
                <w:noProof/>
                <w:color w:val="000000"/>
                <w:lang w:val="es-ES"/>
              </w:rPr>
              <w:t>Monto del ingreso</w:t>
            </w:r>
          </w:p>
        </w:tc>
        <w:tc>
          <w:tcPr>
            <w:tcW w:w="5098" w:type="dxa"/>
            <w:shd w:val="clear" w:color="auto" w:fill="DBE5F1" w:themeFill="accent1" w:themeFillTint="33"/>
            <w:vAlign w:val="center"/>
          </w:tcPr>
          <w:p w14:paraId="09F18196" w14:textId="23A7AA91" w:rsidR="00061CBA" w:rsidRPr="00064323" w:rsidRDefault="00061CBA" w:rsidP="00061CBA">
            <w:pPr>
              <w:keepNext/>
              <w:ind w:left="0" w:firstLine="0"/>
              <w:jc w:val="center"/>
              <w:rPr>
                <w:rFonts w:eastAsia="Times New Roman" w:cs="Calibri"/>
                <w:b/>
                <w:bCs/>
                <w:noProof/>
                <w:color w:val="000000"/>
                <w:lang w:val="es-ES" w:eastAsia="en-GB"/>
              </w:rPr>
            </w:pPr>
            <w:r w:rsidRPr="00064323">
              <w:rPr>
                <w:b/>
                <w:bCs/>
                <w:noProof/>
                <w:color w:val="000000"/>
                <w:lang w:val="es-ES"/>
              </w:rPr>
              <w:t>Descripción</w:t>
            </w:r>
          </w:p>
        </w:tc>
      </w:tr>
      <w:tr w:rsidR="00061CBA" w:rsidRPr="00064323" w14:paraId="4685D155" w14:textId="77777777" w:rsidTr="00F636DE">
        <w:tc>
          <w:tcPr>
            <w:tcW w:w="2273" w:type="dxa"/>
            <w:shd w:val="clear" w:color="auto" w:fill="auto"/>
            <w:vAlign w:val="center"/>
            <w:hideMark/>
          </w:tcPr>
          <w:p w14:paraId="6128A7C1" w14:textId="77777777" w:rsidR="00061CBA" w:rsidRPr="00064323" w:rsidRDefault="00061CBA" w:rsidP="009D2CC9">
            <w:pPr>
              <w:keepNext/>
              <w:ind w:left="0" w:firstLine="0"/>
              <w:rPr>
                <w:rFonts w:eastAsia="Times New Roman" w:cs="Calibri"/>
                <w:noProof/>
                <w:color w:val="000000"/>
                <w:lang w:val="es-ES" w:eastAsia="en-GB"/>
              </w:rPr>
            </w:pPr>
            <w:r w:rsidRPr="00064323">
              <w:rPr>
                <w:rFonts w:eastAsia="Times New Roman" w:cs="Calibri"/>
                <w:noProof/>
                <w:color w:val="000000"/>
                <w:lang w:val="es-ES" w:eastAsia="en-GB"/>
              </w:rPr>
              <w:t>Alemania</w:t>
            </w:r>
          </w:p>
        </w:tc>
        <w:tc>
          <w:tcPr>
            <w:tcW w:w="1843" w:type="dxa"/>
            <w:shd w:val="clear" w:color="auto" w:fill="auto"/>
            <w:vAlign w:val="center"/>
            <w:hideMark/>
          </w:tcPr>
          <w:p w14:paraId="6FB884F5" w14:textId="77777777" w:rsidR="00061CBA" w:rsidRPr="00064323" w:rsidRDefault="00061CBA" w:rsidP="009D2CC9">
            <w:pPr>
              <w:keepNext/>
              <w:ind w:left="0" w:firstLine="0"/>
              <w:jc w:val="right"/>
              <w:rPr>
                <w:rFonts w:eastAsia="Times New Roman" w:cs="Calibri"/>
                <w:noProof/>
                <w:color w:val="000000"/>
                <w:lang w:val="es-ES" w:eastAsia="en-GB"/>
              </w:rPr>
            </w:pPr>
            <w:r w:rsidRPr="00064323">
              <w:rPr>
                <w:rFonts w:eastAsia="Times New Roman" w:cs="Calibri"/>
                <w:noProof/>
                <w:color w:val="000000"/>
                <w:lang w:val="es-ES" w:eastAsia="en-GB"/>
              </w:rPr>
              <w:t>212</w:t>
            </w:r>
          </w:p>
        </w:tc>
        <w:tc>
          <w:tcPr>
            <w:tcW w:w="5098" w:type="dxa"/>
            <w:shd w:val="clear" w:color="auto" w:fill="auto"/>
            <w:vAlign w:val="center"/>
            <w:hideMark/>
          </w:tcPr>
          <w:p w14:paraId="14D18FC9" w14:textId="77777777" w:rsidR="00061CBA" w:rsidRPr="00064323" w:rsidRDefault="00061CBA" w:rsidP="009D2CC9">
            <w:pPr>
              <w:keepNext/>
              <w:ind w:left="0" w:firstLine="0"/>
              <w:rPr>
                <w:rFonts w:eastAsia="Times New Roman" w:cs="Calibri"/>
                <w:noProof/>
                <w:color w:val="000000"/>
                <w:lang w:val="es-ES" w:eastAsia="en-GB"/>
              </w:rPr>
            </w:pPr>
            <w:r w:rsidRPr="00064323">
              <w:rPr>
                <w:rFonts w:eastAsia="Times New Roman" w:cs="Calibri"/>
                <w:noProof/>
                <w:color w:val="000000"/>
                <w:lang w:val="es-ES" w:eastAsia="en-GB"/>
              </w:rPr>
              <w:t>Uso racional de las humedales del Caribe</w:t>
            </w:r>
          </w:p>
        </w:tc>
      </w:tr>
      <w:tr w:rsidR="00061CBA" w:rsidRPr="001441B9" w14:paraId="74A590AE" w14:textId="77777777" w:rsidTr="00F636DE">
        <w:tc>
          <w:tcPr>
            <w:tcW w:w="2273" w:type="dxa"/>
            <w:shd w:val="clear" w:color="auto" w:fill="auto"/>
            <w:vAlign w:val="center"/>
          </w:tcPr>
          <w:p w14:paraId="16BC9661" w14:textId="77777777" w:rsidR="00061CBA" w:rsidRPr="00064323" w:rsidRDefault="00061CBA" w:rsidP="009D2CC9">
            <w:pPr>
              <w:keepNext/>
              <w:ind w:left="0" w:firstLine="0"/>
              <w:rPr>
                <w:rFonts w:eastAsia="Times New Roman" w:cs="Calibri"/>
                <w:noProof/>
                <w:color w:val="000000"/>
                <w:lang w:val="es-ES" w:eastAsia="en-GB"/>
              </w:rPr>
            </w:pPr>
            <w:r w:rsidRPr="00064323">
              <w:rPr>
                <w:rFonts w:eastAsia="Times New Roman" w:cs="Calibri"/>
                <w:noProof/>
                <w:color w:val="000000"/>
                <w:lang w:val="es-ES" w:eastAsia="en-GB"/>
              </w:rPr>
              <w:t>Federación de Rusia</w:t>
            </w:r>
          </w:p>
        </w:tc>
        <w:tc>
          <w:tcPr>
            <w:tcW w:w="1843" w:type="dxa"/>
            <w:shd w:val="clear" w:color="auto" w:fill="auto"/>
            <w:vAlign w:val="center"/>
          </w:tcPr>
          <w:p w14:paraId="5BE1BB50" w14:textId="77777777" w:rsidR="00061CBA" w:rsidRPr="00064323" w:rsidRDefault="00061CBA" w:rsidP="009D2CC9">
            <w:pPr>
              <w:keepNext/>
              <w:ind w:left="0" w:firstLine="0"/>
              <w:jc w:val="right"/>
              <w:rPr>
                <w:rFonts w:eastAsia="Times New Roman" w:cs="Calibri"/>
                <w:noProof/>
                <w:color w:val="000000"/>
                <w:lang w:val="es-ES" w:eastAsia="en-GB"/>
              </w:rPr>
            </w:pPr>
            <w:r w:rsidRPr="00064323">
              <w:rPr>
                <w:rFonts w:eastAsia="Times New Roman" w:cs="Calibri"/>
                <w:noProof/>
                <w:color w:val="000000"/>
                <w:lang w:val="es-ES" w:eastAsia="en-GB"/>
              </w:rPr>
              <w:t>18</w:t>
            </w:r>
          </w:p>
        </w:tc>
        <w:tc>
          <w:tcPr>
            <w:tcW w:w="5098" w:type="dxa"/>
            <w:shd w:val="clear" w:color="auto" w:fill="auto"/>
            <w:vAlign w:val="center"/>
          </w:tcPr>
          <w:p w14:paraId="7DDBCF1D" w14:textId="77777777" w:rsidR="00061CBA" w:rsidRPr="00064323" w:rsidRDefault="00061CBA" w:rsidP="009D2CC9">
            <w:pPr>
              <w:keepNext/>
              <w:ind w:left="0" w:firstLine="0"/>
              <w:rPr>
                <w:rFonts w:eastAsia="Times New Roman" w:cs="Calibri"/>
                <w:noProof/>
                <w:color w:val="000000"/>
                <w:lang w:val="es-ES" w:eastAsia="en-GB"/>
              </w:rPr>
            </w:pPr>
            <w:r w:rsidRPr="00064323">
              <w:rPr>
                <w:rFonts w:eastAsia="Times New Roman" w:cs="Calibri"/>
                <w:noProof/>
                <w:color w:val="000000"/>
                <w:lang w:val="es-ES" w:eastAsia="en-GB"/>
              </w:rPr>
              <w:t xml:space="preserve">Misión Ramsar de Asesoramiento de Kurgalsky </w:t>
            </w:r>
          </w:p>
        </w:tc>
      </w:tr>
      <w:tr w:rsidR="00061CBA" w:rsidRPr="001441B9" w14:paraId="2BDEAF73" w14:textId="77777777" w:rsidTr="00F636DE">
        <w:tc>
          <w:tcPr>
            <w:tcW w:w="2273" w:type="dxa"/>
            <w:shd w:val="clear" w:color="auto" w:fill="auto"/>
            <w:vAlign w:val="center"/>
          </w:tcPr>
          <w:p w14:paraId="0EAC5AE0" w14:textId="77777777" w:rsidR="00061CBA" w:rsidRPr="00064323" w:rsidRDefault="00061CBA" w:rsidP="009D2CC9">
            <w:pPr>
              <w:keepNext/>
              <w:ind w:left="0" w:firstLine="0"/>
              <w:rPr>
                <w:rFonts w:eastAsia="Times New Roman" w:cs="Calibri"/>
                <w:noProof/>
                <w:color w:val="000000"/>
                <w:lang w:val="es-ES" w:eastAsia="en-GB"/>
              </w:rPr>
            </w:pPr>
            <w:r w:rsidRPr="00064323">
              <w:rPr>
                <w:rFonts w:eastAsia="Times New Roman" w:cs="Calibri"/>
                <w:noProof/>
                <w:color w:val="000000"/>
                <w:lang w:val="es-ES" w:eastAsia="en-GB"/>
              </w:rPr>
              <w:t>Finlandia</w:t>
            </w:r>
          </w:p>
        </w:tc>
        <w:tc>
          <w:tcPr>
            <w:tcW w:w="1843" w:type="dxa"/>
            <w:shd w:val="clear" w:color="auto" w:fill="auto"/>
            <w:vAlign w:val="center"/>
          </w:tcPr>
          <w:p w14:paraId="0526FA00" w14:textId="77777777" w:rsidR="00061CBA" w:rsidRPr="00064323" w:rsidRDefault="00061CBA" w:rsidP="009D2CC9">
            <w:pPr>
              <w:keepNext/>
              <w:ind w:left="0" w:firstLine="0"/>
              <w:jc w:val="right"/>
              <w:rPr>
                <w:rFonts w:eastAsia="Times New Roman" w:cs="Calibri"/>
                <w:noProof/>
                <w:color w:val="000000"/>
                <w:lang w:val="es-ES" w:eastAsia="en-GB"/>
              </w:rPr>
            </w:pPr>
            <w:r w:rsidRPr="00064323">
              <w:rPr>
                <w:rFonts w:eastAsia="Times New Roman" w:cs="Calibri"/>
                <w:noProof/>
                <w:color w:val="000000"/>
                <w:lang w:val="es-ES" w:eastAsia="en-GB"/>
              </w:rPr>
              <w:t>11</w:t>
            </w:r>
          </w:p>
        </w:tc>
        <w:tc>
          <w:tcPr>
            <w:tcW w:w="5098" w:type="dxa"/>
            <w:shd w:val="clear" w:color="auto" w:fill="auto"/>
            <w:vAlign w:val="center"/>
          </w:tcPr>
          <w:p w14:paraId="43519570" w14:textId="77777777" w:rsidR="00061CBA" w:rsidRPr="00064323" w:rsidRDefault="00061CBA" w:rsidP="009D2CC9">
            <w:pPr>
              <w:keepNext/>
              <w:ind w:left="0" w:firstLine="0"/>
              <w:rPr>
                <w:rFonts w:eastAsia="Times New Roman" w:cs="Calibri"/>
                <w:noProof/>
                <w:color w:val="000000"/>
                <w:lang w:val="es-ES" w:eastAsia="en-GB"/>
              </w:rPr>
            </w:pPr>
            <w:r w:rsidRPr="00064323">
              <w:rPr>
                <w:rFonts w:eastAsia="Times New Roman" w:cs="Calibri"/>
                <w:noProof/>
                <w:color w:val="000000"/>
                <w:lang w:val="es-ES" w:eastAsia="en-GB"/>
              </w:rPr>
              <w:t>Curso introductorio sobre la Convención sobre los Humedales</w:t>
            </w:r>
          </w:p>
        </w:tc>
      </w:tr>
      <w:tr w:rsidR="00061CBA" w:rsidRPr="001441B9" w14:paraId="7DDBCA05" w14:textId="77777777" w:rsidTr="00F636DE">
        <w:tc>
          <w:tcPr>
            <w:tcW w:w="2273" w:type="dxa"/>
            <w:shd w:val="clear" w:color="auto" w:fill="auto"/>
            <w:vAlign w:val="center"/>
            <w:hideMark/>
          </w:tcPr>
          <w:p w14:paraId="18FD8660" w14:textId="77777777" w:rsidR="00061CBA" w:rsidRPr="00064323" w:rsidRDefault="00061CBA" w:rsidP="009D2CC9">
            <w:pPr>
              <w:keepNext/>
              <w:ind w:left="0" w:firstLine="0"/>
              <w:rPr>
                <w:rFonts w:eastAsia="Times New Roman" w:cs="Calibri"/>
                <w:noProof/>
                <w:color w:val="000000"/>
                <w:lang w:val="es-ES" w:eastAsia="en-GB"/>
              </w:rPr>
            </w:pPr>
            <w:r w:rsidRPr="00064323">
              <w:rPr>
                <w:rFonts w:eastAsia="Times New Roman" w:cs="Calibri"/>
                <w:noProof/>
                <w:color w:val="000000"/>
                <w:lang w:val="es-ES" w:eastAsia="en-GB"/>
              </w:rPr>
              <w:t>Noruega</w:t>
            </w:r>
          </w:p>
        </w:tc>
        <w:tc>
          <w:tcPr>
            <w:tcW w:w="1843" w:type="dxa"/>
            <w:shd w:val="clear" w:color="auto" w:fill="auto"/>
            <w:vAlign w:val="center"/>
            <w:hideMark/>
          </w:tcPr>
          <w:p w14:paraId="5118E22C" w14:textId="77777777" w:rsidR="00061CBA" w:rsidRPr="00064323" w:rsidRDefault="00061CBA" w:rsidP="009D2CC9">
            <w:pPr>
              <w:keepNext/>
              <w:ind w:left="0" w:firstLine="0"/>
              <w:jc w:val="right"/>
              <w:rPr>
                <w:rFonts w:eastAsia="Times New Roman" w:cs="Calibri"/>
                <w:noProof/>
                <w:color w:val="000000"/>
                <w:lang w:val="es-ES" w:eastAsia="en-GB"/>
              </w:rPr>
            </w:pPr>
            <w:r w:rsidRPr="00064323">
              <w:rPr>
                <w:rFonts w:eastAsia="Times New Roman" w:cs="Calibri"/>
                <w:noProof/>
                <w:color w:val="000000"/>
                <w:lang w:val="es-ES" w:eastAsia="en-GB"/>
              </w:rPr>
              <w:t>186</w:t>
            </w:r>
          </w:p>
        </w:tc>
        <w:tc>
          <w:tcPr>
            <w:tcW w:w="5098" w:type="dxa"/>
            <w:shd w:val="clear" w:color="auto" w:fill="auto"/>
            <w:vAlign w:val="center"/>
            <w:hideMark/>
          </w:tcPr>
          <w:p w14:paraId="42A98EE5" w14:textId="77777777" w:rsidR="00061CBA" w:rsidRPr="00064323" w:rsidRDefault="00061CBA" w:rsidP="00B31256">
            <w:pPr>
              <w:keepNext/>
              <w:ind w:left="0" w:firstLine="0"/>
              <w:rPr>
                <w:rFonts w:eastAsia="Times New Roman" w:cs="Calibri"/>
                <w:noProof/>
                <w:color w:val="000000"/>
                <w:lang w:val="es-ES" w:eastAsia="en-GB"/>
              </w:rPr>
            </w:pPr>
            <w:r w:rsidRPr="00064323">
              <w:rPr>
                <w:rFonts w:eastAsia="Times New Roman" w:cs="Calibri"/>
                <w:noProof/>
                <w:color w:val="000000"/>
                <w:lang w:val="es-ES" w:eastAsia="en-GB"/>
              </w:rPr>
              <w:t>Prioridades de recaudación de fondos para la COP13 de la Convención de 2021-2022</w:t>
            </w:r>
          </w:p>
        </w:tc>
      </w:tr>
      <w:tr w:rsidR="00061CBA" w:rsidRPr="001441B9" w14:paraId="285BC62A" w14:textId="77777777" w:rsidTr="00F636DE">
        <w:tc>
          <w:tcPr>
            <w:tcW w:w="2273" w:type="dxa"/>
            <w:shd w:val="clear" w:color="auto" w:fill="auto"/>
            <w:vAlign w:val="center"/>
            <w:hideMark/>
          </w:tcPr>
          <w:p w14:paraId="73E2120E" w14:textId="77777777" w:rsidR="00061CBA" w:rsidRPr="00064323" w:rsidRDefault="00061CBA" w:rsidP="009D2CC9">
            <w:pPr>
              <w:keepNext/>
              <w:ind w:left="0" w:firstLine="0"/>
              <w:rPr>
                <w:rFonts w:eastAsia="Times New Roman" w:cs="Calibri"/>
                <w:noProof/>
                <w:color w:val="000000"/>
                <w:lang w:val="es-ES" w:eastAsia="en-GB"/>
              </w:rPr>
            </w:pPr>
            <w:r w:rsidRPr="00064323">
              <w:rPr>
                <w:rFonts w:eastAsia="Times New Roman" w:cs="Calibri"/>
                <w:noProof/>
                <w:color w:val="000000"/>
                <w:lang w:val="es-ES" w:eastAsia="en-GB"/>
              </w:rPr>
              <w:t>Noruega</w:t>
            </w:r>
          </w:p>
        </w:tc>
        <w:tc>
          <w:tcPr>
            <w:tcW w:w="1843" w:type="dxa"/>
            <w:shd w:val="clear" w:color="auto" w:fill="auto"/>
            <w:vAlign w:val="center"/>
            <w:hideMark/>
          </w:tcPr>
          <w:p w14:paraId="42DBA72F" w14:textId="77777777" w:rsidR="00061CBA" w:rsidRPr="00064323" w:rsidRDefault="00061CBA" w:rsidP="009D2CC9">
            <w:pPr>
              <w:keepNext/>
              <w:ind w:left="0" w:firstLine="0"/>
              <w:jc w:val="right"/>
              <w:rPr>
                <w:rFonts w:eastAsia="Times New Roman" w:cs="Calibri"/>
                <w:noProof/>
                <w:color w:val="000000"/>
                <w:lang w:val="es-ES" w:eastAsia="en-GB"/>
              </w:rPr>
            </w:pPr>
            <w:r w:rsidRPr="00064323">
              <w:rPr>
                <w:rFonts w:eastAsia="Times New Roman" w:cs="Calibri"/>
                <w:noProof/>
                <w:color w:val="000000"/>
                <w:lang w:val="es-ES" w:eastAsia="en-GB"/>
              </w:rPr>
              <w:t>18</w:t>
            </w:r>
          </w:p>
        </w:tc>
        <w:tc>
          <w:tcPr>
            <w:tcW w:w="5098" w:type="dxa"/>
            <w:shd w:val="clear" w:color="auto" w:fill="auto"/>
            <w:vAlign w:val="center"/>
            <w:hideMark/>
          </w:tcPr>
          <w:p w14:paraId="7FA998E7" w14:textId="77777777" w:rsidR="00061CBA" w:rsidRPr="00064323" w:rsidRDefault="00061CBA" w:rsidP="009D2CC9">
            <w:pPr>
              <w:keepNext/>
              <w:ind w:left="0" w:firstLine="0"/>
              <w:rPr>
                <w:rFonts w:eastAsia="Times New Roman" w:cs="Calibri"/>
                <w:noProof/>
                <w:color w:val="000000"/>
                <w:lang w:val="es-ES" w:eastAsia="en-GB"/>
              </w:rPr>
            </w:pPr>
            <w:r w:rsidRPr="00064323">
              <w:rPr>
                <w:rFonts w:eastAsia="Times New Roman" w:cs="Calibri"/>
                <w:noProof/>
                <w:color w:val="000000"/>
                <w:lang w:val="es-ES" w:eastAsia="en-GB"/>
              </w:rPr>
              <w:t xml:space="preserve">Inventario de humedales de Haití </w:t>
            </w:r>
          </w:p>
        </w:tc>
      </w:tr>
      <w:tr w:rsidR="00061CBA" w:rsidRPr="001441B9" w14:paraId="449A05E4" w14:textId="77777777" w:rsidTr="00F636DE">
        <w:tc>
          <w:tcPr>
            <w:tcW w:w="2273" w:type="dxa"/>
            <w:shd w:val="clear" w:color="auto" w:fill="auto"/>
            <w:vAlign w:val="center"/>
          </w:tcPr>
          <w:p w14:paraId="63CDF0A1" w14:textId="77777777" w:rsidR="00061CBA" w:rsidRPr="00064323" w:rsidRDefault="00061CBA" w:rsidP="009D2CC9">
            <w:pPr>
              <w:keepNext/>
              <w:ind w:left="0" w:firstLine="0"/>
              <w:rPr>
                <w:rFonts w:eastAsia="Times New Roman" w:cs="Calibri"/>
                <w:noProof/>
                <w:color w:val="000000"/>
                <w:lang w:val="es-ES" w:eastAsia="en-GB"/>
              </w:rPr>
            </w:pPr>
            <w:r w:rsidRPr="00064323">
              <w:rPr>
                <w:rFonts w:eastAsia="Times New Roman" w:cs="Calibri"/>
                <w:noProof/>
                <w:color w:val="000000"/>
                <w:lang w:val="es-ES" w:eastAsia="en-GB"/>
              </w:rPr>
              <w:t>Noruega</w:t>
            </w:r>
          </w:p>
        </w:tc>
        <w:tc>
          <w:tcPr>
            <w:tcW w:w="1843" w:type="dxa"/>
            <w:shd w:val="clear" w:color="auto" w:fill="auto"/>
            <w:vAlign w:val="center"/>
          </w:tcPr>
          <w:p w14:paraId="6E95333E" w14:textId="77777777" w:rsidR="00061CBA" w:rsidRPr="00064323" w:rsidRDefault="00061CBA" w:rsidP="009D2CC9">
            <w:pPr>
              <w:keepNext/>
              <w:ind w:left="0" w:firstLine="0"/>
              <w:jc w:val="right"/>
              <w:rPr>
                <w:rFonts w:eastAsia="Times New Roman" w:cs="Calibri"/>
                <w:noProof/>
                <w:color w:val="000000"/>
                <w:lang w:val="es-ES" w:eastAsia="en-GB"/>
              </w:rPr>
            </w:pPr>
            <w:r w:rsidRPr="00064323">
              <w:rPr>
                <w:rFonts w:eastAsia="Times New Roman" w:cs="Calibri"/>
                <w:noProof/>
                <w:color w:val="000000"/>
                <w:lang w:val="es-ES" w:eastAsia="en-GB"/>
              </w:rPr>
              <w:t>17</w:t>
            </w:r>
          </w:p>
        </w:tc>
        <w:tc>
          <w:tcPr>
            <w:tcW w:w="5098" w:type="dxa"/>
            <w:shd w:val="clear" w:color="auto" w:fill="auto"/>
            <w:vAlign w:val="center"/>
          </w:tcPr>
          <w:p w14:paraId="6CDBBACC" w14:textId="77777777" w:rsidR="00061CBA" w:rsidRPr="00064323" w:rsidRDefault="00061CBA" w:rsidP="009D2CC9">
            <w:pPr>
              <w:keepNext/>
              <w:ind w:left="0" w:firstLine="0"/>
              <w:rPr>
                <w:rFonts w:eastAsia="Times New Roman" w:cs="Calibri"/>
                <w:noProof/>
                <w:color w:val="000000"/>
                <w:lang w:val="es-ES" w:eastAsia="en-GB"/>
              </w:rPr>
            </w:pPr>
            <w:r w:rsidRPr="00064323">
              <w:rPr>
                <w:rFonts w:eastAsia="Times New Roman" w:cs="Calibri"/>
                <w:noProof/>
                <w:color w:val="000000"/>
                <w:lang w:val="es-ES" w:eastAsia="en-GB"/>
              </w:rPr>
              <w:t xml:space="preserve">Curso introductorio sobre la Convención sobre los Humedales </w:t>
            </w:r>
          </w:p>
        </w:tc>
      </w:tr>
      <w:tr w:rsidR="00AD6EB6" w:rsidRPr="00064323" w14:paraId="5D0125E3" w14:textId="77777777" w:rsidTr="00F636DE">
        <w:tc>
          <w:tcPr>
            <w:tcW w:w="2273" w:type="dxa"/>
            <w:shd w:val="clear" w:color="auto" w:fill="DBE5F1" w:themeFill="accent1" w:themeFillTint="33"/>
            <w:vAlign w:val="center"/>
          </w:tcPr>
          <w:p w14:paraId="7432CFFD" w14:textId="14066A3C" w:rsidR="00AD6EB6" w:rsidRPr="009911F5" w:rsidRDefault="00596669" w:rsidP="006B595B">
            <w:pPr>
              <w:ind w:left="0" w:firstLine="0"/>
              <w:rPr>
                <w:rFonts w:eastAsia="Times New Roman" w:cs="Calibri"/>
                <w:b/>
                <w:noProof/>
                <w:lang w:val="es-ES" w:eastAsia="en-GB"/>
              </w:rPr>
            </w:pPr>
            <w:r w:rsidRPr="009911F5">
              <w:rPr>
                <w:b/>
                <w:noProof/>
                <w:lang w:val="es-ES"/>
              </w:rPr>
              <w:t xml:space="preserve">Total, </w:t>
            </w:r>
            <w:r w:rsidR="00061CBA" w:rsidRPr="009911F5">
              <w:rPr>
                <w:b/>
                <w:noProof/>
                <w:lang w:val="es-ES"/>
              </w:rPr>
              <w:t>Ingresos para proyectos</w:t>
            </w:r>
          </w:p>
        </w:tc>
        <w:tc>
          <w:tcPr>
            <w:tcW w:w="1843" w:type="dxa"/>
            <w:shd w:val="clear" w:color="auto" w:fill="DBE5F1" w:themeFill="accent1" w:themeFillTint="33"/>
            <w:vAlign w:val="center"/>
          </w:tcPr>
          <w:p w14:paraId="5C621A1D" w14:textId="2ECCDFBF" w:rsidR="00AD6EB6" w:rsidRPr="00064323" w:rsidRDefault="00FD2082" w:rsidP="003A6DE6">
            <w:pPr>
              <w:ind w:left="0" w:firstLine="0"/>
              <w:jc w:val="right"/>
              <w:rPr>
                <w:rFonts w:eastAsia="Times New Roman" w:cs="Calibri"/>
                <w:b/>
                <w:noProof/>
                <w:lang w:val="es-ES" w:eastAsia="en-GB"/>
              </w:rPr>
            </w:pPr>
            <w:r w:rsidRPr="00064323">
              <w:rPr>
                <w:rFonts w:eastAsia="Times New Roman" w:cs="Calibri"/>
                <w:b/>
                <w:noProof/>
                <w:lang w:val="es-ES" w:eastAsia="en-GB"/>
              </w:rPr>
              <w:t>462</w:t>
            </w:r>
          </w:p>
        </w:tc>
        <w:tc>
          <w:tcPr>
            <w:tcW w:w="5098" w:type="dxa"/>
            <w:shd w:val="clear" w:color="auto" w:fill="DBE5F1" w:themeFill="accent1" w:themeFillTint="33"/>
            <w:vAlign w:val="center"/>
          </w:tcPr>
          <w:p w14:paraId="3A90B875" w14:textId="77777777" w:rsidR="00AD6EB6" w:rsidRPr="00064323" w:rsidRDefault="00AD6EB6" w:rsidP="00162710">
            <w:pPr>
              <w:ind w:left="0" w:firstLine="0"/>
              <w:rPr>
                <w:rFonts w:eastAsia="Times New Roman" w:cs="Calibri"/>
                <w:noProof/>
                <w:color w:val="000000"/>
                <w:lang w:val="es-ES" w:eastAsia="en-GB"/>
              </w:rPr>
            </w:pPr>
          </w:p>
        </w:tc>
      </w:tr>
    </w:tbl>
    <w:p w14:paraId="101756F3" w14:textId="77777777" w:rsidR="003B5828" w:rsidRPr="00064323" w:rsidRDefault="003B5828" w:rsidP="00BB5F26">
      <w:pPr>
        <w:ind w:left="0" w:firstLine="0"/>
        <w:rPr>
          <w:noProof/>
          <w:highlight w:val="yellow"/>
          <w:lang w:val="es-ES"/>
        </w:rPr>
      </w:pPr>
    </w:p>
    <w:p w14:paraId="54593E5F" w14:textId="77777777" w:rsidR="00447BC3" w:rsidRPr="00064323" w:rsidRDefault="00447BC3" w:rsidP="00162710">
      <w:pPr>
        <w:rPr>
          <w:noProof/>
          <w:highlight w:val="yellow"/>
          <w:lang w:val="es-ES"/>
        </w:rPr>
      </w:pPr>
    </w:p>
    <w:p w14:paraId="4EA33AEE" w14:textId="35AB6272" w:rsidR="00700D66" w:rsidRPr="00064323" w:rsidRDefault="00523B6B" w:rsidP="00162710">
      <w:pPr>
        <w:rPr>
          <w:noProof/>
          <w:lang w:val="es-ES"/>
        </w:rPr>
      </w:pPr>
      <w:r w:rsidRPr="00064323">
        <w:rPr>
          <w:noProof/>
          <w:lang w:val="es-ES"/>
        </w:rPr>
        <w:t>2</w:t>
      </w:r>
      <w:r w:rsidR="004D0989" w:rsidRPr="00064323">
        <w:rPr>
          <w:noProof/>
          <w:lang w:val="es-ES"/>
        </w:rPr>
        <w:t>7</w:t>
      </w:r>
      <w:r w:rsidR="00051ADC" w:rsidRPr="00064323">
        <w:rPr>
          <w:noProof/>
          <w:lang w:val="es-ES"/>
        </w:rPr>
        <w:t>.</w:t>
      </w:r>
      <w:r w:rsidR="005E525C" w:rsidRPr="00064323">
        <w:rPr>
          <w:noProof/>
          <w:lang w:val="es-ES"/>
        </w:rPr>
        <w:t xml:space="preserve"> </w:t>
      </w:r>
      <w:r w:rsidR="005E525C" w:rsidRPr="00064323">
        <w:rPr>
          <w:noProof/>
          <w:lang w:val="es-ES"/>
        </w:rPr>
        <w:tab/>
      </w:r>
      <w:r w:rsidR="00735343">
        <w:rPr>
          <w:noProof/>
          <w:lang w:val="es-ES"/>
        </w:rPr>
        <w:t>Se registró</w:t>
      </w:r>
      <w:r w:rsidR="00700D66" w:rsidRPr="00064323">
        <w:rPr>
          <w:noProof/>
          <w:lang w:val="es-ES"/>
        </w:rPr>
        <w:t xml:space="preserve"> un </w:t>
      </w:r>
      <w:r w:rsidR="00EB1A19">
        <w:rPr>
          <w:noProof/>
          <w:lang w:val="es-ES"/>
        </w:rPr>
        <w:t>incremento</w:t>
      </w:r>
      <w:r w:rsidR="00700D66" w:rsidRPr="00064323">
        <w:rPr>
          <w:noProof/>
          <w:lang w:val="es-ES"/>
        </w:rPr>
        <w:t xml:space="preserve"> </w:t>
      </w:r>
      <w:r w:rsidR="00735343">
        <w:rPr>
          <w:noProof/>
          <w:lang w:val="es-ES"/>
        </w:rPr>
        <w:t>en</w:t>
      </w:r>
      <w:r w:rsidR="00700D66" w:rsidRPr="00064323">
        <w:rPr>
          <w:noProof/>
          <w:lang w:val="es-ES"/>
        </w:rPr>
        <w:t xml:space="preserve"> las contribuciones voluntarias complementarias en comparación con 2020. Este aumento es el resultado de la reanudación de las actividades (las contribuciones ascendieron a 47 000 francos suizos en 2020).</w:t>
      </w:r>
    </w:p>
    <w:p w14:paraId="3248ACCF" w14:textId="77777777" w:rsidR="003B5828" w:rsidRPr="00064323" w:rsidRDefault="003B5828" w:rsidP="00700D66">
      <w:pPr>
        <w:ind w:left="0" w:firstLine="0"/>
        <w:rPr>
          <w:noProof/>
          <w:lang w:val="es-ES"/>
        </w:rPr>
      </w:pPr>
    </w:p>
    <w:p w14:paraId="530D1FF9" w14:textId="3625BBD6" w:rsidR="00700D66" w:rsidRPr="00064323" w:rsidRDefault="00523B6B" w:rsidP="00051ADC">
      <w:pPr>
        <w:rPr>
          <w:noProof/>
          <w:lang w:val="es-ES"/>
        </w:rPr>
      </w:pPr>
      <w:r w:rsidRPr="00064323">
        <w:rPr>
          <w:noProof/>
          <w:lang w:val="es-ES"/>
        </w:rPr>
        <w:t>2</w:t>
      </w:r>
      <w:r w:rsidR="004D0989" w:rsidRPr="00064323">
        <w:rPr>
          <w:noProof/>
          <w:lang w:val="es-ES"/>
        </w:rPr>
        <w:t>8</w:t>
      </w:r>
      <w:r w:rsidR="00B10EA9" w:rsidRPr="00064323">
        <w:rPr>
          <w:noProof/>
          <w:lang w:val="es-ES"/>
        </w:rPr>
        <w:t>.</w:t>
      </w:r>
      <w:r w:rsidR="00B10EA9" w:rsidRPr="00064323">
        <w:rPr>
          <w:noProof/>
          <w:lang w:val="es-ES"/>
        </w:rPr>
        <w:tab/>
      </w:r>
      <w:r w:rsidR="00700D66" w:rsidRPr="00064323">
        <w:rPr>
          <w:noProof/>
          <w:lang w:val="es-ES"/>
        </w:rPr>
        <w:t xml:space="preserve">En 2021 se renovó el acuerdo de </w:t>
      </w:r>
      <w:r w:rsidR="00EB1A19">
        <w:rPr>
          <w:noProof/>
          <w:lang w:val="es-ES"/>
        </w:rPr>
        <w:t>colaboración</w:t>
      </w:r>
      <w:r w:rsidR="00700D66" w:rsidRPr="00064323">
        <w:rPr>
          <w:noProof/>
          <w:lang w:val="es-ES"/>
        </w:rPr>
        <w:t xml:space="preserve"> con Danone </w:t>
      </w:r>
      <w:r w:rsidR="00735343">
        <w:rPr>
          <w:noProof/>
          <w:lang w:val="es-ES"/>
        </w:rPr>
        <w:t>y se firmó</w:t>
      </w:r>
      <w:r w:rsidR="00700D66" w:rsidRPr="00064323">
        <w:rPr>
          <w:noProof/>
          <w:lang w:val="es-ES"/>
        </w:rPr>
        <w:t xml:space="preserve"> un nuevo </w:t>
      </w:r>
      <w:r w:rsidR="00735343">
        <w:rPr>
          <w:noProof/>
          <w:lang w:val="es-ES"/>
        </w:rPr>
        <w:t>contrato</w:t>
      </w:r>
      <w:r w:rsidR="00700D66" w:rsidRPr="00064323">
        <w:rPr>
          <w:noProof/>
          <w:lang w:val="es-ES"/>
        </w:rPr>
        <w:t xml:space="preserve"> de tres años para aumentar la visibilidad </w:t>
      </w:r>
      <w:r w:rsidR="009108C7" w:rsidRPr="00064323">
        <w:rPr>
          <w:noProof/>
          <w:lang w:val="es-ES"/>
        </w:rPr>
        <w:t>a escala mundial</w:t>
      </w:r>
      <w:r w:rsidR="00700D66" w:rsidRPr="00064323">
        <w:rPr>
          <w:noProof/>
          <w:lang w:val="es-ES"/>
        </w:rPr>
        <w:t xml:space="preserve"> y la comprensión de los humedales entre los responsables </w:t>
      </w:r>
      <w:r w:rsidR="00EB1A19">
        <w:rPr>
          <w:noProof/>
          <w:lang w:val="es-ES"/>
        </w:rPr>
        <w:t>de la toma de decisiones de</w:t>
      </w:r>
      <w:r w:rsidR="00700D66" w:rsidRPr="00064323">
        <w:rPr>
          <w:noProof/>
          <w:lang w:val="es-ES"/>
        </w:rPr>
        <w:t>l sector público y privado.</w:t>
      </w:r>
    </w:p>
    <w:p w14:paraId="6EF050AC" w14:textId="77777777" w:rsidR="00E012F0" w:rsidRPr="00064323" w:rsidRDefault="00E012F0" w:rsidP="009108C7">
      <w:pPr>
        <w:ind w:left="0" w:firstLine="0"/>
        <w:rPr>
          <w:noProof/>
          <w:lang w:val="es-ES"/>
        </w:rPr>
      </w:pPr>
    </w:p>
    <w:p w14:paraId="45B1C674" w14:textId="7B5B24B4" w:rsidR="005A4621" w:rsidRPr="00064323" w:rsidRDefault="00523B6B" w:rsidP="005A4621">
      <w:pPr>
        <w:rPr>
          <w:noProof/>
          <w:lang w:val="es-ES"/>
        </w:rPr>
      </w:pPr>
      <w:r w:rsidRPr="00064323">
        <w:rPr>
          <w:noProof/>
          <w:lang w:val="es-ES"/>
        </w:rPr>
        <w:t>2</w:t>
      </w:r>
      <w:r w:rsidR="004D0989" w:rsidRPr="00064323">
        <w:rPr>
          <w:noProof/>
          <w:lang w:val="es-ES"/>
        </w:rPr>
        <w:t>9</w:t>
      </w:r>
      <w:r w:rsidR="00B10EA9" w:rsidRPr="00064323">
        <w:rPr>
          <w:noProof/>
          <w:lang w:val="es-ES"/>
        </w:rPr>
        <w:t>.</w:t>
      </w:r>
      <w:r w:rsidR="006114F4" w:rsidRPr="00064323">
        <w:rPr>
          <w:noProof/>
          <w:lang w:val="es-ES"/>
        </w:rPr>
        <w:tab/>
      </w:r>
      <w:r w:rsidR="005A4621" w:rsidRPr="00064323">
        <w:rPr>
          <w:noProof/>
          <w:lang w:val="es-ES"/>
        </w:rPr>
        <w:t xml:space="preserve">Se ha contactado </w:t>
      </w:r>
      <w:r w:rsidR="00C80A3E" w:rsidRPr="00064323">
        <w:rPr>
          <w:noProof/>
          <w:lang w:val="es-ES"/>
        </w:rPr>
        <w:t>a</w:t>
      </w:r>
      <w:r w:rsidR="005A4621" w:rsidRPr="00064323">
        <w:rPr>
          <w:noProof/>
          <w:lang w:val="es-ES"/>
        </w:rPr>
        <w:t xml:space="preserve"> las Partes Contratantes y otros posibles donantes en relación con la financiación de otras partidas presupuestarias prioritarias </w:t>
      </w:r>
      <w:r w:rsidR="00EB1A19">
        <w:rPr>
          <w:noProof/>
          <w:lang w:val="es-ES"/>
        </w:rPr>
        <w:t>complementarias,</w:t>
      </w:r>
      <w:r w:rsidR="005A4621" w:rsidRPr="00064323">
        <w:rPr>
          <w:noProof/>
          <w:lang w:val="es-ES"/>
        </w:rPr>
        <w:t xml:space="preserve"> identificadas en el Anexo 3 de la Resolución XIII.2. En este sentido, una de las principales prioridades que las Partes deben tener en cuenta en 2022 es la financiación de </w:t>
      </w:r>
      <w:r w:rsidR="005A4621" w:rsidRPr="00064323">
        <w:rPr>
          <w:noProof/>
          <w:color w:val="000000" w:themeColor="text1"/>
          <w:lang w:val="es-ES"/>
        </w:rPr>
        <w:t xml:space="preserve">la COP14, </w:t>
      </w:r>
      <w:r w:rsidR="00735343">
        <w:rPr>
          <w:noProof/>
          <w:color w:val="000000" w:themeColor="text1"/>
          <w:lang w:val="es-ES"/>
        </w:rPr>
        <w:t>en especial</w:t>
      </w:r>
      <w:r w:rsidR="005A4621" w:rsidRPr="00064323">
        <w:rPr>
          <w:noProof/>
          <w:color w:val="000000" w:themeColor="text1"/>
          <w:lang w:val="es-ES"/>
        </w:rPr>
        <w:t xml:space="preserve"> </w:t>
      </w:r>
      <w:r w:rsidR="00735343">
        <w:rPr>
          <w:noProof/>
          <w:color w:val="000000" w:themeColor="text1"/>
          <w:lang w:val="es-ES"/>
        </w:rPr>
        <w:t>en lo relativo a</w:t>
      </w:r>
      <w:r w:rsidR="005A4621" w:rsidRPr="00064323">
        <w:rPr>
          <w:noProof/>
          <w:color w:val="000000" w:themeColor="text1"/>
          <w:lang w:val="es-ES"/>
        </w:rPr>
        <w:t xml:space="preserve"> la participación de los delegados patrocinados. La Secretaría </w:t>
      </w:r>
      <w:r w:rsidR="00501606">
        <w:rPr>
          <w:noProof/>
          <w:color w:val="000000" w:themeColor="text1"/>
          <w:lang w:val="es-ES"/>
        </w:rPr>
        <w:t>acogería con agrado</w:t>
      </w:r>
      <w:r w:rsidR="005A4621" w:rsidRPr="00064323">
        <w:rPr>
          <w:noProof/>
          <w:color w:val="000000" w:themeColor="text1"/>
          <w:lang w:val="es-ES"/>
        </w:rPr>
        <w:t xml:space="preserve"> </w:t>
      </w:r>
      <w:r w:rsidR="005A4621" w:rsidRPr="00064323">
        <w:rPr>
          <w:noProof/>
          <w:lang w:val="es-ES"/>
        </w:rPr>
        <w:t xml:space="preserve">que las Partes le </w:t>
      </w:r>
      <w:r w:rsidR="00C80A3E" w:rsidRPr="00064323">
        <w:rPr>
          <w:noProof/>
          <w:lang w:val="es-ES"/>
        </w:rPr>
        <w:t>aportaran</w:t>
      </w:r>
      <w:r w:rsidR="005A4621" w:rsidRPr="00064323">
        <w:rPr>
          <w:noProof/>
          <w:lang w:val="es-ES"/>
        </w:rPr>
        <w:t xml:space="preserve"> orientaciones sobre posibles donantes </w:t>
      </w:r>
      <w:r w:rsidR="0013340F">
        <w:rPr>
          <w:noProof/>
          <w:lang w:val="es-ES"/>
        </w:rPr>
        <w:t>para</w:t>
      </w:r>
      <w:r w:rsidR="005A4621" w:rsidRPr="00064323">
        <w:rPr>
          <w:noProof/>
          <w:color w:val="000000" w:themeColor="text1"/>
          <w:lang w:val="es-ES"/>
        </w:rPr>
        <w:t xml:space="preserve"> sufragar </w:t>
      </w:r>
      <w:r w:rsidR="00012428">
        <w:rPr>
          <w:noProof/>
          <w:color w:val="000000" w:themeColor="text1"/>
          <w:lang w:val="es-ES"/>
        </w:rPr>
        <w:t xml:space="preserve">los </w:t>
      </w:r>
      <w:r w:rsidR="00501606">
        <w:rPr>
          <w:noProof/>
          <w:color w:val="000000" w:themeColor="text1"/>
          <w:lang w:val="es-ES"/>
        </w:rPr>
        <w:t>gastos</w:t>
      </w:r>
      <w:r w:rsidR="005A4621" w:rsidRPr="00064323">
        <w:rPr>
          <w:noProof/>
          <w:color w:val="000000" w:themeColor="text1"/>
          <w:lang w:val="es-ES"/>
        </w:rPr>
        <w:t xml:space="preserve"> de viaje</w:t>
      </w:r>
      <w:r w:rsidR="00012428">
        <w:rPr>
          <w:noProof/>
          <w:color w:val="000000" w:themeColor="text1"/>
          <w:lang w:val="es-ES"/>
        </w:rPr>
        <w:t>,</w:t>
      </w:r>
      <w:r w:rsidR="005A4621" w:rsidRPr="00064323">
        <w:rPr>
          <w:noProof/>
          <w:color w:val="000000" w:themeColor="text1"/>
          <w:lang w:val="es-ES"/>
        </w:rPr>
        <w:t xml:space="preserve"> </w:t>
      </w:r>
      <w:r w:rsidR="00012428">
        <w:rPr>
          <w:noProof/>
          <w:color w:val="000000" w:themeColor="text1"/>
          <w:lang w:val="es-ES"/>
        </w:rPr>
        <w:t>a fin de</w:t>
      </w:r>
      <w:r w:rsidR="005A4621" w:rsidRPr="00064323">
        <w:rPr>
          <w:noProof/>
          <w:color w:val="000000" w:themeColor="text1"/>
          <w:lang w:val="es-ES"/>
        </w:rPr>
        <w:t xml:space="preserve"> garantizar la participación de todas las Partes Contratantes en la COP14</w:t>
      </w:r>
      <w:r w:rsidR="005A4621" w:rsidRPr="00064323">
        <w:rPr>
          <w:noProof/>
          <w:lang w:val="es-ES"/>
        </w:rPr>
        <w:t>. La Secretaría ha realizado estimaciones de financiación que figuran en los párrafos 40 y 41, más abajo</w:t>
      </w:r>
      <w:r w:rsidR="00012428">
        <w:rPr>
          <w:noProof/>
          <w:lang w:val="es-ES"/>
        </w:rPr>
        <w:t>,</w:t>
      </w:r>
      <w:r w:rsidR="005A4621" w:rsidRPr="00064323">
        <w:rPr>
          <w:noProof/>
          <w:lang w:val="es-ES"/>
        </w:rPr>
        <w:t xml:space="preserve"> y hará todo lo posible </w:t>
      </w:r>
      <w:r w:rsidR="00012428">
        <w:rPr>
          <w:noProof/>
          <w:lang w:val="es-ES"/>
        </w:rPr>
        <w:t>por</w:t>
      </w:r>
      <w:r w:rsidR="005A4621" w:rsidRPr="00064323">
        <w:rPr>
          <w:noProof/>
          <w:lang w:val="es-ES"/>
        </w:rPr>
        <w:t xml:space="preserve"> movilizar recursos </w:t>
      </w:r>
      <w:r w:rsidR="00501606">
        <w:rPr>
          <w:noProof/>
          <w:lang w:val="es-ES"/>
        </w:rPr>
        <w:t>para</w:t>
      </w:r>
      <w:r w:rsidR="005A4621" w:rsidRPr="00064323">
        <w:rPr>
          <w:noProof/>
          <w:lang w:val="es-ES"/>
        </w:rPr>
        <w:t xml:space="preserve"> </w:t>
      </w:r>
      <w:r w:rsidR="0013340F">
        <w:rPr>
          <w:noProof/>
          <w:lang w:val="es-ES"/>
        </w:rPr>
        <w:t>que los</w:t>
      </w:r>
      <w:r w:rsidR="00501606" w:rsidRPr="00064323">
        <w:rPr>
          <w:noProof/>
          <w:lang w:val="es-ES"/>
        </w:rPr>
        <w:t xml:space="preserve"> delegados patrocinados </w:t>
      </w:r>
      <w:r w:rsidR="0013340F">
        <w:rPr>
          <w:noProof/>
          <w:lang w:val="es-ES"/>
        </w:rPr>
        <w:t xml:space="preserve">participen </w:t>
      </w:r>
      <w:r w:rsidR="005A4621" w:rsidRPr="00064323">
        <w:rPr>
          <w:noProof/>
          <w:lang w:val="es-ES"/>
        </w:rPr>
        <w:t xml:space="preserve">en la reunión. La Secretaría considera que es importante </w:t>
      </w:r>
      <w:r w:rsidR="0013340F">
        <w:rPr>
          <w:noProof/>
          <w:lang w:val="es-ES"/>
        </w:rPr>
        <w:t>identificar</w:t>
      </w:r>
      <w:r w:rsidR="005A4621" w:rsidRPr="00064323">
        <w:rPr>
          <w:noProof/>
          <w:lang w:val="es-ES"/>
        </w:rPr>
        <w:t xml:space="preserve"> posibles </w:t>
      </w:r>
      <w:r w:rsidR="00501606" w:rsidRPr="00064323">
        <w:rPr>
          <w:noProof/>
          <w:lang w:val="es-ES"/>
        </w:rPr>
        <w:t xml:space="preserve">opciones </w:t>
      </w:r>
      <w:r w:rsidR="0013340F">
        <w:rPr>
          <w:noProof/>
          <w:lang w:val="es-ES"/>
        </w:rPr>
        <w:t xml:space="preserve">de contingencia </w:t>
      </w:r>
      <w:r w:rsidR="005A4621" w:rsidRPr="00064323">
        <w:rPr>
          <w:noProof/>
          <w:lang w:val="es-ES"/>
        </w:rPr>
        <w:t xml:space="preserve">para garantizar que todas las Partes puedan participar en la COP14, teniendo en cuenta el </w:t>
      </w:r>
      <w:r w:rsidR="00012428">
        <w:rPr>
          <w:noProof/>
          <w:lang w:val="es-ES"/>
        </w:rPr>
        <w:t>gran</w:t>
      </w:r>
      <w:r w:rsidR="005A4621" w:rsidRPr="00064323">
        <w:rPr>
          <w:noProof/>
          <w:lang w:val="es-ES"/>
        </w:rPr>
        <w:t xml:space="preserve"> número de reuniones internacionales que </w:t>
      </w:r>
      <w:r w:rsidR="00501606">
        <w:rPr>
          <w:noProof/>
          <w:lang w:val="es-ES"/>
        </w:rPr>
        <w:t>se celebrarán</w:t>
      </w:r>
      <w:r w:rsidR="005A4621" w:rsidRPr="00064323">
        <w:rPr>
          <w:noProof/>
          <w:lang w:val="es-ES"/>
        </w:rPr>
        <w:t xml:space="preserve"> en 2022 para las que se recaudarán fondos similares, </w:t>
      </w:r>
      <w:r w:rsidR="00012428">
        <w:rPr>
          <w:noProof/>
          <w:lang w:val="es-ES"/>
        </w:rPr>
        <w:t xml:space="preserve">así como </w:t>
      </w:r>
      <w:r w:rsidR="005A4621" w:rsidRPr="00064323">
        <w:rPr>
          <w:noProof/>
          <w:lang w:val="es-ES"/>
        </w:rPr>
        <w:t xml:space="preserve">las repercusiones económicas </w:t>
      </w:r>
      <w:r w:rsidR="00501606">
        <w:rPr>
          <w:noProof/>
          <w:lang w:val="es-ES"/>
        </w:rPr>
        <w:t xml:space="preserve">derivadas </w:t>
      </w:r>
      <w:r w:rsidR="005A4621" w:rsidRPr="00064323">
        <w:rPr>
          <w:noProof/>
          <w:lang w:val="es-ES"/>
        </w:rPr>
        <w:t>del COVID-19.</w:t>
      </w:r>
    </w:p>
    <w:p w14:paraId="6A91A709" w14:textId="41349A30" w:rsidR="008267C6" w:rsidRPr="00064323" w:rsidRDefault="008267C6" w:rsidP="00C80A3E">
      <w:pPr>
        <w:ind w:left="0" w:firstLine="0"/>
        <w:rPr>
          <w:noProof/>
          <w:lang w:val="es-ES"/>
        </w:rPr>
      </w:pPr>
    </w:p>
    <w:p w14:paraId="2E3BCE67" w14:textId="2C6166E5" w:rsidR="00C80A3E" w:rsidRPr="00064323" w:rsidRDefault="004D0989" w:rsidP="006E2F73">
      <w:pPr>
        <w:rPr>
          <w:noProof/>
          <w:lang w:val="es-ES"/>
        </w:rPr>
      </w:pPr>
      <w:r w:rsidRPr="00064323">
        <w:rPr>
          <w:noProof/>
          <w:lang w:val="es-ES"/>
        </w:rPr>
        <w:t>30</w:t>
      </w:r>
      <w:r w:rsidR="006E2F73" w:rsidRPr="00064323">
        <w:rPr>
          <w:noProof/>
          <w:lang w:val="es-ES"/>
        </w:rPr>
        <w:t>.</w:t>
      </w:r>
      <w:r w:rsidR="006E2F73" w:rsidRPr="00064323">
        <w:rPr>
          <w:noProof/>
          <w:lang w:val="es-ES"/>
        </w:rPr>
        <w:tab/>
      </w:r>
      <w:r w:rsidR="00C80A3E" w:rsidRPr="00064323">
        <w:rPr>
          <w:noProof/>
          <w:lang w:val="es-ES"/>
        </w:rPr>
        <w:t>Según lo dispuesto en la Decisión SC57-51, la Secretaría ha tomado medidas para eliminar gradualmente el programa del Fondo de Pequeñas Subvenciones asignando fondos a los cuatro proyectos aprobados en esta Decisión. Tres proyectos se han concluido en 2021, mientras que un proyecto recibirá el último desembolso tras la recepción y el examen satisfactorios del informe final del proyecto en 2022.</w:t>
      </w:r>
    </w:p>
    <w:p w14:paraId="594A4025" w14:textId="77777777" w:rsidR="006B6F03" w:rsidRPr="00064323" w:rsidRDefault="006B6F03" w:rsidP="006E2F73">
      <w:pPr>
        <w:rPr>
          <w:noProof/>
          <w:lang w:val="es-ES"/>
        </w:rPr>
      </w:pPr>
    </w:p>
    <w:p w14:paraId="53405D45" w14:textId="482A8633" w:rsidR="00C80A3E" w:rsidRPr="00064323" w:rsidRDefault="004D0989" w:rsidP="00162710">
      <w:pPr>
        <w:rPr>
          <w:noProof/>
          <w:lang w:val="es-ES"/>
        </w:rPr>
      </w:pPr>
      <w:r w:rsidRPr="00064323">
        <w:rPr>
          <w:noProof/>
          <w:lang w:val="es-ES"/>
        </w:rPr>
        <w:t>31</w:t>
      </w:r>
      <w:r w:rsidR="00B10EA9" w:rsidRPr="00064323">
        <w:rPr>
          <w:noProof/>
          <w:lang w:val="es-ES"/>
        </w:rPr>
        <w:t>.</w:t>
      </w:r>
      <w:r w:rsidR="00B10EA9" w:rsidRPr="00064323">
        <w:rPr>
          <w:noProof/>
          <w:lang w:val="es-ES"/>
        </w:rPr>
        <w:tab/>
      </w:r>
      <w:r w:rsidR="00C80A3E" w:rsidRPr="00064323">
        <w:rPr>
          <w:noProof/>
          <w:lang w:val="es-ES"/>
        </w:rPr>
        <w:t>La Secretaría desea expresar su sincero agradecimiento a las Partes Contratantes y a los donantes por sus contribuciones voluntarias a las actividades no financiadas con cargo al presupuesto básico de la Convención.</w:t>
      </w:r>
    </w:p>
    <w:p w14:paraId="57EED139" w14:textId="77777777" w:rsidR="007768A1" w:rsidRPr="00064323" w:rsidRDefault="007768A1" w:rsidP="00C80A3E">
      <w:pPr>
        <w:pStyle w:val="NoSpacing"/>
        <w:ind w:left="0" w:firstLine="0"/>
        <w:rPr>
          <w:b/>
          <w:noProof/>
          <w:lang w:val="es-ES"/>
        </w:rPr>
      </w:pPr>
    </w:p>
    <w:p w14:paraId="1930C08A" w14:textId="77777777" w:rsidR="00C80A3E" w:rsidRPr="00064323" w:rsidRDefault="00C80A3E" w:rsidP="00C80A3E">
      <w:pPr>
        <w:pStyle w:val="ListParagraph"/>
        <w:ind w:left="426" w:hanging="426"/>
        <w:rPr>
          <w:i/>
          <w:noProof/>
          <w:lang w:val="es-ES"/>
        </w:rPr>
      </w:pPr>
      <w:r w:rsidRPr="00830E41">
        <w:rPr>
          <w:i/>
          <w:noProof/>
          <w:lang w:val="es-ES"/>
        </w:rPr>
        <w:t>Contribuciones voluntarias de países africanos</w:t>
      </w:r>
    </w:p>
    <w:p w14:paraId="6C3D0F1C" w14:textId="77777777" w:rsidR="00A42238" w:rsidRPr="00064323" w:rsidRDefault="00A42238" w:rsidP="00043287">
      <w:pPr>
        <w:pStyle w:val="NoSpacing"/>
        <w:keepNext/>
        <w:rPr>
          <w:b/>
          <w:noProof/>
          <w:lang w:val="es-ES"/>
        </w:rPr>
      </w:pPr>
    </w:p>
    <w:p w14:paraId="141792DD" w14:textId="368FAAFE" w:rsidR="00E22AFE" w:rsidRPr="00064323" w:rsidRDefault="004D0989" w:rsidP="00162710">
      <w:pPr>
        <w:rPr>
          <w:noProof/>
          <w:lang w:val="es-ES"/>
        </w:rPr>
      </w:pPr>
      <w:r w:rsidRPr="00064323">
        <w:rPr>
          <w:noProof/>
          <w:lang w:val="es-ES"/>
        </w:rPr>
        <w:t>32</w:t>
      </w:r>
      <w:r w:rsidR="00B10EA9" w:rsidRPr="00064323">
        <w:rPr>
          <w:noProof/>
          <w:lang w:val="es-ES"/>
        </w:rPr>
        <w:t>.</w:t>
      </w:r>
      <w:r w:rsidR="00B10EA9" w:rsidRPr="00064323">
        <w:rPr>
          <w:noProof/>
          <w:lang w:val="es-ES"/>
        </w:rPr>
        <w:tab/>
      </w:r>
      <w:r w:rsidR="00E22AFE" w:rsidRPr="00064323">
        <w:rPr>
          <w:noProof/>
          <w:lang w:val="es-ES"/>
        </w:rPr>
        <w:t>En 2021, se recibió una contribución voluntaria neta de 11 000 francos suizos de las Partes Contratantes de la región de África.</w:t>
      </w:r>
    </w:p>
    <w:p w14:paraId="3D65B5A9" w14:textId="77777777" w:rsidR="00D87A0A" w:rsidRPr="00064323" w:rsidRDefault="00D87A0A" w:rsidP="00162710">
      <w:pPr>
        <w:rPr>
          <w:noProof/>
          <w:lang w:val="es-ES"/>
        </w:rPr>
      </w:pPr>
    </w:p>
    <w:p w14:paraId="58E79E78" w14:textId="2412EEAB" w:rsidR="00E22AFE" w:rsidRPr="00064323" w:rsidRDefault="004D0989" w:rsidP="00E22AFE">
      <w:pPr>
        <w:rPr>
          <w:noProof/>
          <w:lang w:val="es-ES"/>
        </w:rPr>
      </w:pPr>
      <w:r w:rsidRPr="00064323">
        <w:rPr>
          <w:noProof/>
          <w:lang w:val="es-ES"/>
        </w:rPr>
        <w:t>33</w:t>
      </w:r>
      <w:r w:rsidR="00DA6FAA" w:rsidRPr="00064323">
        <w:rPr>
          <w:noProof/>
          <w:lang w:val="es-ES"/>
        </w:rPr>
        <w:t>.</w:t>
      </w:r>
      <w:r w:rsidR="00DA6FAA" w:rsidRPr="00064323">
        <w:rPr>
          <w:noProof/>
          <w:lang w:val="es-ES"/>
        </w:rPr>
        <w:tab/>
      </w:r>
      <w:r w:rsidR="00E22AFE" w:rsidRPr="00064323">
        <w:rPr>
          <w:noProof/>
          <w:lang w:val="es-ES"/>
        </w:rPr>
        <w:t xml:space="preserve">De conformidad con la Decisión SC58-16 y sobre la base del saldo de las contribuciones examinadas por el Comité Permanente a finales de 2018, la Secretaría </w:t>
      </w:r>
      <w:r w:rsidR="00A1363E" w:rsidRPr="00064323">
        <w:rPr>
          <w:noProof/>
          <w:lang w:val="es-ES"/>
        </w:rPr>
        <w:t>comprometió</w:t>
      </w:r>
      <w:r w:rsidR="00E22AFE" w:rsidRPr="00064323">
        <w:rPr>
          <w:noProof/>
          <w:lang w:val="es-ES"/>
        </w:rPr>
        <w:t xml:space="preserve"> fondos por un total de 91</w:t>
      </w:r>
      <w:r w:rsidR="0025690B" w:rsidRPr="00064323">
        <w:rPr>
          <w:noProof/>
          <w:lang w:val="es-ES"/>
        </w:rPr>
        <w:t xml:space="preserve"> 000 francos suizos </w:t>
      </w:r>
      <w:r w:rsidR="00A1363E" w:rsidRPr="00064323">
        <w:rPr>
          <w:noProof/>
          <w:lang w:val="es-ES"/>
        </w:rPr>
        <w:t xml:space="preserve">que se </w:t>
      </w:r>
      <w:r w:rsidR="00E22AFE" w:rsidRPr="00064323">
        <w:rPr>
          <w:noProof/>
          <w:lang w:val="es-ES"/>
        </w:rPr>
        <w:t>asigna</w:t>
      </w:r>
      <w:r w:rsidR="00A1363E" w:rsidRPr="00064323">
        <w:rPr>
          <w:noProof/>
          <w:lang w:val="es-ES"/>
        </w:rPr>
        <w:t>ron</w:t>
      </w:r>
      <w:r w:rsidR="00E22AFE" w:rsidRPr="00064323">
        <w:rPr>
          <w:noProof/>
          <w:lang w:val="es-ES"/>
        </w:rPr>
        <w:t xml:space="preserve"> a las </w:t>
      </w:r>
      <w:r w:rsidR="0025690B" w:rsidRPr="00064323">
        <w:rPr>
          <w:noProof/>
          <w:lang w:val="es-ES"/>
        </w:rPr>
        <w:t>i</w:t>
      </w:r>
      <w:r w:rsidR="00E22AFE" w:rsidRPr="00064323">
        <w:rPr>
          <w:noProof/>
          <w:lang w:val="es-ES"/>
        </w:rPr>
        <w:t xml:space="preserve">niciativas </w:t>
      </w:r>
      <w:r w:rsidR="0025690B" w:rsidRPr="00064323">
        <w:rPr>
          <w:noProof/>
          <w:lang w:val="es-ES"/>
        </w:rPr>
        <w:t>r</w:t>
      </w:r>
      <w:r w:rsidR="00E22AFE" w:rsidRPr="00064323">
        <w:rPr>
          <w:noProof/>
          <w:lang w:val="es-ES"/>
        </w:rPr>
        <w:t>egionales de Ramsar en África</w:t>
      </w:r>
      <w:r w:rsidR="0025690B" w:rsidRPr="00064323">
        <w:rPr>
          <w:noProof/>
          <w:lang w:val="es-ES"/>
        </w:rPr>
        <w:t>, como sigue</w:t>
      </w:r>
      <w:r w:rsidR="00E22AFE" w:rsidRPr="00064323">
        <w:rPr>
          <w:noProof/>
          <w:lang w:val="es-ES"/>
        </w:rPr>
        <w:t>: 30</w:t>
      </w:r>
      <w:r w:rsidR="0025690B" w:rsidRPr="00064323">
        <w:rPr>
          <w:noProof/>
          <w:lang w:val="es-ES"/>
        </w:rPr>
        <w:t xml:space="preserve"> </w:t>
      </w:r>
      <w:r w:rsidR="00E22AFE" w:rsidRPr="00064323">
        <w:rPr>
          <w:noProof/>
          <w:lang w:val="es-ES"/>
        </w:rPr>
        <w:t xml:space="preserve">333 </w:t>
      </w:r>
      <w:r w:rsidR="0025690B" w:rsidRPr="00064323">
        <w:rPr>
          <w:noProof/>
          <w:lang w:val="es-ES"/>
        </w:rPr>
        <w:t>francos suizos</w:t>
      </w:r>
      <w:r w:rsidR="00E22AFE" w:rsidRPr="00064323">
        <w:rPr>
          <w:noProof/>
          <w:lang w:val="es-ES"/>
        </w:rPr>
        <w:t xml:space="preserve"> cada uno para el Centro Ramsar para África Oriental (RAMCEA), la Iniciativa </w:t>
      </w:r>
      <w:r w:rsidR="0025690B" w:rsidRPr="00064323">
        <w:rPr>
          <w:noProof/>
          <w:lang w:val="es-ES"/>
        </w:rPr>
        <w:t>r</w:t>
      </w:r>
      <w:r w:rsidR="00E22AFE" w:rsidRPr="00064323">
        <w:rPr>
          <w:noProof/>
          <w:lang w:val="es-ES"/>
        </w:rPr>
        <w:t xml:space="preserve">egional </w:t>
      </w:r>
      <w:r w:rsidR="0025690B" w:rsidRPr="00064323">
        <w:rPr>
          <w:noProof/>
          <w:lang w:val="es-ES"/>
        </w:rPr>
        <w:t xml:space="preserve">de </w:t>
      </w:r>
      <w:r w:rsidR="00E22AFE" w:rsidRPr="00064323">
        <w:rPr>
          <w:noProof/>
          <w:lang w:val="es-ES"/>
        </w:rPr>
        <w:t xml:space="preserve">Ramsar para los </w:t>
      </w:r>
      <w:r w:rsidR="0025690B" w:rsidRPr="00064323">
        <w:rPr>
          <w:noProof/>
          <w:lang w:val="es-ES"/>
        </w:rPr>
        <w:t>h</w:t>
      </w:r>
      <w:r w:rsidR="00E22AFE" w:rsidRPr="00064323">
        <w:rPr>
          <w:noProof/>
          <w:lang w:val="es-ES"/>
        </w:rPr>
        <w:t xml:space="preserve">umedales </w:t>
      </w:r>
      <w:r w:rsidR="0025690B" w:rsidRPr="00064323">
        <w:rPr>
          <w:noProof/>
          <w:lang w:val="es-ES"/>
        </w:rPr>
        <w:t>costeros</w:t>
      </w:r>
      <w:r w:rsidR="00E22AFE" w:rsidRPr="00064323">
        <w:rPr>
          <w:noProof/>
          <w:lang w:val="es-ES"/>
        </w:rPr>
        <w:t xml:space="preserve"> de África Occidental (W</w:t>
      </w:r>
      <w:r w:rsidR="00086833">
        <w:rPr>
          <w:noProof/>
          <w:lang w:val="es-ES"/>
        </w:rPr>
        <w:t>A</w:t>
      </w:r>
      <w:r w:rsidR="00E22AFE" w:rsidRPr="00064323">
        <w:rPr>
          <w:noProof/>
          <w:lang w:val="es-ES"/>
        </w:rPr>
        <w:t xml:space="preserve">CoWet) y la Iniciativa </w:t>
      </w:r>
      <w:r w:rsidR="0025690B" w:rsidRPr="00064323">
        <w:rPr>
          <w:noProof/>
          <w:lang w:val="es-ES"/>
        </w:rPr>
        <w:t>r</w:t>
      </w:r>
      <w:r w:rsidR="00E22AFE" w:rsidRPr="00064323">
        <w:rPr>
          <w:noProof/>
          <w:lang w:val="es-ES"/>
        </w:rPr>
        <w:t>egional</w:t>
      </w:r>
      <w:r w:rsidR="0025690B" w:rsidRPr="00064323">
        <w:rPr>
          <w:noProof/>
          <w:lang w:val="es-ES"/>
        </w:rPr>
        <w:t xml:space="preserve"> de</w:t>
      </w:r>
      <w:r w:rsidR="00E22AFE" w:rsidRPr="00064323">
        <w:rPr>
          <w:noProof/>
          <w:lang w:val="es-ES"/>
        </w:rPr>
        <w:t xml:space="preserve"> Ramsar para la </w:t>
      </w:r>
      <w:r w:rsidR="0025690B" w:rsidRPr="00064323">
        <w:rPr>
          <w:noProof/>
          <w:lang w:val="es-ES"/>
        </w:rPr>
        <w:t>c</w:t>
      </w:r>
      <w:r w:rsidR="00E22AFE" w:rsidRPr="00064323">
        <w:rPr>
          <w:noProof/>
          <w:lang w:val="es-ES"/>
        </w:rPr>
        <w:t xml:space="preserve">uenca del </w:t>
      </w:r>
      <w:r w:rsidR="0025690B" w:rsidRPr="00064323">
        <w:rPr>
          <w:noProof/>
          <w:lang w:val="es-ES"/>
        </w:rPr>
        <w:t>r</w:t>
      </w:r>
      <w:r w:rsidR="00E22AFE" w:rsidRPr="00064323">
        <w:rPr>
          <w:noProof/>
          <w:lang w:val="es-ES"/>
        </w:rPr>
        <w:t>ío Níger (NigerWet).</w:t>
      </w:r>
    </w:p>
    <w:p w14:paraId="7632E717" w14:textId="77777777" w:rsidR="008D2D48" w:rsidRPr="00064323" w:rsidRDefault="008D2D48" w:rsidP="00A1363E">
      <w:pPr>
        <w:ind w:left="0" w:firstLine="0"/>
        <w:rPr>
          <w:noProof/>
          <w:lang w:val="es-ES"/>
        </w:rPr>
      </w:pPr>
    </w:p>
    <w:p w14:paraId="721043A3" w14:textId="59B5CD8B" w:rsidR="00A1363E" w:rsidRPr="00064323" w:rsidRDefault="00523B6B" w:rsidP="005213B0">
      <w:pPr>
        <w:rPr>
          <w:noProof/>
          <w:lang w:val="es-ES"/>
        </w:rPr>
      </w:pPr>
      <w:r w:rsidRPr="00064323">
        <w:rPr>
          <w:noProof/>
          <w:lang w:val="es-ES"/>
        </w:rPr>
        <w:t>3</w:t>
      </w:r>
      <w:r w:rsidR="004D0989" w:rsidRPr="00064323">
        <w:rPr>
          <w:noProof/>
          <w:lang w:val="es-ES"/>
        </w:rPr>
        <w:t>4</w:t>
      </w:r>
      <w:r w:rsidR="002F74F9" w:rsidRPr="00064323">
        <w:rPr>
          <w:noProof/>
          <w:lang w:val="es-ES"/>
        </w:rPr>
        <w:t>.</w:t>
      </w:r>
      <w:r w:rsidR="008D2D48" w:rsidRPr="00064323">
        <w:rPr>
          <w:noProof/>
          <w:lang w:val="es-ES"/>
        </w:rPr>
        <w:tab/>
      </w:r>
      <w:r w:rsidR="00A1363E" w:rsidRPr="00064323">
        <w:rPr>
          <w:noProof/>
          <w:lang w:val="es-ES"/>
        </w:rPr>
        <w:t>El primer desembolso de fondos para WACoWet y NigerWet se realizó en 2020, y para RamCEA se realizó en 2021. NigerWet y RAMC</w:t>
      </w:r>
      <w:r w:rsidR="00086833">
        <w:rPr>
          <w:noProof/>
          <w:lang w:val="es-ES"/>
        </w:rPr>
        <w:t>EA</w:t>
      </w:r>
      <w:r w:rsidR="00A1363E" w:rsidRPr="00064323">
        <w:rPr>
          <w:noProof/>
          <w:lang w:val="es-ES"/>
        </w:rPr>
        <w:t xml:space="preserve"> recibieron el segundo y último desembolso en 2021, mientras que el segundo y último desembolso para WACoWet se realizará en 2022 tras la recepción de los informes finales.</w:t>
      </w:r>
    </w:p>
    <w:p w14:paraId="1C11650F" w14:textId="77777777" w:rsidR="00613E01" w:rsidRPr="00064323" w:rsidRDefault="00613E01" w:rsidP="00A1363E">
      <w:pPr>
        <w:ind w:left="0" w:firstLine="0"/>
        <w:rPr>
          <w:noProof/>
          <w:lang w:val="es-ES"/>
        </w:rPr>
      </w:pPr>
    </w:p>
    <w:p w14:paraId="622D7192" w14:textId="62B12096" w:rsidR="00A1363E" w:rsidRPr="00800F14" w:rsidRDefault="00523B6B" w:rsidP="00086833">
      <w:pPr>
        <w:rPr>
          <w:rFonts w:cs="Arial"/>
          <w:b/>
          <w:sz w:val="28"/>
          <w:szCs w:val="28"/>
          <w:lang w:val="fr-FR"/>
        </w:rPr>
      </w:pPr>
      <w:r w:rsidRPr="00064323">
        <w:rPr>
          <w:noProof/>
          <w:lang w:val="es-ES"/>
        </w:rPr>
        <w:t>3</w:t>
      </w:r>
      <w:r w:rsidR="004D0989" w:rsidRPr="00064323">
        <w:rPr>
          <w:noProof/>
          <w:lang w:val="es-ES"/>
        </w:rPr>
        <w:t>5</w:t>
      </w:r>
      <w:r w:rsidR="002F74F9" w:rsidRPr="00064323">
        <w:rPr>
          <w:noProof/>
          <w:lang w:val="es-ES"/>
        </w:rPr>
        <w:t>.</w:t>
      </w:r>
      <w:r w:rsidR="002F74F9" w:rsidRPr="00064323">
        <w:rPr>
          <w:noProof/>
          <w:lang w:val="es-ES"/>
        </w:rPr>
        <w:tab/>
      </w:r>
      <w:r w:rsidR="00A1363E" w:rsidRPr="00064323">
        <w:rPr>
          <w:noProof/>
          <w:lang w:val="es-ES"/>
        </w:rPr>
        <w:t>Los fondos recibidos en 2019, 2020 y 2021 para su futura distribución ascienden a un total de 25 000 francos suizos, como se informa en el párrafo 27 del documento SC59/2022 Doc.8.2</w:t>
      </w:r>
      <w:r w:rsidR="00086833">
        <w:rPr>
          <w:noProof/>
          <w:lang w:val="es-ES"/>
        </w:rPr>
        <w:t xml:space="preserve"> </w:t>
      </w:r>
      <w:r w:rsidR="00086833" w:rsidRPr="00086833">
        <w:rPr>
          <w:i/>
          <w:iCs/>
          <w:noProof/>
          <w:lang w:val="es-ES"/>
        </w:rPr>
        <w:t>Cuestiones financieras y presupuestarias</w:t>
      </w:r>
      <w:r w:rsidR="00086833" w:rsidRPr="00800F14">
        <w:rPr>
          <w:rFonts w:cs="Arial"/>
          <w:b/>
          <w:i/>
          <w:iCs/>
          <w:lang w:val="fr-FR"/>
        </w:rPr>
        <w:t>:</w:t>
      </w:r>
      <w:r w:rsidR="00086833" w:rsidRPr="00800F14">
        <w:rPr>
          <w:rFonts w:cs="Arial"/>
          <w:b/>
          <w:sz w:val="28"/>
          <w:szCs w:val="28"/>
          <w:lang w:val="fr-FR"/>
        </w:rPr>
        <w:t xml:space="preserve"> </w:t>
      </w:r>
      <w:r w:rsidR="00A1363E" w:rsidRPr="00064323">
        <w:rPr>
          <w:i/>
          <w:iCs/>
          <w:noProof/>
          <w:lang w:val="es-ES"/>
        </w:rPr>
        <w:t>Estado de las contribuciones anuales</w:t>
      </w:r>
      <w:r w:rsidR="00A1363E" w:rsidRPr="00064323">
        <w:rPr>
          <w:noProof/>
          <w:lang w:val="es-ES"/>
        </w:rPr>
        <w:t>.</w:t>
      </w:r>
    </w:p>
    <w:p w14:paraId="65479B4F" w14:textId="77777777" w:rsidR="00ED64C2" w:rsidRPr="00064323" w:rsidRDefault="00ED64C2" w:rsidP="00162710">
      <w:pPr>
        <w:ind w:left="0" w:firstLine="0"/>
        <w:rPr>
          <w:noProof/>
          <w:lang w:val="es-ES"/>
        </w:rPr>
      </w:pPr>
    </w:p>
    <w:p w14:paraId="071E1233" w14:textId="111BBD80" w:rsidR="00B6236E" w:rsidRPr="00064323" w:rsidRDefault="00A1363E" w:rsidP="00162710">
      <w:pPr>
        <w:pStyle w:val="NoSpacing"/>
        <w:rPr>
          <w:noProof/>
          <w:lang w:val="es-ES"/>
        </w:rPr>
      </w:pPr>
      <w:r w:rsidRPr="00064323">
        <w:rPr>
          <w:b/>
          <w:noProof/>
          <w:lang w:val="es-ES"/>
        </w:rPr>
        <w:t>Presupuesto básico para 2022</w:t>
      </w:r>
    </w:p>
    <w:p w14:paraId="27ACE29B" w14:textId="77777777" w:rsidR="00B6236E" w:rsidRPr="00064323" w:rsidRDefault="00B6236E" w:rsidP="00162710">
      <w:pPr>
        <w:pStyle w:val="NoSpacing"/>
        <w:ind w:left="360" w:firstLine="0"/>
        <w:rPr>
          <w:noProof/>
          <w:lang w:val="es-ES"/>
        </w:rPr>
      </w:pPr>
    </w:p>
    <w:p w14:paraId="6AD10B41" w14:textId="76B3EAE5" w:rsidR="00A1363E" w:rsidRPr="00064323" w:rsidRDefault="00523B6B" w:rsidP="00A1363E">
      <w:pPr>
        <w:rPr>
          <w:noProof/>
          <w:lang w:val="es-ES"/>
        </w:rPr>
      </w:pPr>
      <w:r w:rsidRPr="00064323">
        <w:rPr>
          <w:noProof/>
          <w:lang w:val="es-ES"/>
        </w:rPr>
        <w:t>3</w:t>
      </w:r>
      <w:r w:rsidR="004D0989" w:rsidRPr="00064323">
        <w:rPr>
          <w:noProof/>
          <w:lang w:val="es-ES"/>
        </w:rPr>
        <w:t>6</w:t>
      </w:r>
      <w:r w:rsidR="00B6236E" w:rsidRPr="00064323">
        <w:rPr>
          <w:noProof/>
          <w:lang w:val="es-ES"/>
        </w:rPr>
        <w:t>.</w:t>
      </w:r>
      <w:r w:rsidR="00B6236E" w:rsidRPr="00064323">
        <w:rPr>
          <w:noProof/>
          <w:lang w:val="es-ES"/>
        </w:rPr>
        <w:tab/>
      </w:r>
      <w:r w:rsidR="00A1363E" w:rsidRPr="00064323">
        <w:rPr>
          <w:noProof/>
          <w:lang w:val="es-ES"/>
        </w:rPr>
        <w:t xml:space="preserve">En el Anexo 4 se ofrece una </w:t>
      </w:r>
      <w:r w:rsidR="009D4761">
        <w:rPr>
          <w:noProof/>
          <w:lang w:val="es-ES"/>
        </w:rPr>
        <w:t>sinopsis</w:t>
      </w:r>
      <w:r w:rsidR="00A1363E" w:rsidRPr="00064323">
        <w:rPr>
          <w:noProof/>
          <w:lang w:val="es-ES"/>
        </w:rPr>
        <w:t xml:space="preserve"> del presupuesto propuesto para 2022. </w:t>
      </w:r>
      <w:r w:rsidR="004511CF" w:rsidRPr="00064323">
        <w:rPr>
          <w:noProof/>
          <w:lang w:val="es-ES"/>
        </w:rPr>
        <w:t>Este incluye</w:t>
      </w:r>
      <w:r w:rsidR="00A1363E" w:rsidRPr="00064323">
        <w:rPr>
          <w:noProof/>
          <w:lang w:val="es-ES"/>
        </w:rPr>
        <w:t xml:space="preserve"> el presupuesto aprobado por la ExCOP3 que asciende a 5</w:t>
      </w:r>
      <w:r w:rsidR="004511CF" w:rsidRPr="00064323">
        <w:rPr>
          <w:noProof/>
          <w:lang w:val="es-ES"/>
        </w:rPr>
        <w:t xml:space="preserve"> </w:t>
      </w:r>
      <w:r w:rsidR="00A1363E" w:rsidRPr="00064323">
        <w:rPr>
          <w:noProof/>
          <w:lang w:val="es-ES"/>
        </w:rPr>
        <w:t>081</w:t>
      </w:r>
      <w:r w:rsidR="004511CF" w:rsidRPr="00064323">
        <w:rPr>
          <w:noProof/>
          <w:lang w:val="es-ES"/>
        </w:rPr>
        <w:t xml:space="preserve"> </w:t>
      </w:r>
      <w:r w:rsidR="00A1363E" w:rsidRPr="00064323">
        <w:rPr>
          <w:noProof/>
          <w:lang w:val="es-ES"/>
        </w:rPr>
        <w:t xml:space="preserve">000 </w:t>
      </w:r>
      <w:r w:rsidR="00E343E6" w:rsidRPr="00064323">
        <w:rPr>
          <w:noProof/>
          <w:lang w:val="es-ES"/>
        </w:rPr>
        <w:t>francos suizos</w:t>
      </w:r>
      <w:r w:rsidR="003059C4">
        <w:rPr>
          <w:noProof/>
          <w:lang w:val="es-ES"/>
        </w:rPr>
        <w:t>,</w:t>
      </w:r>
      <w:r w:rsidR="00A1363E" w:rsidRPr="00064323">
        <w:rPr>
          <w:noProof/>
          <w:lang w:val="es-ES"/>
        </w:rPr>
        <w:t xml:space="preserve"> el uso autorizado de los ahorros del presupuesto de 2020 que ascienden a 196</w:t>
      </w:r>
      <w:r w:rsidR="004511CF" w:rsidRPr="00064323">
        <w:rPr>
          <w:noProof/>
          <w:lang w:val="es-ES"/>
        </w:rPr>
        <w:t xml:space="preserve"> </w:t>
      </w:r>
      <w:r w:rsidR="00A1363E" w:rsidRPr="00064323">
        <w:rPr>
          <w:noProof/>
          <w:lang w:val="es-ES"/>
        </w:rPr>
        <w:t xml:space="preserve">000 </w:t>
      </w:r>
      <w:r w:rsidR="00E343E6" w:rsidRPr="00064323">
        <w:rPr>
          <w:noProof/>
          <w:lang w:val="es-ES"/>
        </w:rPr>
        <w:t>francos suizos</w:t>
      </w:r>
      <w:r w:rsidR="003059C4">
        <w:rPr>
          <w:noProof/>
          <w:lang w:val="es-ES"/>
        </w:rPr>
        <w:t>,</w:t>
      </w:r>
      <w:r w:rsidR="00A1363E" w:rsidRPr="00064323">
        <w:rPr>
          <w:noProof/>
          <w:lang w:val="es-ES"/>
        </w:rPr>
        <w:t xml:space="preserve"> los fondos pre</w:t>
      </w:r>
      <w:r w:rsidR="004511CF" w:rsidRPr="00064323">
        <w:rPr>
          <w:noProof/>
          <w:lang w:val="es-ES"/>
        </w:rPr>
        <w:t xml:space="preserve">viamente </w:t>
      </w:r>
      <w:r w:rsidR="00A1363E" w:rsidRPr="00064323">
        <w:rPr>
          <w:noProof/>
          <w:lang w:val="es-ES"/>
        </w:rPr>
        <w:t>comprometidos del presupuesto de 2021 que se gastarán en 2022</w:t>
      </w:r>
      <w:r w:rsidR="004511CF" w:rsidRPr="00064323">
        <w:rPr>
          <w:noProof/>
          <w:lang w:val="es-ES"/>
        </w:rPr>
        <w:t xml:space="preserve"> y</w:t>
      </w:r>
      <w:r w:rsidR="00A1363E" w:rsidRPr="00064323">
        <w:rPr>
          <w:noProof/>
          <w:lang w:val="es-ES"/>
        </w:rPr>
        <w:t xml:space="preserve"> ascienden a 767</w:t>
      </w:r>
      <w:r w:rsidR="004511CF" w:rsidRPr="00064323">
        <w:rPr>
          <w:noProof/>
          <w:lang w:val="es-ES"/>
        </w:rPr>
        <w:t xml:space="preserve"> </w:t>
      </w:r>
      <w:r w:rsidR="00A1363E" w:rsidRPr="00064323">
        <w:rPr>
          <w:noProof/>
          <w:lang w:val="es-ES"/>
        </w:rPr>
        <w:t xml:space="preserve">000 </w:t>
      </w:r>
      <w:r w:rsidR="00E343E6" w:rsidRPr="00064323">
        <w:rPr>
          <w:noProof/>
          <w:lang w:val="es-ES"/>
        </w:rPr>
        <w:t>francos suizos</w:t>
      </w:r>
      <w:r w:rsidR="003059C4">
        <w:rPr>
          <w:noProof/>
          <w:lang w:val="es-ES"/>
        </w:rPr>
        <w:t>,</w:t>
      </w:r>
      <w:r w:rsidR="00A1363E" w:rsidRPr="00064323">
        <w:rPr>
          <w:noProof/>
          <w:lang w:val="es-ES"/>
        </w:rPr>
        <w:t xml:space="preserve"> la asignación aprobada entre</w:t>
      </w:r>
      <w:r w:rsidR="004511CF" w:rsidRPr="00064323">
        <w:rPr>
          <w:noProof/>
          <w:lang w:val="es-ES"/>
        </w:rPr>
        <w:t xml:space="preserve"> períodos de</w:t>
      </w:r>
      <w:r w:rsidR="00A1363E" w:rsidRPr="00064323">
        <w:rPr>
          <w:noProof/>
          <w:lang w:val="es-ES"/>
        </w:rPr>
        <w:t xml:space="preserve"> sesiones </w:t>
      </w:r>
      <w:r w:rsidR="00086833">
        <w:rPr>
          <w:noProof/>
          <w:lang w:val="es-ES"/>
        </w:rPr>
        <w:t xml:space="preserve">de </w:t>
      </w:r>
      <w:r w:rsidR="003059C4">
        <w:rPr>
          <w:noProof/>
          <w:lang w:val="es-ES"/>
        </w:rPr>
        <w:t>hasta</w:t>
      </w:r>
      <w:r w:rsidR="00A1363E" w:rsidRPr="00064323">
        <w:rPr>
          <w:noProof/>
          <w:lang w:val="es-ES"/>
        </w:rPr>
        <w:t xml:space="preserve"> 89</w:t>
      </w:r>
      <w:r w:rsidR="004511CF" w:rsidRPr="00064323">
        <w:rPr>
          <w:noProof/>
          <w:lang w:val="es-ES"/>
        </w:rPr>
        <w:t xml:space="preserve"> </w:t>
      </w:r>
      <w:r w:rsidR="00A1363E" w:rsidRPr="00064323">
        <w:rPr>
          <w:noProof/>
          <w:lang w:val="es-ES"/>
        </w:rPr>
        <w:t xml:space="preserve">500 </w:t>
      </w:r>
      <w:r w:rsidR="00E343E6" w:rsidRPr="00064323">
        <w:rPr>
          <w:noProof/>
          <w:lang w:val="es-ES"/>
        </w:rPr>
        <w:t>francos suizos</w:t>
      </w:r>
      <w:r w:rsidR="00A1363E" w:rsidRPr="00064323">
        <w:rPr>
          <w:noProof/>
          <w:lang w:val="es-ES"/>
        </w:rPr>
        <w:t xml:space="preserve"> para la contratación del próximo Secretario General, y el fondo de reserva adicional de 406</w:t>
      </w:r>
      <w:r w:rsidR="004511CF" w:rsidRPr="00064323">
        <w:rPr>
          <w:noProof/>
          <w:lang w:val="es-ES"/>
        </w:rPr>
        <w:t xml:space="preserve"> </w:t>
      </w:r>
      <w:r w:rsidR="00A1363E" w:rsidRPr="00064323">
        <w:rPr>
          <w:noProof/>
          <w:lang w:val="es-ES"/>
        </w:rPr>
        <w:t xml:space="preserve">500 </w:t>
      </w:r>
      <w:r w:rsidR="00E343E6" w:rsidRPr="00064323">
        <w:rPr>
          <w:noProof/>
          <w:lang w:val="es-ES"/>
        </w:rPr>
        <w:t xml:space="preserve">francos suizos </w:t>
      </w:r>
      <w:r w:rsidR="00A1363E" w:rsidRPr="00064323">
        <w:rPr>
          <w:noProof/>
          <w:lang w:val="es-ES"/>
        </w:rPr>
        <w:t>procedente de</w:t>
      </w:r>
      <w:r w:rsidR="004511CF" w:rsidRPr="00064323">
        <w:rPr>
          <w:noProof/>
          <w:lang w:val="es-ES"/>
        </w:rPr>
        <w:t>l</w:t>
      </w:r>
      <w:r w:rsidR="00A1363E" w:rsidRPr="00064323">
        <w:rPr>
          <w:noProof/>
          <w:lang w:val="es-ES"/>
        </w:rPr>
        <w:t xml:space="preserve"> </w:t>
      </w:r>
      <w:r w:rsidR="004511CF" w:rsidRPr="00064323">
        <w:rPr>
          <w:noProof/>
          <w:lang w:val="es-ES"/>
        </w:rPr>
        <w:t>“Presupuesto para 2020 aprobado por la reunión SC58 y ahorros no comprometidos traspasados al año siguiente”</w:t>
      </w:r>
      <w:r w:rsidR="00A1363E" w:rsidRPr="00064323">
        <w:rPr>
          <w:noProof/>
          <w:lang w:val="es-ES"/>
        </w:rPr>
        <w:t xml:space="preserve">. </w:t>
      </w:r>
      <w:r w:rsidR="004511CF" w:rsidRPr="00064323">
        <w:rPr>
          <w:noProof/>
          <w:lang w:val="es-ES"/>
        </w:rPr>
        <w:t>Por lo tanto, el</w:t>
      </w:r>
      <w:r w:rsidR="00A1363E" w:rsidRPr="00064323">
        <w:rPr>
          <w:noProof/>
          <w:lang w:val="es-ES"/>
        </w:rPr>
        <w:t xml:space="preserve"> presupuesto básico total propuesto para 2022 </w:t>
      </w:r>
      <w:r w:rsidR="004511CF" w:rsidRPr="00064323">
        <w:rPr>
          <w:noProof/>
          <w:lang w:val="es-ES"/>
        </w:rPr>
        <w:t>asciende a</w:t>
      </w:r>
      <w:r w:rsidR="00A1363E" w:rsidRPr="00064323">
        <w:rPr>
          <w:noProof/>
          <w:lang w:val="es-ES"/>
        </w:rPr>
        <w:t xml:space="preserve"> 6</w:t>
      </w:r>
      <w:r w:rsidR="004511CF" w:rsidRPr="00064323">
        <w:rPr>
          <w:noProof/>
          <w:lang w:val="es-ES"/>
        </w:rPr>
        <w:t xml:space="preserve"> </w:t>
      </w:r>
      <w:r w:rsidR="00A1363E" w:rsidRPr="00064323">
        <w:rPr>
          <w:noProof/>
          <w:lang w:val="es-ES"/>
        </w:rPr>
        <w:t>539</w:t>
      </w:r>
      <w:r w:rsidR="004511CF" w:rsidRPr="00064323">
        <w:rPr>
          <w:noProof/>
          <w:lang w:val="es-ES"/>
        </w:rPr>
        <w:t xml:space="preserve"> 000</w:t>
      </w:r>
      <w:r w:rsidR="00A1363E" w:rsidRPr="00064323">
        <w:rPr>
          <w:noProof/>
          <w:lang w:val="es-ES"/>
        </w:rPr>
        <w:t xml:space="preserve"> </w:t>
      </w:r>
      <w:r w:rsidR="00E343E6" w:rsidRPr="00064323">
        <w:rPr>
          <w:noProof/>
          <w:lang w:val="es-ES"/>
        </w:rPr>
        <w:t>francos suizos</w:t>
      </w:r>
      <w:r w:rsidR="00A1363E" w:rsidRPr="00064323">
        <w:rPr>
          <w:noProof/>
          <w:lang w:val="es-ES"/>
        </w:rPr>
        <w:t xml:space="preserve">. </w:t>
      </w:r>
    </w:p>
    <w:p w14:paraId="1A53EF3F" w14:textId="77777777" w:rsidR="009B0B07" w:rsidRPr="00064323" w:rsidRDefault="009B0B07" w:rsidP="004511CF">
      <w:pPr>
        <w:ind w:left="0" w:firstLine="0"/>
        <w:rPr>
          <w:noProof/>
          <w:lang w:val="es-ES"/>
        </w:rPr>
      </w:pPr>
    </w:p>
    <w:p w14:paraId="2A0F2597" w14:textId="5E8133DB" w:rsidR="004511CF" w:rsidRPr="00064323" w:rsidRDefault="00523B6B" w:rsidP="009B0B07">
      <w:pPr>
        <w:rPr>
          <w:noProof/>
          <w:lang w:val="es-ES"/>
        </w:rPr>
      </w:pPr>
      <w:r w:rsidRPr="00064323">
        <w:rPr>
          <w:noProof/>
          <w:lang w:val="es-ES"/>
        </w:rPr>
        <w:t>3</w:t>
      </w:r>
      <w:r w:rsidR="004D0989" w:rsidRPr="00064323">
        <w:rPr>
          <w:noProof/>
          <w:lang w:val="es-ES"/>
        </w:rPr>
        <w:t>7</w:t>
      </w:r>
      <w:r w:rsidR="009B0B07" w:rsidRPr="00064323">
        <w:rPr>
          <w:noProof/>
          <w:lang w:val="es-ES"/>
        </w:rPr>
        <w:t>.</w:t>
      </w:r>
      <w:r w:rsidR="009B0B07" w:rsidRPr="00064323">
        <w:rPr>
          <w:noProof/>
          <w:lang w:val="es-ES"/>
        </w:rPr>
        <w:tab/>
      </w:r>
      <w:r w:rsidR="004511CF" w:rsidRPr="00064323">
        <w:rPr>
          <w:noProof/>
          <w:lang w:val="es-ES"/>
        </w:rPr>
        <w:t xml:space="preserve">El documento SC59 Doc.21.2 </w:t>
      </w:r>
      <w:r w:rsidR="004511CF" w:rsidRPr="00064323">
        <w:rPr>
          <w:i/>
          <w:iCs/>
          <w:noProof/>
          <w:lang w:val="es-ES"/>
        </w:rPr>
        <w:t xml:space="preserve">Informe de la Secretaría sobre las </w:t>
      </w:r>
      <w:r w:rsidR="003059C4">
        <w:rPr>
          <w:i/>
          <w:iCs/>
          <w:noProof/>
          <w:lang w:val="es-ES"/>
        </w:rPr>
        <w:t>i</w:t>
      </w:r>
      <w:r w:rsidR="004511CF" w:rsidRPr="00064323">
        <w:rPr>
          <w:i/>
          <w:iCs/>
          <w:noProof/>
          <w:lang w:val="es-ES"/>
        </w:rPr>
        <w:t xml:space="preserve">niciativas </w:t>
      </w:r>
      <w:r w:rsidR="003059C4">
        <w:rPr>
          <w:i/>
          <w:iCs/>
          <w:noProof/>
          <w:lang w:val="es-ES"/>
        </w:rPr>
        <w:t>r</w:t>
      </w:r>
      <w:r w:rsidR="004511CF" w:rsidRPr="00064323">
        <w:rPr>
          <w:i/>
          <w:iCs/>
          <w:noProof/>
          <w:lang w:val="es-ES"/>
        </w:rPr>
        <w:t>egionales de Ramsar</w:t>
      </w:r>
      <w:r w:rsidR="004511CF" w:rsidRPr="00064323">
        <w:rPr>
          <w:noProof/>
          <w:lang w:val="es-ES"/>
        </w:rPr>
        <w:t xml:space="preserve"> no se examinó en 2021. Las IRR ya han recibido la asignación máxima en dos trienios, por lo que no se prevé ninguna otra asignación. El presupuesto de 2022 aprobado por la ExCOP3 incluye un total de 100 000 francos suizos en la partida presupuestaria de las IRR “</w:t>
      </w:r>
      <w:r w:rsidR="00BD5715" w:rsidRPr="00BD5715">
        <w:rPr>
          <w:noProof/>
          <w:lang w:val="es-ES"/>
        </w:rPr>
        <w:t>Redes y centros regionales</w:t>
      </w:r>
      <w:r w:rsidR="004511CF" w:rsidRPr="00064323">
        <w:rPr>
          <w:noProof/>
          <w:lang w:val="es-ES"/>
        </w:rPr>
        <w:t xml:space="preserve">”. La Secretaría propone </w:t>
      </w:r>
      <w:r w:rsidR="003059C4">
        <w:rPr>
          <w:noProof/>
          <w:lang w:val="es-ES"/>
        </w:rPr>
        <w:t>transferir</w:t>
      </w:r>
      <w:r w:rsidR="004511CF" w:rsidRPr="00064323">
        <w:rPr>
          <w:noProof/>
          <w:lang w:val="es-ES"/>
        </w:rPr>
        <w:t xml:space="preserve"> estos fondos al próximo trienio para que sean </w:t>
      </w:r>
      <w:r w:rsidR="00724AF7" w:rsidRPr="00064323">
        <w:rPr>
          <w:noProof/>
          <w:lang w:val="es-ES"/>
        </w:rPr>
        <w:t>examinados</w:t>
      </w:r>
      <w:r w:rsidR="004511CF" w:rsidRPr="00064323">
        <w:rPr>
          <w:noProof/>
          <w:lang w:val="es-ES"/>
        </w:rPr>
        <w:t xml:space="preserve"> </w:t>
      </w:r>
      <w:r w:rsidR="003059C4">
        <w:rPr>
          <w:noProof/>
          <w:lang w:val="es-ES"/>
        </w:rPr>
        <w:t>en</w:t>
      </w:r>
      <w:r w:rsidR="004511CF" w:rsidRPr="00064323">
        <w:rPr>
          <w:noProof/>
          <w:lang w:val="es-ES"/>
        </w:rPr>
        <w:t xml:space="preserve"> la</w:t>
      </w:r>
      <w:r w:rsidR="003059C4">
        <w:rPr>
          <w:noProof/>
          <w:lang w:val="es-ES"/>
        </w:rPr>
        <w:t xml:space="preserve"> reunión</w:t>
      </w:r>
      <w:r w:rsidR="004511CF" w:rsidRPr="00064323">
        <w:rPr>
          <w:noProof/>
          <w:lang w:val="es-ES"/>
        </w:rPr>
        <w:t xml:space="preserve"> SC62 (mayo-junio de 2023) para </w:t>
      </w:r>
      <w:r w:rsidR="00724AF7" w:rsidRPr="00064323">
        <w:rPr>
          <w:noProof/>
          <w:lang w:val="es-ES"/>
        </w:rPr>
        <w:t>las nuevas</w:t>
      </w:r>
      <w:r w:rsidR="004511CF" w:rsidRPr="00064323">
        <w:rPr>
          <w:noProof/>
          <w:lang w:val="es-ES"/>
        </w:rPr>
        <w:t xml:space="preserve"> </w:t>
      </w:r>
      <w:r w:rsidR="00724AF7" w:rsidRPr="00064323">
        <w:rPr>
          <w:noProof/>
          <w:lang w:val="es-ES"/>
        </w:rPr>
        <w:t>IRR</w:t>
      </w:r>
      <w:r w:rsidR="004511CF" w:rsidRPr="00064323">
        <w:rPr>
          <w:noProof/>
          <w:lang w:val="es-ES"/>
        </w:rPr>
        <w:t xml:space="preserve"> </w:t>
      </w:r>
      <w:r w:rsidR="00724AF7" w:rsidRPr="00064323">
        <w:rPr>
          <w:noProof/>
          <w:lang w:val="es-ES"/>
        </w:rPr>
        <w:t>que apruebe</w:t>
      </w:r>
      <w:r w:rsidR="004511CF" w:rsidRPr="00064323">
        <w:rPr>
          <w:noProof/>
          <w:lang w:val="es-ES"/>
        </w:rPr>
        <w:t xml:space="preserve"> la COP14.</w:t>
      </w:r>
    </w:p>
    <w:p w14:paraId="461EE681" w14:textId="77777777" w:rsidR="008B654C" w:rsidRPr="00064323" w:rsidRDefault="008B654C" w:rsidP="00B9685D">
      <w:pPr>
        <w:ind w:left="0" w:firstLine="0"/>
        <w:rPr>
          <w:noProof/>
          <w:lang w:val="es-ES"/>
        </w:rPr>
      </w:pPr>
    </w:p>
    <w:p w14:paraId="1280EB95" w14:textId="7BF6E88E" w:rsidR="00520563" w:rsidRPr="00064323" w:rsidRDefault="001141B8" w:rsidP="00520563">
      <w:pPr>
        <w:ind w:left="0" w:firstLine="0"/>
        <w:rPr>
          <w:i/>
          <w:noProof/>
          <w:lang w:val="es-ES"/>
        </w:rPr>
      </w:pPr>
      <w:r w:rsidRPr="00064323">
        <w:rPr>
          <w:i/>
          <w:noProof/>
          <w:lang w:val="es-ES"/>
        </w:rPr>
        <w:t>Ajustes al presupuesto aprobado por la ExCOP3</w:t>
      </w:r>
    </w:p>
    <w:p w14:paraId="76DA6DDF" w14:textId="77777777" w:rsidR="00520563" w:rsidRPr="00064323" w:rsidRDefault="00520563" w:rsidP="00162710">
      <w:pPr>
        <w:ind w:firstLine="0"/>
        <w:rPr>
          <w:noProof/>
          <w:lang w:val="es-ES"/>
        </w:rPr>
      </w:pPr>
    </w:p>
    <w:p w14:paraId="084FA17D" w14:textId="74E4CEB4" w:rsidR="00E32068" w:rsidRDefault="00523B6B" w:rsidP="009063E7">
      <w:pPr>
        <w:rPr>
          <w:noProof/>
          <w:lang w:val="es-ES"/>
        </w:rPr>
      </w:pPr>
      <w:r w:rsidRPr="00064323">
        <w:rPr>
          <w:noProof/>
          <w:lang w:val="es-ES"/>
        </w:rPr>
        <w:t>3</w:t>
      </w:r>
      <w:r w:rsidR="004D0989" w:rsidRPr="00064323">
        <w:rPr>
          <w:noProof/>
          <w:lang w:val="es-ES"/>
        </w:rPr>
        <w:t>8</w:t>
      </w:r>
      <w:r w:rsidR="00790C01" w:rsidRPr="00064323">
        <w:rPr>
          <w:noProof/>
          <w:lang w:val="es-ES"/>
        </w:rPr>
        <w:t>.</w:t>
      </w:r>
      <w:r w:rsidR="00790C01" w:rsidRPr="00064323">
        <w:rPr>
          <w:noProof/>
          <w:lang w:val="es-ES"/>
        </w:rPr>
        <w:tab/>
      </w:r>
      <w:r w:rsidR="004B7261">
        <w:rPr>
          <w:noProof/>
          <w:lang w:val="es-ES"/>
        </w:rPr>
        <w:t>En consonancia con la decisión tomada en</w:t>
      </w:r>
      <w:r w:rsidR="00E32068">
        <w:rPr>
          <w:noProof/>
          <w:lang w:val="es-ES"/>
        </w:rPr>
        <w:t>tre</w:t>
      </w:r>
      <w:r w:rsidR="004B7261">
        <w:rPr>
          <w:noProof/>
          <w:lang w:val="es-ES"/>
        </w:rPr>
        <w:t xml:space="preserve"> períodos </w:t>
      </w:r>
      <w:r w:rsidR="00E32068">
        <w:rPr>
          <w:noProof/>
          <w:lang w:val="es-ES"/>
        </w:rPr>
        <w:t>de</w:t>
      </w:r>
      <w:r w:rsidR="004B7261">
        <w:rPr>
          <w:noProof/>
          <w:lang w:val="es-ES"/>
        </w:rPr>
        <w:t xml:space="preserve"> sesiones en abril de 2022, el Comité Permanente aprobó una asignación </w:t>
      </w:r>
      <w:r w:rsidR="00E32068">
        <w:rPr>
          <w:noProof/>
          <w:lang w:val="es-ES"/>
        </w:rPr>
        <w:t xml:space="preserve">adicional de 89 500 francos suizos para la partida presupuestaria </w:t>
      </w:r>
      <w:r w:rsidR="00E32068" w:rsidRPr="00064323">
        <w:rPr>
          <w:noProof/>
          <w:lang w:val="es-ES"/>
        </w:rPr>
        <w:t>“</w:t>
      </w:r>
      <w:r w:rsidR="00E32068" w:rsidRPr="00064323">
        <w:rPr>
          <w:rFonts w:asciiTheme="minorHAnsi" w:hAnsiTheme="minorHAnsi"/>
          <w:bCs/>
          <w:noProof/>
          <w:lang w:val="es-ES"/>
        </w:rPr>
        <w:t>Costos de contratación y separación del personal</w:t>
      </w:r>
      <w:r w:rsidR="00E32068" w:rsidRPr="00064323">
        <w:rPr>
          <w:noProof/>
          <w:lang w:val="es-ES"/>
        </w:rPr>
        <w:t>”</w:t>
      </w:r>
      <w:r w:rsidR="00E32068">
        <w:rPr>
          <w:noProof/>
          <w:lang w:val="es-ES"/>
        </w:rPr>
        <w:t xml:space="preserve"> de la </w:t>
      </w:r>
      <w:r w:rsidR="00E32068" w:rsidRPr="00064323">
        <w:rPr>
          <w:noProof/>
          <w:lang w:val="es-ES"/>
        </w:rPr>
        <w:t>partida presupuestaria</w:t>
      </w:r>
      <w:r w:rsidR="00E32068">
        <w:rPr>
          <w:noProof/>
          <w:lang w:val="es-ES"/>
        </w:rPr>
        <w:t xml:space="preserve"> </w:t>
      </w:r>
      <w:r w:rsidR="00E32068">
        <w:rPr>
          <w:noProof/>
          <w:lang w:val="es-ES"/>
        </w:rPr>
        <w:lastRenderedPageBreak/>
        <w:t xml:space="preserve">aprobada </w:t>
      </w:r>
      <w:r w:rsidR="00396D87">
        <w:rPr>
          <w:noProof/>
          <w:lang w:val="es-ES"/>
        </w:rPr>
        <w:t>en</w:t>
      </w:r>
      <w:r w:rsidR="00E32068">
        <w:rPr>
          <w:noProof/>
          <w:lang w:val="es-ES"/>
        </w:rPr>
        <w:t xml:space="preserve"> 202</w:t>
      </w:r>
      <w:r w:rsidR="003059C4">
        <w:rPr>
          <w:noProof/>
          <w:lang w:val="es-ES"/>
        </w:rPr>
        <w:t xml:space="preserve">1 </w:t>
      </w:r>
      <w:r w:rsidR="00E32068" w:rsidRPr="00064323">
        <w:rPr>
          <w:noProof/>
          <w:lang w:val="es-ES"/>
        </w:rPr>
        <w:t>“Presupuesto para 2020 aprobado por la reunión SC58 y ahorros no comprometidos traspasados al año siguiente”</w:t>
      </w:r>
      <w:r w:rsidR="00E32068" w:rsidRPr="00E32068">
        <w:rPr>
          <w:noProof/>
          <w:lang w:val="es-ES"/>
        </w:rPr>
        <w:t xml:space="preserve"> </w:t>
      </w:r>
      <w:r w:rsidR="00E32068" w:rsidRPr="00064323">
        <w:rPr>
          <w:noProof/>
          <w:lang w:val="es-ES"/>
        </w:rPr>
        <w:t>para la contratación del próximo Secretario General</w:t>
      </w:r>
      <w:r w:rsidR="00396D87">
        <w:rPr>
          <w:noProof/>
          <w:lang w:val="es-ES"/>
        </w:rPr>
        <w:t xml:space="preserve">, </w:t>
      </w:r>
      <w:r w:rsidR="00E32068" w:rsidRPr="00064323">
        <w:rPr>
          <w:noProof/>
          <w:lang w:val="es-ES"/>
        </w:rPr>
        <w:t>de conformidad con la Decisión SC59-39.</w:t>
      </w:r>
    </w:p>
    <w:p w14:paraId="4262AB0B" w14:textId="77777777" w:rsidR="00C907FE" w:rsidRPr="00064323" w:rsidRDefault="00C907FE" w:rsidP="00500D91">
      <w:pPr>
        <w:ind w:left="0" w:firstLine="0"/>
        <w:rPr>
          <w:noProof/>
          <w:lang w:val="es-ES"/>
        </w:rPr>
      </w:pPr>
    </w:p>
    <w:p w14:paraId="3E8197F6" w14:textId="53E95FCD" w:rsidR="00E32068" w:rsidRDefault="00523B6B" w:rsidP="00733561">
      <w:pPr>
        <w:rPr>
          <w:noProof/>
          <w:lang w:val="es-ES"/>
        </w:rPr>
      </w:pPr>
      <w:r w:rsidRPr="00064323">
        <w:rPr>
          <w:noProof/>
          <w:lang w:val="es-ES"/>
        </w:rPr>
        <w:t>3</w:t>
      </w:r>
      <w:r w:rsidR="004D0989" w:rsidRPr="00064323">
        <w:rPr>
          <w:noProof/>
          <w:lang w:val="es-ES"/>
        </w:rPr>
        <w:t>9</w:t>
      </w:r>
      <w:r w:rsidR="00733561" w:rsidRPr="00064323">
        <w:rPr>
          <w:noProof/>
          <w:lang w:val="es-ES"/>
        </w:rPr>
        <w:t>.</w:t>
      </w:r>
      <w:r w:rsidR="00733561" w:rsidRPr="00064323">
        <w:rPr>
          <w:noProof/>
          <w:lang w:val="es-ES"/>
        </w:rPr>
        <w:tab/>
      </w:r>
      <w:r w:rsidR="00E32068">
        <w:rPr>
          <w:noProof/>
          <w:lang w:val="es-ES"/>
        </w:rPr>
        <w:t>L</w:t>
      </w:r>
      <w:r w:rsidR="00E32068" w:rsidRPr="00064323">
        <w:rPr>
          <w:noProof/>
          <w:lang w:val="es-ES"/>
        </w:rPr>
        <w:t xml:space="preserve">a </w:t>
      </w:r>
      <w:r w:rsidR="00E32068" w:rsidRPr="00E32068">
        <w:rPr>
          <w:noProof/>
          <w:lang w:val="es-ES"/>
        </w:rPr>
        <w:t xml:space="preserve">Secretaría sugiere que el saldo restante </w:t>
      </w:r>
      <w:r w:rsidR="00E32068">
        <w:rPr>
          <w:noProof/>
          <w:lang w:val="es-ES"/>
        </w:rPr>
        <w:t xml:space="preserve">de 406 500 francos suizos </w:t>
      </w:r>
      <w:r w:rsidR="00E32068" w:rsidRPr="00E32068">
        <w:rPr>
          <w:noProof/>
          <w:lang w:val="es-ES"/>
        </w:rPr>
        <w:t>de</w:t>
      </w:r>
      <w:r w:rsidR="00E32068">
        <w:rPr>
          <w:noProof/>
          <w:lang w:val="es-ES"/>
        </w:rPr>
        <w:t xml:space="preserve"> la partida</w:t>
      </w:r>
      <w:r w:rsidR="00E32068" w:rsidRPr="00E32068">
        <w:rPr>
          <w:noProof/>
          <w:lang w:val="es-ES"/>
        </w:rPr>
        <w:t xml:space="preserve"> </w:t>
      </w:r>
      <w:r w:rsidR="00E32068" w:rsidRPr="00064323">
        <w:rPr>
          <w:noProof/>
          <w:lang w:val="es-ES"/>
        </w:rPr>
        <w:t>“Presupuesto para 2020 aprobado por la reunión SC58 y ahorros no comprometidos traspasados al año siguiente”</w:t>
      </w:r>
      <w:r w:rsidR="00E32068" w:rsidRPr="00E32068">
        <w:rPr>
          <w:noProof/>
          <w:lang w:val="es-ES"/>
        </w:rPr>
        <w:t xml:space="preserve"> se añada al presupuesto de 2022 como fondo de reserva adicional para futuras asignaciones </w:t>
      </w:r>
      <w:r w:rsidR="003059C4">
        <w:rPr>
          <w:noProof/>
          <w:lang w:val="es-ES"/>
        </w:rPr>
        <w:t>por parte d</w:t>
      </w:r>
      <w:r w:rsidR="00E32068" w:rsidRPr="00E32068">
        <w:rPr>
          <w:noProof/>
          <w:lang w:val="es-ES"/>
        </w:rPr>
        <w:t xml:space="preserve">el Comité Permanente. Estos ajustes se presentan en la columna D del cuadro del Anexo 4.   </w:t>
      </w:r>
    </w:p>
    <w:p w14:paraId="220274ED" w14:textId="77777777" w:rsidR="00A03E56" w:rsidRPr="00064323" w:rsidRDefault="00A03E56" w:rsidP="00064323">
      <w:pPr>
        <w:ind w:left="0" w:firstLine="0"/>
        <w:rPr>
          <w:noProof/>
          <w:lang w:val="es-ES"/>
        </w:rPr>
      </w:pPr>
    </w:p>
    <w:p w14:paraId="5FD5AEDC" w14:textId="3C4BAC9F" w:rsidR="000603B8" w:rsidRPr="00064323" w:rsidRDefault="00064323" w:rsidP="00DB52BE">
      <w:pPr>
        <w:ind w:left="0" w:firstLine="0"/>
        <w:rPr>
          <w:i/>
          <w:noProof/>
          <w:lang w:val="es-ES"/>
        </w:rPr>
      </w:pPr>
      <w:r w:rsidRPr="00064323">
        <w:rPr>
          <w:i/>
          <w:noProof/>
          <w:lang w:val="es-ES"/>
        </w:rPr>
        <w:t>Posible uso de los ahorros de 2021</w:t>
      </w:r>
    </w:p>
    <w:p w14:paraId="6EECA6CD" w14:textId="77777777" w:rsidR="00064323" w:rsidRPr="00064323" w:rsidRDefault="00064323" w:rsidP="00DB52BE">
      <w:pPr>
        <w:ind w:left="0" w:firstLine="0"/>
        <w:rPr>
          <w:b/>
          <w:noProof/>
          <w:lang w:val="es-ES"/>
        </w:rPr>
      </w:pPr>
    </w:p>
    <w:p w14:paraId="5F4EFE1B" w14:textId="0900BA90" w:rsidR="00064323" w:rsidRPr="00064323" w:rsidRDefault="004D0989" w:rsidP="00064323">
      <w:pPr>
        <w:rPr>
          <w:noProof/>
          <w:color w:val="000000" w:themeColor="text1"/>
          <w:lang w:val="es-ES"/>
        </w:rPr>
      </w:pPr>
      <w:r w:rsidRPr="00064323">
        <w:rPr>
          <w:noProof/>
          <w:lang w:val="es-ES"/>
        </w:rPr>
        <w:t>40</w:t>
      </w:r>
      <w:r w:rsidR="006728F4" w:rsidRPr="00064323">
        <w:rPr>
          <w:noProof/>
          <w:lang w:val="es-ES"/>
        </w:rPr>
        <w:t>.</w:t>
      </w:r>
      <w:r w:rsidR="00DB52BE" w:rsidRPr="00064323">
        <w:rPr>
          <w:noProof/>
          <w:lang w:val="es-ES"/>
        </w:rPr>
        <w:t xml:space="preserve"> </w:t>
      </w:r>
      <w:r w:rsidR="00DB52BE" w:rsidRPr="00064323">
        <w:rPr>
          <w:noProof/>
          <w:lang w:val="es-ES"/>
        </w:rPr>
        <w:tab/>
      </w:r>
      <w:r w:rsidR="00064323" w:rsidRPr="00064323">
        <w:rPr>
          <w:noProof/>
          <w:lang w:val="es-ES"/>
        </w:rPr>
        <w:t>E</w:t>
      </w:r>
      <w:r w:rsidR="009916F4">
        <w:rPr>
          <w:noProof/>
          <w:lang w:val="es-ES"/>
        </w:rPr>
        <w:t>s posible que e</w:t>
      </w:r>
      <w:r w:rsidR="00064323" w:rsidRPr="00064323">
        <w:rPr>
          <w:noProof/>
          <w:lang w:val="es-ES"/>
        </w:rPr>
        <w:t xml:space="preserve">l Comité Permanente </w:t>
      </w:r>
      <w:r w:rsidR="009916F4">
        <w:rPr>
          <w:noProof/>
          <w:lang w:val="es-ES"/>
        </w:rPr>
        <w:t xml:space="preserve">desee </w:t>
      </w:r>
      <w:r w:rsidR="00064323" w:rsidRPr="00064323">
        <w:rPr>
          <w:noProof/>
          <w:lang w:val="es-ES"/>
        </w:rPr>
        <w:t xml:space="preserve">estudiar </w:t>
      </w:r>
      <w:r w:rsidR="00890809">
        <w:rPr>
          <w:noProof/>
          <w:lang w:val="es-ES"/>
        </w:rPr>
        <w:t xml:space="preserve">los </w:t>
      </w:r>
      <w:r w:rsidR="00064323" w:rsidRPr="00064323">
        <w:rPr>
          <w:noProof/>
          <w:lang w:val="es-ES"/>
        </w:rPr>
        <w:t xml:space="preserve">posibles usos de los ahorros de 2021, teniendo en cuenta que el fondo de reserva se encuentra en su nivel máximo. A continuación, la Secretaría presenta algunas sugerencias sobre </w:t>
      </w:r>
      <w:r w:rsidR="009916F4">
        <w:rPr>
          <w:noProof/>
          <w:lang w:val="es-ES"/>
        </w:rPr>
        <w:t xml:space="preserve">los </w:t>
      </w:r>
      <w:r w:rsidR="00064323" w:rsidRPr="00064323">
        <w:rPr>
          <w:noProof/>
          <w:lang w:val="es-ES"/>
        </w:rPr>
        <w:t>posibles usos de los ahorros</w:t>
      </w:r>
      <w:r w:rsidR="009916F4">
        <w:rPr>
          <w:noProof/>
          <w:lang w:val="es-ES"/>
        </w:rPr>
        <w:t>,</w:t>
      </w:r>
      <w:r w:rsidR="00064323" w:rsidRPr="00064323">
        <w:rPr>
          <w:noProof/>
          <w:lang w:val="es-ES"/>
        </w:rPr>
        <w:t xml:space="preserve"> para su examen: </w:t>
      </w:r>
    </w:p>
    <w:p w14:paraId="0D3A7699" w14:textId="77777777" w:rsidR="00057851" w:rsidRPr="00064323" w:rsidRDefault="00057851" w:rsidP="00064323">
      <w:pPr>
        <w:ind w:left="0" w:firstLine="0"/>
        <w:rPr>
          <w:noProof/>
          <w:lang w:val="es-ES"/>
        </w:rPr>
      </w:pPr>
    </w:p>
    <w:p w14:paraId="0D631AD2" w14:textId="3D356C05" w:rsidR="00064323" w:rsidRPr="009916F4" w:rsidRDefault="006728F4" w:rsidP="006C6093">
      <w:pPr>
        <w:ind w:left="850"/>
        <w:rPr>
          <w:noProof/>
          <w:lang w:val="es-ES"/>
        </w:rPr>
      </w:pPr>
      <w:r w:rsidRPr="009916F4">
        <w:rPr>
          <w:noProof/>
          <w:lang w:val="es-ES"/>
        </w:rPr>
        <w:t>a</w:t>
      </w:r>
      <w:r w:rsidR="00523B6B" w:rsidRPr="009916F4">
        <w:rPr>
          <w:noProof/>
          <w:lang w:val="es-ES"/>
        </w:rPr>
        <w:t>.</w:t>
      </w:r>
      <w:r w:rsidRPr="009916F4">
        <w:rPr>
          <w:noProof/>
          <w:lang w:val="es-ES"/>
        </w:rPr>
        <w:tab/>
      </w:r>
      <w:r w:rsidR="00064323" w:rsidRPr="009916F4">
        <w:rPr>
          <w:noProof/>
          <w:lang w:val="es-ES"/>
        </w:rPr>
        <w:t xml:space="preserve">228 000 francos suizos para </w:t>
      </w:r>
      <w:r w:rsidR="007C638F">
        <w:rPr>
          <w:noProof/>
          <w:lang w:val="es-ES"/>
        </w:rPr>
        <w:t>compensar</w:t>
      </w:r>
      <w:r w:rsidR="00064323" w:rsidRPr="009916F4">
        <w:rPr>
          <w:noProof/>
          <w:lang w:val="es-ES"/>
        </w:rPr>
        <w:t xml:space="preserve"> el déficit </w:t>
      </w:r>
      <w:r w:rsidR="007C638F">
        <w:rPr>
          <w:noProof/>
          <w:lang w:val="es-ES"/>
        </w:rPr>
        <w:t>existente en el</w:t>
      </w:r>
      <w:r w:rsidR="00064323" w:rsidRPr="009916F4">
        <w:rPr>
          <w:noProof/>
          <w:lang w:val="es-ES"/>
        </w:rPr>
        <w:t xml:space="preserve"> presupuesto básico para las actividades principales de la Secretaría (comunicaciones: 120 000 francos suizos, viajes del personal: 60 000 francos suizos, trabajo del GECT: 15 000 francos suizos, y planificación y creación de capacidad: 33 000 francos suizos)</w:t>
      </w:r>
      <w:r w:rsidR="007C638F">
        <w:rPr>
          <w:noProof/>
          <w:lang w:val="es-ES"/>
        </w:rPr>
        <w:t>. El déficit</w:t>
      </w:r>
      <w:r w:rsidR="00064323" w:rsidRPr="009916F4">
        <w:rPr>
          <w:noProof/>
          <w:lang w:val="es-ES"/>
        </w:rPr>
        <w:t xml:space="preserve"> </w:t>
      </w:r>
      <w:r w:rsidR="007C638F">
        <w:rPr>
          <w:noProof/>
          <w:lang w:val="es-ES"/>
        </w:rPr>
        <w:t>surgió</w:t>
      </w:r>
      <w:r w:rsidR="004B7261" w:rsidRPr="009916F4">
        <w:rPr>
          <w:noProof/>
          <w:lang w:val="es-ES"/>
        </w:rPr>
        <w:t xml:space="preserve"> </w:t>
      </w:r>
      <w:r w:rsidR="007C638F">
        <w:rPr>
          <w:noProof/>
          <w:lang w:val="es-ES"/>
        </w:rPr>
        <w:t>a raíz de</w:t>
      </w:r>
      <w:r w:rsidR="00064323" w:rsidRPr="009916F4">
        <w:rPr>
          <w:noProof/>
          <w:lang w:val="es-ES"/>
        </w:rPr>
        <w:t xml:space="preserve"> </w:t>
      </w:r>
      <w:r w:rsidR="007C638F">
        <w:rPr>
          <w:noProof/>
          <w:lang w:val="es-ES"/>
        </w:rPr>
        <w:t>la creación</w:t>
      </w:r>
      <w:r w:rsidR="00064323" w:rsidRPr="009916F4">
        <w:rPr>
          <w:noProof/>
          <w:lang w:val="es-ES"/>
        </w:rPr>
        <w:t xml:space="preserve"> del puesto de auxiliar contable y financiero –véase el párrafo 1</w:t>
      </w:r>
      <w:r w:rsidR="004B7261" w:rsidRPr="009916F4">
        <w:rPr>
          <w:noProof/>
          <w:lang w:val="es-ES"/>
        </w:rPr>
        <w:t>9, más arriba</w:t>
      </w:r>
      <w:r w:rsidR="00064323" w:rsidRPr="009916F4">
        <w:rPr>
          <w:noProof/>
          <w:lang w:val="es-ES"/>
        </w:rPr>
        <w:t>– para el trienio 202</w:t>
      </w:r>
      <w:r w:rsidR="004B7261" w:rsidRPr="009916F4">
        <w:rPr>
          <w:noProof/>
          <w:lang w:val="es-ES"/>
        </w:rPr>
        <w:t>3</w:t>
      </w:r>
      <w:r w:rsidR="00064323" w:rsidRPr="009916F4">
        <w:rPr>
          <w:noProof/>
          <w:lang w:val="es-ES"/>
        </w:rPr>
        <w:t>-202</w:t>
      </w:r>
      <w:r w:rsidR="004B7261" w:rsidRPr="009916F4">
        <w:rPr>
          <w:noProof/>
          <w:lang w:val="es-ES"/>
        </w:rPr>
        <w:t>5</w:t>
      </w:r>
      <w:r w:rsidR="007C638F">
        <w:rPr>
          <w:noProof/>
          <w:lang w:val="es-ES"/>
        </w:rPr>
        <w:t xml:space="preserve">, </w:t>
      </w:r>
      <w:r w:rsidR="007C638F" w:rsidRPr="007C638F">
        <w:rPr>
          <w:noProof/>
          <w:lang w:val="es-ES"/>
        </w:rPr>
        <w:t>lo mismo que en el trienio 2019-2021</w:t>
      </w:r>
      <w:r w:rsidR="007C638F">
        <w:rPr>
          <w:noProof/>
          <w:lang w:val="es-ES"/>
        </w:rPr>
        <w:t>,</w:t>
      </w:r>
      <w:r w:rsidR="007C638F" w:rsidRPr="007C638F">
        <w:rPr>
          <w:noProof/>
          <w:lang w:val="es-ES"/>
        </w:rPr>
        <w:t xml:space="preserve"> </w:t>
      </w:r>
      <w:r w:rsidR="007C638F">
        <w:rPr>
          <w:noProof/>
          <w:lang w:val="es-ES"/>
        </w:rPr>
        <w:t>con</w:t>
      </w:r>
      <w:r w:rsidR="009916F4" w:rsidRPr="009916F4">
        <w:rPr>
          <w:noProof/>
          <w:lang w:val="es-ES"/>
        </w:rPr>
        <w:t xml:space="preserve"> arreglo al párrafo 15 de la Resolución</w:t>
      </w:r>
      <w:r w:rsidR="009916F4">
        <w:rPr>
          <w:noProof/>
          <w:lang w:val="es-ES"/>
        </w:rPr>
        <w:t xml:space="preserve"> XIII.2</w:t>
      </w:r>
      <w:r w:rsidR="00064323" w:rsidRPr="009916F4">
        <w:rPr>
          <w:noProof/>
          <w:lang w:val="es-ES"/>
        </w:rPr>
        <w:t xml:space="preserve">. Esta asignación es prioritaria para mantener el presupuesto mínimo necesario para las actividades de la Secretaría y el puesto de auxiliar contable y financiero, que ha resultado ser muy </w:t>
      </w:r>
      <w:r w:rsidR="009916F4">
        <w:rPr>
          <w:noProof/>
          <w:lang w:val="es-ES"/>
        </w:rPr>
        <w:t>eficaz</w:t>
      </w:r>
      <w:r w:rsidR="00064323" w:rsidRPr="009916F4">
        <w:rPr>
          <w:noProof/>
          <w:lang w:val="es-ES"/>
        </w:rPr>
        <w:t xml:space="preserve"> para el trabajo de la Secretaría;</w:t>
      </w:r>
    </w:p>
    <w:p w14:paraId="6301DC80" w14:textId="77777777" w:rsidR="00523B6B" w:rsidRPr="00064323" w:rsidRDefault="00523B6B" w:rsidP="00A67D44">
      <w:pPr>
        <w:ind w:left="0" w:firstLine="0"/>
        <w:rPr>
          <w:noProof/>
          <w:lang w:val="es-ES"/>
        </w:rPr>
      </w:pPr>
    </w:p>
    <w:p w14:paraId="59553ECA" w14:textId="4F11918E" w:rsidR="00A67D44" w:rsidRDefault="006728F4" w:rsidP="006C6093">
      <w:pPr>
        <w:ind w:left="850"/>
        <w:rPr>
          <w:noProof/>
          <w:lang w:val="es-ES"/>
        </w:rPr>
      </w:pPr>
      <w:r w:rsidRPr="00064323">
        <w:rPr>
          <w:noProof/>
          <w:lang w:val="es-ES"/>
        </w:rPr>
        <w:t>b</w:t>
      </w:r>
      <w:r w:rsidR="00523B6B" w:rsidRPr="00064323">
        <w:rPr>
          <w:noProof/>
          <w:lang w:val="es-ES"/>
        </w:rPr>
        <w:t>.</w:t>
      </w:r>
      <w:r w:rsidR="004D0989" w:rsidRPr="00064323">
        <w:rPr>
          <w:noProof/>
          <w:lang w:val="es-ES"/>
        </w:rPr>
        <w:tab/>
      </w:r>
      <w:r w:rsidR="00A67D44" w:rsidRPr="00A67D44">
        <w:rPr>
          <w:noProof/>
          <w:lang w:val="es-ES"/>
        </w:rPr>
        <w:t xml:space="preserve">Como se indica en el documento SC59 Doc.13.1 </w:t>
      </w:r>
      <w:r w:rsidR="00A67D44" w:rsidRPr="00A67D44">
        <w:rPr>
          <w:i/>
          <w:iCs/>
          <w:noProof/>
          <w:lang w:val="es-ES"/>
        </w:rPr>
        <w:t>Examen de todas las resoluciones y decisiones anteriores: Proc</w:t>
      </w:r>
      <w:r w:rsidR="00A67D44">
        <w:rPr>
          <w:i/>
          <w:iCs/>
          <w:noProof/>
          <w:lang w:val="es-ES"/>
        </w:rPr>
        <w:t>edimiento</w:t>
      </w:r>
      <w:r w:rsidR="00A67D44" w:rsidRPr="00A67D44">
        <w:rPr>
          <w:i/>
          <w:iCs/>
          <w:noProof/>
          <w:lang w:val="es-ES"/>
        </w:rPr>
        <w:t xml:space="preserve"> para </w:t>
      </w:r>
      <w:r w:rsidR="00A67D44">
        <w:rPr>
          <w:i/>
          <w:iCs/>
          <w:noProof/>
          <w:lang w:val="es-ES"/>
        </w:rPr>
        <w:t>realizar el</w:t>
      </w:r>
      <w:r w:rsidR="00A67D44" w:rsidRPr="00A67D44">
        <w:rPr>
          <w:i/>
          <w:iCs/>
          <w:noProof/>
          <w:lang w:val="es-ES"/>
        </w:rPr>
        <w:t xml:space="preserve"> </w:t>
      </w:r>
      <w:r w:rsidR="00A67D44">
        <w:rPr>
          <w:i/>
          <w:iCs/>
          <w:noProof/>
          <w:lang w:val="es-ES"/>
        </w:rPr>
        <w:t>examen</w:t>
      </w:r>
      <w:r w:rsidR="00A67D44" w:rsidRPr="00A67D44">
        <w:rPr>
          <w:noProof/>
          <w:lang w:val="es-ES"/>
        </w:rPr>
        <w:t xml:space="preserve">, la Secretaría ha identificado la necesidad de recursos adicionales </w:t>
      </w:r>
      <w:r w:rsidR="00A67D44">
        <w:rPr>
          <w:noProof/>
          <w:lang w:val="es-ES"/>
        </w:rPr>
        <w:t xml:space="preserve">por la suma de </w:t>
      </w:r>
      <w:r w:rsidR="00A67D44" w:rsidRPr="00A67D44">
        <w:rPr>
          <w:noProof/>
          <w:lang w:val="es-ES"/>
        </w:rPr>
        <w:t>10</w:t>
      </w:r>
      <w:r w:rsidR="00A67D44">
        <w:rPr>
          <w:noProof/>
          <w:lang w:val="es-ES"/>
        </w:rPr>
        <w:t xml:space="preserve"> 000 francos suizos </w:t>
      </w:r>
      <w:r w:rsidR="00A67D44" w:rsidRPr="00A67D44">
        <w:rPr>
          <w:noProof/>
          <w:lang w:val="es-ES"/>
        </w:rPr>
        <w:t xml:space="preserve">para dar los </w:t>
      </w:r>
      <w:r w:rsidR="00A67D44">
        <w:rPr>
          <w:noProof/>
          <w:lang w:val="es-ES"/>
        </w:rPr>
        <w:t>siguientes</w:t>
      </w:r>
      <w:r w:rsidR="00A67D44" w:rsidRPr="00A67D44">
        <w:rPr>
          <w:noProof/>
          <w:lang w:val="es-ES"/>
        </w:rPr>
        <w:t xml:space="preserve"> pasos </w:t>
      </w:r>
      <w:r w:rsidR="00A67D44">
        <w:rPr>
          <w:noProof/>
          <w:lang w:val="es-ES"/>
        </w:rPr>
        <w:t>en</w:t>
      </w:r>
      <w:r w:rsidR="00A67D44" w:rsidRPr="00A67D44">
        <w:rPr>
          <w:noProof/>
          <w:lang w:val="es-ES"/>
        </w:rPr>
        <w:t xml:space="preserve"> esta </w:t>
      </w:r>
      <w:r w:rsidR="004D43A2">
        <w:rPr>
          <w:noProof/>
          <w:lang w:val="es-ES"/>
        </w:rPr>
        <w:t>labor</w:t>
      </w:r>
      <w:r w:rsidR="00A67D44" w:rsidRPr="00A67D44">
        <w:rPr>
          <w:noProof/>
          <w:lang w:val="es-ES"/>
        </w:rPr>
        <w:t xml:space="preserve">, </w:t>
      </w:r>
      <w:r w:rsidR="005908B2">
        <w:rPr>
          <w:noProof/>
          <w:lang w:val="es-ES"/>
        </w:rPr>
        <w:t>siempre y cuando lo apruebe</w:t>
      </w:r>
      <w:r w:rsidR="00A67D44" w:rsidRPr="00A67D44">
        <w:rPr>
          <w:noProof/>
          <w:lang w:val="es-ES"/>
        </w:rPr>
        <w:t xml:space="preserve"> el Comité Permanente. </w:t>
      </w:r>
      <w:r w:rsidR="00A67D44">
        <w:rPr>
          <w:noProof/>
          <w:lang w:val="es-ES"/>
        </w:rPr>
        <w:t>Este monto</w:t>
      </w:r>
      <w:r w:rsidR="00A67D44" w:rsidRPr="00A67D44">
        <w:rPr>
          <w:noProof/>
          <w:lang w:val="es-ES"/>
        </w:rPr>
        <w:t xml:space="preserve"> se suma a un importe de 2</w:t>
      </w:r>
      <w:r w:rsidR="005C2A5A">
        <w:rPr>
          <w:noProof/>
          <w:lang w:val="es-ES"/>
        </w:rPr>
        <w:t xml:space="preserve"> 000 francos suizos </w:t>
      </w:r>
      <w:r w:rsidR="00A67D44" w:rsidRPr="00A67D44">
        <w:rPr>
          <w:noProof/>
          <w:lang w:val="es-ES"/>
        </w:rPr>
        <w:t>de saldo pre</w:t>
      </w:r>
      <w:r w:rsidR="005C2A5A">
        <w:rPr>
          <w:noProof/>
          <w:lang w:val="es-ES"/>
        </w:rPr>
        <w:t xml:space="preserve">viamente </w:t>
      </w:r>
      <w:r w:rsidR="00A67D44" w:rsidRPr="00A67D44">
        <w:rPr>
          <w:noProof/>
          <w:lang w:val="es-ES"/>
        </w:rPr>
        <w:t xml:space="preserve">comprometido de 2021 en el Anexo 4, con lo que el presupuesto total disponible en 2021 para </w:t>
      </w:r>
      <w:r w:rsidR="005C2A5A">
        <w:rPr>
          <w:noProof/>
          <w:lang w:val="es-ES"/>
        </w:rPr>
        <w:t>el examen</w:t>
      </w:r>
      <w:r w:rsidR="00A67D44" w:rsidRPr="00A67D44">
        <w:rPr>
          <w:noProof/>
          <w:lang w:val="es-ES"/>
        </w:rPr>
        <w:t xml:space="preserve"> de las </w:t>
      </w:r>
      <w:r w:rsidR="005C2A5A">
        <w:rPr>
          <w:noProof/>
          <w:lang w:val="es-ES"/>
        </w:rPr>
        <w:t>r</w:t>
      </w:r>
      <w:r w:rsidR="00A67D44" w:rsidRPr="00A67D44">
        <w:rPr>
          <w:noProof/>
          <w:lang w:val="es-ES"/>
        </w:rPr>
        <w:t>esoluciones asciende a 12</w:t>
      </w:r>
      <w:r w:rsidR="005C2A5A">
        <w:rPr>
          <w:noProof/>
          <w:lang w:val="es-ES"/>
        </w:rPr>
        <w:t xml:space="preserve"> 000</w:t>
      </w:r>
      <w:r w:rsidR="00A67D44" w:rsidRPr="00A67D44">
        <w:rPr>
          <w:noProof/>
          <w:lang w:val="es-ES"/>
        </w:rPr>
        <w:t xml:space="preserve"> </w:t>
      </w:r>
      <w:r w:rsidR="005C2A5A">
        <w:rPr>
          <w:noProof/>
          <w:lang w:val="es-ES"/>
        </w:rPr>
        <w:t>francos suizos</w:t>
      </w:r>
      <w:r w:rsidR="00A67D44" w:rsidRPr="00A67D44">
        <w:rPr>
          <w:noProof/>
          <w:lang w:val="es-ES"/>
        </w:rPr>
        <w:t>. La Secretaría propone que estos recursos se asignen de los ahorros de 2021 y solicita la aprobación de la</w:t>
      </w:r>
      <w:r w:rsidR="009E3645">
        <w:rPr>
          <w:noProof/>
          <w:lang w:val="es-ES"/>
        </w:rPr>
        <w:t xml:space="preserve"> reunión</w:t>
      </w:r>
      <w:r w:rsidR="00A67D44" w:rsidRPr="00A67D44">
        <w:rPr>
          <w:noProof/>
          <w:lang w:val="es-ES"/>
        </w:rPr>
        <w:t xml:space="preserve"> SC59 </w:t>
      </w:r>
      <w:r w:rsidR="004D43A2">
        <w:rPr>
          <w:noProof/>
          <w:lang w:val="es-ES"/>
        </w:rPr>
        <w:t>a este respecto</w:t>
      </w:r>
      <w:r w:rsidR="00A67D44" w:rsidRPr="00A67D44">
        <w:rPr>
          <w:noProof/>
          <w:lang w:val="es-ES"/>
        </w:rPr>
        <w:t>.</w:t>
      </w:r>
    </w:p>
    <w:p w14:paraId="4B69CB7B" w14:textId="77777777" w:rsidR="00351E0A" w:rsidRPr="00064323" w:rsidRDefault="00351E0A" w:rsidP="005C2A5A">
      <w:pPr>
        <w:ind w:left="0" w:firstLine="0"/>
        <w:rPr>
          <w:noProof/>
          <w:lang w:val="es-ES"/>
        </w:rPr>
      </w:pPr>
    </w:p>
    <w:p w14:paraId="29C188CC" w14:textId="068543D7" w:rsidR="005C2A5A" w:rsidRDefault="00DB52BE" w:rsidP="00353759">
      <w:pPr>
        <w:ind w:left="851"/>
        <w:rPr>
          <w:noProof/>
          <w:lang w:val="es-ES"/>
        </w:rPr>
      </w:pPr>
      <w:r w:rsidRPr="00064323">
        <w:rPr>
          <w:noProof/>
          <w:lang w:val="es-ES"/>
        </w:rPr>
        <w:t>c</w:t>
      </w:r>
      <w:r w:rsidR="004D0989" w:rsidRPr="00064323">
        <w:rPr>
          <w:noProof/>
          <w:lang w:val="es-ES"/>
        </w:rPr>
        <w:t>.</w:t>
      </w:r>
      <w:r w:rsidR="004D0989" w:rsidRPr="00064323">
        <w:rPr>
          <w:noProof/>
          <w:lang w:val="es-ES"/>
        </w:rPr>
        <w:tab/>
      </w:r>
      <w:r w:rsidR="00041151" w:rsidRPr="00041151">
        <w:rPr>
          <w:noProof/>
          <w:lang w:val="es-ES"/>
        </w:rPr>
        <w:t>600</w:t>
      </w:r>
      <w:r w:rsidR="00041151">
        <w:rPr>
          <w:noProof/>
          <w:lang w:val="es-ES"/>
        </w:rPr>
        <w:t xml:space="preserve"> 000 francos suizos</w:t>
      </w:r>
      <w:r w:rsidR="00041151" w:rsidRPr="00041151">
        <w:rPr>
          <w:noProof/>
          <w:lang w:val="es-ES"/>
        </w:rPr>
        <w:t xml:space="preserve"> para cubrir los gastos de viaje de los delegados </w:t>
      </w:r>
      <w:r w:rsidR="00041151">
        <w:rPr>
          <w:noProof/>
          <w:lang w:val="es-ES"/>
        </w:rPr>
        <w:t>que asistirán a</w:t>
      </w:r>
      <w:r w:rsidR="00041151" w:rsidRPr="00041151">
        <w:rPr>
          <w:noProof/>
          <w:lang w:val="es-ES"/>
        </w:rPr>
        <w:t xml:space="preserve"> la COP14 si la Secretaría no </w:t>
      </w:r>
      <w:r w:rsidR="009E3645">
        <w:rPr>
          <w:noProof/>
          <w:lang w:val="es-ES"/>
        </w:rPr>
        <w:t>logra</w:t>
      </w:r>
      <w:r w:rsidR="00041151" w:rsidRPr="00041151">
        <w:rPr>
          <w:noProof/>
          <w:lang w:val="es-ES"/>
        </w:rPr>
        <w:t xml:space="preserve"> recaudar la totalidad de los fondos </w:t>
      </w:r>
      <w:r w:rsidR="00041151">
        <w:rPr>
          <w:noProof/>
          <w:lang w:val="es-ES"/>
        </w:rPr>
        <w:t>complementarios</w:t>
      </w:r>
      <w:r w:rsidR="00041151" w:rsidRPr="00041151">
        <w:rPr>
          <w:noProof/>
          <w:lang w:val="es-ES"/>
        </w:rPr>
        <w:t xml:space="preserve"> </w:t>
      </w:r>
      <w:r w:rsidR="00041151">
        <w:rPr>
          <w:noProof/>
          <w:lang w:val="es-ES"/>
        </w:rPr>
        <w:t>que se requieren</w:t>
      </w:r>
      <w:r w:rsidR="00041151" w:rsidRPr="00041151">
        <w:rPr>
          <w:noProof/>
          <w:lang w:val="es-ES"/>
        </w:rPr>
        <w:t xml:space="preserve">. La Secretaría ha iniciado la recaudación de fondos para los viajes de los delegados patrocinados </w:t>
      </w:r>
      <w:r w:rsidR="00041151">
        <w:rPr>
          <w:noProof/>
          <w:lang w:val="es-ES"/>
        </w:rPr>
        <w:t xml:space="preserve">para que participen en </w:t>
      </w:r>
      <w:r w:rsidR="00041151" w:rsidRPr="00041151">
        <w:rPr>
          <w:noProof/>
          <w:lang w:val="es-ES"/>
        </w:rPr>
        <w:t xml:space="preserve">la COP14 y algunas Partes ya han prometido fondos </w:t>
      </w:r>
      <w:r w:rsidR="00041151">
        <w:rPr>
          <w:noProof/>
          <w:lang w:val="es-ES"/>
        </w:rPr>
        <w:t>con este propósito</w:t>
      </w:r>
      <w:r w:rsidR="00041151" w:rsidRPr="00041151">
        <w:rPr>
          <w:noProof/>
          <w:lang w:val="es-ES"/>
        </w:rPr>
        <w:t xml:space="preserve">. Sin embargo, </w:t>
      </w:r>
      <w:r w:rsidR="00041151">
        <w:rPr>
          <w:noProof/>
          <w:lang w:val="es-ES"/>
        </w:rPr>
        <w:t>no será fácil</w:t>
      </w:r>
      <w:r w:rsidR="00041151" w:rsidRPr="00041151">
        <w:rPr>
          <w:noProof/>
          <w:lang w:val="es-ES"/>
        </w:rPr>
        <w:t xml:space="preserve"> </w:t>
      </w:r>
      <w:r w:rsidR="00041151">
        <w:rPr>
          <w:noProof/>
          <w:lang w:val="es-ES"/>
        </w:rPr>
        <w:t>recaudar</w:t>
      </w:r>
      <w:r w:rsidR="00041151" w:rsidRPr="00041151">
        <w:rPr>
          <w:noProof/>
          <w:lang w:val="es-ES"/>
        </w:rPr>
        <w:t xml:space="preserve"> la totalidad de los fondos necesarios </w:t>
      </w:r>
      <w:r w:rsidR="00041151">
        <w:rPr>
          <w:noProof/>
          <w:lang w:val="es-ES"/>
        </w:rPr>
        <w:t>teniendo en cuenta</w:t>
      </w:r>
      <w:r w:rsidR="00041151" w:rsidRPr="00041151">
        <w:rPr>
          <w:noProof/>
          <w:lang w:val="es-ES"/>
        </w:rPr>
        <w:t xml:space="preserve"> la difícil situación económica y el </w:t>
      </w:r>
      <w:r w:rsidR="00041151">
        <w:rPr>
          <w:noProof/>
          <w:lang w:val="es-ES"/>
        </w:rPr>
        <w:t>gran</w:t>
      </w:r>
      <w:r w:rsidR="00041151" w:rsidRPr="00041151">
        <w:rPr>
          <w:noProof/>
          <w:lang w:val="es-ES"/>
        </w:rPr>
        <w:t xml:space="preserve"> número de reuniones internacionales que </w:t>
      </w:r>
      <w:r w:rsidR="00041151">
        <w:rPr>
          <w:noProof/>
          <w:lang w:val="es-ES"/>
        </w:rPr>
        <w:t>se celebrarán</w:t>
      </w:r>
      <w:r w:rsidR="00041151" w:rsidRPr="00041151">
        <w:rPr>
          <w:noProof/>
          <w:lang w:val="es-ES"/>
        </w:rPr>
        <w:t xml:space="preserve"> en 2022.</w:t>
      </w:r>
    </w:p>
    <w:p w14:paraId="2BAD9C46" w14:textId="77777777" w:rsidR="00353759" w:rsidRPr="00064323" w:rsidRDefault="00353759" w:rsidP="00041151">
      <w:pPr>
        <w:pStyle w:val="NoSpacing"/>
        <w:ind w:left="0" w:firstLine="0"/>
        <w:rPr>
          <w:noProof/>
          <w:lang w:val="es-ES"/>
        </w:rPr>
      </w:pPr>
    </w:p>
    <w:p w14:paraId="3E3303DE" w14:textId="6C89E4A2" w:rsidR="00041151" w:rsidRDefault="004D0989" w:rsidP="004D0989">
      <w:pPr>
        <w:rPr>
          <w:noProof/>
          <w:lang w:val="es-ES"/>
        </w:rPr>
      </w:pPr>
      <w:r w:rsidRPr="00064323">
        <w:rPr>
          <w:noProof/>
          <w:lang w:val="es-ES"/>
        </w:rPr>
        <w:t>41</w:t>
      </w:r>
      <w:r w:rsidR="00353759" w:rsidRPr="00064323">
        <w:rPr>
          <w:noProof/>
          <w:lang w:val="es-ES"/>
        </w:rPr>
        <w:t>.</w:t>
      </w:r>
      <w:r w:rsidRPr="00064323">
        <w:rPr>
          <w:noProof/>
          <w:lang w:val="es-ES"/>
        </w:rPr>
        <w:tab/>
      </w:r>
      <w:r w:rsidR="00041151" w:rsidRPr="00041151">
        <w:rPr>
          <w:noProof/>
          <w:lang w:val="es-ES"/>
        </w:rPr>
        <w:t xml:space="preserve">Se invita al Comité Permanente a </w:t>
      </w:r>
      <w:r w:rsidR="00041151">
        <w:rPr>
          <w:noProof/>
          <w:lang w:val="es-ES"/>
        </w:rPr>
        <w:t>examinar</w:t>
      </w:r>
      <w:r w:rsidR="00041151" w:rsidRPr="00041151">
        <w:rPr>
          <w:noProof/>
          <w:lang w:val="es-ES"/>
        </w:rPr>
        <w:t xml:space="preserve"> estas propuestas </w:t>
      </w:r>
      <w:r w:rsidR="00041151">
        <w:rPr>
          <w:noProof/>
          <w:lang w:val="es-ES"/>
        </w:rPr>
        <w:t>de uso</w:t>
      </w:r>
      <w:r w:rsidR="00041151" w:rsidRPr="00041151">
        <w:rPr>
          <w:noProof/>
          <w:lang w:val="es-ES"/>
        </w:rPr>
        <w:t xml:space="preserve"> de los ahorros</w:t>
      </w:r>
      <w:r w:rsidR="00972916">
        <w:rPr>
          <w:noProof/>
          <w:lang w:val="es-ES"/>
        </w:rPr>
        <w:t xml:space="preserve">, así como </w:t>
      </w:r>
      <w:r w:rsidR="00041151" w:rsidRPr="00041151">
        <w:rPr>
          <w:noProof/>
          <w:lang w:val="es-ES"/>
        </w:rPr>
        <w:t xml:space="preserve">la posibilidad de establecer otras reservas operativas cuando </w:t>
      </w:r>
      <w:r w:rsidR="00972916">
        <w:rPr>
          <w:noProof/>
          <w:lang w:val="es-ES"/>
        </w:rPr>
        <w:t>tome la decisión</w:t>
      </w:r>
      <w:r w:rsidR="00041151" w:rsidRPr="00041151">
        <w:rPr>
          <w:noProof/>
          <w:lang w:val="es-ES"/>
        </w:rPr>
        <w:t xml:space="preserve"> </w:t>
      </w:r>
      <w:r w:rsidR="00972916">
        <w:rPr>
          <w:noProof/>
          <w:lang w:val="es-ES"/>
        </w:rPr>
        <w:t xml:space="preserve">sobre </w:t>
      </w:r>
      <w:r w:rsidR="00041151" w:rsidRPr="00041151">
        <w:rPr>
          <w:noProof/>
          <w:lang w:val="es-ES"/>
        </w:rPr>
        <w:t xml:space="preserve">la asignación de los ahorros </w:t>
      </w:r>
      <w:r w:rsidR="00972916">
        <w:rPr>
          <w:noProof/>
          <w:lang w:val="es-ES"/>
        </w:rPr>
        <w:t>que se identifiquen</w:t>
      </w:r>
      <w:r w:rsidR="00041151" w:rsidRPr="00041151">
        <w:rPr>
          <w:noProof/>
          <w:lang w:val="es-ES"/>
        </w:rPr>
        <w:t xml:space="preserve"> al final del trienio.</w:t>
      </w:r>
    </w:p>
    <w:p w14:paraId="3FA1F091" w14:textId="77777777" w:rsidR="00DB52BE" w:rsidRPr="00064323" w:rsidRDefault="00DB52BE" w:rsidP="00DB52BE">
      <w:pPr>
        <w:ind w:left="0" w:firstLine="0"/>
        <w:rPr>
          <w:b/>
          <w:noProof/>
          <w:lang w:val="es-ES"/>
        </w:rPr>
      </w:pPr>
    </w:p>
    <w:p w14:paraId="66738F3B" w14:textId="77777777" w:rsidR="00972916" w:rsidRDefault="00972916" w:rsidP="00313E2B">
      <w:pPr>
        <w:pStyle w:val="NoSpacing"/>
        <w:keepNext/>
        <w:rPr>
          <w:b/>
          <w:noProof/>
          <w:lang w:val="es-ES"/>
        </w:rPr>
      </w:pPr>
      <w:r w:rsidRPr="00972916">
        <w:rPr>
          <w:b/>
          <w:noProof/>
          <w:lang w:val="es-ES"/>
        </w:rPr>
        <w:lastRenderedPageBreak/>
        <w:t>Información sobre otros asuntos</w:t>
      </w:r>
    </w:p>
    <w:p w14:paraId="2C9C1206" w14:textId="77777777" w:rsidR="008B2B9E" w:rsidRPr="00064323" w:rsidRDefault="008B2B9E" w:rsidP="00313E2B">
      <w:pPr>
        <w:keepNext/>
        <w:rPr>
          <w:noProof/>
          <w:lang w:val="es-ES"/>
        </w:rPr>
      </w:pPr>
    </w:p>
    <w:p w14:paraId="07CE1576" w14:textId="0724EC67" w:rsidR="00972916" w:rsidRDefault="004D0989" w:rsidP="005470C7">
      <w:pPr>
        <w:rPr>
          <w:noProof/>
          <w:lang w:val="es-ES"/>
        </w:rPr>
      </w:pPr>
      <w:r w:rsidRPr="00064323">
        <w:rPr>
          <w:noProof/>
          <w:lang w:val="es-ES"/>
        </w:rPr>
        <w:t>42</w:t>
      </w:r>
      <w:r w:rsidR="00EE31AB" w:rsidRPr="00064323">
        <w:rPr>
          <w:noProof/>
          <w:lang w:val="es-ES"/>
        </w:rPr>
        <w:t>.</w:t>
      </w:r>
      <w:r w:rsidR="00264303" w:rsidRPr="00064323">
        <w:rPr>
          <w:noProof/>
          <w:lang w:val="es-ES"/>
        </w:rPr>
        <w:tab/>
      </w:r>
      <w:r w:rsidR="00972916" w:rsidRPr="00972916">
        <w:rPr>
          <w:noProof/>
          <w:lang w:val="es-ES"/>
        </w:rPr>
        <w:t xml:space="preserve">En el transcurso de 2021, la Secretaría continuó el seguimiento con la UICN en relación con la metodología de autoevaluación, sugerida en </w:t>
      </w:r>
      <w:r w:rsidR="00972916">
        <w:rPr>
          <w:noProof/>
          <w:lang w:val="es-ES"/>
        </w:rPr>
        <w:t xml:space="preserve">el </w:t>
      </w:r>
      <w:r w:rsidR="005470C7" w:rsidRPr="005470C7">
        <w:rPr>
          <w:i/>
          <w:iCs/>
          <w:noProof/>
          <w:lang w:val="es-ES"/>
        </w:rPr>
        <w:t xml:space="preserve">Examen </w:t>
      </w:r>
      <w:r w:rsidR="005470C7">
        <w:rPr>
          <w:i/>
          <w:iCs/>
          <w:noProof/>
          <w:lang w:val="es-ES"/>
        </w:rPr>
        <w:t xml:space="preserve">de la gestión </w:t>
      </w:r>
      <w:r w:rsidR="005470C7" w:rsidRPr="005470C7">
        <w:rPr>
          <w:i/>
          <w:iCs/>
          <w:noProof/>
          <w:lang w:val="es-ES"/>
        </w:rPr>
        <w:t>financier</w:t>
      </w:r>
      <w:r w:rsidR="005470C7">
        <w:rPr>
          <w:i/>
          <w:iCs/>
          <w:noProof/>
          <w:lang w:val="es-ES"/>
        </w:rPr>
        <w:t>a</w:t>
      </w:r>
      <w:r w:rsidR="005470C7" w:rsidRPr="005470C7">
        <w:rPr>
          <w:i/>
          <w:iCs/>
          <w:noProof/>
          <w:lang w:val="es-ES"/>
        </w:rPr>
        <w:t xml:space="preserve"> de los fondos complementarios</w:t>
      </w:r>
      <w:r w:rsidR="005470C7">
        <w:rPr>
          <w:i/>
          <w:iCs/>
          <w:noProof/>
          <w:lang w:val="es-ES"/>
        </w:rPr>
        <w:t xml:space="preserve"> (de uso restringido)</w:t>
      </w:r>
      <w:r w:rsidR="0071431A">
        <w:rPr>
          <w:rStyle w:val="FootnoteReference"/>
          <w:i/>
          <w:iCs/>
          <w:noProof/>
          <w:lang w:val="es-ES"/>
        </w:rPr>
        <w:footnoteReference w:id="5"/>
      </w:r>
      <w:r w:rsidR="005470C7">
        <w:rPr>
          <w:i/>
          <w:iCs/>
          <w:noProof/>
          <w:lang w:val="es-ES"/>
        </w:rPr>
        <w:t xml:space="preserve"> </w:t>
      </w:r>
      <w:r w:rsidR="005470C7">
        <w:rPr>
          <w:noProof/>
          <w:lang w:val="es-ES"/>
        </w:rPr>
        <w:t xml:space="preserve">que </w:t>
      </w:r>
      <w:r w:rsidR="005470C7" w:rsidRPr="005470C7">
        <w:rPr>
          <w:noProof/>
          <w:lang w:val="es-ES"/>
        </w:rPr>
        <w:t>la UICN</w:t>
      </w:r>
      <w:r w:rsidR="005470C7">
        <w:rPr>
          <w:noProof/>
          <w:lang w:val="es-ES"/>
        </w:rPr>
        <w:t xml:space="preserve"> realizó en 2018. </w:t>
      </w:r>
      <w:r w:rsidR="00972916" w:rsidRPr="00972916">
        <w:rPr>
          <w:noProof/>
          <w:lang w:val="es-ES"/>
        </w:rPr>
        <w:t xml:space="preserve">La UICN está desarrollando y </w:t>
      </w:r>
      <w:r w:rsidR="004D43A2">
        <w:rPr>
          <w:noProof/>
          <w:lang w:val="es-ES"/>
        </w:rPr>
        <w:t>difundiendo</w:t>
      </w:r>
      <w:r w:rsidR="00972916" w:rsidRPr="00972916">
        <w:rPr>
          <w:noProof/>
          <w:lang w:val="es-ES"/>
        </w:rPr>
        <w:t xml:space="preserve"> herramientas en línea. La Secretaría está siguiendo este proceso y confirmará si una metodología similar sería útil en el contexto de la Convención.</w:t>
      </w:r>
    </w:p>
    <w:p w14:paraId="254F8B49" w14:textId="77777777" w:rsidR="006C7F1C" w:rsidRPr="00064323" w:rsidRDefault="006C7F1C" w:rsidP="005470C7">
      <w:pPr>
        <w:ind w:left="0" w:firstLine="0"/>
        <w:rPr>
          <w:noProof/>
          <w:lang w:val="es-ES"/>
        </w:rPr>
      </w:pPr>
    </w:p>
    <w:p w14:paraId="34149D02" w14:textId="1B0536F2" w:rsidR="005470C7" w:rsidRDefault="004D0989" w:rsidP="00162710">
      <w:pPr>
        <w:rPr>
          <w:noProof/>
          <w:lang w:val="es-ES"/>
        </w:rPr>
      </w:pPr>
      <w:r w:rsidRPr="00064323">
        <w:rPr>
          <w:noProof/>
          <w:lang w:val="es-ES"/>
        </w:rPr>
        <w:t>43</w:t>
      </w:r>
      <w:r w:rsidR="00264303" w:rsidRPr="00064323">
        <w:rPr>
          <w:noProof/>
          <w:lang w:val="es-ES"/>
        </w:rPr>
        <w:t>.</w:t>
      </w:r>
      <w:r w:rsidR="00264303" w:rsidRPr="00064323">
        <w:rPr>
          <w:noProof/>
          <w:lang w:val="es-ES"/>
        </w:rPr>
        <w:tab/>
      </w:r>
      <w:r w:rsidR="005470C7" w:rsidRPr="005470C7">
        <w:rPr>
          <w:noProof/>
          <w:lang w:val="es-ES"/>
        </w:rPr>
        <w:t xml:space="preserve">A </w:t>
      </w:r>
      <w:r w:rsidR="00E5766A">
        <w:rPr>
          <w:noProof/>
          <w:lang w:val="es-ES"/>
        </w:rPr>
        <w:t>petición</w:t>
      </w:r>
      <w:r w:rsidR="005470C7" w:rsidRPr="005470C7">
        <w:rPr>
          <w:noProof/>
          <w:lang w:val="es-ES"/>
        </w:rPr>
        <w:t xml:space="preserve"> del auditor externo y </w:t>
      </w:r>
      <w:r w:rsidR="00E5766A">
        <w:rPr>
          <w:noProof/>
          <w:lang w:val="es-ES"/>
        </w:rPr>
        <w:t>en consonancia con</w:t>
      </w:r>
      <w:r w:rsidR="005470C7" w:rsidRPr="005470C7">
        <w:rPr>
          <w:noProof/>
          <w:lang w:val="es-ES"/>
        </w:rPr>
        <w:t xml:space="preserve"> la Decisión SC57-39 del Comité Permanente, se ha aplicado la nueva metodología </w:t>
      </w:r>
      <w:r w:rsidR="00E5766A">
        <w:rPr>
          <w:noProof/>
          <w:lang w:val="es-ES"/>
        </w:rPr>
        <w:t>para</w:t>
      </w:r>
      <w:r w:rsidR="005470C7" w:rsidRPr="005470C7">
        <w:rPr>
          <w:noProof/>
          <w:lang w:val="es-ES"/>
        </w:rPr>
        <w:t xml:space="preserve"> el cálculo de la provisión </w:t>
      </w:r>
      <w:r w:rsidR="00E5766A">
        <w:rPr>
          <w:noProof/>
          <w:lang w:val="es-ES"/>
        </w:rPr>
        <w:t>para</w:t>
      </w:r>
      <w:r w:rsidR="005470C7" w:rsidRPr="005470C7">
        <w:rPr>
          <w:noProof/>
          <w:lang w:val="es-ES"/>
        </w:rPr>
        <w:t xml:space="preserve"> las </w:t>
      </w:r>
      <w:r w:rsidR="002D3E93">
        <w:rPr>
          <w:noProof/>
          <w:lang w:val="es-ES"/>
        </w:rPr>
        <w:t>contribuciones</w:t>
      </w:r>
      <w:r w:rsidR="005470C7" w:rsidRPr="005470C7">
        <w:rPr>
          <w:noProof/>
          <w:lang w:val="es-ES"/>
        </w:rPr>
        <w:t xml:space="preserve"> </w:t>
      </w:r>
      <w:r w:rsidR="00E5766A">
        <w:rPr>
          <w:noProof/>
          <w:lang w:val="es-ES"/>
        </w:rPr>
        <w:t>pendientes</w:t>
      </w:r>
      <w:r w:rsidR="005470C7" w:rsidRPr="005470C7">
        <w:rPr>
          <w:noProof/>
          <w:lang w:val="es-ES"/>
        </w:rPr>
        <w:t xml:space="preserve"> de las Partes Contratantes en 2019.</w:t>
      </w:r>
    </w:p>
    <w:p w14:paraId="3369B022" w14:textId="77777777" w:rsidR="00264303" w:rsidRPr="00064323" w:rsidRDefault="00264303" w:rsidP="00E5766A">
      <w:pPr>
        <w:ind w:left="0" w:firstLine="0"/>
        <w:rPr>
          <w:noProof/>
          <w:lang w:val="es-ES"/>
        </w:rPr>
      </w:pPr>
    </w:p>
    <w:p w14:paraId="596EEAEC" w14:textId="60A34D92" w:rsidR="00E5766A" w:rsidRDefault="004D0989" w:rsidP="00D72DDC">
      <w:pPr>
        <w:rPr>
          <w:noProof/>
          <w:lang w:val="es-ES"/>
        </w:rPr>
      </w:pPr>
      <w:r w:rsidRPr="00064323">
        <w:rPr>
          <w:noProof/>
          <w:lang w:val="es-ES"/>
        </w:rPr>
        <w:t>44</w:t>
      </w:r>
      <w:r w:rsidR="00414B55" w:rsidRPr="00064323">
        <w:rPr>
          <w:noProof/>
          <w:lang w:val="es-ES"/>
        </w:rPr>
        <w:t>.</w:t>
      </w:r>
      <w:r w:rsidR="00D72DDC" w:rsidRPr="00064323">
        <w:rPr>
          <w:noProof/>
          <w:lang w:val="es-ES"/>
        </w:rPr>
        <w:tab/>
      </w:r>
      <w:r w:rsidR="00E5766A" w:rsidRPr="00E5766A">
        <w:rPr>
          <w:noProof/>
          <w:lang w:val="es-ES"/>
        </w:rPr>
        <w:t xml:space="preserve">La Secretaría se ha </w:t>
      </w:r>
      <w:r w:rsidR="00E5766A">
        <w:rPr>
          <w:noProof/>
          <w:lang w:val="es-ES"/>
        </w:rPr>
        <w:t>empeñado</w:t>
      </w:r>
      <w:r w:rsidR="00E5766A" w:rsidRPr="00E5766A">
        <w:rPr>
          <w:noProof/>
          <w:lang w:val="es-ES"/>
        </w:rPr>
        <w:t xml:space="preserve"> en aplicar las Decisiones SC57-44 y SC57-45 para </w:t>
      </w:r>
      <w:r w:rsidR="002D3E93">
        <w:rPr>
          <w:noProof/>
          <w:lang w:val="es-ES"/>
        </w:rPr>
        <w:t>fomentar</w:t>
      </w:r>
      <w:r w:rsidR="00757B26">
        <w:rPr>
          <w:noProof/>
          <w:lang w:val="es-ES"/>
        </w:rPr>
        <w:t xml:space="preserve"> el</w:t>
      </w:r>
      <w:r w:rsidR="00E5766A" w:rsidRPr="00E5766A">
        <w:rPr>
          <w:noProof/>
          <w:lang w:val="es-ES"/>
        </w:rPr>
        <w:t xml:space="preserve"> pago puntual de las contribuciones anuales. En 2021, se enviaron por correo electrónico </w:t>
      </w:r>
      <w:r w:rsidR="00757B26">
        <w:rPr>
          <w:noProof/>
          <w:lang w:val="es-ES"/>
        </w:rPr>
        <w:t>recordatorios</w:t>
      </w:r>
      <w:r w:rsidR="00E5766A" w:rsidRPr="00E5766A">
        <w:rPr>
          <w:noProof/>
          <w:lang w:val="es-ES"/>
        </w:rPr>
        <w:t xml:space="preserve"> trimestral</w:t>
      </w:r>
      <w:r w:rsidR="00757B26">
        <w:rPr>
          <w:noProof/>
          <w:lang w:val="es-ES"/>
        </w:rPr>
        <w:t>es</w:t>
      </w:r>
      <w:r w:rsidR="00E5766A" w:rsidRPr="00E5766A">
        <w:rPr>
          <w:noProof/>
          <w:lang w:val="es-ES"/>
        </w:rPr>
        <w:t xml:space="preserve"> a las Partes Contratantes con saldos </w:t>
      </w:r>
      <w:r w:rsidR="00757B26">
        <w:rPr>
          <w:noProof/>
          <w:lang w:val="es-ES"/>
        </w:rPr>
        <w:t>pendientes</w:t>
      </w:r>
      <w:r w:rsidR="00E5766A" w:rsidRPr="00E5766A">
        <w:rPr>
          <w:noProof/>
          <w:lang w:val="es-ES"/>
        </w:rPr>
        <w:t xml:space="preserve"> de contribuciones anuales. En </w:t>
      </w:r>
      <w:r w:rsidR="00757B26">
        <w:rPr>
          <w:noProof/>
          <w:lang w:val="es-ES"/>
        </w:rPr>
        <w:t xml:space="preserve">los </w:t>
      </w:r>
      <w:r w:rsidR="00757B26" w:rsidRPr="00E5766A">
        <w:rPr>
          <w:noProof/>
          <w:lang w:val="es-ES"/>
        </w:rPr>
        <w:t>párrafos 16</w:t>
      </w:r>
      <w:r w:rsidR="00757B26">
        <w:rPr>
          <w:noProof/>
          <w:lang w:val="es-ES"/>
        </w:rPr>
        <w:t xml:space="preserve"> a </w:t>
      </w:r>
      <w:r w:rsidR="00757B26" w:rsidRPr="00E5766A">
        <w:rPr>
          <w:noProof/>
          <w:lang w:val="es-ES"/>
        </w:rPr>
        <w:t>21</w:t>
      </w:r>
      <w:r w:rsidR="00757B26">
        <w:rPr>
          <w:noProof/>
          <w:lang w:val="es-ES"/>
        </w:rPr>
        <w:t xml:space="preserve"> d</w:t>
      </w:r>
      <w:r w:rsidR="00E5766A" w:rsidRPr="00E5766A">
        <w:rPr>
          <w:noProof/>
          <w:lang w:val="es-ES"/>
        </w:rPr>
        <w:t xml:space="preserve">el documento SC58 Doc.8.3 </w:t>
      </w:r>
      <w:r w:rsidR="00E5766A" w:rsidRPr="00757B26">
        <w:rPr>
          <w:i/>
          <w:iCs/>
          <w:noProof/>
          <w:lang w:val="es-ES"/>
        </w:rPr>
        <w:t>Estado de las contribuciones anuales</w:t>
      </w:r>
      <w:r w:rsidR="00E5766A" w:rsidRPr="00E5766A">
        <w:rPr>
          <w:noProof/>
          <w:lang w:val="es-ES"/>
        </w:rPr>
        <w:t xml:space="preserve"> se ofrecen más detalles.</w:t>
      </w:r>
    </w:p>
    <w:p w14:paraId="4B7C70FF" w14:textId="77777777" w:rsidR="00264303" w:rsidRPr="00064323" w:rsidRDefault="00264303" w:rsidP="00162710">
      <w:pPr>
        <w:ind w:left="0" w:firstLine="0"/>
        <w:rPr>
          <w:rFonts w:asciiTheme="minorHAnsi" w:hAnsiTheme="minorHAnsi" w:cs="Arial"/>
          <w:i/>
          <w:noProof/>
          <w:lang w:val="es-ES"/>
        </w:rPr>
      </w:pPr>
    </w:p>
    <w:p w14:paraId="435066ED" w14:textId="73E3C1F6" w:rsidR="00C13B23" w:rsidRPr="0071431A" w:rsidRDefault="004D0989" w:rsidP="0071431A">
      <w:pPr>
        <w:rPr>
          <w:noProof/>
          <w:lang w:val="es-ES"/>
        </w:rPr>
      </w:pPr>
      <w:r w:rsidRPr="00064323">
        <w:rPr>
          <w:noProof/>
          <w:lang w:val="es-ES"/>
        </w:rPr>
        <w:t>45</w:t>
      </w:r>
      <w:r w:rsidR="00630583" w:rsidRPr="00064323">
        <w:rPr>
          <w:noProof/>
          <w:lang w:val="es-ES"/>
        </w:rPr>
        <w:t>.</w:t>
      </w:r>
      <w:r w:rsidR="00630583" w:rsidRPr="00064323">
        <w:rPr>
          <w:noProof/>
          <w:lang w:val="es-ES"/>
        </w:rPr>
        <w:tab/>
      </w:r>
      <w:r w:rsidR="002F1BD8" w:rsidRPr="002F1BD8">
        <w:rPr>
          <w:noProof/>
          <w:lang w:val="es-ES"/>
        </w:rPr>
        <w:t>De conformidad con la Decisión SC58-18, es necesario que el Comité Permanente reconozca el estado de las contribuciones anuales entre</w:t>
      </w:r>
      <w:r w:rsidR="002F1BD8">
        <w:rPr>
          <w:noProof/>
          <w:lang w:val="es-ES"/>
        </w:rPr>
        <w:t xml:space="preserve"> períodos de</w:t>
      </w:r>
      <w:r w:rsidR="002F1BD8" w:rsidRPr="002F1BD8">
        <w:rPr>
          <w:noProof/>
          <w:lang w:val="es-ES"/>
        </w:rPr>
        <w:t xml:space="preserve"> sesiones</w:t>
      </w:r>
      <w:r w:rsidR="002F1BD8">
        <w:rPr>
          <w:noProof/>
          <w:lang w:val="es-ES"/>
        </w:rPr>
        <w:t>,</w:t>
      </w:r>
      <w:r w:rsidR="002F1BD8" w:rsidRPr="002F1BD8">
        <w:rPr>
          <w:noProof/>
          <w:lang w:val="es-ES"/>
        </w:rPr>
        <w:t xml:space="preserve"> como una confirmación </w:t>
      </w:r>
      <w:r w:rsidR="002F1BD8">
        <w:rPr>
          <w:noProof/>
          <w:lang w:val="es-ES"/>
        </w:rPr>
        <w:t>colectiva</w:t>
      </w:r>
      <w:r w:rsidR="002F1BD8" w:rsidRPr="002F1BD8">
        <w:rPr>
          <w:noProof/>
          <w:lang w:val="es-ES"/>
        </w:rPr>
        <w:t xml:space="preserve"> de las contribuciones pendientes que debe</w:t>
      </w:r>
      <w:r w:rsidR="002F1BD8">
        <w:rPr>
          <w:noProof/>
          <w:lang w:val="es-ES"/>
        </w:rPr>
        <w:t>n</w:t>
      </w:r>
      <w:r w:rsidR="002F1BD8" w:rsidRPr="002F1BD8">
        <w:rPr>
          <w:noProof/>
          <w:lang w:val="es-ES"/>
        </w:rPr>
        <w:t xml:space="preserve"> </w:t>
      </w:r>
      <w:r w:rsidR="002F1BD8">
        <w:rPr>
          <w:noProof/>
          <w:lang w:val="es-ES"/>
        </w:rPr>
        <w:t>recabarse</w:t>
      </w:r>
      <w:r w:rsidR="002F1BD8" w:rsidRPr="002F1BD8">
        <w:rPr>
          <w:noProof/>
          <w:lang w:val="es-ES"/>
        </w:rPr>
        <w:t xml:space="preserve"> en el período posterior al cierre de las cuentas y antes de la firma de los estados financieros por parte del auditor. </w:t>
      </w:r>
      <w:r w:rsidR="002F1BD8">
        <w:rPr>
          <w:noProof/>
          <w:lang w:val="es-ES"/>
        </w:rPr>
        <w:t>Por consiguiente</w:t>
      </w:r>
      <w:r w:rsidR="002F1BD8" w:rsidRPr="002F1BD8">
        <w:rPr>
          <w:noProof/>
          <w:lang w:val="es-ES"/>
        </w:rPr>
        <w:t xml:space="preserve">, el 24 de enero de 2022 la Secretaría envió al Comité Permanente la solicitud de </w:t>
      </w:r>
      <w:r w:rsidR="0071431A">
        <w:rPr>
          <w:noProof/>
          <w:lang w:val="es-ES"/>
        </w:rPr>
        <w:t>aceptación</w:t>
      </w:r>
      <w:r w:rsidR="002F1BD8" w:rsidRPr="002F1BD8">
        <w:rPr>
          <w:noProof/>
          <w:lang w:val="es-ES"/>
        </w:rPr>
        <w:t xml:space="preserve"> de la situación de las </w:t>
      </w:r>
      <w:r w:rsidR="001C6CB7">
        <w:rPr>
          <w:noProof/>
          <w:lang w:val="es-ES"/>
        </w:rPr>
        <w:t>contribuciones</w:t>
      </w:r>
      <w:r w:rsidR="002F1BD8" w:rsidRPr="002F1BD8">
        <w:rPr>
          <w:noProof/>
          <w:lang w:val="es-ES"/>
        </w:rPr>
        <w:t xml:space="preserve"> a 31 de diciembre de 2021. Dado que no se ha recibido ningún comentario en el plazo establecido, las contribuciones pendientes a 31 de diciembre de 2021 se consideran </w:t>
      </w:r>
      <w:r w:rsidR="0071431A">
        <w:rPr>
          <w:noProof/>
          <w:lang w:val="es-ES"/>
        </w:rPr>
        <w:t>aceptadas</w:t>
      </w:r>
      <w:r w:rsidR="002F1BD8" w:rsidRPr="002F1BD8">
        <w:rPr>
          <w:noProof/>
          <w:lang w:val="es-ES"/>
        </w:rPr>
        <w:t>.</w:t>
      </w:r>
    </w:p>
    <w:p w14:paraId="7E896198" w14:textId="77777777" w:rsidR="004E1C7E" w:rsidRPr="00064323" w:rsidRDefault="004E1C7E">
      <w:pPr>
        <w:rPr>
          <w:noProof/>
          <w:lang w:val="es-ES"/>
        </w:rPr>
      </w:pPr>
      <w:r w:rsidRPr="00064323">
        <w:rPr>
          <w:noProof/>
          <w:lang w:val="es-ES"/>
        </w:rPr>
        <w:br w:type="page"/>
      </w:r>
    </w:p>
    <w:p w14:paraId="77720757" w14:textId="0B7D23DB" w:rsidR="001458BE" w:rsidRPr="00064323" w:rsidRDefault="0071431A" w:rsidP="00162710">
      <w:pPr>
        <w:pStyle w:val="NoSpacing"/>
        <w:ind w:left="0" w:firstLine="0"/>
        <w:rPr>
          <w:b/>
          <w:noProof/>
          <w:sz w:val="24"/>
          <w:szCs w:val="24"/>
          <w:lang w:val="es-ES"/>
        </w:rPr>
      </w:pPr>
      <w:r>
        <w:rPr>
          <w:b/>
          <w:noProof/>
          <w:sz w:val="24"/>
          <w:szCs w:val="24"/>
          <w:lang w:val="es-ES"/>
        </w:rPr>
        <w:lastRenderedPageBreak/>
        <w:t>Anexo</w:t>
      </w:r>
      <w:r w:rsidR="001458BE" w:rsidRPr="00064323">
        <w:rPr>
          <w:b/>
          <w:noProof/>
          <w:sz w:val="24"/>
          <w:szCs w:val="24"/>
          <w:lang w:val="es-ES"/>
        </w:rPr>
        <w:t xml:space="preserve"> 1</w:t>
      </w:r>
    </w:p>
    <w:p w14:paraId="00F1A33A" w14:textId="378BD835" w:rsidR="0074567B" w:rsidRDefault="007A492D" w:rsidP="00BD2863">
      <w:pPr>
        <w:pStyle w:val="NoSpacing"/>
        <w:ind w:left="0" w:firstLine="0"/>
        <w:rPr>
          <w:b/>
          <w:noProof/>
          <w:sz w:val="24"/>
          <w:szCs w:val="24"/>
          <w:lang w:val="es-ES"/>
        </w:rPr>
      </w:pPr>
      <w:r w:rsidRPr="007A492D">
        <w:rPr>
          <w:b/>
          <w:noProof/>
          <w:sz w:val="24"/>
          <w:szCs w:val="24"/>
          <w:lang w:val="es-ES"/>
        </w:rPr>
        <w:t>Estados financieros auditados a 31 de diciembre de 2021 (formato de informe suizo)</w:t>
      </w:r>
      <w:r>
        <w:rPr>
          <w:b/>
          <w:noProof/>
          <w:sz w:val="24"/>
          <w:szCs w:val="24"/>
          <w:lang w:val="es-ES"/>
        </w:rPr>
        <w:t xml:space="preserve"> </w:t>
      </w:r>
    </w:p>
    <w:p w14:paraId="0AF249EA" w14:textId="77777777" w:rsidR="007A492D" w:rsidRPr="00064323" w:rsidRDefault="007A492D" w:rsidP="00BD2863">
      <w:pPr>
        <w:pStyle w:val="NoSpacing"/>
        <w:ind w:left="0" w:firstLine="0"/>
        <w:rPr>
          <w:b/>
          <w:noProof/>
          <w:sz w:val="24"/>
          <w:szCs w:val="24"/>
          <w:lang w:val="es-ES"/>
        </w:rPr>
      </w:pPr>
    </w:p>
    <w:p w14:paraId="510F9D58" w14:textId="77777777" w:rsidR="003F135F" w:rsidRPr="00064323" w:rsidRDefault="003F135F" w:rsidP="00633DD5">
      <w:pPr>
        <w:pStyle w:val="NoSpacing"/>
        <w:rPr>
          <w:b/>
          <w:noProof/>
          <w:lang w:val="es-ES"/>
        </w:rPr>
      </w:pPr>
    </w:p>
    <w:p w14:paraId="5F14186D" w14:textId="7731F19C" w:rsidR="004C03D9" w:rsidRPr="00064323" w:rsidRDefault="003D733E" w:rsidP="00633DD5">
      <w:pPr>
        <w:pStyle w:val="NoSpacing"/>
        <w:rPr>
          <w:b/>
          <w:noProof/>
          <w:lang w:val="es-ES"/>
        </w:rPr>
      </w:pPr>
      <w:r w:rsidRPr="00064323">
        <w:rPr>
          <w:b/>
          <w:noProof/>
          <w:lang w:val="es-ES"/>
        </w:rPr>
        <w:t>I.</w:t>
      </w:r>
      <w:r w:rsidRPr="00064323">
        <w:rPr>
          <w:b/>
          <w:noProof/>
          <w:lang w:val="es-ES"/>
        </w:rPr>
        <w:tab/>
      </w:r>
      <w:r w:rsidR="00D418B6" w:rsidRPr="00064323">
        <w:rPr>
          <w:b/>
          <w:noProof/>
          <w:lang w:val="es-ES"/>
        </w:rPr>
        <w:t xml:space="preserve">Balance </w:t>
      </w:r>
      <w:r w:rsidR="007A492D">
        <w:rPr>
          <w:b/>
          <w:noProof/>
          <w:lang w:val="es-ES"/>
        </w:rPr>
        <w:t>a</w:t>
      </w:r>
      <w:r w:rsidR="00D418B6" w:rsidRPr="00064323">
        <w:rPr>
          <w:b/>
          <w:noProof/>
          <w:lang w:val="es-ES"/>
        </w:rPr>
        <w:t xml:space="preserve"> 31 </w:t>
      </w:r>
      <w:r w:rsidR="007A492D">
        <w:rPr>
          <w:b/>
          <w:noProof/>
          <w:lang w:val="es-ES"/>
        </w:rPr>
        <w:t>de diciembre</w:t>
      </w:r>
      <w:r w:rsidR="006A24F1" w:rsidRPr="00064323">
        <w:rPr>
          <w:rStyle w:val="FootnoteReference"/>
          <w:noProof/>
          <w:lang w:val="es-ES"/>
        </w:rPr>
        <w:footnoteReference w:id="6"/>
      </w:r>
    </w:p>
    <w:p w14:paraId="20FA02A3" w14:textId="77777777" w:rsidR="003F135F" w:rsidRPr="00064323" w:rsidRDefault="003F135F" w:rsidP="00633DD5">
      <w:pPr>
        <w:pStyle w:val="NoSpacing"/>
        <w:rPr>
          <w:b/>
          <w:noProof/>
          <w:lang w:val="es-ES"/>
        </w:rPr>
      </w:pPr>
    </w:p>
    <w:p w14:paraId="3243F66A" w14:textId="77777777" w:rsidR="007A4B88" w:rsidRPr="00551574" w:rsidRDefault="007A4B88">
      <w:pPr>
        <w:rPr>
          <w:rFonts w:eastAsia="Times New Roman" w:cs="Arial"/>
          <w:b/>
          <w:bCs/>
          <w:noProof/>
          <w:lang w:val="es-ES" w:eastAsia="en-GB"/>
        </w:rPr>
      </w:pPr>
    </w:p>
    <w:tbl>
      <w:tblPr>
        <w:tblW w:w="8297" w:type="dxa"/>
        <w:tblLayout w:type="fixed"/>
        <w:tblLook w:val="0000" w:firstRow="0" w:lastRow="0" w:firstColumn="0" w:lastColumn="0" w:noHBand="0" w:noVBand="0"/>
      </w:tblPr>
      <w:tblGrid>
        <w:gridCol w:w="3969"/>
        <w:gridCol w:w="846"/>
        <w:gridCol w:w="1620"/>
        <w:gridCol w:w="283"/>
        <w:gridCol w:w="1579"/>
      </w:tblGrid>
      <w:tr w:rsidR="00FB66C4" w:rsidRPr="00551574" w14:paraId="47623CE2" w14:textId="77777777" w:rsidTr="00FB66C4">
        <w:trPr>
          <w:trHeight w:val="426"/>
        </w:trPr>
        <w:tc>
          <w:tcPr>
            <w:tcW w:w="3969" w:type="dxa"/>
            <w:tcBorders>
              <w:top w:val="nil"/>
              <w:left w:val="nil"/>
              <w:bottom w:val="single" w:sz="12" w:space="0" w:color="auto"/>
              <w:right w:val="nil"/>
            </w:tcBorders>
            <w:shd w:val="solid" w:color="FFFFFF" w:fill="auto"/>
            <w:vAlign w:val="center"/>
          </w:tcPr>
          <w:p w14:paraId="74511A1F" w14:textId="7060B279" w:rsidR="00FB66C4" w:rsidRPr="00551574" w:rsidRDefault="007A492D" w:rsidP="00FB66C4">
            <w:pPr>
              <w:autoSpaceDE w:val="0"/>
              <w:autoSpaceDN w:val="0"/>
              <w:adjustRightInd w:val="0"/>
              <w:ind w:left="0" w:firstLine="0"/>
              <w:rPr>
                <w:rFonts w:asciiTheme="minorHAnsi" w:eastAsiaTheme="minorHAnsi" w:hAnsiTheme="minorHAnsi" w:cstheme="minorHAnsi"/>
                <w:i/>
                <w:iCs/>
                <w:noProof/>
                <w:color w:val="000000"/>
                <w:sz w:val="20"/>
                <w:szCs w:val="20"/>
                <w:lang w:val="es-ES"/>
              </w:rPr>
            </w:pPr>
            <w:r w:rsidRPr="00551574">
              <w:rPr>
                <w:rFonts w:asciiTheme="minorHAnsi" w:eastAsiaTheme="minorHAnsi" w:hAnsiTheme="minorHAnsi" w:cstheme="minorHAnsi"/>
                <w:i/>
                <w:iCs/>
                <w:noProof/>
                <w:color w:val="000000"/>
                <w:sz w:val="20"/>
                <w:szCs w:val="20"/>
                <w:lang w:val="es-ES"/>
              </w:rPr>
              <w:t xml:space="preserve">en miles de francos suizos </w:t>
            </w:r>
          </w:p>
        </w:tc>
        <w:tc>
          <w:tcPr>
            <w:tcW w:w="846" w:type="dxa"/>
            <w:tcBorders>
              <w:top w:val="nil"/>
              <w:left w:val="nil"/>
              <w:bottom w:val="single" w:sz="12" w:space="0" w:color="auto"/>
              <w:right w:val="nil"/>
            </w:tcBorders>
            <w:shd w:val="solid" w:color="FFFFFF" w:fill="auto"/>
            <w:vAlign w:val="center"/>
          </w:tcPr>
          <w:p w14:paraId="6663FA64" w14:textId="7E7138EB" w:rsidR="00FB66C4" w:rsidRPr="00551574" w:rsidRDefault="00FB66C4" w:rsidP="00FB66C4">
            <w:pPr>
              <w:autoSpaceDE w:val="0"/>
              <w:autoSpaceDN w:val="0"/>
              <w:adjustRightInd w:val="0"/>
              <w:ind w:left="0" w:firstLine="0"/>
              <w:jc w:val="center"/>
              <w:rPr>
                <w:rFonts w:asciiTheme="minorHAnsi" w:eastAsiaTheme="minorHAnsi" w:hAnsiTheme="minorHAnsi" w:cstheme="minorHAnsi"/>
                <w:b/>
                <w:bCs/>
                <w:noProof/>
                <w:color w:val="000000"/>
                <w:sz w:val="20"/>
                <w:szCs w:val="20"/>
                <w:lang w:val="es-ES"/>
              </w:rPr>
            </w:pPr>
            <w:r w:rsidRPr="00551574">
              <w:rPr>
                <w:rFonts w:asciiTheme="minorHAnsi" w:eastAsiaTheme="minorHAnsi" w:hAnsiTheme="minorHAnsi" w:cstheme="minorHAnsi"/>
                <w:b/>
                <w:bCs/>
                <w:noProof/>
                <w:color w:val="000000"/>
                <w:sz w:val="20"/>
                <w:szCs w:val="20"/>
                <w:lang w:val="es-ES"/>
              </w:rPr>
              <w:t>Not</w:t>
            </w:r>
            <w:r w:rsidR="007A492D" w:rsidRPr="00551574">
              <w:rPr>
                <w:rFonts w:asciiTheme="minorHAnsi" w:eastAsiaTheme="minorHAnsi" w:hAnsiTheme="minorHAnsi" w:cstheme="minorHAnsi"/>
                <w:b/>
                <w:bCs/>
                <w:noProof/>
                <w:color w:val="000000"/>
                <w:sz w:val="20"/>
                <w:szCs w:val="20"/>
                <w:lang w:val="es-ES"/>
              </w:rPr>
              <w:t>a</w:t>
            </w:r>
            <w:r w:rsidRPr="00551574">
              <w:rPr>
                <w:rFonts w:asciiTheme="minorHAnsi" w:eastAsiaTheme="minorHAnsi" w:hAnsiTheme="minorHAnsi" w:cstheme="minorHAnsi"/>
                <w:b/>
                <w:bCs/>
                <w:noProof/>
                <w:color w:val="000000"/>
                <w:sz w:val="20"/>
                <w:szCs w:val="20"/>
                <w:lang w:val="es-ES"/>
              </w:rPr>
              <w:t>s</w:t>
            </w:r>
          </w:p>
        </w:tc>
        <w:tc>
          <w:tcPr>
            <w:tcW w:w="1620" w:type="dxa"/>
            <w:tcBorders>
              <w:top w:val="nil"/>
              <w:left w:val="nil"/>
              <w:bottom w:val="single" w:sz="12" w:space="0" w:color="auto"/>
              <w:right w:val="nil"/>
            </w:tcBorders>
            <w:shd w:val="clear" w:color="auto" w:fill="B8CCE4" w:themeFill="accent1" w:themeFillTint="66"/>
            <w:vAlign w:val="center"/>
          </w:tcPr>
          <w:p w14:paraId="2489B428" w14:textId="68D3BE74" w:rsidR="00FB66C4" w:rsidRPr="00551574" w:rsidRDefault="0014538A" w:rsidP="00FB66C4">
            <w:pPr>
              <w:autoSpaceDE w:val="0"/>
              <w:autoSpaceDN w:val="0"/>
              <w:adjustRightInd w:val="0"/>
              <w:ind w:left="0" w:firstLine="0"/>
              <w:jc w:val="center"/>
              <w:rPr>
                <w:rFonts w:asciiTheme="minorHAnsi" w:eastAsiaTheme="minorHAnsi" w:hAnsiTheme="minorHAnsi" w:cstheme="minorHAnsi"/>
                <w:b/>
                <w:bCs/>
                <w:noProof/>
                <w:color w:val="000000"/>
                <w:sz w:val="20"/>
                <w:szCs w:val="20"/>
                <w:lang w:val="es-ES"/>
              </w:rPr>
            </w:pPr>
            <w:r w:rsidRPr="00551574">
              <w:rPr>
                <w:rFonts w:asciiTheme="minorHAnsi" w:eastAsiaTheme="minorHAnsi" w:hAnsiTheme="minorHAnsi" w:cstheme="minorHAnsi"/>
                <w:b/>
                <w:bCs/>
                <w:noProof/>
                <w:color w:val="000000"/>
                <w:sz w:val="20"/>
                <w:szCs w:val="20"/>
                <w:lang w:val="es-ES"/>
              </w:rPr>
              <w:t>2021</w:t>
            </w:r>
          </w:p>
        </w:tc>
        <w:tc>
          <w:tcPr>
            <w:tcW w:w="283" w:type="dxa"/>
            <w:tcBorders>
              <w:top w:val="nil"/>
              <w:left w:val="nil"/>
              <w:bottom w:val="single" w:sz="12" w:space="0" w:color="auto"/>
              <w:right w:val="nil"/>
            </w:tcBorders>
            <w:shd w:val="clear" w:color="auto" w:fill="F2F2F2" w:themeFill="background1" w:themeFillShade="F2"/>
            <w:vAlign w:val="center"/>
          </w:tcPr>
          <w:p w14:paraId="51D1369A" w14:textId="77777777" w:rsidR="00FB66C4" w:rsidRPr="00551574" w:rsidRDefault="00FB66C4" w:rsidP="00FB66C4">
            <w:pPr>
              <w:autoSpaceDE w:val="0"/>
              <w:autoSpaceDN w:val="0"/>
              <w:adjustRightInd w:val="0"/>
              <w:ind w:left="0" w:firstLine="0"/>
              <w:jc w:val="center"/>
              <w:rPr>
                <w:rFonts w:asciiTheme="minorHAnsi" w:eastAsiaTheme="minorHAnsi" w:hAnsiTheme="minorHAnsi" w:cstheme="minorHAnsi"/>
                <w:noProof/>
                <w:color w:val="000000"/>
                <w:sz w:val="20"/>
                <w:szCs w:val="20"/>
                <w:lang w:val="es-ES"/>
              </w:rPr>
            </w:pPr>
          </w:p>
        </w:tc>
        <w:tc>
          <w:tcPr>
            <w:tcW w:w="1579" w:type="dxa"/>
            <w:tcBorders>
              <w:top w:val="nil"/>
              <w:left w:val="nil"/>
              <w:bottom w:val="single" w:sz="12" w:space="0" w:color="auto"/>
              <w:right w:val="nil"/>
            </w:tcBorders>
            <w:shd w:val="clear" w:color="auto" w:fill="D6E3BC" w:themeFill="accent3" w:themeFillTint="66"/>
            <w:vAlign w:val="center"/>
          </w:tcPr>
          <w:p w14:paraId="62288424" w14:textId="1E3E6101" w:rsidR="00FB66C4" w:rsidRPr="00551574" w:rsidRDefault="0014538A" w:rsidP="00FB66C4">
            <w:pPr>
              <w:autoSpaceDE w:val="0"/>
              <w:autoSpaceDN w:val="0"/>
              <w:adjustRightInd w:val="0"/>
              <w:ind w:left="0" w:firstLine="0"/>
              <w:jc w:val="center"/>
              <w:rPr>
                <w:rFonts w:asciiTheme="minorHAnsi" w:eastAsiaTheme="minorHAnsi" w:hAnsiTheme="minorHAnsi" w:cstheme="minorHAnsi"/>
                <w:b/>
                <w:bCs/>
                <w:noProof/>
                <w:color w:val="000000"/>
                <w:sz w:val="20"/>
                <w:szCs w:val="20"/>
                <w:lang w:val="es-ES"/>
              </w:rPr>
            </w:pPr>
            <w:r w:rsidRPr="00551574">
              <w:rPr>
                <w:rFonts w:asciiTheme="minorHAnsi" w:eastAsiaTheme="minorHAnsi" w:hAnsiTheme="minorHAnsi" w:cstheme="minorHAnsi"/>
                <w:b/>
                <w:bCs/>
                <w:noProof/>
                <w:color w:val="000000"/>
                <w:sz w:val="20"/>
                <w:szCs w:val="20"/>
                <w:lang w:val="es-ES"/>
              </w:rPr>
              <w:t>2020</w:t>
            </w:r>
          </w:p>
        </w:tc>
      </w:tr>
      <w:tr w:rsidR="007A492D" w:rsidRPr="00551574" w14:paraId="1A59B69C" w14:textId="77777777" w:rsidTr="00FF2210">
        <w:tc>
          <w:tcPr>
            <w:tcW w:w="3969" w:type="dxa"/>
            <w:tcBorders>
              <w:top w:val="nil"/>
              <w:left w:val="nil"/>
              <w:bottom w:val="nil"/>
              <w:right w:val="nil"/>
            </w:tcBorders>
            <w:shd w:val="solid" w:color="FFFFFF" w:fill="auto"/>
            <w:vAlign w:val="bottom"/>
          </w:tcPr>
          <w:p w14:paraId="4E0355D7" w14:textId="77777777" w:rsidR="00313E2B" w:rsidRDefault="00313E2B" w:rsidP="007A492D">
            <w:pPr>
              <w:autoSpaceDE w:val="0"/>
              <w:autoSpaceDN w:val="0"/>
              <w:adjustRightInd w:val="0"/>
              <w:ind w:left="0" w:firstLine="0"/>
              <w:rPr>
                <w:b/>
                <w:bCs/>
                <w:noProof/>
                <w:sz w:val="20"/>
                <w:szCs w:val="20"/>
                <w:lang w:val="es-ES"/>
              </w:rPr>
            </w:pPr>
          </w:p>
          <w:p w14:paraId="407009D8" w14:textId="53E33209" w:rsidR="007A492D" w:rsidRPr="00313E2B" w:rsidRDefault="007A492D" w:rsidP="007A492D">
            <w:pPr>
              <w:autoSpaceDE w:val="0"/>
              <w:autoSpaceDN w:val="0"/>
              <w:adjustRightInd w:val="0"/>
              <w:ind w:left="0" w:firstLine="0"/>
              <w:rPr>
                <w:rFonts w:asciiTheme="minorHAnsi" w:eastAsiaTheme="minorHAnsi" w:hAnsiTheme="minorHAnsi" w:cstheme="minorHAnsi"/>
                <w:b/>
                <w:bCs/>
                <w:noProof/>
                <w:color w:val="000000"/>
                <w:sz w:val="20"/>
                <w:szCs w:val="20"/>
                <w:lang w:val="es-ES"/>
              </w:rPr>
            </w:pPr>
            <w:r w:rsidRPr="00313E2B">
              <w:rPr>
                <w:b/>
                <w:bCs/>
                <w:noProof/>
                <w:sz w:val="20"/>
                <w:szCs w:val="20"/>
                <w:lang w:val="es-ES"/>
              </w:rPr>
              <w:t>ACTIVO</w:t>
            </w:r>
          </w:p>
        </w:tc>
        <w:tc>
          <w:tcPr>
            <w:tcW w:w="846" w:type="dxa"/>
            <w:tcBorders>
              <w:top w:val="nil"/>
              <w:left w:val="nil"/>
              <w:bottom w:val="nil"/>
              <w:right w:val="nil"/>
            </w:tcBorders>
            <w:shd w:val="solid" w:color="FFFFFF" w:fill="auto"/>
          </w:tcPr>
          <w:p w14:paraId="25367D29" w14:textId="77777777" w:rsidR="007A492D" w:rsidRPr="00551574" w:rsidRDefault="007A492D" w:rsidP="007A492D">
            <w:pPr>
              <w:autoSpaceDE w:val="0"/>
              <w:autoSpaceDN w:val="0"/>
              <w:adjustRightInd w:val="0"/>
              <w:ind w:left="0" w:firstLine="0"/>
              <w:jc w:val="center"/>
              <w:rPr>
                <w:rFonts w:asciiTheme="minorHAnsi" w:eastAsiaTheme="minorHAnsi" w:hAnsiTheme="minorHAnsi" w:cstheme="minorHAnsi"/>
                <w:noProof/>
                <w:color w:val="000000"/>
                <w:sz w:val="20"/>
                <w:szCs w:val="20"/>
                <w:lang w:val="es-ES"/>
              </w:rPr>
            </w:pPr>
          </w:p>
        </w:tc>
        <w:tc>
          <w:tcPr>
            <w:tcW w:w="1620" w:type="dxa"/>
            <w:tcBorders>
              <w:top w:val="nil"/>
              <w:left w:val="nil"/>
              <w:bottom w:val="nil"/>
              <w:right w:val="nil"/>
            </w:tcBorders>
            <w:shd w:val="solid" w:color="FFFFFF" w:fill="auto"/>
          </w:tcPr>
          <w:p w14:paraId="366C51A1" w14:textId="77777777" w:rsidR="007A492D" w:rsidRPr="00551574" w:rsidRDefault="007A492D" w:rsidP="007A492D">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p>
        </w:tc>
        <w:tc>
          <w:tcPr>
            <w:tcW w:w="283" w:type="dxa"/>
            <w:tcBorders>
              <w:top w:val="nil"/>
              <w:left w:val="nil"/>
              <w:bottom w:val="nil"/>
              <w:right w:val="nil"/>
            </w:tcBorders>
            <w:shd w:val="clear" w:color="auto" w:fill="F2F2F2" w:themeFill="background1" w:themeFillShade="F2"/>
          </w:tcPr>
          <w:p w14:paraId="74846F1E" w14:textId="77777777" w:rsidR="007A492D" w:rsidRPr="00551574" w:rsidRDefault="007A492D" w:rsidP="007A492D">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p>
        </w:tc>
        <w:tc>
          <w:tcPr>
            <w:tcW w:w="1579" w:type="dxa"/>
            <w:tcBorders>
              <w:top w:val="nil"/>
              <w:left w:val="nil"/>
              <w:bottom w:val="nil"/>
              <w:right w:val="nil"/>
            </w:tcBorders>
            <w:shd w:val="solid" w:color="FFFFFF" w:fill="auto"/>
          </w:tcPr>
          <w:p w14:paraId="17A7C5BE" w14:textId="77777777" w:rsidR="007A492D" w:rsidRPr="00551574" w:rsidRDefault="007A492D" w:rsidP="007A492D">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p>
        </w:tc>
      </w:tr>
      <w:tr w:rsidR="007A492D" w:rsidRPr="00551574" w14:paraId="63E5CBBD" w14:textId="77777777" w:rsidTr="00FF2210">
        <w:tc>
          <w:tcPr>
            <w:tcW w:w="3969" w:type="dxa"/>
            <w:tcBorders>
              <w:top w:val="nil"/>
              <w:left w:val="nil"/>
              <w:bottom w:val="nil"/>
              <w:right w:val="nil"/>
            </w:tcBorders>
            <w:shd w:val="solid" w:color="FFFFFF" w:fill="auto"/>
            <w:vAlign w:val="bottom"/>
          </w:tcPr>
          <w:p w14:paraId="7EBF3511" w14:textId="5C4C42BB" w:rsidR="007A492D" w:rsidRPr="001441B9" w:rsidRDefault="007A492D" w:rsidP="007A492D">
            <w:pPr>
              <w:autoSpaceDE w:val="0"/>
              <w:autoSpaceDN w:val="0"/>
              <w:adjustRightInd w:val="0"/>
              <w:ind w:left="0" w:firstLine="0"/>
              <w:rPr>
                <w:rFonts w:asciiTheme="minorHAnsi" w:eastAsiaTheme="minorHAnsi" w:hAnsiTheme="minorHAnsi" w:cstheme="minorHAnsi"/>
                <w:b/>
                <w:bCs/>
                <w:noProof/>
                <w:color w:val="000000"/>
                <w:sz w:val="20"/>
                <w:szCs w:val="20"/>
                <w:lang w:val="es-ES"/>
              </w:rPr>
            </w:pPr>
            <w:r w:rsidRPr="001441B9">
              <w:rPr>
                <w:rFonts w:asciiTheme="minorHAnsi" w:hAnsiTheme="minorHAnsi" w:cstheme="minorHAnsi"/>
                <w:b/>
                <w:bCs/>
                <w:noProof/>
                <w:sz w:val="20"/>
                <w:szCs w:val="20"/>
                <w:lang w:val="es-ES"/>
              </w:rPr>
              <w:t>Activo corriente</w:t>
            </w:r>
          </w:p>
        </w:tc>
        <w:tc>
          <w:tcPr>
            <w:tcW w:w="846" w:type="dxa"/>
            <w:tcBorders>
              <w:top w:val="nil"/>
              <w:left w:val="nil"/>
              <w:bottom w:val="nil"/>
              <w:right w:val="nil"/>
            </w:tcBorders>
            <w:shd w:val="solid" w:color="FFFFFF" w:fill="auto"/>
          </w:tcPr>
          <w:p w14:paraId="0863C870" w14:textId="77777777" w:rsidR="007A492D" w:rsidRPr="001441B9" w:rsidRDefault="007A492D" w:rsidP="007A492D">
            <w:pPr>
              <w:autoSpaceDE w:val="0"/>
              <w:autoSpaceDN w:val="0"/>
              <w:adjustRightInd w:val="0"/>
              <w:ind w:left="0" w:firstLine="0"/>
              <w:jc w:val="center"/>
              <w:rPr>
                <w:rFonts w:asciiTheme="minorHAnsi" w:eastAsiaTheme="minorHAnsi" w:hAnsiTheme="minorHAnsi" w:cstheme="minorHAnsi"/>
                <w:noProof/>
                <w:color w:val="000000"/>
                <w:sz w:val="20"/>
                <w:szCs w:val="20"/>
                <w:lang w:val="es-ES"/>
              </w:rPr>
            </w:pPr>
          </w:p>
        </w:tc>
        <w:tc>
          <w:tcPr>
            <w:tcW w:w="1620" w:type="dxa"/>
            <w:tcBorders>
              <w:top w:val="nil"/>
              <w:left w:val="nil"/>
              <w:bottom w:val="nil"/>
              <w:right w:val="nil"/>
            </w:tcBorders>
            <w:shd w:val="solid" w:color="FFFFFF" w:fill="auto"/>
          </w:tcPr>
          <w:p w14:paraId="770D1C84" w14:textId="77777777" w:rsidR="007A492D" w:rsidRPr="001441B9" w:rsidRDefault="007A492D" w:rsidP="007A492D">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p>
        </w:tc>
        <w:tc>
          <w:tcPr>
            <w:tcW w:w="283" w:type="dxa"/>
            <w:tcBorders>
              <w:top w:val="nil"/>
              <w:left w:val="nil"/>
              <w:bottom w:val="nil"/>
              <w:right w:val="nil"/>
            </w:tcBorders>
            <w:shd w:val="clear" w:color="auto" w:fill="F2F2F2" w:themeFill="background1" w:themeFillShade="F2"/>
          </w:tcPr>
          <w:p w14:paraId="4D0BFE1F" w14:textId="77777777" w:rsidR="007A492D" w:rsidRPr="001441B9" w:rsidRDefault="007A492D" w:rsidP="007A492D">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p>
        </w:tc>
        <w:tc>
          <w:tcPr>
            <w:tcW w:w="1579" w:type="dxa"/>
            <w:tcBorders>
              <w:top w:val="nil"/>
              <w:left w:val="nil"/>
              <w:bottom w:val="nil"/>
              <w:right w:val="nil"/>
            </w:tcBorders>
            <w:shd w:val="solid" w:color="FFFFFF" w:fill="auto"/>
          </w:tcPr>
          <w:p w14:paraId="6020C300" w14:textId="77777777" w:rsidR="007A492D" w:rsidRPr="001441B9" w:rsidRDefault="007A492D" w:rsidP="007A492D">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p>
        </w:tc>
      </w:tr>
      <w:tr w:rsidR="007A492D" w:rsidRPr="00551574" w14:paraId="192D7121" w14:textId="77777777" w:rsidTr="00FF2210">
        <w:tc>
          <w:tcPr>
            <w:tcW w:w="3969" w:type="dxa"/>
            <w:tcBorders>
              <w:top w:val="nil"/>
              <w:left w:val="nil"/>
              <w:bottom w:val="nil"/>
              <w:right w:val="nil"/>
            </w:tcBorders>
            <w:shd w:val="solid" w:color="FFFFFF" w:fill="auto"/>
            <w:vAlign w:val="bottom"/>
          </w:tcPr>
          <w:p w14:paraId="01C5EB5A" w14:textId="1085C6C3" w:rsidR="007A492D" w:rsidRPr="001441B9" w:rsidRDefault="007A492D" w:rsidP="007A492D">
            <w:pPr>
              <w:autoSpaceDE w:val="0"/>
              <w:autoSpaceDN w:val="0"/>
              <w:adjustRightInd w:val="0"/>
              <w:ind w:left="0" w:firstLine="0"/>
              <w:rPr>
                <w:rFonts w:asciiTheme="minorHAnsi" w:eastAsiaTheme="minorHAnsi" w:hAnsiTheme="minorHAnsi" w:cstheme="minorHAnsi"/>
                <w:noProof/>
                <w:color w:val="000000"/>
                <w:sz w:val="20"/>
                <w:szCs w:val="20"/>
                <w:lang w:val="es-ES"/>
              </w:rPr>
            </w:pPr>
            <w:r w:rsidRPr="001441B9">
              <w:rPr>
                <w:rFonts w:asciiTheme="minorHAnsi" w:hAnsiTheme="minorHAnsi" w:cstheme="minorHAnsi"/>
                <w:noProof/>
                <w:sz w:val="20"/>
                <w:szCs w:val="20"/>
                <w:lang w:val="es-ES"/>
              </w:rPr>
              <w:t>Efectivo y depósitos bancarios a corto plazo</w:t>
            </w:r>
          </w:p>
        </w:tc>
        <w:tc>
          <w:tcPr>
            <w:tcW w:w="846" w:type="dxa"/>
            <w:tcBorders>
              <w:top w:val="nil"/>
              <w:left w:val="nil"/>
              <w:bottom w:val="nil"/>
              <w:right w:val="nil"/>
            </w:tcBorders>
            <w:shd w:val="solid" w:color="FFFFFF" w:fill="auto"/>
          </w:tcPr>
          <w:p w14:paraId="20E29F6F" w14:textId="77777777" w:rsidR="007A492D" w:rsidRPr="001441B9" w:rsidRDefault="007A492D" w:rsidP="007A492D">
            <w:pPr>
              <w:autoSpaceDE w:val="0"/>
              <w:autoSpaceDN w:val="0"/>
              <w:adjustRightInd w:val="0"/>
              <w:ind w:left="0" w:firstLine="0"/>
              <w:jc w:val="center"/>
              <w:rPr>
                <w:rFonts w:asciiTheme="minorHAnsi" w:eastAsiaTheme="minorHAnsi" w:hAnsiTheme="minorHAnsi" w:cstheme="minorHAnsi"/>
                <w:noProof/>
                <w:color w:val="000000"/>
                <w:sz w:val="20"/>
                <w:szCs w:val="20"/>
                <w:lang w:val="es-ES"/>
              </w:rPr>
            </w:pPr>
          </w:p>
        </w:tc>
        <w:tc>
          <w:tcPr>
            <w:tcW w:w="1620" w:type="dxa"/>
            <w:tcBorders>
              <w:top w:val="nil"/>
              <w:left w:val="nil"/>
              <w:bottom w:val="nil"/>
              <w:right w:val="nil"/>
            </w:tcBorders>
            <w:shd w:val="solid" w:color="FFFFFF" w:fill="auto"/>
          </w:tcPr>
          <w:p w14:paraId="310B2099" w14:textId="19EFA1A4" w:rsidR="007A492D" w:rsidRPr="001441B9" w:rsidRDefault="007A492D" w:rsidP="007A492D">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r w:rsidRPr="001441B9">
              <w:rPr>
                <w:rFonts w:asciiTheme="minorHAnsi" w:hAnsiTheme="minorHAnsi" w:cstheme="minorHAnsi"/>
                <w:noProof/>
                <w:sz w:val="20"/>
                <w:szCs w:val="20"/>
                <w:lang w:val="es-ES"/>
              </w:rPr>
              <w:t>6</w:t>
            </w:r>
            <w:r w:rsidR="00B71CAF" w:rsidRPr="001441B9">
              <w:rPr>
                <w:rFonts w:asciiTheme="minorHAnsi" w:hAnsiTheme="minorHAnsi" w:cstheme="minorHAnsi"/>
                <w:noProof/>
                <w:sz w:val="20"/>
                <w:szCs w:val="20"/>
                <w:lang w:val="es-ES"/>
              </w:rPr>
              <w:t xml:space="preserve"> </w:t>
            </w:r>
            <w:r w:rsidRPr="001441B9">
              <w:rPr>
                <w:rFonts w:asciiTheme="minorHAnsi" w:hAnsiTheme="minorHAnsi" w:cstheme="minorHAnsi"/>
                <w:noProof/>
                <w:sz w:val="20"/>
                <w:szCs w:val="20"/>
                <w:lang w:val="es-ES"/>
              </w:rPr>
              <w:t>946</w:t>
            </w:r>
          </w:p>
        </w:tc>
        <w:tc>
          <w:tcPr>
            <w:tcW w:w="283" w:type="dxa"/>
            <w:tcBorders>
              <w:top w:val="nil"/>
              <w:left w:val="nil"/>
              <w:bottom w:val="nil"/>
              <w:right w:val="nil"/>
            </w:tcBorders>
            <w:shd w:val="clear" w:color="auto" w:fill="F2F2F2" w:themeFill="background1" w:themeFillShade="F2"/>
            <w:vAlign w:val="center"/>
          </w:tcPr>
          <w:p w14:paraId="12EE4BB3" w14:textId="77777777" w:rsidR="007A492D" w:rsidRPr="001441B9" w:rsidRDefault="007A492D" w:rsidP="007A492D">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p>
        </w:tc>
        <w:tc>
          <w:tcPr>
            <w:tcW w:w="1579" w:type="dxa"/>
            <w:tcBorders>
              <w:top w:val="nil"/>
              <w:left w:val="nil"/>
              <w:bottom w:val="nil"/>
              <w:right w:val="nil"/>
            </w:tcBorders>
            <w:shd w:val="solid" w:color="FFFFFF" w:fill="auto"/>
          </w:tcPr>
          <w:p w14:paraId="5ADADBC1" w14:textId="61D8D75B" w:rsidR="007A492D" w:rsidRPr="001441B9" w:rsidRDefault="007A492D" w:rsidP="007A492D">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r w:rsidRPr="001441B9">
              <w:rPr>
                <w:rFonts w:asciiTheme="minorHAnsi" w:hAnsiTheme="minorHAnsi" w:cstheme="minorHAnsi"/>
                <w:noProof/>
                <w:sz w:val="20"/>
                <w:szCs w:val="20"/>
                <w:lang w:val="es-ES"/>
              </w:rPr>
              <w:t>5</w:t>
            </w:r>
            <w:r w:rsidR="00B71CAF" w:rsidRPr="001441B9">
              <w:rPr>
                <w:rFonts w:asciiTheme="minorHAnsi" w:hAnsiTheme="minorHAnsi" w:cstheme="minorHAnsi"/>
                <w:noProof/>
                <w:sz w:val="20"/>
                <w:szCs w:val="20"/>
                <w:lang w:val="es-ES"/>
              </w:rPr>
              <w:t xml:space="preserve"> </w:t>
            </w:r>
            <w:r w:rsidRPr="001441B9">
              <w:rPr>
                <w:rFonts w:asciiTheme="minorHAnsi" w:hAnsiTheme="minorHAnsi" w:cstheme="minorHAnsi"/>
                <w:noProof/>
                <w:sz w:val="20"/>
                <w:szCs w:val="20"/>
                <w:lang w:val="es-ES"/>
              </w:rPr>
              <w:t>634</w:t>
            </w:r>
          </w:p>
        </w:tc>
      </w:tr>
      <w:tr w:rsidR="007A492D" w:rsidRPr="00551574" w14:paraId="52D11E5A" w14:textId="77777777" w:rsidTr="00FF2210">
        <w:tc>
          <w:tcPr>
            <w:tcW w:w="3969" w:type="dxa"/>
            <w:tcBorders>
              <w:top w:val="nil"/>
              <w:left w:val="nil"/>
              <w:bottom w:val="nil"/>
              <w:right w:val="nil"/>
            </w:tcBorders>
            <w:shd w:val="solid" w:color="FFFFFF" w:fill="auto"/>
            <w:vAlign w:val="bottom"/>
          </w:tcPr>
          <w:p w14:paraId="7F59B5AF" w14:textId="2BDF4114" w:rsidR="007A492D" w:rsidRPr="001441B9" w:rsidRDefault="007A492D" w:rsidP="007A492D">
            <w:pPr>
              <w:autoSpaceDE w:val="0"/>
              <w:autoSpaceDN w:val="0"/>
              <w:adjustRightInd w:val="0"/>
              <w:ind w:left="0" w:firstLine="0"/>
              <w:rPr>
                <w:rFonts w:asciiTheme="minorHAnsi" w:eastAsiaTheme="minorHAnsi" w:hAnsiTheme="minorHAnsi" w:cstheme="minorHAnsi"/>
                <w:noProof/>
                <w:color w:val="000000"/>
                <w:sz w:val="20"/>
                <w:szCs w:val="20"/>
                <w:lang w:val="es-ES"/>
              </w:rPr>
            </w:pPr>
            <w:r w:rsidRPr="001441B9">
              <w:rPr>
                <w:rFonts w:asciiTheme="minorHAnsi" w:hAnsiTheme="minorHAnsi" w:cstheme="minorHAnsi"/>
                <w:noProof/>
                <w:sz w:val="20"/>
                <w:szCs w:val="20"/>
                <w:lang w:val="es-ES"/>
              </w:rPr>
              <w:t>Activos exigibles a las Partes Contratantes (netos)</w:t>
            </w:r>
          </w:p>
        </w:tc>
        <w:tc>
          <w:tcPr>
            <w:tcW w:w="846" w:type="dxa"/>
            <w:tcBorders>
              <w:top w:val="nil"/>
              <w:left w:val="nil"/>
              <w:bottom w:val="nil"/>
              <w:right w:val="nil"/>
            </w:tcBorders>
            <w:shd w:val="solid" w:color="FFFFFF" w:fill="auto"/>
          </w:tcPr>
          <w:p w14:paraId="2F9BEB58" w14:textId="77777777" w:rsidR="007A492D" w:rsidRPr="001441B9" w:rsidRDefault="007A492D" w:rsidP="007A492D">
            <w:pPr>
              <w:autoSpaceDE w:val="0"/>
              <w:autoSpaceDN w:val="0"/>
              <w:adjustRightInd w:val="0"/>
              <w:ind w:left="0" w:firstLine="0"/>
              <w:jc w:val="center"/>
              <w:rPr>
                <w:rFonts w:asciiTheme="minorHAnsi" w:eastAsiaTheme="minorHAnsi" w:hAnsiTheme="minorHAnsi" w:cstheme="minorHAnsi"/>
                <w:noProof/>
                <w:color w:val="000000"/>
                <w:sz w:val="20"/>
                <w:szCs w:val="20"/>
                <w:lang w:val="es-ES"/>
              </w:rPr>
            </w:pPr>
            <w:r w:rsidRPr="001441B9">
              <w:rPr>
                <w:rFonts w:asciiTheme="minorHAnsi" w:eastAsiaTheme="minorHAnsi" w:hAnsiTheme="minorHAnsi" w:cstheme="minorHAnsi"/>
                <w:noProof/>
                <w:color w:val="000000"/>
                <w:sz w:val="20"/>
                <w:szCs w:val="20"/>
                <w:lang w:val="es-ES"/>
              </w:rPr>
              <w:t>6</w:t>
            </w:r>
          </w:p>
        </w:tc>
        <w:tc>
          <w:tcPr>
            <w:tcW w:w="1620" w:type="dxa"/>
            <w:tcBorders>
              <w:top w:val="nil"/>
              <w:left w:val="nil"/>
              <w:bottom w:val="nil"/>
              <w:right w:val="nil"/>
            </w:tcBorders>
            <w:shd w:val="solid" w:color="FFFFFF" w:fill="auto"/>
          </w:tcPr>
          <w:p w14:paraId="0BA050AF" w14:textId="0C3B5174" w:rsidR="007A492D" w:rsidRPr="001441B9" w:rsidRDefault="007A492D" w:rsidP="007A492D">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r w:rsidRPr="001441B9">
              <w:rPr>
                <w:rFonts w:asciiTheme="minorHAnsi" w:hAnsiTheme="minorHAnsi" w:cstheme="minorHAnsi"/>
                <w:noProof/>
                <w:sz w:val="20"/>
                <w:szCs w:val="20"/>
                <w:lang w:val="es-ES"/>
              </w:rPr>
              <w:t>484</w:t>
            </w:r>
          </w:p>
        </w:tc>
        <w:tc>
          <w:tcPr>
            <w:tcW w:w="283" w:type="dxa"/>
            <w:tcBorders>
              <w:top w:val="nil"/>
              <w:left w:val="nil"/>
              <w:bottom w:val="nil"/>
              <w:right w:val="nil"/>
            </w:tcBorders>
            <w:shd w:val="clear" w:color="auto" w:fill="F2F2F2" w:themeFill="background1" w:themeFillShade="F2"/>
            <w:vAlign w:val="center"/>
          </w:tcPr>
          <w:p w14:paraId="20440884" w14:textId="77777777" w:rsidR="007A492D" w:rsidRPr="001441B9" w:rsidRDefault="007A492D" w:rsidP="007A492D">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p>
        </w:tc>
        <w:tc>
          <w:tcPr>
            <w:tcW w:w="1579" w:type="dxa"/>
            <w:tcBorders>
              <w:top w:val="nil"/>
              <w:left w:val="nil"/>
              <w:bottom w:val="nil"/>
              <w:right w:val="nil"/>
            </w:tcBorders>
            <w:shd w:val="solid" w:color="FFFFFF" w:fill="auto"/>
          </w:tcPr>
          <w:p w14:paraId="6D07799B" w14:textId="5AB07462" w:rsidR="007A492D" w:rsidRPr="001441B9" w:rsidRDefault="007A492D" w:rsidP="007A492D">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r w:rsidRPr="001441B9">
              <w:rPr>
                <w:rFonts w:asciiTheme="minorHAnsi" w:hAnsiTheme="minorHAnsi" w:cstheme="minorHAnsi"/>
                <w:noProof/>
                <w:sz w:val="20"/>
                <w:szCs w:val="20"/>
                <w:lang w:val="es-ES"/>
              </w:rPr>
              <w:t>680</w:t>
            </w:r>
          </w:p>
        </w:tc>
      </w:tr>
      <w:tr w:rsidR="007A492D" w:rsidRPr="00551574" w14:paraId="4326BE8E" w14:textId="77777777" w:rsidTr="00FF2210">
        <w:tc>
          <w:tcPr>
            <w:tcW w:w="3969" w:type="dxa"/>
            <w:tcBorders>
              <w:top w:val="nil"/>
              <w:left w:val="nil"/>
              <w:bottom w:val="nil"/>
              <w:right w:val="nil"/>
            </w:tcBorders>
            <w:shd w:val="solid" w:color="FFFFFF" w:fill="auto"/>
            <w:vAlign w:val="bottom"/>
          </w:tcPr>
          <w:p w14:paraId="3B864407" w14:textId="0AE5E2CD" w:rsidR="007A492D" w:rsidRPr="001441B9" w:rsidRDefault="007A492D" w:rsidP="007A492D">
            <w:pPr>
              <w:autoSpaceDE w:val="0"/>
              <w:autoSpaceDN w:val="0"/>
              <w:adjustRightInd w:val="0"/>
              <w:ind w:left="0" w:firstLine="0"/>
              <w:rPr>
                <w:rFonts w:asciiTheme="minorHAnsi" w:eastAsiaTheme="minorHAnsi" w:hAnsiTheme="minorHAnsi" w:cstheme="minorHAnsi"/>
                <w:noProof/>
                <w:color w:val="000000"/>
                <w:sz w:val="20"/>
                <w:szCs w:val="20"/>
                <w:lang w:val="es-ES"/>
              </w:rPr>
            </w:pPr>
            <w:r w:rsidRPr="001441B9">
              <w:rPr>
                <w:rFonts w:asciiTheme="minorHAnsi" w:hAnsiTheme="minorHAnsi" w:cstheme="minorHAnsi"/>
                <w:noProof/>
                <w:sz w:val="20"/>
                <w:szCs w:val="20"/>
                <w:lang w:val="es-ES"/>
              </w:rPr>
              <w:t>Otros activos exigibles</w:t>
            </w:r>
          </w:p>
        </w:tc>
        <w:tc>
          <w:tcPr>
            <w:tcW w:w="846" w:type="dxa"/>
            <w:tcBorders>
              <w:top w:val="nil"/>
              <w:left w:val="nil"/>
              <w:bottom w:val="nil"/>
              <w:right w:val="nil"/>
            </w:tcBorders>
            <w:shd w:val="solid" w:color="FFFFFF" w:fill="auto"/>
          </w:tcPr>
          <w:p w14:paraId="28EC9883" w14:textId="77777777" w:rsidR="007A492D" w:rsidRPr="001441B9" w:rsidRDefault="007A492D" w:rsidP="007A492D">
            <w:pPr>
              <w:autoSpaceDE w:val="0"/>
              <w:autoSpaceDN w:val="0"/>
              <w:adjustRightInd w:val="0"/>
              <w:ind w:left="0" w:firstLine="0"/>
              <w:jc w:val="center"/>
              <w:rPr>
                <w:rFonts w:asciiTheme="minorHAnsi" w:eastAsiaTheme="minorHAnsi" w:hAnsiTheme="minorHAnsi" w:cstheme="minorHAnsi"/>
                <w:noProof/>
                <w:color w:val="000000"/>
                <w:sz w:val="20"/>
                <w:szCs w:val="20"/>
                <w:lang w:val="es-ES"/>
              </w:rPr>
            </w:pPr>
            <w:r w:rsidRPr="001441B9">
              <w:rPr>
                <w:rFonts w:asciiTheme="minorHAnsi" w:eastAsiaTheme="minorHAnsi" w:hAnsiTheme="minorHAnsi" w:cstheme="minorHAnsi"/>
                <w:noProof/>
                <w:color w:val="000000"/>
                <w:sz w:val="20"/>
                <w:szCs w:val="20"/>
                <w:lang w:val="es-ES"/>
              </w:rPr>
              <w:t>7</w:t>
            </w:r>
          </w:p>
        </w:tc>
        <w:tc>
          <w:tcPr>
            <w:tcW w:w="1620" w:type="dxa"/>
            <w:tcBorders>
              <w:top w:val="nil"/>
              <w:left w:val="nil"/>
              <w:bottom w:val="single" w:sz="6" w:space="0" w:color="auto"/>
              <w:right w:val="nil"/>
            </w:tcBorders>
            <w:shd w:val="solid" w:color="FFFFFF" w:fill="auto"/>
          </w:tcPr>
          <w:p w14:paraId="17A39682" w14:textId="3E6DA8A3" w:rsidR="007A492D" w:rsidRPr="001441B9" w:rsidRDefault="007A492D" w:rsidP="007A492D">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r w:rsidRPr="001441B9">
              <w:rPr>
                <w:rFonts w:asciiTheme="minorHAnsi" w:hAnsiTheme="minorHAnsi" w:cstheme="minorHAnsi"/>
                <w:noProof/>
                <w:sz w:val="20"/>
                <w:szCs w:val="20"/>
                <w:lang w:val="es-ES"/>
              </w:rPr>
              <w:t>49</w:t>
            </w:r>
          </w:p>
        </w:tc>
        <w:tc>
          <w:tcPr>
            <w:tcW w:w="283" w:type="dxa"/>
            <w:tcBorders>
              <w:top w:val="nil"/>
              <w:left w:val="nil"/>
              <w:bottom w:val="single" w:sz="6" w:space="0" w:color="auto"/>
              <w:right w:val="nil"/>
            </w:tcBorders>
            <w:shd w:val="clear" w:color="auto" w:fill="F2F2F2" w:themeFill="background1" w:themeFillShade="F2"/>
            <w:vAlign w:val="center"/>
          </w:tcPr>
          <w:p w14:paraId="79D1C68D" w14:textId="77777777" w:rsidR="007A492D" w:rsidRPr="001441B9" w:rsidRDefault="007A492D" w:rsidP="007A492D">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p>
        </w:tc>
        <w:tc>
          <w:tcPr>
            <w:tcW w:w="1579" w:type="dxa"/>
            <w:tcBorders>
              <w:top w:val="nil"/>
              <w:left w:val="nil"/>
              <w:bottom w:val="single" w:sz="6" w:space="0" w:color="auto"/>
              <w:right w:val="nil"/>
            </w:tcBorders>
            <w:shd w:val="solid" w:color="FFFFFF" w:fill="auto"/>
          </w:tcPr>
          <w:p w14:paraId="7FBAFA71" w14:textId="0FEB45FE" w:rsidR="007A492D" w:rsidRPr="001441B9" w:rsidRDefault="007A492D" w:rsidP="007A492D">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r w:rsidRPr="001441B9">
              <w:rPr>
                <w:rFonts w:asciiTheme="minorHAnsi" w:hAnsiTheme="minorHAnsi" w:cstheme="minorHAnsi"/>
                <w:noProof/>
                <w:sz w:val="20"/>
                <w:szCs w:val="20"/>
                <w:lang w:val="es-ES"/>
              </w:rPr>
              <w:t>85</w:t>
            </w:r>
          </w:p>
        </w:tc>
      </w:tr>
      <w:tr w:rsidR="007A492D" w:rsidRPr="00551574" w14:paraId="63E0F4F0" w14:textId="77777777" w:rsidTr="00FF2210">
        <w:tc>
          <w:tcPr>
            <w:tcW w:w="3969" w:type="dxa"/>
            <w:tcBorders>
              <w:top w:val="nil"/>
              <w:left w:val="nil"/>
              <w:bottom w:val="nil"/>
              <w:right w:val="nil"/>
            </w:tcBorders>
            <w:shd w:val="solid" w:color="FFFFFF" w:fill="auto"/>
            <w:vAlign w:val="bottom"/>
          </w:tcPr>
          <w:p w14:paraId="40693104" w14:textId="4E26647C" w:rsidR="007A492D" w:rsidRPr="001441B9" w:rsidRDefault="007A492D" w:rsidP="007A492D">
            <w:pPr>
              <w:autoSpaceDE w:val="0"/>
              <w:autoSpaceDN w:val="0"/>
              <w:adjustRightInd w:val="0"/>
              <w:ind w:left="0" w:firstLine="0"/>
              <w:rPr>
                <w:rFonts w:asciiTheme="minorHAnsi" w:eastAsiaTheme="minorHAnsi" w:hAnsiTheme="minorHAnsi" w:cstheme="minorHAnsi"/>
                <w:b/>
                <w:bCs/>
                <w:noProof/>
                <w:color w:val="000000"/>
                <w:sz w:val="20"/>
                <w:szCs w:val="20"/>
                <w:lang w:val="es-ES"/>
              </w:rPr>
            </w:pPr>
            <w:r w:rsidRPr="001441B9">
              <w:rPr>
                <w:rFonts w:asciiTheme="minorHAnsi" w:hAnsiTheme="minorHAnsi" w:cstheme="minorHAnsi"/>
                <w:b/>
                <w:bCs/>
                <w:noProof/>
                <w:sz w:val="20"/>
                <w:szCs w:val="20"/>
                <w:lang w:val="es-ES"/>
              </w:rPr>
              <w:t>Total, Activos corrientes</w:t>
            </w:r>
          </w:p>
        </w:tc>
        <w:tc>
          <w:tcPr>
            <w:tcW w:w="846" w:type="dxa"/>
            <w:tcBorders>
              <w:top w:val="nil"/>
              <w:left w:val="nil"/>
              <w:bottom w:val="nil"/>
              <w:right w:val="nil"/>
            </w:tcBorders>
            <w:shd w:val="solid" w:color="FFFFFF" w:fill="auto"/>
          </w:tcPr>
          <w:p w14:paraId="1E8A41B8" w14:textId="77777777" w:rsidR="007A492D" w:rsidRPr="001441B9" w:rsidRDefault="007A492D" w:rsidP="007A492D">
            <w:pPr>
              <w:autoSpaceDE w:val="0"/>
              <w:autoSpaceDN w:val="0"/>
              <w:adjustRightInd w:val="0"/>
              <w:ind w:left="0" w:firstLine="0"/>
              <w:jc w:val="center"/>
              <w:rPr>
                <w:rFonts w:asciiTheme="minorHAnsi" w:eastAsiaTheme="minorHAnsi" w:hAnsiTheme="minorHAnsi" w:cstheme="minorHAnsi"/>
                <w:noProof/>
                <w:color w:val="000000"/>
                <w:sz w:val="20"/>
                <w:szCs w:val="20"/>
                <w:lang w:val="es-ES"/>
              </w:rPr>
            </w:pPr>
          </w:p>
        </w:tc>
        <w:tc>
          <w:tcPr>
            <w:tcW w:w="1620" w:type="dxa"/>
            <w:tcBorders>
              <w:top w:val="nil"/>
              <w:left w:val="nil"/>
              <w:bottom w:val="nil"/>
              <w:right w:val="nil"/>
            </w:tcBorders>
            <w:shd w:val="solid" w:color="FFFFFF" w:fill="auto"/>
          </w:tcPr>
          <w:p w14:paraId="3907EC76" w14:textId="65AD6430" w:rsidR="007A492D" w:rsidRPr="001441B9" w:rsidRDefault="007A492D" w:rsidP="007A492D">
            <w:pPr>
              <w:autoSpaceDE w:val="0"/>
              <w:autoSpaceDN w:val="0"/>
              <w:adjustRightInd w:val="0"/>
              <w:ind w:left="0" w:firstLine="0"/>
              <w:jc w:val="right"/>
              <w:rPr>
                <w:rFonts w:asciiTheme="minorHAnsi" w:eastAsiaTheme="minorHAnsi" w:hAnsiTheme="minorHAnsi" w:cstheme="minorHAnsi"/>
                <w:b/>
                <w:bCs/>
                <w:noProof/>
                <w:color w:val="000000"/>
                <w:sz w:val="20"/>
                <w:szCs w:val="20"/>
                <w:lang w:val="es-ES"/>
              </w:rPr>
            </w:pPr>
            <w:r w:rsidRPr="001441B9">
              <w:rPr>
                <w:rFonts w:asciiTheme="minorHAnsi" w:hAnsiTheme="minorHAnsi" w:cstheme="minorHAnsi"/>
                <w:noProof/>
                <w:sz w:val="20"/>
                <w:szCs w:val="20"/>
                <w:lang w:val="es-ES"/>
              </w:rPr>
              <w:t>7</w:t>
            </w:r>
            <w:r w:rsidR="00B71CAF" w:rsidRPr="001441B9">
              <w:rPr>
                <w:rFonts w:asciiTheme="minorHAnsi" w:hAnsiTheme="minorHAnsi" w:cstheme="minorHAnsi"/>
                <w:noProof/>
                <w:sz w:val="20"/>
                <w:szCs w:val="20"/>
                <w:lang w:val="es-ES"/>
              </w:rPr>
              <w:t xml:space="preserve"> </w:t>
            </w:r>
            <w:r w:rsidRPr="001441B9">
              <w:rPr>
                <w:rFonts w:asciiTheme="minorHAnsi" w:hAnsiTheme="minorHAnsi" w:cstheme="minorHAnsi"/>
                <w:noProof/>
                <w:sz w:val="20"/>
                <w:szCs w:val="20"/>
                <w:lang w:val="es-ES"/>
              </w:rPr>
              <w:t>479</w:t>
            </w:r>
          </w:p>
        </w:tc>
        <w:tc>
          <w:tcPr>
            <w:tcW w:w="283" w:type="dxa"/>
            <w:tcBorders>
              <w:top w:val="nil"/>
              <w:left w:val="nil"/>
              <w:bottom w:val="nil"/>
              <w:right w:val="nil"/>
            </w:tcBorders>
            <w:shd w:val="clear" w:color="auto" w:fill="F2F2F2" w:themeFill="background1" w:themeFillShade="F2"/>
            <w:vAlign w:val="center"/>
          </w:tcPr>
          <w:p w14:paraId="000742B0" w14:textId="77777777" w:rsidR="007A492D" w:rsidRPr="001441B9" w:rsidRDefault="007A492D" w:rsidP="007A492D">
            <w:pPr>
              <w:autoSpaceDE w:val="0"/>
              <w:autoSpaceDN w:val="0"/>
              <w:adjustRightInd w:val="0"/>
              <w:ind w:left="0" w:firstLine="0"/>
              <w:jc w:val="right"/>
              <w:rPr>
                <w:rFonts w:asciiTheme="minorHAnsi" w:eastAsiaTheme="minorHAnsi" w:hAnsiTheme="minorHAnsi" w:cstheme="minorHAnsi"/>
                <w:b/>
                <w:bCs/>
                <w:noProof/>
                <w:color w:val="000000"/>
                <w:sz w:val="20"/>
                <w:szCs w:val="20"/>
                <w:lang w:val="es-ES"/>
              </w:rPr>
            </w:pPr>
          </w:p>
        </w:tc>
        <w:tc>
          <w:tcPr>
            <w:tcW w:w="1579" w:type="dxa"/>
            <w:tcBorders>
              <w:top w:val="nil"/>
              <w:left w:val="nil"/>
              <w:bottom w:val="nil"/>
              <w:right w:val="nil"/>
            </w:tcBorders>
            <w:shd w:val="solid" w:color="FFFFFF" w:fill="auto"/>
          </w:tcPr>
          <w:p w14:paraId="319608EB" w14:textId="3800C3E5" w:rsidR="007A492D" w:rsidRPr="001441B9" w:rsidRDefault="007A492D" w:rsidP="007A492D">
            <w:pPr>
              <w:autoSpaceDE w:val="0"/>
              <w:autoSpaceDN w:val="0"/>
              <w:adjustRightInd w:val="0"/>
              <w:ind w:left="0" w:firstLine="0"/>
              <w:jc w:val="right"/>
              <w:rPr>
                <w:rFonts w:asciiTheme="minorHAnsi" w:eastAsiaTheme="minorHAnsi" w:hAnsiTheme="minorHAnsi" w:cstheme="minorHAnsi"/>
                <w:b/>
                <w:bCs/>
                <w:noProof/>
                <w:color w:val="000000"/>
                <w:sz w:val="20"/>
                <w:szCs w:val="20"/>
                <w:lang w:val="es-ES"/>
              </w:rPr>
            </w:pPr>
            <w:r w:rsidRPr="001441B9">
              <w:rPr>
                <w:rFonts w:asciiTheme="minorHAnsi" w:hAnsiTheme="minorHAnsi" w:cstheme="minorHAnsi"/>
                <w:noProof/>
                <w:sz w:val="20"/>
                <w:szCs w:val="20"/>
                <w:lang w:val="es-ES"/>
              </w:rPr>
              <w:t>6</w:t>
            </w:r>
            <w:r w:rsidR="00B71CAF" w:rsidRPr="001441B9">
              <w:rPr>
                <w:rFonts w:asciiTheme="minorHAnsi" w:hAnsiTheme="minorHAnsi" w:cstheme="minorHAnsi"/>
                <w:noProof/>
                <w:sz w:val="20"/>
                <w:szCs w:val="20"/>
                <w:lang w:val="es-ES"/>
              </w:rPr>
              <w:t xml:space="preserve"> </w:t>
            </w:r>
            <w:r w:rsidRPr="001441B9">
              <w:rPr>
                <w:rFonts w:asciiTheme="minorHAnsi" w:hAnsiTheme="minorHAnsi" w:cstheme="minorHAnsi"/>
                <w:noProof/>
                <w:sz w:val="20"/>
                <w:szCs w:val="20"/>
                <w:lang w:val="es-ES"/>
              </w:rPr>
              <w:t>399</w:t>
            </w:r>
          </w:p>
        </w:tc>
      </w:tr>
      <w:tr w:rsidR="0014538A" w:rsidRPr="00551574" w14:paraId="496A06B0" w14:textId="77777777" w:rsidTr="002538A3">
        <w:tc>
          <w:tcPr>
            <w:tcW w:w="3969" w:type="dxa"/>
            <w:tcBorders>
              <w:top w:val="nil"/>
              <w:left w:val="nil"/>
              <w:bottom w:val="nil"/>
              <w:right w:val="nil"/>
            </w:tcBorders>
            <w:shd w:val="solid" w:color="FFFFFF" w:fill="auto"/>
          </w:tcPr>
          <w:p w14:paraId="4821934C" w14:textId="77777777" w:rsidR="0014538A" w:rsidRPr="001441B9" w:rsidRDefault="0014538A" w:rsidP="0014538A">
            <w:pPr>
              <w:autoSpaceDE w:val="0"/>
              <w:autoSpaceDN w:val="0"/>
              <w:adjustRightInd w:val="0"/>
              <w:ind w:left="0" w:firstLine="0"/>
              <w:rPr>
                <w:rFonts w:asciiTheme="minorHAnsi" w:eastAsiaTheme="minorHAnsi" w:hAnsiTheme="minorHAnsi" w:cstheme="minorHAnsi"/>
                <w:b/>
                <w:bCs/>
                <w:noProof/>
                <w:color w:val="000000"/>
                <w:sz w:val="20"/>
                <w:szCs w:val="20"/>
                <w:lang w:val="es-ES"/>
              </w:rPr>
            </w:pPr>
          </w:p>
        </w:tc>
        <w:tc>
          <w:tcPr>
            <w:tcW w:w="846" w:type="dxa"/>
            <w:tcBorders>
              <w:top w:val="nil"/>
              <w:left w:val="nil"/>
              <w:bottom w:val="nil"/>
              <w:right w:val="nil"/>
            </w:tcBorders>
            <w:shd w:val="solid" w:color="FFFFFF" w:fill="auto"/>
          </w:tcPr>
          <w:p w14:paraId="4B1CAAF8" w14:textId="77777777" w:rsidR="0014538A" w:rsidRPr="001441B9" w:rsidRDefault="0014538A" w:rsidP="0014538A">
            <w:pPr>
              <w:autoSpaceDE w:val="0"/>
              <w:autoSpaceDN w:val="0"/>
              <w:adjustRightInd w:val="0"/>
              <w:ind w:left="0" w:firstLine="0"/>
              <w:jc w:val="center"/>
              <w:rPr>
                <w:rFonts w:asciiTheme="minorHAnsi" w:eastAsiaTheme="minorHAnsi" w:hAnsiTheme="minorHAnsi" w:cstheme="minorHAnsi"/>
                <w:noProof/>
                <w:color w:val="000000"/>
                <w:sz w:val="20"/>
                <w:szCs w:val="20"/>
                <w:lang w:val="es-ES"/>
              </w:rPr>
            </w:pPr>
          </w:p>
        </w:tc>
        <w:tc>
          <w:tcPr>
            <w:tcW w:w="1620" w:type="dxa"/>
            <w:tcBorders>
              <w:top w:val="nil"/>
              <w:left w:val="nil"/>
              <w:bottom w:val="nil"/>
              <w:right w:val="nil"/>
            </w:tcBorders>
            <w:shd w:val="solid" w:color="FFFFFF" w:fill="auto"/>
          </w:tcPr>
          <w:p w14:paraId="25D7B633" w14:textId="77777777" w:rsidR="0014538A" w:rsidRPr="001441B9" w:rsidRDefault="0014538A" w:rsidP="0014538A">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p>
        </w:tc>
        <w:tc>
          <w:tcPr>
            <w:tcW w:w="283" w:type="dxa"/>
            <w:tcBorders>
              <w:top w:val="nil"/>
              <w:left w:val="nil"/>
              <w:bottom w:val="nil"/>
              <w:right w:val="nil"/>
            </w:tcBorders>
            <w:shd w:val="clear" w:color="auto" w:fill="F2F2F2" w:themeFill="background1" w:themeFillShade="F2"/>
            <w:vAlign w:val="center"/>
          </w:tcPr>
          <w:p w14:paraId="5F758EA7" w14:textId="77777777" w:rsidR="0014538A" w:rsidRPr="001441B9" w:rsidRDefault="0014538A" w:rsidP="0014538A">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p>
        </w:tc>
        <w:tc>
          <w:tcPr>
            <w:tcW w:w="1579" w:type="dxa"/>
            <w:tcBorders>
              <w:top w:val="nil"/>
              <w:left w:val="nil"/>
              <w:bottom w:val="nil"/>
              <w:right w:val="nil"/>
            </w:tcBorders>
            <w:shd w:val="solid" w:color="FFFFFF" w:fill="auto"/>
          </w:tcPr>
          <w:p w14:paraId="3BEE8B7D" w14:textId="77777777" w:rsidR="0014538A" w:rsidRPr="001441B9" w:rsidRDefault="0014538A" w:rsidP="0014538A">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p>
        </w:tc>
      </w:tr>
      <w:tr w:rsidR="007A492D" w:rsidRPr="00551574" w14:paraId="07373202" w14:textId="77777777" w:rsidTr="00FF2210">
        <w:tc>
          <w:tcPr>
            <w:tcW w:w="3969" w:type="dxa"/>
            <w:tcBorders>
              <w:top w:val="nil"/>
              <w:left w:val="nil"/>
              <w:bottom w:val="nil"/>
              <w:right w:val="nil"/>
            </w:tcBorders>
            <w:shd w:val="solid" w:color="FFFFFF" w:fill="auto"/>
            <w:vAlign w:val="bottom"/>
          </w:tcPr>
          <w:p w14:paraId="038F6455" w14:textId="1EA03887" w:rsidR="007A492D" w:rsidRPr="001441B9" w:rsidRDefault="007A492D" w:rsidP="007A492D">
            <w:pPr>
              <w:autoSpaceDE w:val="0"/>
              <w:autoSpaceDN w:val="0"/>
              <w:adjustRightInd w:val="0"/>
              <w:ind w:left="0" w:firstLine="0"/>
              <w:rPr>
                <w:rFonts w:asciiTheme="minorHAnsi" w:eastAsiaTheme="minorHAnsi" w:hAnsiTheme="minorHAnsi" w:cstheme="minorHAnsi"/>
                <w:b/>
                <w:bCs/>
                <w:noProof/>
                <w:color w:val="000000"/>
                <w:sz w:val="20"/>
                <w:szCs w:val="20"/>
                <w:lang w:val="es-ES"/>
              </w:rPr>
            </w:pPr>
            <w:r w:rsidRPr="001441B9">
              <w:rPr>
                <w:rFonts w:asciiTheme="minorHAnsi" w:hAnsiTheme="minorHAnsi" w:cstheme="minorHAnsi"/>
                <w:b/>
                <w:bCs/>
                <w:noProof/>
                <w:sz w:val="20"/>
                <w:szCs w:val="20"/>
                <w:lang w:val="es-ES"/>
              </w:rPr>
              <w:t>Activos fijos (netos)</w:t>
            </w:r>
          </w:p>
        </w:tc>
        <w:tc>
          <w:tcPr>
            <w:tcW w:w="846" w:type="dxa"/>
            <w:tcBorders>
              <w:top w:val="nil"/>
              <w:left w:val="nil"/>
              <w:bottom w:val="nil"/>
              <w:right w:val="nil"/>
            </w:tcBorders>
            <w:shd w:val="solid" w:color="FFFFFF" w:fill="auto"/>
          </w:tcPr>
          <w:p w14:paraId="2F08D4EA" w14:textId="77777777" w:rsidR="007A492D" w:rsidRPr="001441B9" w:rsidRDefault="007A492D" w:rsidP="007A492D">
            <w:pPr>
              <w:autoSpaceDE w:val="0"/>
              <w:autoSpaceDN w:val="0"/>
              <w:adjustRightInd w:val="0"/>
              <w:ind w:left="0" w:firstLine="0"/>
              <w:jc w:val="center"/>
              <w:rPr>
                <w:rFonts w:asciiTheme="minorHAnsi" w:eastAsiaTheme="minorHAnsi" w:hAnsiTheme="minorHAnsi" w:cstheme="minorHAnsi"/>
                <w:noProof/>
                <w:color w:val="000000"/>
                <w:sz w:val="20"/>
                <w:szCs w:val="20"/>
                <w:lang w:val="es-ES"/>
              </w:rPr>
            </w:pPr>
            <w:r w:rsidRPr="001441B9">
              <w:rPr>
                <w:rFonts w:asciiTheme="minorHAnsi" w:eastAsiaTheme="minorHAnsi" w:hAnsiTheme="minorHAnsi" w:cstheme="minorHAnsi"/>
                <w:noProof/>
                <w:color w:val="000000"/>
                <w:sz w:val="20"/>
                <w:szCs w:val="20"/>
                <w:lang w:val="es-ES"/>
              </w:rPr>
              <w:t>9</w:t>
            </w:r>
          </w:p>
        </w:tc>
        <w:tc>
          <w:tcPr>
            <w:tcW w:w="1620" w:type="dxa"/>
            <w:tcBorders>
              <w:top w:val="nil"/>
              <w:left w:val="nil"/>
              <w:bottom w:val="nil"/>
              <w:right w:val="nil"/>
            </w:tcBorders>
            <w:shd w:val="solid" w:color="FFFFFF" w:fill="auto"/>
          </w:tcPr>
          <w:p w14:paraId="00DCEC27" w14:textId="3D00CE57" w:rsidR="007A492D" w:rsidRPr="001441B9" w:rsidRDefault="007A492D" w:rsidP="007A492D">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r w:rsidRPr="001441B9">
              <w:rPr>
                <w:rFonts w:asciiTheme="minorHAnsi" w:hAnsiTheme="minorHAnsi" w:cstheme="minorHAnsi"/>
                <w:noProof/>
                <w:sz w:val="20"/>
                <w:szCs w:val="20"/>
                <w:lang w:val="es-ES"/>
              </w:rPr>
              <w:t>17</w:t>
            </w:r>
          </w:p>
        </w:tc>
        <w:tc>
          <w:tcPr>
            <w:tcW w:w="283" w:type="dxa"/>
            <w:tcBorders>
              <w:top w:val="nil"/>
              <w:left w:val="nil"/>
              <w:bottom w:val="nil"/>
              <w:right w:val="nil"/>
            </w:tcBorders>
            <w:shd w:val="clear" w:color="auto" w:fill="F2F2F2" w:themeFill="background1" w:themeFillShade="F2"/>
            <w:vAlign w:val="center"/>
          </w:tcPr>
          <w:p w14:paraId="365C5129" w14:textId="77777777" w:rsidR="007A492D" w:rsidRPr="001441B9" w:rsidRDefault="007A492D" w:rsidP="007A492D">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p>
        </w:tc>
        <w:tc>
          <w:tcPr>
            <w:tcW w:w="1579" w:type="dxa"/>
            <w:tcBorders>
              <w:top w:val="nil"/>
              <w:left w:val="nil"/>
              <w:bottom w:val="nil"/>
              <w:right w:val="nil"/>
            </w:tcBorders>
            <w:shd w:val="solid" w:color="FFFFFF" w:fill="auto"/>
          </w:tcPr>
          <w:p w14:paraId="0EA26632" w14:textId="62F8AF7A" w:rsidR="007A492D" w:rsidRPr="001441B9" w:rsidRDefault="007A492D" w:rsidP="007A492D">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r w:rsidRPr="001441B9">
              <w:rPr>
                <w:rFonts w:asciiTheme="minorHAnsi" w:hAnsiTheme="minorHAnsi" w:cstheme="minorHAnsi"/>
                <w:noProof/>
                <w:sz w:val="20"/>
                <w:szCs w:val="20"/>
                <w:lang w:val="es-ES"/>
              </w:rPr>
              <w:t>13</w:t>
            </w:r>
          </w:p>
        </w:tc>
      </w:tr>
      <w:tr w:rsidR="007A492D" w:rsidRPr="00551574" w14:paraId="06B2F319" w14:textId="77777777" w:rsidTr="00FF2210">
        <w:tc>
          <w:tcPr>
            <w:tcW w:w="3969" w:type="dxa"/>
            <w:tcBorders>
              <w:top w:val="nil"/>
              <w:left w:val="nil"/>
              <w:bottom w:val="nil"/>
              <w:right w:val="nil"/>
            </w:tcBorders>
            <w:shd w:val="solid" w:color="FFFFFF" w:fill="auto"/>
            <w:vAlign w:val="bottom"/>
          </w:tcPr>
          <w:p w14:paraId="6B861FC9" w14:textId="762A9283" w:rsidR="007A492D" w:rsidRPr="001441B9" w:rsidRDefault="007A492D" w:rsidP="007A492D">
            <w:pPr>
              <w:autoSpaceDE w:val="0"/>
              <w:autoSpaceDN w:val="0"/>
              <w:adjustRightInd w:val="0"/>
              <w:ind w:left="0" w:firstLine="0"/>
              <w:rPr>
                <w:rFonts w:asciiTheme="minorHAnsi" w:eastAsiaTheme="minorHAnsi" w:hAnsiTheme="minorHAnsi" w:cstheme="minorHAnsi"/>
                <w:b/>
                <w:bCs/>
                <w:noProof/>
                <w:color w:val="000000"/>
                <w:sz w:val="20"/>
                <w:szCs w:val="20"/>
                <w:lang w:val="es-ES"/>
              </w:rPr>
            </w:pPr>
            <w:r w:rsidRPr="001441B9">
              <w:rPr>
                <w:rFonts w:asciiTheme="minorHAnsi" w:hAnsiTheme="minorHAnsi" w:cstheme="minorHAnsi"/>
                <w:b/>
                <w:bCs/>
                <w:noProof/>
                <w:sz w:val="20"/>
                <w:szCs w:val="20"/>
                <w:lang w:val="es-ES"/>
              </w:rPr>
              <w:t>Total, Activos no corrientes</w:t>
            </w:r>
          </w:p>
        </w:tc>
        <w:tc>
          <w:tcPr>
            <w:tcW w:w="846" w:type="dxa"/>
            <w:tcBorders>
              <w:top w:val="nil"/>
              <w:left w:val="nil"/>
              <w:bottom w:val="nil"/>
              <w:right w:val="nil"/>
            </w:tcBorders>
            <w:shd w:val="solid" w:color="FFFFFF" w:fill="auto"/>
          </w:tcPr>
          <w:p w14:paraId="137E508B" w14:textId="77777777" w:rsidR="007A492D" w:rsidRPr="001441B9" w:rsidRDefault="007A492D" w:rsidP="007A492D">
            <w:pPr>
              <w:autoSpaceDE w:val="0"/>
              <w:autoSpaceDN w:val="0"/>
              <w:adjustRightInd w:val="0"/>
              <w:ind w:left="0" w:firstLine="0"/>
              <w:jc w:val="center"/>
              <w:rPr>
                <w:rFonts w:asciiTheme="minorHAnsi" w:eastAsiaTheme="minorHAnsi" w:hAnsiTheme="minorHAnsi" w:cstheme="minorHAnsi"/>
                <w:noProof/>
                <w:color w:val="000000"/>
                <w:sz w:val="20"/>
                <w:szCs w:val="20"/>
                <w:lang w:val="es-ES"/>
              </w:rPr>
            </w:pPr>
          </w:p>
        </w:tc>
        <w:tc>
          <w:tcPr>
            <w:tcW w:w="1620" w:type="dxa"/>
            <w:tcBorders>
              <w:top w:val="single" w:sz="6" w:space="0" w:color="auto"/>
              <w:left w:val="nil"/>
              <w:bottom w:val="nil"/>
              <w:right w:val="nil"/>
            </w:tcBorders>
            <w:shd w:val="solid" w:color="FFFFFF" w:fill="auto"/>
          </w:tcPr>
          <w:p w14:paraId="6FE494F9" w14:textId="7970CD48" w:rsidR="007A492D" w:rsidRPr="001441B9" w:rsidRDefault="007A492D" w:rsidP="007A492D">
            <w:pPr>
              <w:autoSpaceDE w:val="0"/>
              <w:autoSpaceDN w:val="0"/>
              <w:adjustRightInd w:val="0"/>
              <w:ind w:left="0" w:firstLine="0"/>
              <w:jc w:val="right"/>
              <w:rPr>
                <w:rFonts w:asciiTheme="minorHAnsi" w:eastAsiaTheme="minorHAnsi" w:hAnsiTheme="minorHAnsi" w:cstheme="minorHAnsi"/>
                <w:b/>
                <w:bCs/>
                <w:noProof/>
                <w:color w:val="000000"/>
                <w:sz w:val="20"/>
                <w:szCs w:val="20"/>
                <w:lang w:val="es-ES"/>
              </w:rPr>
            </w:pPr>
            <w:r w:rsidRPr="001441B9">
              <w:rPr>
                <w:rFonts w:asciiTheme="minorHAnsi" w:hAnsiTheme="minorHAnsi" w:cstheme="minorHAnsi"/>
                <w:noProof/>
                <w:sz w:val="20"/>
                <w:szCs w:val="20"/>
                <w:lang w:val="es-ES"/>
              </w:rPr>
              <w:t>17</w:t>
            </w:r>
          </w:p>
        </w:tc>
        <w:tc>
          <w:tcPr>
            <w:tcW w:w="283" w:type="dxa"/>
            <w:tcBorders>
              <w:top w:val="single" w:sz="6" w:space="0" w:color="auto"/>
              <w:left w:val="nil"/>
              <w:bottom w:val="nil"/>
              <w:right w:val="nil"/>
            </w:tcBorders>
            <w:shd w:val="clear" w:color="auto" w:fill="F2F2F2" w:themeFill="background1" w:themeFillShade="F2"/>
            <w:vAlign w:val="center"/>
          </w:tcPr>
          <w:p w14:paraId="2F34024E" w14:textId="77777777" w:rsidR="007A492D" w:rsidRPr="001441B9" w:rsidRDefault="007A492D" w:rsidP="007A492D">
            <w:pPr>
              <w:autoSpaceDE w:val="0"/>
              <w:autoSpaceDN w:val="0"/>
              <w:adjustRightInd w:val="0"/>
              <w:ind w:left="0" w:firstLine="0"/>
              <w:jc w:val="right"/>
              <w:rPr>
                <w:rFonts w:asciiTheme="minorHAnsi" w:eastAsiaTheme="minorHAnsi" w:hAnsiTheme="minorHAnsi" w:cstheme="minorHAnsi"/>
                <w:b/>
                <w:bCs/>
                <w:noProof/>
                <w:color w:val="000000"/>
                <w:sz w:val="20"/>
                <w:szCs w:val="20"/>
                <w:lang w:val="es-ES"/>
              </w:rPr>
            </w:pPr>
          </w:p>
        </w:tc>
        <w:tc>
          <w:tcPr>
            <w:tcW w:w="1579" w:type="dxa"/>
            <w:tcBorders>
              <w:top w:val="single" w:sz="6" w:space="0" w:color="auto"/>
              <w:left w:val="nil"/>
              <w:bottom w:val="nil"/>
              <w:right w:val="nil"/>
            </w:tcBorders>
            <w:shd w:val="solid" w:color="FFFFFF" w:fill="auto"/>
          </w:tcPr>
          <w:p w14:paraId="794928E6" w14:textId="77804DEC" w:rsidR="007A492D" w:rsidRPr="001441B9" w:rsidRDefault="007A492D" w:rsidP="007A492D">
            <w:pPr>
              <w:autoSpaceDE w:val="0"/>
              <w:autoSpaceDN w:val="0"/>
              <w:adjustRightInd w:val="0"/>
              <w:ind w:left="0" w:firstLine="0"/>
              <w:jc w:val="right"/>
              <w:rPr>
                <w:rFonts w:asciiTheme="minorHAnsi" w:eastAsiaTheme="minorHAnsi" w:hAnsiTheme="minorHAnsi" w:cstheme="minorHAnsi"/>
                <w:b/>
                <w:bCs/>
                <w:noProof/>
                <w:color w:val="000000"/>
                <w:sz w:val="20"/>
                <w:szCs w:val="20"/>
                <w:lang w:val="es-ES"/>
              </w:rPr>
            </w:pPr>
            <w:r w:rsidRPr="001441B9">
              <w:rPr>
                <w:rFonts w:asciiTheme="minorHAnsi" w:hAnsiTheme="minorHAnsi" w:cstheme="minorHAnsi"/>
                <w:noProof/>
                <w:sz w:val="20"/>
                <w:szCs w:val="20"/>
                <w:lang w:val="es-ES"/>
              </w:rPr>
              <w:t>13</w:t>
            </w:r>
          </w:p>
        </w:tc>
      </w:tr>
      <w:tr w:rsidR="0014538A" w:rsidRPr="00551574" w14:paraId="0AFF4DE7" w14:textId="77777777" w:rsidTr="002538A3">
        <w:tc>
          <w:tcPr>
            <w:tcW w:w="3969" w:type="dxa"/>
            <w:tcBorders>
              <w:top w:val="nil"/>
              <w:left w:val="nil"/>
              <w:bottom w:val="nil"/>
              <w:right w:val="nil"/>
            </w:tcBorders>
            <w:shd w:val="solid" w:color="FFFFFF" w:fill="auto"/>
          </w:tcPr>
          <w:p w14:paraId="1A24BD28" w14:textId="77777777" w:rsidR="0014538A" w:rsidRPr="001441B9" w:rsidRDefault="0014538A" w:rsidP="0014538A">
            <w:pPr>
              <w:autoSpaceDE w:val="0"/>
              <w:autoSpaceDN w:val="0"/>
              <w:adjustRightInd w:val="0"/>
              <w:ind w:left="0" w:firstLine="0"/>
              <w:rPr>
                <w:rFonts w:asciiTheme="minorHAnsi" w:eastAsiaTheme="minorHAnsi" w:hAnsiTheme="minorHAnsi" w:cstheme="minorHAnsi"/>
                <w:noProof/>
                <w:color w:val="000000"/>
                <w:sz w:val="20"/>
                <w:szCs w:val="20"/>
                <w:lang w:val="es-ES"/>
              </w:rPr>
            </w:pPr>
          </w:p>
        </w:tc>
        <w:tc>
          <w:tcPr>
            <w:tcW w:w="846" w:type="dxa"/>
            <w:tcBorders>
              <w:top w:val="nil"/>
              <w:left w:val="nil"/>
              <w:bottom w:val="nil"/>
              <w:right w:val="nil"/>
            </w:tcBorders>
            <w:shd w:val="solid" w:color="FFFFFF" w:fill="auto"/>
          </w:tcPr>
          <w:p w14:paraId="0E796E6B" w14:textId="77777777" w:rsidR="0014538A" w:rsidRPr="001441B9" w:rsidRDefault="0014538A" w:rsidP="0014538A">
            <w:pPr>
              <w:autoSpaceDE w:val="0"/>
              <w:autoSpaceDN w:val="0"/>
              <w:adjustRightInd w:val="0"/>
              <w:ind w:left="0" w:firstLine="0"/>
              <w:jc w:val="center"/>
              <w:rPr>
                <w:rFonts w:asciiTheme="minorHAnsi" w:eastAsiaTheme="minorHAnsi" w:hAnsiTheme="minorHAnsi" w:cstheme="minorHAnsi"/>
                <w:noProof/>
                <w:color w:val="000000"/>
                <w:sz w:val="20"/>
                <w:szCs w:val="20"/>
                <w:lang w:val="es-ES"/>
              </w:rPr>
            </w:pPr>
          </w:p>
        </w:tc>
        <w:tc>
          <w:tcPr>
            <w:tcW w:w="1620" w:type="dxa"/>
            <w:tcBorders>
              <w:top w:val="nil"/>
              <w:left w:val="nil"/>
              <w:bottom w:val="nil"/>
              <w:right w:val="nil"/>
            </w:tcBorders>
          </w:tcPr>
          <w:p w14:paraId="638DABE7" w14:textId="77777777" w:rsidR="0014538A" w:rsidRPr="001441B9" w:rsidRDefault="0014538A" w:rsidP="0014538A">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p>
        </w:tc>
        <w:tc>
          <w:tcPr>
            <w:tcW w:w="283" w:type="dxa"/>
            <w:tcBorders>
              <w:top w:val="nil"/>
              <w:left w:val="nil"/>
              <w:bottom w:val="nil"/>
              <w:right w:val="nil"/>
            </w:tcBorders>
            <w:shd w:val="clear" w:color="auto" w:fill="F2F2F2" w:themeFill="background1" w:themeFillShade="F2"/>
            <w:vAlign w:val="center"/>
          </w:tcPr>
          <w:p w14:paraId="4D089D20" w14:textId="77777777" w:rsidR="0014538A" w:rsidRPr="001441B9" w:rsidRDefault="0014538A" w:rsidP="0014538A">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p>
        </w:tc>
        <w:tc>
          <w:tcPr>
            <w:tcW w:w="1579" w:type="dxa"/>
            <w:tcBorders>
              <w:top w:val="nil"/>
              <w:left w:val="nil"/>
              <w:bottom w:val="nil"/>
              <w:right w:val="nil"/>
            </w:tcBorders>
            <w:shd w:val="solid" w:color="FFFFFF" w:fill="auto"/>
          </w:tcPr>
          <w:p w14:paraId="5E80B727" w14:textId="77777777" w:rsidR="0014538A" w:rsidRPr="001441B9" w:rsidRDefault="0014538A" w:rsidP="0014538A">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p>
        </w:tc>
      </w:tr>
      <w:tr w:rsidR="00272CC8" w:rsidRPr="00551574" w14:paraId="1DEF9153" w14:textId="77777777" w:rsidTr="00FF2210">
        <w:tc>
          <w:tcPr>
            <w:tcW w:w="3969" w:type="dxa"/>
            <w:tcBorders>
              <w:top w:val="nil"/>
              <w:left w:val="nil"/>
              <w:bottom w:val="nil"/>
              <w:right w:val="nil"/>
            </w:tcBorders>
            <w:shd w:val="solid" w:color="FFFFFF" w:fill="auto"/>
            <w:vAlign w:val="center"/>
          </w:tcPr>
          <w:p w14:paraId="7F5C5E9F" w14:textId="25180B48" w:rsidR="00272CC8" w:rsidRPr="001441B9" w:rsidRDefault="00272CC8" w:rsidP="00272CC8">
            <w:pPr>
              <w:autoSpaceDE w:val="0"/>
              <w:autoSpaceDN w:val="0"/>
              <w:adjustRightInd w:val="0"/>
              <w:ind w:left="0" w:firstLine="0"/>
              <w:rPr>
                <w:rFonts w:asciiTheme="minorHAnsi" w:eastAsiaTheme="minorHAnsi" w:hAnsiTheme="minorHAnsi" w:cstheme="minorHAnsi"/>
                <w:b/>
                <w:bCs/>
                <w:noProof/>
                <w:color w:val="000000"/>
                <w:sz w:val="20"/>
                <w:szCs w:val="20"/>
                <w:lang w:val="es-ES"/>
              </w:rPr>
            </w:pPr>
            <w:r w:rsidRPr="001441B9">
              <w:rPr>
                <w:rFonts w:asciiTheme="minorHAnsi" w:hAnsiTheme="minorHAnsi" w:cstheme="minorHAnsi"/>
                <w:b/>
                <w:bCs/>
                <w:noProof/>
                <w:sz w:val="20"/>
                <w:szCs w:val="20"/>
                <w:lang w:val="es-ES"/>
              </w:rPr>
              <w:t>TOTAL, ACTIVOS</w:t>
            </w:r>
          </w:p>
        </w:tc>
        <w:tc>
          <w:tcPr>
            <w:tcW w:w="846" w:type="dxa"/>
            <w:tcBorders>
              <w:top w:val="nil"/>
              <w:left w:val="nil"/>
              <w:bottom w:val="nil"/>
              <w:right w:val="nil"/>
            </w:tcBorders>
            <w:shd w:val="solid" w:color="FFFFFF" w:fill="auto"/>
          </w:tcPr>
          <w:p w14:paraId="15A6F373" w14:textId="77777777" w:rsidR="00272CC8" w:rsidRPr="001441B9" w:rsidRDefault="00272CC8" w:rsidP="00272CC8">
            <w:pPr>
              <w:autoSpaceDE w:val="0"/>
              <w:autoSpaceDN w:val="0"/>
              <w:adjustRightInd w:val="0"/>
              <w:ind w:left="0" w:firstLine="0"/>
              <w:jc w:val="center"/>
              <w:rPr>
                <w:rFonts w:asciiTheme="minorHAnsi" w:eastAsiaTheme="minorHAnsi" w:hAnsiTheme="minorHAnsi" w:cstheme="minorHAnsi"/>
                <w:noProof/>
                <w:color w:val="000000"/>
                <w:sz w:val="20"/>
                <w:szCs w:val="20"/>
                <w:lang w:val="es-ES"/>
              </w:rPr>
            </w:pPr>
          </w:p>
        </w:tc>
        <w:tc>
          <w:tcPr>
            <w:tcW w:w="1620" w:type="dxa"/>
            <w:tcBorders>
              <w:top w:val="single" w:sz="6" w:space="0" w:color="auto"/>
              <w:left w:val="nil"/>
              <w:bottom w:val="single" w:sz="6" w:space="0" w:color="auto"/>
              <w:right w:val="nil"/>
            </w:tcBorders>
            <w:shd w:val="solid" w:color="FFFFFF" w:fill="auto"/>
          </w:tcPr>
          <w:p w14:paraId="40D635A7" w14:textId="01E635CA" w:rsidR="00272CC8" w:rsidRPr="001441B9" w:rsidRDefault="00272CC8" w:rsidP="00272CC8">
            <w:pPr>
              <w:autoSpaceDE w:val="0"/>
              <w:autoSpaceDN w:val="0"/>
              <w:adjustRightInd w:val="0"/>
              <w:ind w:left="0" w:firstLine="0"/>
              <w:jc w:val="right"/>
              <w:rPr>
                <w:rFonts w:asciiTheme="minorHAnsi" w:eastAsiaTheme="minorHAnsi" w:hAnsiTheme="minorHAnsi" w:cstheme="minorHAnsi"/>
                <w:b/>
                <w:bCs/>
                <w:noProof/>
                <w:color w:val="000000"/>
                <w:sz w:val="20"/>
                <w:szCs w:val="20"/>
                <w:lang w:val="es-ES"/>
              </w:rPr>
            </w:pPr>
            <w:r w:rsidRPr="001441B9">
              <w:rPr>
                <w:rFonts w:asciiTheme="minorHAnsi" w:hAnsiTheme="minorHAnsi" w:cstheme="minorHAnsi"/>
                <w:noProof/>
                <w:sz w:val="20"/>
                <w:szCs w:val="20"/>
                <w:lang w:val="es-ES"/>
              </w:rPr>
              <w:t>7</w:t>
            </w:r>
            <w:r w:rsidR="00B71CAF" w:rsidRPr="001441B9">
              <w:rPr>
                <w:rFonts w:asciiTheme="minorHAnsi" w:hAnsiTheme="minorHAnsi" w:cstheme="minorHAnsi"/>
                <w:noProof/>
                <w:sz w:val="20"/>
                <w:szCs w:val="20"/>
                <w:lang w:val="es-ES"/>
              </w:rPr>
              <w:t xml:space="preserve"> </w:t>
            </w:r>
            <w:r w:rsidRPr="001441B9">
              <w:rPr>
                <w:rFonts w:asciiTheme="minorHAnsi" w:hAnsiTheme="minorHAnsi" w:cstheme="minorHAnsi"/>
                <w:noProof/>
                <w:sz w:val="20"/>
                <w:szCs w:val="20"/>
                <w:lang w:val="es-ES"/>
              </w:rPr>
              <w:t>496</w:t>
            </w:r>
          </w:p>
        </w:tc>
        <w:tc>
          <w:tcPr>
            <w:tcW w:w="283" w:type="dxa"/>
            <w:tcBorders>
              <w:top w:val="single" w:sz="6" w:space="0" w:color="auto"/>
              <w:left w:val="nil"/>
              <w:bottom w:val="single" w:sz="6" w:space="0" w:color="auto"/>
              <w:right w:val="nil"/>
            </w:tcBorders>
            <w:shd w:val="clear" w:color="auto" w:fill="F2F2F2" w:themeFill="background1" w:themeFillShade="F2"/>
            <w:vAlign w:val="center"/>
          </w:tcPr>
          <w:p w14:paraId="74D52E51" w14:textId="77777777" w:rsidR="00272CC8" w:rsidRPr="001441B9" w:rsidRDefault="00272CC8" w:rsidP="00272CC8">
            <w:pPr>
              <w:autoSpaceDE w:val="0"/>
              <w:autoSpaceDN w:val="0"/>
              <w:adjustRightInd w:val="0"/>
              <w:ind w:left="0" w:firstLine="0"/>
              <w:jc w:val="right"/>
              <w:rPr>
                <w:rFonts w:asciiTheme="minorHAnsi" w:eastAsiaTheme="minorHAnsi" w:hAnsiTheme="minorHAnsi" w:cstheme="minorHAnsi"/>
                <w:b/>
                <w:bCs/>
                <w:noProof/>
                <w:color w:val="000000"/>
                <w:sz w:val="20"/>
                <w:szCs w:val="20"/>
                <w:lang w:val="es-ES"/>
              </w:rPr>
            </w:pPr>
          </w:p>
        </w:tc>
        <w:tc>
          <w:tcPr>
            <w:tcW w:w="1579" w:type="dxa"/>
            <w:tcBorders>
              <w:top w:val="single" w:sz="6" w:space="0" w:color="auto"/>
              <w:left w:val="nil"/>
              <w:bottom w:val="single" w:sz="6" w:space="0" w:color="auto"/>
              <w:right w:val="nil"/>
            </w:tcBorders>
            <w:shd w:val="solid" w:color="FFFFFF" w:fill="auto"/>
          </w:tcPr>
          <w:p w14:paraId="315ED3C9" w14:textId="56A8D38C" w:rsidR="00272CC8" w:rsidRPr="001441B9" w:rsidRDefault="00272CC8" w:rsidP="00272CC8">
            <w:pPr>
              <w:autoSpaceDE w:val="0"/>
              <w:autoSpaceDN w:val="0"/>
              <w:adjustRightInd w:val="0"/>
              <w:ind w:left="0" w:firstLine="0"/>
              <w:jc w:val="right"/>
              <w:rPr>
                <w:rFonts w:asciiTheme="minorHAnsi" w:eastAsiaTheme="minorHAnsi" w:hAnsiTheme="minorHAnsi" w:cstheme="minorHAnsi"/>
                <w:b/>
                <w:bCs/>
                <w:noProof/>
                <w:color w:val="000000"/>
                <w:sz w:val="20"/>
                <w:szCs w:val="20"/>
                <w:lang w:val="es-ES"/>
              </w:rPr>
            </w:pPr>
            <w:r w:rsidRPr="001441B9">
              <w:rPr>
                <w:rFonts w:asciiTheme="minorHAnsi" w:hAnsiTheme="minorHAnsi" w:cstheme="minorHAnsi"/>
                <w:noProof/>
                <w:sz w:val="20"/>
                <w:szCs w:val="20"/>
                <w:lang w:val="es-ES"/>
              </w:rPr>
              <w:t>6</w:t>
            </w:r>
            <w:r w:rsidR="00B71CAF" w:rsidRPr="001441B9">
              <w:rPr>
                <w:rFonts w:asciiTheme="minorHAnsi" w:hAnsiTheme="minorHAnsi" w:cstheme="minorHAnsi"/>
                <w:noProof/>
                <w:sz w:val="20"/>
                <w:szCs w:val="20"/>
                <w:lang w:val="es-ES"/>
              </w:rPr>
              <w:t xml:space="preserve"> </w:t>
            </w:r>
            <w:r w:rsidRPr="001441B9">
              <w:rPr>
                <w:rFonts w:asciiTheme="minorHAnsi" w:hAnsiTheme="minorHAnsi" w:cstheme="minorHAnsi"/>
                <w:noProof/>
                <w:sz w:val="20"/>
                <w:szCs w:val="20"/>
                <w:lang w:val="es-ES"/>
              </w:rPr>
              <w:t>412</w:t>
            </w:r>
          </w:p>
        </w:tc>
      </w:tr>
      <w:tr w:rsidR="0014538A" w:rsidRPr="00551574" w14:paraId="61AEC6C3" w14:textId="77777777" w:rsidTr="002538A3">
        <w:tc>
          <w:tcPr>
            <w:tcW w:w="3969" w:type="dxa"/>
            <w:tcBorders>
              <w:top w:val="nil"/>
              <w:left w:val="nil"/>
              <w:bottom w:val="nil"/>
              <w:right w:val="nil"/>
            </w:tcBorders>
            <w:shd w:val="solid" w:color="FFFFFF" w:fill="auto"/>
          </w:tcPr>
          <w:p w14:paraId="0AA6E5B0" w14:textId="77777777" w:rsidR="0014538A" w:rsidRPr="001441B9" w:rsidRDefault="0014538A" w:rsidP="0014538A">
            <w:pPr>
              <w:autoSpaceDE w:val="0"/>
              <w:autoSpaceDN w:val="0"/>
              <w:adjustRightInd w:val="0"/>
              <w:ind w:left="0" w:firstLine="0"/>
              <w:rPr>
                <w:rFonts w:asciiTheme="minorHAnsi" w:eastAsiaTheme="minorHAnsi" w:hAnsiTheme="minorHAnsi" w:cstheme="minorHAnsi"/>
                <w:noProof/>
                <w:color w:val="000000"/>
                <w:sz w:val="20"/>
                <w:szCs w:val="20"/>
                <w:lang w:val="es-ES"/>
              </w:rPr>
            </w:pPr>
          </w:p>
        </w:tc>
        <w:tc>
          <w:tcPr>
            <w:tcW w:w="846" w:type="dxa"/>
            <w:tcBorders>
              <w:top w:val="nil"/>
              <w:left w:val="nil"/>
              <w:bottom w:val="nil"/>
              <w:right w:val="nil"/>
            </w:tcBorders>
            <w:shd w:val="solid" w:color="FFFFFF" w:fill="auto"/>
          </w:tcPr>
          <w:p w14:paraId="3FC63DD2" w14:textId="77777777" w:rsidR="0014538A" w:rsidRPr="001441B9" w:rsidRDefault="0014538A" w:rsidP="0014538A">
            <w:pPr>
              <w:autoSpaceDE w:val="0"/>
              <w:autoSpaceDN w:val="0"/>
              <w:adjustRightInd w:val="0"/>
              <w:ind w:left="0" w:firstLine="0"/>
              <w:jc w:val="center"/>
              <w:rPr>
                <w:rFonts w:asciiTheme="minorHAnsi" w:eastAsiaTheme="minorHAnsi" w:hAnsiTheme="minorHAnsi" w:cstheme="minorHAnsi"/>
                <w:noProof/>
                <w:color w:val="000000"/>
                <w:sz w:val="20"/>
                <w:szCs w:val="20"/>
                <w:lang w:val="es-ES"/>
              </w:rPr>
            </w:pPr>
          </w:p>
        </w:tc>
        <w:tc>
          <w:tcPr>
            <w:tcW w:w="1620" w:type="dxa"/>
            <w:tcBorders>
              <w:top w:val="nil"/>
              <w:left w:val="nil"/>
              <w:bottom w:val="nil"/>
              <w:right w:val="nil"/>
            </w:tcBorders>
            <w:shd w:val="solid" w:color="FFFFFF" w:fill="auto"/>
          </w:tcPr>
          <w:p w14:paraId="333E7390" w14:textId="77777777" w:rsidR="0014538A" w:rsidRPr="001441B9" w:rsidRDefault="0014538A" w:rsidP="0014538A">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p>
        </w:tc>
        <w:tc>
          <w:tcPr>
            <w:tcW w:w="283" w:type="dxa"/>
            <w:tcBorders>
              <w:top w:val="nil"/>
              <w:left w:val="nil"/>
              <w:bottom w:val="nil"/>
              <w:right w:val="nil"/>
            </w:tcBorders>
            <w:shd w:val="clear" w:color="auto" w:fill="F2F2F2" w:themeFill="background1" w:themeFillShade="F2"/>
            <w:vAlign w:val="center"/>
          </w:tcPr>
          <w:p w14:paraId="7DE41FB8" w14:textId="77777777" w:rsidR="0014538A" w:rsidRPr="001441B9" w:rsidRDefault="0014538A" w:rsidP="0014538A">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p>
        </w:tc>
        <w:tc>
          <w:tcPr>
            <w:tcW w:w="1579" w:type="dxa"/>
            <w:tcBorders>
              <w:top w:val="nil"/>
              <w:left w:val="nil"/>
              <w:bottom w:val="nil"/>
              <w:right w:val="nil"/>
            </w:tcBorders>
            <w:shd w:val="solid" w:color="FFFFFF" w:fill="auto"/>
          </w:tcPr>
          <w:p w14:paraId="33A1CFD4" w14:textId="77777777" w:rsidR="0014538A" w:rsidRPr="001441B9" w:rsidRDefault="0014538A" w:rsidP="0014538A">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p>
        </w:tc>
      </w:tr>
      <w:tr w:rsidR="00272CC8" w:rsidRPr="001441B9" w14:paraId="232F5FC6" w14:textId="77777777" w:rsidTr="00FF2210">
        <w:tc>
          <w:tcPr>
            <w:tcW w:w="3969" w:type="dxa"/>
            <w:tcBorders>
              <w:top w:val="nil"/>
              <w:left w:val="nil"/>
              <w:bottom w:val="nil"/>
              <w:right w:val="nil"/>
            </w:tcBorders>
            <w:shd w:val="solid" w:color="FFFFFF" w:fill="auto"/>
            <w:vAlign w:val="bottom"/>
          </w:tcPr>
          <w:p w14:paraId="090C2360" w14:textId="797085B8" w:rsidR="00272CC8" w:rsidRPr="001441B9" w:rsidRDefault="00272CC8" w:rsidP="00272CC8">
            <w:pPr>
              <w:autoSpaceDE w:val="0"/>
              <w:autoSpaceDN w:val="0"/>
              <w:adjustRightInd w:val="0"/>
              <w:ind w:left="0" w:firstLine="0"/>
              <w:rPr>
                <w:rFonts w:asciiTheme="minorHAnsi" w:eastAsiaTheme="minorHAnsi" w:hAnsiTheme="minorHAnsi" w:cstheme="minorHAnsi"/>
                <w:b/>
                <w:bCs/>
                <w:noProof/>
                <w:color w:val="000000"/>
                <w:sz w:val="20"/>
                <w:szCs w:val="20"/>
                <w:lang w:val="es-ES"/>
              </w:rPr>
            </w:pPr>
            <w:r w:rsidRPr="001441B9">
              <w:rPr>
                <w:rFonts w:asciiTheme="minorHAnsi" w:hAnsiTheme="minorHAnsi" w:cstheme="minorHAnsi"/>
                <w:b/>
                <w:bCs/>
                <w:noProof/>
                <w:sz w:val="20"/>
                <w:szCs w:val="20"/>
                <w:lang w:val="es-ES"/>
              </w:rPr>
              <w:t>PASIVO Y SALDOS DE FONDOS</w:t>
            </w:r>
          </w:p>
        </w:tc>
        <w:tc>
          <w:tcPr>
            <w:tcW w:w="846" w:type="dxa"/>
            <w:tcBorders>
              <w:top w:val="nil"/>
              <w:left w:val="nil"/>
              <w:bottom w:val="nil"/>
              <w:right w:val="nil"/>
            </w:tcBorders>
            <w:shd w:val="solid" w:color="FFFFFF" w:fill="auto"/>
          </w:tcPr>
          <w:p w14:paraId="31B5C902" w14:textId="77777777" w:rsidR="00272CC8" w:rsidRPr="001441B9" w:rsidRDefault="00272CC8" w:rsidP="00272CC8">
            <w:pPr>
              <w:autoSpaceDE w:val="0"/>
              <w:autoSpaceDN w:val="0"/>
              <w:adjustRightInd w:val="0"/>
              <w:ind w:left="0" w:firstLine="0"/>
              <w:jc w:val="center"/>
              <w:rPr>
                <w:rFonts w:asciiTheme="minorHAnsi" w:eastAsiaTheme="minorHAnsi" w:hAnsiTheme="minorHAnsi" w:cstheme="minorHAnsi"/>
                <w:noProof/>
                <w:color w:val="000000"/>
                <w:sz w:val="20"/>
                <w:szCs w:val="20"/>
                <w:lang w:val="es-ES"/>
              </w:rPr>
            </w:pPr>
          </w:p>
        </w:tc>
        <w:tc>
          <w:tcPr>
            <w:tcW w:w="1620" w:type="dxa"/>
            <w:tcBorders>
              <w:top w:val="nil"/>
              <w:left w:val="nil"/>
              <w:bottom w:val="nil"/>
              <w:right w:val="nil"/>
            </w:tcBorders>
            <w:shd w:val="solid" w:color="FFFFFF" w:fill="auto"/>
          </w:tcPr>
          <w:p w14:paraId="25ED0EDF" w14:textId="77777777" w:rsidR="00272CC8" w:rsidRPr="001441B9" w:rsidRDefault="00272CC8" w:rsidP="00272CC8">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p>
        </w:tc>
        <w:tc>
          <w:tcPr>
            <w:tcW w:w="283" w:type="dxa"/>
            <w:tcBorders>
              <w:top w:val="nil"/>
              <w:left w:val="nil"/>
              <w:bottom w:val="nil"/>
              <w:right w:val="nil"/>
            </w:tcBorders>
            <w:shd w:val="clear" w:color="auto" w:fill="F2F2F2" w:themeFill="background1" w:themeFillShade="F2"/>
            <w:vAlign w:val="center"/>
          </w:tcPr>
          <w:p w14:paraId="12603CE2" w14:textId="77777777" w:rsidR="00272CC8" w:rsidRPr="001441B9" w:rsidRDefault="00272CC8" w:rsidP="00272CC8">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p>
        </w:tc>
        <w:tc>
          <w:tcPr>
            <w:tcW w:w="1579" w:type="dxa"/>
            <w:tcBorders>
              <w:top w:val="nil"/>
              <w:left w:val="nil"/>
              <w:bottom w:val="nil"/>
              <w:right w:val="nil"/>
            </w:tcBorders>
            <w:shd w:val="solid" w:color="FFFFFF" w:fill="auto"/>
          </w:tcPr>
          <w:p w14:paraId="110C629A" w14:textId="77777777" w:rsidR="00272CC8" w:rsidRPr="001441B9" w:rsidRDefault="00272CC8" w:rsidP="00272CC8">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p>
        </w:tc>
      </w:tr>
      <w:tr w:rsidR="00272CC8" w:rsidRPr="00551574" w14:paraId="373B1899" w14:textId="77777777" w:rsidTr="00FF2210">
        <w:tc>
          <w:tcPr>
            <w:tcW w:w="3969" w:type="dxa"/>
            <w:tcBorders>
              <w:top w:val="nil"/>
              <w:left w:val="nil"/>
              <w:bottom w:val="nil"/>
              <w:right w:val="nil"/>
            </w:tcBorders>
            <w:shd w:val="solid" w:color="FFFFFF" w:fill="auto"/>
            <w:vAlign w:val="bottom"/>
          </w:tcPr>
          <w:p w14:paraId="6B7A00C0" w14:textId="2601E847" w:rsidR="00272CC8" w:rsidRPr="001441B9" w:rsidRDefault="00272CC8" w:rsidP="00272CC8">
            <w:pPr>
              <w:autoSpaceDE w:val="0"/>
              <w:autoSpaceDN w:val="0"/>
              <w:adjustRightInd w:val="0"/>
              <w:ind w:left="0" w:firstLine="0"/>
              <w:rPr>
                <w:rFonts w:asciiTheme="minorHAnsi" w:eastAsiaTheme="minorHAnsi" w:hAnsiTheme="minorHAnsi" w:cstheme="minorHAnsi"/>
                <w:b/>
                <w:bCs/>
                <w:noProof/>
                <w:color w:val="000000"/>
                <w:sz w:val="20"/>
                <w:szCs w:val="20"/>
                <w:lang w:val="es-ES"/>
              </w:rPr>
            </w:pPr>
            <w:r w:rsidRPr="001441B9">
              <w:rPr>
                <w:rFonts w:asciiTheme="minorHAnsi" w:hAnsiTheme="minorHAnsi" w:cstheme="minorHAnsi"/>
                <w:b/>
                <w:bCs/>
                <w:noProof/>
                <w:sz w:val="20"/>
                <w:szCs w:val="20"/>
                <w:lang w:val="es-ES"/>
              </w:rPr>
              <w:t>Pasivo corriente</w:t>
            </w:r>
          </w:p>
        </w:tc>
        <w:tc>
          <w:tcPr>
            <w:tcW w:w="846" w:type="dxa"/>
            <w:tcBorders>
              <w:top w:val="nil"/>
              <w:left w:val="nil"/>
              <w:bottom w:val="nil"/>
              <w:right w:val="nil"/>
            </w:tcBorders>
            <w:shd w:val="solid" w:color="FFFFFF" w:fill="auto"/>
          </w:tcPr>
          <w:p w14:paraId="427BAD14" w14:textId="77777777" w:rsidR="00272CC8" w:rsidRPr="001441B9" w:rsidRDefault="00272CC8" w:rsidP="00272CC8">
            <w:pPr>
              <w:autoSpaceDE w:val="0"/>
              <w:autoSpaceDN w:val="0"/>
              <w:adjustRightInd w:val="0"/>
              <w:ind w:left="0" w:firstLine="0"/>
              <w:jc w:val="center"/>
              <w:rPr>
                <w:rFonts w:asciiTheme="minorHAnsi" w:eastAsiaTheme="minorHAnsi" w:hAnsiTheme="minorHAnsi" w:cstheme="minorHAnsi"/>
                <w:noProof/>
                <w:color w:val="000000"/>
                <w:sz w:val="20"/>
                <w:szCs w:val="20"/>
                <w:lang w:val="es-ES"/>
              </w:rPr>
            </w:pPr>
          </w:p>
        </w:tc>
        <w:tc>
          <w:tcPr>
            <w:tcW w:w="1620" w:type="dxa"/>
            <w:tcBorders>
              <w:top w:val="nil"/>
              <w:left w:val="nil"/>
              <w:bottom w:val="nil"/>
              <w:right w:val="nil"/>
            </w:tcBorders>
            <w:shd w:val="solid" w:color="FFFFFF" w:fill="auto"/>
          </w:tcPr>
          <w:p w14:paraId="1DAB9E53" w14:textId="77777777" w:rsidR="00272CC8" w:rsidRPr="001441B9" w:rsidRDefault="00272CC8" w:rsidP="00272CC8">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p>
        </w:tc>
        <w:tc>
          <w:tcPr>
            <w:tcW w:w="283" w:type="dxa"/>
            <w:tcBorders>
              <w:top w:val="nil"/>
              <w:left w:val="nil"/>
              <w:bottom w:val="nil"/>
              <w:right w:val="nil"/>
            </w:tcBorders>
            <w:shd w:val="clear" w:color="auto" w:fill="F2F2F2" w:themeFill="background1" w:themeFillShade="F2"/>
            <w:vAlign w:val="center"/>
          </w:tcPr>
          <w:p w14:paraId="5BE5A99F" w14:textId="77777777" w:rsidR="00272CC8" w:rsidRPr="001441B9" w:rsidRDefault="00272CC8" w:rsidP="00272CC8">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p>
        </w:tc>
        <w:tc>
          <w:tcPr>
            <w:tcW w:w="1579" w:type="dxa"/>
            <w:tcBorders>
              <w:top w:val="nil"/>
              <w:left w:val="nil"/>
              <w:bottom w:val="nil"/>
              <w:right w:val="nil"/>
            </w:tcBorders>
            <w:shd w:val="solid" w:color="FFFFFF" w:fill="auto"/>
          </w:tcPr>
          <w:p w14:paraId="14A91FF1" w14:textId="77777777" w:rsidR="00272CC8" w:rsidRPr="001441B9" w:rsidRDefault="00272CC8" w:rsidP="00272CC8">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p>
        </w:tc>
      </w:tr>
      <w:tr w:rsidR="00272CC8" w:rsidRPr="00551574" w14:paraId="670B16C1" w14:textId="77777777" w:rsidTr="00FF2210">
        <w:tc>
          <w:tcPr>
            <w:tcW w:w="3969" w:type="dxa"/>
            <w:tcBorders>
              <w:top w:val="nil"/>
              <w:left w:val="nil"/>
              <w:bottom w:val="nil"/>
              <w:right w:val="nil"/>
            </w:tcBorders>
            <w:shd w:val="solid" w:color="FFFFFF" w:fill="auto"/>
            <w:vAlign w:val="bottom"/>
          </w:tcPr>
          <w:p w14:paraId="712B7A53" w14:textId="470E2902" w:rsidR="00272CC8" w:rsidRPr="001441B9" w:rsidRDefault="00272CC8" w:rsidP="00272CC8">
            <w:pPr>
              <w:autoSpaceDE w:val="0"/>
              <w:autoSpaceDN w:val="0"/>
              <w:adjustRightInd w:val="0"/>
              <w:ind w:left="0" w:firstLine="0"/>
              <w:rPr>
                <w:rFonts w:asciiTheme="minorHAnsi" w:eastAsiaTheme="minorHAnsi" w:hAnsiTheme="minorHAnsi" w:cstheme="minorHAnsi"/>
                <w:noProof/>
                <w:color w:val="000000"/>
                <w:sz w:val="20"/>
                <w:szCs w:val="20"/>
                <w:lang w:val="es-ES"/>
              </w:rPr>
            </w:pPr>
            <w:r w:rsidRPr="001441B9">
              <w:rPr>
                <w:rFonts w:asciiTheme="minorHAnsi" w:hAnsiTheme="minorHAnsi" w:cstheme="minorHAnsi"/>
                <w:noProof/>
                <w:sz w:val="20"/>
                <w:szCs w:val="20"/>
                <w:lang w:val="es-ES"/>
              </w:rPr>
              <w:t>Importe adeudado a la UICN</w:t>
            </w:r>
          </w:p>
        </w:tc>
        <w:tc>
          <w:tcPr>
            <w:tcW w:w="846" w:type="dxa"/>
            <w:tcBorders>
              <w:top w:val="nil"/>
              <w:left w:val="nil"/>
              <w:bottom w:val="nil"/>
              <w:right w:val="nil"/>
            </w:tcBorders>
            <w:shd w:val="solid" w:color="FFFFFF" w:fill="auto"/>
          </w:tcPr>
          <w:p w14:paraId="2C00ACB4" w14:textId="77777777" w:rsidR="00272CC8" w:rsidRPr="001441B9" w:rsidRDefault="00272CC8" w:rsidP="00272CC8">
            <w:pPr>
              <w:autoSpaceDE w:val="0"/>
              <w:autoSpaceDN w:val="0"/>
              <w:adjustRightInd w:val="0"/>
              <w:ind w:left="0" w:firstLine="0"/>
              <w:jc w:val="center"/>
              <w:rPr>
                <w:rFonts w:asciiTheme="minorHAnsi" w:eastAsiaTheme="minorHAnsi" w:hAnsiTheme="minorHAnsi" w:cstheme="minorHAnsi"/>
                <w:noProof/>
                <w:color w:val="000000"/>
                <w:sz w:val="20"/>
                <w:szCs w:val="20"/>
                <w:lang w:val="es-ES"/>
              </w:rPr>
            </w:pPr>
          </w:p>
        </w:tc>
        <w:tc>
          <w:tcPr>
            <w:tcW w:w="1620" w:type="dxa"/>
            <w:tcBorders>
              <w:top w:val="nil"/>
              <w:left w:val="nil"/>
              <w:bottom w:val="nil"/>
              <w:right w:val="nil"/>
            </w:tcBorders>
            <w:shd w:val="solid" w:color="FFFFFF" w:fill="auto"/>
          </w:tcPr>
          <w:p w14:paraId="30EE3442" w14:textId="062D78DD" w:rsidR="00272CC8" w:rsidRPr="001441B9" w:rsidRDefault="00272CC8" w:rsidP="00272CC8">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r w:rsidRPr="001441B9">
              <w:rPr>
                <w:rFonts w:asciiTheme="minorHAnsi" w:hAnsiTheme="minorHAnsi" w:cstheme="minorHAnsi"/>
                <w:noProof/>
                <w:sz w:val="20"/>
                <w:szCs w:val="20"/>
                <w:lang w:val="es-ES"/>
              </w:rPr>
              <w:t>135</w:t>
            </w:r>
          </w:p>
        </w:tc>
        <w:tc>
          <w:tcPr>
            <w:tcW w:w="283" w:type="dxa"/>
            <w:tcBorders>
              <w:top w:val="nil"/>
              <w:left w:val="nil"/>
              <w:bottom w:val="nil"/>
              <w:right w:val="nil"/>
            </w:tcBorders>
            <w:shd w:val="clear" w:color="auto" w:fill="F2F2F2" w:themeFill="background1" w:themeFillShade="F2"/>
            <w:vAlign w:val="center"/>
          </w:tcPr>
          <w:p w14:paraId="3D578AAA" w14:textId="77777777" w:rsidR="00272CC8" w:rsidRPr="001441B9" w:rsidRDefault="00272CC8" w:rsidP="00272CC8">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p>
        </w:tc>
        <w:tc>
          <w:tcPr>
            <w:tcW w:w="1579" w:type="dxa"/>
            <w:tcBorders>
              <w:top w:val="nil"/>
              <w:left w:val="nil"/>
              <w:bottom w:val="nil"/>
              <w:right w:val="nil"/>
            </w:tcBorders>
            <w:shd w:val="solid" w:color="FFFFFF" w:fill="auto"/>
          </w:tcPr>
          <w:p w14:paraId="626F688F" w14:textId="198259BB" w:rsidR="00272CC8" w:rsidRPr="001441B9" w:rsidRDefault="00272CC8" w:rsidP="00272CC8">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r w:rsidRPr="001441B9">
              <w:rPr>
                <w:rFonts w:asciiTheme="minorHAnsi" w:hAnsiTheme="minorHAnsi" w:cstheme="minorHAnsi"/>
                <w:noProof/>
                <w:sz w:val="20"/>
                <w:szCs w:val="20"/>
                <w:lang w:val="es-ES"/>
              </w:rPr>
              <w:t>61</w:t>
            </w:r>
          </w:p>
        </w:tc>
      </w:tr>
      <w:tr w:rsidR="00272CC8" w:rsidRPr="00551574" w14:paraId="1B378157" w14:textId="77777777" w:rsidTr="00FF2210">
        <w:tc>
          <w:tcPr>
            <w:tcW w:w="3969" w:type="dxa"/>
            <w:tcBorders>
              <w:top w:val="nil"/>
              <w:left w:val="nil"/>
              <w:bottom w:val="nil"/>
              <w:right w:val="nil"/>
            </w:tcBorders>
            <w:shd w:val="solid" w:color="FFFFFF" w:fill="auto"/>
            <w:vAlign w:val="bottom"/>
          </w:tcPr>
          <w:p w14:paraId="2F74DE07" w14:textId="3566E894" w:rsidR="00272CC8" w:rsidRPr="001441B9" w:rsidRDefault="00272CC8" w:rsidP="00272CC8">
            <w:pPr>
              <w:autoSpaceDE w:val="0"/>
              <w:autoSpaceDN w:val="0"/>
              <w:adjustRightInd w:val="0"/>
              <w:ind w:left="0" w:firstLine="0"/>
              <w:rPr>
                <w:rFonts w:asciiTheme="minorHAnsi" w:eastAsiaTheme="minorHAnsi" w:hAnsiTheme="minorHAnsi" w:cstheme="minorHAnsi"/>
                <w:noProof/>
                <w:color w:val="000000"/>
                <w:sz w:val="20"/>
                <w:szCs w:val="20"/>
                <w:lang w:val="es-ES"/>
              </w:rPr>
            </w:pPr>
            <w:r w:rsidRPr="001441B9">
              <w:rPr>
                <w:rFonts w:asciiTheme="minorHAnsi" w:hAnsiTheme="minorHAnsi" w:cstheme="minorHAnsi"/>
                <w:noProof/>
                <w:sz w:val="20"/>
                <w:szCs w:val="20"/>
                <w:lang w:val="es-ES"/>
              </w:rPr>
              <w:t>Otras cuentas por pagar</w:t>
            </w:r>
          </w:p>
        </w:tc>
        <w:tc>
          <w:tcPr>
            <w:tcW w:w="846" w:type="dxa"/>
            <w:tcBorders>
              <w:top w:val="nil"/>
              <w:left w:val="nil"/>
              <w:bottom w:val="nil"/>
              <w:right w:val="nil"/>
            </w:tcBorders>
            <w:shd w:val="solid" w:color="FFFFFF" w:fill="auto"/>
          </w:tcPr>
          <w:p w14:paraId="31768C4F" w14:textId="77777777" w:rsidR="00272CC8" w:rsidRPr="001441B9" w:rsidRDefault="00272CC8" w:rsidP="00272CC8">
            <w:pPr>
              <w:autoSpaceDE w:val="0"/>
              <w:autoSpaceDN w:val="0"/>
              <w:adjustRightInd w:val="0"/>
              <w:ind w:left="0" w:firstLine="0"/>
              <w:jc w:val="center"/>
              <w:rPr>
                <w:rFonts w:asciiTheme="minorHAnsi" w:eastAsiaTheme="minorHAnsi" w:hAnsiTheme="minorHAnsi" w:cstheme="minorHAnsi"/>
                <w:noProof/>
                <w:color w:val="000000"/>
                <w:sz w:val="20"/>
                <w:szCs w:val="20"/>
                <w:lang w:val="es-ES"/>
              </w:rPr>
            </w:pPr>
            <w:r w:rsidRPr="001441B9">
              <w:rPr>
                <w:rFonts w:asciiTheme="minorHAnsi" w:eastAsiaTheme="minorHAnsi" w:hAnsiTheme="minorHAnsi" w:cstheme="minorHAnsi"/>
                <w:noProof/>
                <w:color w:val="000000"/>
                <w:sz w:val="20"/>
                <w:szCs w:val="20"/>
                <w:lang w:val="es-ES"/>
              </w:rPr>
              <w:t>8</w:t>
            </w:r>
          </w:p>
        </w:tc>
        <w:tc>
          <w:tcPr>
            <w:tcW w:w="1620" w:type="dxa"/>
            <w:tcBorders>
              <w:top w:val="nil"/>
              <w:left w:val="nil"/>
              <w:bottom w:val="nil"/>
              <w:right w:val="nil"/>
            </w:tcBorders>
            <w:shd w:val="solid" w:color="FFFFFF" w:fill="auto"/>
          </w:tcPr>
          <w:p w14:paraId="2BF17D67" w14:textId="1732D438" w:rsidR="00272CC8" w:rsidRPr="001441B9" w:rsidRDefault="00272CC8" w:rsidP="00272CC8">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r w:rsidRPr="001441B9">
              <w:rPr>
                <w:rFonts w:asciiTheme="minorHAnsi" w:hAnsiTheme="minorHAnsi" w:cstheme="minorHAnsi"/>
                <w:noProof/>
                <w:sz w:val="20"/>
                <w:szCs w:val="20"/>
                <w:lang w:val="es-ES"/>
              </w:rPr>
              <w:t>1</w:t>
            </w:r>
            <w:r w:rsidR="00B71CAF" w:rsidRPr="001441B9">
              <w:rPr>
                <w:rFonts w:asciiTheme="minorHAnsi" w:hAnsiTheme="minorHAnsi" w:cstheme="minorHAnsi"/>
                <w:noProof/>
                <w:sz w:val="20"/>
                <w:szCs w:val="20"/>
                <w:lang w:val="es-ES"/>
              </w:rPr>
              <w:t xml:space="preserve"> </w:t>
            </w:r>
            <w:r w:rsidRPr="001441B9">
              <w:rPr>
                <w:rFonts w:asciiTheme="minorHAnsi" w:hAnsiTheme="minorHAnsi" w:cstheme="minorHAnsi"/>
                <w:noProof/>
                <w:sz w:val="20"/>
                <w:szCs w:val="20"/>
                <w:lang w:val="es-ES"/>
              </w:rPr>
              <w:t>054</w:t>
            </w:r>
          </w:p>
        </w:tc>
        <w:tc>
          <w:tcPr>
            <w:tcW w:w="283" w:type="dxa"/>
            <w:tcBorders>
              <w:top w:val="nil"/>
              <w:left w:val="nil"/>
              <w:bottom w:val="nil"/>
              <w:right w:val="nil"/>
            </w:tcBorders>
            <w:shd w:val="clear" w:color="auto" w:fill="F2F2F2" w:themeFill="background1" w:themeFillShade="F2"/>
            <w:vAlign w:val="center"/>
          </w:tcPr>
          <w:p w14:paraId="6A64B5ED" w14:textId="77777777" w:rsidR="00272CC8" w:rsidRPr="001441B9" w:rsidRDefault="00272CC8" w:rsidP="00272CC8">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p>
        </w:tc>
        <w:tc>
          <w:tcPr>
            <w:tcW w:w="1579" w:type="dxa"/>
            <w:tcBorders>
              <w:top w:val="nil"/>
              <w:left w:val="nil"/>
              <w:bottom w:val="nil"/>
              <w:right w:val="nil"/>
            </w:tcBorders>
            <w:shd w:val="solid" w:color="FFFFFF" w:fill="auto"/>
          </w:tcPr>
          <w:p w14:paraId="34A43950" w14:textId="2DEF0961" w:rsidR="00272CC8" w:rsidRPr="001441B9" w:rsidRDefault="00272CC8" w:rsidP="00272CC8">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r w:rsidRPr="001441B9">
              <w:rPr>
                <w:rFonts w:asciiTheme="minorHAnsi" w:hAnsiTheme="minorHAnsi" w:cstheme="minorHAnsi"/>
                <w:noProof/>
                <w:sz w:val="20"/>
                <w:szCs w:val="20"/>
                <w:lang w:val="es-ES"/>
              </w:rPr>
              <w:t>655</w:t>
            </w:r>
          </w:p>
        </w:tc>
      </w:tr>
      <w:tr w:rsidR="00272CC8" w:rsidRPr="00551574" w14:paraId="6E808C06" w14:textId="77777777" w:rsidTr="00FF2210">
        <w:tc>
          <w:tcPr>
            <w:tcW w:w="3969" w:type="dxa"/>
            <w:tcBorders>
              <w:top w:val="nil"/>
              <w:left w:val="nil"/>
              <w:bottom w:val="nil"/>
              <w:right w:val="nil"/>
            </w:tcBorders>
            <w:shd w:val="solid" w:color="FFFFFF" w:fill="auto"/>
            <w:vAlign w:val="bottom"/>
          </w:tcPr>
          <w:p w14:paraId="3B69A0D3" w14:textId="24C2EF9C" w:rsidR="00272CC8" w:rsidRPr="001441B9" w:rsidRDefault="00272CC8" w:rsidP="00272CC8">
            <w:pPr>
              <w:autoSpaceDE w:val="0"/>
              <w:autoSpaceDN w:val="0"/>
              <w:adjustRightInd w:val="0"/>
              <w:ind w:left="0" w:firstLine="0"/>
              <w:rPr>
                <w:rFonts w:asciiTheme="minorHAnsi" w:eastAsiaTheme="minorHAnsi" w:hAnsiTheme="minorHAnsi" w:cstheme="minorHAnsi"/>
                <w:noProof/>
                <w:color w:val="000000"/>
                <w:sz w:val="20"/>
                <w:szCs w:val="20"/>
                <w:lang w:val="es-ES"/>
              </w:rPr>
            </w:pPr>
            <w:r w:rsidRPr="001441B9">
              <w:rPr>
                <w:rFonts w:asciiTheme="minorHAnsi" w:hAnsiTheme="minorHAnsi" w:cstheme="minorHAnsi"/>
                <w:noProof/>
                <w:sz w:val="20"/>
                <w:szCs w:val="20"/>
                <w:lang w:val="es-ES"/>
              </w:rPr>
              <w:t>Pasivo acumulado</w:t>
            </w:r>
          </w:p>
        </w:tc>
        <w:tc>
          <w:tcPr>
            <w:tcW w:w="846" w:type="dxa"/>
            <w:tcBorders>
              <w:top w:val="nil"/>
              <w:left w:val="nil"/>
              <w:bottom w:val="nil"/>
              <w:right w:val="nil"/>
            </w:tcBorders>
            <w:shd w:val="solid" w:color="FFFFFF" w:fill="auto"/>
          </w:tcPr>
          <w:p w14:paraId="5E4B9DA9" w14:textId="77777777" w:rsidR="00272CC8" w:rsidRPr="001441B9" w:rsidRDefault="00272CC8" w:rsidP="00272CC8">
            <w:pPr>
              <w:autoSpaceDE w:val="0"/>
              <w:autoSpaceDN w:val="0"/>
              <w:adjustRightInd w:val="0"/>
              <w:ind w:left="0" w:firstLine="0"/>
              <w:jc w:val="center"/>
              <w:rPr>
                <w:rFonts w:asciiTheme="minorHAnsi" w:eastAsiaTheme="minorHAnsi" w:hAnsiTheme="minorHAnsi" w:cstheme="minorHAnsi"/>
                <w:noProof/>
                <w:color w:val="000000"/>
                <w:sz w:val="20"/>
                <w:szCs w:val="20"/>
                <w:lang w:val="es-ES"/>
              </w:rPr>
            </w:pPr>
          </w:p>
        </w:tc>
        <w:tc>
          <w:tcPr>
            <w:tcW w:w="1620" w:type="dxa"/>
            <w:tcBorders>
              <w:top w:val="nil"/>
              <w:left w:val="nil"/>
              <w:bottom w:val="single" w:sz="6" w:space="0" w:color="auto"/>
              <w:right w:val="nil"/>
            </w:tcBorders>
            <w:shd w:val="solid" w:color="FFFFFF" w:fill="auto"/>
          </w:tcPr>
          <w:p w14:paraId="15EC4286" w14:textId="46479904" w:rsidR="00272CC8" w:rsidRPr="001441B9" w:rsidRDefault="00272CC8" w:rsidP="00272CC8">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r w:rsidRPr="001441B9">
              <w:rPr>
                <w:rFonts w:asciiTheme="minorHAnsi" w:hAnsiTheme="minorHAnsi" w:cstheme="minorHAnsi"/>
                <w:noProof/>
                <w:sz w:val="20"/>
                <w:szCs w:val="20"/>
                <w:lang w:val="es-ES"/>
              </w:rPr>
              <w:t>121</w:t>
            </w:r>
          </w:p>
        </w:tc>
        <w:tc>
          <w:tcPr>
            <w:tcW w:w="283" w:type="dxa"/>
            <w:tcBorders>
              <w:top w:val="nil"/>
              <w:left w:val="nil"/>
              <w:bottom w:val="single" w:sz="6" w:space="0" w:color="auto"/>
              <w:right w:val="nil"/>
            </w:tcBorders>
            <w:shd w:val="clear" w:color="auto" w:fill="F2F2F2" w:themeFill="background1" w:themeFillShade="F2"/>
            <w:vAlign w:val="center"/>
          </w:tcPr>
          <w:p w14:paraId="23C0D843" w14:textId="77777777" w:rsidR="00272CC8" w:rsidRPr="001441B9" w:rsidRDefault="00272CC8" w:rsidP="00272CC8">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p>
        </w:tc>
        <w:tc>
          <w:tcPr>
            <w:tcW w:w="1579" w:type="dxa"/>
            <w:tcBorders>
              <w:top w:val="nil"/>
              <w:left w:val="nil"/>
              <w:bottom w:val="single" w:sz="6" w:space="0" w:color="auto"/>
              <w:right w:val="nil"/>
            </w:tcBorders>
            <w:shd w:val="solid" w:color="FFFFFF" w:fill="auto"/>
          </w:tcPr>
          <w:p w14:paraId="3835440E" w14:textId="43C612EF" w:rsidR="00272CC8" w:rsidRPr="001441B9" w:rsidRDefault="00272CC8" w:rsidP="00272CC8">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r w:rsidRPr="001441B9">
              <w:rPr>
                <w:rFonts w:asciiTheme="minorHAnsi" w:hAnsiTheme="minorHAnsi" w:cstheme="minorHAnsi"/>
                <w:noProof/>
                <w:sz w:val="20"/>
                <w:szCs w:val="20"/>
                <w:lang w:val="es-ES"/>
              </w:rPr>
              <w:t>83</w:t>
            </w:r>
          </w:p>
        </w:tc>
      </w:tr>
      <w:tr w:rsidR="00272CC8" w:rsidRPr="00551574" w14:paraId="7FAC454E" w14:textId="77777777" w:rsidTr="00FF2210">
        <w:tc>
          <w:tcPr>
            <w:tcW w:w="3969" w:type="dxa"/>
            <w:tcBorders>
              <w:top w:val="nil"/>
              <w:left w:val="nil"/>
              <w:bottom w:val="nil"/>
              <w:right w:val="nil"/>
            </w:tcBorders>
            <w:shd w:val="solid" w:color="FFFFFF" w:fill="auto"/>
            <w:vAlign w:val="bottom"/>
          </w:tcPr>
          <w:p w14:paraId="5488B232" w14:textId="6CD41563" w:rsidR="00272CC8" w:rsidRPr="001441B9" w:rsidRDefault="00272CC8" w:rsidP="00272CC8">
            <w:pPr>
              <w:autoSpaceDE w:val="0"/>
              <w:autoSpaceDN w:val="0"/>
              <w:adjustRightInd w:val="0"/>
              <w:ind w:left="0" w:firstLine="0"/>
              <w:rPr>
                <w:rFonts w:asciiTheme="minorHAnsi" w:eastAsiaTheme="minorHAnsi" w:hAnsiTheme="minorHAnsi" w:cstheme="minorHAnsi"/>
                <w:b/>
                <w:bCs/>
                <w:noProof/>
                <w:color w:val="000000"/>
                <w:sz w:val="20"/>
                <w:szCs w:val="20"/>
                <w:lang w:val="es-ES"/>
              </w:rPr>
            </w:pPr>
            <w:r w:rsidRPr="001441B9">
              <w:rPr>
                <w:rFonts w:asciiTheme="minorHAnsi" w:hAnsiTheme="minorHAnsi" w:cstheme="minorHAnsi"/>
                <w:b/>
                <w:bCs/>
                <w:noProof/>
                <w:sz w:val="20"/>
                <w:szCs w:val="20"/>
                <w:lang w:val="es-ES"/>
              </w:rPr>
              <w:t>Total, Pasivo corriente</w:t>
            </w:r>
          </w:p>
        </w:tc>
        <w:tc>
          <w:tcPr>
            <w:tcW w:w="846" w:type="dxa"/>
            <w:tcBorders>
              <w:top w:val="nil"/>
              <w:left w:val="nil"/>
              <w:bottom w:val="nil"/>
              <w:right w:val="nil"/>
            </w:tcBorders>
            <w:shd w:val="solid" w:color="FFFFFF" w:fill="auto"/>
          </w:tcPr>
          <w:p w14:paraId="1B291749" w14:textId="77777777" w:rsidR="00272CC8" w:rsidRPr="001441B9" w:rsidRDefault="00272CC8" w:rsidP="00272CC8">
            <w:pPr>
              <w:autoSpaceDE w:val="0"/>
              <w:autoSpaceDN w:val="0"/>
              <w:adjustRightInd w:val="0"/>
              <w:ind w:left="0" w:firstLine="0"/>
              <w:jc w:val="center"/>
              <w:rPr>
                <w:rFonts w:asciiTheme="minorHAnsi" w:eastAsiaTheme="minorHAnsi" w:hAnsiTheme="minorHAnsi" w:cstheme="minorHAnsi"/>
                <w:noProof/>
                <w:color w:val="000000"/>
                <w:sz w:val="20"/>
                <w:szCs w:val="20"/>
                <w:lang w:val="es-ES"/>
              </w:rPr>
            </w:pPr>
          </w:p>
        </w:tc>
        <w:tc>
          <w:tcPr>
            <w:tcW w:w="1620" w:type="dxa"/>
            <w:tcBorders>
              <w:top w:val="nil"/>
              <w:left w:val="nil"/>
              <w:bottom w:val="nil"/>
              <w:right w:val="nil"/>
            </w:tcBorders>
            <w:shd w:val="solid" w:color="FFFFFF" w:fill="auto"/>
          </w:tcPr>
          <w:p w14:paraId="126F0D4F" w14:textId="7F133D48" w:rsidR="00272CC8" w:rsidRPr="001441B9" w:rsidRDefault="00272CC8" w:rsidP="00272CC8">
            <w:pPr>
              <w:autoSpaceDE w:val="0"/>
              <w:autoSpaceDN w:val="0"/>
              <w:adjustRightInd w:val="0"/>
              <w:ind w:left="0" w:firstLine="0"/>
              <w:jc w:val="right"/>
              <w:rPr>
                <w:rFonts w:asciiTheme="minorHAnsi" w:eastAsiaTheme="minorHAnsi" w:hAnsiTheme="minorHAnsi" w:cstheme="minorHAnsi"/>
                <w:b/>
                <w:bCs/>
                <w:noProof/>
                <w:color w:val="000000"/>
                <w:sz w:val="20"/>
                <w:szCs w:val="20"/>
                <w:lang w:val="es-ES"/>
              </w:rPr>
            </w:pPr>
            <w:r w:rsidRPr="001441B9">
              <w:rPr>
                <w:rFonts w:asciiTheme="minorHAnsi" w:hAnsiTheme="minorHAnsi" w:cstheme="minorHAnsi"/>
                <w:noProof/>
                <w:sz w:val="20"/>
                <w:szCs w:val="20"/>
                <w:lang w:val="es-ES"/>
              </w:rPr>
              <w:t>1</w:t>
            </w:r>
            <w:r w:rsidR="00B71CAF" w:rsidRPr="001441B9">
              <w:rPr>
                <w:rFonts w:asciiTheme="minorHAnsi" w:hAnsiTheme="minorHAnsi" w:cstheme="minorHAnsi"/>
                <w:noProof/>
                <w:sz w:val="20"/>
                <w:szCs w:val="20"/>
                <w:lang w:val="es-ES"/>
              </w:rPr>
              <w:t xml:space="preserve"> </w:t>
            </w:r>
            <w:r w:rsidRPr="001441B9">
              <w:rPr>
                <w:rFonts w:asciiTheme="minorHAnsi" w:hAnsiTheme="minorHAnsi" w:cstheme="minorHAnsi"/>
                <w:noProof/>
                <w:sz w:val="20"/>
                <w:szCs w:val="20"/>
                <w:lang w:val="es-ES"/>
              </w:rPr>
              <w:t>310</w:t>
            </w:r>
          </w:p>
        </w:tc>
        <w:tc>
          <w:tcPr>
            <w:tcW w:w="283" w:type="dxa"/>
            <w:tcBorders>
              <w:top w:val="nil"/>
              <w:left w:val="nil"/>
              <w:bottom w:val="nil"/>
              <w:right w:val="nil"/>
            </w:tcBorders>
            <w:shd w:val="clear" w:color="auto" w:fill="F2F2F2" w:themeFill="background1" w:themeFillShade="F2"/>
            <w:vAlign w:val="center"/>
          </w:tcPr>
          <w:p w14:paraId="495E559B" w14:textId="77777777" w:rsidR="00272CC8" w:rsidRPr="001441B9" w:rsidRDefault="00272CC8" w:rsidP="00272CC8">
            <w:pPr>
              <w:autoSpaceDE w:val="0"/>
              <w:autoSpaceDN w:val="0"/>
              <w:adjustRightInd w:val="0"/>
              <w:ind w:left="0" w:firstLine="0"/>
              <w:jc w:val="right"/>
              <w:rPr>
                <w:rFonts w:asciiTheme="minorHAnsi" w:eastAsiaTheme="minorHAnsi" w:hAnsiTheme="minorHAnsi" w:cstheme="minorHAnsi"/>
                <w:b/>
                <w:bCs/>
                <w:noProof/>
                <w:color w:val="000000"/>
                <w:sz w:val="20"/>
                <w:szCs w:val="20"/>
                <w:lang w:val="es-ES"/>
              </w:rPr>
            </w:pPr>
          </w:p>
        </w:tc>
        <w:tc>
          <w:tcPr>
            <w:tcW w:w="1579" w:type="dxa"/>
            <w:tcBorders>
              <w:top w:val="nil"/>
              <w:left w:val="nil"/>
              <w:bottom w:val="nil"/>
              <w:right w:val="nil"/>
            </w:tcBorders>
            <w:shd w:val="solid" w:color="FFFFFF" w:fill="auto"/>
          </w:tcPr>
          <w:p w14:paraId="43070735" w14:textId="12742B3D" w:rsidR="00272CC8" w:rsidRPr="001441B9" w:rsidRDefault="00272CC8" w:rsidP="00272CC8">
            <w:pPr>
              <w:autoSpaceDE w:val="0"/>
              <w:autoSpaceDN w:val="0"/>
              <w:adjustRightInd w:val="0"/>
              <w:ind w:left="0" w:firstLine="0"/>
              <w:jc w:val="right"/>
              <w:rPr>
                <w:rFonts w:asciiTheme="minorHAnsi" w:eastAsiaTheme="minorHAnsi" w:hAnsiTheme="minorHAnsi" w:cstheme="minorHAnsi"/>
                <w:b/>
                <w:bCs/>
                <w:noProof/>
                <w:color w:val="000000"/>
                <w:sz w:val="20"/>
                <w:szCs w:val="20"/>
                <w:lang w:val="es-ES"/>
              </w:rPr>
            </w:pPr>
            <w:r w:rsidRPr="001441B9">
              <w:rPr>
                <w:rFonts w:asciiTheme="minorHAnsi" w:hAnsiTheme="minorHAnsi" w:cstheme="minorHAnsi"/>
                <w:noProof/>
                <w:sz w:val="20"/>
                <w:szCs w:val="20"/>
                <w:lang w:val="es-ES"/>
              </w:rPr>
              <w:t>799</w:t>
            </w:r>
          </w:p>
        </w:tc>
      </w:tr>
      <w:tr w:rsidR="0014538A" w:rsidRPr="00551574" w14:paraId="5F2C7CBA" w14:textId="77777777" w:rsidTr="002538A3">
        <w:tc>
          <w:tcPr>
            <w:tcW w:w="3969" w:type="dxa"/>
            <w:tcBorders>
              <w:top w:val="nil"/>
              <w:left w:val="nil"/>
              <w:bottom w:val="nil"/>
              <w:right w:val="nil"/>
            </w:tcBorders>
            <w:shd w:val="solid" w:color="FFFFFF" w:fill="auto"/>
          </w:tcPr>
          <w:p w14:paraId="0EEBC55D" w14:textId="77777777" w:rsidR="0014538A" w:rsidRPr="001441B9" w:rsidRDefault="0014538A" w:rsidP="0014538A">
            <w:pPr>
              <w:autoSpaceDE w:val="0"/>
              <w:autoSpaceDN w:val="0"/>
              <w:adjustRightInd w:val="0"/>
              <w:ind w:left="0" w:firstLine="0"/>
              <w:rPr>
                <w:rFonts w:asciiTheme="minorHAnsi" w:eastAsiaTheme="minorHAnsi" w:hAnsiTheme="minorHAnsi" w:cstheme="minorHAnsi"/>
                <w:b/>
                <w:bCs/>
                <w:noProof/>
                <w:color w:val="000000"/>
                <w:sz w:val="20"/>
                <w:szCs w:val="20"/>
                <w:lang w:val="es-ES"/>
              </w:rPr>
            </w:pPr>
          </w:p>
        </w:tc>
        <w:tc>
          <w:tcPr>
            <w:tcW w:w="846" w:type="dxa"/>
            <w:tcBorders>
              <w:top w:val="nil"/>
              <w:left w:val="nil"/>
              <w:bottom w:val="nil"/>
              <w:right w:val="nil"/>
            </w:tcBorders>
            <w:shd w:val="solid" w:color="FFFFFF" w:fill="auto"/>
          </w:tcPr>
          <w:p w14:paraId="05FF365D" w14:textId="77777777" w:rsidR="0014538A" w:rsidRPr="001441B9" w:rsidRDefault="0014538A" w:rsidP="0014538A">
            <w:pPr>
              <w:autoSpaceDE w:val="0"/>
              <w:autoSpaceDN w:val="0"/>
              <w:adjustRightInd w:val="0"/>
              <w:ind w:left="0" w:firstLine="0"/>
              <w:jc w:val="center"/>
              <w:rPr>
                <w:rFonts w:asciiTheme="minorHAnsi" w:eastAsiaTheme="minorHAnsi" w:hAnsiTheme="minorHAnsi" w:cstheme="minorHAnsi"/>
                <w:noProof/>
                <w:color w:val="000000"/>
                <w:sz w:val="20"/>
                <w:szCs w:val="20"/>
                <w:lang w:val="es-ES"/>
              </w:rPr>
            </w:pPr>
          </w:p>
        </w:tc>
        <w:tc>
          <w:tcPr>
            <w:tcW w:w="1620" w:type="dxa"/>
            <w:tcBorders>
              <w:top w:val="nil"/>
              <w:left w:val="nil"/>
              <w:bottom w:val="nil"/>
              <w:right w:val="nil"/>
            </w:tcBorders>
            <w:shd w:val="solid" w:color="FFFFFF" w:fill="auto"/>
          </w:tcPr>
          <w:p w14:paraId="2AD53C64" w14:textId="77777777" w:rsidR="0014538A" w:rsidRPr="001441B9" w:rsidRDefault="0014538A" w:rsidP="0014538A">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p>
        </w:tc>
        <w:tc>
          <w:tcPr>
            <w:tcW w:w="283" w:type="dxa"/>
            <w:tcBorders>
              <w:top w:val="nil"/>
              <w:left w:val="nil"/>
              <w:bottom w:val="nil"/>
              <w:right w:val="nil"/>
            </w:tcBorders>
            <w:shd w:val="clear" w:color="auto" w:fill="F2F2F2" w:themeFill="background1" w:themeFillShade="F2"/>
            <w:vAlign w:val="center"/>
          </w:tcPr>
          <w:p w14:paraId="517AA16B" w14:textId="77777777" w:rsidR="0014538A" w:rsidRPr="001441B9" w:rsidRDefault="0014538A" w:rsidP="0014538A">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p>
        </w:tc>
        <w:tc>
          <w:tcPr>
            <w:tcW w:w="1579" w:type="dxa"/>
            <w:tcBorders>
              <w:top w:val="nil"/>
              <w:left w:val="nil"/>
              <w:bottom w:val="nil"/>
              <w:right w:val="nil"/>
            </w:tcBorders>
            <w:shd w:val="solid" w:color="FFFFFF" w:fill="auto"/>
          </w:tcPr>
          <w:p w14:paraId="688F5E96" w14:textId="77777777" w:rsidR="0014538A" w:rsidRPr="001441B9" w:rsidRDefault="0014538A" w:rsidP="0014538A">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p>
        </w:tc>
      </w:tr>
      <w:tr w:rsidR="00272CC8" w:rsidRPr="00551574" w14:paraId="47510FA4" w14:textId="77777777" w:rsidTr="00FF2210">
        <w:tc>
          <w:tcPr>
            <w:tcW w:w="3969" w:type="dxa"/>
            <w:tcBorders>
              <w:top w:val="nil"/>
              <w:left w:val="nil"/>
              <w:bottom w:val="nil"/>
              <w:right w:val="nil"/>
            </w:tcBorders>
            <w:shd w:val="solid" w:color="FFFFFF" w:fill="auto"/>
            <w:vAlign w:val="bottom"/>
          </w:tcPr>
          <w:p w14:paraId="48B9DC6A" w14:textId="1537FAA5" w:rsidR="00272CC8" w:rsidRPr="001441B9" w:rsidRDefault="00272CC8" w:rsidP="00272CC8">
            <w:pPr>
              <w:autoSpaceDE w:val="0"/>
              <w:autoSpaceDN w:val="0"/>
              <w:adjustRightInd w:val="0"/>
              <w:ind w:left="0" w:firstLine="0"/>
              <w:rPr>
                <w:rFonts w:asciiTheme="minorHAnsi" w:eastAsiaTheme="minorHAnsi" w:hAnsiTheme="minorHAnsi" w:cstheme="minorHAnsi"/>
                <w:b/>
                <w:bCs/>
                <w:noProof/>
                <w:color w:val="000000"/>
                <w:sz w:val="20"/>
                <w:szCs w:val="20"/>
                <w:lang w:val="es-ES"/>
              </w:rPr>
            </w:pPr>
            <w:r w:rsidRPr="001441B9">
              <w:rPr>
                <w:rFonts w:asciiTheme="minorHAnsi" w:hAnsiTheme="minorHAnsi" w:cstheme="minorHAnsi"/>
                <w:b/>
                <w:bCs/>
                <w:noProof/>
                <w:sz w:val="20"/>
                <w:szCs w:val="20"/>
                <w:lang w:val="es-ES"/>
              </w:rPr>
              <w:t>Provisiones</w:t>
            </w:r>
          </w:p>
        </w:tc>
        <w:tc>
          <w:tcPr>
            <w:tcW w:w="846" w:type="dxa"/>
            <w:tcBorders>
              <w:top w:val="nil"/>
              <w:left w:val="nil"/>
              <w:bottom w:val="nil"/>
              <w:right w:val="nil"/>
            </w:tcBorders>
            <w:shd w:val="solid" w:color="FFFFFF" w:fill="auto"/>
          </w:tcPr>
          <w:p w14:paraId="1D49971E" w14:textId="77777777" w:rsidR="00272CC8" w:rsidRPr="001441B9" w:rsidRDefault="00272CC8" w:rsidP="00272CC8">
            <w:pPr>
              <w:autoSpaceDE w:val="0"/>
              <w:autoSpaceDN w:val="0"/>
              <w:adjustRightInd w:val="0"/>
              <w:ind w:left="0" w:firstLine="0"/>
              <w:jc w:val="center"/>
              <w:rPr>
                <w:rFonts w:asciiTheme="minorHAnsi" w:eastAsiaTheme="minorHAnsi" w:hAnsiTheme="minorHAnsi" w:cstheme="minorHAnsi"/>
                <w:noProof/>
                <w:color w:val="000000"/>
                <w:sz w:val="20"/>
                <w:szCs w:val="20"/>
                <w:lang w:val="es-ES"/>
              </w:rPr>
            </w:pPr>
          </w:p>
        </w:tc>
        <w:tc>
          <w:tcPr>
            <w:tcW w:w="1620" w:type="dxa"/>
            <w:tcBorders>
              <w:top w:val="nil"/>
              <w:left w:val="nil"/>
              <w:bottom w:val="nil"/>
              <w:right w:val="nil"/>
            </w:tcBorders>
            <w:shd w:val="solid" w:color="FFFFFF" w:fill="auto"/>
          </w:tcPr>
          <w:p w14:paraId="2B370DC0" w14:textId="77777777" w:rsidR="00272CC8" w:rsidRPr="001441B9" w:rsidRDefault="00272CC8" w:rsidP="00272CC8">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p>
        </w:tc>
        <w:tc>
          <w:tcPr>
            <w:tcW w:w="283" w:type="dxa"/>
            <w:tcBorders>
              <w:top w:val="nil"/>
              <w:left w:val="nil"/>
              <w:bottom w:val="nil"/>
              <w:right w:val="nil"/>
            </w:tcBorders>
            <w:shd w:val="clear" w:color="auto" w:fill="F2F2F2" w:themeFill="background1" w:themeFillShade="F2"/>
            <w:vAlign w:val="center"/>
          </w:tcPr>
          <w:p w14:paraId="7A174CE6" w14:textId="77777777" w:rsidR="00272CC8" w:rsidRPr="001441B9" w:rsidRDefault="00272CC8" w:rsidP="00272CC8">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p>
        </w:tc>
        <w:tc>
          <w:tcPr>
            <w:tcW w:w="1579" w:type="dxa"/>
            <w:tcBorders>
              <w:top w:val="nil"/>
              <w:left w:val="nil"/>
              <w:bottom w:val="nil"/>
              <w:right w:val="nil"/>
            </w:tcBorders>
            <w:shd w:val="solid" w:color="FFFFFF" w:fill="auto"/>
          </w:tcPr>
          <w:p w14:paraId="6AEDFEB3" w14:textId="77777777" w:rsidR="00272CC8" w:rsidRPr="001441B9" w:rsidRDefault="00272CC8" w:rsidP="00272CC8">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p>
        </w:tc>
      </w:tr>
      <w:tr w:rsidR="00272CC8" w:rsidRPr="00551574" w14:paraId="64EB9E37" w14:textId="77777777" w:rsidTr="00FF2210">
        <w:tc>
          <w:tcPr>
            <w:tcW w:w="3969" w:type="dxa"/>
            <w:tcBorders>
              <w:top w:val="nil"/>
              <w:left w:val="nil"/>
              <w:bottom w:val="nil"/>
              <w:right w:val="nil"/>
            </w:tcBorders>
            <w:shd w:val="solid" w:color="FFFFFF" w:fill="auto"/>
            <w:vAlign w:val="bottom"/>
          </w:tcPr>
          <w:p w14:paraId="0BD1CEBD" w14:textId="096E51C7" w:rsidR="00272CC8" w:rsidRPr="001441B9" w:rsidRDefault="00272CC8" w:rsidP="00272CC8">
            <w:pPr>
              <w:autoSpaceDE w:val="0"/>
              <w:autoSpaceDN w:val="0"/>
              <w:adjustRightInd w:val="0"/>
              <w:ind w:left="0" w:firstLine="0"/>
              <w:rPr>
                <w:rFonts w:asciiTheme="minorHAnsi" w:eastAsiaTheme="minorHAnsi" w:hAnsiTheme="minorHAnsi" w:cstheme="minorHAnsi"/>
                <w:noProof/>
                <w:color w:val="000000"/>
                <w:sz w:val="20"/>
                <w:szCs w:val="20"/>
                <w:lang w:val="es-ES"/>
              </w:rPr>
            </w:pPr>
            <w:r w:rsidRPr="001441B9">
              <w:rPr>
                <w:rFonts w:asciiTheme="minorHAnsi" w:hAnsiTheme="minorHAnsi" w:cstheme="minorHAnsi"/>
                <w:noProof/>
                <w:sz w:val="20"/>
                <w:szCs w:val="20"/>
                <w:lang w:val="es-ES"/>
              </w:rPr>
              <w:t>Repatriación del personal</w:t>
            </w:r>
          </w:p>
        </w:tc>
        <w:tc>
          <w:tcPr>
            <w:tcW w:w="846" w:type="dxa"/>
            <w:tcBorders>
              <w:top w:val="nil"/>
              <w:left w:val="nil"/>
              <w:bottom w:val="nil"/>
              <w:right w:val="nil"/>
            </w:tcBorders>
            <w:shd w:val="solid" w:color="FFFFFF" w:fill="auto"/>
          </w:tcPr>
          <w:p w14:paraId="0AF4D911" w14:textId="77777777" w:rsidR="00272CC8" w:rsidRPr="001441B9" w:rsidRDefault="00272CC8" w:rsidP="00272CC8">
            <w:pPr>
              <w:autoSpaceDE w:val="0"/>
              <w:autoSpaceDN w:val="0"/>
              <w:adjustRightInd w:val="0"/>
              <w:ind w:left="0" w:firstLine="0"/>
              <w:jc w:val="center"/>
              <w:rPr>
                <w:rFonts w:asciiTheme="minorHAnsi" w:eastAsiaTheme="minorHAnsi" w:hAnsiTheme="minorHAnsi" w:cstheme="minorHAnsi"/>
                <w:noProof/>
                <w:color w:val="000000"/>
                <w:sz w:val="20"/>
                <w:szCs w:val="20"/>
                <w:lang w:val="es-ES"/>
              </w:rPr>
            </w:pPr>
            <w:r w:rsidRPr="001441B9">
              <w:rPr>
                <w:rFonts w:asciiTheme="minorHAnsi" w:eastAsiaTheme="minorHAnsi" w:hAnsiTheme="minorHAnsi" w:cstheme="minorHAnsi"/>
                <w:noProof/>
                <w:color w:val="000000"/>
                <w:sz w:val="20"/>
                <w:szCs w:val="20"/>
                <w:lang w:val="es-ES"/>
              </w:rPr>
              <w:t>5</w:t>
            </w:r>
          </w:p>
        </w:tc>
        <w:tc>
          <w:tcPr>
            <w:tcW w:w="1620" w:type="dxa"/>
            <w:tcBorders>
              <w:top w:val="nil"/>
              <w:left w:val="nil"/>
              <w:bottom w:val="nil"/>
              <w:right w:val="nil"/>
            </w:tcBorders>
            <w:shd w:val="solid" w:color="FFFFFF" w:fill="auto"/>
          </w:tcPr>
          <w:p w14:paraId="6E3821B0" w14:textId="0DAB79DC" w:rsidR="00272CC8" w:rsidRPr="001441B9" w:rsidRDefault="00272CC8" w:rsidP="00272CC8">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r w:rsidRPr="001441B9">
              <w:rPr>
                <w:rFonts w:asciiTheme="minorHAnsi" w:hAnsiTheme="minorHAnsi" w:cstheme="minorHAnsi"/>
                <w:noProof/>
                <w:sz w:val="20"/>
                <w:szCs w:val="20"/>
                <w:lang w:val="es-ES"/>
              </w:rPr>
              <w:t>133</w:t>
            </w:r>
          </w:p>
        </w:tc>
        <w:tc>
          <w:tcPr>
            <w:tcW w:w="283" w:type="dxa"/>
            <w:tcBorders>
              <w:top w:val="nil"/>
              <w:left w:val="nil"/>
              <w:bottom w:val="nil"/>
              <w:right w:val="nil"/>
            </w:tcBorders>
            <w:shd w:val="clear" w:color="auto" w:fill="F2F2F2" w:themeFill="background1" w:themeFillShade="F2"/>
            <w:vAlign w:val="center"/>
          </w:tcPr>
          <w:p w14:paraId="7A7145D5" w14:textId="77777777" w:rsidR="00272CC8" w:rsidRPr="001441B9" w:rsidRDefault="00272CC8" w:rsidP="00272CC8">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p>
        </w:tc>
        <w:tc>
          <w:tcPr>
            <w:tcW w:w="1579" w:type="dxa"/>
            <w:tcBorders>
              <w:top w:val="nil"/>
              <w:left w:val="nil"/>
              <w:bottom w:val="nil"/>
              <w:right w:val="nil"/>
            </w:tcBorders>
            <w:shd w:val="solid" w:color="FFFFFF" w:fill="auto"/>
          </w:tcPr>
          <w:p w14:paraId="669107F8" w14:textId="066EB754" w:rsidR="00272CC8" w:rsidRPr="001441B9" w:rsidRDefault="00272CC8" w:rsidP="00272CC8">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r w:rsidRPr="001441B9">
              <w:rPr>
                <w:rFonts w:asciiTheme="minorHAnsi" w:hAnsiTheme="minorHAnsi" w:cstheme="minorHAnsi"/>
                <w:noProof/>
                <w:sz w:val="20"/>
                <w:szCs w:val="20"/>
                <w:lang w:val="es-ES"/>
              </w:rPr>
              <w:t>121</w:t>
            </w:r>
          </w:p>
        </w:tc>
      </w:tr>
      <w:tr w:rsidR="00272CC8" w:rsidRPr="00551574" w14:paraId="35AD2CF7" w14:textId="77777777" w:rsidTr="00FF2210">
        <w:tc>
          <w:tcPr>
            <w:tcW w:w="3969" w:type="dxa"/>
            <w:tcBorders>
              <w:top w:val="nil"/>
              <w:left w:val="nil"/>
              <w:bottom w:val="nil"/>
              <w:right w:val="nil"/>
            </w:tcBorders>
            <w:shd w:val="solid" w:color="FFFFFF" w:fill="auto"/>
            <w:vAlign w:val="bottom"/>
          </w:tcPr>
          <w:p w14:paraId="3E219E1D" w14:textId="12FE9325" w:rsidR="00272CC8" w:rsidRPr="001441B9" w:rsidRDefault="00272CC8" w:rsidP="00272CC8">
            <w:pPr>
              <w:autoSpaceDE w:val="0"/>
              <w:autoSpaceDN w:val="0"/>
              <w:adjustRightInd w:val="0"/>
              <w:ind w:left="0" w:firstLine="0"/>
              <w:rPr>
                <w:rFonts w:asciiTheme="minorHAnsi" w:eastAsiaTheme="minorHAnsi" w:hAnsiTheme="minorHAnsi" w:cstheme="minorHAnsi"/>
                <w:noProof/>
                <w:color w:val="000000"/>
                <w:sz w:val="20"/>
                <w:szCs w:val="20"/>
                <w:lang w:val="es-ES"/>
              </w:rPr>
            </w:pPr>
            <w:r w:rsidRPr="001441B9">
              <w:rPr>
                <w:rFonts w:asciiTheme="minorHAnsi" w:hAnsiTheme="minorHAnsi" w:cstheme="minorHAnsi"/>
                <w:noProof/>
                <w:sz w:val="20"/>
                <w:szCs w:val="20"/>
                <w:lang w:val="es-ES"/>
              </w:rPr>
              <w:t xml:space="preserve">Vacaciones del personal </w:t>
            </w:r>
          </w:p>
        </w:tc>
        <w:tc>
          <w:tcPr>
            <w:tcW w:w="846" w:type="dxa"/>
            <w:tcBorders>
              <w:top w:val="nil"/>
              <w:left w:val="nil"/>
              <w:bottom w:val="nil"/>
              <w:right w:val="nil"/>
            </w:tcBorders>
            <w:shd w:val="solid" w:color="FFFFFF" w:fill="auto"/>
          </w:tcPr>
          <w:p w14:paraId="2ABB9B39" w14:textId="77777777" w:rsidR="00272CC8" w:rsidRPr="001441B9" w:rsidRDefault="00272CC8" w:rsidP="00272CC8">
            <w:pPr>
              <w:autoSpaceDE w:val="0"/>
              <w:autoSpaceDN w:val="0"/>
              <w:adjustRightInd w:val="0"/>
              <w:ind w:left="0" w:firstLine="0"/>
              <w:jc w:val="center"/>
              <w:rPr>
                <w:rFonts w:asciiTheme="minorHAnsi" w:eastAsiaTheme="minorHAnsi" w:hAnsiTheme="minorHAnsi" w:cstheme="minorHAnsi"/>
                <w:noProof/>
                <w:color w:val="000000"/>
                <w:sz w:val="20"/>
                <w:szCs w:val="20"/>
                <w:lang w:val="es-ES"/>
              </w:rPr>
            </w:pPr>
            <w:r w:rsidRPr="001441B9">
              <w:rPr>
                <w:rFonts w:asciiTheme="minorHAnsi" w:eastAsiaTheme="minorHAnsi" w:hAnsiTheme="minorHAnsi" w:cstheme="minorHAnsi"/>
                <w:noProof/>
                <w:color w:val="000000"/>
                <w:sz w:val="20"/>
                <w:szCs w:val="20"/>
                <w:lang w:val="es-ES"/>
              </w:rPr>
              <w:t>5</w:t>
            </w:r>
          </w:p>
        </w:tc>
        <w:tc>
          <w:tcPr>
            <w:tcW w:w="1620" w:type="dxa"/>
            <w:tcBorders>
              <w:top w:val="nil"/>
              <w:left w:val="nil"/>
              <w:bottom w:val="nil"/>
              <w:right w:val="nil"/>
            </w:tcBorders>
            <w:shd w:val="solid" w:color="FFFFFF" w:fill="auto"/>
          </w:tcPr>
          <w:p w14:paraId="7A3EA7A1" w14:textId="607BD327" w:rsidR="00272CC8" w:rsidRPr="001441B9" w:rsidRDefault="00272CC8" w:rsidP="00272CC8">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r w:rsidRPr="001441B9">
              <w:rPr>
                <w:rFonts w:asciiTheme="minorHAnsi" w:hAnsiTheme="minorHAnsi" w:cstheme="minorHAnsi"/>
                <w:noProof/>
                <w:sz w:val="20"/>
                <w:szCs w:val="20"/>
                <w:lang w:val="es-ES"/>
              </w:rPr>
              <w:t>132</w:t>
            </w:r>
          </w:p>
        </w:tc>
        <w:tc>
          <w:tcPr>
            <w:tcW w:w="283" w:type="dxa"/>
            <w:tcBorders>
              <w:top w:val="nil"/>
              <w:left w:val="nil"/>
              <w:bottom w:val="nil"/>
              <w:right w:val="nil"/>
            </w:tcBorders>
            <w:shd w:val="clear" w:color="auto" w:fill="F2F2F2" w:themeFill="background1" w:themeFillShade="F2"/>
            <w:vAlign w:val="center"/>
          </w:tcPr>
          <w:p w14:paraId="50B1C818" w14:textId="77777777" w:rsidR="00272CC8" w:rsidRPr="001441B9" w:rsidRDefault="00272CC8" w:rsidP="00272CC8">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p>
        </w:tc>
        <w:tc>
          <w:tcPr>
            <w:tcW w:w="1579" w:type="dxa"/>
            <w:tcBorders>
              <w:top w:val="nil"/>
              <w:left w:val="nil"/>
              <w:bottom w:val="nil"/>
              <w:right w:val="nil"/>
            </w:tcBorders>
            <w:shd w:val="solid" w:color="FFFFFF" w:fill="auto"/>
          </w:tcPr>
          <w:p w14:paraId="4F561D41" w14:textId="09605D82" w:rsidR="00272CC8" w:rsidRPr="001441B9" w:rsidRDefault="00272CC8" w:rsidP="00272CC8">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r w:rsidRPr="001441B9">
              <w:rPr>
                <w:rFonts w:asciiTheme="minorHAnsi" w:hAnsiTheme="minorHAnsi" w:cstheme="minorHAnsi"/>
                <w:noProof/>
                <w:sz w:val="20"/>
                <w:szCs w:val="20"/>
                <w:lang w:val="es-ES"/>
              </w:rPr>
              <w:t>125</w:t>
            </w:r>
          </w:p>
        </w:tc>
      </w:tr>
      <w:tr w:rsidR="00272CC8" w:rsidRPr="00551574" w14:paraId="2AEC8D1C" w14:textId="77777777" w:rsidTr="00FF2210">
        <w:tc>
          <w:tcPr>
            <w:tcW w:w="3969" w:type="dxa"/>
            <w:tcBorders>
              <w:top w:val="nil"/>
              <w:left w:val="nil"/>
              <w:bottom w:val="nil"/>
              <w:right w:val="nil"/>
            </w:tcBorders>
            <w:shd w:val="solid" w:color="FFFFFF" w:fill="auto"/>
            <w:vAlign w:val="bottom"/>
          </w:tcPr>
          <w:p w14:paraId="4FA2DE37" w14:textId="3108078D" w:rsidR="00272CC8" w:rsidRPr="001441B9" w:rsidRDefault="00272CC8" w:rsidP="00272CC8">
            <w:pPr>
              <w:autoSpaceDE w:val="0"/>
              <w:autoSpaceDN w:val="0"/>
              <w:adjustRightInd w:val="0"/>
              <w:ind w:left="0" w:firstLine="0"/>
              <w:rPr>
                <w:rFonts w:asciiTheme="minorHAnsi" w:eastAsiaTheme="minorHAnsi" w:hAnsiTheme="minorHAnsi" w:cstheme="minorHAnsi"/>
                <w:noProof/>
                <w:color w:val="000000"/>
                <w:sz w:val="20"/>
                <w:szCs w:val="20"/>
                <w:lang w:val="es-ES"/>
              </w:rPr>
            </w:pPr>
            <w:r w:rsidRPr="001441B9">
              <w:rPr>
                <w:rFonts w:asciiTheme="minorHAnsi" w:hAnsiTheme="minorHAnsi" w:cstheme="minorHAnsi"/>
                <w:noProof/>
                <w:sz w:val="20"/>
                <w:szCs w:val="20"/>
                <w:lang w:val="es-ES"/>
              </w:rPr>
              <w:t>Separación del personal</w:t>
            </w:r>
          </w:p>
        </w:tc>
        <w:tc>
          <w:tcPr>
            <w:tcW w:w="846" w:type="dxa"/>
            <w:tcBorders>
              <w:top w:val="nil"/>
              <w:left w:val="nil"/>
              <w:bottom w:val="nil"/>
              <w:right w:val="nil"/>
            </w:tcBorders>
            <w:shd w:val="solid" w:color="FFFFFF" w:fill="auto"/>
          </w:tcPr>
          <w:p w14:paraId="3633BFB2" w14:textId="77777777" w:rsidR="00272CC8" w:rsidRPr="001441B9" w:rsidRDefault="00272CC8" w:rsidP="00272CC8">
            <w:pPr>
              <w:autoSpaceDE w:val="0"/>
              <w:autoSpaceDN w:val="0"/>
              <w:adjustRightInd w:val="0"/>
              <w:ind w:left="0" w:firstLine="0"/>
              <w:jc w:val="center"/>
              <w:rPr>
                <w:rFonts w:asciiTheme="minorHAnsi" w:eastAsiaTheme="minorHAnsi" w:hAnsiTheme="minorHAnsi" w:cstheme="minorHAnsi"/>
                <w:noProof/>
                <w:color w:val="000000"/>
                <w:sz w:val="20"/>
                <w:szCs w:val="20"/>
                <w:lang w:val="es-ES"/>
              </w:rPr>
            </w:pPr>
            <w:r w:rsidRPr="001441B9">
              <w:rPr>
                <w:rFonts w:asciiTheme="minorHAnsi" w:eastAsiaTheme="minorHAnsi" w:hAnsiTheme="minorHAnsi" w:cstheme="minorHAnsi"/>
                <w:noProof/>
                <w:color w:val="000000"/>
                <w:sz w:val="20"/>
                <w:szCs w:val="20"/>
                <w:lang w:val="es-ES"/>
              </w:rPr>
              <w:t>5</w:t>
            </w:r>
          </w:p>
        </w:tc>
        <w:tc>
          <w:tcPr>
            <w:tcW w:w="1620" w:type="dxa"/>
            <w:tcBorders>
              <w:top w:val="nil"/>
              <w:left w:val="nil"/>
              <w:bottom w:val="single" w:sz="6" w:space="0" w:color="auto"/>
              <w:right w:val="nil"/>
            </w:tcBorders>
            <w:shd w:val="solid" w:color="FFFFFF" w:fill="auto"/>
          </w:tcPr>
          <w:p w14:paraId="7A4DCFB9" w14:textId="50EFEBA3" w:rsidR="00272CC8" w:rsidRPr="001441B9" w:rsidRDefault="00272CC8" w:rsidP="00272CC8">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r w:rsidRPr="001441B9">
              <w:rPr>
                <w:rFonts w:asciiTheme="minorHAnsi" w:hAnsiTheme="minorHAnsi" w:cstheme="minorHAnsi"/>
                <w:noProof/>
                <w:sz w:val="20"/>
                <w:szCs w:val="20"/>
                <w:lang w:val="es-ES"/>
              </w:rPr>
              <w:t>192</w:t>
            </w:r>
          </w:p>
        </w:tc>
        <w:tc>
          <w:tcPr>
            <w:tcW w:w="283" w:type="dxa"/>
            <w:tcBorders>
              <w:top w:val="nil"/>
              <w:left w:val="nil"/>
              <w:bottom w:val="single" w:sz="6" w:space="0" w:color="auto"/>
              <w:right w:val="nil"/>
            </w:tcBorders>
            <w:shd w:val="clear" w:color="auto" w:fill="F2F2F2" w:themeFill="background1" w:themeFillShade="F2"/>
            <w:vAlign w:val="center"/>
          </w:tcPr>
          <w:p w14:paraId="1626F807" w14:textId="77777777" w:rsidR="00272CC8" w:rsidRPr="001441B9" w:rsidRDefault="00272CC8" w:rsidP="00272CC8">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p>
        </w:tc>
        <w:tc>
          <w:tcPr>
            <w:tcW w:w="1579" w:type="dxa"/>
            <w:tcBorders>
              <w:top w:val="nil"/>
              <w:left w:val="nil"/>
              <w:bottom w:val="single" w:sz="6" w:space="0" w:color="auto"/>
              <w:right w:val="nil"/>
            </w:tcBorders>
            <w:shd w:val="solid" w:color="FFFFFF" w:fill="auto"/>
          </w:tcPr>
          <w:p w14:paraId="7005D5EB" w14:textId="1F2FBAE3" w:rsidR="00272CC8" w:rsidRPr="001441B9" w:rsidRDefault="00272CC8" w:rsidP="00272CC8">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r w:rsidRPr="001441B9">
              <w:rPr>
                <w:rFonts w:asciiTheme="minorHAnsi" w:hAnsiTheme="minorHAnsi" w:cstheme="minorHAnsi"/>
                <w:noProof/>
                <w:sz w:val="20"/>
                <w:szCs w:val="20"/>
                <w:lang w:val="es-ES"/>
              </w:rPr>
              <w:t>172</w:t>
            </w:r>
          </w:p>
        </w:tc>
      </w:tr>
      <w:tr w:rsidR="00272CC8" w:rsidRPr="00551574" w14:paraId="061C291C" w14:textId="77777777" w:rsidTr="00FF2210">
        <w:tc>
          <w:tcPr>
            <w:tcW w:w="3969" w:type="dxa"/>
            <w:tcBorders>
              <w:top w:val="nil"/>
              <w:left w:val="nil"/>
              <w:bottom w:val="nil"/>
              <w:right w:val="nil"/>
            </w:tcBorders>
            <w:shd w:val="solid" w:color="FFFFFF" w:fill="auto"/>
            <w:vAlign w:val="bottom"/>
          </w:tcPr>
          <w:p w14:paraId="4FEE4503" w14:textId="24FCDE30" w:rsidR="00272CC8" w:rsidRPr="001441B9" w:rsidRDefault="00272CC8" w:rsidP="00272CC8">
            <w:pPr>
              <w:autoSpaceDE w:val="0"/>
              <w:autoSpaceDN w:val="0"/>
              <w:adjustRightInd w:val="0"/>
              <w:ind w:left="0" w:firstLine="0"/>
              <w:rPr>
                <w:rFonts w:asciiTheme="minorHAnsi" w:eastAsiaTheme="minorHAnsi" w:hAnsiTheme="minorHAnsi" w:cstheme="minorHAnsi"/>
                <w:b/>
                <w:bCs/>
                <w:noProof/>
                <w:color w:val="000000"/>
                <w:sz w:val="20"/>
                <w:szCs w:val="20"/>
                <w:lang w:val="es-ES"/>
              </w:rPr>
            </w:pPr>
            <w:r w:rsidRPr="001441B9">
              <w:rPr>
                <w:rFonts w:asciiTheme="minorHAnsi" w:hAnsiTheme="minorHAnsi" w:cstheme="minorHAnsi"/>
                <w:b/>
                <w:bCs/>
                <w:noProof/>
                <w:sz w:val="20"/>
                <w:szCs w:val="20"/>
                <w:lang w:val="es-ES"/>
              </w:rPr>
              <w:t>Total, Provisiones</w:t>
            </w:r>
          </w:p>
        </w:tc>
        <w:tc>
          <w:tcPr>
            <w:tcW w:w="846" w:type="dxa"/>
            <w:tcBorders>
              <w:top w:val="nil"/>
              <w:left w:val="nil"/>
              <w:bottom w:val="nil"/>
              <w:right w:val="nil"/>
            </w:tcBorders>
            <w:shd w:val="solid" w:color="FFFFFF" w:fill="auto"/>
          </w:tcPr>
          <w:p w14:paraId="02DA55C4" w14:textId="77777777" w:rsidR="00272CC8" w:rsidRPr="001441B9" w:rsidRDefault="00272CC8" w:rsidP="00272CC8">
            <w:pPr>
              <w:autoSpaceDE w:val="0"/>
              <w:autoSpaceDN w:val="0"/>
              <w:adjustRightInd w:val="0"/>
              <w:ind w:left="0" w:firstLine="0"/>
              <w:jc w:val="center"/>
              <w:rPr>
                <w:rFonts w:asciiTheme="minorHAnsi" w:eastAsiaTheme="minorHAnsi" w:hAnsiTheme="minorHAnsi" w:cstheme="minorHAnsi"/>
                <w:noProof/>
                <w:color w:val="000000"/>
                <w:sz w:val="20"/>
                <w:szCs w:val="20"/>
                <w:lang w:val="es-ES"/>
              </w:rPr>
            </w:pPr>
          </w:p>
        </w:tc>
        <w:tc>
          <w:tcPr>
            <w:tcW w:w="1620" w:type="dxa"/>
            <w:tcBorders>
              <w:top w:val="nil"/>
              <w:left w:val="nil"/>
              <w:bottom w:val="nil"/>
              <w:right w:val="nil"/>
            </w:tcBorders>
            <w:shd w:val="solid" w:color="FFFFFF" w:fill="auto"/>
          </w:tcPr>
          <w:p w14:paraId="0D18F33C" w14:textId="052154CF" w:rsidR="00272CC8" w:rsidRPr="001441B9" w:rsidRDefault="00272CC8" w:rsidP="00272CC8">
            <w:pPr>
              <w:autoSpaceDE w:val="0"/>
              <w:autoSpaceDN w:val="0"/>
              <w:adjustRightInd w:val="0"/>
              <w:ind w:left="0" w:firstLine="0"/>
              <w:jc w:val="right"/>
              <w:rPr>
                <w:rFonts w:asciiTheme="minorHAnsi" w:eastAsiaTheme="minorHAnsi" w:hAnsiTheme="minorHAnsi" w:cstheme="minorHAnsi"/>
                <w:b/>
                <w:bCs/>
                <w:noProof/>
                <w:color w:val="000000"/>
                <w:sz w:val="20"/>
                <w:szCs w:val="20"/>
                <w:lang w:val="es-ES"/>
              </w:rPr>
            </w:pPr>
            <w:r w:rsidRPr="001441B9">
              <w:rPr>
                <w:rFonts w:asciiTheme="minorHAnsi" w:hAnsiTheme="minorHAnsi" w:cstheme="minorHAnsi"/>
                <w:noProof/>
                <w:sz w:val="20"/>
                <w:szCs w:val="20"/>
                <w:lang w:val="es-ES"/>
              </w:rPr>
              <w:t>457</w:t>
            </w:r>
          </w:p>
        </w:tc>
        <w:tc>
          <w:tcPr>
            <w:tcW w:w="283" w:type="dxa"/>
            <w:tcBorders>
              <w:top w:val="nil"/>
              <w:left w:val="nil"/>
              <w:bottom w:val="nil"/>
              <w:right w:val="nil"/>
            </w:tcBorders>
            <w:shd w:val="clear" w:color="auto" w:fill="F2F2F2" w:themeFill="background1" w:themeFillShade="F2"/>
            <w:vAlign w:val="center"/>
          </w:tcPr>
          <w:p w14:paraId="1137ECAA" w14:textId="77777777" w:rsidR="00272CC8" w:rsidRPr="001441B9" w:rsidRDefault="00272CC8" w:rsidP="00272CC8">
            <w:pPr>
              <w:autoSpaceDE w:val="0"/>
              <w:autoSpaceDN w:val="0"/>
              <w:adjustRightInd w:val="0"/>
              <w:ind w:left="0" w:firstLine="0"/>
              <w:jc w:val="right"/>
              <w:rPr>
                <w:rFonts w:asciiTheme="minorHAnsi" w:eastAsiaTheme="minorHAnsi" w:hAnsiTheme="minorHAnsi" w:cstheme="minorHAnsi"/>
                <w:b/>
                <w:bCs/>
                <w:noProof/>
                <w:color w:val="000000"/>
                <w:sz w:val="20"/>
                <w:szCs w:val="20"/>
                <w:lang w:val="es-ES"/>
              </w:rPr>
            </w:pPr>
          </w:p>
        </w:tc>
        <w:tc>
          <w:tcPr>
            <w:tcW w:w="1579" w:type="dxa"/>
            <w:tcBorders>
              <w:top w:val="nil"/>
              <w:left w:val="nil"/>
              <w:bottom w:val="nil"/>
              <w:right w:val="nil"/>
            </w:tcBorders>
            <w:shd w:val="solid" w:color="FFFFFF" w:fill="auto"/>
          </w:tcPr>
          <w:p w14:paraId="297EF224" w14:textId="6ABF4178" w:rsidR="00272CC8" w:rsidRPr="001441B9" w:rsidRDefault="00272CC8" w:rsidP="00272CC8">
            <w:pPr>
              <w:autoSpaceDE w:val="0"/>
              <w:autoSpaceDN w:val="0"/>
              <w:adjustRightInd w:val="0"/>
              <w:ind w:left="0" w:firstLine="0"/>
              <w:jc w:val="right"/>
              <w:rPr>
                <w:rFonts w:asciiTheme="minorHAnsi" w:eastAsiaTheme="minorHAnsi" w:hAnsiTheme="minorHAnsi" w:cstheme="minorHAnsi"/>
                <w:b/>
                <w:bCs/>
                <w:noProof/>
                <w:color w:val="000000"/>
                <w:sz w:val="20"/>
                <w:szCs w:val="20"/>
                <w:lang w:val="es-ES"/>
              </w:rPr>
            </w:pPr>
            <w:r w:rsidRPr="001441B9">
              <w:rPr>
                <w:rFonts w:asciiTheme="minorHAnsi" w:hAnsiTheme="minorHAnsi" w:cstheme="minorHAnsi"/>
                <w:noProof/>
                <w:sz w:val="20"/>
                <w:szCs w:val="20"/>
                <w:lang w:val="es-ES"/>
              </w:rPr>
              <w:t>418</w:t>
            </w:r>
          </w:p>
        </w:tc>
      </w:tr>
      <w:tr w:rsidR="0014538A" w:rsidRPr="00551574" w14:paraId="7ED835AA" w14:textId="77777777" w:rsidTr="002538A3">
        <w:tc>
          <w:tcPr>
            <w:tcW w:w="3969" w:type="dxa"/>
            <w:tcBorders>
              <w:top w:val="nil"/>
              <w:left w:val="nil"/>
              <w:bottom w:val="nil"/>
              <w:right w:val="nil"/>
            </w:tcBorders>
            <w:shd w:val="solid" w:color="FFFFFF" w:fill="auto"/>
          </w:tcPr>
          <w:p w14:paraId="0161C0B9" w14:textId="77777777" w:rsidR="0014538A" w:rsidRPr="001441B9" w:rsidRDefault="0014538A" w:rsidP="0014538A">
            <w:pPr>
              <w:autoSpaceDE w:val="0"/>
              <w:autoSpaceDN w:val="0"/>
              <w:adjustRightInd w:val="0"/>
              <w:ind w:left="0" w:firstLine="0"/>
              <w:rPr>
                <w:rFonts w:asciiTheme="minorHAnsi" w:eastAsiaTheme="minorHAnsi" w:hAnsiTheme="minorHAnsi" w:cstheme="minorHAnsi"/>
                <w:b/>
                <w:bCs/>
                <w:noProof/>
                <w:color w:val="000000"/>
                <w:sz w:val="20"/>
                <w:szCs w:val="20"/>
                <w:lang w:val="es-ES"/>
              </w:rPr>
            </w:pPr>
          </w:p>
        </w:tc>
        <w:tc>
          <w:tcPr>
            <w:tcW w:w="846" w:type="dxa"/>
            <w:tcBorders>
              <w:top w:val="nil"/>
              <w:left w:val="nil"/>
              <w:bottom w:val="nil"/>
              <w:right w:val="nil"/>
            </w:tcBorders>
            <w:shd w:val="solid" w:color="FFFFFF" w:fill="auto"/>
          </w:tcPr>
          <w:p w14:paraId="1E2B351D" w14:textId="77777777" w:rsidR="0014538A" w:rsidRPr="001441B9" w:rsidRDefault="0014538A" w:rsidP="0014538A">
            <w:pPr>
              <w:autoSpaceDE w:val="0"/>
              <w:autoSpaceDN w:val="0"/>
              <w:adjustRightInd w:val="0"/>
              <w:ind w:left="0" w:firstLine="0"/>
              <w:jc w:val="center"/>
              <w:rPr>
                <w:rFonts w:asciiTheme="minorHAnsi" w:eastAsiaTheme="minorHAnsi" w:hAnsiTheme="minorHAnsi" w:cstheme="minorHAnsi"/>
                <w:noProof/>
                <w:color w:val="000000"/>
                <w:sz w:val="20"/>
                <w:szCs w:val="20"/>
                <w:lang w:val="es-ES"/>
              </w:rPr>
            </w:pPr>
          </w:p>
        </w:tc>
        <w:tc>
          <w:tcPr>
            <w:tcW w:w="1620" w:type="dxa"/>
            <w:tcBorders>
              <w:top w:val="nil"/>
              <w:left w:val="nil"/>
              <w:bottom w:val="nil"/>
              <w:right w:val="nil"/>
            </w:tcBorders>
            <w:shd w:val="solid" w:color="FFFFFF" w:fill="auto"/>
          </w:tcPr>
          <w:p w14:paraId="7AA168B2" w14:textId="77777777" w:rsidR="0014538A" w:rsidRPr="001441B9" w:rsidRDefault="0014538A" w:rsidP="0014538A">
            <w:pPr>
              <w:autoSpaceDE w:val="0"/>
              <w:autoSpaceDN w:val="0"/>
              <w:adjustRightInd w:val="0"/>
              <w:ind w:left="0" w:firstLine="0"/>
              <w:jc w:val="right"/>
              <w:rPr>
                <w:rFonts w:asciiTheme="minorHAnsi" w:eastAsiaTheme="minorHAnsi" w:hAnsiTheme="minorHAnsi" w:cstheme="minorHAnsi"/>
                <w:b/>
                <w:bCs/>
                <w:noProof/>
                <w:color w:val="000000"/>
                <w:sz w:val="20"/>
                <w:szCs w:val="20"/>
                <w:lang w:val="es-ES"/>
              </w:rPr>
            </w:pPr>
          </w:p>
        </w:tc>
        <w:tc>
          <w:tcPr>
            <w:tcW w:w="283" w:type="dxa"/>
            <w:tcBorders>
              <w:top w:val="nil"/>
              <w:left w:val="nil"/>
              <w:bottom w:val="nil"/>
              <w:right w:val="nil"/>
            </w:tcBorders>
            <w:shd w:val="clear" w:color="auto" w:fill="F2F2F2" w:themeFill="background1" w:themeFillShade="F2"/>
            <w:vAlign w:val="center"/>
          </w:tcPr>
          <w:p w14:paraId="1D3A697B" w14:textId="77777777" w:rsidR="0014538A" w:rsidRPr="001441B9" w:rsidRDefault="0014538A" w:rsidP="0014538A">
            <w:pPr>
              <w:autoSpaceDE w:val="0"/>
              <w:autoSpaceDN w:val="0"/>
              <w:adjustRightInd w:val="0"/>
              <w:ind w:left="0" w:firstLine="0"/>
              <w:jc w:val="right"/>
              <w:rPr>
                <w:rFonts w:asciiTheme="minorHAnsi" w:eastAsiaTheme="minorHAnsi" w:hAnsiTheme="minorHAnsi" w:cstheme="minorHAnsi"/>
                <w:b/>
                <w:bCs/>
                <w:noProof/>
                <w:color w:val="000000"/>
                <w:sz w:val="20"/>
                <w:szCs w:val="20"/>
                <w:lang w:val="es-ES"/>
              </w:rPr>
            </w:pPr>
          </w:p>
        </w:tc>
        <w:tc>
          <w:tcPr>
            <w:tcW w:w="1579" w:type="dxa"/>
            <w:tcBorders>
              <w:top w:val="nil"/>
              <w:left w:val="nil"/>
              <w:bottom w:val="nil"/>
              <w:right w:val="nil"/>
            </w:tcBorders>
            <w:shd w:val="solid" w:color="FFFFFF" w:fill="auto"/>
          </w:tcPr>
          <w:p w14:paraId="64ED4E0D" w14:textId="77777777" w:rsidR="0014538A" w:rsidRPr="001441B9" w:rsidRDefault="0014538A" w:rsidP="0014538A">
            <w:pPr>
              <w:autoSpaceDE w:val="0"/>
              <w:autoSpaceDN w:val="0"/>
              <w:adjustRightInd w:val="0"/>
              <w:ind w:left="0" w:firstLine="0"/>
              <w:jc w:val="right"/>
              <w:rPr>
                <w:rFonts w:asciiTheme="minorHAnsi" w:eastAsiaTheme="minorHAnsi" w:hAnsiTheme="minorHAnsi" w:cstheme="minorHAnsi"/>
                <w:b/>
                <w:bCs/>
                <w:noProof/>
                <w:color w:val="000000"/>
                <w:sz w:val="20"/>
                <w:szCs w:val="20"/>
                <w:lang w:val="es-ES"/>
              </w:rPr>
            </w:pPr>
          </w:p>
        </w:tc>
      </w:tr>
      <w:tr w:rsidR="00272CC8" w:rsidRPr="00551574" w14:paraId="001FA711" w14:textId="77777777" w:rsidTr="00FF2210">
        <w:tc>
          <w:tcPr>
            <w:tcW w:w="3969" w:type="dxa"/>
            <w:tcBorders>
              <w:top w:val="nil"/>
              <w:left w:val="nil"/>
              <w:bottom w:val="nil"/>
              <w:right w:val="nil"/>
            </w:tcBorders>
            <w:shd w:val="solid" w:color="FFFFFF" w:fill="auto"/>
            <w:vAlign w:val="bottom"/>
          </w:tcPr>
          <w:p w14:paraId="478FBF02" w14:textId="4D4AC929" w:rsidR="00272CC8" w:rsidRPr="001441B9" w:rsidRDefault="00272CC8" w:rsidP="00272CC8">
            <w:pPr>
              <w:autoSpaceDE w:val="0"/>
              <w:autoSpaceDN w:val="0"/>
              <w:adjustRightInd w:val="0"/>
              <w:ind w:left="0" w:firstLine="0"/>
              <w:rPr>
                <w:rFonts w:asciiTheme="minorHAnsi" w:eastAsiaTheme="minorHAnsi" w:hAnsiTheme="minorHAnsi" w:cstheme="minorHAnsi"/>
                <w:b/>
                <w:bCs/>
                <w:noProof/>
                <w:color w:val="000000"/>
                <w:sz w:val="20"/>
                <w:szCs w:val="20"/>
                <w:lang w:val="es-ES"/>
              </w:rPr>
            </w:pPr>
            <w:r w:rsidRPr="001441B9">
              <w:rPr>
                <w:rFonts w:asciiTheme="minorHAnsi" w:hAnsiTheme="minorHAnsi" w:cstheme="minorHAnsi"/>
                <w:b/>
                <w:bCs/>
                <w:noProof/>
                <w:sz w:val="20"/>
                <w:szCs w:val="20"/>
                <w:lang w:val="es-ES"/>
              </w:rPr>
              <w:t>Fondo y reservas</w:t>
            </w:r>
          </w:p>
        </w:tc>
        <w:tc>
          <w:tcPr>
            <w:tcW w:w="846" w:type="dxa"/>
            <w:tcBorders>
              <w:top w:val="nil"/>
              <w:left w:val="nil"/>
              <w:bottom w:val="nil"/>
              <w:right w:val="nil"/>
            </w:tcBorders>
            <w:shd w:val="solid" w:color="FFFFFF" w:fill="auto"/>
          </w:tcPr>
          <w:p w14:paraId="709F7A21" w14:textId="77777777" w:rsidR="00272CC8" w:rsidRPr="001441B9" w:rsidRDefault="00272CC8" w:rsidP="00272CC8">
            <w:pPr>
              <w:autoSpaceDE w:val="0"/>
              <w:autoSpaceDN w:val="0"/>
              <w:adjustRightInd w:val="0"/>
              <w:ind w:left="0" w:firstLine="0"/>
              <w:jc w:val="center"/>
              <w:rPr>
                <w:rFonts w:asciiTheme="minorHAnsi" w:eastAsiaTheme="minorHAnsi" w:hAnsiTheme="minorHAnsi" w:cstheme="minorHAnsi"/>
                <w:noProof/>
                <w:color w:val="000000"/>
                <w:sz w:val="20"/>
                <w:szCs w:val="20"/>
                <w:lang w:val="es-ES"/>
              </w:rPr>
            </w:pPr>
          </w:p>
        </w:tc>
        <w:tc>
          <w:tcPr>
            <w:tcW w:w="1620" w:type="dxa"/>
            <w:tcBorders>
              <w:top w:val="nil"/>
              <w:left w:val="nil"/>
              <w:bottom w:val="nil"/>
              <w:right w:val="nil"/>
            </w:tcBorders>
            <w:shd w:val="solid" w:color="FFFFFF" w:fill="auto"/>
          </w:tcPr>
          <w:p w14:paraId="311D2BFD" w14:textId="77777777" w:rsidR="00272CC8" w:rsidRPr="001441B9" w:rsidRDefault="00272CC8" w:rsidP="00272CC8">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p>
        </w:tc>
        <w:tc>
          <w:tcPr>
            <w:tcW w:w="283" w:type="dxa"/>
            <w:tcBorders>
              <w:top w:val="nil"/>
              <w:left w:val="nil"/>
              <w:bottom w:val="nil"/>
              <w:right w:val="nil"/>
            </w:tcBorders>
            <w:shd w:val="clear" w:color="auto" w:fill="F2F2F2" w:themeFill="background1" w:themeFillShade="F2"/>
            <w:vAlign w:val="center"/>
          </w:tcPr>
          <w:p w14:paraId="472D673F" w14:textId="77777777" w:rsidR="00272CC8" w:rsidRPr="001441B9" w:rsidRDefault="00272CC8" w:rsidP="00272CC8">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p>
        </w:tc>
        <w:tc>
          <w:tcPr>
            <w:tcW w:w="1579" w:type="dxa"/>
            <w:tcBorders>
              <w:top w:val="nil"/>
              <w:left w:val="nil"/>
              <w:bottom w:val="nil"/>
              <w:right w:val="nil"/>
            </w:tcBorders>
            <w:shd w:val="solid" w:color="FFFFFF" w:fill="auto"/>
          </w:tcPr>
          <w:p w14:paraId="33DEA9AA" w14:textId="77777777" w:rsidR="00272CC8" w:rsidRPr="001441B9" w:rsidRDefault="00272CC8" w:rsidP="00272CC8">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p>
        </w:tc>
      </w:tr>
      <w:tr w:rsidR="00272CC8" w:rsidRPr="00551574" w14:paraId="40ACC1D9" w14:textId="77777777" w:rsidTr="00FF2210">
        <w:tc>
          <w:tcPr>
            <w:tcW w:w="3969" w:type="dxa"/>
            <w:tcBorders>
              <w:top w:val="nil"/>
              <w:left w:val="nil"/>
              <w:bottom w:val="nil"/>
              <w:right w:val="nil"/>
            </w:tcBorders>
            <w:shd w:val="solid" w:color="FFFFFF" w:fill="auto"/>
            <w:vAlign w:val="bottom"/>
          </w:tcPr>
          <w:p w14:paraId="5958F584" w14:textId="1DB82DCD" w:rsidR="00272CC8" w:rsidRPr="001441B9" w:rsidRDefault="00272CC8" w:rsidP="00272CC8">
            <w:pPr>
              <w:autoSpaceDE w:val="0"/>
              <w:autoSpaceDN w:val="0"/>
              <w:adjustRightInd w:val="0"/>
              <w:ind w:left="0" w:firstLine="0"/>
              <w:rPr>
                <w:rFonts w:asciiTheme="minorHAnsi" w:eastAsiaTheme="minorHAnsi" w:hAnsiTheme="minorHAnsi" w:cstheme="minorHAnsi"/>
                <w:noProof/>
                <w:color w:val="000000"/>
                <w:sz w:val="20"/>
                <w:szCs w:val="20"/>
                <w:lang w:val="es-ES"/>
              </w:rPr>
            </w:pPr>
            <w:r w:rsidRPr="001441B9">
              <w:rPr>
                <w:rFonts w:asciiTheme="minorHAnsi" w:hAnsiTheme="minorHAnsi" w:cstheme="minorHAnsi"/>
                <w:noProof/>
                <w:sz w:val="20"/>
                <w:szCs w:val="20"/>
                <w:lang w:val="es-ES"/>
              </w:rPr>
              <w:t>Fondo de reserva básico</w:t>
            </w:r>
          </w:p>
        </w:tc>
        <w:tc>
          <w:tcPr>
            <w:tcW w:w="846" w:type="dxa"/>
            <w:tcBorders>
              <w:top w:val="nil"/>
              <w:left w:val="nil"/>
              <w:bottom w:val="nil"/>
              <w:right w:val="nil"/>
            </w:tcBorders>
            <w:shd w:val="solid" w:color="FFFFFF" w:fill="auto"/>
          </w:tcPr>
          <w:p w14:paraId="44CFA797" w14:textId="77777777" w:rsidR="00272CC8" w:rsidRPr="001441B9" w:rsidRDefault="00272CC8" w:rsidP="00272CC8">
            <w:pPr>
              <w:autoSpaceDE w:val="0"/>
              <w:autoSpaceDN w:val="0"/>
              <w:adjustRightInd w:val="0"/>
              <w:ind w:left="0" w:firstLine="0"/>
              <w:jc w:val="center"/>
              <w:rPr>
                <w:rFonts w:asciiTheme="minorHAnsi" w:eastAsiaTheme="minorHAnsi" w:hAnsiTheme="minorHAnsi" w:cstheme="minorHAnsi"/>
                <w:noProof/>
                <w:color w:val="000000"/>
                <w:sz w:val="20"/>
                <w:szCs w:val="20"/>
                <w:lang w:val="es-ES"/>
              </w:rPr>
            </w:pPr>
            <w:r w:rsidRPr="001441B9">
              <w:rPr>
                <w:rFonts w:asciiTheme="minorHAnsi" w:eastAsiaTheme="minorHAnsi" w:hAnsiTheme="minorHAnsi" w:cstheme="minorHAnsi"/>
                <w:noProof/>
                <w:color w:val="000000"/>
                <w:sz w:val="20"/>
                <w:szCs w:val="20"/>
                <w:lang w:val="es-ES"/>
              </w:rPr>
              <w:t>11</w:t>
            </w:r>
          </w:p>
        </w:tc>
        <w:tc>
          <w:tcPr>
            <w:tcW w:w="1620" w:type="dxa"/>
            <w:tcBorders>
              <w:top w:val="nil"/>
              <w:left w:val="nil"/>
              <w:bottom w:val="nil"/>
              <w:right w:val="nil"/>
            </w:tcBorders>
            <w:shd w:val="solid" w:color="FFFFFF" w:fill="auto"/>
          </w:tcPr>
          <w:p w14:paraId="6D5D1D86" w14:textId="77DEE22A" w:rsidR="00272CC8" w:rsidRPr="001441B9" w:rsidRDefault="00272CC8" w:rsidP="00272CC8">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r w:rsidRPr="001441B9">
              <w:rPr>
                <w:rFonts w:asciiTheme="minorHAnsi" w:hAnsiTheme="minorHAnsi" w:cstheme="minorHAnsi"/>
                <w:noProof/>
                <w:sz w:val="20"/>
                <w:szCs w:val="20"/>
                <w:lang w:val="es-ES"/>
              </w:rPr>
              <w:t>3</w:t>
            </w:r>
            <w:r w:rsidR="00B71CAF" w:rsidRPr="001441B9">
              <w:rPr>
                <w:rFonts w:asciiTheme="minorHAnsi" w:hAnsiTheme="minorHAnsi" w:cstheme="minorHAnsi"/>
                <w:noProof/>
                <w:sz w:val="20"/>
                <w:szCs w:val="20"/>
                <w:lang w:val="es-ES"/>
              </w:rPr>
              <w:t xml:space="preserve"> </w:t>
            </w:r>
            <w:r w:rsidRPr="001441B9">
              <w:rPr>
                <w:rFonts w:asciiTheme="minorHAnsi" w:hAnsiTheme="minorHAnsi" w:cstheme="minorHAnsi"/>
                <w:noProof/>
                <w:sz w:val="20"/>
                <w:szCs w:val="20"/>
                <w:lang w:val="es-ES"/>
              </w:rPr>
              <w:t>738</w:t>
            </w:r>
          </w:p>
        </w:tc>
        <w:tc>
          <w:tcPr>
            <w:tcW w:w="283" w:type="dxa"/>
            <w:tcBorders>
              <w:top w:val="nil"/>
              <w:left w:val="nil"/>
              <w:bottom w:val="nil"/>
              <w:right w:val="nil"/>
            </w:tcBorders>
            <w:shd w:val="clear" w:color="auto" w:fill="F2F2F2" w:themeFill="background1" w:themeFillShade="F2"/>
            <w:vAlign w:val="center"/>
          </w:tcPr>
          <w:p w14:paraId="28429D6F" w14:textId="77777777" w:rsidR="00272CC8" w:rsidRPr="001441B9" w:rsidRDefault="00272CC8" w:rsidP="00272CC8">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p>
        </w:tc>
        <w:tc>
          <w:tcPr>
            <w:tcW w:w="1579" w:type="dxa"/>
            <w:tcBorders>
              <w:top w:val="nil"/>
              <w:left w:val="nil"/>
              <w:bottom w:val="nil"/>
              <w:right w:val="nil"/>
            </w:tcBorders>
            <w:shd w:val="solid" w:color="FFFFFF" w:fill="auto"/>
          </w:tcPr>
          <w:p w14:paraId="1E9E79A0" w14:textId="24282EB5" w:rsidR="00272CC8" w:rsidRPr="001441B9" w:rsidRDefault="00272CC8" w:rsidP="00272CC8">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r w:rsidRPr="001441B9">
              <w:rPr>
                <w:rFonts w:asciiTheme="minorHAnsi" w:hAnsiTheme="minorHAnsi" w:cstheme="minorHAnsi"/>
                <w:noProof/>
                <w:sz w:val="20"/>
                <w:szCs w:val="20"/>
                <w:lang w:val="es-ES"/>
              </w:rPr>
              <w:t>3</w:t>
            </w:r>
            <w:r w:rsidR="00B71CAF" w:rsidRPr="001441B9">
              <w:rPr>
                <w:rFonts w:asciiTheme="minorHAnsi" w:hAnsiTheme="minorHAnsi" w:cstheme="minorHAnsi"/>
                <w:noProof/>
                <w:sz w:val="20"/>
                <w:szCs w:val="20"/>
                <w:lang w:val="es-ES"/>
              </w:rPr>
              <w:t xml:space="preserve"> </w:t>
            </w:r>
            <w:r w:rsidRPr="001441B9">
              <w:rPr>
                <w:rFonts w:asciiTheme="minorHAnsi" w:hAnsiTheme="minorHAnsi" w:cstheme="minorHAnsi"/>
                <w:noProof/>
                <w:sz w:val="20"/>
                <w:szCs w:val="20"/>
                <w:lang w:val="es-ES"/>
              </w:rPr>
              <w:t>318</w:t>
            </w:r>
          </w:p>
        </w:tc>
      </w:tr>
      <w:tr w:rsidR="00272CC8" w:rsidRPr="00551574" w14:paraId="6F9B09B1" w14:textId="77777777" w:rsidTr="00FF2210">
        <w:tc>
          <w:tcPr>
            <w:tcW w:w="3969" w:type="dxa"/>
            <w:tcBorders>
              <w:top w:val="nil"/>
              <w:left w:val="nil"/>
              <w:bottom w:val="nil"/>
              <w:right w:val="nil"/>
            </w:tcBorders>
            <w:shd w:val="solid" w:color="FFFFFF" w:fill="auto"/>
            <w:vAlign w:val="bottom"/>
          </w:tcPr>
          <w:p w14:paraId="3E9569B0" w14:textId="51340757" w:rsidR="00272CC8" w:rsidRPr="001441B9" w:rsidRDefault="00272CC8" w:rsidP="00272CC8">
            <w:pPr>
              <w:autoSpaceDE w:val="0"/>
              <w:autoSpaceDN w:val="0"/>
              <w:adjustRightInd w:val="0"/>
              <w:ind w:left="0" w:firstLine="0"/>
              <w:rPr>
                <w:rFonts w:asciiTheme="minorHAnsi" w:eastAsiaTheme="minorHAnsi" w:hAnsiTheme="minorHAnsi" w:cstheme="minorHAnsi"/>
                <w:noProof/>
                <w:color w:val="000000"/>
                <w:sz w:val="20"/>
                <w:szCs w:val="20"/>
                <w:lang w:val="es-ES"/>
              </w:rPr>
            </w:pPr>
            <w:r w:rsidRPr="001441B9">
              <w:rPr>
                <w:rFonts w:asciiTheme="minorHAnsi" w:hAnsiTheme="minorHAnsi" w:cstheme="minorHAnsi"/>
                <w:noProof/>
                <w:sz w:val="20"/>
                <w:szCs w:val="20"/>
                <w:lang w:val="es-ES"/>
              </w:rPr>
              <w:t>Proyectos no financiados con cargo al presupuesto básico</w:t>
            </w:r>
          </w:p>
        </w:tc>
        <w:tc>
          <w:tcPr>
            <w:tcW w:w="846" w:type="dxa"/>
            <w:tcBorders>
              <w:top w:val="nil"/>
              <w:left w:val="nil"/>
              <w:bottom w:val="nil"/>
              <w:right w:val="nil"/>
            </w:tcBorders>
            <w:shd w:val="solid" w:color="FFFFFF" w:fill="auto"/>
          </w:tcPr>
          <w:p w14:paraId="05046633" w14:textId="77777777" w:rsidR="00272CC8" w:rsidRPr="001441B9" w:rsidRDefault="00272CC8" w:rsidP="00272CC8">
            <w:pPr>
              <w:autoSpaceDE w:val="0"/>
              <w:autoSpaceDN w:val="0"/>
              <w:adjustRightInd w:val="0"/>
              <w:ind w:left="0" w:firstLine="0"/>
              <w:jc w:val="center"/>
              <w:rPr>
                <w:rFonts w:asciiTheme="minorHAnsi" w:eastAsiaTheme="minorHAnsi" w:hAnsiTheme="minorHAnsi" w:cstheme="minorHAnsi"/>
                <w:noProof/>
                <w:color w:val="000000"/>
                <w:sz w:val="20"/>
                <w:szCs w:val="20"/>
                <w:lang w:val="es-ES"/>
              </w:rPr>
            </w:pPr>
            <w:r w:rsidRPr="001441B9">
              <w:rPr>
                <w:rFonts w:asciiTheme="minorHAnsi" w:eastAsiaTheme="minorHAnsi" w:hAnsiTheme="minorHAnsi" w:cstheme="minorHAnsi"/>
                <w:noProof/>
                <w:color w:val="000000"/>
                <w:sz w:val="20"/>
                <w:szCs w:val="20"/>
                <w:lang w:val="es-ES"/>
              </w:rPr>
              <w:t>12</w:t>
            </w:r>
          </w:p>
        </w:tc>
        <w:tc>
          <w:tcPr>
            <w:tcW w:w="1620" w:type="dxa"/>
            <w:tcBorders>
              <w:top w:val="nil"/>
              <w:left w:val="nil"/>
              <w:bottom w:val="single" w:sz="6" w:space="0" w:color="auto"/>
              <w:right w:val="nil"/>
            </w:tcBorders>
            <w:shd w:val="solid" w:color="FFFFFF" w:fill="auto"/>
          </w:tcPr>
          <w:p w14:paraId="14D15D2A" w14:textId="18164671" w:rsidR="00272CC8" w:rsidRPr="001441B9" w:rsidRDefault="00272CC8" w:rsidP="00272CC8">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r w:rsidRPr="001441B9">
              <w:rPr>
                <w:rFonts w:asciiTheme="minorHAnsi" w:hAnsiTheme="minorHAnsi" w:cstheme="minorHAnsi"/>
                <w:noProof/>
                <w:sz w:val="20"/>
                <w:szCs w:val="20"/>
                <w:lang w:val="es-ES"/>
              </w:rPr>
              <w:t>1</w:t>
            </w:r>
            <w:r w:rsidR="00B71CAF" w:rsidRPr="001441B9">
              <w:rPr>
                <w:rFonts w:asciiTheme="minorHAnsi" w:hAnsiTheme="minorHAnsi" w:cstheme="minorHAnsi"/>
                <w:noProof/>
                <w:sz w:val="20"/>
                <w:szCs w:val="20"/>
                <w:lang w:val="es-ES"/>
              </w:rPr>
              <w:t xml:space="preserve"> </w:t>
            </w:r>
            <w:r w:rsidRPr="001441B9">
              <w:rPr>
                <w:rFonts w:asciiTheme="minorHAnsi" w:hAnsiTheme="minorHAnsi" w:cstheme="minorHAnsi"/>
                <w:noProof/>
                <w:sz w:val="20"/>
                <w:szCs w:val="20"/>
                <w:lang w:val="es-ES"/>
              </w:rPr>
              <w:t>991</w:t>
            </w:r>
          </w:p>
        </w:tc>
        <w:tc>
          <w:tcPr>
            <w:tcW w:w="283" w:type="dxa"/>
            <w:tcBorders>
              <w:top w:val="nil"/>
              <w:left w:val="nil"/>
              <w:bottom w:val="single" w:sz="6" w:space="0" w:color="auto"/>
              <w:right w:val="nil"/>
            </w:tcBorders>
            <w:shd w:val="clear" w:color="auto" w:fill="F2F2F2" w:themeFill="background1" w:themeFillShade="F2"/>
            <w:vAlign w:val="center"/>
          </w:tcPr>
          <w:p w14:paraId="3EEFD54C" w14:textId="77777777" w:rsidR="00272CC8" w:rsidRPr="001441B9" w:rsidRDefault="00272CC8" w:rsidP="00272CC8">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p>
        </w:tc>
        <w:tc>
          <w:tcPr>
            <w:tcW w:w="1579" w:type="dxa"/>
            <w:tcBorders>
              <w:top w:val="nil"/>
              <w:left w:val="nil"/>
              <w:bottom w:val="single" w:sz="6" w:space="0" w:color="auto"/>
              <w:right w:val="nil"/>
            </w:tcBorders>
            <w:shd w:val="solid" w:color="FFFFFF" w:fill="auto"/>
          </w:tcPr>
          <w:p w14:paraId="11D69190" w14:textId="43473840" w:rsidR="00272CC8" w:rsidRPr="001441B9" w:rsidRDefault="00272CC8" w:rsidP="00272CC8">
            <w:pPr>
              <w:autoSpaceDE w:val="0"/>
              <w:autoSpaceDN w:val="0"/>
              <w:adjustRightInd w:val="0"/>
              <w:ind w:left="0" w:firstLine="0"/>
              <w:jc w:val="right"/>
              <w:rPr>
                <w:rFonts w:asciiTheme="minorHAnsi" w:eastAsiaTheme="minorHAnsi" w:hAnsiTheme="minorHAnsi" w:cstheme="minorHAnsi"/>
                <w:noProof/>
                <w:color w:val="000000"/>
                <w:sz w:val="20"/>
                <w:szCs w:val="20"/>
                <w:lang w:val="es-ES"/>
              </w:rPr>
            </w:pPr>
            <w:r w:rsidRPr="001441B9">
              <w:rPr>
                <w:rFonts w:asciiTheme="minorHAnsi" w:hAnsiTheme="minorHAnsi" w:cstheme="minorHAnsi"/>
                <w:noProof/>
                <w:sz w:val="20"/>
                <w:szCs w:val="20"/>
                <w:lang w:val="es-ES"/>
              </w:rPr>
              <w:t>1</w:t>
            </w:r>
            <w:r w:rsidR="00B71CAF" w:rsidRPr="001441B9">
              <w:rPr>
                <w:rFonts w:asciiTheme="minorHAnsi" w:hAnsiTheme="minorHAnsi" w:cstheme="minorHAnsi"/>
                <w:noProof/>
                <w:sz w:val="20"/>
                <w:szCs w:val="20"/>
                <w:lang w:val="es-ES"/>
              </w:rPr>
              <w:t xml:space="preserve"> </w:t>
            </w:r>
            <w:r w:rsidRPr="001441B9">
              <w:rPr>
                <w:rFonts w:asciiTheme="minorHAnsi" w:hAnsiTheme="minorHAnsi" w:cstheme="minorHAnsi"/>
                <w:noProof/>
                <w:sz w:val="20"/>
                <w:szCs w:val="20"/>
                <w:lang w:val="es-ES"/>
              </w:rPr>
              <w:t>877</w:t>
            </w:r>
          </w:p>
        </w:tc>
      </w:tr>
      <w:tr w:rsidR="00272CC8" w:rsidRPr="00551574" w14:paraId="4809526F" w14:textId="77777777" w:rsidTr="00FF2210">
        <w:tc>
          <w:tcPr>
            <w:tcW w:w="3969" w:type="dxa"/>
            <w:tcBorders>
              <w:top w:val="nil"/>
              <w:left w:val="nil"/>
              <w:bottom w:val="nil"/>
              <w:right w:val="nil"/>
            </w:tcBorders>
            <w:shd w:val="solid" w:color="FFFFFF" w:fill="auto"/>
            <w:vAlign w:val="bottom"/>
          </w:tcPr>
          <w:p w14:paraId="29CFB6F9" w14:textId="30B74C04" w:rsidR="00272CC8" w:rsidRPr="001441B9" w:rsidRDefault="00272CC8" w:rsidP="00272CC8">
            <w:pPr>
              <w:autoSpaceDE w:val="0"/>
              <w:autoSpaceDN w:val="0"/>
              <w:adjustRightInd w:val="0"/>
              <w:ind w:left="0" w:firstLine="0"/>
              <w:rPr>
                <w:rFonts w:asciiTheme="minorHAnsi" w:eastAsiaTheme="minorHAnsi" w:hAnsiTheme="minorHAnsi" w:cstheme="minorHAnsi"/>
                <w:b/>
                <w:bCs/>
                <w:noProof/>
                <w:color w:val="000000"/>
                <w:sz w:val="20"/>
                <w:szCs w:val="20"/>
                <w:lang w:val="es-ES"/>
              </w:rPr>
            </w:pPr>
            <w:r w:rsidRPr="001441B9">
              <w:rPr>
                <w:rFonts w:asciiTheme="minorHAnsi" w:hAnsiTheme="minorHAnsi" w:cstheme="minorHAnsi"/>
                <w:b/>
                <w:bCs/>
                <w:noProof/>
                <w:sz w:val="20"/>
                <w:szCs w:val="20"/>
                <w:lang w:val="es-ES"/>
              </w:rPr>
              <w:t>Total, Fondo y reservas</w:t>
            </w:r>
          </w:p>
        </w:tc>
        <w:tc>
          <w:tcPr>
            <w:tcW w:w="846" w:type="dxa"/>
            <w:tcBorders>
              <w:top w:val="nil"/>
              <w:left w:val="nil"/>
              <w:bottom w:val="nil"/>
              <w:right w:val="nil"/>
            </w:tcBorders>
            <w:shd w:val="solid" w:color="FFFFFF" w:fill="auto"/>
          </w:tcPr>
          <w:p w14:paraId="20AB490C" w14:textId="77777777" w:rsidR="00272CC8" w:rsidRPr="001441B9" w:rsidRDefault="00272CC8" w:rsidP="00272CC8">
            <w:pPr>
              <w:autoSpaceDE w:val="0"/>
              <w:autoSpaceDN w:val="0"/>
              <w:adjustRightInd w:val="0"/>
              <w:ind w:left="0" w:firstLine="0"/>
              <w:jc w:val="center"/>
              <w:rPr>
                <w:rFonts w:asciiTheme="minorHAnsi" w:eastAsiaTheme="minorHAnsi" w:hAnsiTheme="minorHAnsi" w:cstheme="minorHAnsi"/>
                <w:noProof/>
                <w:color w:val="000000"/>
                <w:sz w:val="20"/>
                <w:szCs w:val="20"/>
                <w:lang w:val="es-ES"/>
              </w:rPr>
            </w:pPr>
          </w:p>
        </w:tc>
        <w:tc>
          <w:tcPr>
            <w:tcW w:w="1620" w:type="dxa"/>
            <w:tcBorders>
              <w:top w:val="nil"/>
              <w:left w:val="nil"/>
              <w:bottom w:val="nil"/>
              <w:right w:val="nil"/>
            </w:tcBorders>
            <w:shd w:val="solid" w:color="FFFFFF" w:fill="auto"/>
          </w:tcPr>
          <w:p w14:paraId="661E1BFC" w14:textId="70247C53" w:rsidR="00272CC8" w:rsidRPr="001441B9" w:rsidRDefault="00272CC8" w:rsidP="00272CC8">
            <w:pPr>
              <w:autoSpaceDE w:val="0"/>
              <w:autoSpaceDN w:val="0"/>
              <w:adjustRightInd w:val="0"/>
              <w:ind w:left="0" w:firstLine="0"/>
              <w:jc w:val="right"/>
              <w:rPr>
                <w:rFonts w:asciiTheme="minorHAnsi" w:eastAsiaTheme="minorHAnsi" w:hAnsiTheme="minorHAnsi" w:cstheme="minorHAnsi"/>
                <w:b/>
                <w:bCs/>
                <w:noProof/>
                <w:color w:val="000000"/>
                <w:sz w:val="20"/>
                <w:szCs w:val="20"/>
                <w:lang w:val="es-ES"/>
              </w:rPr>
            </w:pPr>
            <w:r w:rsidRPr="001441B9">
              <w:rPr>
                <w:rFonts w:asciiTheme="minorHAnsi" w:hAnsiTheme="minorHAnsi" w:cstheme="minorHAnsi"/>
                <w:noProof/>
                <w:sz w:val="20"/>
                <w:szCs w:val="20"/>
                <w:lang w:val="es-ES"/>
              </w:rPr>
              <w:t>5</w:t>
            </w:r>
            <w:r w:rsidR="00B71CAF" w:rsidRPr="001441B9">
              <w:rPr>
                <w:rFonts w:asciiTheme="minorHAnsi" w:hAnsiTheme="minorHAnsi" w:cstheme="minorHAnsi"/>
                <w:noProof/>
                <w:sz w:val="20"/>
                <w:szCs w:val="20"/>
                <w:lang w:val="es-ES"/>
              </w:rPr>
              <w:t xml:space="preserve"> </w:t>
            </w:r>
            <w:r w:rsidRPr="001441B9">
              <w:rPr>
                <w:rFonts w:asciiTheme="minorHAnsi" w:hAnsiTheme="minorHAnsi" w:cstheme="minorHAnsi"/>
                <w:noProof/>
                <w:sz w:val="20"/>
                <w:szCs w:val="20"/>
                <w:lang w:val="es-ES"/>
              </w:rPr>
              <w:t>729</w:t>
            </w:r>
          </w:p>
        </w:tc>
        <w:tc>
          <w:tcPr>
            <w:tcW w:w="283" w:type="dxa"/>
            <w:tcBorders>
              <w:top w:val="nil"/>
              <w:left w:val="nil"/>
              <w:bottom w:val="nil"/>
              <w:right w:val="nil"/>
            </w:tcBorders>
            <w:shd w:val="clear" w:color="auto" w:fill="F2F2F2" w:themeFill="background1" w:themeFillShade="F2"/>
            <w:vAlign w:val="center"/>
          </w:tcPr>
          <w:p w14:paraId="2C248F74" w14:textId="77777777" w:rsidR="00272CC8" w:rsidRPr="001441B9" w:rsidRDefault="00272CC8" w:rsidP="00272CC8">
            <w:pPr>
              <w:autoSpaceDE w:val="0"/>
              <w:autoSpaceDN w:val="0"/>
              <w:adjustRightInd w:val="0"/>
              <w:ind w:left="0" w:firstLine="0"/>
              <w:jc w:val="right"/>
              <w:rPr>
                <w:rFonts w:asciiTheme="minorHAnsi" w:eastAsiaTheme="minorHAnsi" w:hAnsiTheme="minorHAnsi" w:cstheme="minorHAnsi"/>
                <w:b/>
                <w:bCs/>
                <w:noProof/>
                <w:color w:val="000000"/>
                <w:sz w:val="20"/>
                <w:szCs w:val="20"/>
                <w:lang w:val="es-ES"/>
              </w:rPr>
            </w:pPr>
          </w:p>
        </w:tc>
        <w:tc>
          <w:tcPr>
            <w:tcW w:w="1579" w:type="dxa"/>
            <w:tcBorders>
              <w:top w:val="nil"/>
              <w:left w:val="nil"/>
              <w:bottom w:val="nil"/>
              <w:right w:val="nil"/>
            </w:tcBorders>
            <w:shd w:val="solid" w:color="FFFFFF" w:fill="auto"/>
          </w:tcPr>
          <w:p w14:paraId="11A0271E" w14:textId="754BF404" w:rsidR="00272CC8" w:rsidRPr="001441B9" w:rsidRDefault="00272CC8" w:rsidP="00272CC8">
            <w:pPr>
              <w:autoSpaceDE w:val="0"/>
              <w:autoSpaceDN w:val="0"/>
              <w:adjustRightInd w:val="0"/>
              <w:ind w:left="0" w:firstLine="0"/>
              <w:jc w:val="right"/>
              <w:rPr>
                <w:rFonts w:asciiTheme="minorHAnsi" w:eastAsiaTheme="minorHAnsi" w:hAnsiTheme="minorHAnsi" w:cstheme="minorHAnsi"/>
                <w:b/>
                <w:bCs/>
                <w:noProof/>
                <w:color w:val="000000"/>
                <w:sz w:val="20"/>
                <w:szCs w:val="20"/>
                <w:lang w:val="es-ES"/>
              </w:rPr>
            </w:pPr>
            <w:r w:rsidRPr="001441B9">
              <w:rPr>
                <w:rFonts w:asciiTheme="minorHAnsi" w:hAnsiTheme="minorHAnsi" w:cstheme="minorHAnsi"/>
                <w:noProof/>
                <w:sz w:val="20"/>
                <w:szCs w:val="20"/>
                <w:lang w:val="es-ES"/>
              </w:rPr>
              <w:t>5</w:t>
            </w:r>
            <w:r w:rsidR="00B71CAF" w:rsidRPr="001441B9">
              <w:rPr>
                <w:rFonts w:asciiTheme="minorHAnsi" w:hAnsiTheme="minorHAnsi" w:cstheme="minorHAnsi"/>
                <w:noProof/>
                <w:sz w:val="20"/>
                <w:szCs w:val="20"/>
                <w:lang w:val="es-ES"/>
              </w:rPr>
              <w:t xml:space="preserve"> </w:t>
            </w:r>
            <w:r w:rsidRPr="001441B9">
              <w:rPr>
                <w:rFonts w:asciiTheme="minorHAnsi" w:hAnsiTheme="minorHAnsi" w:cstheme="minorHAnsi"/>
                <w:noProof/>
                <w:sz w:val="20"/>
                <w:szCs w:val="20"/>
                <w:lang w:val="es-ES"/>
              </w:rPr>
              <w:t>195</w:t>
            </w:r>
          </w:p>
        </w:tc>
      </w:tr>
      <w:tr w:rsidR="0014538A" w:rsidRPr="00551574" w14:paraId="7E3263D9" w14:textId="77777777" w:rsidTr="002538A3">
        <w:tc>
          <w:tcPr>
            <w:tcW w:w="3969" w:type="dxa"/>
            <w:tcBorders>
              <w:top w:val="nil"/>
              <w:left w:val="nil"/>
              <w:bottom w:val="nil"/>
              <w:right w:val="nil"/>
            </w:tcBorders>
            <w:shd w:val="solid" w:color="FFFFFF" w:fill="auto"/>
          </w:tcPr>
          <w:p w14:paraId="28AC506E" w14:textId="77777777" w:rsidR="0014538A" w:rsidRPr="001441B9" w:rsidRDefault="0014538A" w:rsidP="0014538A">
            <w:pPr>
              <w:autoSpaceDE w:val="0"/>
              <w:autoSpaceDN w:val="0"/>
              <w:adjustRightInd w:val="0"/>
              <w:ind w:left="0" w:firstLine="0"/>
              <w:rPr>
                <w:rFonts w:asciiTheme="minorHAnsi" w:eastAsiaTheme="minorHAnsi" w:hAnsiTheme="minorHAnsi" w:cstheme="minorHAnsi"/>
                <w:b/>
                <w:bCs/>
                <w:noProof/>
                <w:color w:val="000000"/>
                <w:sz w:val="20"/>
                <w:szCs w:val="20"/>
                <w:lang w:val="es-ES"/>
              </w:rPr>
            </w:pPr>
          </w:p>
        </w:tc>
        <w:tc>
          <w:tcPr>
            <w:tcW w:w="846" w:type="dxa"/>
            <w:tcBorders>
              <w:top w:val="nil"/>
              <w:left w:val="nil"/>
              <w:bottom w:val="nil"/>
              <w:right w:val="nil"/>
            </w:tcBorders>
            <w:shd w:val="solid" w:color="FFFFFF" w:fill="auto"/>
          </w:tcPr>
          <w:p w14:paraId="75965936" w14:textId="77777777" w:rsidR="0014538A" w:rsidRPr="001441B9" w:rsidRDefault="0014538A" w:rsidP="0014538A">
            <w:pPr>
              <w:autoSpaceDE w:val="0"/>
              <w:autoSpaceDN w:val="0"/>
              <w:adjustRightInd w:val="0"/>
              <w:ind w:left="0" w:firstLine="0"/>
              <w:jc w:val="center"/>
              <w:rPr>
                <w:rFonts w:asciiTheme="minorHAnsi" w:eastAsiaTheme="minorHAnsi" w:hAnsiTheme="minorHAnsi" w:cstheme="minorHAnsi"/>
                <w:noProof/>
                <w:color w:val="000000"/>
                <w:sz w:val="20"/>
                <w:szCs w:val="20"/>
                <w:lang w:val="es-ES"/>
              </w:rPr>
            </w:pPr>
          </w:p>
        </w:tc>
        <w:tc>
          <w:tcPr>
            <w:tcW w:w="1620" w:type="dxa"/>
            <w:tcBorders>
              <w:top w:val="nil"/>
              <w:left w:val="nil"/>
              <w:bottom w:val="nil"/>
              <w:right w:val="nil"/>
            </w:tcBorders>
            <w:shd w:val="solid" w:color="FFFFFF" w:fill="auto"/>
          </w:tcPr>
          <w:p w14:paraId="23E950E0" w14:textId="77777777" w:rsidR="0014538A" w:rsidRPr="001441B9" w:rsidRDefault="0014538A" w:rsidP="0014538A">
            <w:pPr>
              <w:autoSpaceDE w:val="0"/>
              <w:autoSpaceDN w:val="0"/>
              <w:adjustRightInd w:val="0"/>
              <w:ind w:left="0" w:firstLine="0"/>
              <w:jc w:val="right"/>
              <w:rPr>
                <w:rFonts w:asciiTheme="minorHAnsi" w:eastAsiaTheme="minorHAnsi" w:hAnsiTheme="minorHAnsi" w:cstheme="minorHAnsi"/>
                <w:b/>
                <w:bCs/>
                <w:noProof/>
                <w:color w:val="000000"/>
                <w:sz w:val="20"/>
                <w:szCs w:val="20"/>
                <w:lang w:val="es-ES"/>
              </w:rPr>
            </w:pPr>
          </w:p>
        </w:tc>
        <w:tc>
          <w:tcPr>
            <w:tcW w:w="283" w:type="dxa"/>
            <w:tcBorders>
              <w:top w:val="nil"/>
              <w:left w:val="nil"/>
              <w:bottom w:val="nil"/>
              <w:right w:val="nil"/>
            </w:tcBorders>
            <w:shd w:val="clear" w:color="auto" w:fill="F2F2F2" w:themeFill="background1" w:themeFillShade="F2"/>
            <w:vAlign w:val="center"/>
          </w:tcPr>
          <w:p w14:paraId="48D05659" w14:textId="77777777" w:rsidR="0014538A" w:rsidRPr="001441B9" w:rsidRDefault="0014538A" w:rsidP="0014538A">
            <w:pPr>
              <w:autoSpaceDE w:val="0"/>
              <w:autoSpaceDN w:val="0"/>
              <w:adjustRightInd w:val="0"/>
              <w:ind w:left="0" w:firstLine="0"/>
              <w:jc w:val="right"/>
              <w:rPr>
                <w:rFonts w:asciiTheme="minorHAnsi" w:eastAsiaTheme="minorHAnsi" w:hAnsiTheme="minorHAnsi" w:cstheme="minorHAnsi"/>
                <w:b/>
                <w:bCs/>
                <w:noProof/>
                <w:color w:val="000000"/>
                <w:sz w:val="20"/>
                <w:szCs w:val="20"/>
                <w:lang w:val="es-ES"/>
              </w:rPr>
            </w:pPr>
          </w:p>
        </w:tc>
        <w:tc>
          <w:tcPr>
            <w:tcW w:w="1579" w:type="dxa"/>
            <w:tcBorders>
              <w:top w:val="nil"/>
              <w:left w:val="nil"/>
              <w:bottom w:val="nil"/>
              <w:right w:val="nil"/>
            </w:tcBorders>
            <w:shd w:val="solid" w:color="FFFFFF" w:fill="auto"/>
          </w:tcPr>
          <w:p w14:paraId="7B8D7E47" w14:textId="77777777" w:rsidR="0014538A" w:rsidRPr="001441B9" w:rsidRDefault="0014538A" w:rsidP="0014538A">
            <w:pPr>
              <w:autoSpaceDE w:val="0"/>
              <w:autoSpaceDN w:val="0"/>
              <w:adjustRightInd w:val="0"/>
              <w:ind w:left="0" w:firstLine="0"/>
              <w:jc w:val="right"/>
              <w:rPr>
                <w:rFonts w:asciiTheme="minorHAnsi" w:eastAsiaTheme="minorHAnsi" w:hAnsiTheme="minorHAnsi" w:cstheme="minorHAnsi"/>
                <w:b/>
                <w:bCs/>
                <w:noProof/>
                <w:color w:val="000000"/>
                <w:sz w:val="20"/>
                <w:szCs w:val="20"/>
                <w:lang w:val="es-ES"/>
              </w:rPr>
            </w:pPr>
          </w:p>
        </w:tc>
      </w:tr>
      <w:tr w:rsidR="00272CC8" w:rsidRPr="00551574" w14:paraId="20076FF7" w14:textId="77777777" w:rsidTr="00FF2210">
        <w:tc>
          <w:tcPr>
            <w:tcW w:w="3969" w:type="dxa"/>
            <w:tcBorders>
              <w:top w:val="nil"/>
              <w:left w:val="nil"/>
              <w:bottom w:val="nil"/>
              <w:right w:val="nil"/>
            </w:tcBorders>
            <w:shd w:val="solid" w:color="FFFFFF" w:fill="auto"/>
            <w:vAlign w:val="center"/>
          </w:tcPr>
          <w:p w14:paraId="6E2D77FC" w14:textId="568CEEAE" w:rsidR="00272CC8" w:rsidRPr="001441B9" w:rsidRDefault="00272CC8" w:rsidP="00272CC8">
            <w:pPr>
              <w:autoSpaceDE w:val="0"/>
              <w:autoSpaceDN w:val="0"/>
              <w:adjustRightInd w:val="0"/>
              <w:ind w:left="0" w:firstLine="0"/>
              <w:rPr>
                <w:rFonts w:asciiTheme="minorHAnsi" w:eastAsiaTheme="minorHAnsi" w:hAnsiTheme="minorHAnsi" w:cstheme="minorHAnsi"/>
                <w:b/>
                <w:bCs/>
                <w:noProof/>
                <w:color w:val="000000"/>
                <w:sz w:val="20"/>
                <w:szCs w:val="20"/>
                <w:lang w:val="es-ES"/>
              </w:rPr>
            </w:pPr>
            <w:r w:rsidRPr="001441B9">
              <w:rPr>
                <w:rFonts w:asciiTheme="minorHAnsi" w:hAnsiTheme="minorHAnsi" w:cstheme="minorHAnsi"/>
                <w:b/>
                <w:bCs/>
                <w:noProof/>
                <w:sz w:val="20"/>
                <w:szCs w:val="20"/>
                <w:lang w:val="es-ES"/>
              </w:rPr>
              <w:t>TOTAL, PASIVO Y SALDOS DE FONDOS</w:t>
            </w:r>
          </w:p>
        </w:tc>
        <w:tc>
          <w:tcPr>
            <w:tcW w:w="846" w:type="dxa"/>
            <w:tcBorders>
              <w:top w:val="nil"/>
              <w:left w:val="nil"/>
              <w:bottom w:val="nil"/>
              <w:right w:val="nil"/>
            </w:tcBorders>
            <w:shd w:val="solid" w:color="FFFFFF" w:fill="auto"/>
          </w:tcPr>
          <w:p w14:paraId="6160FE00" w14:textId="77777777" w:rsidR="00272CC8" w:rsidRPr="001441B9" w:rsidRDefault="00272CC8" w:rsidP="00272CC8">
            <w:pPr>
              <w:autoSpaceDE w:val="0"/>
              <w:autoSpaceDN w:val="0"/>
              <w:adjustRightInd w:val="0"/>
              <w:ind w:left="0" w:firstLine="0"/>
              <w:jc w:val="center"/>
              <w:rPr>
                <w:rFonts w:asciiTheme="minorHAnsi" w:eastAsiaTheme="minorHAnsi" w:hAnsiTheme="minorHAnsi" w:cstheme="minorHAnsi"/>
                <w:noProof/>
                <w:color w:val="000000"/>
                <w:sz w:val="20"/>
                <w:szCs w:val="20"/>
                <w:lang w:val="es-ES"/>
              </w:rPr>
            </w:pPr>
          </w:p>
        </w:tc>
        <w:tc>
          <w:tcPr>
            <w:tcW w:w="1620" w:type="dxa"/>
            <w:tcBorders>
              <w:top w:val="single" w:sz="6" w:space="0" w:color="auto"/>
              <w:left w:val="nil"/>
              <w:bottom w:val="single" w:sz="6" w:space="0" w:color="auto"/>
              <w:right w:val="nil"/>
            </w:tcBorders>
            <w:shd w:val="clear" w:color="auto" w:fill="B8CCE4" w:themeFill="accent1" w:themeFillTint="66"/>
          </w:tcPr>
          <w:p w14:paraId="60FD1ECA" w14:textId="383DF6D9" w:rsidR="00272CC8" w:rsidRPr="001441B9" w:rsidRDefault="00272CC8" w:rsidP="00272CC8">
            <w:pPr>
              <w:autoSpaceDE w:val="0"/>
              <w:autoSpaceDN w:val="0"/>
              <w:adjustRightInd w:val="0"/>
              <w:ind w:left="0" w:firstLine="0"/>
              <w:jc w:val="right"/>
              <w:rPr>
                <w:rFonts w:asciiTheme="minorHAnsi" w:eastAsiaTheme="minorHAnsi" w:hAnsiTheme="minorHAnsi" w:cstheme="minorHAnsi"/>
                <w:b/>
                <w:bCs/>
                <w:noProof/>
                <w:color w:val="000000"/>
                <w:sz w:val="20"/>
                <w:szCs w:val="20"/>
                <w:lang w:val="es-ES"/>
              </w:rPr>
            </w:pPr>
            <w:r w:rsidRPr="001441B9">
              <w:rPr>
                <w:rFonts w:asciiTheme="minorHAnsi" w:hAnsiTheme="minorHAnsi" w:cstheme="minorHAnsi"/>
                <w:noProof/>
                <w:sz w:val="20"/>
                <w:szCs w:val="20"/>
                <w:lang w:val="es-ES"/>
              </w:rPr>
              <w:t>7</w:t>
            </w:r>
            <w:r w:rsidR="00B71CAF" w:rsidRPr="001441B9">
              <w:rPr>
                <w:rFonts w:asciiTheme="minorHAnsi" w:hAnsiTheme="minorHAnsi" w:cstheme="minorHAnsi"/>
                <w:noProof/>
                <w:sz w:val="20"/>
                <w:szCs w:val="20"/>
                <w:lang w:val="es-ES"/>
              </w:rPr>
              <w:t xml:space="preserve"> </w:t>
            </w:r>
            <w:r w:rsidRPr="001441B9">
              <w:rPr>
                <w:rFonts w:asciiTheme="minorHAnsi" w:hAnsiTheme="minorHAnsi" w:cstheme="minorHAnsi"/>
                <w:noProof/>
                <w:sz w:val="20"/>
                <w:szCs w:val="20"/>
                <w:lang w:val="es-ES"/>
              </w:rPr>
              <w:t>496</w:t>
            </w:r>
          </w:p>
        </w:tc>
        <w:tc>
          <w:tcPr>
            <w:tcW w:w="283" w:type="dxa"/>
            <w:tcBorders>
              <w:top w:val="single" w:sz="6" w:space="0" w:color="auto"/>
              <w:left w:val="nil"/>
              <w:bottom w:val="single" w:sz="6" w:space="0" w:color="auto"/>
              <w:right w:val="nil"/>
            </w:tcBorders>
            <w:shd w:val="clear" w:color="auto" w:fill="F2F2F2" w:themeFill="background1" w:themeFillShade="F2"/>
            <w:vAlign w:val="center"/>
          </w:tcPr>
          <w:p w14:paraId="69930E96" w14:textId="77777777" w:rsidR="00272CC8" w:rsidRPr="001441B9" w:rsidRDefault="00272CC8" w:rsidP="00272CC8">
            <w:pPr>
              <w:autoSpaceDE w:val="0"/>
              <w:autoSpaceDN w:val="0"/>
              <w:adjustRightInd w:val="0"/>
              <w:ind w:left="0" w:firstLine="0"/>
              <w:jc w:val="right"/>
              <w:rPr>
                <w:rFonts w:asciiTheme="minorHAnsi" w:eastAsiaTheme="minorHAnsi" w:hAnsiTheme="minorHAnsi" w:cstheme="minorHAnsi"/>
                <w:b/>
                <w:bCs/>
                <w:noProof/>
                <w:color w:val="000000"/>
                <w:sz w:val="20"/>
                <w:szCs w:val="20"/>
                <w:lang w:val="es-ES"/>
              </w:rPr>
            </w:pPr>
          </w:p>
        </w:tc>
        <w:tc>
          <w:tcPr>
            <w:tcW w:w="1579" w:type="dxa"/>
            <w:tcBorders>
              <w:top w:val="single" w:sz="6" w:space="0" w:color="auto"/>
              <w:left w:val="nil"/>
              <w:bottom w:val="single" w:sz="6" w:space="0" w:color="auto"/>
              <w:right w:val="nil"/>
            </w:tcBorders>
            <w:shd w:val="clear" w:color="auto" w:fill="D6E3BC" w:themeFill="accent3" w:themeFillTint="66"/>
          </w:tcPr>
          <w:p w14:paraId="49A37D36" w14:textId="2C427FD1" w:rsidR="00272CC8" w:rsidRPr="001441B9" w:rsidRDefault="00272CC8" w:rsidP="00272CC8">
            <w:pPr>
              <w:autoSpaceDE w:val="0"/>
              <w:autoSpaceDN w:val="0"/>
              <w:adjustRightInd w:val="0"/>
              <w:ind w:left="0" w:firstLine="0"/>
              <w:jc w:val="right"/>
              <w:rPr>
                <w:rFonts w:asciiTheme="minorHAnsi" w:eastAsiaTheme="minorHAnsi" w:hAnsiTheme="minorHAnsi" w:cstheme="minorHAnsi"/>
                <w:b/>
                <w:bCs/>
                <w:noProof/>
                <w:color w:val="000000"/>
                <w:sz w:val="20"/>
                <w:szCs w:val="20"/>
                <w:lang w:val="es-ES"/>
              </w:rPr>
            </w:pPr>
            <w:r w:rsidRPr="001441B9">
              <w:rPr>
                <w:rFonts w:asciiTheme="minorHAnsi" w:hAnsiTheme="minorHAnsi" w:cstheme="minorHAnsi"/>
                <w:noProof/>
                <w:sz w:val="20"/>
                <w:szCs w:val="20"/>
                <w:lang w:val="es-ES"/>
              </w:rPr>
              <w:t>6</w:t>
            </w:r>
            <w:r w:rsidR="00B71CAF" w:rsidRPr="001441B9">
              <w:rPr>
                <w:rFonts w:asciiTheme="minorHAnsi" w:hAnsiTheme="minorHAnsi" w:cstheme="minorHAnsi"/>
                <w:noProof/>
                <w:sz w:val="20"/>
                <w:szCs w:val="20"/>
                <w:lang w:val="es-ES"/>
              </w:rPr>
              <w:t xml:space="preserve"> </w:t>
            </w:r>
            <w:r w:rsidRPr="001441B9">
              <w:rPr>
                <w:rFonts w:asciiTheme="minorHAnsi" w:hAnsiTheme="minorHAnsi" w:cstheme="minorHAnsi"/>
                <w:noProof/>
                <w:sz w:val="20"/>
                <w:szCs w:val="20"/>
                <w:lang w:val="es-ES"/>
              </w:rPr>
              <w:t>412</w:t>
            </w:r>
          </w:p>
        </w:tc>
      </w:tr>
    </w:tbl>
    <w:p w14:paraId="585F070F" w14:textId="77777777" w:rsidR="00FB66C4" w:rsidRPr="00551574" w:rsidRDefault="00FB66C4">
      <w:pPr>
        <w:rPr>
          <w:rFonts w:eastAsia="Times New Roman" w:cs="Arial"/>
          <w:b/>
          <w:bCs/>
          <w:noProof/>
          <w:lang w:val="es-ES" w:eastAsia="en-GB"/>
        </w:rPr>
      </w:pPr>
    </w:p>
    <w:p w14:paraId="509EAA5B" w14:textId="77777777" w:rsidR="00FB66C4" w:rsidRPr="00551574" w:rsidRDefault="00FB66C4">
      <w:pPr>
        <w:rPr>
          <w:rFonts w:eastAsia="Times New Roman" w:cs="Arial"/>
          <w:b/>
          <w:bCs/>
          <w:noProof/>
          <w:lang w:val="es-ES" w:eastAsia="en-GB"/>
        </w:rPr>
      </w:pPr>
    </w:p>
    <w:p w14:paraId="45C3A19F" w14:textId="2243DF58" w:rsidR="003F135F" w:rsidRPr="00946B96" w:rsidRDefault="00FB66C4" w:rsidP="00946B96">
      <w:pPr>
        <w:rPr>
          <w:b/>
          <w:bCs/>
          <w:noProof/>
          <w:color w:val="000000" w:themeColor="text1"/>
          <w:lang w:val="es-ES"/>
        </w:rPr>
      </w:pPr>
      <w:r w:rsidRPr="00551574">
        <w:rPr>
          <w:rFonts w:eastAsia="Times New Roman" w:cs="Arial"/>
          <w:b/>
          <w:bCs/>
          <w:noProof/>
          <w:lang w:val="es-ES" w:eastAsia="en-GB"/>
        </w:rPr>
        <w:br w:type="page"/>
      </w:r>
      <w:r w:rsidR="003D733E" w:rsidRPr="00551574">
        <w:rPr>
          <w:rFonts w:eastAsia="Times New Roman" w:cs="Arial"/>
          <w:b/>
          <w:bCs/>
          <w:noProof/>
          <w:lang w:val="es-ES" w:eastAsia="en-GB"/>
        </w:rPr>
        <w:lastRenderedPageBreak/>
        <w:t>II.</w:t>
      </w:r>
      <w:r w:rsidR="002B478C" w:rsidRPr="00551574">
        <w:rPr>
          <w:rFonts w:eastAsia="Times New Roman" w:cs="Arial"/>
          <w:b/>
          <w:bCs/>
          <w:noProof/>
          <w:lang w:val="es-ES" w:eastAsia="en-GB"/>
        </w:rPr>
        <w:tab/>
      </w:r>
      <w:r w:rsidR="00272CC8" w:rsidRPr="00551574">
        <w:rPr>
          <w:b/>
          <w:bCs/>
          <w:noProof/>
          <w:color w:val="000000" w:themeColor="text1"/>
          <w:lang w:val="es-ES"/>
        </w:rPr>
        <w:t>Estado de resultados del ejercicio finalizado el 31 de diciembre de 2021</w:t>
      </w:r>
    </w:p>
    <w:tbl>
      <w:tblPr>
        <w:tblW w:w="10376" w:type="dxa"/>
        <w:tblInd w:w="-567" w:type="dxa"/>
        <w:tblLayout w:type="fixed"/>
        <w:tblLook w:val="0000" w:firstRow="0" w:lastRow="0" w:firstColumn="0" w:lastColumn="0" w:noHBand="0" w:noVBand="0"/>
      </w:tblPr>
      <w:tblGrid>
        <w:gridCol w:w="3288"/>
        <w:gridCol w:w="708"/>
        <w:gridCol w:w="851"/>
        <w:gridCol w:w="284"/>
        <w:gridCol w:w="850"/>
        <w:gridCol w:w="236"/>
        <w:gridCol w:w="895"/>
        <w:gridCol w:w="236"/>
        <w:gridCol w:w="901"/>
        <w:gridCol w:w="242"/>
        <w:gridCol w:w="793"/>
        <w:gridCol w:w="236"/>
        <w:gridCol w:w="856"/>
      </w:tblGrid>
      <w:tr w:rsidR="00161871" w:rsidRPr="00551574" w14:paraId="4FCFFFD4" w14:textId="77777777" w:rsidTr="00161871">
        <w:tc>
          <w:tcPr>
            <w:tcW w:w="3288" w:type="dxa"/>
            <w:tcBorders>
              <w:top w:val="nil"/>
              <w:left w:val="nil"/>
              <w:right w:val="nil"/>
            </w:tcBorders>
            <w:shd w:val="solid" w:color="FFFFFF" w:fill="auto"/>
          </w:tcPr>
          <w:p w14:paraId="7D1C19BD" w14:textId="77777777" w:rsidR="005219C3" w:rsidRPr="00551574" w:rsidRDefault="005219C3">
            <w:pPr>
              <w:autoSpaceDE w:val="0"/>
              <w:autoSpaceDN w:val="0"/>
              <w:adjustRightInd w:val="0"/>
              <w:ind w:left="0" w:firstLine="0"/>
              <w:rPr>
                <w:rFonts w:asciiTheme="minorHAnsi" w:eastAsiaTheme="minorHAnsi" w:hAnsiTheme="minorHAnsi" w:cstheme="minorHAnsi"/>
                <w:b/>
                <w:bCs/>
                <w:noProof/>
                <w:color w:val="000000"/>
                <w:sz w:val="19"/>
                <w:szCs w:val="19"/>
                <w:lang w:val="es-ES"/>
              </w:rPr>
            </w:pPr>
          </w:p>
        </w:tc>
        <w:tc>
          <w:tcPr>
            <w:tcW w:w="708" w:type="dxa"/>
            <w:tcBorders>
              <w:top w:val="nil"/>
              <w:left w:val="nil"/>
              <w:right w:val="nil"/>
            </w:tcBorders>
            <w:shd w:val="solid" w:color="FFFFFF" w:fill="auto"/>
          </w:tcPr>
          <w:p w14:paraId="3A1464B7" w14:textId="77777777" w:rsidR="005219C3" w:rsidRPr="00551574" w:rsidRDefault="005219C3">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3116" w:type="dxa"/>
            <w:gridSpan w:val="5"/>
            <w:tcBorders>
              <w:top w:val="nil"/>
              <w:left w:val="nil"/>
              <w:right w:val="nil"/>
            </w:tcBorders>
            <w:shd w:val="clear" w:color="auto" w:fill="B8CCE4" w:themeFill="accent1" w:themeFillTint="66"/>
            <w:vAlign w:val="center"/>
          </w:tcPr>
          <w:p w14:paraId="3B68A077" w14:textId="2A3C850F" w:rsidR="005219C3" w:rsidRPr="00551574" w:rsidRDefault="007C6B16" w:rsidP="005219C3">
            <w:pPr>
              <w:autoSpaceDE w:val="0"/>
              <w:autoSpaceDN w:val="0"/>
              <w:adjustRightInd w:val="0"/>
              <w:ind w:left="0" w:firstLine="0"/>
              <w:jc w:val="center"/>
              <w:rPr>
                <w:rFonts w:asciiTheme="minorHAnsi" w:eastAsiaTheme="minorHAnsi" w:hAnsiTheme="minorHAnsi" w:cstheme="minorHAnsi"/>
                <w:noProof/>
                <w:color w:val="000000"/>
                <w:sz w:val="19"/>
                <w:szCs w:val="19"/>
                <w:lang w:val="es-ES"/>
              </w:rPr>
            </w:pPr>
            <w:r w:rsidRPr="00551574">
              <w:rPr>
                <w:rFonts w:asciiTheme="minorHAnsi" w:eastAsiaTheme="minorHAnsi" w:hAnsiTheme="minorHAnsi" w:cstheme="minorHAnsi"/>
                <w:b/>
                <w:bCs/>
                <w:noProof/>
                <w:color w:val="000000"/>
                <w:sz w:val="19"/>
                <w:szCs w:val="19"/>
                <w:lang w:val="es-ES"/>
              </w:rPr>
              <w:t>2021</w:t>
            </w:r>
          </w:p>
        </w:tc>
        <w:tc>
          <w:tcPr>
            <w:tcW w:w="236" w:type="dxa"/>
            <w:tcBorders>
              <w:top w:val="nil"/>
              <w:left w:val="nil"/>
              <w:right w:val="nil"/>
            </w:tcBorders>
            <w:shd w:val="clear" w:color="auto" w:fill="F2F2F2" w:themeFill="background1" w:themeFillShade="F2"/>
            <w:vAlign w:val="center"/>
          </w:tcPr>
          <w:p w14:paraId="37E0C2DB" w14:textId="77777777" w:rsidR="005219C3" w:rsidRPr="00551574" w:rsidRDefault="005219C3" w:rsidP="005219C3">
            <w:pPr>
              <w:autoSpaceDE w:val="0"/>
              <w:autoSpaceDN w:val="0"/>
              <w:adjustRightInd w:val="0"/>
              <w:ind w:left="0" w:firstLine="0"/>
              <w:jc w:val="center"/>
              <w:rPr>
                <w:rFonts w:asciiTheme="minorHAnsi" w:eastAsiaTheme="minorHAnsi" w:hAnsiTheme="minorHAnsi" w:cstheme="minorHAnsi"/>
                <w:noProof/>
                <w:color w:val="000000"/>
                <w:sz w:val="19"/>
                <w:szCs w:val="19"/>
                <w:lang w:val="es-ES"/>
              </w:rPr>
            </w:pPr>
          </w:p>
        </w:tc>
        <w:tc>
          <w:tcPr>
            <w:tcW w:w="3028" w:type="dxa"/>
            <w:gridSpan w:val="5"/>
            <w:tcBorders>
              <w:top w:val="nil"/>
              <w:left w:val="nil"/>
              <w:right w:val="nil"/>
            </w:tcBorders>
            <w:shd w:val="clear" w:color="auto" w:fill="D6E3BC" w:themeFill="accent3" w:themeFillTint="66"/>
            <w:vAlign w:val="center"/>
          </w:tcPr>
          <w:p w14:paraId="44A02C4B" w14:textId="3E1C8048" w:rsidR="005219C3" w:rsidRPr="00551574" w:rsidRDefault="007C6B16" w:rsidP="005219C3">
            <w:pPr>
              <w:autoSpaceDE w:val="0"/>
              <w:autoSpaceDN w:val="0"/>
              <w:adjustRightInd w:val="0"/>
              <w:ind w:left="0" w:firstLine="0"/>
              <w:jc w:val="center"/>
              <w:rPr>
                <w:rFonts w:asciiTheme="minorHAnsi" w:eastAsiaTheme="minorHAnsi" w:hAnsiTheme="minorHAnsi" w:cstheme="minorHAnsi"/>
                <w:noProof/>
                <w:color w:val="000000"/>
                <w:sz w:val="19"/>
                <w:szCs w:val="19"/>
                <w:lang w:val="es-ES"/>
              </w:rPr>
            </w:pPr>
            <w:r w:rsidRPr="00551574">
              <w:rPr>
                <w:rFonts w:asciiTheme="minorHAnsi" w:eastAsiaTheme="minorHAnsi" w:hAnsiTheme="minorHAnsi" w:cstheme="minorHAnsi"/>
                <w:b/>
                <w:bCs/>
                <w:noProof/>
                <w:color w:val="000000"/>
                <w:sz w:val="19"/>
                <w:szCs w:val="19"/>
                <w:shd w:val="clear" w:color="auto" w:fill="D6E3BC" w:themeFill="accent3" w:themeFillTint="66"/>
                <w:lang w:val="es-ES"/>
              </w:rPr>
              <w:t>2020</w:t>
            </w:r>
          </w:p>
        </w:tc>
      </w:tr>
      <w:tr w:rsidR="00313E2B" w:rsidRPr="00551574" w14:paraId="77FA9022" w14:textId="77777777" w:rsidTr="00A57055">
        <w:tc>
          <w:tcPr>
            <w:tcW w:w="3288" w:type="dxa"/>
            <w:tcBorders>
              <w:top w:val="nil"/>
              <w:left w:val="nil"/>
              <w:bottom w:val="single" w:sz="4" w:space="0" w:color="auto"/>
              <w:right w:val="nil"/>
            </w:tcBorders>
            <w:shd w:val="solid" w:color="FFFFFF" w:fill="auto"/>
          </w:tcPr>
          <w:p w14:paraId="799645E6" w14:textId="6766C66E" w:rsidR="00313E2B" w:rsidRPr="00551574" w:rsidRDefault="00313E2B" w:rsidP="00272CC8">
            <w:pPr>
              <w:autoSpaceDE w:val="0"/>
              <w:autoSpaceDN w:val="0"/>
              <w:adjustRightInd w:val="0"/>
              <w:ind w:left="0" w:firstLine="0"/>
              <w:rPr>
                <w:rFonts w:asciiTheme="minorHAnsi" w:eastAsiaTheme="minorHAnsi" w:hAnsiTheme="minorHAnsi" w:cstheme="minorHAnsi"/>
                <w:b/>
                <w:bCs/>
                <w:noProof/>
                <w:color w:val="000000"/>
                <w:sz w:val="19"/>
                <w:szCs w:val="19"/>
                <w:lang w:val="es-ES"/>
              </w:rPr>
            </w:pPr>
            <w:r w:rsidRPr="00551574">
              <w:rPr>
                <w:rFonts w:asciiTheme="minorHAnsi" w:eastAsiaTheme="minorHAnsi" w:hAnsiTheme="minorHAnsi" w:cstheme="minorHAnsi"/>
                <w:i/>
                <w:iCs/>
                <w:noProof/>
                <w:color w:val="000000"/>
                <w:sz w:val="19"/>
                <w:szCs w:val="19"/>
                <w:lang w:val="es-ES"/>
              </w:rPr>
              <w:t>en miles de francos suizos</w:t>
            </w:r>
          </w:p>
        </w:tc>
        <w:tc>
          <w:tcPr>
            <w:tcW w:w="708" w:type="dxa"/>
            <w:tcBorders>
              <w:top w:val="nil"/>
              <w:left w:val="nil"/>
              <w:bottom w:val="single" w:sz="4" w:space="0" w:color="auto"/>
              <w:right w:val="nil"/>
            </w:tcBorders>
            <w:shd w:val="solid" w:color="FFFFFF" w:fill="auto"/>
            <w:vAlign w:val="center"/>
          </w:tcPr>
          <w:p w14:paraId="15047940" w14:textId="26786CD5" w:rsidR="00313E2B" w:rsidRPr="00313E2B" w:rsidRDefault="00313E2B" w:rsidP="00272CC8">
            <w:pPr>
              <w:autoSpaceDE w:val="0"/>
              <w:autoSpaceDN w:val="0"/>
              <w:adjustRightInd w:val="0"/>
              <w:ind w:left="0" w:firstLine="0"/>
              <w:jc w:val="center"/>
              <w:rPr>
                <w:rFonts w:asciiTheme="minorHAnsi" w:eastAsiaTheme="minorHAnsi" w:hAnsiTheme="minorHAnsi" w:cstheme="minorHAnsi"/>
                <w:noProof/>
                <w:color w:val="000000"/>
                <w:sz w:val="18"/>
                <w:szCs w:val="18"/>
                <w:lang w:val="es-ES"/>
              </w:rPr>
            </w:pPr>
            <w:r w:rsidRPr="00313E2B">
              <w:rPr>
                <w:rFonts w:asciiTheme="minorHAnsi" w:eastAsiaTheme="minorHAnsi" w:hAnsiTheme="minorHAnsi" w:cstheme="minorHAnsi"/>
                <w:b/>
                <w:bCs/>
                <w:noProof/>
                <w:color w:val="000000"/>
                <w:sz w:val="18"/>
                <w:szCs w:val="18"/>
                <w:lang w:val="es-ES"/>
              </w:rPr>
              <w:t>Notas</w:t>
            </w:r>
          </w:p>
        </w:tc>
        <w:tc>
          <w:tcPr>
            <w:tcW w:w="851" w:type="dxa"/>
            <w:tcBorders>
              <w:top w:val="nil"/>
              <w:left w:val="nil"/>
              <w:bottom w:val="single" w:sz="4" w:space="0" w:color="auto"/>
              <w:right w:val="nil"/>
            </w:tcBorders>
            <w:shd w:val="solid" w:color="FFFFFF" w:fill="auto"/>
            <w:vAlign w:val="center"/>
          </w:tcPr>
          <w:p w14:paraId="67AC46EB" w14:textId="284F513E" w:rsidR="00313E2B" w:rsidRPr="00313E2B" w:rsidRDefault="00313E2B" w:rsidP="00272CC8">
            <w:pPr>
              <w:autoSpaceDE w:val="0"/>
              <w:autoSpaceDN w:val="0"/>
              <w:adjustRightInd w:val="0"/>
              <w:ind w:left="0" w:firstLine="0"/>
              <w:jc w:val="center"/>
              <w:rPr>
                <w:rFonts w:asciiTheme="minorHAnsi" w:eastAsiaTheme="minorHAnsi" w:hAnsiTheme="minorHAnsi" w:cstheme="minorHAnsi"/>
                <w:noProof/>
                <w:color w:val="000000"/>
                <w:sz w:val="18"/>
                <w:szCs w:val="18"/>
                <w:lang w:val="es-ES"/>
              </w:rPr>
            </w:pPr>
            <w:r w:rsidRPr="00313E2B">
              <w:rPr>
                <w:rFonts w:asciiTheme="minorHAnsi" w:eastAsiaTheme="minorHAnsi" w:hAnsiTheme="minorHAnsi" w:cstheme="minorHAnsi"/>
                <w:b/>
                <w:bCs/>
                <w:noProof/>
                <w:color w:val="000000"/>
                <w:sz w:val="18"/>
                <w:szCs w:val="18"/>
                <w:lang w:val="es-ES"/>
              </w:rPr>
              <w:t>Fondos básicos</w:t>
            </w:r>
          </w:p>
        </w:tc>
        <w:tc>
          <w:tcPr>
            <w:tcW w:w="1370" w:type="dxa"/>
            <w:gridSpan w:val="3"/>
            <w:tcBorders>
              <w:top w:val="nil"/>
              <w:left w:val="nil"/>
              <w:bottom w:val="single" w:sz="4" w:space="0" w:color="auto"/>
              <w:right w:val="nil"/>
            </w:tcBorders>
            <w:shd w:val="solid" w:color="FFFFFF" w:fill="auto"/>
            <w:vAlign w:val="center"/>
          </w:tcPr>
          <w:p w14:paraId="6F4C9D6A" w14:textId="1C96E6FD" w:rsidR="00313E2B" w:rsidRPr="00313E2B" w:rsidRDefault="00313E2B" w:rsidP="00272CC8">
            <w:pPr>
              <w:autoSpaceDE w:val="0"/>
              <w:autoSpaceDN w:val="0"/>
              <w:adjustRightInd w:val="0"/>
              <w:ind w:left="0" w:firstLine="0"/>
              <w:jc w:val="center"/>
              <w:rPr>
                <w:rFonts w:asciiTheme="minorHAnsi" w:eastAsiaTheme="minorHAnsi" w:hAnsiTheme="minorHAnsi" w:cstheme="minorHAnsi"/>
                <w:noProof/>
                <w:color w:val="000000"/>
                <w:sz w:val="18"/>
                <w:szCs w:val="18"/>
                <w:lang w:val="es-ES"/>
              </w:rPr>
            </w:pPr>
            <w:r w:rsidRPr="00313E2B">
              <w:rPr>
                <w:rFonts w:asciiTheme="minorHAnsi" w:hAnsiTheme="minorHAnsi"/>
                <w:b/>
                <w:bCs/>
                <w:noProof/>
                <w:sz w:val="18"/>
                <w:szCs w:val="18"/>
                <w:lang w:val="es-ES"/>
              </w:rPr>
              <w:t>Proyectos no financiados con cargo al presupuesto básico</w:t>
            </w:r>
          </w:p>
        </w:tc>
        <w:tc>
          <w:tcPr>
            <w:tcW w:w="895" w:type="dxa"/>
            <w:tcBorders>
              <w:top w:val="nil"/>
              <w:left w:val="nil"/>
              <w:bottom w:val="single" w:sz="4" w:space="0" w:color="auto"/>
              <w:right w:val="nil"/>
            </w:tcBorders>
            <w:shd w:val="solid" w:color="FFFFFF" w:fill="auto"/>
            <w:vAlign w:val="center"/>
          </w:tcPr>
          <w:p w14:paraId="693FDDB2" w14:textId="77777777" w:rsidR="00313E2B" w:rsidRPr="00313E2B" w:rsidRDefault="00313E2B" w:rsidP="00272CC8">
            <w:pPr>
              <w:autoSpaceDE w:val="0"/>
              <w:autoSpaceDN w:val="0"/>
              <w:adjustRightInd w:val="0"/>
              <w:ind w:left="0" w:firstLine="0"/>
              <w:jc w:val="center"/>
              <w:rPr>
                <w:rFonts w:asciiTheme="minorHAnsi" w:eastAsiaTheme="minorHAnsi" w:hAnsiTheme="minorHAnsi" w:cstheme="minorHAnsi"/>
                <w:noProof/>
                <w:color w:val="000000"/>
                <w:sz w:val="18"/>
                <w:szCs w:val="18"/>
                <w:lang w:val="es-ES"/>
              </w:rPr>
            </w:pPr>
            <w:r w:rsidRPr="00313E2B">
              <w:rPr>
                <w:rFonts w:asciiTheme="minorHAnsi" w:eastAsiaTheme="minorHAnsi" w:hAnsiTheme="minorHAnsi" w:cstheme="minorHAnsi"/>
                <w:b/>
                <w:bCs/>
                <w:noProof/>
                <w:color w:val="000000"/>
                <w:sz w:val="18"/>
                <w:szCs w:val="18"/>
                <w:lang w:val="es-ES"/>
              </w:rPr>
              <w:t>Total</w:t>
            </w:r>
          </w:p>
        </w:tc>
        <w:tc>
          <w:tcPr>
            <w:tcW w:w="236" w:type="dxa"/>
            <w:tcBorders>
              <w:top w:val="nil"/>
              <w:left w:val="nil"/>
              <w:bottom w:val="single" w:sz="4" w:space="0" w:color="auto"/>
              <w:right w:val="nil"/>
            </w:tcBorders>
            <w:shd w:val="clear" w:color="auto" w:fill="F2F2F2" w:themeFill="background1" w:themeFillShade="F2"/>
            <w:vAlign w:val="center"/>
          </w:tcPr>
          <w:p w14:paraId="5228EEF9" w14:textId="77777777" w:rsidR="00313E2B" w:rsidRPr="00313E2B" w:rsidRDefault="00313E2B" w:rsidP="00272CC8">
            <w:pPr>
              <w:autoSpaceDE w:val="0"/>
              <w:autoSpaceDN w:val="0"/>
              <w:adjustRightInd w:val="0"/>
              <w:ind w:left="0" w:firstLine="0"/>
              <w:jc w:val="center"/>
              <w:rPr>
                <w:rFonts w:asciiTheme="minorHAnsi" w:eastAsiaTheme="minorHAnsi" w:hAnsiTheme="minorHAnsi" w:cstheme="minorHAnsi"/>
                <w:noProof/>
                <w:color w:val="000000"/>
                <w:sz w:val="18"/>
                <w:szCs w:val="18"/>
                <w:lang w:val="es-ES"/>
              </w:rPr>
            </w:pPr>
          </w:p>
        </w:tc>
        <w:tc>
          <w:tcPr>
            <w:tcW w:w="901" w:type="dxa"/>
            <w:tcBorders>
              <w:top w:val="nil"/>
              <w:left w:val="nil"/>
              <w:bottom w:val="single" w:sz="4" w:space="0" w:color="auto"/>
              <w:right w:val="nil"/>
            </w:tcBorders>
            <w:shd w:val="solid" w:color="FFFFFF" w:fill="auto"/>
            <w:vAlign w:val="center"/>
          </w:tcPr>
          <w:p w14:paraId="0764A339" w14:textId="0C273756" w:rsidR="00313E2B" w:rsidRPr="00313E2B" w:rsidRDefault="00313E2B" w:rsidP="00272CC8">
            <w:pPr>
              <w:autoSpaceDE w:val="0"/>
              <w:autoSpaceDN w:val="0"/>
              <w:adjustRightInd w:val="0"/>
              <w:ind w:left="0" w:firstLine="0"/>
              <w:jc w:val="center"/>
              <w:rPr>
                <w:rFonts w:asciiTheme="minorHAnsi" w:eastAsiaTheme="minorHAnsi" w:hAnsiTheme="minorHAnsi" w:cstheme="minorHAnsi"/>
                <w:noProof/>
                <w:color w:val="000000"/>
                <w:sz w:val="18"/>
                <w:szCs w:val="18"/>
                <w:lang w:val="es-ES"/>
              </w:rPr>
            </w:pPr>
            <w:r w:rsidRPr="00313E2B">
              <w:rPr>
                <w:rFonts w:asciiTheme="minorHAnsi" w:eastAsiaTheme="minorHAnsi" w:hAnsiTheme="minorHAnsi" w:cstheme="minorHAnsi"/>
                <w:b/>
                <w:bCs/>
                <w:noProof/>
                <w:color w:val="000000"/>
                <w:sz w:val="18"/>
                <w:szCs w:val="18"/>
                <w:lang w:val="es-ES"/>
              </w:rPr>
              <w:t>Fondos básicos</w:t>
            </w:r>
          </w:p>
        </w:tc>
        <w:tc>
          <w:tcPr>
            <w:tcW w:w="1271" w:type="dxa"/>
            <w:gridSpan w:val="3"/>
            <w:tcBorders>
              <w:top w:val="nil"/>
              <w:left w:val="nil"/>
              <w:bottom w:val="single" w:sz="4" w:space="0" w:color="auto"/>
              <w:right w:val="nil"/>
            </w:tcBorders>
            <w:shd w:val="solid" w:color="FFFFFF" w:fill="auto"/>
            <w:vAlign w:val="center"/>
          </w:tcPr>
          <w:p w14:paraId="4F9CA648" w14:textId="3EA73768" w:rsidR="00313E2B" w:rsidRPr="00313E2B" w:rsidRDefault="00313E2B" w:rsidP="00272CC8">
            <w:pPr>
              <w:autoSpaceDE w:val="0"/>
              <w:autoSpaceDN w:val="0"/>
              <w:adjustRightInd w:val="0"/>
              <w:ind w:left="0" w:firstLine="0"/>
              <w:jc w:val="center"/>
              <w:rPr>
                <w:rFonts w:asciiTheme="minorHAnsi" w:eastAsiaTheme="minorHAnsi" w:hAnsiTheme="minorHAnsi" w:cstheme="minorHAnsi"/>
                <w:noProof/>
                <w:color w:val="000000"/>
                <w:sz w:val="18"/>
                <w:szCs w:val="18"/>
                <w:lang w:val="es-ES"/>
              </w:rPr>
            </w:pPr>
            <w:r w:rsidRPr="00313E2B">
              <w:rPr>
                <w:rFonts w:asciiTheme="minorHAnsi" w:hAnsiTheme="minorHAnsi"/>
                <w:b/>
                <w:bCs/>
                <w:noProof/>
                <w:sz w:val="18"/>
                <w:szCs w:val="18"/>
                <w:lang w:val="es-ES"/>
              </w:rPr>
              <w:t>Proyectos no financiados con cargo al presupuesto básico</w:t>
            </w:r>
          </w:p>
        </w:tc>
        <w:tc>
          <w:tcPr>
            <w:tcW w:w="856" w:type="dxa"/>
            <w:tcBorders>
              <w:top w:val="nil"/>
              <w:left w:val="nil"/>
              <w:bottom w:val="single" w:sz="4" w:space="0" w:color="auto"/>
              <w:right w:val="nil"/>
            </w:tcBorders>
            <w:shd w:val="solid" w:color="FFFFFF" w:fill="auto"/>
            <w:vAlign w:val="center"/>
          </w:tcPr>
          <w:p w14:paraId="47A3F4FE" w14:textId="58E29DDF" w:rsidR="00313E2B" w:rsidRPr="00313E2B" w:rsidRDefault="00313E2B" w:rsidP="00272CC8">
            <w:pPr>
              <w:autoSpaceDE w:val="0"/>
              <w:autoSpaceDN w:val="0"/>
              <w:adjustRightInd w:val="0"/>
              <w:ind w:left="0" w:firstLine="0"/>
              <w:jc w:val="center"/>
              <w:rPr>
                <w:rFonts w:asciiTheme="minorHAnsi" w:eastAsiaTheme="minorHAnsi" w:hAnsiTheme="minorHAnsi" w:cstheme="minorHAnsi"/>
                <w:noProof/>
                <w:color w:val="000000"/>
                <w:sz w:val="18"/>
                <w:szCs w:val="18"/>
                <w:lang w:val="es-ES"/>
              </w:rPr>
            </w:pPr>
            <w:r w:rsidRPr="00313E2B">
              <w:rPr>
                <w:rFonts w:asciiTheme="minorHAnsi" w:eastAsiaTheme="minorHAnsi" w:hAnsiTheme="minorHAnsi" w:cstheme="minorHAnsi"/>
                <w:b/>
                <w:bCs/>
                <w:noProof/>
                <w:color w:val="000000"/>
                <w:sz w:val="18"/>
                <w:szCs w:val="18"/>
                <w:lang w:val="es-ES"/>
              </w:rPr>
              <w:t>Total</w:t>
            </w:r>
          </w:p>
        </w:tc>
      </w:tr>
      <w:tr w:rsidR="00551574" w:rsidRPr="00313E2B" w14:paraId="0DDD22F1" w14:textId="77777777" w:rsidTr="00FF2210">
        <w:tc>
          <w:tcPr>
            <w:tcW w:w="3288" w:type="dxa"/>
            <w:tcBorders>
              <w:top w:val="single" w:sz="4" w:space="0" w:color="auto"/>
              <w:left w:val="nil"/>
              <w:bottom w:val="nil"/>
              <w:right w:val="nil"/>
            </w:tcBorders>
            <w:shd w:val="solid" w:color="FFFFFF" w:fill="auto"/>
            <w:vAlign w:val="center"/>
          </w:tcPr>
          <w:p w14:paraId="3E89B5C4" w14:textId="6EBD08CD" w:rsidR="00551574" w:rsidRPr="00313E2B" w:rsidRDefault="00551574" w:rsidP="00551574">
            <w:pPr>
              <w:autoSpaceDE w:val="0"/>
              <w:autoSpaceDN w:val="0"/>
              <w:adjustRightInd w:val="0"/>
              <w:ind w:left="0" w:firstLine="0"/>
              <w:rPr>
                <w:rFonts w:asciiTheme="minorHAnsi" w:eastAsiaTheme="minorHAnsi" w:hAnsiTheme="minorHAnsi" w:cstheme="minorHAnsi"/>
                <w:b/>
                <w:bCs/>
                <w:noProof/>
                <w:color w:val="000000"/>
                <w:sz w:val="19"/>
                <w:szCs w:val="19"/>
                <w:lang w:val="es-ES"/>
              </w:rPr>
            </w:pPr>
            <w:r w:rsidRPr="00313E2B">
              <w:rPr>
                <w:rFonts w:asciiTheme="minorHAnsi" w:hAnsiTheme="minorHAnsi"/>
                <w:b/>
                <w:bCs/>
                <w:noProof/>
                <w:color w:val="000000"/>
                <w:sz w:val="19"/>
                <w:szCs w:val="19"/>
                <w:lang w:val="es-ES"/>
              </w:rPr>
              <w:t>Ingresos</w:t>
            </w:r>
          </w:p>
        </w:tc>
        <w:tc>
          <w:tcPr>
            <w:tcW w:w="708" w:type="dxa"/>
            <w:tcBorders>
              <w:top w:val="single" w:sz="4" w:space="0" w:color="auto"/>
              <w:left w:val="nil"/>
              <w:bottom w:val="nil"/>
              <w:right w:val="nil"/>
            </w:tcBorders>
            <w:shd w:val="solid" w:color="FFFFFF" w:fill="auto"/>
          </w:tcPr>
          <w:p w14:paraId="440EFF83"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1" w:type="dxa"/>
            <w:tcBorders>
              <w:top w:val="single" w:sz="4" w:space="0" w:color="auto"/>
              <w:left w:val="nil"/>
              <w:bottom w:val="nil"/>
              <w:right w:val="nil"/>
            </w:tcBorders>
            <w:shd w:val="solid" w:color="FFFFFF" w:fill="auto"/>
          </w:tcPr>
          <w:p w14:paraId="0E6D203B"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84" w:type="dxa"/>
            <w:tcBorders>
              <w:top w:val="single" w:sz="4" w:space="0" w:color="auto"/>
              <w:left w:val="nil"/>
              <w:bottom w:val="nil"/>
              <w:right w:val="nil"/>
            </w:tcBorders>
            <w:shd w:val="solid" w:color="FFFFFF" w:fill="auto"/>
          </w:tcPr>
          <w:p w14:paraId="0B7A3088"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0" w:type="dxa"/>
            <w:tcBorders>
              <w:top w:val="single" w:sz="4" w:space="0" w:color="auto"/>
              <w:left w:val="nil"/>
              <w:bottom w:val="nil"/>
              <w:right w:val="nil"/>
            </w:tcBorders>
            <w:shd w:val="solid" w:color="FFFFFF" w:fill="auto"/>
          </w:tcPr>
          <w:p w14:paraId="69A4949D"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36" w:type="dxa"/>
            <w:tcBorders>
              <w:top w:val="single" w:sz="4" w:space="0" w:color="auto"/>
              <w:left w:val="nil"/>
              <w:bottom w:val="nil"/>
              <w:right w:val="nil"/>
            </w:tcBorders>
            <w:shd w:val="solid" w:color="FFFFFF" w:fill="auto"/>
          </w:tcPr>
          <w:p w14:paraId="69E6489D"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95" w:type="dxa"/>
            <w:tcBorders>
              <w:top w:val="single" w:sz="4" w:space="0" w:color="auto"/>
              <w:left w:val="nil"/>
              <w:bottom w:val="nil"/>
              <w:right w:val="nil"/>
            </w:tcBorders>
            <w:shd w:val="solid" w:color="FFFFFF" w:fill="auto"/>
          </w:tcPr>
          <w:p w14:paraId="427C995C"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36" w:type="dxa"/>
            <w:tcBorders>
              <w:top w:val="single" w:sz="4" w:space="0" w:color="auto"/>
              <w:left w:val="nil"/>
              <w:bottom w:val="nil"/>
              <w:right w:val="nil"/>
            </w:tcBorders>
            <w:shd w:val="clear" w:color="auto" w:fill="F2F2F2" w:themeFill="background1" w:themeFillShade="F2"/>
          </w:tcPr>
          <w:p w14:paraId="41142E98"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901" w:type="dxa"/>
            <w:tcBorders>
              <w:top w:val="single" w:sz="4" w:space="0" w:color="auto"/>
              <w:left w:val="nil"/>
              <w:bottom w:val="nil"/>
              <w:right w:val="nil"/>
            </w:tcBorders>
            <w:shd w:val="solid" w:color="FFFFFF" w:fill="auto"/>
          </w:tcPr>
          <w:p w14:paraId="3E4C64B2" w14:textId="77777777" w:rsidR="00551574" w:rsidRPr="00313E2B" w:rsidRDefault="00551574" w:rsidP="00551574">
            <w:pPr>
              <w:autoSpaceDE w:val="0"/>
              <w:autoSpaceDN w:val="0"/>
              <w:adjustRightInd w:val="0"/>
              <w:ind w:left="0" w:firstLine="0"/>
              <w:jc w:val="center"/>
              <w:rPr>
                <w:rFonts w:asciiTheme="minorHAnsi" w:eastAsiaTheme="minorHAnsi" w:hAnsiTheme="minorHAnsi" w:cstheme="minorHAnsi"/>
                <w:noProof/>
                <w:color w:val="000000"/>
                <w:sz w:val="19"/>
                <w:szCs w:val="19"/>
                <w:lang w:val="es-ES"/>
              </w:rPr>
            </w:pPr>
          </w:p>
        </w:tc>
        <w:tc>
          <w:tcPr>
            <w:tcW w:w="242" w:type="dxa"/>
            <w:tcBorders>
              <w:top w:val="single" w:sz="4" w:space="0" w:color="auto"/>
              <w:left w:val="nil"/>
              <w:bottom w:val="nil"/>
              <w:right w:val="nil"/>
            </w:tcBorders>
            <w:shd w:val="solid" w:color="FFFFFF" w:fill="auto"/>
          </w:tcPr>
          <w:p w14:paraId="13BFD496"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793" w:type="dxa"/>
            <w:tcBorders>
              <w:top w:val="single" w:sz="4" w:space="0" w:color="auto"/>
              <w:left w:val="nil"/>
              <w:bottom w:val="nil"/>
              <w:right w:val="nil"/>
            </w:tcBorders>
            <w:shd w:val="solid" w:color="FFFFFF" w:fill="auto"/>
          </w:tcPr>
          <w:p w14:paraId="414B42C1" w14:textId="77777777" w:rsidR="00551574" w:rsidRPr="00313E2B" w:rsidRDefault="00551574" w:rsidP="00551574">
            <w:pPr>
              <w:autoSpaceDE w:val="0"/>
              <w:autoSpaceDN w:val="0"/>
              <w:adjustRightInd w:val="0"/>
              <w:ind w:left="0" w:firstLine="0"/>
              <w:jc w:val="center"/>
              <w:rPr>
                <w:rFonts w:asciiTheme="minorHAnsi" w:eastAsiaTheme="minorHAnsi" w:hAnsiTheme="minorHAnsi" w:cstheme="minorHAnsi"/>
                <w:noProof/>
                <w:color w:val="000000"/>
                <w:sz w:val="19"/>
                <w:szCs w:val="19"/>
                <w:lang w:val="es-ES"/>
              </w:rPr>
            </w:pPr>
          </w:p>
        </w:tc>
        <w:tc>
          <w:tcPr>
            <w:tcW w:w="236" w:type="dxa"/>
            <w:tcBorders>
              <w:top w:val="single" w:sz="4" w:space="0" w:color="auto"/>
              <w:left w:val="nil"/>
              <w:bottom w:val="nil"/>
              <w:right w:val="nil"/>
            </w:tcBorders>
            <w:shd w:val="solid" w:color="FFFFFF" w:fill="auto"/>
          </w:tcPr>
          <w:p w14:paraId="7F4CABCB"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6" w:type="dxa"/>
            <w:tcBorders>
              <w:top w:val="single" w:sz="4" w:space="0" w:color="auto"/>
              <w:left w:val="nil"/>
              <w:bottom w:val="nil"/>
              <w:right w:val="nil"/>
            </w:tcBorders>
            <w:shd w:val="solid" w:color="FFFFFF" w:fill="auto"/>
          </w:tcPr>
          <w:p w14:paraId="3B67881A" w14:textId="77777777" w:rsidR="00551574" w:rsidRPr="00313E2B" w:rsidRDefault="00551574" w:rsidP="00551574">
            <w:pPr>
              <w:autoSpaceDE w:val="0"/>
              <w:autoSpaceDN w:val="0"/>
              <w:adjustRightInd w:val="0"/>
              <w:ind w:left="0" w:firstLine="0"/>
              <w:jc w:val="center"/>
              <w:rPr>
                <w:rFonts w:asciiTheme="minorHAnsi" w:eastAsiaTheme="minorHAnsi" w:hAnsiTheme="minorHAnsi" w:cstheme="minorHAnsi"/>
                <w:noProof/>
                <w:color w:val="000000"/>
                <w:sz w:val="19"/>
                <w:szCs w:val="19"/>
                <w:lang w:val="es-ES"/>
              </w:rPr>
            </w:pPr>
          </w:p>
        </w:tc>
      </w:tr>
      <w:tr w:rsidR="00551574" w:rsidRPr="00313E2B" w14:paraId="5E50A1C8" w14:textId="77777777" w:rsidTr="00FF2210">
        <w:tc>
          <w:tcPr>
            <w:tcW w:w="3288" w:type="dxa"/>
            <w:tcBorders>
              <w:top w:val="nil"/>
              <w:left w:val="nil"/>
              <w:bottom w:val="nil"/>
              <w:right w:val="nil"/>
            </w:tcBorders>
            <w:shd w:val="solid" w:color="FFFFFF" w:fill="auto"/>
            <w:vAlign w:val="center"/>
          </w:tcPr>
          <w:p w14:paraId="779234B0" w14:textId="706401E6" w:rsidR="00551574" w:rsidRPr="00313E2B" w:rsidRDefault="00551574" w:rsidP="00551574">
            <w:pPr>
              <w:autoSpaceDE w:val="0"/>
              <w:autoSpaceDN w:val="0"/>
              <w:adjustRightInd w:val="0"/>
              <w:ind w:left="0" w:firstLine="0"/>
              <w:rPr>
                <w:rFonts w:asciiTheme="minorHAnsi" w:eastAsiaTheme="minorHAnsi" w:hAnsiTheme="minorHAnsi" w:cstheme="minorHAnsi"/>
                <w:i/>
                <w:iCs/>
                <w:noProof/>
                <w:color w:val="000000"/>
                <w:sz w:val="19"/>
                <w:szCs w:val="19"/>
                <w:lang w:val="es-ES"/>
              </w:rPr>
            </w:pPr>
            <w:r w:rsidRPr="00313E2B">
              <w:rPr>
                <w:rFonts w:asciiTheme="minorHAnsi" w:hAnsiTheme="minorHAnsi"/>
                <w:i/>
                <w:iCs/>
                <w:noProof/>
                <w:color w:val="000000"/>
                <w:sz w:val="19"/>
                <w:szCs w:val="19"/>
                <w:lang w:val="es-ES"/>
              </w:rPr>
              <w:t>Ingresos externos:</w:t>
            </w:r>
          </w:p>
        </w:tc>
        <w:tc>
          <w:tcPr>
            <w:tcW w:w="708" w:type="dxa"/>
            <w:tcBorders>
              <w:top w:val="nil"/>
              <w:left w:val="nil"/>
              <w:bottom w:val="nil"/>
              <w:right w:val="nil"/>
            </w:tcBorders>
            <w:shd w:val="solid" w:color="FFFFFF" w:fill="auto"/>
          </w:tcPr>
          <w:p w14:paraId="3EFC4C88" w14:textId="77777777" w:rsidR="00551574" w:rsidRPr="00313E2B" w:rsidRDefault="00551574" w:rsidP="00551574">
            <w:pPr>
              <w:autoSpaceDE w:val="0"/>
              <w:autoSpaceDN w:val="0"/>
              <w:adjustRightInd w:val="0"/>
              <w:ind w:left="0" w:firstLine="0"/>
              <w:jc w:val="center"/>
              <w:rPr>
                <w:rFonts w:asciiTheme="minorHAnsi" w:eastAsiaTheme="minorHAnsi" w:hAnsiTheme="minorHAnsi" w:cstheme="minorHAnsi"/>
                <w:noProof/>
                <w:color w:val="000000"/>
                <w:sz w:val="19"/>
                <w:szCs w:val="19"/>
                <w:lang w:val="es-ES"/>
              </w:rPr>
            </w:pPr>
          </w:p>
        </w:tc>
        <w:tc>
          <w:tcPr>
            <w:tcW w:w="851" w:type="dxa"/>
            <w:tcBorders>
              <w:top w:val="nil"/>
              <w:left w:val="nil"/>
              <w:bottom w:val="nil"/>
              <w:right w:val="nil"/>
            </w:tcBorders>
            <w:shd w:val="solid" w:color="FFFFFF" w:fill="auto"/>
          </w:tcPr>
          <w:p w14:paraId="7010DC56"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84" w:type="dxa"/>
            <w:tcBorders>
              <w:top w:val="nil"/>
              <w:left w:val="nil"/>
              <w:bottom w:val="nil"/>
              <w:right w:val="nil"/>
            </w:tcBorders>
            <w:shd w:val="solid" w:color="FFFFFF" w:fill="auto"/>
          </w:tcPr>
          <w:p w14:paraId="51E1D4C3"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0" w:type="dxa"/>
            <w:tcBorders>
              <w:top w:val="nil"/>
              <w:left w:val="nil"/>
              <w:bottom w:val="nil"/>
              <w:right w:val="nil"/>
            </w:tcBorders>
            <w:shd w:val="solid" w:color="FFFFFF" w:fill="auto"/>
          </w:tcPr>
          <w:p w14:paraId="5FAC310D"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36" w:type="dxa"/>
            <w:tcBorders>
              <w:top w:val="nil"/>
              <w:left w:val="nil"/>
              <w:bottom w:val="nil"/>
              <w:right w:val="nil"/>
            </w:tcBorders>
            <w:shd w:val="solid" w:color="FFFFFF" w:fill="auto"/>
          </w:tcPr>
          <w:p w14:paraId="6BE2B55C"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95" w:type="dxa"/>
            <w:tcBorders>
              <w:top w:val="nil"/>
              <w:left w:val="nil"/>
              <w:bottom w:val="nil"/>
              <w:right w:val="nil"/>
            </w:tcBorders>
            <w:shd w:val="solid" w:color="FFFFFF" w:fill="auto"/>
          </w:tcPr>
          <w:p w14:paraId="73546B00"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36" w:type="dxa"/>
            <w:tcBorders>
              <w:top w:val="nil"/>
              <w:left w:val="nil"/>
              <w:bottom w:val="nil"/>
              <w:right w:val="nil"/>
            </w:tcBorders>
            <w:shd w:val="clear" w:color="auto" w:fill="F2F2F2" w:themeFill="background1" w:themeFillShade="F2"/>
          </w:tcPr>
          <w:p w14:paraId="0899E473"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901" w:type="dxa"/>
            <w:tcBorders>
              <w:top w:val="nil"/>
              <w:left w:val="nil"/>
              <w:bottom w:val="nil"/>
              <w:right w:val="nil"/>
            </w:tcBorders>
            <w:shd w:val="solid" w:color="FFFFFF" w:fill="auto"/>
          </w:tcPr>
          <w:p w14:paraId="12DDD696" w14:textId="77777777" w:rsidR="00551574" w:rsidRPr="00313E2B" w:rsidRDefault="00551574" w:rsidP="00551574">
            <w:pPr>
              <w:autoSpaceDE w:val="0"/>
              <w:autoSpaceDN w:val="0"/>
              <w:adjustRightInd w:val="0"/>
              <w:ind w:left="0" w:firstLine="0"/>
              <w:jc w:val="center"/>
              <w:rPr>
                <w:rFonts w:asciiTheme="minorHAnsi" w:eastAsiaTheme="minorHAnsi" w:hAnsiTheme="minorHAnsi" w:cstheme="minorHAnsi"/>
                <w:noProof/>
                <w:color w:val="000000"/>
                <w:sz w:val="19"/>
                <w:szCs w:val="19"/>
                <w:lang w:val="es-ES"/>
              </w:rPr>
            </w:pPr>
          </w:p>
        </w:tc>
        <w:tc>
          <w:tcPr>
            <w:tcW w:w="242" w:type="dxa"/>
            <w:tcBorders>
              <w:top w:val="nil"/>
              <w:left w:val="nil"/>
              <w:bottom w:val="nil"/>
              <w:right w:val="nil"/>
            </w:tcBorders>
            <w:shd w:val="solid" w:color="FFFFFF" w:fill="auto"/>
          </w:tcPr>
          <w:p w14:paraId="637E04EB"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793" w:type="dxa"/>
            <w:tcBorders>
              <w:top w:val="nil"/>
              <w:left w:val="nil"/>
              <w:bottom w:val="nil"/>
              <w:right w:val="nil"/>
            </w:tcBorders>
            <w:shd w:val="solid" w:color="FFFFFF" w:fill="auto"/>
          </w:tcPr>
          <w:p w14:paraId="748F8FB2" w14:textId="77777777" w:rsidR="00551574" w:rsidRPr="00313E2B" w:rsidRDefault="00551574" w:rsidP="00551574">
            <w:pPr>
              <w:autoSpaceDE w:val="0"/>
              <w:autoSpaceDN w:val="0"/>
              <w:adjustRightInd w:val="0"/>
              <w:ind w:left="0" w:firstLine="0"/>
              <w:jc w:val="center"/>
              <w:rPr>
                <w:rFonts w:asciiTheme="minorHAnsi" w:eastAsiaTheme="minorHAnsi" w:hAnsiTheme="minorHAnsi" w:cstheme="minorHAnsi"/>
                <w:noProof/>
                <w:color w:val="000000"/>
                <w:sz w:val="19"/>
                <w:szCs w:val="19"/>
                <w:lang w:val="es-ES"/>
              </w:rPr>
            </w:pPr>
          </w:p>
        </w:tc>
        <w:tc>
          <w:tcPr>
            <w:tcW w:w="236" w:type="dxa"/>
            <w:tcBorders>
              <w:top w:val="nil"/>
              <w:left w:val="nil"/>
              <w:bottom w:val="nil"/>
              <w:right w:val="nil"/>
            </w:tcBorders>
            <w:shd w:val="solid" w:color="FFFFFF" w:fill="auto"/>
          </w:tcPr>
          <w:p w14:paraId="4288A82F"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6" w:type="dxa"/>
            <w:tcBorders>
              <w:top w:val="nil"/>
              <w:left w:val="nil"/>
              <w:bottom w:val="nil"/>
              <w:right w:val="nil"/>
            </w:tcBorders>
            <w:shd w:val="solid" w:color="FFFFFF" w:fill="auto"/>
          </w:tcPr>
          <w:p w14:paraId="0FA8EB1E" w14:textId="77777777" w:rsidR="00551574" w:rsidRPr="00313E2B" w:rsidRDefault="00551574" w:rsidP="00551574">
            <w:pPr>
              <w:autoSpaceDE w:val="0"/>
              <w:autoSpaceDN w:val="0"/>
              <w:adjustRightInd w:val="0"/>
              <w:ind w:left="0" w:firstLine="0"/>
              <w:jc w:val="center"/>
              <w:rPr>
                <w:rFonts w:asciiTheme="minorHAnsi" w:eastAsiaTheme="minorHAnsi" w:hAnsiTheme="minorHAnsi" w:cstheme="minorHAnsi"/>
                <w:noProof/>
                <w:color w:val="000000"/>
                <w:sz w:val="19"/>
                <w:szCs w:val="19"/>
                <w:lang w:val="es-ES"/>
              </w:rPr>
            </w:pPr>
          </w:p>
        </w:tc>
      </w:tr>
      <w:tr w:rsidR="00551574" w:rsidRPr="00313E2B" w14:paraId="59984518" w14:textId="77777777" w:rsidTr="00FF2210">
        <w:tc>
          <w:tcPr>
            <w:tcW w:w="3288" w:type="dxa"/>
            <w:tcBorders>
              <w:top w:val="nil"/>
              <w:left w:val="nil"/>
              <w:bottom w:val="nil"/>
              <w:right w:val="nil"/>
            </w:tcBorders>
            <w:shd w:val="solid" w:color="FFFFFF" w:fill="auto"/>
            <w:vAlign w:val="center"/>
          </w:tcPr>
          <w:p w14:paraId="565B6539" w14:textId="598A85D7" w:rsidR="00551574" w:rsidRPr="00313E2B" w:rsidRDefault="00551574" w:rsidP="00551574">
            <w:pPr>
              <w:autoSpaceDE w:val="0"/>
              <w:autoSpaceDN w:val="0"/>
              <w:adjustRightInd w:val="0"/>
              <w:rPr>
                <w:rFonts w:asciiTheme="minorHAnsi" w:eastAsiaTheme="minorHAnsi" w:hAnsiTheme="minorHAnsi" w:cstheme="minorHAnsi"/>
                <w:noProof/>
                <w:color w:val="000000"/>
                <w:sz w:val="19"/>
                <w:szCs w:val="19"/>
                <w:lang w:val="es-ES"/>
              </w:rPr>
            </w:pPr>
            <w:r w:rsidRPr="00313E2B">
              <w:rPr>
                <w:rFonts w:asciiTheme="minorHAnsi" w:hAnsiTheme="minorHAnsi"/>
                <w:noProof/>
                <w:sz w:val="19"/>
                <w:szCs w:val="19"/>
                <w:lang w:val="es-ES"/>
              </w:rPr>
              <w:t>Contribuciones de las Partes Contratantes</w:t>
            </w:r>
          </w:p>
        </w:tc>
        <w:tc>
          <w:tcPr>
            <w:tcW w:w="708" w:type="dxa"/>
            <w:tcBorders>
              <w:top w:val="nil"/>
              <w:left w:val="nil"/>
              <w:bottom w:val="nil"/>
              <w:right w:val="nil"/>
            </w:tcBorders>
            <w:shd w:val="solid" w:color="FFFFFF" w:fill="auto"/>
          </w:tcPr>
          <w:p w14:paraId="0B47274F" w14:textId="77777777" w:rsidR="00551574" w:rsidRPr="00313E2B" w:rsidRDefault="00551574" w:rsidP="00551574">
            <w:pPr>
              <w:autoSpaceDE w:val="0"/>
              <w:autoSpaceDN w:val="0"/>
              <w:adjustRightInd w:val="0"/>
              <w:ind w:left="0" w:firstLine="0"/>
              <w:jc w:val="center"/>
              <w:rPr>
                <w:rFonts w:asciiTheme="minorHAnsi" w:eastAsiaTheme="minorHAnsi" w:hAnsiTheme="minorHAnsi" w:cstheme="minorHAnsi"/>
                <w:noProof/>
                <w:color w:val="000000"/>
                <w:sz w:val="19"/>
                <w:szCs w:val="19"/>
                <w:lang w:val="es-ES"/>
              </w:rPr>
            </w:pPr>
          </w:p>
        </w:tc>
        <w:tc>
          <w:tcPr>
            <w:tcW w:w="851" w:type="dxa"/>
            <w:tcBorders>
              <w:top w:val="nil"/>
              <w:left w:val="nil"/>
              <w:bottom w:val="nil"/>
              <w:right w:val="nil"/>
            </w:tcBorders>
            <w:shd w:val="solid" w:color="FFFFFF" w:fill="auto"/>
            <w:vAlign w:val="center"/>
          </w:tcPr>
          <w:p w14:paraId="43BBAEE2" w14:textId="1E54AC20"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rFonts w:asciiTheme="minorHAnsi" w:eastAsiaTheme="minorHAnsi" w:hAnsiTheme="minorHAnsi" w:cstheme="minorHAnsi"/>
                <w:noProof/>
                <w:color w:val="000000"/>
                <w:sz w:val="19"/>
                <w:szCs w:val="19"/>
                <w:lang w:val="es-ES"/>
              </w:rPr>
              <w:t xml:space="preserve">  3</w:t>
            </w:r>
            <w:r w:rsidR="00B71CAF" w:rsidRPr="00313E2B">
              <w:rPr>
                <w:rFonts w:asciiTheme="minorHAnsi" w:eastAsiaTheme="minorHAnsi" w:hAnsiTheme="minorHAnsi" w:cstheme="minorHAnsi"/>
                <w:noProof/>
                <w:color w:val="000000"/>
                <w:sz w:val="19"/>
                <w:szCs w:val="19"/>
                <w:lang w:val="es-ES"/>
              </w:rPr>
              <w:t xml:space="preserve"> </w:t>
            </w:r>
            <w:r w:rsidRPr="00313E2B">
              <w:rPr>
                <w:rFonts w:asciiTheme="minorHAnsi" w:eastAsiaTheme="minorHAnsi" w:hAnsiTheme="minorHAnsi" w:cstheme="minorHAnsi"/>
                <w:noProof/>
                <w:color w:val="000000"/>
                <w:sz w:val="19"/>
                <w:szCs w:val="19"/>
                <w:lang w:val="es-ES"/>
              </w:rPr>
              <w:t xml:space="preserve">779 </w:t>
            </w:r>
          </w:p>
        </w:tc>
        <w:tc>
          <w:tcPr>
            <w:tcW w:w="284" w:type="dxa"/>
            <w:tcBorders>
              <w:top w:val="nil"/>
              <w:left w:val="nil"/>
              <w:bottom w:val="nil"/>
              <w:right w:val="nil"/>
            </w:tcBorders>
            <w:shd w:val="solid" w:color="FFFFFF" w:fill="auto"/>
            <w:vAlign w:val="center"/>
          </w:tcPr>
          <w:p w14:paraId="1230DBE3"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0" w:type="dxa"/>
            <w:tcBorders>
              <w:top w:val="nil"/>
              <w:left w:val="nil"/>
              <w:bottom w:val="nil"/>
              <w:right w:val="nil"/>
            </w:tcBorders>
            <w:shd w:val="solid" w:color="FFFFFF" w:fill="auto"/>
            <w:vAlign w:val="center"/>
          </w:tcPr>
          <w:p w14:paraId="77704763"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rFonts w:asciiTheme="minorHAnsi" w:eastAsiaTheme="minorHAnsi" w:hAnsiTheme="minorHAnsi" w:cstheme="minorHAnsi"/>
                <w:noProof/>
                <w:color w:val="000000"/>
                <w:sz w:val="19"/>
                <w:szCs w:val="19"/>
                <w:lang w:val="es-ES"/>
              </w:rPr>
              <w:t xml:space="preserve">-   </w:t>
            </w:r>
          </w:p>
        </w:tc>
        <w:tc>
          <w:tcPr>
            <w:tcW w:w="236" w:type="dxa"/>
            <w:tcBorders>
              <w:top w:val="nil"/>
              <w:left w:val="nil"/>
              <w:bottom w:val="nil"/>
              <w:right w:val="nil"/>
            </w:tcBorders>
            <w:shd w:val="solid" w:color="FFFFFF" w:fill="auto"/>
            <w:vAlign w:val="center"/>
          </w:tcPr>
          <w:p w14:paraId="296F9C73"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95" w:type="dxa"/>
            <w:tcBorders>
              <w:top w:val="nil"/>
              <w:left w:val="nil"/>
              <w:bottom w:val="nil"/>
              <w:right w:val="nil"/>
            </w:tcBorders>
            <w:shd w:val="solid" w:color="FFFFFF" w:fill="auto"/>
            <w:vAlign w:val="center"/>
          </w:tcPr>
          <w:p w14:paraId="39D1A871" w14:textId="304FAB08"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rFonts w:asciiTheme="minorHAnsi" w:eastAsiaTheme="minorHAnsi" w:hAnsiTheme="minorHAnsi" w:cstheme="minorHAnsi"/>
                <w:noProof/>
                <w:color w:val="000000"/>
                <w:sz w:val="19"/>
                <w:szCs w:val="19"/>
                <w:lang w:val="es-ES"/>
              </w:rPr>
              <w:t xml:space="preserve"> 3</w:t>
            </w:r>
            <w:r w:rsidR="00B71CAF" w:rsidRPr="00313E2B">
              <w:rPr>
                <w:rFonts w:asciiTheme="minorHAnsi" w:eastAsiaTheme="minorHAnsi" w:hAnsiTheme="minorHAnsi" w:cstheme="minorHAnsi"/>
                <w:noProof/>
                <w:color w:val="000000"/>
                <w:sz w:val="19"/>
                <w:szCs w:val="19"/>
                <w:lang w:val="es-ES"/>
              </w:rPr>
              <w:t xml:space="preserve"> </w:t>
            </w:r>
            <w:r w:rsidRPr="00313E2B">
              <w:rPr>
                <w:rFonts w:asciiTheme="minorHAnsi" w:eastAsiaTheme="minorHAnsi" w:hAnsiTheme="minorHAnsi" w:cstheme="minorHAnsi"/>
                <w:noProof/>
                <w:color w:val="000000"/>
                <w:sz w:val="19"/>
                <w:szCs w:val="19"/>
                <w:lang w:val="es-ES"/>
              </w:rPr>
              <w:t xml:space="preserve">779 </w:t>
            </w:r>
          </w:p>
        </w:tc>
        <w:tc>
          <w:tcPr>
            <w:tcW w:w="236" w:type="dxa"/>
            <w:tcBorders>
              <w:top w:val="nil"/>
              <w:left w:val="nil"/>
              <w:bottom w:val="nil"/>
              <w:right w:val="nil"/>
            </w:tcBorders>
            <w:shd w:val="clear" w:color="auto" w:fill="F2F2F2" w:themeFill="background1" w:themeFillShade="F2"/>
            <w:vAlign w:val="center"/>
          </w:tcPr>
          <w:p w14:paraId="3B37C786"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901" w:type="dxa"/>
            <w:tcBorders>
              <w:top w:val="nil"/>
              <w:left w:val="nil"/>
              <w:bottom w:val="nil"/>
              <w:right w:val="nil"/>
            </w:tcBorders>
            <w:shd w:val="solid" w:color="FFFFFF" w:fill="auto"/>
          </w:tcPr>
          <w:p w14:paraId="65EE3CAA" w14:textId="5A3F8B6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3</w:t>
            </w:r>
            <w:r w:rsidR="00B71CAF" w:rsidRPr="00313E2B">
              <w:rPr>
                <w:noProof/>
                <w:sz w:val="19"/>
                <w:szCs w:val="19"/>
                <w:lang w:val="es-ES"/>
              </w:rPr>
              <w:t xml:space="preserve"> </w:t>
            </w:r>
            <w:r w:rsidRPr="00313E2B">
              <w:rPr>
                <w:noProof/>
                <w:sz w:val="19"/>
                <w:szCs w:val="19"/>
                <w:lang w:val="es-ES"/>
              </w:rPr>
              <w:t xml:space="preserve">779 </w:t>
            </w:r>
          </w:p>
        </w:tc>
        <w:tc>
          <w:tcPr>
            <w:tcW w:w="242" w:type="dxa"/>
            <w:tcBorders>
              <w:top w:val="nil"/>
              <w:left w:val="nil"/>
              <w:bottom w:val="nil"/>
              <w:right w:val="nil"/>
            </w:tcBorders>
            <w:shd w:val="solid" w:color="FFFFFF" w:fill="auto"/>
          </w:tcPr>
          <w:p w14:paraId="7F9A2F8E"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793" w:type="dxa"/>
            <w:tcBorders>
              <w:top w:val="nil"/>
              <w:left w:val="nil"/>
              <w:bottom w:val="nil"/>
              <w:right w:val="nil"/>
            </w:tcBorders>
            <w:shd w:val="solid" w:color="FFFFFF" w:fill="auto"/>
          </w:tcPr>
          <w:p w14:paraId="591F46B5" w14:textId="7DC758E6"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w:t>
            </w:r>
          </w:p>
        </w:tc>
        <w:tc>
          <w:tcPr>
            <w:tcW w:w="236" w:type="dxa"/>
            <w:tcBorders>
              <w:top w:val="nil"/>
              <w:left w:val="nil"/>
              <w:bottom w:val="nil"/>
              <w:right w:val="nil"/>
            </w:tcBorders>
            <w:shd w:val="solid" w:color="FFFFFF" w:fill="auto"/>
          </w:tcPr>
          <w:p w14:paraId="1FE86BCB"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6" w:type="dxa"/>
            <w:tcBorders>
              <w:top w:val="nil"/>
              <w:left w:val="nil"/>
              <w:bottom w:val="nil"/>
              <w:right w:val="nil"/>
            </w:tcBorders>
            <w:shd w:val="solid" w:color="FFFFFF" w:fill="auto"/>
          </w:tcPr>
          <w:p w14:paraId="327BFCA6" w14:textId="226E5560"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3</w:t>
            </w:r>
            <w:r w:rsidR="00B71CAF" w:rsidRPr="00313E2B">
              <w:rPr>
                <w:noProof/>
                <w:sz w:val="19"/>
                <w:szCs w:val="19"/>
                <w:lang w:val="es-ES"/>
              </w:rPr>
              <w:t xml:space="preserve"> </w:t>
            </w:r>
            <w:r w:rsidRPr="00313E2B">
              <w:rPr>
                <w:noProof/>
                <w:sz w:val="19"/>
                <w:szCs w:val="19"/>
                <w:lang w:val="es-ES"/>
              </w:rPr>
              <w:t xml:space="preserve">779 </w:t>
            </w:r>
          </w:p>
        </w:tc>
      </w:tr>
      <w:tr w:rsidR="00551574" w:rsidRPr="00313E2B" w14:paraId="1DDFB1E8" w14:textId="77777777" w:rsidTr="00FF2210">
        <w:tc>
          <w:tcPr>
            <w:tcW w:w="3288" w:type="dxa"/>
            <w:tcBorders>
              <w:top w:val="nil"/>
              <w:left w:val="nil"/>
              <w:bottom w:val="nil"/>
              <w:right w:val="nil"/>
            </w:tcBorders>
            <w:shd w:val="solid" w:color="FFFFFF" w:fill="auto"/>
            <w:vAlign w:val="center"/>
          </w:tcPr>
          <w:p w14:paraId="419F8CED" w14:textId="79D2BB05" w:rsidR="00551574" w:rsidRPr="00313E2B" w:rsidRDefault="00551574" w:rsidP="00551574">
            <w:pPr>
              <w:autoSpaceDE w:val="0"/>
              <w:autoSpaceDN w:val="0"/>
              <w:adjustRightInd w:val="0"/>
              <w:rPr>
                <w:rFonts w:asciiTheme="minorHAnsi" w:eastAsiaTheme="minorHAnsi" w:hAnsiTheme="minorHAnsi" w:cstheme="minorHAnsi"/>
                <w:noProof/>
                <w:color w:val="000000"/>
                <w:sz w:val="19"/>
                <w:szCs w:val="19"/>
                <w:lang w:val="es-ES"/>
              </w:rPr>
            </w:pPr>
            <w:r w:rsidRPr="00313E2B">
              <w:rPr>
                <w:rFonts w:asciiTheme="minorHAnsi" w:hAnsiTheme="minorHAnsi"/>
                <w:noProof/>
                <w:sz w:val="19"/>
                <w:szCs w:val="19"/>
                <w:lang w:val="es-ES"/>
              </w:rPr>
              <w:t>Contribuciones voluntarias de EE.UU.</w:t>
            </w:r>
          </w:p>
        </w:tc>
        <w:tc>
          <w:tcPr>
            <w:tcW w:w="708" w:type="dxa"/>
            <w:tcBorders>
              <w:top w:val="nil"/>
              <w:left w:val="nil"/>
              <w:bottom w:val="nil"/>
              <w:right w:val="nil"/>
            </w:tcBorders>
            <w:shd w:val="solid" w:color="FFFFFF" w:fill="auto"/>
          </w:tcPr>
          <w:p w14:paraId="20EE2675" w14:textId="77777777" w:rsidR="00551574" w:rsidRPr="00313E2B" w:rsidRDefault="00551574" w:rsidP="00551574">
            <w:pPr>
              <w:autoSpaceDE w:val="0"/>
              <w:autoSpaceDN w:val="0"/>
              <w:adjustRightInd w:val="0"/>
              <w:ind w:left="0" w:firstLine="0"/>
              <w:jc w:val="center"/>
              <w:rPr>
                <w:rFonts w:asciiTheme="minorHAnsi" w:eastAsiaTheme="minorHAnsi" w:hAnsiTheme="minorHAnsi" w:cstheme="minorHAnsi"/>
                <w:noProof/>
                <w:color w:val="000000"/>
                <w:sz w:val="19"/>
                <w:szCs w:val="19"/>
                <w:lang w:val="es-ES"/>
              </w:rPr>
            </w:pPr>
          </w:p>
        </w:tc>
        <w:tc>
          <w:tcPr>
            <w:tcW w:w="851" w:type="dxa"/>
            <w:tcBorders>
              <w:top w:val="nil"/>
              <w:left w:val="nil"/>
              <w:bottom w:val="nil"/>
              <w:right w:val="nil"/>
            </w:tcBorders>
            <w:shd w:val="solid" w:color="FFFFFF" w:fill="auto"/>
            <w:vAlign w:val="center"/>
          </w:tcPr>
          <w:p w14:paraId="6B461F7B" w14:textId="623DC1DD"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rFonts w:asciiTheme="minorHAnsi" w:eastAsiaTheme="minorHAnsi" w:hAnsiTheme="minorHAnsi" w:cstheme="minorHAnsi"/>
                <w:noProof/>
                <w:color w:val="000000"/>
                <w:sz w:val="19"/>
                <w:szCs w:val="19"/>
                <w:lang w:val="es-ES"/>
              </w:rPr>
              <w:t>1</w:t>
            </w:r>
            <w:r w:rsidR="00B71CAF" w:rsidRPr="00313E2B">
              <w:rPr>
                <w:rFonts w:asciiTheme="minorHAnsi" w:eastAsiaTheme="minorHAnsi" w:hAnsiTheme="minorHAnsi" w:cstheme="minorHAnsi"/>
                <w:noProof/>
                <w:color w:val="000000"/>
                <w:sz w:val="19"/>
                <w:szCs w:val="19"/>
                <w:lang w:val="es-ES"/>
              </w:rPr>
              <w:t xml:space="preserve"> </w:t>
            </w:r>
            <w:r w:rsidRPr="00313E2B">
              <w:rPr>
                <w:rFonts w:asciiTheme="minorHAnsi" w:eastAsiaTheme="minorHAnsi" w:hAnsiTheme="minorHAnsi" w:cstheme="minorHAnsi"/>
                <w:noProof/>
                <w:color w:val="000000"/>
                <w:sz w:val="19"/>
                <w:szCs w:val="19"/>
                <w:lang w:val="es-ES"/>
              </w:rPr>
              <w:t xml:space="preserve">066 </w:t>
            </w:r>
          </w:p>
        </w:tc>
        <w:tc>
          <w:tcPr>
            <w:tcW w:w="284" w:type="dxa"/>
            <w:tcBorders>
              <w:top w:val="nil"/>
              <w:left w:val="nil"/>
              <w:bottom w:val="nil"/>
              <w:right w:val="nil"/>
            </w:tcBorders>
            <w:shd w:val="solid" w:color="FFFFFF" w:fill="auto"/>
            <w:vAlign w:val="center"/>
          </w:tcPr>
          <w:p w14:paraId="7C32AEBC"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0" w:type="dxa"/>
            <w:tcBorders>
              <w:top w:val="nil"/>
              <w:left w:val="nil"/>
              <w:bottom w:val="nil"/>
              <w:right w:val="nil"/>
            </w:tcBorders>
            <w:shd w:val="solid" w:color="FFFFFF" w:fill="auto"/>
            <w:vAlign w:val="center"/>
          </w:tcPr>
          <w:p w14:paraId="3F6668A5"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rFonts w:asciiTheme="minorHAnsi" w:eastAsiaTheme="minorHAnsi" w:hAnsiTheme="minorHAnsi" w:cstheme="minorHAnsi"/>
                <w:noProof/>
                <w:color w:val="000000"/>
                <w:sz w:val="19"/>
                <w:szCs w:val="19"/>
                <w:lang w:val="es-ES"/>
              </w:rPr>
              <w:t xml:space="preserve">-   </w:t>
            </w:r>
          </w:p>
        </w:tc>
        <w:tc>
          <w:tcPr>
            <w:tcW w:w="236" w:type="dxa"/>
            <w:tcBorders>
              <w:top w:val="nil"/>
              <w:left w:val="nil"/>
              <w:bottom w:val="nil"/>
              <w:right w:val="nil"/>
            </w:tcBorders>
            <w:shd w:val="solid" w:color="FFFFFF" w:fill="auto"/>
            <w:vAlign w:val="center"/>
          </w:tcPr>
          <w:p w14:paraId="56C94FA4"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95" w:type="dxa"/>
            <w:tcBorders>
              <w:top w:val="nil"/>
              <w:left w:val="nil"/>
              <w:bottom w:val="nil"/>
              <w:right w:val="nil"/>
            </w:tcBorders>
            <w:shd w:val="solid" w:color="FFFFFF" w:fill="auto"/>
            <w:vAlign w:val="center"/>
          </w:tcPr>
          <w:p w14:paraId="04012E48" w14:textId="0AE98C1F"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rFonts w:asciiTheme="minorHAnsi" w:eastAsiaTheme="minorHAnsi" w:hAnsiTheme="minorHAnsi" w:cstheme="minorHAnsi"/>
                <w:noProof/>
                <w:color w:val="000000"/>
                <w:sz w:val="19"/>
                <w:szCs w:val="19"/>
                <w:lang w:val="es-ES"/>
              </w:rPr>
              <w:t xml:space="preserve">  1</w:t>
            </w:r>
            <w:r w:rsidR="00B71CAF" w:rsidRPr="00313E2B">
              <w:rPr>
                <w:rFonts w:asciiTheme="minorHAnsi" w:eastAsiaTheme="minorHAnsi" w:hAnsiTheme="minorHAnsi" w:cstheme="minorHAnsi"/>
                <w:noProof/>
                <w:color w:val="000000"/>
                <w:sz w:val="19"/>
                <w:szCs w:val="19"/>
                <w:lang w:val="es-ES"/>
              </w:rPr>
              <w:t xml:space="preserve"> </w:t>
            </w:r>
            <w:r w:rsidRPr="00313E2B">
              <w:rPr>
                <w:rFonts w:asciiTheme="minorHAnsi" w:eastAsiaTheme="minorHAnsi" w:hAnsiTheme="minorHAnsi" w:cstheme="minorHAnsi"/>
                <w:noProof/>
                <w:color w:val="000000"/>
                <w:sz w:val="19"/>
                <w:szCs w:val="19"/>
                <w:lang w:val="es-ES"/>
              </w:rPr>
              <w:t xml:space="preserve">066 </w:t>
            </w:r>
          </w:p>
        </w:tc>
        <w:tc>
          <w:tcPr>
            <w:tcW w:w="236" w:type="dxa"/>
            <w:tcBorders>
              <w:top w:val="nil"/>
              <w:left w:val="nil"/>
              <w:bottom w:val="nil"/>
              <w:right w:val="nil"/>
            </w:tcBorders>
            <w:shd w:val="clear" w:color="auto" w:fill="F2F2F2" w:themeFill="background1" w:themeFillShade="F2"/>
            <w:vAlign w:val="center"/>
          </w:tcPr>
          <w:p w14:paraId="3C59429E"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901" w:type="dxa"/>
            <w:tcBorders>
              <w:top w:val="nil"/>
              <w:left w:val="nil"/>
              <w:bottom w:val="nil"/>
              <w:right w:val="nil"/>
            </w:tcBorders>
            <w:shd w:val="solid" w:color="FFFFFF" w:fill="auto"/>
          </w:tcPr>
          <w:p w14:paraId="475D85A8" w14:textId="33CACEE6"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1</w:t>
            </w:r>
            <w:r w:rsidR="00B71CAF" w:rsidRPr="00313E2B">
              <w:rPr>
                <w:noProof/>
                <w:sz w:val="19"/>
                <w:szCs w:val="19"/>
                <w:lang w:val="es-ES"/>
              </w:rPr>
              <w:t xml:space="preserve"> </w:t>
            </w:r>
            <w:r w:rsidRPr="00313E2B">
              <w:rPr>
                <w:noProof/>
                <w:sz w:val="19"/>
                <w:szCs w:val="19"/>
                <w:lang w:val="es-ES"/>
              </w:rPr>
              <w:t xml:space="preserve">066 </w:t>
            </w:r>
          </w:p>
        </w:tc>
        <w:tc>
          <w:tcPr>
            <w:tcW w:w="242" w:type="dxa"/>
            <w:tcBorders>
              <w:top w:val="nil"/>
              <w:left w:val="nil"/>
              <w:bottom w:val="nil"/>
              <w:right w:val="nil"/>
            </w:tcBorders>
            <w:shd w:val="solid" w:color="FFFFFF" w:fill="auto"/>
          </w:tcPr>
          <w:p w14:paraId="69DD6B33"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793" w:type="dxa"/>
            <w:tcBorders>
              <w:top w:val="nil"/>
              <w:left w:val="nil"/>
              <w:bottom w:val="nil"/>
              <w:right w:val="nil"/>
            </w:tcBorders>
            <w:shd w:val="solid" w:color="FFFFFF" w:fill="auto"/>
          </w:tcPr>
          <w:p w14:paraId="6E667651" w14:textId="65C5C635"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w:t>
            </w:r>
          </w:p>
        </w:tc>
        <w:tc>
          <w:tcPr>
            <w:tcW w:w="236" w:type="dxa"/>
            <w:tcBorders>
              <w:top w:val="nil"/>
              <w:left w:val="nil"/>
              <w:bottom w:val="nil"/>
              <w:right w:val="nil"/>
            </w:tcBorders>
            <w:shd w:val="solid" w:color="FFFFFF" w:fill="auto"/>
          </w:tcPr>
          <w:p w14:paraId="6BD5E5C1"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6" w:type="dxa"/>
            <w:tcBorders>
              <w:top w:val="nil"/>
              <w:left w:val="nil"/>
              <w:bottom w:val="nil"/>
              <w:right w:val="nil"/>
            </w:tcBorders>
            <w:shd w:val="solid" w:color="FFFFFF" w:fill="auto"/>
          </w:tcPr>
          <w:p w14:paraId="07DBFF59" w14:textId="5348D92E"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1</w:t>
            </w:r>
            <w:r w:rsidR="00B71CAF" w:rsidRPr="00313E2B">
              <w:rPr>
                <w:noProof/>
                <w:sz w:val="19"/>
                <w:szCs w:val="19"/>
                <w:lang w:val="es-ES"/>
              </w:rPr>
              <w:t xml:space="preserve"> </w:t>
            </w:r>
            <w:r w:rsidRPr="00313E2B">
              <w:rPr>
                <w:noProof/>
                <w:sz w:val="19"/>
                <w:szCs w:val="19"/>
                <w:lang w:val="es-ES"/>
              </w:rPr>
              <w:t xml:space="preserve">066 </w:t>
            </w:r>
          </w:p>
        </w:tc>
      </w:tr>
      <w:tr w:rsidR="00551574" w:rsidRPr="00313E2B" w14:paraId="42F7E126" w14:textId="77777777" w:rsidTr="00FF2210">
        <w:tc>
          <w:tcPr>
            <w:tcW w:w="3288" w:type="dxa"/>
            <w:tcBorders>
              <w:top w:val="nil"/>
              <w:left w:val="nil"/>
              <w:bottom w:val="nil"/>
              <w:right w:val="nil"/>
            </w:tcBorders>
            <w:shd w:val="solid" w:color="FFFFFF" w:fill="auto"/>
            <w:vAlign w:val="center"/>
          </w:tcPr>
          <w:p w14:paraId="29B8CA14" w14:textId="38890A91" w:rsidR="00551574" w:rsidRPr="00313E2B" w:rsidRDefault="00551574" w:rsidP="00551574">
            <w:pPr>
              <w:autoSpaceDE w:val="0"/>
              <w:autoSpaceDN w:val="0"/>
              <w:adjustRightInd w:val="0"/>
              <w:rPr>
                <w:rFonts w:asciiTheme="minorHAnsi" w:eastAsiaTheme="minorHAnsi" w:hAnsiTheme="minorHAnsi" w:cstheme="minorHAnsi"/>
                <w:noProof/>
                <w:color w:val="000000"/>
                <w:sz w:val="19"/>
                <w:szCs w:val="19"/>
                <w:lang w:val="es-ES"/>
              </w:rPr>
            </w:pPr>
            <w:r w:rsidRPr="00313E2B">
              <w:rPr>
                <w:rFonts w:asciiTheme="minorHAnsi" w:hAnsiTheme="minorHAnsi"/>
                <w:noProof/>
                <w:spacing w:val="-4"/>
                <w:sz w:val="19"/>
                <w:szCs w:val="19"/>
                <w:lang w:val="es-ES"/>
              </w:rPr>
              <w:t>Contribuciones voluntarias de países africanos</w:t>
            </w:r>
          </w:p>
        </w:tc>
        <w:tc>
          <w:tcPr>
            <w:tcW w:w="708" w:type="dxa"/>
            <w:tcBorders>
              <w:top w:val="nil"/>
              <w:left w:val="nil"/>
              <w:bottom w:val="nil"/>
              <w:right w:val="nil"/>
            </w:tcBorders>
            <w:shd w:val="solid" w:color="FFFFFF" w:fill="auto"/>
          </w:tcPr>
          <w:p w14:paraId="312D2EF8" w14:textId="77777777" w:rsidR="00551574" w:rsidRPr="00313E2B" w:rsidRDefault="00551574" w:rsidP="00551574">
            <w:pPr>
              <w:autoSpaceDE w:val="0"/>
              <w:autoSpaceDN w:val="0"/>
              <w:adjustRightInd w:val="0"/>
              <w:ind w:left="0" w:firstLine="0"/>
              <w:jc w:val="center"/>
              <w:rPr>
                <w:rFonts w:asciiTheme="minorHAnsi" w:eastAsiaTheme="minorHAnsi" w:hAnsiTheme="minorHAnsi" w:cstheme="minorHAnsi"/>
                <w:noProof/>
                <w:color w:val="000000"/>
                <w:sz w:val="19"/>
                <w:szCs w:val="19"/>
                <w:lang w:val="es-ES"/>
              </w:rPr>
            </w:pPr>
          </w:p>
        </w:tc>
        <w:tc>
          <w:tcPr>
            <w:tcW w:w="851" w:type="dxa"/>
            <w:tcBorders>
              <w:top w:val="nil"/>
              <w:left w:val="nil"/>
              <w:bottom w:val="nil"/>
              <w:right w:val="nil"/>
            </w:tcBorders>
            <w:shd w:val="solid" w:color="FFFFFF" w:fill="auto"/>
            <w:vAlign w:val="center"/>
          </w:tcPr>
          <w:p w14:paraId="2D6FA16F"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rFonts w:asciiTheme="minorHAnsi" w:eastAsiaTheme="minorHAnsi" w:hAnsiTheme="minorHAnsi" w:cstheme="minorHAnsi"/>
                <w:noProof/>
                <w:color w:val="000000"/>
                <w:sz w:val="19"/>
                <w:szCs w:val="19"/>
                <w:lang w:val="es-ES"/>
              </w:rPr>
              <w:t xml:space="preserve">-   </w:t>
            </w:r>
          </w:p>
        </w:tc>
        <w:tc>
          <w:tcPr>
            <w:tcW w:w="284" w:type="dxa"/>
            <w:tcBorders>
              <w:top w:val="nil"/>
              <w:left w:val="nil"/>
              <w:bottom w:val="nil"/>
              <w:right w:val="nil"/>
            </w:tcBorders>
            <w:shd w:val="solid" w:color="FFFFFF" w:fill="auto"/>
            <w:vAlign w:val="center"/>
          </w:tcPr>
          <w:p w14:paraId="2E90E1C9"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0" w:type="dxa"/>
            <w:tcBorders>
              <w:top w:val="nil"/>
              <w:left w:val="nil"/>
              <w:bottom w:val="nil"/>
              <w:right w:val="nil"/>
            </w:tcBorders>
            <w:vAlign w:val="center"/>
          </w:tcPr>
          <w:p w14:paraId="0732BA48" w14:textId="2E2254CA"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rFonts w:asciiTheme="minorHAnsi" w:eastAsiaTheme="minorHAnsi" w:hAnsiTheme="minorHAnsi" w:cstheme="minorHAnsi"/>
                <w:noProof/>
                <w:color w:val="000000"/>
                <w:sz w:val="19"/>
                <w:szCs w:val="19"/>
                <w:lang w:val="es-ES"/>
              </w:rPr>
              <w:t xml:space="preserve">  11 </w:t>
            </w:r>
          </w:p>
        </w:tc>
        <w:tc>
          <w:tcPr>
            <w:tcW w:w="236" w:type="dxa"/>
            <w:tcBorders>
              <w:top w:val="nil"/>
              <w:left w:val="nil"/>
              <w:bottom w:val="nil"/>
              <w:right w:val="nil"/>
            </w:tcBorders>
            <w:shd w:val="solid" w:color="FFFFFF" w:fill="auto"/>
            <w:vAlign w:val="center"/>
          </w:tcPr>
          <w:p w14:paraId="402122F7"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95" w:type="dxa"/>
            <w:tcBorders>
              <w:top w:val="nil"/>
              <w:left w:val="nil"/>
              <w:bottom w:val="nil"/>
              <w:right w:val="nil"/>
            </w:tcBorders>
            <w:shd w:val="solid" w:color="FFFFFF" w:fill="auto"/>
            <w:vAlign w:val="center"/>
          </w:tcPr>
          <w:p w14:paraId="52472A28" w14:textId="761B83C0"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rFonts w:asciiTheme="minorHAnsi" w:eastAsiaTheme="minorHAnsi" w:hAnsiTheme="minorHAnsi" w:cstheme="minorHAnsi"/>
                <w:noProof/>
                <w:color w:val="000000"/>
                <w:sz w:val="19"/>
                <w:szCs w:val="19"/>
                <w:lang w:val="es-ES"/>
              </w:rPr>
              <w:t xml:space="preserve"> 11 </w:t>
            </w:r>
          </w:p>
        </w:tc>
        <w:tc>
          <w:tcPr>
            <w:tcW w:w="236" w:type="dxa"/>
            <w:tcBorders>
              <w:top w:val="nil"/>
              <w:left w:val="nil"/>
              <w:bottom w:val="nil"/>
              <w:right w:val="nil"/>
            </w:tcBorders>
            <w:shd w:val="clear" w:color="auto" w:fill="F2F2F2" w:themeFill="background1" w:themeFillShade="F2"/>
            <w:vAlign w:val="center"/>
          </w:tcPr>
          <w:p w14:paraId="0F2924DD"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901" w:type="dxa"/>
            <w:tcBorders>
              <w:top w:val="nil"/>
              <w:left w:val="nil"/>
              <w:bottom w:val="nil"/>
              <w:right w:val="nil"/>
            </w:tcBorders>
            <w:shd w:val="solid" w:color="FFFFFF" w:fill="auto"/>
          </w:tcPr>
          <w:p w14:paraId="3877EE14" w14:textId="189A49B3"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w:t>
            </w:r>
          </w:p>
        </w:tc>
        <w:tc>
          <w:tcPr>
            <w:tcW w:w="242" w:type="dxa"/>
            <w:tcBorders>
              <w:top w:val="nil"/>
              <w:left w:val="nil"/>
              <w:bottom w:val="nil"/>
              <w:right w:val="nil"/>
            </w:tcBorders>
            <w:shd w:val="solid" w:color="FFFFFF" w:fill="auto"/>
          </w:tcPr>
          <w:p w14:paraId="6BF54D27"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793" w:type="dxa"/>
            <w:tcBorders>
              <w:top w:val="nil"/>
              <w:left w:val="nil"/>
              <w:bottom w:val="nil"/>
              <w:right w:val="nil"/>
            </w:tcBorders>
            <w:shd w:val="solid" w:color="FFFFFF" w:fill="auto"/>
          </w:tcPr>
          <w:p w14:paraId="3C9DD3D8" w14:textId="720A0FB2"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12 </w:t>
            </w:r>
          </w:p>
        </w:tc>
        <w:tc>
          <w:tcPr>
            <w:tcW w:w="236" w:type="dxa"/>
            <w:tcBorders>
              <w:top w:val="nil"/>
              <w:left w:val="nil"/>
              <w:bottom w:val="nil"/>
              <w:right w:val="nil"/>
            </w:tcBorders>
            <w:shd w:val="solid" w:color="FFFFFF" w:fill="auto"/>
          </w:tcPr>
          <w:p w14:paraId="0DD4D6EB"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6" w:type="dxa"/>
            <w:tcBorders>
              <w:top w:val="nil"/>
              <w:left w:val="nil"/>
              <w:bottom w:val="nil"/>
              <w:right w:val="nil"/>
            </w:tcBorders>
            <w:shd w:val="solid" w:color="FFFFFF" w:fill="auto"/>
          </w:tcPr>
          <w:p w14:paraId="3945B9DB" w14:textId="07091E4C"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12 </w:t>
            </w:r>
          </w:p>
        </w:tc>
      </w:tr>
      <w:tr w:rsidR="00551574" w:rsidRPr="00313E2B" w14:paraId="5F85235A" w14:textId="77777777" w:rsidTr="00FF2210">
        <w:tc>
          <w:tcPr>
            <w:tcW w:w="3288" w:type="dxa"/>
            <w:tcBorders>
              <w:top w:val="nil"/>
              <w:left w:val="nil"/>
              <w:bottom w:val="nil"/>
              <w:right w:val="nil"/>
            </w:tcBorders>
            <w:shd w:val="solid" w:color="FFFFFF" w:fill="auto"/>
            <w:vAlign w:val="center"/>
          </w:tcPr>
          <w:p w14:paraId="3A85396F" w14:textId="1ED9D52C" w:rsidR="00551574" w:rsidRPr="00313E2B" w:rsidRDefault="00551574" w:rsidP="00551574">
            <w:pPr>
              <w:autoSpaceDE w:val="0"/>
              <w:autoSpaceDN w:val="0"/>
              <w:adjustRightInd w:val="0"/>
              <w:rPr>
                <w:rFonts w:asciiTheme="minorHAnsi" w:eastAsiaTheme="minorHAnsi" w:hAnsiTheme="minorHAnsi" w:cstheme="minorHAnsi"/>
                <w:noProof/>
                <w:color w:val="000000"/>
                <w:sz w:val="19"/>
                <w:szCs w:val="19"/>
                <w:lang w:val="es-ES"/>
              </w:rPr>
            </w:pPr>
            <w:r w:rsidRPr="00313E2B">
              <w:rPr>
                <w:rFonts w:asciiTheme="minorHAnsi" w:hAnsiTheme="minorHAnsi"/>
                <w:noProof/>
                <w:sz w:val="19"/>
                <w:szCs w:val="19"/>
                <w:lang w:val="es-ES"/>
              </w:rPr>
              <w:t xml:space="preserve">Ingresos de proyectos </w:t>
            </w:r>
          </w:p>
        </w:tc>
        <w:tc>
          <w:tcPr>
            <w:tcW w:w="708" w:type="dxa"/>
            <w:tcBorders>
              <w:top w:val="nil"/>
              <w:left w:val="nil"/>
              <w:bottom w:val="nil"/>
              <w:right w:val="nil"/>
            </w:tcBorders>
            <w:shd w:val="solid" w:color="FFFFFF" w:fill="auto"/>
          </w:tcPr>
          <w:p w14:paraId="23F92DDE" w14:textId="77777777" w:rsidR="00551574" w:rsidRPr="00313E2B" w:rsidRDefault="00551574" w:rsidP="00551574">
            <w:pPr>
              <w:autoSpaceDE w:val="0"/>
              <w:autoSpaceDN w:val="0"/>
              <w:adjustRightInd w:val="0"/>
              <w:ind w:left="0" w:firstLine="0"/>
              <w:jc w:val="center"/>
              <w:rPr>
                <w:rFonts w:asciiTheme="minorHAnsi" w:eastAsiaTheme="minorHAnsi" w:hAnsiTheme="minorHAnsi" w:cstheme="minorHAnsi"/>
                <w:noProof/>
                <w:color w:val="000000"/>
                <w:sz w:val="19"/>
                <w:szCs w:val="19"/>
                <w:lang w:val="es-ES"/>
              </w:rPr>
            </w:pPr>
          </w:p>
        </w:tc>
        <w:tc>
          <w:tcPr>
            <w:tcW w:w="851" w:type="dxa"/>
            <w:tcBorders>
              <w:top w:val="nil"/>
              <w:left w:val="nil"/>
              <w:bottom w:val="nil"/>
              <w:right w:val="nil"/>
            </w:tcBorders>
            <w:shd w:val="solid" w:color="FFFFFF" w:fill="auto"/>
            <w:vAlign w:val="center"/>
          </w:tcPr>
          <w:p w14:paraId="29616F9F"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rFonts w:asciiTheme="minorHAnsi" w:eastAsiaTheme="minorHAnsi" w:hAnsiTheme="minorHAnsi" w:cstheme="minorHAnsi"/>
                <w:noProof/>
                <w:color w:val="000000"/>
                <w:sz w:val="19"/>
                <w:szCs w:val="19"/>
                <w:lang w:val="es-ES"/>
              </w:rPr>
              <w:t xml:space="preserve">-   </w:t>
            </w:r>
          </w:p>
        </w:tc>
        <w:tc>
          <w:tcPr>
            <w:tcW w:w="284" w:type="dxa"/>
            <w:tcBorders>
              <w:top w:val="nil"/>
              <w:left w:val="nil"/>
              <w:bottom w:val="nil"/>
              <w:right w:val="nil"/>
            </w:tcBorders>
            <w:shd w:val="solid" w:color="FFFFFF" w:fill="auto"/>
            <w:vAlign w:val="center"/>
          </w:tcPr>
          <w:p w14:paraId="1A03F5AA"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0" w:type="dxa"/>
            <w:tcBorders>
              <w:top w:val="nil"/>
              <w:left w:val="nil"/>
              <w:bottom w:val="nil"/>
              <w:right w:val="nil"/>
            </w:tcBorders>
            <w:shd w:val="solid" w:color="FFFFFF" w:fill="auto"/>
            <w:vAlign w:val="center"/>
          </w:tcPr>
          <w:p w14:paraId="24F43880" w14:textId="03DBFC31"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rFonts w:asciiTheme="minorHAnsi" w:eastAsiaTheme="minorHAnsi" w:hAnsiTheme="minorHAnsi" w:cstheme="minorHAnsi"/>
                <w:noProof/>
                <w:color w:val="000000"/>
                <w:sz w:val="19"/>
                <w:szCs w:val="19"/>
                <w:lang w:val="es-ES"/>
              </w:rPr>
              <w:t xml:space="preserve"> 462 </w:t>
            </w:r>
          </w:p>
        </w:tc>
        <w:tc>
          <w:tcPr>
            <w:tcW w:w="236" w:type="dxa"/>
            <w:tcBorders>
              <w:top w:val="nil"/>
              <w:left w:val="nil"/>
              <w:bottom w:val="nil"/>
              <w:right w:val="nil"/>
            </w:tcBorders>
            <w:shd w:val="solid" w:color="FFFFFF" w:fill="auto"/>
            <w:vAlign w:val="center"/>
          </w:tcPr>
          <w:p w14:paraId="482853C0"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95" w:type="dxa"/>
            <w:tcBorders>
              <w:top w:val="nil"/>
              <w:left w:val="nil"/>
              <w:bottom w:val="nil"/>
              <w:right w:val="nil"/>
            </w:tcBorders>
            <w:shd w:val="solid" w:color="FFFFFF" w:fill="auto"/>
            <w:vAlign w:val="center"/>
          </w:tcPr>
          <w:p w14:paraId="4E21D101" w14:textId="29668838"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rFonts w:asciiTheme="minorHAnsi" w:eastAsiaTheme="minorHAnsi" w:hAnsiTheme="minorHAnsi" w:cstheme="minorHAnsi"/>
                <w:noProof/>
                <w:color w:val="000000"/>
                <w:sz w:val="19"/>
                <w:szCs w:val="19"/>
                <w:lang w:val="es-ES"/>
              </w:rPr>
              <w:t xml:space="preserve">462 </w:t>
            </w:r>
          </w:p>
        </w:tc>
        <w:tc>
          <w:tcPr>
            <w:tcW w:w="236" w:type="dxa"/>
            <w:tcBorders>
              <w:top w:val="nil"/>
              <w:left w:val="nil"/>
              <w:bottom w:val="nil"/>
              <w:right w:val="nil"/>
            </w:tcBorders>
            <w:shd w:val="clear" w:color="auto" w:fill="F2F2F2" w:themeFill="background1" w:themeFillShade="F2"/>
            <w:vAlign w:val="center"/>
          </w:tcPr>
          <w:p w14:paraId="025BEE8E"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901" w:type="dxa"/>
            <w:tcBorders>
              <w:top w:val="nil"/>
              <w:left w:val="nil"/>
              <w:bottom w:val="nil"/>
              <w:right w:val="nil"/>
            </w:tcBorders>
            <w:shd w:val="solid" w:color="FFFFFF" w:fill="auto"/>
          </w:tcPr>
          <w:p w14:paraId="1BDB733D" w14:textId="5D848A75"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w:t>
            </w:r>
          </w:p>
        </w:tc>
        <w:tc>
          <w:tcPr>
            <w:tcW w:w="242" w:type="dxa"/>
            <w:tcBorders>
              <w:top w:val="nil"/>
              <w:left w:val="nil"/>
              <w:bottom w:val="nil"/>
              <w:right w:val="nil"/>
            </w:tcBorders>
            <w:shd w:val="solid" w:color="FFFFFF" w:fill="auto"/>
          </w:tcPr>
          <w:p w14:paraId="4CE0A0BC"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793" w:type="dxa"/>
            <w:tcBorders>
              <w:top w:val="nil"/>
              <w:left w:val="nil"/>
              <w:bottom w:val="nil"/>
              <w:right w:val="nil"/>
            </w:tcBorders>
            <w:shd w:val="solid" w:color="FFFFFF" w:fill="auto"/>
          </w:tcPr>
          <w:p w14:paraId="60833844" w14:textId="40C09A99"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47 </w:t>
            </w:r>
          </w:p>
        </w:tc>
        <w:tc>
          <w:tcPr>
            <w:tcW w:w="236" w:type="dxa"/>
            <w:tcBorders>
              <w:top w:val="nil"/>
              <w:left w:val="nil"/>
              <w:bottom w:val="nil"/>
              <w:right w:val="nil"/>
            </w:tcBorders>
            <w:shd w:val="solid" w:color="FFFFFF" w:fill="auto"/>
          </w:tcPr>
          <w:p w14:paraId="25127F17"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6" w:type="dxa"/>
            <w:tcBorders>
              <w:top w:val="nil"/>
              <w:left w:val="nil"/>
              <w:bottom w:val="nil"/>
              <w:right w:val="nil"/>
            </w:tcBorders>
            <w:shd w:val="solid" w:color="FFFFFF" w:fill="auto"/>
          </w:tcPr>
          <w:p w14:paraId="51A26EE5" w14:textId="37F7AF3B"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47 </w:t>
            </w:r>
          </w:p>
        </w:tc>
      </w:tr>
      <w:tr w:rsidR="00551574" w:rsidRPr="00313E2B" w14:paraId="4E5D72D5" w14:textId="77777777" w:rsidTr="00FF2210">
        <w:tc>
          <w:tcPr>
            <w:tcW w:w="3288" w:type="dxa"/>
            <w:tcBorders>
              <w:top w:val="nil"/>
              <w:left w:val="nil"/>
              <w:bottom w:val="nil"/>
              <w:right w:val="nil"/>
            </w:tcBorders>
            <w:shd w:val="solid" w:color="FFFFFF" w:fill="auto"/>
            <w:vAlign w:val="center"/>
          </w:tcPr>
          <w:p w14:paraId="11AA1D92" w14:textId="44413FE7" w:rsidR="00551574" w:rsidRPr="00313E2B" w:rsidRDefault="00551574" w:rsidP="00551574">
            <w:pPr>
              <w:autoSpaceDE w:val="0"/>
              <w:autoSpaceDN w:val="0"/>
              <w:adjustRightInd w:val="0"/>
              <w:rPr>
                <w:rFonts w:asciiTheme="minorHAnsi" w:eastAsiaTheme="minorHAnsi" w:hAnsiTheme="minorHAnsi" w:cstheme="minorHAnsi"/>
                <w:noProof/>
                <w:color w:val="000000"/>
                <w:sz w:val="19"/>
                <w:szCs w:val="19"/>
                <w:lang w:val="es-ES"/>
              </w:rPr>
            </w:pPr>
            <w:r w:rsidRPr="00313E2B">
              <w:rPr>
                <w:rFonts w:asciiTheme="minorHAnsi" w:hAnsiTheme="minorHAnsi"/>
                <w:noProof/>
                <w:sz w:val="19"/>
                <w:szCs w:val="19"/>
                <w:lang w:val="es-ES"/>
              </w:rPr>
              <w:t>Devoluciones de impuestos suizos</w:t>
            </w:r>
          </w:p>
        </w:tc>
        <w:tc>
          <w:tcPr>
            <w:tcW w:w="708" w:type="dxa"/>
            <w:tcBorders>
              <w:top w:val="nil"/>
              <w:left w:val="nil"/>
              <w:bottom w:val="nil"/>
              <w:right w:val="nil"/>
            </w:tcBorders>
            <w:shd w:val="solid" w:color="FFFFFF" w:fill="auto"/>
          </w:tcPr>
          <w:p w14:paraId="463D36C4" w14:textId="77777777" w:rsidR="00551574" w:rsidRPr="00313E2B" w:rsidRDefault="00551574" w:rsidP="00551574">
            <w:pPr>
              <w:autoSpaceDE w:val="0"/>
              <w:autoSpaceDN w:val="0"/>
              <w:adjustRightInd w:val="0"/>
              <w:ind w:left="0" w:firstLine="0"/>
              <w:jc w:val="center"/>
              <w:rPr>
                <w:rFonts w:asciiTheme="minorHAnsi" w:eastAsiaTheme="minorHAnsi" w:hAnsiTheme="minorHAnsi" w:cstheme="minorHAnsi"/>
                <w:noProof/>
                <w:color w:val="000000"/>
                <w:sz w:val="19"/>
                <w:szCs w:val="19"/>
                <w:lang w:val="es-ES"/>
              </w:rPr>
            </w:pPr>
            <w:r w:rsidRPr="00313E2B">
              <w:rPr>
                <w:rFonts w:asciiTheme="minorHAnsi" w:eastAsiaTheme="minorHAnsi" w:hAnsiTheme="minorHAnsi" w:cstheme="minorHAnsi"/>
                <w:noProof/>
                <w:color w:val="000000"/>
                <w:sz w:val="19"/>
                <w:szCs w:val="19"/>
                <w:lang w:val="es-ES"/>
              </w:rPr>
              <w:t>10</w:t>
            </w:r>
          </w:p>
        </w:tc>
        <w:tc>
          <w:tcPr>
            <w:tcW w:w="851" w:type="dxa"/>
            <w:tcBorders>
              <w:top w:val="nil"/>
              <w:left w:val="nil"/>
              <w:bottom w:val="single" w:sz="6" w:space="0" w:color="auto"/>
              <w:right w:val="nil"/>
            </w:tcBorders>
            <w:shd w:val="solid" w:color="FFFFFF" w:fill="auto"/>
            <w:vAlign w:val="center"/>
          </w:tcPr>
          <w:p w14:paraId="356AD70B" w14:textId="340A477F"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rFonts w:asciiTheme="minorHAnsi" w:eastAsiaTheme="minorHAnsi" w:hAnsiTheme="minorHAnsi" w:cstheme="minorHAnsi"/>
                <w:noProof/>
                <w:color w:val="000000"/>
                <w:sz w:val="19"/>
                <w:szCs w:val="19"/>
                <w:lang w:val="es-ES"/>
              </w:rPr>
              <w:t xml:space="preserve">227 </w:t>
            </w:r>
          </w:p>
        </w:tc>
        <w:tc>
          <w:tcPr>
            <w:tcW w:w="284" w:type="dxa"/>
            <w:tcBorders>
              <w:top w:val="nil"/>
              <w:left w:val="nil"/>
              <w:bottom w:val="single" w:sz="6" w:space="0" w:color="auto"/>
              <w:right w:val="nil"/>
            </w:tcBorders>
            <w:shd w:val="solid" w:color="FFFFFF" w:fill="auto"/>
            <w:vAlign w:val="center"/>
          </w:tcPr>
          <w:p w14:paraId="5EC892AB"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0" w:type="dxa"/>
            <w:tcBorders>
              <w:top w:val="nil"/>
              <w:left w:val="nil"/>
              <w:bottom w:val="single" w:sz="6" w:space="0" w:color="auto"/>
              <w:right w:val="nil"/>
            </w:tcBorders>
            <w:shd w:val="solid" w:color="FFFFFF" w:fill="auto"/>
            <w:vAlign w:val="center"/>
          </w:tcPr>
          <w:p w14:paraId="4FAF8383"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rFonts w:asciiTheme="minorHAnsi" w:eastAsiaTheme="minorHAnsi" w:hAnsiTheme="minorHAnsi" w:cstheme="minorHAnsi"/>
                <w:noProof/>
                <w:color w:val="000000"/>
                <w:sz w:val="19"/>
                <w:szCs w:val="19"/>
                <w:lang w:val="es-ES"/>
              </w:rPr>
              <w:t xml:space="preserve">-   </w:t>
            </w:r>
          </w:p>
        </w:tc>
        <w:tc>
          <w:tcPr>
            <w:tcW w:w="236" w:type="dxa"/>
            <w:tcBorders>
              <w:top w:val="nil"/>
              <w:left w:val="nil"/>
              <w:bottom w:val="single" w:sz="6" w:space="0" w:color="auto"/>
              <w:right w:val="nil"/>
            </w:tcBorders>
            <w:shd w:val="solid" w:color="FFFFFF" w:fill="auto"/>
            <w:vAlign w:val="center"/>
          </w:tcPr>
          <w:p w14:paraId="1B5506D1"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95" w:type="dxa"/>
            <w:tcBorders>
              <w:top w:val="nil"/>
              <w:left w:val="nil"/>
              <w:bottom w:val="single" w:sz="6" w:space="0" w:color="auto"/>
              <w:right w:val="nil"/>
            </w:tcBorders>
            <w:shd w:val="solid" w:color="FFFFFF" w:fill="auto"/>
            <w:vAlign w:val="center"/>
          </w:tcPr>
          <w:p w14:paraId="27F34BAE" w14:textId="09659D8B"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rFonts w:asciiTheme="minorHAnsi" w:eastAsiaTheme="minorHAnsi" w:hAnsiTheme="minorHAnsi" w:cstheme="minorHAnsi"/>
                <w:noProof/>
                <w:color w:val="000000"/>
                <w:sz w:val="19"/>
                <w:szCs w:val="19"/>
                <w:lang w:val="es-ES"/>
              </w:rPr>
              <w:t xml:space="preserve">   227 </w:t>
            </w:r>
          </w:p>
        </w:tc>
        <w:tc>
          <w:tcPr>
            <w:tcW w:w="236" w:type="dxa"/>
            <w:tcBorders>
              <w:top w:val="nil"/>
              <w:left w:val="nil"/>
              <w:bottom w:val="single" w:sz="6" w:space="0" w:color="auto"/>
              <w:right w:val="nil"/>
            </w:tcBorders>
            <w:shd w:val="clear" w:color="auto" w:fill="F2F2F2" w:themeFill="background1" w:themeFillShade="F2"/>
            <w:vAlign w:val="center"/>
          </w:tcPr>
          <w:p w14:paraId="3BAB1E30"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901" w:type="dxa"/>
            <w:tcBorders>
              <w:top w:val="nil"/>
              <w:left w:val="nil"/>
              <w:bottom w:val="single" w:sz="6" w:space="0" w:color="auto"/>
              <w:right w:val="nil"/>
            </w:tcBorders>
            <w:shd w:val="solid" w:color="FFFFFF" w:fill="auto"/>
          </w:tcPr>
          <w:p w14:paraId="2EB1F852" w14:textId="1A599F23"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185 </w:t>
            </w:r>
          </w:p>
        </w:tc>
        <w:tc>
          <w:tcPr>
            <w:tcW w:w="242" w:type="dxa"/>
            <w:tcBorders>
              <w:top w:val="nil"/>
              <w:left w:val="nil"/>
              <w:bottom w:val="single" w:sz="6" w:space="0" w:color="auto"/>
              <w:right w:val="nil"/>
            </w:tcBorders>
            <w:shd w:val="solid" w:color="FFFFFF" w:fill="auto"/>
          </w:tcPr>
          <w:p w14:paraId="7C90364E"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793" w:type="dxa"/>
            <w:tcBorders>
              <w:top w:val="nil"/>
              <w:left w:val="nil"/>
              <w:bottom w:val="single" w:sz="6" w:space="0" w:color="auto"/>
              <w:right w:val="nil"/>
            </w:tcBorders>
            <w:shd w:val="solid" w:color="FFFFFF" w:fill="auto"/>
          </w:tcPr>
          <w:p w14:paraId="43804A58" w14:textId="7B3AB9AF"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w:t>
            </w:r>
          </w:p>
        </w:tc>
        <w:tc>
          <w:tcPr>
            <w:tcW w:w="236" w:type="dxa"/>
            <w:tcBorders>
              <w:top w:val="nil"/>
              <w:left w:val="nil"/>
              <w:bottom w:val="single" w:sz="6" w:space="0" w:color="auto"/>
              <w:right w:val="nil"/>
            </w:tcBorders>
            <w:shd w:val="solid" w:color="FFFFFF" w:fill="auto"/>
          </w:tcPr>
          <w:p w14:paraId="2BB0DD20"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6" w:type="dxa"/>
            <w:tcBorders>
              <w:top w:val="nil"/>
              <w:left w:val="nil"/>
              <w:bottom w:val="single" w:sz="6" w:space="0" w:color="auto"/>
              <w:right w:val="nil"/>
            </w:tcBorders>
            <w:shd w:val="solid" w:color="FFFFFF" w:fill="auto"/>
          </w:tcPr>
          <w:p w14:paraId="3B1FCF38" w14:textId="16F262B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185 </w:t>
            </w:r>
          </w:p>
        </w:tc>
      </w:tr>
      <w:tr w:rsidR="007C6B16" w:rsidRPr="00313E2B" w14:paraId="6DF106CA" w14:textId="77777777" w:rsidTr="002538A3">
        <w:tc>
          <w:tcPr>
            <w:tcW w:w="3288" w:type="dxa"/>
            <w:tcBorders>
              <w:top w:val="nil"/>
              <w:left w:val="nil"/>
              <w:bottom w:val="nil"/>
              <w:right w:val="nil"/>
            </w:tcBorders>
            <w:shd w:val="solid" w:color="FFFFFF" w:fill="auto"/>
          </w:tcPr>
          <w:p w14:paraId="208E10A0" w14:textId="452A29BE" w:rsidR="007C6B16" w:rsidRPr="00313E2B" w:rsidRDefault="007C6B16" w:rsidP="007C6B16">
            <w:pPr>
              <w:autoSpaceDE w:val="0"/>
              <w:autoSpaceDN w:val="0"/>
              <w:adjustRightInd w:val="0"/>
              <w:ind w:left="0" w:firstLine="0"/>
              <w:rPr>
                <w:rFonts w:asciiTheme="minorHAnsi" w:eastAsiaTheme="minorHAnsi" w:hAnsiTheme="minorHAnsi" w:cstheme="minorHAnsi"/>
                <w:b/>
                <w:bCs/>
                <w:noProof/>
                <w:color w:val="000000"/>
                <w:sz w:val="19"/>
                <w:szCs w:val="19"/>
                <w:lang w:val="es-ES"/>
              </w:rPr>
            </w:pPr>
            <w:r w:rsidRPr="00313E2B">
              <w:rPr>
                <w:rFonts w:asciiTheme="minorHAnsi" w:eastAsiaTheme="minorHAnsi" w:hAnsiTheme="minorHAnsi" w:cstheme="minorHAnsi"/>
                <w:b/>
                <w:bCs/>
                <w:noProof/>
                <w:color w:val="000000"/>
                <w:sz w:val="19"/>
                <w:szCs w:val="19"/>
                <w:lang w:val="es-ES"/>
              </w:rPr>
              <w:t>Total</w:t>
            </w:r>
            <w:r w:rsidR="00551574" w:rsidRPr="00313E2B">
              <w:rPr>
                <w:rFonts w:asciiTheme="minorHAnsi" w:eastAsiaTheme="minorHAnsi" w:hAnsiTheme="minorHAnsi" w:cstheme="minorHAnsi"/>
                <w:b/>
                <w:bCs/>
                <w:noProof/>
                <w:color w:val="000000"/>
                <w:sz w:val="19"/>
                <w:szCs w:val="19"/>
                <w:lang w:val="es-ES"/>
              </w:rPr>
              <w:t>, Ingresos</w:t>
            </w:r>
          </w:p>
        </w:tc>
        <w:tc>
          <w:tcPr>
            <w:tcW w:w="708" w:type="dxa"/>
            <w:tcBorders>
              <w:top w:val="nil"/>
              <w:left w:val="nil"/>
              <w:bottom w:val="nil"/>
              <w:right w:val="nil"/>
            </w:tcBorders>
            <w:shd w:val="solid" w:color="FFFFFF" w:fill="auto"/>
          </w:tcPr>
          <w:p w14:paraId="0520840C" w14:textId="77777777" w:rsidR="007C6B16" w:rsidRPr="00313E2B" w:rsidRDefault="007C6B16" w:rsidP="007C6B16">
            <w:pPr>
              <w:autoSpaceDE w:val="0"/>
              <w:autoSpaceDN w:val="0"/>
              <w:adjustRightInd w:val="0"/>
              <w:ind w:left="0" w:firstLine="0"/>
              <w:jc w:val="center"/>
              <w:rPr>
                <w:rFonts w:asciiTheme="minorHAnsi" w:eastAsiaTheme="minorHAnsi" w:hAnsiTheme="minorHAnsi" w:cstheme="minorHAnsi"/>
                <w:noProof/>
                <w:color w:val="000000"/>
                <w:sz w:val="19"/>
                <w:szCs w:val="19"/>
                <w:lang w:val="es-ES"/>
              </w:rPr>
            </w:pPr>
          </w:p>
        </w:tc>
        <w:tc>
          <w:tcPr>
            <w:tcW w:w="851" w:type="dxa"/>
            <w:tcBorders>
              <w:top w:val="single" w:sz="6" w:space="0" w:color="auto"/>
              <w:left w:val="nil"/>
              <w:bottom w:val="single" w:sz="6" w:space="0" w:color="auto"/>
              <w:right w:val="nil"/>
            </w:tcBorders>
            <w:shd w:val="solid" w:color="FFFFFF" w:fill="auto"/>
            <w:vAlign w:val="center"/>
          </w:tcPr>
          <w:p w14:paraId="4B76837F" w14:textId="770CF3A3" w:rsidR="007C6B16" w:rsidRPr="00313E2B" w:rsidRDefault="007C6B16" w:rsidP="007C6B16">
            <w:pPr>
              <w:autoSpaceDE w:val="0"/>
              <w:autoSpaceDN w:val="0"/>
              <w:adjustRightInd w:val="0"/>
              <w:ind w:left="0" w:firstLine="0"/>
              <w:jc w:val="right"/>
              <w:rPr>
                <w:rFonts w:asciiTheme="minorHAnsi" w:eastAsiaTheme="minorHAnsi" w:hAnsiTheme="minorHAnsi" w:cstheme="minorHAnsi"/>
                <w:b/>
                <w:bCs/>
                <w:noProof/>
                <w:color w:val="000000"/>
                <w:sz w:val="19"/>
                <w:szCs w:val="19"/>
                <w:lang w:val="es-ES"/>
              </w:rPr>
            </w:pPr>
            <w:r w:rsidRPr="00313E2B">
              <w:rPr>
                <w:rFonts w:asciiTheme="minorHAnsi" w:eastAsiaTheme="minorHAnsi" w:hAnsiTheme="minorHAnsi" w:cstheme="minorHAnsi"/>
                <w:b/>
                <w:bCs/>
                <w:noProof/>
                <w:color w:val="000000"/>
                <w:sz w:val="19"/>
                <w:szCs w:val="19"/>
                <w:lang w:val="es-ES"/>
              </w:rPr>
              <w:t xml:space="preserve">  5</w:t>
            </w:r>
            <w:r w:rsidR="00B71CAF" w:rsidRPr="00313E2B">
              <w:rPr>
                <w:rFonts w:asciiTheme="minorHAnsi" w:eastAsiaTheme="minorHAnsi" w:hAnsiTheme="minorHAnsi" w:cstheme="minorHAnsi"/>
                <w:b/>
                <w:bCs/>
                <w:noProof/>
                <w:color w:val="000000"/>
                <w:sz w:val="19"/>
                <w:szCs w:val="19"/>
                <w:lang w:val="es-ES"/>
              </w:rPr>
              <w:t xml:space="preserve"> </w:t>
            </w:r>
            <w:r w:rsidR="00A925A3" w:rsidRPr="00313E2B">
              <w:rPr>
                <w:rFonts w:asciiTheme="minorHAnsi" w:eastAsiaTheme="minorHAnsi" w:hAnsiTheme="minorHAnsi" w:cstheme="minorHAnsi"/>
                <w:b/>
                <w:bCs/>
                <w:noProof/>
                <w:color w:val="000000"/>
                <w:sz w:val="19"/>
                <w:szCs w:val="19"/>
                <w:lang w:val="es-ES"/>
              </w:rPr>
              <w:t xml:space="preserve">072 </w:t>
            </w:r>
          </w:p>
        </w:tc>
        <w:tc>
          <w:tcPr>
            <w:tcW w:w="284" w:type="dxa"/>
            <w:tcBorders>
              <w:top w:val="single" w:sz="6" w:space="0" w:color="auto"/>
              <w:left w:val="nil"/>
              <w:bottom w:val="single" w:sz="6" w:space="0" w:color="auto"/>
              <w:right w:val="nil"/>
            </w:tcBorders>
            <w:shd w:val="solid" w:color="FFFFFF" w:fill="auto"/>
            <w:vAlign w:val="center"/>
          </w:tcPr>
          <w:p w14:paraId="1C9F6F63" w14:textId="77777777" w:rsidR="007C6B16" w:rsidRPr="00313E2B" w:rsidRDefault="007C6B16" w:rsidP="007C6B16">
            <w:pPr>
              <w:autoSpaceDE w:val="0"/>
              <w:autoSpaceDN w:val="0"/>
              <w:adjustRightInd w:val="0"/>
              <w:ind w:left="0" w:firstLine="0"/>
              <w:jc w:val="right"/>
              <w:rPr>
                <w:rFonts w:asciiTheme="minorHAnsi" w:eastAsiaTheme="minorHAnsi" w:hAnsiTheme="minorHAnsi" w:cstheme="minorHAnsi"/>
                <w:b/>
                <w:bCs/>
                <w:noProof/>
                <w:color w:val="000000"/>
                <w:sz w:val="19"/>
                <w:szCs w:val="19"/>
                <w:lang w:val="es-ES"/>
              </w:rPr>
            </w:pPr>
          </w:p>
        </w:tc>
        <w:tc>
          <w:tcPr>
            <w:tcW w:w="850" w:type="dxa"/>
            <w:tcBorders>
              <w:top w:val="single" w:sz="6" w:space="0" w:color="auto"/>
              <w:left w:val="nil"/>
              <w:bottom w:val="single" w:sz="6" w:space="0" w:color="auto"/>
              <w:right w:val="nil"/>
            </w:tcBorders>
            <w:shd w:val="solid" w:color="FFFFFF" w:fill="auto"/>
            <w:vAlign w:val="center"/>
          </w:tcPr>
          <w:p w14:paraId="2B80F10C" w14:textId="052C9978" w:rsidR="007C6B16" w:rsidRPr="00313E2B" w:rsidRDefault="00A925A3" w:rsidP="007C6B16">
            <w:pPr>
              <w:autoSpaceDE w:val="0"/>
              <w:autoSpaceDN w:val="0"/>
              <w:adjustRightInd w:val="0"/>
              <w:ind w:left="0" w:firstLine="0"/>
              <w:jc w:val="right"/>
              <w:rPr>
                <w:rFonts w:asciiTheme="minorHAnsi" w:eastAsiaTheme="minorHAnsi" w:hAnsiTheme="minorHAnsi" w:cstheme="minorHAnsi"/>
                <w:b/>
                <w:bCs/>
                <w:noProof/>
                <w:color w:val="000000"/>
                <w:sz w:val="19"/>
                <w:szCs w:val="19"/>
                <w:lang w:val="es-ES"/>
              </w:rPr>
            </w:pPr>
            <w:r w:rsidRPr="00313E2B">
              <w:rPr>
                <w:rFonts w:asciiTheme="minorHAnsi" w:eastAsiaTheme="minorHAnsi" w:hAnsiTheme="minorHAnsi" w:cstheme="minorHAnsi"/>
                <w:b/>
                <w:bCs/>
                <w:noProof/>
                <w:color w:val="000000"/>
                <w:sz w:val="19"/>
                <w:szCs w:val="19"/>
                <w:lang w:val="es-ES"/>
              </w:rPr>
              <w:t xml:space="preserve">473 </w:t>
            </w:r>
          </w:p>
        </w:tc>
        <w:tc>
          <w:tcPr>
            <w:tcW w:w="236" w:type="dxa"/>
            <w:tcBorders>
              <w:top w:val="single" w:sz="6" w:space="0" w:color="auto"/>
              <w:left w:val="nil"/>
              <w:bottom w:val="single" w:sz="6" w:space="0" w:color="auto"/>
              <w:right w:val="nil"/>
            </w:tcBorders>
            <w:shd w:val="solid" w:color="FFFFFF" w:fill="auto"/>
            <w:vAlign w:val="center"/>
          </w:tcPr>
          <w:p w14:paraId="0CAC2929" w14:textId="77777777" w:rsidR="007C6B16" w:rsidRPr="00313E2B" w:rsidRDefault="007C6B16" w:rsidP="007C6B16">
            <w:pPr>
              <w:autoSpaceDE w:val="0"/>
              <w:autoSpaceDN w:val="0"/>
              <w:adjustRightInd w:val="0"/>
              <w:ind w:left="0" w:firstLine="0"/>
              <w:jc w:val="right"/>
              <w:rPr>
                <w:rFonts w:asciiTheme="minorHAnsi" w:eastAsiaTheme="minorHAnsi" w:hAnsiTheme="minorHAnsi" w:cstheme="minorHAnsi"/>
                <w:b/>
                <w:bCs/>
                <w:noProof/>
                <w:color w:val="000000"/>
                <w:sz w:val="19"/>
                <w:szCs w:val="19"/>
                <w:lang w:val="es-ES"/>
              </w:rPr>
            </w:pPr>
          </w:p>
        </w:tc>
        <w:tc>
          <w:tcPr>
            <w:tcW w:w="895" w:type="dxa"/>
            <w:tcBorders>
              <w:top w:val="single" w:sz="6" w:space="0" w:color="auto"/>
              <w:left w:val="nil"/>
              <w:bottom w:val="single" w:sz="6" w:space="0" w:color="auto"/>
              <w:right w:val="nil"/>
            </w:tcBorders>
            <w:shd w:val="solid" w:color="FFFFFF" w:fill="auto"/>
            <w:vAlign w:val="center"/>
          </w:tcPr>
          <w:p w14:paraId="43B3CE87" w14:textId="5A500BCF" w:rsidR="007C6B16" w:rsidRPr="00313E2B" w:rsidRDefault="007C6B16" w:rsidP="007C6B16">
            <w:pPr>
              <w:autoSpaceDE w:val="0"/>
              <w:autoSpaceDN w:val="0"/>
              <w:adjustRightInd w:val="0"/>
              <w:ind w:left="0" w:firstLine="0"/>
              <w:jc w:val="right"/>
              <w:rPr>
                <w:rFonts w:asciiTheme="minorHAnsi" w:eastAsiaTheme="minorHAnsi" w:hAnsiTheme="minorHAnsi" w:cstheme="minorHAnsi"/>
                <w:b/>
                <w:bCs/>
                <w:noProof/>
                <w:color w:val="000000"/>
                <w:sz w:val="19"/>
                <w:szCs w:val="19"/>
                <w:lang w:val="es-ES"/>
              </w:rPr>
            </w:pPr>
            <w:r w:rsidRPr="00313E2B">
              <w:rPr>
                <w:rFonts w:asciiTheme="minorHAnsi" w:eastAsiaTheme="minorHAnsi" w:hAnsiTheme="minorHAnsi" w:cstheme="minorHAnsi"/>
                <w:b/>
                <w:bCs/>
                <w:noProof/>
                <w:color w:val="000000"/>
                <w:sz w:val="19"/>
                <w:szCs w:val="19"/>
                <w:lang w:val="es-ES"/>
              </w:rPr>
              <w:t xml:space="preserve">  5</w:t>
            </w:r>
            <w:r w:rsidR="00B71CAF" w:rsidRPr="00313E2B">
              <w:rPr>
                <w:rFonts w:asciiTheme="minorHAnsi" w:eastAsiaTheme="minorHAnsi" w:hAnsiTheme="minorHAnsi" w:cstheme="minorHAnsi"/>
                <w:b/>
                <w:bCs/>
                <w:noProof/>
                <w:color w:val="000000"/>
                <w:sz w:val="19"/>
                <w:szCs w:val="19"/>
                <w:lang w:val="es-ES"/>
              </w:rPr>
              <w:t xml:space="preserve"> </w:t>
            </w:r>
            <w:r w:rsidR="00A925A3" w:rsidRPr="00313E2B">
              <w:rPr>
                <w:rFonts w:asciiTheme="minorHAnsi" w:eastAsiaTheme="minorHAnsi" w:hAnsiTheme="minorHAnsi" w:cstheme="minorHAnsi"/>
                <w:b/>
                <w:bCs/>
                <w:noProof/>
                <w:color w:val="000000"/>
                <w:sz w:val="19"/>
                <w:szCs w:val="19"/>
                <w:lang w:val="es-ES"/>
              </w:rPr>
              <w:t xml:space="preserve">545 </w:t>
            </w:r>
          </w:p>
        </w:tc>
        <w:tc>
          <w:tcPr>
            <w:tcW w:w="236" w:type="dxa"/>
            <w:tcBorders>
              <w:top w:val="single" w:sz="6" w:space="0" w:color="auto"/>
              <w:left w:val="nil"/>
              <w:bottom w:val="single" w:sz="6" w:space="0" w:color="auto"/>
              <w:right w:val="nil"/>
            </w:tcBorders>
            <w:shd w:val="clear" w:color="auto" w:fill="F2F2F2" w:themeFill="background1" w:themeFillShade="F2"/>
            <w:vAlign w:val="center"/>
          </w:tcPr>
          <w:p w14:paraId="6406F991" w14:textId="77777777" w:rsidR="007C6B16" w:rsidRPr="00313E2B" w:rsidRDefault="007C6B16" w:rsidP="007C6B16">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901" w:type="dxa"/>
            <w:tcBorders>
              <w:top w:val="single" w:sz="6" w:space="0" w:color="auto"/>
              <w:left w:val="nil"/>
              <w:bottom w:val="single" w:sz="6" w:space="0" w:color="auto"/>
              <w:right w:val="nil"/>
            </w:tcBorders>
            <w:shd w:val="solid" w:color="FFFFFF" w:fill="auto"/>
          </w:tcPr>
          <w:p w14:paraId="7AA1186C" w14:textId="17ACBEFA" w:rsidR="007C6B16" w:rsidRPr="00313E2B" w:rsidRDefault="007C6B16" w:rsidP="007C6B16">
            <w:pPr>
              <w:autoSpaceDE w:val="0"/>
              <w:autoSpaceDN w:val="0"/>
              <w:adjustRightInd w:val="0"/>
              <w:ind w:left="0" w:firstLine="0"/>
              <w:jc w:val="right"/>
              <w:rPr>
                <w:rFonts w:asciiTheme="minorHAnsi" w:eastAsiaTheme="minorHAnsi" w:hAnsiTheme="minorHAnsi" w:cstheme="minorHAnsi"/>
                <w:b/>
                <w:bCs/>
                <w:noProof/>
                <w:color w:val="000000"/>
                <w:sz w:val="19"/>
                <w:szCs w:val="19"/>
                <w:lang w:val="es-ES"/>
              </w:rPr>
            </w:pPr>
            <w:r w:rsidRPr="00313E2B">
              <w:rPr>
                <w:noProof/>
                <w:sz w:val="19"/>
                <w:szCs w:val="19"/>
                <w:lang w:val="es-ES"/>
              </w:rPr>
              <w:t xml:space="preserve">  5</w:t>
            </w:r>
            <w:r w:rsidR="00B71CAF" w:rsidRPr="00313E2B">
              <w:rPr>
                <w:noProof/>
                <w:sz w:val="19"/>
                <w:szCs w:val="19"/>
                <w:lang w:val="es-ES"/>
              </w:rPr>
              <w:t xml:space="preserve"> </w:t>
            </w:r>
            <w:r w:rsidRPr="00313E2B">
              <w:rPr>
                <w:noProof/>
                <w:sz w:val="19"/>
                <w:szCs w:val="19"/>
                <w:lang w:val="es-ES"/>
              </w:rPr>
              <w:t xml:space="preserve">030 </w:t>
            </w:r>
          </w:p>
        </w:tc>
        <w:tc>
          <w:tcPr>
            <w:tcW w:w="242" w:type="dxa"/>
            <w:tcBorders>
              <w:top w:val="single" w:sz="6" w:space="0" w:color="auto"/>
              <w:left w:val="nil"/>
              <w:bottom w:val="single" w:sz="6" w:space="0" w:color="auto"/>
              <w:right w:val="nil"/>
            </w:tcBorders>
            <w:shd w:val="solid" w:color="FFFFFF" w:fill="auto"/>
          </w:tcPr>
          <w:p w14:paraId="1132E4E4" w14:textId="77777777" w:rsidR="007C6B16" w:rsidRPr="00313E2B" w:rsidRDefault="007C6B16" w:rsidP="007C6B16">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793" w:type="dxa"/>
            <w:tcBorders>
              <w:top w:val="single" w:sz="6" w:space="0" w:color="auto"/>
              <w:left w:val="nil"/>
              <w:bottom w:val="single" w:sz="6" w:space="0" w:color="auto"/>
              <w:right w:val="nil"/>
            </w:tcBorders>
            <w:shd w:val="solid" w:color="FFFFFF" w:fill="auto"/>
          </w:tcPr>
          <w:p w14:paraId="6883C9D4" w14:textId="58E715D1" w:rsidR="007C6B16" w:rsidRPr="00313E2B" w:rsidRDefault="007C6B16" w:rsidP="007C6B16">
            <w:pPr>
              <w:autoSpaceDE w:val="0"/>
              <w:autoSpaceDN w:val="0"/>
              <w:adjustRightInd w:val="0"/>
              <w:ind w:left="0" w:firstLine="0"/>
              <w:jc w:val="right"/>
              <w:rPr>
                <w:rFonts w:asciiTheme="minorHAnsi" w:eastAsiaTheme="minorHAnsi" w:hAnsiTheme="minorHAnsi" w:cstheme="minorHAnsi"/>
                <w:b/>
                <w:bCs/>
                <w:noProof/>
                <w:color w:val="000000"/>
                <w:sz w:val="19"/>
                <w:szCs w:val="19"/>
                <w:lang w:val="es-ES"/>
              </w:rPr>
            </w:pPr>
            <w:r w:rsidRPr="00313E2B">
              <w:rPr>
                <w:noProof/>
                <w:sz w:val="19"/>
                <w:szCs w:val="19"/>
                <w:lang w:val="es-ES"/>
              </w:rPr>
              <w:t xml:space="preserve">59 </w:t>
            </w:r>
          </w:p>
        </w:tc>
        <w:tc>
          <w:tcPr>
            <w:tcW w:w="236" w:type="dxa"/>
            <w:tcBorders>
              <w:top w:val="single" w:sz="6" w:space="0" w:color="auto"/>
              <w:left w:val="nil"/>
              <w:bottom w:val="single" w:sz="6" w:space="0" w:color="auto"/>
              <w:right w:val="nil"/>
            </w:tcBorders>
            <w:shd w:val="solid" w:color="FFFFFF" w:fill="auto"/>
          </w:tcPr>
          <w:p w14:paraId="22E2C367" w14:textId="77777777" w:rsidR="007C6B16" w:rsidRPr="00313E2B" w:rsidRDefault="007C6B16" w:rsidP="007C6B16">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6" w:type="dxa"/>
            <w:tcBorders>
              <w:top w:val="single" w:sz="6" w:space="0" w:color="auto"/>
              <w:left w:val="nil"/>
              <w:bottom w:val="single" w:sz="6" w:space="0" w:color="auto"/>
              <w:right w:val="nil"/>
            </w:tcBorders>
            <w:shd w:val="solid" w:color="FFFFFF" w:fill="auto"/>
          </w:tcPr>
          <w:p w14:paraId="706F03C8" w14:textId="74F7623A" w:rsidR="007C6B16" w:rsidRPr="00313E2B" w:rsidRDefault="007C6B16" w:rsidP="007C6B16">
            <w:pPr>
              <w:autoSpaceDE w:val="0"/>
              <w:autoSpaceDN w:val="0"/>
              <w:adjustRightInd w:val="0"/>
              <w:ind w:left="0" w:firstLine="0"/>
              <w:jc w:val="right"/>
              <w:rPr>
                <w:rFonts w:asciiTheme="minorHAnsi" w:eastAsiaTheme="minorHAnsi" w:hAnsiTheme="minorHAnsi" w:cstheme="minorHAnsi"/>
                <w:b/>
                <w:bCs/>
                <w:noProof/>
                <w:color w:val="000000"/>
                <w:sz w:val="19"/>
                <w:szCs w:val="19"/>
                <w:lang w:val="es-ES"/>
              </w:rPr>
            </w:pPr>
            <w:r w:rsidRPr="00313E2B">
              <w:rPr>
                <w:noProof/>
                <w:sz w:val="19"/>
                <w:szCs w:val="19"/>
                <w:lang w:val="es-ES"/>
              </w:rPr>
              <w:t xml:space="preserve">  5</w:t>
            </w:r>
            <w:r w:rsidR="00B71CAF" w:rsidRPr="00313E2B">
              <w:rPr>
                <w:noProof/>
                <w:sz w:val="19"/>
                <w:szCs w:val="19"/>
                <w:lang w:val="es-ES"/>
              </w:rPr>
              <w:t xml:space="preserve"> </w:t>
            </w:r>
            <w:r w:rsidRPr="00313E2B">
              <w:rPr>
                <w:noProof/>
                <w:sz w:val="19"/>
                <w:szCs w:val="19"/>
                <w:lang w:val="es-ES"/>
              </w:rPr>
              <w:t xml:space="preserve">089 </w:t>
            </w:r>
          </w:p>
        </w:tc>
      </w:tr>
      <w:tr w:rsidR="00161871" w:rsidRPr="00313E2B" w14:paraId="36E55FEA" w14:textId="77777777" w:rsidTr="00161871">
        <w:tc>
          <w:tcPr>
            <w:tcW w:w="3288" w:type="dxa"/>
            <w:tcBorders>
              <w:top w:val="nil"/>
              <w:left w:val="nil"/>
              <w:bottom w:val="nil"/>
              <w:right w:val="nil"/>
            </w:tcBorders>
            <w:shd w:val="solid" w:color="FFFFFF" w:fill="auto"/>
          </w:tcPr>
          <w:p w14:paraId="529E6C64" w14:textId="77777777" w:rsidR="005219C3" w:rsidRPr="00313E2B" w:rsidRDefault="005219C3" w:rsidP="00161871">
            <w:pPr>
              <w:autoSpaceDE w:val="0"/>
              <w:autoSpaceDN w:val="0"/>
              <w:adjustRightInd w:val="0"/>
              <w:ind w:left="0" w:firstLine="0"/>
              <w:rPr>
                <w:rFonts w:asciiTheme="minorHAnsi" w:eastAsiaTheme="minorHAnsi" w:hAnsiTheme="minorHAnsi" w:cstheme="minorHAnsi"/>
                <w:noProof/>
                <w:color w:val="000000"/>
                <w:sz w:val="19"/>
                <w:szCs w:val="19"/>
                <w:lang w:val="es-ES"/>
              </w:rPr>
            </w:pPr>
          </w:p>
        </w:tc>
        <w:tc>
          <w:tcPr>
            <w:tcW w:w="708" w:type="dxa"/>
            <w:tcBorders>
              <w:top w:val="nil"/>
              <w:left w:val="nil"/>
              <w:bottom w:val="nil"/>
              <w:right w:val="nil"/>
            </w:tcBorders>
            <w:shd w:val="solid" w:color="FFFFFF" w:fill="auto"/>
          </w:tcPr>
          <w:p w14:paraId="22B11FA8" w14:textId="77777777" w:rsidR="005219C3" w:rsidRPr="00313E2B" w:rsidRDefault="005219C3" w:rsidP="005219C3">
            <w:pPr>
              <w:autoSpaceDE w:val="0"/>
              <w:autoSpaceDN w:val="0"/>
              <w:adjustRightInd w:val="0"/>
              <w:ind w:left="0" w:firstLine="0"/>
              <w:jc w:val="center"/>
              <w:rPr>
                <w:rFonts w:asciiTheme="minorHAnsi" w:eastAsiaTheme="minorHAnsi" w:hAnsiTheme="minorHAnsi" w:cstheme="minorHAnsi"/>
                <w:noProof/>
                <w:color w:val="000000"/>
                <w:sz w:val="19"/>
                <w:szCs w:val="19"/>
                <w:lang w:val="es-ES"/>
              </w:rPr>
            </w:pPr>
          </w:p>
        </w:tc>
        <w:tc>
          <w:tcPr>
            <w:tcW w:w="851" w:type="dxa"/>
            <w:tcBorders>
              <w:top w:val="nil"/>
              <w:left w:val="nil"/>
              <w:bottom w:val="nil"/>
              <w:right w:val="nil"/>
            </w:tcBorders>
            <w:shd w:val="solid" w:color="FFFFFF" w:fill="auto"/>
            <w:vAlign w:val="center"/>
          </w:tcPr>
          <w:p w14:paraId="00183605" w14:textId="77777777" w:rsidR="005219C3" w:rsidRPr="00313E2B" w:rsidRDefault="005219C3" w:rsidP="005219C3">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84" w:type="dxa"/>
            <w:tcBorders>
              <w:top w:val="nil"/>
              <w:left w:val="nil"/>
              <w:bottom w:val="nil"/>
              <w:right w:val="nil"/>
            </w:tcBorders>
            <w:shd w:val="solid" w:color="FFFFFF" w:fill="auto"/>
            <w:vAlign w:val="center"/>
          </w:tcPr>
          <w:p w14:paraId="3BDD03F5" w14:textId="77777777" w:rsidR="005219C3" w:rsidRPr="00313E2B" w:rsidRDefault="005219C3" w:rsidP="005219C3">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0" w:type="dxa"/>
            <w:tcBorders>
              <w:top w:val="nil"/>
              <w:left w:val="nil"/>
              <w:bottom w:val="nil"/>
              <w:right w:val="nil"/>
            </w:tcBorders>
            <w:shd w:val="solid" w:color="FFFFFF" w:fill="auto"/>
            <w:vAlign w:val="center"/>
          </w:tcPr>
          <w:p w14:paraId="28ED92F1" w14:textId="77777777" w:rsidR="005219C3" w:rsidRPr="00313E2B" w:rsidRDefault="005219C3" w:rsidP="005219C3">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36" w:type="dxa"/>
            <w:tcBorders>
              <w:top w:val="nil"/>
              <w:left w:val="nil"/>
              <w:bottom w:val="nil"/>
              <w:right w:val="nil"/>
            </w:tcBorders>
            <w:shd w:val="solid" w:color="FFFFFF" w:fill="auto"/>
            <w:vAlign w:val="center"/>
          </w:tcPr>
          <w:p w14:paraId="3D2AECDC" w14:textId="77777777" w:rsidR="005219C3" w:rsidRPr="00313E2B" w:rsidRDefault="005219C3" w:rsidP="005219C3">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95" w:type="dxa"/>
            <w:tcBorders>
              <w:top w:val="nil"/>
              <w:left w:val="nil"/>
              <w:bottom w:val="nil"/>
              <w:right w:val="nil"/>
            </w:tcBorders>
            <w:shd w:val="solid" w:color="FFFFFF" w:fill="auto"/>
            <w:vAlign w:val="center"/>
          </w:tcPr>
          <w:p w14:paraId="32CD8E70" w14:textId="77777777" w:rsidR="005219C3" w:rsidRPr="00313E2B" w:rsidRDefault="005219C3" w:rsidP="005219C3">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36" w:type="dxa"/>
            <w:tcBorders>
              <w:top w:val="nil"/>
              <w:left w:val="nil"/>
              <w:bottom w:val="nil"/>
              <w:right w:val="nil"/>
            </w:tcBorders>
            <w:shd w:val="clear" w:color="auto" w:fill="F2F2F2" w:themeFill="background1" w:themeFillShade="F2"/>
            <w:vAlign w:val="center"/>
          </w:tcPr>
          <w:p w14:paraId="12DE225A" w14:textId="77777777" w:rsidR="005219C3" w:rsidRPr="00313E2B" w:rsidRDefault="005219C3" w:rsidP="005219C3">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901" w:type="dxa"/>
            <w:tcBorders>
              <w:top w:val="nil"/>
              <w:left w:val="nil"/>
              <w:bottom w:val="nil"/>
              <w:right w:val="nil"/>
            </w:tcBorders>
            <w:shd w:val="solid" w:color="FFFFFF" w:fill="auto"/>
            <w:vAlign w:val="center"/>
          </w:tcPr>
          <w:p w14:paraId="6ED88AFE" w14:textId="77777777" w:rsidR="005219C3" w:rsidRPr="00313E2B" w:rsidRDefault="005219C3" w:rsidP="005219C3">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42" w:type="dxa"/>
            <w:tcBorders>
              <w:top w:val="nil"/>
              <w:left w:val="nil"/>
              <w:bottom w:val="nil"/>
              <w:right w:val="nil"/>
            </w:tcBorders>
            <w:shd w:val="solid" w:color="FFFFFF" w:fill="auto"/>
            <w:vAlign w:val="center"/>
          </w:tcPr>
          <w:p w14:paraId="04592A3D" w14:textId="77777777" w:rsidR="005219C3" w:rsidRPr="00313E2B" w:rsidRDefault="005219C3" w:rsidP="005219C3">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793" w:type="dxa"/>
            <w:tcBorders>
              <w:top w:val="nil"/>
              <w:left w:val="nil"/>
              <w:bottom w:val="nil"/>
              <w:right w:val="nil"/>
            </w:tcBorders>
            <w:shd w:val="solid" w:color="FFFFFF" w:fill="auto"/>
            <w:vAlign w:val="center"/>
          </w:tcPr>
          <w:p w14:paraId="6BB6124A" w14:textId="77777777" w:rsidR="005219C3" w:rsidRPr="00313E2B" w:rsidRDefault="005219C3" w:rsidP="005219C3">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36" w:type="dxa"/>
            <w:tcBorders>
              <w:top w:val="nil"/>
              <w:left w:val="nil"/>
              <w:bottom w:val="nil"/>
              <w:right w:val="nil"/>
            </w:tcBorders>
            <w:shd w:val="solid" w:color="FFFFFF" w:fill="auto"/>
            <w:vAlign w:val="center"/>
          </w:tcPr>
          <w:p w14:paraId="42E8A090" w14:textId="77777777" w:rsidR="005219C3" w:rsidRPr="00313E2B" w:rsidRDefault="005219C3" w:rsidP="005219C3">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6" w:type="dxa"/>
            <w:tcBorders>
              <w:top w:val="nil"/>
              <w:left w:val="nil"/>
              <w:bottom w:val="nil"/>
              <w:right w:val="nil"/>
            </w:tcBorders>
            <w:shd w:val="solid" w:color="FFFFFF" w:fill="auto"/>
            <w:vAlign w:val="center"/>
          </w:tcPr>
          <w:p w14:paraId="71647B91" w14:textId="77777777" w:rsidR="005219C3" w:rsidRPr="00313E2B" w:rsidRDefault="005219C3" w:rsidP="005219C3">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r>
      <w:tr w:rsidR="00551574" w:rsidRPr="00313E2B" w14:paraId="203373A0" w14:textId="77777777" w:rsidTr="00FF2210">
        <w:tc>
          <w:tcPr>
            <w:tcW w:w="3288" w:type="dxa"/>
            <w:tcBorders>
              <w:top w:val="nil"/>
              <w:left w:val="nil"/>
              <w:bottom w:val="nil"/>
              <w:right w:val="nil"/>
            </w:tcBorders>
            <w:shd w:val="solid" w:color="FFFFFF" w:fill="auto"/>
            <w:vAlign w:val="center"/>
          </w:tcPr>
          <w:p w14:paraId="189D5FC3" w14:textId="71499D48" w:rsidR="00551574" w:rsidRPr="00313E2B" w:rsidRDefault="00551574" w:rsidP="00551574">
            <w:pPr>
              <w:autoSpaceDE w:val="0"/>
              <w:autoSpaceDN w:val="0"/>
              <w:adjustRightInd w:val="0"/>
              <w:ind w:left="0" w:firstLine="0"/>
              <w:rPr>
                <w:rFonts w:asciiTheme="minorHAnsi" w:eastAsiaTheme="minorHAnsi" w:hAnsiTheme="minorHAnsi" w:cstheme="minorHAnsi"/>
                <w:b/>
                <w:bCs/>
                <w:noProof/>
                <w:color w:val="000000"/>
                <w:sz w:val="19"/>
                <w:szCs w:val="19"/>
                <w:lang w:val="es-ES"/>
              </w:rPr>
            </w:pPr>
            <w:r w:rsidRPr="00313E2B">
              <w:rPr>
                <w:rFonts w:asciiTheme="minorHAnsi" w:hAnsiTheme="minorHAnsi"/>
                <w:b/>
                <w:bCs/>
                <w:noProof/>
                <w:sz w:val="19"/>
                <w:szCs w:val="19"/>
                <w:lang w:val="es-ES"/>
              </w:rPr>
              <w:t>Gastos</w:t>
            </w:r>
          </w:p>
        </w:tc>
        <w:tc>
          <w:tcPr>
            <w:tcW w:w="708" w:type="dxa"/>
            <w:tcBorders>
              <w:top w:val="nil"/>
              <w:left w:val="nil"/>
              <w:bottom w:val="nil"/>
              <w:right w:val="nil"/>
            </w:tcBorders>
            <w:shd w:val="solid" w:color="FFFFFF" w:fill="auto"/>
          </w:tcPr>
          <w:p w14:paraId="686F87D1" w14:textId="77777777" w:rsidR="00551574" w:rsidRPr="00313E2B" w:rsidRDefault="00551574" w:rsidP="00551574">
            <w:pPr>
              <w:autoSpaceDE w:val="0"/>
              <w:autoSpaceDN w:val="0"/>
              <w:adjustRightInd w:val="0"/>
              <w:ind w:left="0" w:firstLine="0"/>
              <w:jc w:val="center"/>
              <w:rPr>
                <w:rFonts w:asciiTheme="minorHAnsi" w:eastAsiaTheme="minorHAnsi" w:hAnsiTheme="minorHAnsi" w:cstheme="minorHAnsi"/>
                <w:noProof/>
                <w:color w:val="000000"/>
                <w:sz w:val="19"/>
                <w:szCs w:val="19"/>
                <w:lang w:val="es-ES"/>
              </w:rPr>
            </w:pPr>
          </w:p>
        </w:tc>
        <w:tc>
          <w:tcPr>
            <w:tcW w:w="851" w:type="dxa"/>
            <w:tcBorders>
              <w:top w:val="nil"/>
              <w:left w:val="nil"/>
              <w:bottom w:val="nil"/>
              <w:right w:val="nil"/>
            </w:tcBorders>
            <w:shd w:val="solid" w:color="FFFFFF" w:fill="auto"/>
            <w:vAlign w:val="center"/>
          </w:tcPr>
          <w:p w14:paraId="19BA3DD0"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84" w:type="dxa"/>
            <w:tcBorders>
              <w:top w:val="nil"/>
              <w:left w:val="nil"/>
              <w:bottom w:val="nil"/>
              <w:right w:val="nil"/>
            </w:tcBorders>
            <w:shd w:val="solid" w:color="FFFFFF" w:fill="auto"/>
            <w:vAlign w:val="center"/>
          </w:tcPr>
          <w:p w14:paraId="18E202B9"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0" w:type="dxa"/>
            <w:tcBorders>
              <w:top w:val="nil"/>
              <w:left w:val="nil"/>
              <w:bottom w:val="nil"/>
              <w:right w:val="nil"/>
            </w:tcBorders>
            <w:shd w:val="solid" w:color="FFFFFF" w:fill="auto"/>
            <w:vAlign w:val="center"/>
          </w:tcPr>
          <w:p w14:paraId="318F227D"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36" w:type="dxa"/>
            <w:tcBorders>
              <w:top w:val="nil"/>
              <w:left w:val="nil"/>
              <w:bottom w:val="nil"/>
              <w:right w:val="nil"/>
            </w:tcBorders>
            <w:shd w:val="solid" w:color="FFFFFF" w:fill="auto"/>
            <w:vAlign w:val="center"/>
          </w:tcPr>
          <w:p w14:paraId="5B2AE07D"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95" w:type="dxa"/>
            <w:tcBorders>
              <w:top w:val="nil"/>
              <w:left w:val="nil"/>
              <w:bottom w:val="nil"/>
              <w:right w:val="nil"/>
            </w:tcBorders>
            <w:shd w:val="solid" w:color="FFFFFF" w:fill="auto"/>
            <w:vAlign w:val="center"/>
          </w:tcPr>
          <w:p w14:paraId="16F2F567"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36" w:type="dxa"/>
            <w:tcBorders>
              <w:top w:val="nil"/>
              <w:left w:val="nil"/>
              <w:bottom w:val="nil"/>
              <w:right w:val="nil"/>
            </w:tcBorders>
            <w:shd w:val="clear" w:color="auto" w:fill="F2F2F2" w:themeFill="background1" w:themeFillShade="F2"/>
            <w:vAlign w:val="center"/>
          </w:tcPr>
          <w:p w14:paraId="01BD29AB"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901" w:type="dxa"/>
            <w:tcBorders>
              <w:top w:val="nil"/>
              <w:left w:val="nil"/>
              <w:bottom w:val="nil"/>
              <w:right w:val="nil"/>
            </w:tcBorders>
            <w:shd w:val="solid" w:color="FFFFFF" w:fill="auto"/>
            <w:vAlign w:val="center"/>
          </w:tcPr>
          <w:p w14:paraId="50F42FE8"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42" w:type="dxa"/>
            <w:tcBorders>
              <w:top w:val="nil"/>
              <w:left w:val="nil"/>
              <w:bottom w:val="nil"/>
              <w:right w:val="nil"/>
            </w:tcBorders>
            <w:shd w:val="solid" w:color="FFFFFF" w:fill="auto"/>
            <w:vAlign w:val="center"/>
          </w:tcPr>
          <w:p w14:paraId="42DEA642"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793" w:type="dxa"/>
            <w:tcBorders>
              <w:top w:val="nil"/>
              <w:left w:val="nil"/>
              <w:bottom w:val="nil"/>
              <w:right w:val="nil"/>
            </w:tcBorders>
            <w:shd w:val="solid" w:color="FFFFFF" w:fill="auto"/>
            <w:vAlign w:val="center"/>
          </w:tcPr>
          <w:p w14:paraId="729D0DB0"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36" w:type="dxa"/>
            <w:tcBorders>
              <w:top w:val="nil"/>
              <w:left w:val="nil"/>
              <w:bottom w:val="nil"/>
              <w:right w:val="nil"/>
            </w:tcBorders>
            <w:shd w:val="solid" w:color="FFFFFF" w:fill="auto"/>
            <w:vAlign w:val="center"/>
          </w:tcPr>
          <w:p w14:paraId="0E22FF5E"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6" w:type="dxa"/>
            <w:tcBorders>
              <w:top w:val="nil"/>
              <w:left w:val="nil"/>
              <w:bottom w:val="nil"/>
              <w:right w:val="nil"/>
            </w:tcBorders>
            <w:shd w:val="solid" w:color="FFFFFF" w:fill="auto"/>
            <w:vAlign w:val="center"/>
          </w:tcPr>
          <w:p w14:paraId="6FAB784F"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r>
      <w:tr w:rsidR="00551574" w:rsidRPr="00313E2B" w14:paraId="2353E8F7" w14:textId="77777777" w:rsidTr="00FF2210">
        <w:tc>
          <w:tcPr>
            <w:tcW w:w="3288" w:type="dxa"/>
            <w:tcBorders>
              <w:top w:val="nil"/>
              <w:left w:val="nil"/>
              <w:bottom w:val="nil"/>
              <w:right w:val="nil"/>
            </w:tcBorders>
            <w:shd w:val="solid" w:color="FFFFFF" w:fill="auto"/>
            <w:vAlign w:val="center"/>
          </w:tcPr>
          <w:p w14:paraId="70E77D97" w14:textId="67A456DC" w:rsidR="00551574" w:rsidRPr="00313E2B" w:rsidRDefault="00551574" w:rsidP="00551574">
            <w:pPr>
              <w:autoSpaceDE w:val="0"/>
              <w:autoSpaceDN w:val="0"/>
              <w:adjustRightInd w:val="0"/>
              <w:ind w:left="0" w:firstLine="0"/>
              <w:rPr>
                <w:rFonts w:asciiTheme="minorHAnsi" w:eastAsiaTheme="minorHAnsi" w:hAnsiTheme="minorHAnsi" w:cstheme="minorHAnsi"/>
                <w:i/>
                <w:iCs/>
                <w:noProof/>
                <w:color w:val="000000"/>
                <w:sz w:val="19"/>
                <w:szCs w:val="19"/>
                <w:lang w:val="es-ES"/>
              </w:rPr>
            </w:pPr>
            <w:r w:rsidRPr="00313E2B">
              <w:rPr>
                <w:rFonts w:asciiTheme="minorHAnsi" w:hAnsiTheme="minorHAnsi"/>
                <w:i/>
                <w:iCs/>
                <w:noProof/>
                <w:color w:val="000000"/>
                <w:sz w:val="19"/>
                <w:szCs w:val="19"/>
                <w:lang w:val="es-ES"/>
              </w:rPr>
              <w:t>Gastos de funcionamiento:</w:t>
            </w:r>
          </w:p>
        </w:tc>
        <w:tc>
          <w:tcPr>
            <w:tcW w:w="708" w:type="dxa"/>
            <w:tcBorders>
              <w:top w:val="nil"/>
              <w:left w:val="nil"/>
              <w:bottom w:val="nil"/>
              <w:right w:val="nil"/>
            </w:tcBorders>
            <w:shd w:val="solid" w:color="FFFFFF" w:fill="auto"/>
          </w:tcPr>
          <w:p w14:paraId="7BC9FA18" w14:textId="77777777" w:rsidR="00551574" w:rsidRPr="00313E2B" w:rsidRDefault="00551574" w:rsidP="00551574">
            <w:pPr>
              <w:autoSpaceDE w:val="0"/>
              <w:autoSpaceDN w:val="0"/>
              <w:adjustRightInd w:val="0"/>
              <w:ind w:left="0" w:firstLine="0"/>
              <w:jc w:val="center"/>
              <w:rPr>
                <w:rFonts w:asciiTheme="minorHAnsi" w:eastAsiaTheme="minorHAnsi" w:hAnsiTheme="minorHAnsi" w:cstheme="minorHAnsi"/>
                <w:noProof/>
                <w:color w:val="000000"/>
                <w:sz w:val="19"/>
                <w:szCs w:val="19"/>
                <w:lang w:val="es-ES"/>
              </w:rPr>
            </w:pPr>
          </w:p>
        </w:tc>
        <w:tc>
          <w:tcPr>
            <w:tcW w:w="851" w:type="dxa"/>
            <w:tcBorders>
              <w:top w:val="nil"/>
              <w:left w:val="nil"/>
              <w:bottom w:val="nil"/>
              <w:right w:val="nil"/>
            </w:tcBorders>
            <w:shd w:val="solid" w:color="FFFFFF" w:fill="auto"/>
            <w:vAlign w:val="center"/>
          </w:tcPr>
          <w:p w14:paraId="0E8C6ED2"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84" w:type="dxa"/>
            <w:tcBorders>
              <w:top w:val="nil"/>
              <w:left w:val="nil"/>
              <w:bottom w:val="nil"/>
              <w:right w:val="nil"/>
            </w:tcBorders>
            <w:shd w:val="solid" w:color="FFFFFF" w:fill="auto"/>
            <w:vAlign w:val="center"/>
          </w:tcPr>
          <w:p w14:paraId="3C842AC2"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0" w:type="dxa"/>
            <w:tcBorders>
              <w:top w:val="nil"/>
              <w:left w:val="nil"/>
              <w:bottom w:val="nil"/>
              <w:right w:val="nil"/>
            </w:tcBorders>
            <w:shd w:val="solid" w:color="FFFFFF" w:fill="auto"/>
            <w:vAlign w:val="center"/>
          </w:tcPr>
          <w:p w14:paraId="35691E5B"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36" w:type="dxa"/>
            <w:tcBorders>
              <w:top w:val="nil"/>
              <w:left w:val="nil"/>
              <w:bottom w:val="nil"/>
              <w:right w:val="nil"/>
            </w:tcBorders>
            <w:shd w:val="solid" w:color="FFFFFF" w:fill="auto"/>
            <w:vAlign w:val="center"/>
          </w:tcPr>
          <w:p w14:paraId="1CBE66A6"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95" w:type="dxa"/>
            <w:tcBorders>
              <w:top w:val="nil"/>
              <w:left w:val="nil"/>
              <w:bottom w:val="nil"/>
              <w:right w:val="nil"/>
            </w:tcBorders>
            <w:shd w:val="solid" w:color="FFFFFF" w:fill="auto"/>
            <w:vAlign w:val="center"/>
          </w:tcPr>
          <w:p w14:paraId="4F749CC2"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36" w:type="dxa"/>
            <w:tcBorders>
              <w:top w:val="nil"/>
              <w:left w:val="nil"/>
              <w:bottom w:val="nil"/>
              <w:right w:val="nil"/>
            </w:tcBorders>
            <w:shd w:val="clear" w:color="auto" w:fill="F2F2F2" w:themeFill="background1" w:themeFillShade="F2"/>
            <w:vAlign w:val="center"/>
          </w:tcPr>
          <w:p w14:paraId="47AEAFFE"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901" w:type="dxa"/>
            <w:tcBorders>
              <w:top w:val="nil"/>
              <w:left w:val="nil"/>
              <w:bottom w:val="nil"/>
              <w:right w:val="nil"/>
            </w:tcBorders>
            <w:shd w:val="solid" w:color="FFFFFF" w:fill="auto"/>
            <w:vAlign w:val="center"/>
          </w:tcPr>
          <w:p w14:paraId="13A2843C"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42" w:type="dxa"/>
            <w:tcBorders>
              <w:top w:val="nil"/>
              <w:left w:val="nil"/>
              <w:bottom w:val="nil"/>
              <w:right w:val="nil"/>
            </w:tcBorders>
            <w:shd w:val="solid" w:color="FFFFFF" w:fill="auto"/>
            <w:vAlign w:val="center"/>
          </w:tcPr>
          <w:p w14:paraId="5CB7A6EB"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793" w:type="dxa"/>
            <w:tcBorders>
              <w:top w:val="nil"/>
              <w:left w:val="nil"/>
              <w:bottom w:val="nil"/>
              <w:right w:val="nil"/>
            </w:tcBorders>
            <w:shd w:val="solid" w:color="FFFFFF" w:fill="auto"/>
            <w:vAlign w:val="center"/>
          </w:tcPr>
          <w:p w14:paraId="0C8B7D43"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36" w:type="dxa"/>
            <w:tcBorders>
              <w:top w:val="nil"/>
              <w:left w:val="nil"/>
              <w:bottom w:val="nil"/>
              <w:right w:val="nil"/>
            </w:tcBorders>
            <w:shd w:val="solid" w:color="FFFFFF" w:fill="auto"/>
            <w:vAlign w:val="center"/>
          </w:tcPr>
          <w:p w14:paraId="5E51186E"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6" w:type="dxa"/>
            <w:tcBorders>
              <w:top w:val="nil"/>
              <w:left w:val="nil"/>
              <w:bottom w:val="nil"/>
              <w:right w:val="nil"/>
            </w:tcBorders>
            <w:shd w:val="solid" w:color="FFFFFF" w:fill="auto"/>
            <w:vAlign w:val="center"/>
          </w:tcPr>
          <w:p w14:paraId="68230A6D"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r>
      <w:tr w:rsidR="00551574" w:rsidRPr="00313E2B" w14:paraId="62861CCD" w14:textId="77777777" w:rsidTr="00FF2210">
        <w:tc>
          <w:tcPr>
            <w:tcW w:w="3288" w:type="dxa"/>
            <w:tcBorders>
              <w:top w:val="nil"/>
              <w:left w:val="nil"/>
              <w:bottom w:val="nil"/>
              <w:right w:val="nil"/>
            </w:tcBorders>
            <w:shd w:val="solid" w:color="FFFFFF" w:fill="auto"/>
            <w:vAlign w:val="center"/>
          </w:tcPr>
          <w:p w14:paraId="651D1EC0" w14:textId="276885D9" w:rsidR="00551574" w:rsidRPr="00313E2B" w:rsidRDefault="00551574" w:rsidP="00551574">
            <w:pPr>
              <w:autoSpaceDE w:val="0"/>
              <w:autoSpaceDN w:val="0"/>
              <w:adjustRightInd w:val="0"/>
              <w:rPr>
                <w:rFonts w:asciiTheme="minorHAnsi" w:eastAsiaTheme="minorHAnsi" w:hAnsiTheme="minorHAnsi" w:cstheme="minorHAnsi"/>
                <w:noProof/>
                <w:color w:val="000000"/>
                <w:sz w:val="19"/>
                <w:szCs w:val="19"/>
                <w:lang w:val="es-ES"/>
              </w:rPr>
            </w:pPr>
            <w:r w:rsidRPr="00313E2B">
              <w:rPr>
                <w:rFonts w:asciiTheme="minorHAnsi" w:hAnsiTheme="minorHAnsi"/>
                <w:noProof/>
                <w:sz w:val="19"/>
                <w:szCs w:val="19"/>
                <w:lang w:val="es-ES"/>
              </w:rPr>
              <w:t>Movilización de recursos y promoción</w:t>
            </w:r>
          </w:p>
        </w:tc>
        <w:tc>
          <w:tcPr>
            <w:tcW w:w="708" w:type="dxa"/>
            <w:tcBorders>
              <w:top w:val="nil"/>
              <w:left w:val="nil"/>
              <w:bottom w:val="nil"/>
              <w:right w:val="nil"/>
            </w:tcBorders>
            <w:shd w:val="solid" w:color="FFFFFF" w:fill="auto"/>
          </w:tcPr>
          <w:p w14:paraId="29318F7B" w14:textId="77777777" w:rsidR="00551574" w:rsidRPr="00313E2B" w:rsidRDefault="00551574" w:rsidP="00551574">
            <w:pPr>
              <w:autoSpaceDE w:val="0"/>
              <w:autoSpaceDN w:val="0"/>
              <w:adjustRightInd w:val="0"/>
              <w:ind w:left="0" w:firstLine="0"/>
              <w:jc w:val="center"/>
              <w:rPr>
                <w:rFonts w:asciiTheme="minorHAnsi" w:eastAsiaTheme="minorHAnsi" w:hAnsiTheme="minorHAnsi" w:cstheme="minorHAnsi"/>
                <w:noProof/>
                <w:color w:val="000000"/>
                <w:sz w:val="19"/>
                <w:szCs w:val="19"/>
                <w:lang w:val="es-ES"/>
              </w:rPr>
            </w:pPr>
          </w:p>
        </w:tc>
        <w:tc>
          <w:tcPr>
            <w:tcW w:w="851" w:type="dxa"/>
            <w:tcBorders>
              <w:top w:val="nil"/>
              <w:left w:val="nil"/>
              <w:bottom w:val="nil"/>
              <w:right w:val="nil"/>
            </w:tcBorders>
            <w:shd w:val="solid" w:color="FFFFFF" w:fill="auto"/>
          </w:tcPr>
          <w:p w14:paraId="6D5A3274" w14:textId="1D121B29"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(518)</w:t>
            </w:r>
          </w:p>
        </w:tc>
        <w:tc>
          <w:tcPr>
            <w:tcW w:w="284" w:type="dxa"/>
            <w:tcBorders>
              <w:top w:val="nil"/>
              <w:left w:val="nil"/>
              <w:bottom w:val="nil"/>
              <w:right w:val="nil"/>
            </w:tcBorders>
            <w:shd w:val="solid" w:color="FFFFFF" w:fill="auto"/>
          </w:tcPr>
          <w:p w14:paraId="384E8500"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0" w:type="dxa"/>
            <w:tcBorders>
              <w:top w:val="nil"/>
              <w:left w:val="nil"/>
              <w:bottom w:val="nil"/>
              <w:right w:val="nil"/>
            </w:tcBorders>
            <w:shd w:val="solid" w:color="FFFFFF" w:fill="auto"/>
          </w:tcPr>
          <w:p w14:paraId="37512A64" w14:textId="5AA8B1C9"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(136)</w:t>
            </w:r>
          </w:p>
        </w:tc>
        <w:tc>
          <w:tcPr>
            <w:tcW w:w="236" w:type="dxa"/>
            <w:tcBorders>
              <w:top w:val="nil"/>
              <w:left w:val="nil"/>
              <w:bottom w:val="nil"/>
              <w:right w:val="nil"/>
            </w:tcBorders>
            <w:shd w:val="solid" w:color="FFFFFF" w:fill="auto"/>
          </w:tcPr>
          <w:p w14:paraId="3FD40C8E"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95" w:type="dxa"/>
            <w:tcBorders>
              <w:top w:val="nil"/>
              <w:left w:val="nil"/>
              <w:bottom w:val="nil"/>
              <w:right w:val="nil"/>
            </w:tcBorders>
            <w:shd w:val="solid" w:color="FFFFFF" w:fill="auto"/>
          </w:tcPr>
          <w:p w14:paraId="44F26F57" w14:textId="14B94736"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(654)</w:t>
            </w:r>
          </w:p>
        </w:tc>
        <w:tc>
          <w:tcPr>
            <w:tcW w:w="236" w:type="dxa"/>
            <w:tcBorders>
              <w:top w:val="nil"/>
              <w:left w:val="nil"/>
              <w:bottom w:val="nil"/>
              <w:right w:val="nil"/>
            </w:tcBorders>
            <w:shd w:val="clear" w:color="auto" w:fill="F2F2F2" w:themeFill="background1" w:themeFillShade="F2"/>
            <w:vAlign w:val="center"/>
          </w:tcPr>
          <w:p w14:paraId="23A62896"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b/>
                <w:bCs/>
                <w:noProof/>
                <w:color w:val="000000"/>
                <w:sz w:val="19"/>
                <w:szCs w:val="19"/>
                <w:lang w:val="es-ES"/>
              </w:rPr>
            </w:pPr>
          </w:p>
        </w:tc>
        <w:tc>
          <w:tcPr>
            <w:tcW w:w="901" w:type="dxa"/>
            <w:tcBorders>
              <w:top w:val="nil"/>
              <w:left w:val="nil"/>
              <w:bottom w:val="nil"/>
              <w:right w:val="nil"/>
            </w:tcBorders>
            <w:shd w:val="solid" w:color="FFFFFF" w:fill="auto"/>
          </w:tcPr>
          <w:p w14:paraId="386FBD03" w14:textId="22ED9845"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(416)</w:t>
            </w:r>
          </w:p>
        </w:tc>
        <w:tc>
          <w:tcPr>
            <w:tcW w:w="242" w:type="dxa"/>
            <w:tcBorders>
              <w:top w:val="nil"/>
              <w:left w:val="nil"/>
              <w:bottom w:val="nil"/>
              <w:right w:val="nil"/>
            </w:tcBorders>
            <w:shd w:val="solid" w:color="FFFFFF" w:fill="auto"/>
          </w:tcPr>
          <w:p w14:paraId="31B2F09C"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793" w:type="dxa"/>
            <w:tcBorders>
              <w:top w:val="nil"/>
              <w:left w:val="nil"/>
              <w:bottom w:val="nil"/>
              <w:right w:val="nil"/>
            </w:tcBorders>
            <w:shd w:val="solid" w:color="FFFFFF" w:fill="auto"/>
          </w:tcPr>
          <w:p w14:paraId="38C56651" w14:textId="0FF744A5"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(75)</w:t>
            </w:r>
          </w:p>
        </w:tc>
        <w:tc>
          <w:tcPr>
            <w:tcW w:w="236" w:type="dxa"/>
            <w:tcBorders>
              <w:top w:val="nil"/>
              <w:left w:val="nil"/>
              <w:bottom w:val="nil"/>
              <w:right w:val="nil"/>
            </w:tcBorders>
            <w:shd w:val="solid" w:color="FFFFFF" w:fill="auto"/>
          </w:tcPr>
          <w:p w14:paraId="07F2FC82"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6" w:type="dxa"/>
            <w:tcBorders>
              <w:top w:val="nil"/>
              <w:left w:val="nil"/>
              <w:bottom w:val="nil"/>
              <w:right w:val="nil"/>
            </w:tcBorders>
            <w:shd w:val="solid" w:color="FFFFFF" w:fill="auto"/>
          </w:tcPr>
          <w:p w14:paraId="0FCDBADB" w14:textId="1C111C8D"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(491)</w:t>
            </w:r>
          </w:p>
        </w:tc>
      </w:tr>
      <w:tr w:rsidR="00551574" w:rsidRPr="00313E2B" w14:paraId="66E7EA90" w14:textId="77777777" w:rsidTr="00FF2210">
        <w:tc>
          <w:tcPr>
            <w:tcW w:w="3288" w:type="dxa"/>
            <w:tcBorders>
              <w:top w:val="nil"/>
              <w:left w:val="nil"/>
              <w:bottom w:val="nil"/>
              <w:right w:val="nil"/>
            </w:tcBorders>
            <w:shd w:val="solid" w:color="FFFFFF" w:fill="auto"/>
            <w:vAlign w:val="center"/>
          </w:tcPr>
          <w:p w14:paraId="4E0BDBFC" w14:textId="08FD3785" w:rsidR="00551574" w:rsidRPr="00313E2B" w:rsidRDefault="00551574" w:rsidP="00551574">
            <w:pPr>
              <w:autoSpaceDE w:val="0"/>
              <w:autoSpaceDN w:val="0"/>
              <w:adjustRightInd w:val="0"/>
              <w:rPr>
                <w:rFonts w:asciiTheme="minorHAnsi" w:eastAsiaTheme="minorHAnsi" w:hAnsiTheme="minorHAnsi" w:cstheme="minorHAnsi"/>
                <w:noProof/>
                <w:color w:val="000000"/>
                <w:sz w:val="19"/>
                <w:szCs w:val="19"/>
                <w:lang w:val="es-ES"/>
              </w:rPr>
            </w:pPr>
            <w:r w:rsidRPr="00313E2B">
              <w:rPr>
                <w:rFonts w:asciiTheme="minorHAnsi" w:hAnsiTheme="minorHAnsi"/>
                <w:noProof/>
                <w:sz w:val="19"/>
                <w:szCs w:val="19"/>
                <w:lang w:val="es-ES"/>
              </w:rPr>
              <w:t>Asesoramiento, iniciativas y apoyo regionales</w:t>
            </w:r>
          </w:p>
        </w:tc>
        <w:tc>
          <w:tcPr>
            <w:tcW w:w="708" w:type="dxa"/>
            <w:tcBorders>
              <w:top w:val="nil"/>
              <w:left w:val="nil"/>
              <w:bottom w:val="nil"/>
              <w:right w:val="nil"/>
            </w:tcBorders>
            <w:shd w:val="solid" w:color="FFFFFF" w:fill="auto"/>
          </w:tcPr>
          <w:p w14:paraId="38032186" w14:textId="77777777" w:rsidR="00551574" w:rsidRPr="00313E2B" w:rsidRDefault="00551574" w:rsidP="00551574">
            <w:pPr>
              <w:autoSpaceDE w:val="0"/>
              <w:autoSpaceDN w:val="0"/>
              <w:adjustRightInd w:val="0"/>
              <w:ind w:left="0" w:firstLine="0"/>
              <w:jc w:val="center"/>
              <w:rPr>
                <w:rFonts w:asciiTheme="minorHAnsi" w:eastAsiaTheme="minorHAnsi" w:hAnsiTheme="minorHAnsi" w:cstheme="minorHAnsi"/>
                <w:noProof/>
                <w:color w:val="000000"/>
                <w:sz w:val="19"/>
                <w:szCs w:val="19"/>
                <w:lang w:val="es-ES"/>
              </w:rPr>
            </w:pPr>
          </w:p>
        </w:tc>
        <w:tc>
          <w:tcPr>
            <w:tcW w:w="851" w:type="dxa"/>
            <w:tcBorders>
              <w:top w:val="nil"/>
              <w:left w:val="nil"/>
              <w:bottom w:val="nil"/>
              <w:right w:val="nil"/>
            </w:tcBorders>
            <w:shd w:val="solid" w:color="FFFFFF" w:fill="auto"/>
          </w:tcPr>
          <w:p w14:paraId="6B29D663" w14:textId="3DFA9A76"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(1</w:t>
            </w:r>
            <w:r w:rsidR="00B71CAF" w:rsidRPr="00313E2B">
              <w:rPr>
                <w:noProof/>
                <w:sz w:val="19"/>
                <w:szCs w:val="19"/>
                <w:lang w:val="es-ES"/>
              </w:rPr>
              <w:t xml:space="preserve"> </w:t>
            </w:r>
            <w:r w:rsidRPr="00313E2B">
              <w:rPr>
                <w:noProof/>
                <w:sz w:val="19"/>
                <w:szCs w:val="19"/>
                <w:lang w:val="es-ES"/>
              </w:rPr>
              <w:t>258)</w:t>
            </w:r>
          </w:p>
        </w:tc>
        <w:tc>
          <w:tcPr>
            <w:tcW w:w="284" w:type="dxa"/>
            <w:tcBorders>
              <w:top w:val="nil"/>
              <w:left w:val="nil"/>
              <w:bottom w:val="nil"/>
              <w:right w:val="nil"/>
            </w:tcBorders>
            <w:shd w:val="solid" w:color="FFFFFF" w:fill="auto"/>
          </w:tcPr>
          <w:p w14:paraId="3F128375"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0" w:type="dxa"/>
            <w:tcBorders>
              <w:top w:val="nil"/>
              <w:left w:val="nil"/>
              <w:bottom w:val="nil"/>
              <w:right w:val="nil"/>
            </w:tcBorders>
          </w:tcPr>
          <w:p w14:paraId="444A0422" w14:textId="0AE7E5FF"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(155)</w:t>
            </w:r>
          </w:p>
        </w:tc>
        <w:tc>
          <w:tcPr>
            <w:tcW w:w="236" w:type="dxa"/>
            <w:tcBorders>
              <w:top w:val="nil"/>
              <w:left w:val="nil"/>
              <w:bottom w:val="nil"/>
              <w:right w:val="nil"/>
            </w:tcBorders>
            <w:shd w:val="solid" w:color="FFFFFF" w:fill="auto"/>
          </w:tcPr>
          <w:p w14:paraId="668D6404"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95" w:type="dxa"/>
            <w:tcBorders>
              <w:top w:val="nil"/>
              <w:left w:val="nil"/>
              <w:bottom w:val="nil"/>
              <w:right w:val="nil"/>
            </w:tcBorders>
            <w:shd w:val="solid" w:color="FFFFFF" w:fill="auto"/>
          </w:tcPr>
          <w:p w14:paraId="5942DB39" w14:textId="67B05A99"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(1</w:t>
            </w:r>
            <w:r w:rsidR="00B71CAF" w:rsidRPr="00313E2B">
              <w:rPr>
                <w:noProof/>
                <w:sz w:val="19"/>
                <w:szCs w:val="19"/>
                <w:lang w:val="es-ES"/>
              </w:rPr>
              <w:t xml:space="preserve"> </w:t>
            </w:r>
            <w:r w:rsidRPr="00313E2B">
              <w:rPr>
                <w:noProof/>
                <w:sz w:val="19"/>
                <w:szCs w:val="19"/>
                <w:lang w:val="es-ES"/>
              </w:rPr>
              <w:t>413)</w:t>
            </w:r>
          </w:p>
        </w:tc>
        <w:tc>
          <w:tcPr>
            <w:tcW w:w="236" w:type="dxa"/>
            <w:tcBorders>
              <w:top w:val="nil"/>
              <w:left w:val="nil"/>
              <w:bottom w:val="nil"/>
              <w:right w:val="nil"/>
            </w:tcBorders>
            <w:shd w:val="clear" w:color="auto" w:fill="F2F2F2" w:themeFill="background1" w:themeFillShade="F2"/>
            <w:vAlign w:val="center"/>
          </w:tcPr>
          <w:p w14:paraId="74E0F784"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b/>
                <w:bCs/>
                <w:noProof/>
                <w:color w:val="000000"/>
                <w:sz w:val="19"/>
                <w:szCs w:val="19"/>
                <w:lang w:val="es-ES"/>
              </w:rPr>
            </w:pPr>
          </w:p>
        </w:tc>
        <w:tc>
          <w:tcPr>
            <w:tcW w:w="901" w:type="dxa"/>
            <w:tcBorders>
              <w:top w:val="nil"/>
              <w:left w:val="nil"/>
              <w:bottom w:val="nil"/>
              <w:right w:val="nil"/>
            </w:tcBorders>
            <w:shd w:val="solid" w:color="FFFFFF" w:fill="auto"/>
          </w:tcPr>
          <w:p w14:paraId="75846CAD" w14:textId="1A1CEE52"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(1</w:t>
            </w:r>
            <w:r w:rsidR="00B71CAF" w:rsidRPr="00313E2B">
              <w:rPr>
                <w:noProof/>
                <w:sz w:val="19"/>
                <w:szCs w:val="19"/>
                <w:lang w:val="es-ES"/>
              </w:rPr>
              <w:t xml:space="preserve"> </w:t>
            </w:r>
            <w:r w:rsidRPr="00313E2B">
              <w:rPr>
                <w:noProof/>
                <w:sz w:val="19"/>
                <w:szCs w:val="19"/>
                <w:lang w:val="es-ES"/>
              </w:rPr>
              <w:t>126)</w:t>
            </w:r>
          </w:p>
        </w:tc>
        <w:tc>
          <w:tcPr>
            <w:tcW w:w="242" w:type="dxa"/>
            <w:tcBorders>
              <w:top w:val="nil"/>
              <w:left w:val="nil"/>
              <w:bottom w:val="nil"/>
              <w:right w:val="nil"/>
            </w:tcBorders>
            <w:shd w:val="solid" w:color="FFFFFF" w:fill="auto"/>
          </w:tcPr>
          <w:p w14:paraId="744A0E13"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793" w:type="dxa"/>
            <w:tcBorders>
              <w:top w:val="nil"/>
              <w:left w:val="nil"/>
              <w:bottom w:val="nil"/>
              <w:right w:val="nil"/>
            </w:tcBorders>
            <w:shd w:val="solid" w:color="FFFFFF" w:fill="auto"/>
          </w:tcPr>
          <w:p w14:paraId="580AD807" w14:textId="6D857C4B"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(110)</w:t>
            </w:r>
          </w:p>
        </w:tc>
        <w:tc>
          <w:tcPr>
            <w:tcW w:w="236" w:type="dxa"/>
            <w:tcBorders>
              <w:top w:val="nil"/>
              <w:left w:val="nil"/>
              <w:bottom w:val="nil"/>
              <w:right w:val="nil"/>
            </w:tcBorders>
            <w:shd w:val="solid" w:color="FFFFFF" w:fill="auto"/>
          </w:tcPr>
          <w:p w14:paraId="330E5864"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6" w:type="dxa"/>
            <w:tcBorders>
              <w:top w:val="nil"/>
              <w:left w:val="nil"/>
              <w:bottom w:val="nil"/>
              <w:right w:val="nil"/>
            </w:tcBorders>
            <w:shd w:val="solid" w:color="FFFFFF" w:fill="auto"/>
          </w:tcPr>
          <w:p w14:paraId="4861B19F" w14:textId="1A5624A6"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(1</w:t>
            </w:r>
            <w:r w:rsidR="00B71CAF" w:rsidRPr="00313E2B">
              <w:rPr>
                <w:noProof/>
                <w:sz w:val="19"/>
                <w:szCs w:val="19"/>
                <w:lang w:val="es-ES"/>
              </w:rPr>
              <w:t xml:space="preserve"> </w:t>
            </w:r>
            <w:r w:rsidRPr="00313E2B">
              <w:rPr>
                <w:noProof/>
                <w:sz w:val="19"/>
                <w:szCs w:val="19"/>
                <w:lang w:val="es-ES"/>
              </w:rPr>
              <w:t>236)</w:t>
            </w:r>
          </w:p>
        </w:tc>
      </w:tr>
      <w:tr w:rsidR="00551574" w:rsidRPr="00313E2B" w14:paraId="046F5DD8" w14:textId="77777777" w:rsidTr="00FF2210">
        <w:tc>
          <w:tcPr>
            <w:tcW w:w="3288" w:type="dxa"/>
            <w:tcBorders>
              <w:top w:val="nil"/>
              <w:left w:val="nil"/>
              <w:bottom w:val="nil"/>
              <w:right w:val="nil"/>
            </w:tcBorders>
            <w:shd w:val="solid" w:color="FFFFFF" w:fill="auto"/>
            <w:vAlign w:val="center"/>
          </w:tcPr>
          <w:p w14:paraId="6A1E934A" w14:textId="56657448" w:rsidR="00551574" w:rsidRPr="00313E2B" w:rsidRDefault="00551574" w:rsidP="00551574">
            <w:pPr>
              <w:autoSpaceDE w:val="0"/>
              <w:autoSpaceDN w:val="0"/>
              <w:adjustRightInd w:val="0"/>
              <w:rPr>
                <w:rFonts w:asciiTheme="minorHAnsi" w:eastAsiaTheme="minorHAnsi" w:hAnsiTheme="minorHAnsi" w:cstheme="minorHAnsi"/>
                <w:noProof/>
                <w:color w:val="000000"/>
                <w:sz w:val="19"/>
                <w:szCs w:val="19"/>
                <w:lang w:val="es-ES"/>
              </w:rPr>
            </w:pPr>
            <w:r w:rsidRPr="00313E2B">
              <w:rPr>
                <w:rFonts w:asciiTheme="minorHAnsi" w:hAnsiTheme="minorHAnsi"/>
                <w:noProof/>
                <w:sz w:val="19"/>
                <w:szCs w:val="19"/>
                <w:lang w:val="es-ES"/>
              </w:rPr>
              <w:t>Servicios científicos y técnicos</w:t>
            </w:r>
          </w:p>
        </w:tc>
        <w:tc>
          <w:tcPr>
            <w:tcW w:w="708" w:type="dxa"/>
            <w:tcBorders>
              <w:top w:val="nil"/>
              <w:left w:val="nil"/>
              <w:bottom w:val="nil"/>
              <w:right w:val="nil"/>
            </w:tcBorders>
            <w:shd w:val="solid" w:color="FFFFFF" w:fill="auto"/>
          </w:tcPr>
          <w:p w14:paraId="32057D30" w14:textId="77777777" w:rsidR="00551574" w:rsidRPr="00313E2B" w:rsidRDefault="00551574" w:rsidP="00551574">
            <w:pPr>
              <w:autoSpaceDE w:val="0"/>
              <w:autoSpaceDN w:val="0"/>
              <w:adjustRightInd w:val="0"/>
              <w:ind w:left="0" w:firstLine="0"/>
              <w:jc w:val="center"/>
              <w:rPr>
                <w:rFonts w:asciiTheme="minorHAnsi" w:eastAsiaTheme="minorHAnsi" w:hAnsiTheme="minorHAnsi" w:cstheme="minorHAnsi"/>
                <w:noProof/>
                <w:color w:val="000000"/>
                <w:sz w:val="19"/>
                <w:szCs w:val="19"/>
                <w:lang w:val="es-ES"/>
              </w:rPr>
            </w:pPr>
          </w:p>
        </w:tc>
        <w:tc>
          <w:tcPr>
            <w:tcW w:w="851" w:type="dxa"/>
            <w:tcBorders>
              <w:top w:val="nil"/>
              <w:left w:val="nil"/>
              <w:right w:val="nil"/>
            </w:tcBorders>
            <w:shd w:val="solid" w:color="FFFFFF" w:fill="auto"/>
          </w:tcPr>
          <w:p w14:paraId="17A06538" w14:textId="16B9DC1E"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(588)</w:t>
            </w:r>
          </w:p>
        </w:tc>
        <w:tc>
          <w:tcPr>
            <w:tcW w:w="284" w:type="dxa"/>
            <w:tcBorders>
              <w:top w:val="nil"/>
              <w:left w:val="nil"/>
              <w:right w:val="nil"/>
            </w:tcBorders>
            <w:shd w:val="solid" w:color="FFFFFF" w:fill="auto"/>
          </w:tcPr>
          <w:p w14:paraId="7F57D375"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0" w:type="dxa"/>
            <w:tcBorders>
              <w:top w:val="nil"/>
              <w:left w:val="nil"/>
              <w:right w:val="nil"/>
            </w:tcBorders>
            <w:shd w:val="solid" w:color="FFFFFF" w:fill="auto"/>
          </w:tcPr>
          <w:p w14:paraId="67581F98" w14:textId="733E1801"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(48)</w:t>
            </w:r>
          </w:p>
        </w:tc>
        <w:tc>
          <w:tcPr>
            <w:tcW w:w="236" w:type="dxa"/>
            <w:tcBorders>
              <w:top w:val="nil"/>
              <w:left w:val="nil"/>
              <w:right w:val="nil"/>
            </w:tcBorders>
            <w:shd w:val="solid" w:color="FFFFFF" w:fill="auto"/>
          </w:tcPr>
          <w:p w14:paraId="3AC1003B"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95" w:type="dxa"/>
            <w:tcBorders>
              <w:top w:val="nil"/>
              <w:left w:val="nil"/>
              <w:right w:val="nil"/>
            </w:tcBorders>
            <w:shd w:val="solid" w:color="FFFFFF" w:fill="auto"/>
          </w:tcPr>
          <w:p w14:paraId="1932B47F" w14:textId="302BC58A"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(636)</w:t>
            </w:r>
          </w:p>
        </w:tc>
        <w:tc>
          <w:tcPr>
            <w:tcW w:w="236" w:type="dxa"/>
            <w:tcBorders>
              <w:top w:val="nil"/>
              <w:left w:val="nil"/>
              <w:right w:val="nil"/>
            </w:tcBorders>
            <w:shd w:val="clear" w:color="auto" w:fill="F2F2F2" w:themeFill="background1" w:themeFillShade="F2"/>
            <w:vAlign w:val="center"/>
          </w:tcPr>
          <w:p w14:paraId="4943368A"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901" w:type="dxa"/>
            <w:tcBorders>
              <w:top w:val="nil"/>
              <w:left w:val="nil"/>
              <w:right w:val="nil"/>
            </w:tcBorders>
            <w:shd w:val="solid" w:color="FFFFFF" w:fill="auto"/>
          </w:tcPr>
          <w:p w14:paraId="32903422" w14:textId="1A461D9F"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(527)</w:t>
            </w:r>
          </w:p>
        </w:tc>
        <w:tc>
          <w:tcPr>
            <w:tcW w:w="242" w:type="dxa"/>
            <w:tcBorders>
              <w:top w:val="nil"/>
              <w:left w:val="nil"/>
              <w:right w:val="nil"/>
            </w:tcBorders>
            <w:shd w:val="solid" w:color="FFFFFF" w:fill="auto"/>
          </w:tcPr>
          <w:p w14:paraId="612CDAAF"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793" w:type="dxa"/>
            <w:tcBorders>
              <w:top w:val="nil"/>
              <w:left w:val="nil"/>
              <w:right w:val="nil"/>
            </w:tcBorders>
            <w:shd w:val="solid" w:color="FFFFFF" w:fill="auto"/>
          </w:tcPr>
          <w:p w14:paraId="10CE5FB7" w14:textId="0EEB121D"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w:t>
            </w:r>
          </w:p>
        </w:tc>
        <w:tc>
          <w:tcPr>
            <w:tcW w:w="236" w:type="dxa"/>
            <w:tcBorders>
              <w:top w:val="nil"/>
              <w:left w:val="nil"/>
              <w:right w:val="nil"/>
            </w:tcBorders>
            <w:shd w:val="solid" w:color="FFFFFF" w:fill="auto"/>
          </w:tcPr>
          <w:p w14:paraId="583AB7C9"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6" w:type="dxa"/>
            <w:tcBorders>
              <w:top w:val="nil"/>
              <w:left w:val="nil"/>
              <w:right w:val="nil"/>
            </w:tcBorders>
            <w:shd w:val="solid" w:color="FFFFFF" w:fill="auto"/>
          </w:tcPr>
          <w:p w14:paraId="5FA97EB9" w14:textId="6B22A299"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(527)</w:t>
            </w:r>
          </w:p>
        </w:tc>
      </w:tr>
      <w:tr w:rsidR="00551574" w:rsidRPr="00313E2B" w14:paraId="6EE46EC9" w14:textId="77777777" w:rsidTr="00FF2210">
        <w:tc>
          <w:tcPr>
            <w:tcW w:w="3288" w:type="dxa"/>
            <w:tcBorders>
              <w:top w:val="nil"/>
              <w:left w:val="nil"/>
              <w:bottom w:val="nil"/>
              <w:right w:val="nil"/>
            </w:tcBorders>
            <w:shd w:val="solid" w:color="FFFFFF" w:fill="auto"/>
            <w:vAlign w:val="center"/>
          </w:tcPr>
          <w:p w14:paraId="3F6FEAC1" w14:textId="3D5E5246" w:rsidR="00551574" w:rsidRPr="00313E2B" w:rsidRDefault="00551574" w:rsidP="00551574">
            <w:pPr>
              <w:autoSpaceDE w:val="0"/>
              <w:autoSpaceDN w:val="0"/>
              <w:adjustRightInd w:val="0"/>
              <w:rPr>
                <w:rFonts w:asciiTheme="minorHAnsi" w:eastAsiaTheme="minorHAnsi" w:hAnsiTheme="minorHAnsi" w:cstheme="minorHAnsi"/>
                <w:noProof/>
                <w:color w:val="000000"/>
                <w:sz w:val="19"/>
                <w:szCs w:val="19"/>
                <w:lang w:val="es-ES"/>
              </w:rPr>
            </w:pPr>
            <w:r w:rsidRPr="00313E2B">
              <w:rPr>
                <w:rFonts w:asciiTheme="minorHAnsi" w:hAnsiTheme="minorHAnsi"/>
                <w:noProof/>
                <w:sz w:val="19"/>
                <w:szCs w:val="19"/>
                <w:lang w:val="es-ES"/>
              </w:rPr>
              <w:t>Gestión, gobernanza, funcionamiento y apoyo</w:t>
            </w:r>
          </w:p>
        </w:tc>
        <w:tc>
          <w:tcPr>
            <w:tcW w:w="708" w:type="dxa"/>
            <w:tcBorders>
              <w:top w:val="nil"/>
              <w:left w:val="nil"/>
              <w:bottom w:val="nil"/>
              <w:right w:val="nil"/>
            </w:tcBorders>
            <w:shd w:val="solid" w:color="FFFFFF" w:fill="auto"/>
          </w:tcPr>
          <w:p w14:paraId="438DCC4C" w14:textId="77777777" w:rsidR="00551574" w:rsidRPr="00313E2B" w:rsidRDefault="00551574" w:rsidP="00551574">
            <w:pPr>
              <w:autoSpaceDE w:val="0"/>
              <w:autoSpaceDN w:val="0"/>
              <w:adjustRightInd w:val="0"/>
              <w:ind w:left="0" w:firstLine="0"/>
              <w:jc w:val="center"/>
              <w:rPr>
                <w:rFonts w:asciiTheme="minorHAnsi" w:eastAsiaTheme="minorHAnsi" w:hAnsiTheme="minorHAnsi" w:cstheme="minorHAnsi"/>
                <w:noProof/>
                <w:color w:val="000000"/>
                <w:sz w:val="19"/>
                <w:szCs w:val="19"/>
                <w:lang w:val="es-ES"/>
              </w:rPr>
            </w:pPr>
          </w:p>
        </w:tc>
        <w:tc>
          <w:tcPr>
            <w:tcW w:w="851" w:type="dxa"/>
            <w:tcBorders>
              <w:top w:val="nil"/>
              <w:left w:val="nil"/>
              <w:bottom w:val="single" w:sz="4" w:space="0" w:color="auto"/>
              <w:right w:val="nil"/>
            </w:tcBorders>
            <w:shd w:val="solid" w:color="FFFFFF" w:fill="auto"/>
          </w:tcPr>
          <w:p w14:paraId="31E365D0" w14:textId="0FEFEE6C"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(2</w:t>
            </w:r>
            <w:r w:rsidR="00B71CAF" w:rsidRPr="00313E2B">
              <w:rPr>
                <w:noProof/>
                <w:sz w:val="19"/>
                <w:szCs w:val="19"/>
                <w:lang w:val="es-ES"/>
              </w:rPr>
              <w:t xml:space="preserve"> </w:t>
            </w:r>
            <w:r w:rsidRPr="00313E2B">
              <w:rPr>
                <w:noProof/>
                <w:sz w:val="19"/>
                <w:szCs w:val="19"/>
                <w:lang w:val="es-ES"/>
              </w:rPr>
              <w:t>234)</w:t>
            </w:r>
          </w:p>
        </w:tc>
        <w:tc>
          <w:tcPr>
            <w:tcW w:w="284" w:type="dxa"/>
            <w:tcBorders>
              <w:top w:val="nil"/>
              <w:left w:val="nil"/>
              <w:bottom w:val="single" w:sz="4" w:space="0" w:color="auto"/>
              <w:right w:val="nil"/>
            </w:tcBorders>
            <w:shd w:val="solid" w:color="FFFFFF" w:fill="auto"/>
          </w:tcPr>
          <w:p w14:paraId="7BC5AD1B"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0" w:type="dxa"/>
            <w:tcBorders>
              <w:top w:val="nil"/>
              <w:left w:val="nil"/>
              <w:bottom w:val="single" w:sz="4" w:space="0" w:color="auto"/>
              <w:right w:val="nil"/>
            </w:tcBorders>
            <w:shd w:val="solid" w:color="FFFFFF" w:fill="auto"/>
          </w:tcPr>
          <w:p w14:paraId="698EEF20" w14:textId="562F0A02"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   </w:t>
            </w:r>
          </w:p>
        </w:tc>
        <w:tc>
          <w:tcPr>
            <w:tcW w:w="236" w:type="dxa"/>
            <w:tcBorders>
              <w:top w:val="nil"/>
              <w:left w:val="nil"/>
              <w:bottom w:val="single" w:sz="4" w:space="0" w:color="auto"/>
              <w:right w:val="nil"/>
            </w:tcBorders>
            <w:shd w:val="solid" w:color="FFFFFF" w:fill="auto"/>
          </w:tcPr>
          <w:p w14:paraId="2B788474"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95" w:type="dxa"/>
            <w:tcBorders>
              <w:top w:val="nil"/>
              <w:left w:val="nil"/>
              <w:bottom w:val="single" w:sz="4" w:space="0" w:color="auto"/>
              <w:right w:val="nil"/>
            </w:tcBorders>
            <w:shd w:val="solid" w:color="FFFFFF" w:fill="auto"/>
          </w:tcPr>
          <w:p w14:paraId="497E2A36" w14:textId="0E2F151E"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(2</w:t>
            </w:r>
            <w:r w:rsidR="00B71CAF" w:rsidRPr="00313E2B">
              <w:rPr>
                <w:noProof/>
                <w:sz w:val="19"/>
                <w:szCs w:val="19"/>
                <w:lang w:val="es-ES"/>
              </w:rPr>
              <w:t xml:space="preserve"> </w:t>
            </w:r>
            <w:r w:rsidRPr="00313E2B">
              <w:rPr>
                <w:noProof/>
                <w:sz w:val="19"/>
                <w:szCs w:val="19"/>
                <w:lang w:val="es-ES"/>
              </w:rPr>
              <w:t>234)</w:t>
            </w:r>
          </w:p>
        </w:tc>
        <w:tc>
          <w:tcPr>
            <w:tcW w:w="236" w:type="dxa"/>
            <w:tcBorders>
              <w:top w:val="nil"/>
              <w:left w:val="nil"/>
              <w:bottom w:val="single" w:sz="4" w:space="0" w:color="auto"/>
              <w:right w:val="nil"/>
            </w:tcBorders>
            <w:shd w:val="clear" w:color="auto" w:fill="F2F2F2" w:themeFill="background1" w:themeFillShade="F2"/>
            <w:vAlign w:val="center"/>
          </w:tcPr>
          <w:p w14:paraId="08262BD1"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901" w:type="dxa"/>
            <w:tcBorders>
              <w:top w:val="nil"/>
              <w:left w:val="nil"/>
              <w:bottom w:val="single" w:sz="4" w:space="0" w:color="auto"/>
              <w:right w:val="nil"/>
            </w:tcBorders>
            <w:shd w:val="solid" w:color="FFFFFF" w:fill="auto"/>
          </w:tcPr>
          <w:p w14:paraId="3B6BAE5E" w14:textId="309C9584"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(2</w:t>
            </w:r>
            <w:r w:rsidR="00B71CAF" w:rsidRPr="00313E2B">
              <w:rPr>
                <w:noProof/>
                <w:sz w:val="19"/>
                <w:szCs w:val="19"/>
                <w:lang w:val="es-ES"/>
              </w:rPr>
              <w:t xml:space="preserve"> </w:t>
            </w:r>
            <w:r w:rsidRPr="00313E2B">
              <w:rPr>
                <w:noProof/>
                <w:sz w:val="19"/>
                <w:szCs w:val="19"/>
                <w:lang w:val="es-ES"/>
              </w:rPr>
              <w:t>129)</w:t>
            </w:r>
          </w:p>
        </w:tc>
        <w:tc>
          <w:tcPr>
            <w:tcW w:w="242" w:type="dxa"/>
            <w:tcBorders>
              <w:top w:val="nil"/>
              <w:left w:val="nil"/>
              <w:bottom w:val="single" w:sz="4" w:space="0" w:color="auto"/>
              <w:right w:val="nil"/>
            </w:tcBorders>
            <w:shd w:val="solid" w:color="FFFFFF" w:fill="auto"/>
          </w:tcPr>
          <w:p w14:paraId="2D0D23E4"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793" w:type="dxa"/>
            <w:tcBorders>
              <w:top w:val="nil"/>
              <w:left w:val="nil"/>
              <w:bottom w:val="single" w:sz="4" w:space="0" w:color="auto"/>
              <w:right w:val="nil"/>
            </w:tcBorders>
            <w:shd w:val="solid" w:color="FFFFFF" w:fill="auto"/>
          </w:tcPr>
          <w:p w14:paraId="6C26B033" w14:textId="35499278"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(67)</w:t>
            </w:r>
          </w:p>
        </w:tc>
        <w:tc>
          <w:tcPr>
            <w:tcW w:w="236" w:type="dxa"/>
            <w:tcBorders>
              <w:top w:val="nil"/>
              <w:left w:val="nil"/>
              <w:bottom w:val="single" w:sz="4" w:space="0" w:color="auto"/>
              <w:right w:val="nil"/>
            </w:tcBorders>
            <w:shd w:val="solid" w:color="FFFFFF" w:fill="auto"/>
          </w:tcPr>
          <w:p w14:paraId="23429495"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6" w:type="dxa"/>
            <w:tcBorders>
              <w:top w:val="nil"/>
              <w:left w:val="nil"/>
              <w:bottom w:val="single" w:sz="4" w:space="0" w:color="auto"/>
              <w:right w:val="nil"/>
            </w:tcBorders>
            <w:shd w:val="solid" w:color="FFFFFF" w:fill="auto"/>
          </w:tcPr>
          <w:p w14:paraId="4C4ADBF0" w14:textId="3B59D463"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(2</w:t>
            </w:r>
            <w:r w:rsidR="00B71CAF" w:rsidRPr="00313E2B">
              <w:rPr>
                <w:noProof/>
                <w:sz w:val="19"/>
                <w:szCs w:val="19"/>
                <w:lang w:val="es-ES"/>
              </w:rPr>
              <w:t xml:space="preserve"> </w:t>
            </w:r>
            <w:r w:rsidRPr="00313E2B">
              <w:rPr>
                <w:noProof/>
                <w:sz w:val="19"/>
                <w:szCs w:val="19"/>
                <w:lang w:val="es-ES"/>
              </w:rPr>
              <w:t>196)</w:t>
            </w:r>
          </w:p>
        </w:tc>
      </w:tr>
      <w:tr w:rsidR="00551574" w:rsidRPr="00313E2B" w14:paraId="6B9C4E76" w14:textId="77777777" w:rsidTr="00FF2210">
        <w:tc>
          <w:tcPr>
            <w:tcW w:w="3288" w:type="dxa"/>
            <w:tcBorders>
              <w:top w:val="nil"/>
              <w:left w:val="nil"/>
              <w:bottom w:val="nil"/>
              <w:right w:val="nil"/>
            </w:tcBorders>
            <w:shd w:val="solid" w:color="FFFFFF" w:fill="auto"/>
            <w:vAlign w:val="center"/>
          </w:tcPr>
          <w:p w14:paraId="4C7B04BD" w14:textId="69D1DD33" w:rsidR="00551574" w:rsidRPr="00313E2B" w:rsidRDefault="00551574" w:rsidP="00551574">
            <w:pPr>
              <w:autoSpaceDE w:val="0"/>
              <w:autoSpaceDN w:val="0"/>
              <w:adjustRightInd w:val="0"/>
              <w:ind w:left="0" w:firstLine="0"/>
              <w:rPr>
                <w:rFonts w:asciiTheme="minorHAnsi" w:eastAsiaTheme="minorHAnsi" w:hAnsiTheme="minorHAnsi" w:cstheme="minorHAnsi"/>
                <w:i/>
                <w:iCs/>
                <w:noProof/>
                <w:color w:val="000000"/>
                <w:sz w:val="19"/>
                <w:szCs w:val="19"/>
                <w:lang w:val="es-ES"/>
              </w:rPr>
            </w:pPr>
            <w:r w:rsidRPr="00313E2B">
              <w:rPr>
                <w:rFonts w:asciiTheme="minorHAnsi" w:hAnsiTheme="minorHAnsi"/>
                <w:i/>
                <w:iCs/>
                <w:noProof/>
                <w:sz w:val="19"/>
                <w:szCs w:val="19"/>
                <w:lang w:val="es-ES"/>
              </w:rPr>
              <w:t>Total, Gastos de funcionamiento</w:t>
            </w:r>
          </w:p>
        </w:tc>
        <w:tc>
          <w:tcPr>
            <w:tcW w:w="708" w:type="dxa"/>
            <w:tcBorders>
              <w:top w:val="nil"/>
              <w:left w:val="nil"/>
              <w:bottom w:val="nil"/>
              <w:right w:val="nil"/>
            </w:tcBorders>
            <w:shd w:val="solid" w:color="FFFFFF" w:fill="auto"/>
          </w:tcPr>
          <w:p w14:paraId="267199E8" w14:textId="77777777" w:rsidR="00551574" w:rsidRPr="00313E2B" w:rsidRDefault="00551574" w:rsidP="00551574">
            <w:pPr>
              <w:autoSpaceDE w:val="0"/>
              <w:autoSpaceDN w:val="0"/>
              <w:adjustRightInd w:val="0"/>
              <w:ind w:left="0" w:firstLine="0"/>
              <w:jc w:val="center"/>
              <w:rPr>
                <w:rFonts w:asciiTheme="minorHAnsi" w:eastAsiaTheme="minorHAnsi" w:hAnsiTheme="minorHAnsi" w:cstheme="minorHAnsi"/>
                <w:noProof/>
                <w:color w:val="000000"/>
                <w:sz w:val="19"/>
                <w:szCs w:val="19"/>
                <w:lang w:val="es-ES"/>
              </w:rPr>
            </w:pPr>
          </w:p>
        </w:tc>
        <w:tc>
          <w:tcPr>
            <w:tcW w:w="851" w:type="dxa"/>
            <w:tcBorders>
              <w:top w:val="single" w:sz="4" w:space="0" w:color="auto"/>
              <w:left w:val="nil"/>
              <w:bottom w:val="single" w:sz="4" w:space="0" w:color="auto"/>
              <w:right w:val="nil"/>
            </w:tcBorders>
            <w:shd w:val="solid" w:color="FFFFFF" w:fill="auto"/>
          </w:tcPr>
          <w:p w14:paraId="6F2A2B8D" w14:textId="76F967E6" w:rsidR="00551574" w:rsidRPr="00313E2B" w:rsidRDefault="00551574" w:rsidP="00551574">
            <w:pPr>
              <w:autoSpaceDE w:val="0"/>
              <w:autoSpaceDN w:val="0"/>
              <w:adjustRightInd w:val="0"/>
              <w:ind w:left="0" w:firstLine="0"/>
              <w:jc w:val="right"/>
              <w:rPr>
                <w:rFonts w:asciiTheme="minorHAnsi" w:eastAsiaTheme="minorHAnsi" w:hAnsiTheme="minorHAnsi" w:cstheme="minorHAnsi"/>
                <w:b/>
                <w:bCs/>
                <w:noProof/>
                <w:color w:val="000000"/>
                <w:sz w:val="19"/>
                <w:szCs w:val="19"/>
                <w:lang w:val="es-ES"/>
              </w:rPr>
            </w:pPr>
            <w:r w:rsidRPr="00313E2B">
              <w:rPr>
                <w:noProof/>
                <w:sz w:val="19"/>
                <w:szCs w:val="19"/>
                <w:lang w:val="es-ES"/>
              </w:rPr>
              <w:t xml:space="preserve"> (4</w:t>
            </w:r>
            <w:r w:rsidR="00B71CAF" w:rsidRPr="00313E2B">
              <w:rPr>
                <w:noProof/>
                <w:sz w:val="19"/>
                <w:szCs w:val="19"/>
                <w:lang w:val="es-ES"/>
              </w:rPr>
              <w:t xml:space="preserve"> </w:t>
            </w:r>
            <w:r w:rsidRPr="00313E2B">
              <w:rPr>
                <w:noProof/>
                <w:sz w:val="19"/>
                <w:szCs w:val="19"/>
                <w:lang w:val="es-ES"/>
              </w:rPr>
              <w:t>598)</w:t>
            </w:r>
          </w:p>
        </w:tc>
        <w:tc>
          <w:tcPr>
            <w:tcW w:w="284" w:type="dxa"/>
            <w:tcBorders>
              <w:top w:val="single" w:sz="4" w:space="0" w:color="auto"/>
              <w:left w:val="nil"/>
              <w:bottom w:val="single" w:sz="4" w:space="0" w:color="auto"/>
              <w:right w:val="nil"/>
            </w:tcBorders>
            <w:shd w:val="solid" w:color="FFFFFF" w:fill="auto"/>
          </w:tcPr>
          <w:p w14:paraId="3FD5AAFF"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b/>
                <w:bCs/>
                <w:noProof/>
                <w:color w:val="000000"/>
                <w:sz w:val="19"/>
                <w:szCs w:val="19"/>
                <w:lang w:val="es-ES"/>
              </w:rPr>
            </w:pPr>
          </w:p>
        </w:tc>
        <w:tc>
          <w:tcPr>
            <w:tcW w:w="850" w:type="dxa"/>
            <w:tcBorders>
              <w:top w:val="single" w:sz="4" w:space="0" w:color="auto"/>
              <w:left w:val="nil"/>
              <w:bottom w:val="single" w:sz="4" w:space="0" w:color="auto"/>
              <w:right w:val="nil"/>
            </w:tcBorders>
          </w:tcPr>
          <w:p w14:paraId="030DCC56" w14:textId="7488F2A7" w:rsidR="00551574" w:rsidRPr="00313E2B" w:rsidRDefault="00551574" w:rsidP="00551574">
            <w:pPr>
              <w:autoSpaceDE w:val="0"/>
              <w:autoSpaceDN w:val="0"/>
              <w:adjustRightInd w:val="0"/>
              <w:ind w:left="0" w:firstLine="0"/>
              <w:jc w:val="right"/>
              <w:rPr>
                <w:rFonts w:asciiTheme="minorHAnsi" w:eastAsiaTheme="minorHAnsi" w:hAnsiTheme="minorHAnsi" w:cstheme="minorHAnsi"/>
                <w:b/>
                <w:bCs/>
                <w:noProof/>
                <w:color w:val="000000"/>
                <w:sz w:val="19"/>
                <w:szCs w:val="19"/>
                <w:lang w:val="es-ES"/>
              </w:rPr>
            </w:pPr>
            <w:r w:rsidRPr="00313E2B">
              <w:rPr>
                <w:noProof/>
                <w:sz w:val="19"/>
                <w:szCs w:val="19"/>
                <w:lang w:val="es-ES"/>
              </w:rPr>
              <w:t xml:space="preserve"> (339)</w:t>
            </w:r>
          </w:p>
        </w:tc>
        <w:tc>
          <w:tcPr>
            <w:tcW w:w="236" w:type="dxa"/>
            <w:tcBorders>
              <w:top w:val="single" w:sz="4" w:space="0" w:color="auto"/>
              <w:left w:val="nil"/>
              <w:bottom w:val="single" w:sz="4" w:space="0" w:color="auto"/>
              <w:right w:val="nil"/>
            </w:tcBorders>
            <w:shd w:val="solid" w:color="FFFFFF" w:fill="auto"/>
          </w:tcPr>
          <w:p w14:paraId="4364AE99"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b/>
                <w:bCs/>
                <w:noProof/>
                <w:color w:val="000000"/>
                <w:sz w:val="19"/>
                <w:szCs w:val="19"/>
                <w:lang w:val="es-ES"/>
              </w:rPr>
            </w:pPr>
          </w:p>
        </w:tc>
        <w:tc>
          <w:tcPr>
            <w:tcW w:w="895" w:type="dxa"/>
            <w:tcBorders>
              <w:top w:val="single" w:sz="4" w:space="0" w:color="auto"/>
              <w:left w:val="nil"/>
              <w:bottom w:val="single" w:sz="4" w:space="0" w:color="auto"/>
              <w:right w:val="nil"/>
            </w:tcBorders>
            <w:shd w:val="solid" w:color="FFFFFF" w:fill="auto"/>
          </w:tcPr>
          <w:p w14:paraId="088AF5A2" w14:textId="0F3BD02B" w:rsidR="00551574" w:rsidRPr="00313E2B" w:rsidRDefault="00551574" w:rsidP="00551574">
            <w:pPr>
              <w:autoSpaceDE w:val="0"/>
              <w:autoSpaceDN w:val="0"/>
              <w:adjustRightInd w:val="0"/>
              <w:ind w:left="0" w:firstLine="0"/>
              <w:jc w:val="right"/>
              <w:rPr>
                <w:rFonts w:asciiTheme="minorHAnsi" w:eastAsiaTheme="minorHAnsi" w:hAnsiTheme="minorHAnsi" w:cstheme="minorHAnsi"/>
                <w:b/>
                <w:bCs/>
                <w:noProof/>
                <w:color w:val="000000"/>
                <w:sz w:val="19"/>
                <w:szCs w:val="19"/>
                <w:lang w:val="es-ES"/>
              </w:rPr>
            </w:pPr>
            <w:r w:rsidRPr="00313E2B">
              <w:rPr>
                <w:noProof/>
                <w:sz w:val="19"/>
                <w:szCs w:val="19"/>
                <w:lang w:val="es-ES"/>
              </w:rPr>
              <w:t xml:space="preserve"> (4</w:t>
            </w:r>
            <w:r w:rsidR="00B71CAF" w:rsidRPr="00313E2B">
              <w:rPr>
                <w:noProof/>
                <w:sz w:val="19"/>
                <w:szCs w:val="19"/>
                <w:lang w:val="es-ES"/>
              </w:rPr>
              <w:t xml:space="preserve"> </w:t>
            </w:r>
            <w:r w:rsidRPr="00313E2B">
              <w:rPr>
                <w:noProof/>
                <w:sz w:val="19"/>
                <w:szCs w:val="19"/>
                <w:lang w:val="es-ES"/>
              </w:rPr>
              <w:t>937)</w:t>
            </w:r>
          </w:p>
        </w:tc>
        <w:tc>
          <w:tcPr>
            <w:tcW w:w="236" w:type="dxa"/>
            <w:tcBorders>
              <w:top w:val="single" w:sz="4" w:space="0" w:color="auto"/>
              <w:left w:val="nil"/>
              <w:bottom w:val="single" w:sz="4" w:space="0" w:color="auto"/>
              <w:right w:val="nil"/>
            </w:tcBorders>
            <w:shd w:val="clear" w:color="auto" w:fill="F2F2F2" w:themeFill="background1" w:themeFillShade="F2"/>
            <w:vAlign w:val="center"/>
          </w:tcPr>
          <w:p w14:paraId="55FE0E5C"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901" w:type="dxa"/>
            <w:tcBorders>
              <w:top w:val="single" w:sz="4" w:space="0" w:color="auto"/>
              <w:left w:val="nil"/>
              <w:bottom w:val="single" w:sz="4" w:space="0" w:color="auto"/>
              <w:right w:val="nil"/>
            </w:tcBorders>
            <w:shd w:val="solid" w:color="FFFFFF" w:fill="auto"/>
          </w:tcPr>
          <w:p w14:paraId="0E79B658" w14:textId="278A8B26" w:rsidR="00551574" w:rsidRPr="00313E2B" w:rsidRDefault="00551574" w:rsidP="00551574">
            <w:pPr>
              <w:autoSpaceDE w:val="0"/>
              <w:autoSpaceDN w:val="0"/>
              <w:adjustRightInd w:val="0"/>
              <w:ind w:left="0" w:firstLine="0"/>
              <w:jc w:val="right"/>
              <w:rPr>
                <w:rFonts w:asciiTheme="minorHAnsi" w:eastAsiaTheme="minorHAnsi" w:hAnsiTheme="minorHAnsi" w:cstheme="minorHAnsi"/>
                <w:b/>
                <w:bCs/>
                <w:noProof/>
                <w:color w:val="000000"/>
                <w:sz w:val="19"/>
                <w:szCs w:val="19"/>
                <w:lang w:val="es-ES"/>
              </w:rPr>
            </w:pPr>
            <w:r w:rsidRPr="00313E2B">
              <w:rPr>
                <w:noProof/>
                <w:sz w:val="19"/>
                <w:szCs w:val="19"/>
                <w:lang w:val="es-ES"/>
              </w:rPr>
              <w:t xml:space="preserve"> (4</w:t>
            </w:r>
            <w:r w:rsidR="00B71CAF" w:rsidRPr="00313E2B">
              <w:rPr>
                <w:noProof/>
                <w:sz w:val="19"/>
                <w:szCs w:val="19"/>
                <w:lang w:val="es-ES"/>
              </w:rPr>
              <w:t xml:space="preserve"> </w:t>
            </w:r>
            <w:r w:rsidRPr="00313E2B">
              <w:rPr>
                <w:noProof/>
                <w:sz w:val="19"/>
                <w:szCs w:val="19"/>
                <w:lang w:val="es-ES"/>
              </w:rPr>
              <w:t>198)</w:t>
            </w:r>
          </w:p>
        </w:tc>
        <w:tc>
          <w:tcPr>
            <w:tcW w:w="242" w:type="dxa"/>
            <w:tcBorders>
              <w:top w:val="single" w:sz="4" w:space="0" w:color="auto"/>
              <w:left w:val="nil"/>
              <w:bottom w:val="single" w:sz="4" w:space="0" w:color="auto"/>
              <w:right w:val="nil"/>
            </w:tcBorders>
            <w:shd w:val="solid" w:color="FFFFFF" w:fill="auto"/>
          </w:tcPr>
          <w:p w14:paraId="6E54F60E"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793" w:type="dxa"/>
            <w:tcBorders>
              <w:top w:val="single" w:sz="4" w:space="0" w:color="auto"/>
              <w:left w:val="nil"/>
              <w:bottom w:val="single" w:sz="4" w:space="0" w:color="auto"/>
              <w:right w:val="nil"/>
            </w:tcBorders>
            <w:shd w:val="solid" w:color="FFFFFF" w:fill="auto"/>
          </w:tcPr>
          <w:p w14:paraId="4C7057BE" w14:textId="1C71810A" w:rsidR="00551574" w:rsidRPr="00313E2B" w:rsidRDefault="00551574" w:rsidP="00551574">
            <w:pPr>
              <w:autoSpaceDE w:val="0"/>
              <w:autoSpaceDN w:val="0"/>
              <w:adjustRightInd w:val="0"/>
              <w:ind w:left="0" w:firstLine="0"/>
              <w:jc w:val="right"/>
              <w:rPr>
                <w:rFonts w:asciiTheme="minorHAnsi" w:eastAsiaTheme="minorHAnsi" w:hAnsiTheme="minorHAnsi" w:cstheme="minorHAnsi"/>
                <w:b/>
                <w:bCs/>
                <w:noProof/>
                <w:color w:val="000000"/>
                <w:sz w:val="19"/>
                <w:szCs w:val="19"/>
                <w:lang w:val="es-ES"/>
              </w:rPr>
            </w:pPr>
            <w:r w:rsidRPr="00313E2B">
              <w:rPr>
                <w:noProof/>
                <w:sz w:val="19"/>
                <w:szCs w:val="19"/>
                <w:lang w:val="es-ES"/>
              </w:rPr>
              <w:t xml:space="preserve"> (252)</w:t>
            </w:r>
          </w:p>
        </w:tc>
        <w:tc>
          <w:tcPr>
            <w:tcW w:w="236" w:type="dxa"/>
            <w:tcBorders>
              <w:top w:val="single" w:sz="4" w:space="0" w:color="auto"/>
              <w:left w:val="nil"/>
              <w:bottom w:val="single" w:sz="4" w:space="0" w:color="auto"/>
              <w:right w:val="nil"/>
            </w:tcBorders>
            <w:shd w:val="solid" w:color="FFFFFF" w:fill="auto"/>
          </w:tcPr>
          <w:p w14:paraId="0CE2FA27"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6" w:type="dxa"/>
            <w:tcBorders>
              <w:top w:val="single" w:sz="4" w:space="0" w:color="auto"/>
              <w:left w:val="nil"/>
              <w:bottom w:val="single" w:sz="4" w:space="0" w:color="auto"/>
              <w:right w:val="nil"/>
            </w:tcBorders>
            <w:shd w:val="solid" w:color="FFFFFF" w:fill="auto"/>
          </w:tcPr>
          <w:p w14:paraId="7AA373BF" w14:textId="3AADDEB7" w:rsidR="00551574" w:rsidRPr="00313E2B" w:rsidRDefault="00551574" w:rsidP="00551574">
            <w:pPr>
              <w:autoSpaceDE w:val="0"/>
              <w:autoSpaceDN w:val="0"/>
              <w:adjustRightInd w:val="0"/>
              <w:ind w:left="0" w:firstLine="0"/>
              <w:jc w:val="right"/>
              <w:rPr>
                <w:rFonts w:asciiTheme="minorHAnsi" w:eastAsiaTheme="minorHAnsi" w:hAnsiTheme="minorHAnsi" w:cstheme="minorHAnsi"/>
                <w:b/>
                <w:bCs/>
                <w:noProof/>
                <w:color w:val="000000"/>
                <w:sz w:val="19"/>
                <w:szCs w:val="19"/>
                <w:lang w:val="es-ES"/>
              </w:rPr>
            </w:pPr>
            <w:r w:rsidRPr="00313E2B">
              <w:rPr>
                <w:noProof/>
                <w:sz w:val="19"/>
                <w:szCs w:val="19"/>
                <w:lang w:val="es-ES"/>
              </w:rPr>
              <w:t>(4</w:t>
            </w:r>
            <w:r w:rsidR="00B71CAF" w:rsidRPr="00313E2B">
              <w:rPr>
                <w:noProof/>
                <w:sz w:val="19"/>
                <w:szCs w:val="19"/>
                <w:lang w:val="es-ES"/>
              </w:rPr>
              <w:t xml:space="preserve"> </w:t>
            </w:r>
            <w:r w:rsidRPr="00313E2B">
              <w:rPr>
                <w:noProof/>
                <w:sz w:val="19"/>
                <w:szCs w:val="19"/>
                <w:lang w:val="es-ES"/>
              </w:rPr>
              <w:t>450)</w:t>
            </w:r>
          </w:p>
        </w:tc>
      </w:tr>
      <w:tr w:rsidR="007C6B16" w:rsidRPr="00313E2B" w14:paraId="394A2A0A" w14:textId="77777777" w:rsidTr="002538A3">
        <w:tc>
          <w:tcPr>
            <w:tcW w:w="3288" w:type="dxa"/>
            <w:tcBorders>
              <w:top w:val="nil"/>
              <w:left w:val="nil"/>
              <w:bottom w:val="nil"/>
              <w:right w:val="nil"/>
            </w:tcBorders>
            <w:shd w:val="solid" w:color="FFFFFF" w:fill="auto"/>
          </w:tcPr>
          <w:p w14:paraId="667AEA3E" w14:textId="77777777" w:rsidR="007C6B16" w:rsidRPr="00313E2B" w:rsidRDefault="007C6B16" w:rsidP="007C6B16">
            <w:pPr>
              <w:autoSpaceDE w:val="0"/>
              <w:autoSpaceDN w:val="0"/>
              <w:adjustRightInd w:val="0"/>
              <w:ind w:left="0" w:firstLine="0"/>
              <w:rPr>
                <w:rFonts w:asciiTheme="minorHAnsi" w:eastAsiaTheme="minorHAnsi" w:hAnsiTheme="minorHAnsi" w:cstheme="minorHAnsi"/>
                <w:noProof/>
                <w:color w:val="000000"/>
                <w:sz w:val="19"/>
                <w:szCs w:val="19"/>
                <w:lang w:val="es-ES"/>
              </w:rPr>
            </w:pPr>
          </w:p>
        </w:tc>
        <w:tc>
          <w:tcPr>
            <w:tcW w:w="708" w:type="dxa"/>
            <w:tcBorders>
              <w:top w:val="nil"/>
              <w:left w:val="nil"/>
              <w:bottom w:val="nil"/>
              <w:right w:val="nil"/>
            </w:tcBorders>
            <w:shd w:val="solid" w:color="FFFFFF" w:fill="auto"/>
          </w:tcPr>
          <w:p w14:paraId="14794396" w14:textId="77777777" w:rsidR="007C6B16" w:rsidRPr="00313E2B" w:rsidRDefault="007C6B16" w:rsidP="007C6B16">
            <w:pPr>
              <w:autoSpaceDE w:val="0"/>
              <w:autoSpaceDN w:val="0"/>
              <w:adjustRightInd w:val="0"/>
              <w:ind w:left="0" w:firstLine="0"/>
              <w:jc w:val="center"/>
              <w:rPr>
                <w:rFonts w:asciiTheme="minorHAnsi" w:eastAsiaTheme="minorHAnsi" w:hAnsiTheme="minorHAnsi" w:cstheme="minorHAnsi"/>
                <w:noProof/>
                <w:color w:val="000000"/>
                <w:sz w:val="19"/>
                <w:szCs w:val="19"/>
                <w:lang w:val="es-ES"/>
              </w:rPr>
            </w:pPr>
          </w:p>
        </w:tc>
        <w:tc>
          <w:tcPr>
            <w:tcW w:w="851" w:type="dxa"/>
            <w:tcBorders>
              <w:top w:val="single" w:sz="4" w:space="0" w:color="auto"/>
              <w:left w:val="nil"/>
              <w:bottom w:val="nil"/>
              <w:right w:val="nil"/>
            </w:tcBorders>
            <w:shd w:val="solid" w:color="FFFFFF" w:fill="auto"/>
          </w:tcPr>
          <w:p w14:paraId="0B229D06" w14:textId="77777777" w:rsidR="007C6B16" w:rsidRPr="00313E2B" w:rsidRDefault="007C6B16" w:rsidP="007C6B16">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84" w:type="dxa"/>
            <w:tcBorders>
              <w:top w:val="single" w:sz="4" w:space="0" w:color="auto"/>
              <w:left w:val="nil"/>
              <w:bottom w:val="nil"/>
              <w:right w:val="nil"/>
            </w:tcBorders>
            <w:shd w:val="solid" w:color="FFFFFF" w:fill="auto"/>
          </w:tcPr>
          <w:p w14:paraId="49EEA640" w14:textId="77777777" w:rsidR="007C6B16" w:rsidRPr="00313E2B" w:rsidRDefault="007C6B16" w:rsidP="007C6B16">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0" w:type="dxa"/>
            <w:tcBorders>
              <w:top w:val="single" w:sz="4" w:space="0" w:color="auto"/>
              <w:left w:val="nil"/>
              <w:bottom w:val="nil"/>
              <w:right w:val="nil"/>
            </w:tcBorders>
            <w:shd w:val="solid" w:color="FFFFFF" w:fill="auto"/>
          </w:tcPr>
          <w:p w14:paraId="636CD27E" w14:textId="77777777" w:rsidR="007C6B16" w:rsidRPr="00313E2B" w:rsidRDefault="007C6B16" w:rsidP="007C6B16">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36" w:type="dxa"/>
            <w:tcBorders>
              <w:top w:val="single" w:sz="4" w:space="0" w:color="auto"/>
              <w:left w:val="nil"/>
              <w:bottom w:val="nil"/>
              <w:right w:val="nil"/>
            </w:tcBorders>
            <w:shd w:val="solid" w:color="FFFFFF" w:fill="auto"/>
          </w:tcPr>
          <w:p w14:paraId="60D42588" w14:textId="77777777" w:rsidR="007C6B16" w:rsidRPr="00313E2B" w:rsidRDefault="007C6B16" w:rsidP="007C6B16">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95" w:type="dxa"/>
            <w:tcBorders>
              <w:top w:val="single" w:sz="4" w:space="0" w:color="auto"/>
              <w:left w:val="nil"/>
              <w:bottom w:val="nil"/>
              <w:right w:val="nil"/>
            </w:tcBorders>
            <w:shd w:val="solid" w:color="FFFFFF" w:fill="auto"/>
          </w:tcPr>
          <w:p w14:paraId="45B0B29D" w14:textId="77777777" w:rsidR="007C6B16" w:rsidRPr="00313E2B" w:rsidRDefault="007C6B16" w:rsidP="007C6B16">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36" w:type="dxa"/>
            <w:tcBorders>
              <w:top w:val="single" w:sz="4" w:space="0" w:color="auto"/>
              <w:left w:val="nil"/>
              <w:bottom w:val="nil"/>
              <w:right w:val="nil"/>
            </w:tcBorders>
            <w:shd w:val="clear" w:color="auto" w:fill="F2F2F2" w:themeFill="background1" w:themeFillShade="F2"/>
            <w:vAlign w:val="center"/>
          </w:tcPr>
          <w:p w14:paraId="26C11391" w14:textId="77777777" w:rsidR="007C6B16" w:rsidRPr="00313E2B" w:rsidRDefault="007C6B16" w:rsidP="007C6B16">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901" w:type="dxa"/>
            <w:tcBorders>
              <w:top w:val="single" w:sz="4" w:space="0" w:color="auto"/>
              <w:left w:val="nil"/>
              <w:bottom w:val="nil"/>
              <w:right w:val="nil"/>
            </w:tcBorders>
            <w:shd w:val="solid" w:color="FFFFFF" w:fill="auto"/>
          </w:tcPr>
          <w:p w14:paraId="5818760B" w14:textId="77777777" w:rsidR="007C6B16" w:rsidRPr="00313E2B" w:rsidRDefault="007C6B16" w:rsidP="007C6B16">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42" w:type="dxa"/>
            <w:tcBorders>
              <w:top w:val="single" w:sz="4" w:space="0" w:color="auto"/>
              <w:left w:val="nil"/>
              <w:bottom w:val="nil"/>
              <w:right w:val="nil"/>
            </w:tcBorders>
            <w:shd w:val="solid" w:color="FFFFFF" w:fill="auto"/>
          </w:tcPr>
          <w:p w14:paraId="3D757211" w14:textId="77777777" w:rsidR="007C6B16" w:rsidRPr="00313E2B" w:rsidRDefault="007C6B16" w:rsidP="007C6B16">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793" w:type="dxa"/>
            <w:tcBorders>
              <w:top w:val="single" w:sz="4" w:space="0" w:color="auto"/>
              <w:left w:val="nil"/>
              <w:bottom w:val="nil"/>
              <w:right w:val="nil"/>
            </w:tcBorders>
            <w:shd w:val="solid" w:color="FFFFFF" w:fill="auto"/>
          </w:tcPr>
          <w:p w14:paraId="5DA5C97F" w14:textId="77777777" w:rsidR="007C6B16" w:rsidRPr="00313E2B" w:rsidRDefault="007C6B16" w:rsidP="007C6B16">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36" w:type="dxa"/>
            <w:tcBorders>
              <w:top w:val="single" w:sz="4" w:space="0" w:color="auto"/>
              <w:left w:val="nil"/>
              <w:bottom w:val="nil"/>
              <w:right w:val="nil"/>
            </w:tcBorders>
            <w:shd w:val="solid" w:color="FFFFFF" w:fill="auto"/>
          </w:tcPr>
          <w:p w14:paraId="3C2FE660" w14:textId="77777777" w:rsidR="007C6B16" w:rsidRPr="00313E2B" w:rsidRDefault="007C6B16" w:rsidP="007C6B16">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6" w:type="dxa"/>
            <w:tcBorders>
              <w:top w:val="single" w:sz="4" w:space="0" w:color="auto"/>
              <w:left w:val="nil"/>
              <w:bottom w:val="nil"/>
              <w:right w:val="nil"/>
            </w:tcBorders>
            <w:shd w:val="solid" w:color="FFFFFF" w:fill="auto"/>
          </w:tcPr>
          <w:p w14:paraId="14A5D788" w14:textId="77777777" w:rsidR="007C6B16" w:rsidRPr="00313E2B" w:rsidRDefault="007C6B16" w:rsidP="007C6B16">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r>
      <w:tr w:rsidR="00551574" w:rsidRPr="00313E2B" w14:paraId="40B35761" w14:textId="77777777" w:rsidTr="001441B9">
        <w:tc>
          <w:tcPr>
            <w:tcW w:w="3288" w:type="dxa"/>
            <w:tcBorders>
              <w:top w:val="nil"/>
              <w:left w:val="nil"/>
              <w:bottom w:val="nil"/>
              <w:right w:val="nil"/>
            </w:tcBorders>
            <w:shd w:val="solid" w:color="FFFFFF" w:fill="auto"/>
            <w:vAlign w:val="center"/>
          </w:tcPr>
          <w:p w14:paraId="6D3B8CDC" w14:textId="3A691532" w:rsidR="00551574" w:rsidRPr="00313E2B" w:rsidRDefault="00551574" w:rsidP="00551574">
            <w:pPr>
              <w:autoSpaceDE w:val="0"/>
              <w:autoSpaceDN w:val="0"/>
              <w:adjustRightInd w:val="0"/>
              <w:ind w:left="0" w:firstLine="0"/>
              <w:rPr>
                <w:rFonts w:asciiTheme="minorHAnsi" w:eastAsiaTheme="minorHAnsi" w:hAnsiTheme="minorHAnsi" w:cstheme="minorHAnsi"/>
                <w:noProof/>
                <w:color w:val="000000"/>
                <w:sz w:val="19"/>
                <w:szCs w:val="19"/>
                <w:lang w:val="es-ES"/>
              </w:rPr>
            </w:pPr>
            <w:r w:rsidRPr="00313E2B">
              <w:rPr>
                <w:rFonts w:asciiTheme="minorHAnsi" w:hAnsiTheme="minorHAnsi"/>
                <w:b/>
                <w:bCs/>
                <w:noProof/>
                <w:sz w:val="19"/>
                <w:szCs w:val="19"/>
                <w:lang w:val="es-ES"/>
              </w:rPr>
              <w:t>Excedente/(Déficit) neto antes de otros ingresos/gastos</w:t>
            </w:r>
          </w:p>
        </w:tc>
        <w:tc>
          <w:tcPr>
            <w:tcW w:w="708" w:type="dxa"/>
            <w:tcBorders>
              <w:top w:val="nil"/>
              <w:left w:val="nil"/>
              <w:bottom w:val="nil"/>
              <w:right w:val="nil"/>
            </w:tcBorders>
            <w:shd w:val="solid" w:color="FFFFFF" w:fill="auto"/>
          </w:tcPr>
          <w:p w14:paraId="2097BBDA" w14:textId="77777777" w:rsidR="00551574" w:rsidRPr="00313E2B" w:rsidRDefault="00551574" w:rsidP="00551574">
            <w:pPr>
              <w:autoSpaceDE w:val="0"/>
              <w:autoSpaceDN w:val="0"/>
              <w:adjustRightInd w:val="0"/>
              <w:ind w:left="0" w:firstLine="0"/>
              <w:jc w:val="center"/>
              <w:rPr>
                <w:rFonts w:asciiTheme="minorHAnsi" w:eastAsiaTheme="minorHAnsi" w:hAnsiTheme="minorHAnsi" w:cstheme="minorHAnsi"/>
                <w:noProof/>
                <w:color w:val="000000"/>
                <w:sz w:val="19"/>
                <w:szCs w:val="19"/>
                <w:lang w:val="es-ES"/>
              </w:rPr>
            </w:pPr>
          </w:p>
        </w:tc>
        <w:tc>
          <w:tcPr>
            <w:tcW w:w="851" w:type="dxa"/>
            <w:tcBorders>
              <w:top w:val="nil"/>
              <w:left w:val="nil"/>
              <w:bottom w:val="single" w:sz="4" w:space="0" w:color="auto"/>
              <w:right w:val="nil"/>
            </w:tcBorders>
            <w:shd w:val="solid" w:color="FFFFFF" w:fill="auto"/>
            <w:vAlign w:val="center"/>
          </w:tcPr>
          <w:p w14:paraId="780E4B45" w14:textId="6CA80283" w:rsidR="00551574" w:rsidRPr="001441B9" w:rsidRDefault="00551574" w:rsidP="001441B9">
            <w:pPr>
              <w:autoSpaceDE w:val="0"/>
              <w:autoSpaceDN w:val="0"/>
              <w:adjustRightInd w:val="0"/>
              <w:ind w:left="0" w:firstLine="0"/>
              <w:jc w:val="right"/>
              <w:rPr>
                <w:rFonts w:asciiTheme="minorHAnsi" w:eastAsiaTheme="minorHAnsi" w:hAnsiTheme="minorHAnsi" w:cstheme="minorHAnsi"/>
                <w:b/>
                <w:noProof/>
                <w:color w:val="000000"/>
                <w:sz w:val="19"/>
                <w:szCs w:val="19"/>
                <w:lang w:val="es-ES"/>
              </w:rPr>
            </w:pPr>
            <w:r w:rsidRPr="001441B9">
              <w:rPr>
                <w:b/>
                <w:noProof/>
                <w:sz w:val="19"/>
                <w:szCs w:val="19"/>
                <w:lang w:val="es-ES"/>
              </w:rPr>
              <w:t xml:space="preserve"> 474 </w:t>
            </w:r>
          </w:p>
        </w:tc>
        <w:tc>
          <w:tcPr>
            <w:tcW w:w="284" w:type="dxa"/>
            <w:tcBorders>
              <w:top w:val="nil"/>
              <w:left w:val="nil"/>
              <w:bottom w:val="single" w:sz="4" w:space="0" w:color="auto"/>
              <w:right w:val="nil"/>
            </w:tcBorders>
            <w:shd w:val="solid" w:color="FFFFFF" w:fill="auto"/>
            <w:vAlign w:val="center"/>
          </w:tcPr>
          <w:p w14:paraId="576A954B" w14:textId="77777777" w:rsidR="00551574" w:rsidRPr="001441B9" w:rsidRDefault="00551574" w:rsidP="001441B9">
            <w:pPr>
              <w:autoSpaceDE w:val="0"/>
              <w:autoSpaceDN w:val="0"/>
              <w:adjustRightInd w:val="0"/>
              <w:ind w:left="0" w:firstLine="0"/>
              <w:jc w:val="right"/>
              <w:rPr>
                <w:rFonts w:asciiTheme="minorHAnsi" w:eastAsiaTheme="minorHAnsi" w:hAnsiTheme="minorHAnsi" w:cstheme="minorHAnsi"/>
                <w:b/>
                <w:noProof/>
                <w:color w:val="000000"/>
                <w:sz w:val="19"/>
                <w:szCs w:val="19"/>
                <w:lang w:val="es-ES"/>
              </w:rPr>
            </w:pPr>
          </w:p>
        </w:tc>
        <w:tc>
          <w:tcPr>
            <w:tcW w:w="850" w:type="dxa"/>
            <w:tcBorders>
              <w:top w:val="nil"/>
              <w:left w:val="nil"/>
              <w:bottom w:val="single" w:sz="4" w:space="0" w:color="auto"/>
              <w:right w:val="nil"/>
            </w:tcBorders>
            <w:shd w:val="solid" w:color="FFFFFF" w:fill="auto"/>
            <w:vAlign w:val="center"/>
          </w:tcPr>
          <w:p w14:paraId="2EEE4892" w14:textId="04754C36" w:rsidR="00551574" w:rsidRPr="001441B9" w:rsidRDefault="00551574" w:rsidP="001441B9">
            <w:pPr>
              <w:autoSpaceDE w:val="0"/>
              <w:autoSpaceDN w:val="0"/>
              <w:adjustRightInd w:val="0"/>
              <w:ind w:left="0" w:firstLine="0"/>
              <w:jc w:val="right"/>
              <w:rPr>
                <w:rFonts w:asciiTheme="minorHAnsi" w:eastAsiaTheme="minorHAnsi" w:hAnsiTheme="minorHAnsi" w:cstheme="minorHAnsi"/>
                <w:b/>
                <w:noProof/>
                <w:color w:val="000000"/>
                <w:sz w:val="19"/>
                <w:szCs w:val="19"/>
                <w:lang w:val="es-ES"/>
              </w:rPr>
            </w:pPr>
            <w:r w:rsidRPr="001441B9">
              <w:rPr>
                <w:b/>
                <w:noProof/>
                <w:sz w:val="19"/>
                <w:szCs w:val="19"/>
                <w:lang w:val="es-ES"/>
              </w:rPr>
              <w:t xml:space="preserve"> 134 </w:t>
            </w:r>
          </w:p>
        </w:tc>
        <w:tc>
          <w:tcPr>
            <w:tcW w:w="236" w:type="dxa"/>
            <w:tcBorders>
              <w:top w:val="nil"/>
              <w:left w:val="nil"/>
              <w:bottom w:val="single" w:sz="4" w:space="0" w:color="auto"/>
              <w:right w:val="nil"/>
            </w:tcBorders>
            <w:shd w:val="solid" w:color="FFFFFF" w:fill="auto"/>
            <w:vAlign w:val="center"/>
          </w:tcPr>
          <w:p w14:paraId="0662D937" w14:textId="77777777" w:rsidR="00551574" w:rsidRPr="001441B9" w:rsidRDefault="00551574" w:rsidP="001441B9">
            <w:pPr>
              <w:autoSpaceDE w:val="0"/>
              <w:autoSpaceDN w:val="0"/>
              <w:adjustRightInd w:val="0"/>
              <w:ind w:left="0" w:firstLine="0"/>
              <w:jc w:val="right"/>
              <w:rPr>
                <w:rFonts w:asciiTheme="minorHAnsi" w:eastAsiaTheme="minorHAnsi" w:hAnsiTheme="minorHAnsi" w:cstheme="minorHAnsi"/>
                <w:b/>
                <w:noProof/>
                <w:color w:val="000000"/>
                <w:sz w:val="19"/>
                <w:szCs w:val="19"/>
                <w:lang w:val="es-ES"/>
              </w:rPr>
            </w:pPr>
          </w:p>
        </w:tc>
        <w:tc>
          <w:tcPr>
            <w:tcW w:w="895" w:type="dxa"/>
            <w:tcBorders>
              <w:top w:val="nil"/>
              <w:left w:val="nil"/>
              <w:bottom w:val="single" w:sz="4" w:space="0" w:color="auto"/>
              <w:right w:val="nil"/>
            </w:tcBorders>
            <w:shd w:val="solid" w:color="FFFFFF" w:fill="auto"/>
            <w:vAlign w:val="center"/>
          </w:tcPr>
          <w:p w14:paraId="1933D419" w14:textId="22F96765" w:rsidR="00551574" w:rsidRPr="001441B9" w:rsidRDefault="00551574" w:rsidP="001441B9">
            <w:pPr>
              <w:autoSpaceDE w:val="0"/>
              <w:autoSpaceDN w:val="0"/>
              <w:adjustRightInd w:val="0"/>
              <w:ind w:left="0" w:firstLine="0"/>
              <w:jc w:val="right"/>
              <w:rPr>
                <w:rFonts w:asciiTheme="minorHAnsi" w:eastAsiaTheme="minorHAnsi" w:hAnsiTheme="minorHAnsi" w:cstheme="minorHAnsi"/>
                <w:b/>
                <w:noProof/>
                <w:color w:val="000000"/>
                <w:sz w:val="19"/>
                <w:szCs w:val="19"/>
                <w:lang w:val="es-ES"/>
              </w:rPr>
            </w:pPr>
            <w:r w:rsidRPr="001441B9">
              <w:rPr>
                <w:b/>
                <w:noProof/>
                <w:sz w:val="19"/>
                <w:szCs w:val="19"/>
                <w:lang w:val="es-ES"/>
              </w:rPr>
              <w:t xml:space="preserve"> 608 </w:t>
            </w:r>
          </w:p>
        </w:tc>
        <w:tc>
          <w:tcPr>
            <w:tcW w:w="236" w:type="dxa"/>
            <w:tcBorders>
              <w:top w:val="nil"/>
              <w:left w:val="nil"/>
              <w:bottom w:val="single" w:sz="4" w:space="0" w:color="auto"/>
              <w:right w:val="nil"/>
            </w:tcBorders>
            <w:shd w:val="clear" w:color="auto" w:fill="F2F2F2" w:themeFill="background1" w:themeFillShade="F2"/>
            <w:vAlign w:val="center"/>
          </w:tcPr>
          <w:p w14:paraId="745C70A3" w14:textId="77777777" w:rsidR="00551574" w:rsidRPr="001441B9" w:rsidRDefault="00551574" w:rsidP="001441B9">
            <w:pPr>
              <w:autoSpaceDE w:val="0"/>
              <w:autoSpaceDN w:val="0"/>
              <w:adjustRightInd w:val="0"/>
              <w:ind w:left="0" w:firstLine="0"/>
              <w:jc w:val="right"/>
              <w:rPr>
                <w:rFonts w:asciiTheme="minorHAnsi" w:eastAsiaTheme="minorHAnsi" w:hAnsiTheme="minorHAnsi" w:cstheme="minorHAnsi"/>
                <w:b/>
                <w:noProof/>
                <w:color w:val="000000"/>
                <w:sz w:val="19"/>
                <w:szCs w:val="19"/>
                <w:lang w:val="es-ES"/>
              </w:rPr>
            </w:pPr>
          </w:p>
        </w:tc>
        <w:tc>
          <w:tcPr>
            <w:tcW w:w="901" w:type="dxa"/>
            <w:tcBorders>
              <w:top w:val="nil"/>
              <w:left w:val="nil"/>
              <w:bottom w:val="single" w:sz="4" w:space="0" w:color="auto"/>
              <w:right w:val="nil"/>
            </w:tcBorders>
            <w:shd w:val="solid" w:color="FFFFFF" w:fill="auto"/>
            <w:vAlign w:val="center"/>
          </w:tcPr>
          <w:p w14:paraId="195A07D7" w14:textId="550054DF" w:rsidR="00551574" w:rsidRPr="001441B9" w:rsidRDefault="00551574" w:rsidP="001441B9">
            <w:pPr>
              <w:autoSpaceDE w:val="0"/>
              <w:autoSpaceDN w:val="0"/>
              <w:adjustRightInd w:val="0"/>
              <w:ind w:left="0" w:firstLine="0"/>
              <w:jc w:val="right"/>
              <w:rPr>
                <w:rFonts w:asciiTheme="minorHAnsi" w:eastAsiaTheme="minorHAnsi" w:hAnsiTheme="minorHAnsi" w:cstheme="minorHAnsi"/>
                <w:b/>
                <w:noProof/>
                <w:color w:val="000000"/>
                <w:sz w:val="19"/>
                <w:szCs w:val="19"/>
                <w:lang w:val="es-ES"/>
              </w:rPr>
            </w:pPr>
            <w:r w:rsidRPr="001441B9">
              <w:rPr>
                <w:b/>
                <w:noProof/>
                <w:sz w:val="19"/>
                <w:szCs w:val="19"/>
                <w:lang w:val="es-ES"/>
              </w:rPr>
              <w:t xml:space="preserve">  832 </w:t>
            </w:r>
          </w:p>
        </w:tc>
        <w:tc>
          <w:tcPr>
            <w:tcW w:w="242" w:type="dxa"/>
            <w:tcBorders>
              <w:top w:val="nil"/>
              <w:left w:val="nil"/>
              <w:bottom w:val="single" w:sz="4" w:space="0" w:color="auto"/>
              <w:right w:val="nil"/>
            </w:tcBorders>
            <w:shd w:val="solid" w:color="FFFFFF" w:fill="auto"/>
            <w:vAlign w:val="center"/>
          </w:tcPr>
          <w:p w14:paraId="2DEB88DD" w14:textId="77777777" w:rsidR="00551574" w:rsidRPr="001441B9" w:rsidRDefault="00551574" w:rsidP="001441B9">
            <w:pPr>
              <w:autoSpaceDE w:val="0"/>
              <w:autoSpaceDN w:val="0"/>
              <w:adjustRightInd w:val="0"/>
              <w:ind w:left="0" w:firstLine="0"/>
              <w:jc w:val="right"/>
              <w:rPr>
                <w:rFonts w:asciiTheme="minorHAnsi" w:eastAsiaTheme="minorHAnsi" w:hAnsiTheme="minorHAnsi" w:cstheme="minorHAnsi"/>
                <w:b/>
                <w:noProof/>
                <w:color w:val="000000"/>
                <w:sz w:val="19"/>
                <w:szCs w:val="19"/>
                <w:lang w:val="es-ES"/>
              </w:rPr>
            </w:pPr>
          </w:p>
        </w:tc>
        <w:tc>
          <w:tcPr>
            <w:tcW w:w="793" w:type="dxa"/>
            <w:tcBorders>
              <w:top w:val="nil"/>
              <w:left w:val="nil"/>
              <w:bottom w:val="single" w:sz="4" w:space="0" w:color="auto"/>
              <w:right w:val="nil"/>
            </w:tcBorders>
            <w:shd w:val="solid" w:color="FFFFFF" w:fill="auto"/>
            <w:vAlign w:val="center"/>
          </w:tcPr>
          <w:p w14:paraId="3FEE643F" w14:textId="08C4DE49" w:rsidR="00551574" w:rsidRPr="001441B9" w:rsidRDefault="00551574" w:rsidP="001441B9">
            <w:pPr>
              <w:autoSpaceDE w:val="0"/>
              <w:autoSpaceDN w:val="0"/>
              <w:adjustRightInd w:val="0"/>
              <w:ind w:left="0" w:firstLine="0"/>
              <w:jc w:val="right"/>
              <w:rPr>
                <w:rFonts w:asciiTheme="minorHAnsi" w:eastAsiaTheme="minorHAnsi" w:hAnsiTheme="minorHAnsi" w:cstheme="minorHAnsi"/>
                <w:b/>
                <w:noProof/>
                <w:color w:val="000000"/>
                <w:sz w:val="19"/>
                <w:szCs w:val="19"/>
                <w:lang w:val="es-ES"/>
              </w:rPr>
            </w:pPr>
            <w:r w:rsidRPr="001441B9">
              <w:rPr>
                <w:b/>
                <w:noProof/>
                <w:sz w:val="19"/>
                <w:szCs w:val="19"/>
                <w:lang w:val="es-ES"/>
              </w:rPr>
              <w:t xml:space="preserve"> (193)</w:t>
            </w:r>
          </w:p>
        </w:tc>
        <w:tc>
          <w:tcPr>
            <w:tcW w:w="236" w:type="dxa"/>
            <w:tcBorders>
              <w:top w:val="nil"/>
              <w:left w:val="nil"/>
              <w:bottom w:val="single" w:sz="4" w:space="0" w:color="auto"/>
              <w:right w:val="nil"/>
            </w:tcBorders>
            <w:shd w:val="solid" w:color="FFFFFF" w:fill="auto"/>
            <w:vAlign w:val="center"/>
          </w:tcPr>
          <w:p w14:paraId="3788962F" w14:textId="77777777" w:rsidR="00551574" w:rsidRPr="001441B9" w:rsidRDefault="00551574" w:rsidP="001441B9">
            <w:pPr>
              <w:autoSpaceDE w:val="0"/>
              <w:autoSpaceDN w:val="0"/>
              <w:adjustRightInd w:val="0"/>
              <w:ind w:left="0" w:firstLine="0"/>
              <w:jc w:val="right"/>
              <w:rPr>
                <w:rFonts w:asciiTheme="minorHAnsi" w:eastAsiaTheme="minorHAnsi" w:hAnsiTheme="minorHAnsi" w:cstheme="minorHAnsi"/>
                <w:b/>
                <w:noProof/>
                <w:color w:val="000000"/>
                <w:sz w:val="19"/>
                <w:szCs w:val="19"/>
                <w:lang w:val="es-ES"/>
              </w:rPr>
            </w:pPr>
          </w:p>
        </w:tc>
        <w:tc>
          <w:tcPr>
            <w:tcW w:w="856" w:type="dxa"/>
            <w:tcBorders>
              <w:top w:val="nil"/>
              <w:left w:val="nil"/>
              <w:bottom w:val="single" w:sz="4" w:space="0" w:color="auto"/>
              <w:right w:val="nil"/>
            </w:tcBorders>
            <w:shd w:val="solid" w:color="FFFFFF" w:fill="auto"/>
            <w:vAlign w:val="center"/>
          </w:tcPr>
          <w:p w14:paraId="0DF665FD" w14:textId="03903FE2" w:rsidR="00551574" w:rsidRPr="001441B9" w:rsidRDefault="00551574" w:rsidP="001441B9">
            <w:pPr>
              <w:autoSpaceDE w:val="0"/>
              <w:autoSpaceDN w:val="0"/>
              <w:adjustRightInd w:val="0"/>
              <w:ind w:left="0" w:firstLine="0"/>
              <w:jc w:val="right"/>
              <w:rPr>
                <w:rFonts w:asciiTheme="minorHAnsi" w:eastAsiaTheme="minorHAnsi" w:hAnsiTheme="minorHAnsi" w:cstheme="minorHAnsi"/>
                <w:b/>
                <w:noProof/>
                <w:color w:val="000000"/>
                <w:sz w:val="19"/>
                <w:szCs w:val="19"/>
                <w:lang w:val="es-ES"/>
              </w:rPr>
            </w:pPr>
            <w:r w:rsidRPr="001441B9">
              <w:rPr>
                <w:b/>
                <w:noProof/>
                <w:sz w:val="19"/>
                <w:szCs w:val="19"/>
                <w:lang w:val="es-ES"/>
              </w:rPr>
              <w:t xml:space="preserve">  639 </w:t>
            </w:r>
          </w:p>
        </w:tc>
      </w:tr>
      <w:tr w:rsidR="007C6B16" w:rsidRPr="00313E2B" w14:paraId="6D885F7B" w14:textId="77777777" w:rsidTr="002538A3">
        <w:tc>
          <w:tcPr>
            <w:tcW w:w="3288" w:type="dxa"/>
            <w:tcBorders>
              <w:top w:val="nil"/>
              <w:left w:val="nil"/>
              <w:bottom w:val="nil"/>
              <w:right w:val="nil"/>
            </w:tcBorders>
            <w:shd w:val="solid" w:color="FFFFFF" w:fill="auto"/>
          </w:tcPr>
          <w:p w14:paraId="3B2BEE1E" w14:textId="77777777" w:rsidR="007C6B16" w:rsidRPr="00313E2B" w:rsidRDefault="007C6B16" w:rsidP="007C6B16">
            <w:pPr>
              <w:autoSpaceDE w:val="0"/>
              <w:autoSpaceDN w:val="0"/>
              <w:adjustRightInd w:val="0"/>
              <w:ind w:left="0" w:firstLine="0"/>
              <w:rPr>
                <w:rFonts w:asciiTheme="minorHAnsi" w:eastAsiaTheme="minorHAnsi" w:hAnsiTheme="minorHAnsi" w:cstheme="minorHAnsi"/>
                <w:noProof/>
                <w:color w:val="000000"/>
                <w:sz w:val="19"/>
                <w:szCs w:val="19"/>
                <w:lang w:val="es-ES"/>
              </w:rPr>
            </w:pPr>
          </w:p>
        </w:tc>
        <w:tc>
          <w:tcPr>
            <w:tcW w:w="708" w:type="dxa"/>
            <w:tcBorders>
              <w:top w:val="nil"/>
              <w:left w:val="nil"/>
              <w:bottom w:val="nil"/>
              <w:right w:val="nil"/>
            </w:tcBorders>
            <w:shd w:val="solid" w:color="FFFFFF" w:fill="auto"/>
          </w:tcPr>
          <w:p w14:paraId="1F5AD27C" w14:textId="77777777" w:rsidR="007C6B16" w:rsidRPr="00313E2B" w:rsidRDefault="007C6B16" w:rsidP="007C6B16">
            <w:pPr>
              <w:autoSpaceDE w:val="0"/>
              <w:autoSpaceDN w:val="0"/>
              <w:adjustRightInd w:val="0"/>
              <w:ind w:left="0" w:firstLine="0"/>
              <w:jc w:val="center"/>
              <w:rPr>
                <w:rFonts w:asciiTheme="minorHAnsi" w:eastAsiaTheme="minorHAnsi" w:hAnsiTheme="minorHAnsi" w:cstheme="minorHAnsi"/>
                <w:noProof/>
                <w:color w:val="000000"/>
                <w:sz w:val="19"/>
                <w:szCs w:val="19"/>
                <w:lang w:val="es-ES"/>
              </w:rPr>
            </w:pPr>
          </w:p>
        </w:tc>
        <w:tc>
          <w:tcPr>
            <w:tcW w:w="851" w:type="dxa"/>
            <w:tcBorders>
              <w:top w:val="single" w:sz="4" w:space="0" w:color="auto"/>
              <w:left w:val="nil"/>
              <w:bottom w:val="nil"/>
              <w:right w:val="nil"/>
            </w:tcBorders>
            <w:shd w:val="solid" w:color="FFFFFF" w:fill="auto"/>
          </w:tcPr>
          <w:p w14:paraId="7A49B3DD" w14:textId="77777777" w:rsidR="007C6B16" w:rsidRPr="00313E2B" w:rsidRDefault="007C6B16" w:rsidP="007C6B16">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84" w:type="dxa"/>
            <w:tcBorders>
              <w:top w:val="single" w:sz="4" w:space="0" w:color="auto"/>
              <w:left w:val="nil"/>
              <w:bottom w:val="nil"/>
              <w:right w:val="nil"/>
            </w:tcBorders>
            <w:shd w:val="solid" w:color="FFFFFF" w:fill="auto"/>
          </w:tcPr>
          <w:p w14:paraId="788616CC" w14:textId="77777777" w:rsidR="007C6B16" w:rsidRPr="00313E2B" w:rsidRDefault="007C6B16" w:rsidP="007C6B16">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0" w:type="dxa"/>
            <w:tcBorders>
              <w:top w:val="single" w:sz="4" w:space="0" w:color="auto"/>
              <w:left w:val="nil"/>
              <w:bottom w:val="nil"/>
              <w:right w:val="nil"/>
            </w:tcBorders>
            <w:shd w:val="solid" w:color="FFFFFF" w:fill="auto"/>
          </w:tcPr>
          <w:p w14:paraId="4B259781" w14:textId="77777777" w:rsidR="007C6B16" w:rsidRPr="00313E2B" w:rsidRDefault="007C6B16" w:rsidP="007C6B16">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36" w:type="dxa"/>
            <w:tcBorders>
              <w:top w:val="single" w:sz="4" w:space="0" w:color="auto"/>
              <w:left w:val="nil"/>
              <w:bottom w:val="nil"/>
              <w:right w:val="nil"/>
            </w:tcBorders>
            <w:shd w:val="solid" w:color="FFFFFF" w:fill="auto"/>
          </w:tcPr>
          <w:p w14:paraId="7C321264" w14:textId="77777777" w:rsidR="007C6B16" w:rsidRPr="00313E2B" w:rsidRDefault="007C6B16" w:rsidP="007C6B16">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95" w:type="dxa"/>
            <w:tcBorders>
              <w:top w:val="single" w:sz="4" w:space="0" w:color="auto"/>
              <w:left w:val="nil"/>
              <w:bottom w:val="nil"/>
              <w:right w:val="nil"/>
            </w:tcBorders>
            <w:shd w:val="solid" w:color="FFFFFF" w:fill="auto"/>
          </w:tcPr>
          <w:p w14:paraId="27F88110" w14:textId="77777777" w:rsidR="007C6B16" w:rsidRPr="00313E2B" w:rsidRDefault="007C6B16" w:rsidP="007C6B16">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36" w:type="dxa"/>
            <w:tcBorders>
              <w:top w:val="single" w:sz="4" w:space="0" w:color="auto"/>
              <w:left w:val="nil"/>
              <w:bottom w:val="nil"/>
              <w:right w:val="nil"/>
            </w:tcBorders>
            <w:shd w:val="clear" w:color="auto" w:fill="F2F2F2" w:themeFill="background1" w:themeFillShade="F2"/>
            <w:vAlign w:val="center"/>
          </w:tcPr>
          <w:p w14:paraId="037C0AAC" w14:textId="77777777" w:rsidR="007C6B16" w:rsidRPr="00313E2B" w:rsidRDefault="007C6B16" w:rsidP="007C6B16">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901" w:type="dxa"/>
            <w:tcBorders>
              <w:top w:val="single" w:sz="4" w:space="0" w:color="auto"/>
              <w:left w:val="nil"/>
              <w:bottom w:val="nil"/>
              <w:right w:val="nil"/>
            </w:tcBorders>
            <w:shd w:val="solid" w:color="FFFFFF" w:fill="auto"/>
          </w:tcPr>
          <w:p w14:paraId="48B22361" w14:textId="77777777" w:rsidR="007C6B16" w:rsidRPr="00313E2B" w:rsidRDefault="007C6B16" w:rsidP="007C6B16">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42" w:type="dxa"/>
            <w:tcBorders>
              <w:top w:val="single" w:sz="4" w:space="0" w:color="auto"/>
              <w:left w:val="nil"/>
              <w:bottom w:val="nil"/>
              <w:right w:val="nil"/>
            </w:tcBorders>
            <w:shd w:val="solid" w:color="FFFFFF" w:fill="auto"/>
          </w:tcPr>
          <w:p w14:paraId="7504113C" w14:textId="77777777" w:rsidR="007C6B16" w:rsidRPr="00313E2B" w:rsidRDefault="007C6B16" w:rsidP="007C6B16">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793" w:type="dxa"/>
            <w:tcBorders>
              <w:top w:val="single" w:sz="4" w:space="0" w:color="auto"/>
              <w:left w:val="nil"/>
              <w:bottom w:val="nil"/>
              <w:right w:val="nil"/>
            </w:tcBorders>
            <w:shd w:val="solid" w:color="FFFFFF" w:fill="auto"/>
          </w:tcPr>
          <w:p w14:paraId="38161233" w14:textId="77777777" w:rsidR="007C6B16" w:rsidRPr="00313E2B" w:rsidRDefault="007C6B16" w:rsidP="007C6B16">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36" w:type="dxa"/>
            <w:tcBorders>
              <w:top w:val="single" w:sz="4" w:space="0" w:color="auto"/>
              <w:left w:val="nil"/>
              <w:bottom w:val="nil"/>
              <w:right w:val="nil"/>
            </w:tcBorders>
            <w:shd w:val="solid" w:color="FFFFFF" w:fill="auto"/>
          </w:tcPr>
          <w:p w14:paraId="41C4FB7B" w14:textId="77777777" w:rsidR="007C6B16" w:rsidRPr="00313E2B" w:rsidRDefault="007C6B16" w:rsidP="007C6B16">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6" w:type="dxa"/>
            <w:tcBorders>
              <w:top w:val="single" w:sz="4" w:space="0" w:color="auto"/>
              <w:left w:val="nil"/>
              <w:bottom w:val="nil"/>
              <w:right w:val="nil"/>
            </w:tcBorders>
            <w:shd w:val="solid" w:color="FFFFFF" w:fill="auto"/>
          </w:tcPr>
          <w:p w14:paraId="3CF06611" w14:textId="77777777" w:rsidR="007C6B16" w:rsidRPr="00313E2B" w:rsidRDefault="007C6B16" w:rsidP="007C6B16">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r>
      <w:tr w:rsidR="00551574" w:rsidRPr="00313E2B" w14:paraId="67EC4422" w14:textId="77777777" w:rsidTr="00FF2210">
        <w:tc>
          <w:tcPr>
            <w:tcW w:w="3288" w:type="dxa"/>
            <w:tcBorders>
              <w:top w:val="nil"/>
              <w:left w:val="nil"/>
              <w:bottom w:val="nil"/>
              <w:right w:val="nil"/>
            </w:tcBorders>
            <w:shd w:val="solid" w:color="FFFFFF" w:fill="auto"/>
            <w:vAlign w:val="center"/>
          </w:tcPr>
          <w:p w14:paraId="23C3F290" w14:textId="4CF03DE3" w:rsidR="00551574" w:rsidRPr="00313E2B" w:rsidRDefault="00551574" w:rsidP="00551574">
            <w:pPr>
              <w:autoSpaceDE w:val="0"/>
              <w:autoSpaceDN w:val="0"/>
              <w:adjustRightInd w:val="0"/>
              <w:ind w:left="0" w:firstLine="0"/>
              <w:rPr>
                <w:rFonts w:asciiTheme="minorHAnsi" w:eastAsiaTheme="minorHAnsi" w:hAnsiTheme="minorHAnsi" w:cstheme="minorHAnsi"/>
                <w:i/>
                <w:iCs/>
                <w:noProof/>
                <w:color w:val="000000"/>
                <w:sz w:val="19"/>
                <w:szCs w:val="19"/>
                <w:lang w:val="es-ES"/>
              </w:rPr>
            </w:pPr>
            <w:r w:rsidRPr="00313E2B">
              <w:rPr>
                <w:rFonts w:asciiTheme="minorHAnsi" w:hAnsiTheme="minorHAnsi"/>
                <w:i/>
                <w:iCs/>
                <w:noProof/>
                <w:sz w:val="19"/>
                <w:szCs w:val="19"/>
                <w:lang w:val="es-ES"/>
              </w:rPr>
              <w:t>Otros ingresos/(gastos):</w:t>
            </w:r>
          </w:p>
        </w:tc>
        <w:tc>
          <w:tcPr>
            <w:tcW w:w="708" w:type="dxa"/>
            <w:tcBorders>
              <w:top w:val="nil"/>
              <w:left w:val="nil"/>
              <w:bottom w:val="nil"/>
              <w:right w:val="nil"/>
            </w:tcBorders>
            <w:shd w:val="solid" w:color="FFFFFF" w:fill="auto"/>
          </w:tcPr>
          <w:p w14:paraId="2F3D41F9" w14:textId="77777777" w:rsidR="00551574" w:rsidRPr="00313E2B" w:rsidRDefault="00551574" w:rsidP="00551574">
            <w:pPr>
              <w:autoSpaceDE w:val="0"/>
              <w:autoSpaceDN w:val="0"/>
              <w:adjustRightInd w:val="0"/>
              <w:ind w:left="0" w:firstLine="0"/>
              <w:jc w:val="center"/>
              <w:rPr>
                <w:rFonts w:asciiTheme="minorHAnsi" w:eastAsiaTheme="minorHAnsi" w:hAnsiTheme="minorHAnsi" w:cstheme="minorHAnsi"/>
                <w:noProof/>
                <w:color w:val="000000"/>
                <w:sz w:val="19"/>
                <w:szCs w:val="19"/>
                <w:lang w:val="es-ES"/>
              </w:rPr>
            </w:pPr>
            <w:r w:rsidRPr="00313E2B">
              <w:rPr>
                <w:rFonts w:asciiTheme="minorHAnsi" w:eastAsiaTheme="minorHAnsi" w:hAnsiTheme="minorHAnsi" w:cstheme="minorHAnsi"/>
                <w:noProof/>
                <w:color w:val="000000"/>
                <w:sz w:val="19"/>
                <w:szCs w:val="19"/>
                <w:lang w:val="es-ES"/>
              </w:rPr>
              <w:t>4</w:t>
            </w:r>
          </w:p>
        </w:tc>
        <w:tc>
          <w:tcPr>
            <w:tcW w:w="851" w:type="dxa"/>
            <w:tcBorders>
              <w:top w:val="nil"/>
              <w:left w:val="nil"/>
              <w:bottom w:val="nil"/>
              <w:right w:val="nil"/>
            </w:tcBorders>
            <w:shd w:val="solid" w:color="FFFFFF" w:fill="auto"/>
          </w:tcPr>
          <w:p w14:paraId="5C18C81E"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84" w:type="dxa"/>
            <w:tcBorders>
              <w:top w:val="nil"/>
              <w:left w:val="nil"/>
              <w:bottom w:val="nil"/>
              <w:right w:val="nil"/>
            </w:tcBorders>
            <w:shd w:val="solid" w:color="FFFFFF" w:fill="auto"/>
          </w:tcPr>
          <w:p w14:paraId="3DC21EDC"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0" w:type="dxa"/>
            <w:tcBorders>
              <w:top w:val="nil"/>
              <w:left w:val="nil"/>
              <w:bottom w:val="nil"/>
              <w:right w:val="nil"/>
            </w:tcBorders>
            <w:shd w:val="solid" w:color="FFFFFF" w:fill="auto"/>
          </w:tcPr>
          <w:p w14:paraId="5B26B057"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36" w:type="dxa"/>
            <w:tcBorders>
              <w:top w:val="nil"/>
              <w:left w:val="nil"/>
              <w:bottom w:val="nil"/>
              <w:right w:val="nil"/>
            </w:tcBorders>
            <w:shd w:val="solid" w:color="FFFFFF" w:fill="auto"/>
          </w:tcPr>
          <w:p w14:paraId="7647F250"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95" w:type="dxa"/>
            <w:tcBorders>
              <w:top w:val="nil"/>
              <w:left w:val="nil"/>
              <w:bottom w:val="nil"/>
              <w:right w:val="nil"/>
            </w:tcBorders>
            <w:shd w:val="solid" w:color="FFFFFF" w:fill="auto"/>
          </w:tcPr>
          <w:p w14:paraId="4127D8CE"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36" w:type="dxa"/>
            <w:tcBorders>
              <w:top w:val="nil"/>
              <w:left w:val="nil"/>
              <w:bottom w:val="nil"/>
              <w:right w:val="nil"/>
            </w:tcBorders>
            <w:shd w:val="clear" w:color="auto" w:fill="F2F2F2" w:themeFill="background1" w:themeFillShade="F2"/>
            <w:vAlign w:val="center"/>
          </w:tcPr>
          <w:p w14:paraId="30B5267C"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901" w:type="dxa"/>
            <w:tcBorders>
              <w:top w:val="nil"/>
              <w:left w:val="nil"/>
              <w:bottom w:val="nil"/>
              <w:right w:val="nil"/>
            </w:tcBorders>
            <w:shd w:val="solid" w:color="FFFFFF" w:fill="auto"/>
          </w:tcPr>
          <w:p w14:paraId="3092401C"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42" w:type="dxa"/>
            <w:tcBorders>
              <w:top w:val="nil"/>
              <w:left w:val="nil"/>
              <w:bottom w:val="nil"/>
              <w:right w:val="nil"/>
            </w:tcBorders>
            <w:shd w:val="solid" w:color="FFFFFF" w:fill="auto"/>
          </w:tcPr>
          <w:p w14:paraId="75B23C93"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793" w:type="dxa"/>
            <w:tcBorders>
              <w:top w:val="nil"/>
              <w:left w:val="nil"/>
              <w:bottom w:val="nil"/>
              <w:right w:val="nil"/>
            </w:tcBorders>
            <w:shd w:val="solid" w:color="FFFFFF" w:fill="auto"/>
          </w:tcPr>
          <w:p w14:paraId="51CABB67"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36" w:type="dxa"/>
            <w:tcBorders>
              <w:top w:val="nil"/>
              <w:left w:val="nil"/>
              <w:bottom w:val="nil"/>
              <w:right w:val="nil"/>
            </w:tcBorders>
            <w:shd w:val="solid" w:color="FFFFFF" w:fill="auto"/>
          </w:tcPr>
          <w:p w14:paraId="69843CC0"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6" w:type="dxa"/>
            <w:tcBorders>
              <w:top w:val="nil"/>
              <w:left w:val="nil"/>
              <w:bottom w:val="nil"/>
              <w:right w:val="nil"/>
            </w:tcBorders>
            <w:shd w:val="solid" w:color="FFFFFF" w:fill="auto"/>
          </w:tcPr>
          <w:p w14:paraId="111B85E4"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r>
      <w:tr w:rsidR="00551574" w:rsidRPr="00313E2B" w14:paraId="57F9171F" w14:textId="77777777" w:rsidTr="00FF2210">
        <w:tc>
          <w:tcPr>
            <w:tcW w:w="3288" w:type="dxa"/>
            <w:tcBorders>
              <w:top w:val="nil"/>
              <w:left w:val="nil"/>
              <w:bottom w:val="nil"/>
              <w:right w:val="nil"/>
            </w:tcBorders>
            <w:shd w:val="solid" w:color="FFFFFF" w:fill="auto"/>
            <w:vAlign w:val="center"/>
          </w:tcPr>
          <w:p w14:paraId="6DFEB10D" w14:textId="3AC175BB" w:rsidR="00551574" w:rsidRPr="00313E2B" w:rsidRDefault="00551574" w:rsidP="00551574">
            <w:pPr>
              <w:autoSpaceDE w:val="0"/>
              <w:autoSpaceDN w:val="0"/>
              <w:adjustRightInd w:val="0"/>
              <w:rPr>
                <w:rFonts w:asciiTheme="minorHAnsi" w:eastAsiaTheme="minorHAnsi" w:hAnsiTheme="minorHAnsi" w:cstheme="minorHAnsi"/>
                <w:noProof/>
                <w:color w:val="000000"/>
                <w:sz w:val="19"/>
                <w:szCs w:val="19"/>
                <w:lang w:val="es-ES"/>
              </w:rPr>
            </w:pPr>
            <w:r w:rsidRPr="00313E2B">
              <w:rPr>
                <w:rFonts w:asciiTheme="minorHAnsi" w:hAnsiTheme="minorHAnsi"/>
                <w:noProof/>
                <w:sz w:val="19"/>
                <w:szCs w:val="19"/>
                <w:lang w:val="es-ES"/>
              </w:rPr>
              <w:t>Ingresos/(gastos) financieros netos</w:t>
            </w:r>
          </w:p>
        </w:tc>
        <w:tc>
          <w:tcPr>
            <w:tcW w:w="708" w:type="dxa"/>
            <w:tcBorders>
              <w:top w:val="nil"/>
              <w:left w:val="nil"/>
              <w:bottom w:val="nil"/>
              <w:right w:val="nil"/>
            </w:tcBorders>
            <w:shd w:val="solid" w:color="FFFFFF" w:fill="auto"/>
          </w:tcPr>
          <w:p w14:paraId="5EDB44B8" w14:textId="77777777" w:rsidR="00551574" w:rsidRPr="00313E2B" w:rsidRDefault="00551574" w:rsidP="00551574">
            <w:pPr>
              <w:autoSpaceDE w:val="0"/>
              <w:autoSpaceDN w:val="0"/>
              <w:adjustRightInd w:val="0"/>
              <w:ind w:left="0" w:firstLine="0"/>
              <w:jc w:val="center"/>
              <w:rPr>
                <w:rFonts w:asciiTheme="minorHAnsi" w:eastAsiaTheme="minorHAnsi" w:hAnsiTheme="minorHAnsi" w:cstheme="minorHAnsi"/>
                <w:noProof/>
                <w:color w:val="000000"/>
                <w:sz w:val="19"/>
                <w:szCs w:val="19"/>
                <w:lang w:val="es-ES"/>
              </w:rPr>
            </w:pPr>
          </w:p>
        </w:tc>
        <w:tc>
          <w:tcPr>
            <w:tcW w:w="851" w:type="dxa"/>
            <w:tcBorders>
              <w:top w:val="nil"/>
              <w:left w:val="nil"/>
              <w:bottom w:val="nil"/>
              <w:right w:val="nil"/>
            </w:tcBorders>
            <w:shd w:val="solid" w:color="FFFFFF" w:fill="auto"/>
          </w:tcPr>
          <w:p w14:paraId="1CE83092" w14:textId="4FEF7EC4"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7 </w:t>
            </w:r>
          </w:p>
        </w:tc>
        <w:tc>
          <w:tcPr>
            <w:tcW w:w="284" w:type="dxa"/>
            <w:tcBorders>
              <w:top w:val="nil"/>
              <w:left w:val="nil"/>
              <w:bottom w:val="nil"/>
              <w:right w:val="nil"/>
            </w:tcBorders>
            <w:shd w:val="solid" w:color="FFFFFF" w:fill="auto"/>
          </w:tcPr>
          <w:p w14:paraId="129C0FD5"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0" w:type="dxa"/>
            <w:tcBorders>
              <w:top w:val="nil"/>
              <w:left w:val="nil"/>
              <w:bottom w:val="nil"/>
              <w:right w:val="nil"/>
            </w:tcBorders>
            <w:shd w:val="solid" w:color="FFFFFF" w:fill="auto"/>
          </w:tcPr>
          <w:p w14:paraId="08181A1A" w14:textId="31DF11DA"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(14)</w:t>
            </w:r>
          </w:p>
        </w:tc>
        <w:tc>
          <w:tcPr>
            <w:tcW w:w="236" w:type="dxa"/>
            <w:tcBorders>
              <w:top w:val="nil"/>
              <w:left w:val="nil"/>
              <w:bottom w:val="nil"/>
              <w:right w:val="nil"/>
            </w:tcBorders>
            <w:shd w:val="solid" w:color="FFFFFF" w:fill="auto"/>
          </w:tcPr>
          <w:p w14:paraId="1FAE0202"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95" w:type="dxa"/>
            <w:tcBorders>
              <w:top w:val="nil"/>
              <w:left w:val="nil"/>
              <w:bottom w:val="nil"/>
              <w:right w:val="nil"/>
            </w:tcBorders>
            <w:shd w:val="solid" w:color="FFFFFF" w:fill="auto"/>
          </w:tcPr>
          <w:p w14:paraId="718FC0CB" w14:textId="55BC9A35"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(7)</w:t>
            </w:r>
          </w:p>
        </w:tc>
        <w:tc>
          <w:tcPr>
            <w:tcW w:w="236" w:type="dxa"/>
            <w:tcBorders>
              <w:top w:val="nil"/>
              <w:left w:val="nil"/>
              <w:bottom w:val="nil"/>
              <w:right w:val="nil"/>
            </w:tcBorders>
            <w:shd w:val="clear" w:color="auto" w:fill="F2F2F2" w:themeFill="background1" w:themeFillShade="F2"/>
            <w:vAlign w:val="center"/>
          </w:tcPr>
          <w:p w14:paraId="32E4232F"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901" w:type="dxa"/>
            <w:tcBorders>
              <w:top w:val="nil"/>
              <w:left w:val="nil"/>
              <w:bottom w:val="nil"/>
              <w:right w:val="nil"/>
            </w:tcBorders>
            <w:shd w:val="solid" w:color="FFFFFF" w:fill="auto"/>
          </w:tcPr>
          <w:p w14:paraId="75268A3A" w14:textId="3F74BE11"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(66)</w:t>
            </w:r>
          </w:p>
        </w:tc>
        <w:tc>
          <w:tcPr>
            <w:tcW w:w="242" w:type="dxa"/>
            <w:tcBorders>
              <w:top w:val="nil"/>
              <w:left w:val="nil"/>
              <w:bottom w:val="nil"/>
              <w:right w:val="nil"/>
            </w:tcBorders>
            <w:shd w:val="solid" w:color="FFFFFF" w:fill="auto"/>
          </w:tcPr>
          <w:p w14:paraId="6291D033"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793" w:type="dxa"/>
            <w:tcBorders>
              <w:top w:val="nil"/>
              <w:left w:val="nil"/>
              <w:bottom w:val="nil"/>
              <w:right w:val="nil"/>
            </w:tcBorders>
            <w:shd w:val="solid" w:color="FFFFFF" w:fill="auto"/>
          </w:tcPr>
          <w:p w14:paraId="0EED1B8F" w14:textId="7CAC71B5"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(3)</w:t>
            </w:r>
          </w:p>
        </w:tc>
        <w:tc>
          <w:tcPr>
            <w:tcW w:w="236" w:type="dxa"/>
            <w:tcBorders>
              <w:top w:val="nil"/>
              <w:left w:val="nil"/>
              <w:bottom w:val="nil"/>
              <w:right w:val="nil"/>
            </w:tcBorders>
            <w:shd w:val="solid" w:color="FFFFFF" w:fill="auto"/>
          </w:tcPr>
          <w:p w14:paraId="3946E70F"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6" w:type="dxa"/>
            <w:tcBorders>
              <w:top w:val="nil"/>
              <w:left w:val="nil"/>
              <w:bottom w:val="nil"/>
              <w:right w:val="nil"/>
            </w:tcBorders>
            <w:shd w:val="solid" w:color="FFFFFF" w:fill="auto"/>
          </w:tcPr>
          <w:p w14:paraId="701B076F" w14:textId="7E931D4B"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(69)</w:t>
            </w:r>
          </w:p>
        </w:tc>
      </w:tr>
      <w:tr w:rsidR="00551574" w:rsidRPr="00313E2B" w14:paraId="6EA510BD" w14:textId="77777777" w:rsidTr="00FF2210">
        <w:tc>
          <w:tcPr>
            <w:tcW w:w="3288" w:type="dxa"/>
            <w:tcBorders>
              <w:top w:val="nil"/>
              <w:left w:val="nil"/>
              <w:bottom w:val="nil"/>
              <w:right w:val="nil"/>
            </w:tcBorders>
            <w:shd w:val="solid" w:color="FFFFFF" w:fill="auto"/>
            <w:vAlign w:val="center"/>
          </w:tcPr>
          <w:p w14:paraId="09F8EC63" w14:textId="4863B49F" w:rsidR="00551574" w:rsidRPr="00313E2B" w:rsidRDefault="00551574" w:rsidP="00551574">
            <w:pPr>
              <w:autoSpaceDE w:val="0"/>
              <w:autoSpaceDN w:val="0"/>
              <w:adjustRightInd w:val="0"/>
              <w:rPr>
                <w:rFonts w:asciiTheme="minorHAnsi" w:eastAsiaTheme="minorHAnsi" w:hAnsiTheme="minorHAnsi" w:cstheme="minorHAnsi"/>
                <w:noProof/>
                <w:color w:val="000000"/>
                <w:sz w:val="19"/>
                <w:szCs w:val="19"/>
                <w:lang w:val="es-ES"/>
              </w:rPr>
            </w:pPr>
            <w:r w:rsidRPr="00313E2B">
              <w:rPr>
                <w:rFonts w:asciiTheme="minorHAnsi" w:hAnsiTheme="minorHAnsi"/>
                <w:noProof/>
                <w:sz w:val="19"/>
                <w:szCs w:val="19"/>
                <w:lang w:val="es-ES"/>
              </w:rPr>
              <w:t>Gastos no recurrentes o del período anterior</w:t>
            </w:r>
          </w:p>
        </w:tc>
        <w:tc>
          <w:tcPr>
            <w:tcW w:w="708" w:type="dxa"/>
            <w:tcBorders>
              <w:top w:val="nil"/>
              <w:left w:val="nil"/>
              <w:bottom w:val="nil"/>
              <w:right w:val="nil"/>
            </w:tcBorders>
            <w:shd w:val="solid" w:color="FFFFFF" w:fill="auto"/>
          </w:tcPr>
          <w:p w14:paraId="2D914990" w14:textId="77777777" w:rsidR="00551574" w:rsidRPr="00313E2B" w:rsidRDefault="00551574" w:rsidP="00551574">
            <w:pPr>
              <w:autoSpaceDE w:val="0"/>
              <w:autoSpaceDN w:val="0"/>
              <w:adjustRightInd w:val="0"/>
              <w:ind w:left="0" w:firstLine="0"/>
              <w:jc w:val="center"/>
              <w:rPr>
                <w:rFonts w:asciiTheme="minorHAnsi" w:eastAsiaTheme="minorHAnsi" w:hAnsiTheme="minorHAnsi" w:cstheme="minorHAnsi"/>
                <w:noProof/>
                <w:color w:val="000000"/>
                <w:sz w:val="19"/>
                <w:szCs w:val="19"/>
                <w:lang w:val="es-ES"/>
              </w:rPr>
            </w:pPr>
          </w:p>
        </w:tc>
        <w:tc>
          <w:tcPr>
            <w:tcW w:w="851" w:type="dxa"/>
            <w:tcBorders>
              <w:top w:val="nil"/>
              <w:left w:val="nil"/>
              <w:bottom w:val="nil"/>
              <w:right w:val="nil"/>
            </w:tcBorders>
            <w:shd w:val="solid" w:color="FFFFFF" w:fill="auto"/>
          </w:tcPr>
          <w:p w14:paraId="39BFEA9C" w14:textId="6CD7BFDA"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0 </w:t>
            </w:r>
          </w:p>
        </w:tc>
        <w:tc>
          <w:tcPr>
            <w:tcW w:w="284" w:type="dxa"/>
            <w:tcBorders>
              <w:top w:val="nil"/>
              <w:left w:val="nil"/>
              <w:bottom w:val="nil"/>
              <w:right w:val="nil"/>
            </w:tcBorders>
            <w:shd w:val="solid" w:color="FFFFFF" w:fill="auto"/>
          </w:tcPr>
          <w:p w14:paraId="12983F96"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0" w:type="dxa"/>
            <w:tcBorders>
              <w:top w:val="nil"/>
              <w:left w:val="nil"/>
              <w:bottom w:val="nil"/>
              <w:right w:val="nil"/>
            </w:tcBorders>
            <w:shd w:val="solid" w:color="FFFFFF" w:fill="auto"/>
          </w:tcPr>
          <w:p w14:paraId="75CC19F5" w14:textId="2BE806E8"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(6)</w:t>
            </w:r>
          </w:p>
        </w:tc>
        <w:tc>
          <w:tcPr>
            <w:tcW w:w="236" w:type="dxa"/>
            <w:tcBorders>
              <w:top w:val="nil"/>
              <w:left w:val="nil"/>
              <w:bottom w:val="nil"/>
              <w:right w:val="nil"/>
            </w:tcBorders>
            <w:shd w:val="solid" w:color="FFFFFF" w:fill="auto"/>
          </w:tcPr>
          <w:p w14:paraId="320CBC3F"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95" w:type="dxa"/>
            <w:tcBorders>
              <w:top w:val="nil"/>
              <w:left w:val="nil"/>
              <w:bottom w:val="nil"/>
              <w:right w:val="nil"/>
            </w:tcBorders>
            <w:shd w:val="solid" w:color="FFFFFF" w:fill="auto"/>
          </w:tcPr>
          <w:p w14:paraId="2D9E9AA0" w14:textId="7F5DBDBB"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(6)</w:t>
            </w:r>
          </w:p>
        </w:tc>
        <w:tc>
          <w:tcPr>
            <w:tcW w:w="236" w:type="dxa"/>
            <w:tcBorders>
              <w:top w:val="nil"/>
              <w:left w:val="nil"/>
              <w:bottom w:val="nil"/>
              <w:right w:val="nil"/>
            </w:tcBorders>
            <w:shd w:val="clear" w:color="auto" w:fill="F2F2F2" w:themeFill="background1" w:themeFillShade="F2"/>
            <w:vAlign w:val="center"/>
          </w:tcPr>
          <w:p w14:paraId="389EA885"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901" w:type="dxa"/>
            <w:tcBorders>
              <w:top w:val="nil"/>
              <w:left w:val="nil"/>
              <w:bottom w:val="nil"/>
              <w:right w:val="nil"/>
            </w:tcBorders>
            <w:shd w:val="solid" w:color="FFFFFF" w:fill="auto"/>
          </w:tcPr>
          <w:p w14:paraId="39B3B93A" w14:textId="4A44ABC4"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w:t>
            </w:r>
          </w:p>
        </w:tc>
        <w:tc>
          <w:tcPr>
            <w:tcW w:w="242" w:type="dxa"/>
            <w:tcBorders>
              <w:top w:val="nil"/>
              <w:left w:val="nil"/>
              <w:bottom w:val="nil"/>
              <w:right w:val="nil"/>
            </w:tcBorders>
            <w:shd w:val="solid" w:color="FFFFFF" w:fill="auto"/>
          </w:tcPr>
          <w:p w14:paraId="3ED5C7C7"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793" w:type="dxa"/>
            <w:tcBorders>
              <w:top w:val="nil"/>
              <w:left w:val="nil"/>
              <w:bottom w:val="nil"/>
              <w:right w:val="nil"/>
            </w:tcBorders>
            <w:shd w:val="solid" w:color="FFFFFF" w:fill="auto"/>
          </w:tcPr>
          <w:p w14:paraId="2A5DF1BD" w14:textId="477E495B"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w:t>
            </w:r>
          </w:p>
        </w:tc>
        <w:tc>
          <w:tcPr>
            <w:tcW w:w="236" w:type="dxa"/>
            <w:tcBorders>
              <w:top w:val="nil"/>
              <w:left w:val="nil"/>
              <w:bottom w:val="nil"/>
              <w:right w:val="nil"/>
            </w:tcBorders>
            <w:shd w:val="solid" w:color="FFFFFF" w:fill="auto"/>
          </w:tcPr>
          <w:p w14:paraId="710FAE55"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6" w:type="dxa"/>
            <w:tcBorders>
              <w:top w:val="nil"/>
              <w:left w:val="nil"/>
              <w:bottom w:val="nil"/>
              <w:right w:val="nil"/>
            </w:tcBorders>
            <w:shd w:val="solid" w:color="FFFFFF" w:fill="auto"/>
          </w:tcPr>
          <w:p w14:paraId="019FE872" w14:textId="52D10904"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   </w:t>
            </w:r>
          </w:p>
        </w:tc>
      </w:tr>
      <w:tr w:rsidR="00551574" w:rsidRPr="00313E2B" w14:paraId="4DBEB8E8" w14:textId="77777777" w:rsidTr="00FF2210">
        <w:tc>
          <w:tcPr>
            <w:tcW w:w="3288" w:type="dxa"/>
            <w:tcBorders>
              <w:top w:val="nil"/>
              <w:left w:val="nil"/>
              <w:bottom w:val="nil"/>
              <w:right w:val="nil"/>
            </w:tcBorders>
            <w:shd w:val="solid" w:color="FFFFFF" w:fill="auto"/>
            <w:vAlign w:val="center"/>
          </w:tcPr>
          <w:p w14:paraId="4D800CC2" w14:textId="27F20B60" w:rsidR="00551574" w:rsidRPr="00313E2B" w:rsidRDefault="00551574" w:rsidP="00551574">
            <w:pPr>
              <w:autoSpaceDE w:val="0"/>
              <w:autoSpaceDN w:val="0"/>
              <w:adjustRightInd w:val="0"/>
              <w:rPr>
                <w:rFonts w:asciiTheme="minorHAnsi" w:eastAsiaTheme="minorHAnsi" w:hAnsiTheme="minorHAnsi" w:cstheme="minorHAnsi"/>
                <w:noProof/>
                <w:color w:val="000000"/>
                <w:sz w:val="19"/>
                <w:szCs w:val="19"/>
                <w:lang w:val="es-ES"/>
              </w:rPr>
            </w:pPr>
            <w:r w:rsidRPr="00313E2B">
              <w:rPr>
                <w:rFonts w:asciiTheme="minorHAnsi" w:hAnsiTheme="minorHAnsi"/>
                <w:noProof/>
                <w:sz w:val="19"/>
                <w:szCs w:val="19"/>
                <w:lang w:val="es-ES"/>
              </w:rPr>
              <w:t>Provisiones y cancelaciones (gastos)</w:t>
            </w:r>
          </w:p>
        </w:tc>
        <w:tc>
          <w:tcPr>
            <w:tcW w:w="708" w:type="dxa"/>
            <w:tcBorders>
              <w:top w:val="nil"/>
              <w:left w:val="nil"/>
              <w:bottom w:val="nil"/>
              <w:right w:val="nil"/>
            </w:tcBorders>
            <w:shd w:val="solid" w:color="FFFFFF" w:fill="auto"/>
          </w:tcPr>
          <w:p w14:paraId="44765BA6" w14:textId="77777777" w:rsidR="00551574" w:rsidRPr="00313E2B" w:rsidRDefault="00551574" w:rsidP="00551574">
            <w:pPr>
              <w:autoSpaceDE w:val="0"/>
              <w:autoSpaceDN w:val="0"/>
              <w:adjustRightInd w:val="0"/>
              <w:ind w:left="0" w:firstLine="0"/>
              <w:jc w:val="center"/>
              <w:rPr>
                <w:rFonts w:asciiTheme="minorHAnsi" w:eastAsiaTheme="minorHAnsi" w:hAnsiTheme="minorHAnsi" w:cstheme="minorHAnsi"/>
                <w:noProof/>
                <w:color w:val="000000"/>
                <w:sz w:val="19"/>
                <w:szCs w:val="19"/>
                <w:lang w:val="es-ES"/>
              </w:rPr>
            </w:pPr>
          </w:p>
        </w:tc>
        <w:tc>
          <w:tcPr>
            <w:tcW w:w="851" w:type="dxa"/>
            <w:tcBorders>
              <w:top w:val="nil"/>
              <w:left w:val="nil"/>
              <w:bottom w:val="single" w:sz="6" w:space="0" w:color="auto"/>
              <w:right w:val="nil"/>
            </w:tcBorders>
            <w:shd w:val="solid" w:color="FFFFFF" w:fill="auto"/>
          </w:tcPr>
          <w:p w14:paraId="0BA6BBBC" w14:textId="3853B9F1"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(61)</w:t>
            </w:r>
          </w:p>
        </w:tc>
        <w:tc>
          <w:tcPr>
            <w:tcW w:w="284" w:type="dxa"/>
            <w:tcBorders>
              <w:top w:val="nil"/>
              <w:left w:val="nil"/>
              <w:bottom w:val="single" w:sz="6" w:space="0" w:color="auto"/>
              <w:right w:val="nil"/>
            </w:tcBorders>
            <w:shd w:val="solid" w:color="FFFFFF" w:fill="auto"/>
          </w:tcPr>
          <w:p w14:paraId="167CD944"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0" w:type="dxa"/>
            <w:tcBorders>
              <w:top w:val="nil"/>
              <w:left w:val="nil"/>
              <w:bottom w:val="single" w:sz="6" w:space="0" w:color="auto"/>
              <w:right w:val="nil"/>
            </w:tcBorders>
            <w:shd w:val="solid" w:color="FFFFFF" w:fill="auto"/>
          </w:tcPr>
          <w:p w14:paraId="4EA7C17F" w14:textId="7F112412"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   </w:t>
            </w:r>
          </w:p>
        </w:tc>
        <w:tc>
          <w:tcPr>
            <w:tcW w:w="236" w:type="dxa"/>
            <w:tcBorders>
              <w:top w:val="nil"/>
              <w:left w:val="nil"/>
              <w:bottom w:val="single" w:sz="6" w:space="0" w:color="auto"/>
              <w:right w:val="nil"/>
            </w:tcBorders>
            <w:shd w:val="solid" w:color="FFFFFF" w:fill="auto"/>
          </w:tcPr>
          <w:p w14:paraId="14B6FD08"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95" w:type="dxa"/>
            <w:tcBorders>
              <w:top w:val="nil"/>
              <w:left w:val="nil"/>
              <w:bottom w:val="single" w:sz="6" w:space="0" w:color="auto"/>
              <w:right w:val="nil"/>
            </w:tcBorders>
            <w:shd w:val="solid" w:color="FFFFFF" w:fill="auto"/>
          </w:tcPr>
          <w:p w14:paraId="4B15D1DB" w14:textId="4FA1B85B"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(61)</w:t>
            </w:r>
          </w:p>
        </w:tc>
        <w:tc>
          <w:tcPr>
            <w:tcW w:w="236" w:type="dxa"/>
            <w:tcBorders>
              <w:top w:val="nil"/>
              <w:left w:val="nil"/>
              <w:bottom w:val="single" w:sz="6" w:space="0" w:color="auto"/>
              <w:right w:val="nil"/>
            </w:tcBorders>
            <w:shd w:val="clear" w:color="auto" w:fill="F2F2F2" w:themeFill="background1" w:themeFillShade="F2"/>
            <w:vAlign w:val="center"/>
          </w:tcPr>
          <w:p w14:paraId="1F209002"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901" w:type="dxa"/>
            <w:tcBorders>
              <w:top w:val="nil"/>
              <w:left w:val="nil"/>
              <w:bottom w:val="single" w:sz="6" w:space="0" w:color="auto"/>
              <w:right w:val="nil"/>
            </w:tcBorders>
            <w:shd w:val="solid" w:color="FFFFFF" w:fill="auto"/>
          </w:tcPr>
          <w:p w14:paraId="3F416136" w14:textId="0A2A519B"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(96)</w:t>
            </w:r>
          </w:p>
        </w:tc>
        <w:tc>
          <w:tcPr>
            <w:tcW w:w="242" w:type="dxa"/>
            <w:tcBorders>
              <w:top w:val="nil"/>
              <w:left w:val="nil"/>
              <w:bottom w:val="single" w:sz="6" w:space="0" w:color="auto"/>
              <w:right w:val="nil"/>
            </w:tcBorders>
            <w:shd w:val="solid" w:color="FFFFFF" w:fill="auto"/>
          </w:tcPr>
          <w:p w14:paraId="4A3B2F35"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793" w:type="dxa"/>
            <w:tcBorders>
              <w:top w:val="nil"/>
              <w:left w:val="nil"/>
              <w:bottom w:val="single" w:sz="6" w:space="0" w:color="auto"/>
              <w:right w:val="nil"/>
            </w:tcBorders>
            <w:shd w:val="solid" w:color="FFFFFF" w:fill="auto"/>
          </w:tcPr>
          <w:p w14:paraId="5B8ECEE2" w14:textId="148952EB"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0 </w:t>
            </w:r>
          </w:p>
        </w:tc>
        <w:tc>
          <w:tcPr>
            <w:tcW w:w="236" w:type="dxa"/>
            <w:tcBorders>
              <w:top w:val="nil"/>
              <w:left w:val="nil"/>
              <w:bottom w:val="single" w:sz="6" w:space="0" w:color="auto"/>
              <w:right w:val="nil"/>
            </w:tcBorders>
            <w:shd w:val="solid" w:color="FFFFFF" w:fill="auto"/>
          </w:tcPr>
          <w:p w14:paraId="10A38AA6"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6" w:type="dxa"/>
            <w:tcBorders>
              <w:top w:val="nil"/>
              <w:left w:val="nil"/>
              <w:bottom w:val="single" w:sz="6" w:space="0" w:color="auto"/>
              <w:right w:val="nil"/>
            </w:tcBorders>
            <w:shd w:val="solid" w:color="FFFFFF" w:fill="auto"/>
          </w:tcPr>
          <w:p w14:paraId="6D0AADE9" w14:textId="733ED045"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(96)</w:t>
            </w:r>
          </w:p>
        </w:tc>
      </w:tr>
      <w:tr w:rsidR="00551574" w:rsidRPr="00313E2B" w14:paraId="7AE85199" w14:textId="77777777" w:rsidTr="00FF2210">
        <w:tc>
          <w:tcPr>
            <w:tcW w:w="3288" w:type="dxa"/>
            <w:tcBorders>
              <w:top w:val="nil"/>
              <w:left w:val="nil"/>
              <w:bottom w:val="nil"/>
              <w:right w:val="nil"/>
            </w:tcBorders>
            <w:shd w:val="solid" w:color="FFFFFF" w:fill="auto"/>
            <w:vAlign w:val="center"/>
          </w:tcPr>
          <w:p w14:paraId="28C88076" w14:textId="42F66EF7" w:rsidR="00551574" w:rsidRPr="00313E2B" w:rsidRDefault="00551574" w:rsidP="00551574">
            <w:pPr>
              <w:autoSpaceDE w:val="0"/>
              <w:autoSpaceDN w:val="0"/>
              <w:adjustRightInd w:val="0"/>
              <w:ind w:left="0" w:firstLine="0"/>
              <w:rPr>
                <w:rFonts w:asciiTheme="minorHAnsi" w:eastAsiaTheme="minorHAnsi" w:hAnsiTheme="minorHAnsi" w:cstheme="minorHAnsi"/>
                <w:i/>
                <w:iCs/>
                <w:noProof/>
                <w:color w:val="000000"/>
                <w:sz w:val="19"/>
                <w:szCs w:val="19"/>
                <w:lang w:val="es-ES"/>
              </w:rPr>
            </w:pPr>
            <w:r w:rsidRPr="00313E2B">
              <w:rPr>
                <w:rFonts w:asciiTheme="minorHAnsi" w:hAnsiTheme="minorHAnsi"/>
                <w:i/>
                <w:iCs/>
                <w:noProof/>
                <w:sz w:val="19"/>
                <w:szCs w:val="19"/>
                <w:lang w:val="es-ES"/>
              </w:rPr>
              <w:t>Total, Otros ingresos/gastos</w:t>
            </w:r>
          </w:p>
        </w:tc>
        <w:tc>
          <w:tcPr>
            <w:tcW w:w="708" w:type="dxa"/>
            <w:tcBorders>
              <w:top w:val="nil"/>
              <w:left w:val="nil"/>
              <w:bottom w:val="nil"/>
              <w:right w:val="nil"/>
            </w:tcBorders>
            <w:shd w:val="solid" w:color="FFFFFF" w:fill="auto"/>
          </w:tcPr>
          <w:p w14:paraId="2EF50317" w14:textId="77777777" w:rsidR="00551574" w:rsidRPr="00313E2B" w:rsidRDefault="00551574" w:rsidP="00551574">
            <w:pPr>
              <w:autoSpaceDE w:val="0"/>
              <w:autoSpaceDN w:val="0"/>
              <w:adjustRightInd w:val="0"/>
              <w:ind w:left="0" w:firstLine="0"/>
              <w:jc w:val="center"/>
              <w:rPr>
                <w:rFonts w:asciiTheme="minorHAnsi" w:eastAsiaTheme="minorHAnsi" w:hAnsiTheme="minorHAnsi" w:cstheme="minorHAnsi"/>
                <w:noProof/>
                <w:color w:val="000000"/>
                <w:sz w:val="19"/>
                <w:szCs w:val="19"/>
                <w:lang w:val="es-ES"/>
              </w:rPr>
            </w:pPr>
          </w:p>
        </w:tc>
        <w:tc>
          <w:tcPr>
            <w:tcW w:w="851" w:type="dxa"/>
            <w:tcBorders>
              <w:top w:val="nil"/>
              <w:left w:val="nil"/>
              <w:bottom w:val="nil"/>
              <w:right w:val="nil"/>
            </w:tcBorders>
            <w:shd w:val="solid" w:color="FFFFFF" w:fill="auto"/>
          </w:tcPr>
          <w:p w14:paraId="08844321" w14:textId="4BC8CB2C" w:rsidR="00551574" w:rsidRPr="00313E2B" w:rsidRDefault="00551574" w:rsidP="00551574">
            <w:pPr>
              <w:autoSpaceDE w:val="0"/>
              <w:autoSpaceDN w:val="0"/>
              <w:adjustRightInd w:val="0"/>
              <w:ind w:left="0" w:firstLine="0"/>
              <w:jc w:val="right"/>
              <w:rPr>
                <w:rFonts w:asciiTheme="minorHAnsi" w:eastAsiaTheme="minorHAnsi" w:hAnsiTheme="minorHAnsi" w:cstheme="minorHAnsi"/>
                <w:b/>
                <w:bCs/>
                <w:noProof/>
                <w:color w:val="000000"/>
                <w:sz w:val="19"/>
                <w:szCs w:val="19"/>
                <w:lang w:val="es-ES"/>
              </w:rPr>
            </w:pPr>
            <w:r w:rsidRPr="00313E2B">
              <w:rPr>
                <w:noProof/>
                <w:sz w:val="19"/>
                <w:szCs w:val="19"/>
                <w:lang w:val="es-ES"/>
              </w:rPr>
              <w:t xml:space="preserve"> (54)</w:t>
            </w:r>
          </w:p>
        </w:tc>
        <w:tc>
          <w:tcPr>
            <w:tcW w:w="284" w:type="dxa"/>
            <w:tcBorders>
              <w:top w:val="nil"/>
              <w:left w:val="nil"/>
              <w:bottom w:val="nil"/>
              <w:right w:val="nil"/>
            </w:tcBorders>
            <w:shd w:val="solid" w:color="FFFFFF" w:fill="auto"/>
          </w:tcPr>
          <w:p w14:paraId="550FFE30"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b/>
                <w:bCs/>
                <w:noProof/>
                <w:color w:val="000000"/>
                <w:sz w:val="19"/>
                <w:szCs w:val="19"/>
                <w:lang w:val="es-ES"/>
              </w:rPr>
            </w:pPr>
          </w:p>
        </w:tc>
        <w:tc>
          <w:tcPr>
            <w:tcW w:w="850" w:type="dxa"/>
            <w:tcBorders>
              <w:top w:val="nil"/>
              <w:left w:val="nil"/>
              <w:bottom w:val="nil"/>
              <w:right w:val="nil"/>
            </w:tcBorders>
            <w:shd w:val="solid" w:color="FFFFFF" w:fill="auto"/>
          </w:tcPr>
          <w:p w14:paraId="61974FED" w14:textId="7127243C" w:rsidR="00551574" w:rsidRPr="00313E2B" w:rsidRDefault="00551574" w:rsidP="00551574">
            <w:pPr>
              <w:autoSpaceDE w:val="0"/>
              <w:autoSpaceDN w:val="0"/>
              <w:adjustRightInd w:val="0"/>
              <w:ind w:left="0" w:firstLine="0"/>
              <w:jc w:val="right"/>
              <w:rPr>
                <w:rFonts w:asciiTheme="minorHAnsi" w:eastAsiaTheme="minorHAnsi" w:hAnsiTheme="minorHAnsi" w:cstheme="minorHAnsi"/>
                <w:b/>
                <w:bCs/>
                <w:noProof/>
                <w:color w:val="000000"/>
                <w:sz w:val="19"/>
                <w:szCs w:val="19"/>
                <w:lang w:val="es-ES"/>
              </w:rPr>
            </w:pPr>
            <w:r w:rsidRPr="00313E2B">
              <w:rPr>
                <w:noProof/>
                <w:sz w:val="19"/>
                <w:szCs w:val="19"/>
                <w:lang w:val="es-ES"/>
              </w:rPr>
              <w:t xml:space="preserve"> (20)</w:t>
            </w:r>
          </w:p>
        </w:tc>
        <w:tc>
          <w:tcPr>
            <w:tcW w:w="236" w:type="dxa"/>
            <w:tcBorders>
              <w:top w:val="nil"/>
              <w:left w:val="nil"/>
              <w:bottom w:val="nil"/>
              <w:right w:val="nil"/>
            </w:tcBorders>
            <w:shd w:val="solid" w:color="FFFFFF" w:fill="auto"/>
          </w:tcPr>
          <w:p w14:paraId="04E224CC"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b/>
                <w:bCs/>
                <w:noProof/>
                <w:color w:val="000000"/>
                <w:sz w:val="19"/>
                <w:szCs w:val="19"/>
                <w:lang w:val="es-ES"/>
              </w:rPr>
            </w:pPr>
          </w:p>
        </w:tc>
        <w:tc>
          <w:tcPr>
            <w:tcW w:w="895" w:type="dxa"/>
            <w:tcBorders>
              <w:top w:val="nil"/>
              <w:left w:val="nil"/>
              <w:bottom w:val="nil"/>
              <w:right w:val="nil"/>
            </w:tcBorders>
            <w:shd w:val="solid" w:color="FFFFFF" w:fill="auto"/>
          </w:tcPr>
          <w:p w14:paraId="72AA5696" w14:textId="05A5F60E" w:rsidR="00551574" w:rsidRPr="00313E2B" w:rsidRDefault="00551574" w:rsidP="00551574">
            <w:pPr>
              <w:autoSpaceDE w:val="0"/>
              <w:autoSpaceDN w:val="0"/>
              <w:adjustRightInd w:val="0"/>
              <w:ind w:left="0" w:firstLine="0"/>
              <w:jc w:val="right"/>
              <w:rPr>
                <w:rFonts w:asciiTheme="minorHAnsi" w:eastAsiaTheme="minorHAnsi" w:hAnsiTheme="minorHAnsi" w:cstheme="minorHAnsi"/>
                <w:b/>
                <w:bCs/>
                <w:noProof/>
                <w:color w:val="000000"/>
                <w:sz w:val="19"/>
                <w:szCs w:val="19"/>
                <w:lang w:val="es-ES"/>
              </w:rPr>
            </w:pPr>
            <w:r w:rsidRPr="00313E2B">
              <w:rPr>
                <w:noProof/>
                <w:sz w:val="19"/>
                <w:szCs w:val="19"/>
                <w:lang w:val="es-ES"/>
              </w:rPr>
              <w:t xml:space="preserve"> (74)</w:t>
            </w:r>
          </w:p>
        </w:tc>
        <w:tc>
          <w:tcPr>
            <w:tcW w:w="236" w:type="dxa"/>
            <w:tcBorders>
              <w:top w:val="nil"/>
              <w:left w:val="nil"/>
              <w:bottom w:val="nil"/>
              <w:right w:val="nil"/>
            </w:tcBorders>
            <w:shd w:val="clear" w:color="auto" w:fill="F2F2F2" w:themeFill="background1" w:themeFillShade="F2"/>
            <w:vAlign w:val="center"/>
          </w:tcPr>
          <w:p w14:paraId="0BC8A657"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901" w:type="dxa"/>
            <w:tcBorders>
              <w:top w:val="nil"/>
              <w:left w:val="nil"/>
              <w:bottom w:val="nil"/>
              <w:right w:val="nil"/>
            </w:tcBorders>
            <w:shd w:val="solid" w:color="FFFFFF" w:fill="auto"/>
          </w:tcPr>
          <w:p w14:paraId="2BA2162C" w14:textId="4ADD2C0F" w:rsidR="00551574" w:rsidRPr="00313E2B" w:rsidRDefault="00551574" w:rsidP="00551574">
            <w:pPr>
              <w:autoSpaceDE w:val="0"/>
              <w:autoSpaceDN w:val="0"/>
              <w:adjustRightInd w:val="0"/>
              <w:ind w:left="0" w:firstLine="0"/>
              <w:jc w:val="right"/>
              <w:rPr>
                <w:rFonts w:asciiTheme="minorHAnsi" w:eastAsiaTheme="minorHAnsi" w:hAnsiTheme="minorHAnsi" w:cstheme="minorHAnsi"/>
                <w:b/>
                <w:bCs/>
                <w:noProof/>
                <w:color w:val="000000"/>
                <w:sz w:val="19"/>
                <w:szCs w:val="19"/>
                <w:lang w:val="es-ES"/>
              </w:rPr>
            </w:pPr>
            <w:r w:rsidRPr="00313E2B">
              <w:rPr>
                <w:noProof/>
                <w:sz w:val="19"/>
                <w:szCs w:val="19"/>
                <w:lang w:val="es-ES"/>
              </w:rPr>
              <w:t xml:space="preserve"> (162)</w:t>
            </w:r>
          </w:p>
        </w:tc>
        <w:tc>
          <w:tcPr>
            <w:tcW w:w="242" w:type="dxa"/>
            <w:tcBorders>
              <w:top w:val="nil"/>
              <w:left w:val="nil"/>
              <w:bottom w:val="nil"/>
              <w:right w:val="nil"/>
            </w:tcBorders>
            <w:shd w:val="solid" w:color="FFFFFF" w:fill="auto"/>
          </w:tcPr>
          <w:p w14:paraId="0439632A"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793" w:type="dxa"/>
            <w:tcBorders>
              <w:top w:val="nil"/>
              <w:left w:val="nil"/>
              <w:bottom w:val="nil"/>
              <w:right w:val="nil"/>
            </w:tcBorders>
            <w:shd w:val="solid" w:color="FFFFFF" w:fill="auto"/>
          </w:tcPr>
          <w:p w14:paraId="289DF92F" w14:textId="21F02566" w:rsidR="00551574" w:rsidRPr="00313E2B" w:rsidRDefault="00551574" w:rsidP="00551574">
            <w:pPr>
              <w:autoSpaceDE w:val="0"/>
              <w:autoSpaceDN w:val="0"/>
              <w:adjustRightInd w:val="0"/>
              <w:ind w:left="0" w:firstLine="0"/>
              <w:jc w:val="right"/>
              <w:rPr>
                <w:rFonts w:asciiTheme="minorHAnsi" w:eastAsiaTheme="minorHAnsi" w:hAnsiTheme="minorHAnsi" w:cstheme="minorHAnsi"/>
                <w:b/>
                <w:bCs/>
                <w:noProof/>
                <w:color w:val="000000"/>
                <w:sz w:val="19"/>
                <w:szCs w:val="19"/>
                <w:lang w:val="es-ES"/>
              </w:rPr>
            </w:pPr>
            <w:r w:rsidRPr="00313E2B">
              <w:rPr>
                <w:noProof/>
                <w:sz w:val="19"/>
                <w:szCs w:val="19"/>
                <w:lang w:val="es-ES"/>
              </w:rPr>
              <w:t>(3)</w:t>
            </w:r>
          </w:p>
        </w:tc>
        <w:tc>
          <w:tcPr>
            <w:tcW w:w="236" w:type="dxa"/>
            <w:tcBorders>
              <w:top w:val="nil"/>
              <w:left w:val="nil"/>
              <w:bottom w:val="nil"/>
              <w:right w:val="nil"/>
            </w:tcBorders>
            <w:shd w:val="solid" w:color="FFFFFF" w:fill="auto"/>
          </w:tcPr>
          <w:p w14:paraId="4F6D3905"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6" w:type="dxa"/>
            <w:tcBorders>
              <w:top w:val="nil"/>
              <w:left w:val="nil"/>
              <w:bottom w:val="nil"/>
              <w:right w:val="nil"/>
            </w:tcBorders>
            <w:shd w:val="solid" w:color="FFFFFF" w:fill="auto"/>
          </w:tcPr>
          <w:p w14:paraId="2C315075" w14:textId="14D78DC1" w:rsidR="00551574" w:rsidRPr="00313E2B" w:rsidRDefault="00551574" w:rsidP="00551574">
            <w:pPr>
              <w:autoSpaceDE w:val="0"/>
              <w:autoSpaceDN w:val="0"/>
              <w:adjustRightInd w:val="0"/>
              <w:ind w:left="0" w:firstLine="0"/>
              <w:jc w:val="right"/>
              <w:rPr>
                <w:rFonts w:asciiTheme="minorHAnsi" w:eastAsiaTheme="minorHAnsi" w:hAnsiTheme="minorHAnsi" w:cstheme="minorHAnsi"/>
                <w:b/>
                <w:bCs/>
                <w:noProof/>
                <w:color w:val="000000"/>
                <w:sz w:val="19"/>
                <w:szCs w:val="19"/>
                <w:lang w:val="es-ES"/>
              </w:rPr>
            </w:pPr>
            <w:r w:rsidRPr="00313E2B">
              <w:rPr>
                <w:noProof/>
                <w:sz w:val="19"/>
                <w:szCs w:val="19"/>
                <w:lang w:val="es-ES"/>
              </w:rPr>
              <w:t>(165)</w:t>
            </w:r>
          </w:p>
        </w:tc>
      </w:tr>
      <w:tr w:rsidR="007C6B16" w:rsidRPr="00313E2B" w14:paraId="06763A6E" w14:textId="77777777" w:rsidTr="002538A3">
        <w:tc>
          <w:tcPr>
            <w:tcW w:w="3288" w:type="dxa"/>
            <w:tcBorders>
              <w:top w:val="nil"/>
              <w:left w:val="nil"/>
              <w:bottom w:val="nil"/>
              <w:right w:val="nil"/>
            </w:tcBorders>
            <w:shd w:val="solid" w:color="FFFFFF" w:fill="auto"/>
          </w:tcPr>
          <w:p w14:paraId="3D8F4428" w14:textId="77777777" w:rsidR="007C6B16" w:rsidRPr="00313E2B" w:rsidRDefault="007C6B16" w:rsidP="007C6B16">
            <w:pPr>
              <w:autoSpaceDE w:val="0"/>
              <w:autoSpaceDN w:val="0"/>
              <w:adjustRightInd w:val="0"/>
              <w:ind w:left="0" w:firstLine="0"/>
              <w:rPr>
                <w:rFonts w:asciiTheme="minorHAnsi" w:eastAsiaTheme="minorHAnsi" w:hAnsiTheme="minorHAnsi" w:cstheme="minorHAnsi"/>
                <w:noProof/>
                <w:color w:val="000000"/>
                <w:sz w:val="19"/>
                <w:szCs w:val="19"/>
                <w:lang w:val="es-ES"/>
              </w:rPr>
            </w:pPr>
          </w:p>
        </w:tc>
        <w:tc>
          <w:tcPr>
            <w:tcW w:w="708" w:type="dxa"/>
            <w:tcBorders>
              <w:top w:val="nil"/>
              <w:left w:val="nil"/>
              <w:bottom w:val="nil"/>
              <w:right w:val="nil"/>
            </w:tcBorders>
            <w:shd w:val="solid" w:color="FFFFFF" w:fill="auto"/>
          </w:tcPr>
          <w:p w14:paraId="3C3689D3" w14:textId="77777777" w:rsidR="007C6B16" w:rsidRPr="00313E2B" w:rsidRDefault="007C6B16" w:rsidP="007C6B16">
            <w:pPr>
              <w:autoSpaceDE w:val="0"/>
              <w:autoSpaceDN w:val="0"/>
              <w:adjustRightInd w:val="0"/>
              <w:ind w:left="0" w:firstLine="0"/>
              <w:jc w:val="center"/>
              <w:rPr>
                <w:rFonts w:asciiTheme="minorHAnsi" w:eastAsiaTheme="minorHAnsi" w:hAnsiTheme="minorHAnsi" w:cstheme="minorHAnsi"/>
                <w:noProof/>
                <w:color w:val="000000"/>
                <w:sz w:val="19"/>
                <w:szCs w:val="19"/>
                <w:lang w:val="es-ES"/>
              </w:rPr>
            </w:pPr>
          </w:p>
        </w:tc>
        <w:tc>
          <w:tcPr>
            <w:tcW w:w="851" w:type="dxa"/>
            <w:tcBorders>
              <w:top w:val="nil"/>
              <w:left w:val="nil"/>
              <w:bottom w:val="nil"/>
              <w:right w:val="nil"/>
            </w:tcBorders>
            <w:shd w:val="solid" w:color="FFFFFF" w:fill="auto"/>
          </w:tcPr>
          <w:p w14:paraId="13522E95" w14:textId="77777777" w:rsidR="007C6B16" w:rsidRPr="00313E2B" w:rsidRDefault="007C6B16" w:rsidP="007C6B16">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84" w:type="dxa"/>
            <w:tcBorders>
              <w:top w:val="nil"/>
              <w:left w:val="nil"/>
              <w:bottom w:val="nil"/>
              <w:right w:val="nil"/>
            </w:tcBorders>
            <w:shd w:val="solid" w:color="FFFFFF" w:fill="auto"/>
          </w:tcPr>
          <w:p w14:paraId="52D1D62E" w14:textId="77777777" w:rsidR="007C6B16" w:rsidRPr="00313E2B" w:rsidRDefault="007C6B16" w:rsidP="007C6B16">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0" w:type="dxa"/>
            <w:tcBorders>
              <w:top w:val="nil"/>
              <w:left w:val="nil"/>
              <w:bottom w:val="nil"/>
              <w:right w:val="nil"/>
            </w:tcBorders>
            <w:shd w:val="solid" w:color="FFFFFF" w:fill="auto"/>
          </w:tcPr>
          <w:p w14:paraId="57128A8F" w14:textId="77777777" w:rsidR="007C6B16" w:rsidRPr="00313E2B" w:rsidRDefault="007C6B16" w:rsidP="007C6B16">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36" w:type="dxa"/>
            <w:tcBorders>
              <w:top w:val="nil"/>
              <w:left w:val="nil"/>
              <w:bottom w:val="nil"/>
              <w:right w:val="nil"/>
            </w:tcBorders>
            <w:shd w:val="solid" w:color="FFFFFF" w:fill="auto"/>
          </w:tcPr>
          <w:p w14:paraId="7D5A86B5" w14:textId="77777777" w:rsidR="007C6B16" w:rsidRPr="00313E2B" w:rsidRDefault="007C6B16" w:rsidP="007C6B16">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95" w:type="dxa"/>
            <w:tcBorders>
              <w:top w:val="nil"/>
              <w:left w:val="nil"/>
              <w:bottom w:val="nil"/>
              <w:right w:val="nil"/>
            </w:tcBorders>
            <w:shd w:val="solid" w:color="FFFFFF" w:fill="auto"/>
          </w:tcPr>
          <w:p w14:paraId="14EECA23" w14:textId="77777777" w:rsidR="007C6B16" w:rsidRPr="00313E2B" w:rsidRDefault="007C6B16" w:rsidP="007C6B16">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36" w:type="dxa"/>
            <w:tcBorders>
              <w:top w:val="nil"/>
              <w:left w:val="nil"/>
              <w:bottom w:val="nil"/>
              <w:right w:val="nil"/>
            </w:tcBorders>
            <w:shd w:val="clear" w:color="auto" w:fill="F2F2F2" w:themeFill="background1" w:themeFillShade="F2"/>
            <w:vAlign w:val="center"/>
          </w:tcPr>
          <w:p w14:paraId="27CD6846" w14:textId="77777777" w:rsidR="007C6B16" w:rsidRPr="00313E2B" w:rsidRDefault="007C6B16" w:rsidP="007C6B16">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901" w:type="dxa"/>
            <w:tcBorders>
              <w:top w:val="nil"/>
              <w:left w:val="nil"/>
              <w:bottom w:val="nil"/>
              <w:right w:val="nil"/>
            </w:tcBorders>
            <w:shd w:val="solid" w:color="FFFFFF" w:fill="auto"/>
          </w:tcPr>
          <w:p w14:paraId="0E260AD1" w14:textId="77777777" w:rsidR="007C6B16" w:rsidRPr="00313E2B" w:rsidRDefault="007C6B16" w:rsidP="007C6B16">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42" w:type="dxa"/>
            <w:tcBorders>
              <w:top w:val="nil"/>
              <w:left w:val="nil"/>
              <w:bottom w:val="nil"/>
              <w:right w:val="nil"/>
            </w:tcBorders>
            <w:shd w:val="solid" w:color="FFFFFF" w:fill="auto"/>
          </w:tcPr>
          <w:p w14:paraId="6479AF0B" w14:textId="77777777" w:rsidR="007C6B16" w:rsidRPr="00313E2B" w:rsidRDefault="007C6B16" w:rsidP="007C6B16">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793" w:type="dxa"/>
            <w:tcBorders>
              <w:top w:val="nil"/>
              <w:left w:val="nil"/>
              <w:bottom w:val="nil"/>
              <w:right w:val="nil"/>
            </w:tcBorders>
            <w:shd w:val="solid" w:color="FFFFFF" w:fill="auto"/>
          </w:tcPr>
          <w:p w14:paraId="2B3D1EE6" w14:textId="77777777" w:rsidR="007C6B16" w:rsidRPr="00313E2B" w:rsidRDefault="007C6B16" w:rsidP="007C6B16">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36" w:type="dxa"/>
            <w:tcBorders>
              <w:top w:val="nil"/>
              <w:left w:val="nil"/>
              <w:bottom w:val="nil"/>
              <w:right w:val="nil"/>
            </w:tcBorders>
            <w:shd w:val="solid" w:color="FFFFFF" w:fill="auto"/>
          </w:tcPr>
          <w:p w14:paraId="62D73897" w14:textId="77777777" w:rsidR="007C6B16" w:rsidRPr="00313E2B" w:rsidRDefault="007C6B16" w:rsidP="007C6B16">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6" w:type="dxa"/>
            <w:tcBorders>
              <w:top w:val="nil"/>
              <w:left w:val="nil"/>
              <w:bottom w:val="nil"/>
              <w:right w:val="nil"/>
            </w:tcBorders>
            <w:shd w:val="solid" w:color="FFFFFF" w:fill="auto"/>
          </w:tcPr>
          <w:p w14:paraId="75A2ED4B" w14:textId="77777777" w:rsidR="007C6B16" w:rsidRPr="00313E2B" w:rsidRDefault="007C6B16" w:rsidP="007C6B16">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r>
      <w:tr w:rsidR="00551574" w:rsidRPr="00313E2B" w14:paraId="66DDE58F" w14:textId="77777777" w:rsidTr="001441B9">
        <w:tc>
          <w:tcPr>
            <w:tcW w:w="3288" w:type="dxa"/>
            <w:tcBorders>
              <w:top w:val="nil"/>
              <w:left w:val="nil"/>
              <w:bottom w:val="nil"/>
              <w:right w:val="nil"/>
            </w:tcBorders>
            <w:shd w:val="solid" w:color="FFFFFF" w:fill="auto"/>
            <w:vAlign w:val="center"/>
          </w:tcPr>
          <w:p w14:paraId="00AC3BE5" w14:textId="617CB864" w:rsidR="00551574" w:rsidRPr="00313E2B" w:rsidRDefault="00551574" w:rsidP="00551574">
            <w:pPr>
              <w:autoSpaceDE w:val="0"/>
              <w:autoSpaceDN w:val="0"/>
              <w:adjustRightInd w:val="0"/>
              <w:ind w:left="0" w:firstLine="0"/>
              <w:rPr>
                <w:rFonts w:asciiTheme="minorHAnsi" w:eastAsiaTheme="minorHAnsi" w:hAnsiTheme="minorHAnsi" w:cstheme="minorHAnsi"/>
                <w:noProof/>
                <w:color w:val="000000"/>
                <w:sz w:val="19"/>
                <w:szCs w:val="19"/>
                <w:lang w:val="es-ES"/>
              </w:rPr>
            </w:pPr>
            <w:r w:rsidRPr="00313E2B">
              <w:rPr>
                <w:rFonts w:asciiTheme="minorHAnsi" w:hAnsiTheme="minorHAnsi"/>
                <w:b/>
                <w:bCs/>
                <w:noProof/>
                <w:sz w:val="19"/>
                <w:szCs w:val="19"/>
                <w:lang w:val="es-ES"/>
              </w:rPr>
              <w:t>Excedente/(Déficit) neto después de otros ingresos/gastos</w:t>
            </w:r>
          </w:p>
        </w:tc>
        <w:tc>
          <w:tcPr>
            <w:tcW w:w="708" w:type="dxa"/>
            <w:tcBorders>
              <w:top w:val="nil"/>
              <w:left w:val="nil"/>
              <w:bottom w:val="nil"/>
              <w:right w:val="nil"/>
            </w:tcBorders>
            <w:shd w:val="solid" w:color="FFFFFF" w:fill="auto"/>
          </w:tcPr>
          <w:p w14:paraId="6A8280ED"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1" w:type="dxa"/>
            <w:tcBorders>
              <w:top w:val="nil"/>
              <w:left w:val="nil"/>
              <w:bottom w:val="nil"/>
              <w:right w:val="nil"/>
            </w:tcBorders>
            <w:shd w:val="clear" w:color="auto" w:fill="B8CCE4" w:themeFill="accent1" w:themeFillTint="66"/>
            <w:vAlign w:val="center"/>
          </w:tcPr>
          <w:p w14:paraId="2B9901E8" w14:textId="2C65D478" w:rsidR="00551574" w:rsidRPr="001441B9" w:rsidRDefault="00551574" w:rsidP="001441B9">
            <w:pPr>
              <w:autoSpaceDE w:val="0"/>
              <w:autoSpaceDN w:val="0"/>
              <w:adjustRightInd w:val="0"/>
              <w:ind w:left="0" w:firstLine="0"/>
              <w:jc w:val="right"/>
              <w:rPr>
                <w:rFonts w:asciiTheme="minorHAnsi" w:eastAsiaTheme="minorHAnsi" w:hAnsiTheme="minorHAnsi" w:cstheme="minorHAnsi"/>
                <w:b/>
                <w:noProof/>
                <w:color w:val="000000"/>
                <w:sz w:val="19"/>
                <w:szCs w:val="19"/>
                <w:lang w:val="es-ES"/>
              </w:rPr>
            </w:pPr>
            <w:r w:rsidRPr="001441B9">
              <w:rPr>
                <w:b/>
                <w:noProof/>
                <w:sz w:val="19"/>
                <w:szCs w:val="19"/>
                <w:lang w:val="es-ES"/>
              </w:rPr>
              <w:t xml:space="preserve"> 420 </w:t>
            </w:r>
          </w:p>
        </w:tc>
        <w:tc>
          <w:tcPr>
            <w:tcW w:w="284" w:type="dxa"/>
            <w:tcBorders>
              <w:top w:val="nil"/>
              <w:left w:val="nil"/>
              <w:bottom w:val="nil"/>
              <w:right w:val="nil"/>
            </w:tcBorders>
            <w:shd w:val="clear" w:color="auto" w:fill="B8CCE4" w:themeFill="accent1" w:themeFillTint="66"/>
            <w:vAlign w:val="center"/>
          </w:tcPr>
          <w:p w14:paraId="27EADF40" w14:textId="77777777" w:rsidR="00551574" w:rsidRPr="001441B9" w:rsidRDefault="00551574" w:rsidP="001441B9">
            <w:pPr>
              <w:autoSpaceDE w:val="0"/>
              <w:autoSpaceDN w:val="0"/>
              <w:adjustRightInd w:val="0"/>
              <w:ind w:left="0" w:firstLine="0"/>
              <w:jc w:val="right"/>
              <w:rPr>
                <w:rFonts w:asciiTheme="minorHAnsi" w:eastAsiaTheme="minorHAnsi" w:hAnsiTheme="minorHAnsi" w:cstheme="minorHAnsi"/>
                <w:b/>
                <w:noProof/>
                <w:color w:val="000000"/>
                <w:sz w:val="19"/>
                <w:szCs w:val="19"/>
                <w:lang w:val="es-ES"/>
              </w:rPr>
            </w:pPr>
          </w:p>
        </w:tc>
        <w:tc>
          <w:tcPr>
            <w:tcW w:w="850" w:type="dxa"/>
            <w:tcBorders>
              <w:top w:val="nil"/>
              <w:left w:val="nil"/>
              <w:bottom w:val="nil"/>
              <w:right w:val="nil"/>
            </w:tcBorders>
            <w:shd w:val="clear" w:color="auto" w:fill="B8CCE4" w:themeFill="accent1" w:themeFillTint="66"/>
            <w:vAlign w:val="center"/>
          </w:tcPr>
          <w:p w14:paraId="7883560A" w14:textId="5994D1A4" w:rsidR="00551574" w:rsidRPr="001441B9" w:rsidRDefault="00551574" w:rsidP="001441B9">
            <w:pPr>
              <w:autoSpaceDE w:val="0"/>
              <w:autoSpaceDN w:val="0"/>
              <w:adjustRightInd w:val="0"/>
              <w:ind w:left="0" w:firstLine="0"/>
              <w:jc w:val="right"/>
              <w:rPr>
                <w:rFonts w:asciiTheme="minorHAnsi" w:eastAsiaTheme="minorHAnsi" w:hAnsiTheme="minorHAnsi" w:cstheme="minorHAnsi"/>
                <w:b/>
                <w:noProof/>
                <w:color w:val="000000"/>
                <w:sz w:val="19"/>
                <w:szCs w:val="19"/>
                <w:lang w:val="es-ES"/>
              </w:rPr>
            </w:pPr>
            <w:r w:rsidRPr="001441B9">
              <w:rPr>
                <w:b/>
                <w:noProof/>
                <w:sz w:val="19"/>
                <w:szCs w:val="19"/>
                <w:lang w:val="es-ES"/>
              </w:rPr>
              <w:t xml:space="preserve"> 114 </w:t>
            </w:r>
          </w:p>
        </w:tc>
        <w:tc>
          <w:tcPr>
            <w:tcW w:w="236" w:type="dxa"/>
            <w:tcBorders>
              <w:top w:val="nil"/>
              <w:left w:val="nil"/>
              <w:bottom w:val="nil"/>
              <w:right w:val="nil"/>
            </w:tcBorders>
            <w:shd w:val="clear" w:color="auto" w:fill="B8CCE4" w:themeFill="accent1" w:themeFillTint="66"/>
            <w:vAlign w:val="center"/>
          </w:tcPr>
          <w:p w14:paraId="6188BBE3" w14:textId="77777777" w:rsidR="00551574" w:rsidRPr="001441B9" w:rsidRDefault="00551574" w:rsidP="001441B9">
            <w:pPr>
              <w:autoSpaceDE w:val="0"/>
              <w:autoSpaceDN w:val="0"/>
              <w:adjustRightInd w:val="0"/>
              <w:ind w:left="0" w:firstLine="0"/>
              <w:jc w:val="right"/>
              <w:rPr>
                <w:rFonts w:asciiTheme="minorHAnsi" w:eastAsiaTheme="minorHAnsi" w:hAnsiTheme="minorHAnsi" w:cstheme="minorHAnsi"/>
                <w:b/>
                <w:noProof/>
                <w:color w:val="000000"/>
                <w:sz w:val="19"/>
                <w:szCs w:val="19"/>
                <w:lang w:val="es-ES"/>
              </w:rPr>
            </w:pPr>
          </w:p>
        </w:tc>
        <w:tc>
          <w:tcPr>
            <w:tcW w:w="895" w:type="dxa"/>
            <w:tcBorders>
              <w:top w:val="nil"/>
              <w:left w:val="nil"/>
              <w:bottom w:val="nil"/>
              <w:right w:val="nil"/>
            </w:tcBorders>
            <w:shd w:val="clear" w:color="auto" w:fill="B8CCE4" w:themeFill="accent1" w:themeFillTint="66"/>
            <w:vAlign w:val="center"/>
          </w:tcPr>
          <w:p w14:paraId="559CCFDA" w14:textId="3D3B5672" w:rsidR="00551574" w:rsidRPr="001441B9" w:rsidRDefault="00551574" w:rsidP="001441B9">
            <w:pPr>
              <w:autoSpaceDE w:val="0"/>
              <w:autoSpaceDN w:val="0"/>
              <w:adjustRightInd w:val="0"/>
              <w:ind w:left="0" w:firstLine="0"/>
              <w:jc w:val="right"/>
              <w:rPr>
                <w:rFonts w:asciiTheme="minorHAnsi" w:eastAsiaTheme="minorHAnsi" w:hAnsiTheme="minorHAnsi" w:cstheme="minorHAnsi"/>
                <w:b/>
                <w:noProof/>
                <w:color w:val="000000"/>
                <w:sz w:val="19"/>
                <w:szCs w:val="19"/>
                <w:lang w:val="es-ES"/>
              </w:rPr>
            </w:pPr>
            <w:r w:rsidRPr="001441B9">
              <w:rPr>
                <w:b/>
                <w:noProof/>
                <w:sz w:val="19"/>
                <w:szCs w:val="19"/>
                <w:lang w:val="es-ES"/>
              </w:rPr>
              <w:t xml:space="preserve"> 534 </w:t>
            </w:r>
          </w:p>
        </w:tc>
        <w:tc>
          <w:tcPr>
            <w:tcW w:w="236" w:type="dxa"/>
            <w:tcBorders>
              <w:top w:val="nil"/>
              <w:left w:val="nil"/>
              <w:bottom w:val="nil"/>
              <w:right w:val="nil"/>
            </w:tcBorders>
            <w:shd w:val="clear" w:color="auto" w:fill="F2F2F2" w:themeFill="background1" w:themeFillShade="F2"/>
            <w:vAlign w:val="center"/>
          </w:tcPr>
          <w:p w14:paraId="7BDEB69B" w14:textId="77777777" w:rsidR="00551574" w:rsidRPr="001441B9" w:rsidRDefault="00551574" w:rsidP="001441B9">
            <w:pPr>
              <w:autoSpaceDE w:val="0"/>
              <w:autoSpaceDN w:val="0"/>
              <w:adjustRightInd w:val="0"/>
              <w:ind w:left="0" w:firstLine="0"/>
              <w:jc w:val="right"/>
              <w:rPr>
                <w:rFonts w:asciiTheme="minorHAnsi" w:eastAsiaTheme="minorHAnsi" w:hAnsiTheme="minorHAnsi" w:cstheme="minorHAnsi"/>
                <w:b/>
                <w:noProof/>
                <w:color w:val="000000"/>
                <w:sz w:val="19"/>
                <w:szCs w:val="19"/>
                <w:lang w:val="es-ES"/>
              </w:rPr>
            </w:pPr>
          </w:p>
        </w:tc>
        <w:tc>
          <w:tcPr>
            <w:tcW w:w="901" w:type="dxa"/>
            <w:tcBorders>
              <w:top w:val="nil"/>
              <w:left w:val="nil"/>
              <w:bottom w:val="nil"/>
              <w:right w:val="nil"/>
            </w:tcBorders>
            <w:shd w:val="clear" w:color="auto" w:fill="D6E3BC" w:themeFill="accent3" w:themeFillTint="66"/>
            <w:vAlign w:val="center"/>
          </w:tcPr>
          <w:p w14:paraId="2A106566" w14:textId="28703366" w:rsidR="00551574" w:rsidRPr="001441B9" w:rsidRDefault="00551574" w:rsidP="001441B9">
            <w:pPr>
              <w:autoSpaceDE w:val="0"/>
              <w:autoSpaceDN w:val="0"/>
              <w:adjustRightInd w:val="0"/>
              <w:ind w:left="0" w:firstLine="0"/>
              <w:jc w:val="right"/>
              <w:rPr>
                <w:rFonts w:asciiTheme="minorHAnsi" w:eastAsiaTheme="minorHAnsi" w:hAnsiTheme="minorHAnsi" w:cstheme="minorHAnsi"/>
                <w:b/>
                <w:noProof/>
                <w:color w:val="000000"/>
                <w:sz w:val="19"/>
                <w:szCs w:val="19"/>
                <w:lang w:val="es-ES"/>
              </w:rPr>
            </w:pPr>
            <w:r w:rsidRPr="001441B9">
              <w:rPr>
                <w:b/>
                <w:noProof/>
                <w:sz w:val="19"/>
                <w:szCs w:val="19"/>
                <w:lang w:val="es-ES"/>
              </w:rPr>
              <w:t xml:space="preserve">  670 </w:t>
            </w:r>
          </w:p>
        </w:tc>
        <w:tc>
          <w:tcPr>
            <w:tcW w:w="242" w:type="dxa"/>
            <w:tcBorders>
              <w:top w:val="nil"/>
              <w:left w:val="nil"/>
              <w:bottom w:val="nil"/>
              <w:right w:val="nil"/>
            </w:tcBorders>
            <w:shd w:val="clear" w:color="auto" w:fill="D6E3BC" w:themeFill="accent3" w:themeFillTint="66"/>
            <w:vAlign w:val="center"/>
          </w:tcPr>
          <w:p w14:paraId="520ED517" w14:textId="77777777" w:rsidR="00551574" w:rsidRPr="001441B9" w:rsidRDefault="00551574" w:rsidP="001441B9">
            <w:pPr>
              <w:autoSpaceDE w:val="0"/>
              <w:autoSpaceDN w:val="0"/>
              <w:adjustRightInd w:val="0"/>
              <w:ind w:left="0" w:firstLine="0"/>
              <w:jc w:val="right"/>
              <w:rPr>
                <w:rFonts w:asciiTheme="minorHAnsi" w:eastAsiaTheme="minorHAnsi" w:hAnsiTheme="minorHAnsi" w:cstheme="minorHAnsi"/>
                <w:b/>
                <w:noProof/>
                <w:color w:val="000000"/>
                <w:sz w:val="19"/>
                <w:szCs w:val="19"/>
                <w:lang w:val="es-ES"/>
              </w:rPr>
            </w:pPr>
          </w:p>
        </w:tc>
        <w:tc>
          <w:tcPr>
            <w:tcW w:w="793" w:type="dxa"/>
            <w:tcBorders>
              <w:top w:val="nil"/>
              <w:left w:val="nil"/>
              <w:bottom w:val="nil"/>
              <w:right w:val="nil"/>
            </w:tcBorders>
            <w:shd w:val="clear" w:color="auto" w:fill="D6E3BC" w:themeFill="accent3" w:themeFillTint="66"/>
            <w:vAlign w:val="center"/>
          </w:tcPr>
          <w:p w14:paraId="1E11C7CC" w14:textId="73709DAD" w:rsidR="00551574" w:rsidRPr="001441B9" w:rsidRDefault="00551574" w:rsidP="001441B9">
            <w:pPr>
              <w:autoSpaceDE w:val="0"/>
              <w:autoSpaceDN w:val="0"/>
              <w:adjustRightInd w:val="0"/>
              <w:ind w:left="0" w:firstLine="0"/>
              <w:jc w:val="right"/>
              <w:rPr>
                <w:rFonts w:asciiTheme="minorHAnsi" w:eastAsiaTheme="minorHAnsi" w:hAnsiTheme="minorHAnsi" w:cstheme="minorHAnsi"/>
                <w:b/>
                <w:noProof/>
                <w:color w:val="000000"/>
                <w:sz w:val="19"/>
                <w:szCs w:val="19"/>
                <w:lang w:val="es-ES"/>
              </w:rPr>
            </w:pPr>
            <w:r w:rsidRPr="001441B9">
              <w:rPr>
                <w:b/>
                <w:noProof/>
                <w:sz w:val="19"/>
                <w:szCs w:val="19"/>
                <w:lang w:val="es-ES"/>
              </w:rPr>
              <w:t xml:space="preserve"> (196)</w:t>
            </w:r>
          </w:p>
        </w:tc>
        <w:tc>
          <w:tcPr>
            <w:tcW w:w="236" w:type="dxa"/>
            <w:tcBorders>
              <w:top w:val="nil"/>
              <w:left w:val="nil"/>
              <w:bottom w:val="nil"/>
              <w:right w:val="nil"/>
            </w:tcBorders>
            <w:shd w:val="clear" w:color="auto" w:fill="D6E3BC" w:themeFill="accent3" w:themeFillTint="66"/>
            <w:vAlign w:val="center"/>
          </w:tcPr>
          <w:p w14:paraId="2B2A9AED" w14:textId="77777777" w:rsidR="00551574" w:rsidRPr="001441B9" w:rsidRDefault="00551574" w:rsidP="001441B9">
            <w:pPr>
              <w:autoSpaceDE w:val="0"/>
              <w:autoSpaceDN w:val="0"/>
              <w:adjustRightInd w:val="0"/>
              <w:ind w:left="0" w:firstLine="0"/>
              <w:jc w:val="right"/>
              <w:rPr>
                <w:rFonts w:asciiTheme="minorHAnsi" w:eastAsiaTheme="minorHAnsi" w:hAnsiTheme="minorHAnsi" w:cstheme="minorHAnsi"/>
                <w:b/>
                <w:noProof/>
                <w:color w:val="000000"/>
                <w:sz w:val="19"/>
                <w:szCs w:val="19"/>
                <w:lang w:val="es-ES"/>
              </w:rPr>
            </w:pPr>
          </w:p>
        </w:tc>
        <w:tc>
          <w:tcPr>
            <w:tcW w:w="856" w:type="dxa"/>
            <w:tcBorders>
              <w:top w:val="nil"/>
              <w:left w:val="nil"/>
              <w:bottom w:val="nil"/>
              <w:right w:val="nil"/>
            </w:tcBorders>
            <w:shd w:val="clear" w:color="auto" w:fill="D6E3BC" w:themeFill="accent3" w:themeFillTint="66"/>
            <w:vAlign w:val="center"/>
          </w:tcPr>
          <w:p w14:paraId="1C864A52" w14:textId="425DFCF2" w:rsidR="00551574" w:rsidRPr="001441B9" w:rsidRDefault="00551574" w:rsidP="001441B9">
            <w:pPr>
              <w:autoSpaceDE w:val="0"/>
              <w:autoSpaceDN w:val="0"/>
              <w:adjustRightInd w:val="0"/>
              <w:ind w:left="0" w:firstLine="0"/>
              <w:jc w:val="right"/>
              <w:rPr>
                <w:rFonts w:asciiTheme="minorHAnsi" w:eastAsiaTheme="minorHAnsi" w:hAnsiTheme="minorHAnsi" w:cstheme="minorHAnsi"/>
                <w:b/>
                <w:noProof/>
                <w:color w:val="000000"/>
                <w:sz w:val="19"/>
                <w:szCs w:val="19"/>
                <w:lang w:val="es-ES"/>
              </w:rPr>
            </w:pPr>
            <w:r w:rsidRPr="001441B9">
              <w:rPr>
                <w:b/>
                <w:noProof/>
                <w:sz w:val="19"/>
                <w:szCs w:val="19"/>
                <w:lang w:val="es-ES"/>
              </w:rPr>
              <w:t xml:space="preserve">  474 </w:t>
            </w:r>
          </w:p>
        </w:tc>
      </w:tr>
      <w:tr w:rsidR="00161871" w:rsidRPr="00313E2B" w14:paraId="1D49ECC1" w14:textId="77777777" w:rsidTr="00161871">
        <w:tc>
          <w:tcPr>
            <w:tcW w:w="3288" w:type="dxa"/>
            <w:tcBorders>
              <w:top w:val="nil"/>
              <w:left w:val="nil"/>
              <w:bottom w:val="nil"/>
              <w:right w:val="nil"/>
            </w:tcBorders>
            <w:shd w:val="solid" w:color="FFFFFF" w:fill="auto"/>
          </w:tcPr>
          <w:p w14:paraId="69BC7A82" w14:textId="77777777" w:rsidR="005219C3" w:rsidRPr="00313E2B" w:rsidRDefault="005219C3" w:rsidP="00161871">
            <w:pPr>
              <w:autoSpaceDE w:val="0"/>
              <w:autoSpaceDN w:val="0"/>
              <w:adjustRightInd w:val="0"/>
              <w:ind w:left="0" w:firstLine="0"/>
              <w:rPr>
                <w:rFonts w:asciiTheme="minorHAnsi" w:eastAsiaTheme="minorHAnsi" w:hAnsiTheme="minorHAnsi" w:cstheme="minorHAnsi"/>
                <w:noProof/>
                <w:color w:val="000000"/>
                <w:sz w:val="19"/>
                <w:szCs w:val="19"/>
                <w:lang w:val="es-ES"/>
              </w:rPr>
            </w:pPr>
          </w:p>
        </w:tc>
        <w:tc>
          <w:tcPr>
            <w:tcW w:w="708" w:type="dxa"/>
            <w:tcBorders>
              <w:top w:val="nil"/>
              <w:left w:val="nil"/>
              <w:bottom w:val="nil"/>
              <w:right w:val="nil"/>
            </w:tcBorders>
            <w:shd w:val="solid" w:color="FFFFFF" w:fill="auto"/>
          </w:tcPr>
          <w:p w14:paraId="7EB4CC14" w14:textId="77777777" w:rsidR="005219C3" w:rsidRPr="00313E2B" w:rsidRDefault="005219C3" w:rsidP="005219C3">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1" w:type="dxa"/>
            <w:tcBorders>
              <w:top w:val="nil"/>
              <w:left w:val="nil"/>
              <w:bottom w:val="nil"/>
              <w:right w:val="nil"/>
            </w:tcBorders>
            <w:shd w:val="solid" w:color="FFFFFF" w:fill="auto"/>
            <w:vAlign w:val="center"/>
          </w:tcPr>
          <w:p w14:paraId="790608F5" w14:textId="77777777" w:rsidR="005219C3" w:rsidRPr="00313E2B" w:rsidRDefault="005219C3" w:rsidP="005219C3">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84" w:type="dxa"/>
            <w:tcBorders>
              <w:top w:val="nil"/>
              <w:left w:val="nil"/>
              <w:bottom w:val="nil"/>
              <w:right w:val="nil"/>
            </w:tcBorders>
            <w:shd w:val="solid" w:color="FFFFFF" w:fill="auto"/>
            <w:vAlign w:val="center"/>
          </w:tcPr>
          <w:p w14:paraId="77929C35" w14:textId="77777777" w:rsidR="005219C3" w:rsidRPr="00313E2B" w:rsidRDefault="005219C3" w:rsidP="005219C3">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0" w:type="dxa"/>
            <w:tcBorders>
              <w:top w:val="nil"/>
              <w:left w:val="nil"/>
              <w:bottom w:val="nil"/>
              <w:right w:val="nil"/>
            </w:tcBorders>
            <w:shd w:val="solid" w:color="FFFFFF" w:fill="auto"/>
            <w:vAlign w:val="center"/>
          </w:tcPr>
          <w:p w14:paraId="4E7F8B2C" w14:textId="77777777" w:rsidR="005219C3" w:rsidRPr="00313E2B" w:rsidRDefault="005219C3" w:rsidP="005219C3">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36" w:type="dxa"/>
            <w:tcBorders>
              <w:top w:val="nil"/>
              <w:left w:val="nil"/>
              <w:bottom w:val="nil"/>
              <w:right w:val="nil"/>
            </w:tcBorders>
            <w:shd w:val="solid" w:color="FFFFFF" w:fill="auto"/>
            <w:vAlign w:val="center"/>
          </w:tcPr>
          <w:p w14:paraId="0E0B02CF" w14:textId="77777777" w:rsidR="005219C3" w:rsidRPr="00313E2B" w:rsidRDefault="005219C3" w:rsidP="005219C3">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95" w:type="dxa"/>
            <w:tcBorders>
              <w:top w:val="nil"/>
              <w:left w:val="nil"/>
              <w:bottom w:val="nil"/>
              <w:right w:val="nil"/>
            </w:tcBorders>
            <w:shd w:val="solid" w:color="FFFFFF" w:fill="auto"/>
            <w:vAlign w:val="center"/>
          </w:tcPr>
          <w:p w14:paraId="57778149" w14:textId="77777777" w:rsidR="005219C3" w:rsidRPr="00313E2B" w:rsidRDefault="005219C3" w:rsidP="005219C3">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36" w:type="dxa"/>
            <w:tcBorders>
              <w:top w:val="nil"/>
              <w:left w:val="nil"/>
              <w:bottom w:val="nil"/>
              <w:right w:val="nil"/>
            </w:tcBorders>
            <w:shd w:val="clear" w:color="auto" w:fill="F2F2F2" w:themeFill="background1" w:themeFillShade="F2"/>
            <w:vAlign w:val="center"/>
          </w:tcPr>
          <w:p w14:paraId="1EA7AF4E" w14:textId="77777777" w:rsidR="005219C3" w:rsidRPr="00313E2B" w:rsidRDefault="005219C3" w:rsidP="005219C3">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901" w:type="dxa"/>
            <w:tcBorders>
              <w:top w:val="nil"/>
              <w:left w:val="nil"/>
              <w:bottom w:val="nil"/>
              <w:right w:val="nil"/>
            </w:tcBorders>
            <w:shd w:val="solid" w:color="FFFFFF" w:fill="auto"/>
            <w:vAlign w:val="center"/>
          </w:tcPr>
          <w:p w14:paraId="21FCF863" w14:textId="77777777" w:rsidR="005219C3" w:rsidRPr="00313E2B" w:rsidRDefault="005219C3" w:rsidP="005219C3">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42" w:type="dxa"/>
            <w:tcBorders>
              <w:top w:val="nil"/>
              <w:left w:val="nil"/>
              <w:bottom w:val="nil"/>
              <w:right w:val="nil"/>
            </w:tcBorders>
            <w:shd w:val="solid" w:color="FFFFFF" w:fill="auto"/>
            <w:vAlign w:val="center"/>
          </w:tcPr>
          <w:p w14:paraId="00D1B886" w14:textId="77777777" w:rsidR="005219C3" w:rsidRPr="00313E2B" w:rsidRDefault="005219C3" w:rsidP="005219C3">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793" w:type="dxa"/>
            <w:tcBorders>
              <w:top w:val="nil"/>
              <w:left w:val="nil"/>
              <w:bottom w:val="nil"/>
              <w:right w:val="nil"/>
            </w:tcBorders>
            <w:shd w:val="solid" w:color="FFFFFF" w:fill="auto"/>
            <w:vAlign w:val="center"/>
          </w:tcPr>
          <w:p w14:paraId="08A095E5" w14:textId="77777777" w:rsidR="005219C3" w:rsidRPr="00313E2B" w:rsidRDefault="005219C3" w:rsidP="005219C3">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36" w:type="dxa"/>
            <w:tcBorders>
              <w:top w:val="nil"/>
              <w:left w:val="nil"/>
              <w:bottom w:val="nil"/>
              <w:right w:val="nil"/>
            </w:tcBorders>
            <w:shd w:val="solid" w:color="FFFFFF" w:fill="auto"/>
            <w:vAlign w:val="center"/>
          </w:tcPr>
          <w:p w14:paraId="13A321ED" w14:textId="77777777" w:rsidR="005219C3" w:rsidRPr="00313E2B" w:rsidRDefault="005219C3" w:rsidP="005219C3">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6" w:type="dxa"/>
            <w:tcBorders>
              <w:top w:val="nil"/>
              <w:left w:val="nil"/>
              <w:bottom w:val="nil"/>
              <w:right w:val="nil"/>
            </w:tcBorders>
            <w:shd w:val="solid" w:color="FFFFFF" w:fill="auto"/>
            <w:vAlign w:val="center"/>
          </w:tcPr>
          <w:p w14:paraId="745934C2" w14:textId="77777777" w:rsidR="005219C3" w:rsidRPr="00313E2B" w:rsidRDefault="005219C3" w:rsidP="005219C3">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r>
      <w:tr w:rsidR="00161871" w:rsidRPr="00313E2B" w14:paraId="30D88358" w14:textId="77777777" w:rsidTr="00313E2B">
        <w:tc>
          <w:tcPr>
            <w:tcW w:w="3288" w:type="dxa"/>
            <w:tcBorders>
              <w:top w:val="nil"/>
              <w:left w:val="nil"/>
              <w:bottom w:val="nil"/>
              <w:right w:val="nil"/>
            </w:tcBorders>
            <w:shd w:val="solid" w:color="FFFFFF" w:fill="auto"/>
          </w:tcPr>
          <w:p w14:paraId="380C6422" w14:textId="77777777" w:rsidR="005219C3" w:rsidRPr="00313E2B" w:rsidRDefault="005219C3" w:rsidP="00161871">
            <w:pPr>
              <w:autoSpaceDE w:val="0"/>
              <w:autoSpaceDN w:val="0"/>
              <w:adjustRightInd w:val="0"/>
              <w:ind w:left="0" w:firstLine="0"/>
              <w:rPr>
                <w:rFonts w:asciiTheme="minorHAnsi" w:eastAsiaTheme="minorHAnsi" w:hAnsiTheme="minorHAnsi" w:cstheme="minorHAnsi"/>
                <w:noProof/>
                <w:color w:val="000000"/>
                <w:sz w:val="19"/>
                <w:szCs w:val="19"/>
                <w:lang w:val="es-ES"/>
              </w:rPr>
            </w:pPr>
          </w:p>
        </w:tc>
        <w:tc>
          <w:tcPr>
            <w:tcW w:w="708" w:type="dxa"/>
            <w:tcBorders>
              <w:top w:val="nil"/>
              <w:left w:val="nil"/>
              <w:bottom w:val="nil"/>
              <w:right w:val="nil"/>
            </w:tcBorders>
            <w:shd w:val="solid" w:color="FFFFFF" w:fill="auto"/>
          </w:tcPr>
          <w:p w14:paraId="4E6A32C9" w14:textId="77777777" w:rsidR="005219C3" w:rsidRPr="00313E2B" w:rsidRDefault="005219C3" w:rsidP="005219C3">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1" w:type="dxa"/>
            <w:tcBorders>
              <w:top w:val="nil"/>
              <w:left w:val="nil"/>
              <w:bottom w:val="nil"/>
              <w:right w:val="nil"/>
            </w:tcBorders>
            <w:shd w:val="solid" w:color="FFFFFF" w:fill="auto"/>
            <w:vAlign w:val="center"/>
          </w:tcPr>
          <w:p w14:paraId="5B2B18F7" w14:textId="77777777" w:rsidR="005219C3" w:rsidRPr="00313E2B" w:rsidRDefault="005219C3" w:rsidP="005219C3">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84" w:type="dxa"/>
            <w:tcBorders>
              <w:top w:val="nil"/>
              <w:left w:val="nil"/>
              <w:bottom w:val="nil"/>
              <w:right w:val="nil"/>
            </w:tcBorders>
            <w:shd w:val="solid" w:color="FFFFFF" w:fill="auto"/>
            <w:vAlign w:val="center"/>
          </w:tcPr>
          <w:p w14:paraId="1F69B4AB" w14:textId="77777777" w:rsidR="005219C3" w:rsidRPr="00313E2B" w:rsidRDefault="005219C3" w:rsidP="005219C3">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0" w:type="dxa"/>
            <w:tcBorders>
              <w:top w:val="nil"/>
              <w:left w:val="nil"/>
              <w:bottom w:val="nil"/>
              <w:right w:val="nil"/>
            </w:tcBorders>
            <w:shd w:val="solid" w:color="FFFFFF" w:fill="auto"/>
            <w:vAlign w:val="center"/>
          </w:tcPr>
          <w:p w14:paraId="3544BE0B" w14:textId="77777777" w:rsidR="005219C3" w:rsidRPr="00313E2B" w:rsidRDefault="005219C3" w:rsidP="005219C3">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36" w:type="dxa"/>
            <w:tcBorders>
              <w:top w:val="nil"/>
              <w:left w:val="nil"/>
              <w:bottom w:val="nil"/>
              <w:right w:val="nil"/>
            </w:tcBorders>
            <w:shd w:val="solid" w:color="FFFFFF" w:fill="auto"/>
            <w:vAlign w:val="center"/>
          </w:tcPr>
          <w:p w14:paraId="293B6F22" w14:textId="77777777" w:rsidR="005219C3" w:rsidRPr="00313E2B" w:rsidRDefault="005219C3" w:rsidP="005219C3">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95" w:type="dxa"/>
            <w:tcBorders>
              <w:top w:val="nil"/>
              <w:left w:val="nil"/>
              <w:bottom w:val="nil"/>
              <w:right w:val="nil"/>
            </w:tcBorders>
            <w:shd w:val="clear" w:color="auto" w:fill="D6E3BC" w:themeFill="accent3" w:themeFillTint="66"/>
            <w:vAlign w:val="center"/>
          </w:tcPr>
          <w:p w14:paraId="68233B99" w14:textId="77777777" w:rsidR="005219C3" w:rsidRPr="00313E2B" w:rsidRDefault="005219C3" w:rsidP="005219C3">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36" w:type="dxa"/>
            <w:tcBorders>
              <w:top w:val="nil"/>
              <w:left w:val="nil"/>
              <w:bottom w:val="nil"/>
              <w:right w:val="nil"/>
            </w:tcBorders>
            <w:shd w:val="clear" w:color="auto" w:fill="F2F2F2" w:themeFill="background1" w:themeFillShade="F2"/>
            <w:vAlign w:val="center"/>
          </w:tcPr>
          <w:p w14:paraId="2AB24B07" w14:textId="77777777" w:rsidR="005219C3" w:rsidRPr="00313E2B" w:rsidRDefault="005219C3" w:rsidP="005219C3">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901" w:type="dxa"/>
            <w:tcBorders>
              <w:top w:val="nil"/>
              <w:left w:val="nil"/>
              <w:bottom w:val="nil"/>
              <w:right w:val="nil"/>
            </w:tcBorders>
            <w:shd w:val="solid" w:color="FFFFFF" w:fill="auto"/>
            <w:vAlign w:val="center"/>
          </w:tcPr>
          <w:p w14:paraId="14F51B58" w14:textId="77777777" w:rsidR="005219C3" w:rsidRPr="00313E2B" w:rsidRDefault="005219C3" w:rsidP="005219C3">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42" w:type="dxa"/>
            <w:tcBorders>
              <w:top w:val="nil"/>
              <w:left w:val="nil"/>
              <w:bottom w:val="nil"/>
              <w:right w:val="nil"/>
            </w:tcBorders>
            <w:shd w:val="solid" w:color="FFFFFF" w:fill="auto"/>
            <w:vAlign w:val="center"/>
          </w:tcPr>
          <w:p w14:paraId="1A26C39B" w14:textId="77777777" w:rsidR="005219C3" w:rsidRPr="00313E2B" w:rsidRDefault="005219C3" w:rsidP="005219C3">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793" w:type="dxa"/>
            <w:tcBorders>
              <w:top w:val="nil"/>
              <w:left w:val="nil"/>
              <w:bottom w:val="nil"/>
              <w:right w:val="nil"/>
            </w:tcBorders>
            <w:shd w:val="solid" w:color="FFFFFF" w:fill="auto"/>
            <w:vAlign w:val="center"/>
          </w:tcPr>
          <w:p w14:paraId="5C2AD378" w14:textId="77777777" w:rsidR="005219C3" w:rsidRPr="00313E2B" w:rsidRDefault="005219C3" w:rsidP="005219C3">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36" w:type="dxa"/>
            <w:tcBorders>
              <w:top w:val="nil"/>
              <w:left w:val="nil"/>
              <w:bottom w:val="nil"/>
              <w:right w:val="nil"/>
            </w:tcBorders>
            <w:shd w:val="solid" w:color="FFFFFF" w:fill="auto"/>
            <w:vAlign w:val="center"/>
          </w:tcPr>
          <w:p w14:paraId="71FF8B57" w14:textId="77777777" w:rsidR="005219C3" w:rsidRPr="00313E2B" w:rsidRDefault="005219C3" w:rsidP="005219C3">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6" w:type="dxa"/>
            <w:tcBorders>
              <w:top w:val="nil"/>
              <w:left w:val="nil"/>
              <w:bottom w:val="nil"/>
              <w:right w:val="nil"/>
            </w:tcBorders>
            <w:shd w:val="solid" w:color="FFFFFF" w:fill="auto"/>
            <w:vAlign w:val="center"/>
          </w:tcPr>
          <w:p w14:paraId="73918642" w14:textId="77777777" w:rsidR="005219C3" w:rsidRPr="00313E2B" w:rsidRDefault="005219C3" w:rsidP="005219C3">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r>
      <w:tr w:rsidR="00551574" w:rsidRPr="001441B9" w14:paraId="6E19C257" w14:textId="77777777" w:rsidTr="00FF2210">
        <w:tc>
          <w:tcPr>
            <w:tcW w:w="3288" w:type="dxa"/>
            <w:tcBorders>
              <w:top w:val="nil"/>
              <w:left w:val="nil"/>
              <w:bottom w:val="nil"/>
              <w:right w:val="nil"/>
            </w:tcBorders>
            <w:shd w:val="solid" w:color="FFFFFF" w:fill="auto"/>
            <w:vAlign w:val="center"/>
          </w:tcPr>
          <w:p w14:paraId="7D339A10" w14:textId="5A4D59D1" w:rsidR="00551574" w:rsidRPr="00313E2B" w:rsidRDefault="00551574" w:rsidP="00551574">
            <w:pPr>
              <w:autoSpaceDE w:val="0"/>
              <w:autoSpaceDN w:val="0"/>
              <w:adjustRightInd w:val="0"/>
              <w:ind w:left="0" w:firstLine="0"/>
              <w:rPr>
                <w:rFonts w:asciiTheme="minorHAnsi" w:eastAsiaTheme="minorHAnsi" w:hAnsiTheme="minorHAnsi" w:cstheme="minorHAnsi"/>
                <w:noProof/>
                <w:color w:val="000000"/>
                <w:sz w:val="19"/>
                <w:szCs w:val="19"/>
                <w:lang w:val="es-ES"/>
              </w:rPr>
            </w:pPr>
            <w:r w:rsidRPr="00313E2B">
              <w:rPr>
                <w:rFonts w:asciiTheme="minorHAnsi" w:hAnsiTheme="minorHAnsi"/>
                <w:b/>
                <w:bCs/>
                <w:noProof/>
                <w:sz w:val="19"/>
                <w:szCs w:val="19"/>
                <w:lang w:val="es-ES"/>
              </w:rPr>
              <w:t>ESTADO DE LOS SALDOS DE LOS FONDOS</w:t>
            </w:r>
          </w:p>
        </w:tc>
        <w:tc>
          <w:tcPr>
            <w:tcW w:w="708" w:type="dxa"/>
            <w:tcBorders>
              <w:top w:val="nil"/>
              <w:left w:val="nil"/>
              <w:bottom w:val="nil"/>
              <w:right w:val="nil"/>
            </w:tcBorders>
            <w:shd w:val="solid" w:color="FFFFFF" w:fill="auto"/>
          </w:tcPr>
          <w:p w14:paraId="3FAA4283"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1" w:type="dxa"/>
            <w:tcBorders>
              <w:top w:val="nil"/>
              <w:left w:val="nil"/>
              <w:bottom w:val="nil"/>
              <w:right w:val="nil"/>
            </w:tcBorders>
            <w:shd w:val="solid" w:color="FFFFFF" w:fill="auto"/>
            <w:vAlign w:val="center"/>
          </w:tcPr>
          <w:p w14:paraId="01C6683F"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84" w:type="dxa"/>
            <w:tcBorders>
              <w:top w:val="nil"/>
              <w:left w:val="nil"/>
              <w:bottom w:val="nil"/>
              <w:right w:val="nil"/>
            </w:tcBorders>
            <w:shd w:val="solid" w:color="FFFFFF" w:fill="auto"/>
            <w:vAlign w:val="center"/>
          </w:tcPr>
          <w:p w14:paraId="3399E565"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0" w:type="dxa"/>
            <w:tcBorders>
              <w:top w:val="nil"/>
              <w:left w:val="nil"/>
              <w:bottom w:val="nil"/>
              <w:right w:val="nil"/>
            </w:tcBorders>
            <w:shd w:val="solid" w:color="FFFFFF" w:fill="auto"/>
            <w:vAlign w:val="center"/>
          </w:tcPr>
          <w:p w14:paraId="3202297D"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36" w:type="dxa"/>
            <w:tcBorders>
              <w:top w:val="nil"/>
              <w:left w:val="nil"/>
              <w:bottom w:val="nil"/>
              <w:right w:val="nil"/>
            </w:tcBorders>
            <w:shd w:val="solid" w:color="FFFFFF" w:fill="auto"/>
            <w:vAlign w:val="center"/>
          </w:tcPr>
          <w:p w14:paraId="17FE6A11"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95" w:type="dxa"/>
            <w:tcBorders>
              <w:top w:val="nil"/>
              <w:left w:val="nil"/>
              <w:bottom w:val="nil"/>
              <w:right w:val="nil"/>
            </w:tcBorders>
            <w:shd w:val="solid" w:color="FFFFFF" w:fill="auto"/>
            <w:vAlign w:val="center"/>
          </w:tcPr>
          <w:p w14:paraId="1637D6DC"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36" w:type="dxa"/>
            <w:tcBorders>
              <w:top w:val="nil"/>
              <w:left w:val="nil"/>
              <w:bottom w:val="nil"/>
              <w:right w:val="nil"/>
            </w:tcBorders>
            <w:shd w:val="clear" w:color="auto" w:fill="F2F2F2" w:themeFill="background1" w:themeFillShade="F2"/>
            <w:vAlign w:val="center"/>
          </w:tcPr>
          <w:p w14:paraId="773A70BD"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901" w:type="dxa"/>
            <w:tcBorders>
              <w:top w:val="nil"/>
              <w:left w:val="nil"/>
              <w:bottom w:val="nil"/>
              <w:right w:val="nil"/>
            </w:tcBorders>
            <w:shd w:val="solid" w:color="FFFFFF" w:fill="auto"/>
            <w:vAlign w:val="center"/>
          </w:tcPr>
          <w:p w14:paraId="1803F30E"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42" w:type="dxa"/>
            <w:tcBorders>
              <w:top w:val="nil"/>
              <w:left w:val="nil"/>
              <w:bottom w:val="nil"/>
              <w:right w:val="nil"/>
            </w:tcBorders>
            <w:shd w:val="solid" w:color="FFFFFF" w:fill="auto"/>
            <w:vAlign w:val="center"/>
          </w:tcPr>
          <w:p w14:paraId="6A90253E"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793" w:type="dxa"/>
            <w:tcBorders>
              <w:top w:val="nil"/>
              <w:left w:val="nil"/>
              <w:bottom w:val="nil"/>
              <w:right w:val="nil"/>
            </w:tcBorders>
            <w:shd w:val="solid" w:color="FFFFFF" w:fill="auto"/>
            <w:vAlign w:val="center"/>
          </w:tcPr>
          <w:p w14:paraId="36F1AE77"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36" w:type="dxa"/>
            <w:tcBorders>
              <w:top w:val="nil"/>
              <w:left w:val="nil"/>
              <w:bottom w:val="nil"/>
              <w:right w:val="nil"/>
            </w:tcBorders>
            <w:shd w:val="solid" w:color="FFFFFF" w:fill="auto"/>
            <w:vAlign w:val="center"/>
          </w:tcPr>
          <w:p w14:paraId="70BED721"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6" w:type="dxa"/>
            <w:tcBorders>
              <w:top w:val="nil"/>
              <w:left w:val="nil"/>
              <w:bottom w:val="nil"/>
              <w:right w:val="nil"/>
            </w:tcBorders>
            <w:shd w:val="solid" w:color="FFFFFF" w:fill="auto"/>
            <w:vAlign w:val="center"/>
          </w:tcPr>
          <w:p w14:paraId="64500D43"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r>
      <w:tr w:rsidR="00551574" w:rsidRPr="001441B9" w14:paraId="63DB8A90" w14:textId="77777777" w:rsidTr="00FF2210">
        <w:tc>
          <w:tcPr>
            <w:tcW w:w="3288" w:type="dxa"/>
            <w:tcBorders>
              <w:top w:val="nil"/>
              <w:left w:val="nil"/>
              <w:bottom w:val="nil"/>
              <w:right w:val="nil"/>
            </w:tcBorders>
            <w:shd w:val="solid" w:color="FFFFFF" w:fill="auto"/>
            <w:vAlign w:val="center"/>
          </w:tcPr>
          <w:p w14:paraId="6D417F3C" w14:textId="72F05AE3" w:rsidR="00551574" w:rsidRPr="00313E2B" w:rsidRDefault="00551574" w:rsidP="00551574">
            <w:pPr>
              <w:autoSpaceDE w:val="0"/>
              <w:autoSpaceDN w:val="0"/>
              <w:adjustRightInd w:val="0"/>
              <w:ind w:left="0" w:firstLine="0"/>
              <w:rPr>
                <w:rFonts w:asciiTheme="minorHAnsi" w:eastAsiaTheme="minorHAnsi" w:hAnsiTheme="minorHAnsi" w:cstheme="minorHAnsi"/>
                <w:noProof/>
                <w:color w:val="000000"/>
                <w:sz w:val="19"/>
                <w:szCs w:val="19"/>
                <w:lang w:val="es-ES"/>
              </w:rPr>
            </w:pPr>
            <w:r w:rsidRPr="00313E2B">
              <w:rPr>
                <w:rFonts w:asciiTheme="minorHAnsi" w:hAnsiTheme="minorHAnsi"/>
                <w:b/>
                <w:bCs/>
                <w:noProof/>
                <w:sz w:val="19"/>
                <w:szCs w:val="19"/>
                <w:lang w:val="es-ES"/>
              </w:rPr>
              <w:t xml:space="preserve">del ejercicio finalizado el 31 de diciembre </w:t>
            </w:r>
          </w:p>
        </w:tc>
        <w:tc>
          <w:tcPr>
            <w:tcW w:w="708" w:type="dxa"/>
            <w:tcBorders>
              <w:top w:val="nil"/>
              <w:left w:val="nil"/>
              <w:bottom w:val="nil"/>
              <w:right w:val="nil"/>
            </w:tcBorders>
            <w:shd w:val="solid" w:color="FFFFFF" w:fill="auto"/>
          </w:tcPr>
          <w:p w14:paraId="04BB15EA"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1" w:type="dxa"/>
            <w:tcBorders>
              <w:top w:val="nil"/>
              <w:left w:val="nil"/>
              <w:bottom w:val="nil"/>
              <w:right w:val="nil"/>
            </w:tcBorders>
            <w:shd w:val="solid" w:color="FFFFFF" w:fill="auto"/>
            <w:vAlign w:val="center"/>
          </w:tcPr>
          <w:p w14:paraId="184461E4"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84" w:type="dxa"/>
            <w:tcBorders>
              <w:top w:val="nil"/>
              <w:left w:val="nil"/>
              <w:bottom w:val="nil"/>
              <w:right w:val="nil"/>
            </w:tcBorders>
            <w:shd w:val="solid" w:color="FFFFFF" w:fill="auto"/>
            <w:vAlign w:val="center"/>
          </w:tcPr>
          <w:p w14:paraId="126C1DEE"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0" w:type="dxa"/>
            <w:tcBorders>
              <w:top w:val="nil"/>
              <w:left w:val="nil"/>
              <w:bottom w:val="nil"/>
              <w:right w:val="nil"/>
            </w:tcBorders>
            <w:shd w:val="solid" w:color="FFFFFF" w:fill="auto"/>
            <w:vAlign w:val="center"/>
          </w:tcPr>
          <w:p w14:paraId="58C4EC7B"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36" w:type="dxa"/>
            <w:tcBorders>
              <w:top w:val="nil"/>
              <w:left w:val="nil"/>
              <w:bottom w:val="nil"/>
              <w:right w:val="nil"/>
            </w:tcBorders>
            <w:shd w:val="solid" w:color="FFFFFF" w:fill="auto"/>
            <w:vAlign w:val="center"/>
          </w:tcPr>
          <w:p w14:paraId="15B10D4B"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95" w:type="dxa"/>
            <w:tcBorders>
              <w:top w:val="nil"/>
              <w:left w:val="nil"/>
              <w:bottom w:val="nil"/>
              <w:right w:val="nil"/>
            </w:tcBorders>
            <w:shd w:val="solid" w:color="FFFFFF" w:fill="auto"/>
            <w:vAlign w:val="center"/>
          </w:tcPr>
          <w:p w14:paraId="4457AB38"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36" w:type="dxa"/>
            <w:tcBorders>
              <w:top w:val="nil"/>
              <w:left w:val="nil"/>
              <w:bottom w:val="nil"/>
              <w:right w:val="nil"/>
            </w:tcBorders>
            <w:shd w:val="clear" w:color="auto" w:fill="F2F2F2" w:themeFill="background1" w:themeFillShade="F2"/>
            <w:vAlign w:val="center"/>
          </w:tcPr>
          <w:p w14:paraId="72506D4A"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901" w:type="dxa"/>
            <w:tcBorders>
              <w:top w:val="nil"/>
              <w:left w:val="nil"/>
              <w:bottom w:val="nil"/>
              <w:right w:val="nil"/>
            </w:tcBorders>
            <w:shd w:val="solid" w:color="FFFFFF" w:fill="auto"/>
            <w:vAlign w:val="center"/>
          </w:tcPr>
          <w:p w14:paraId="127DA9F2"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42" w:type="dxa"/>
            <w:tcBorders>
              <w:top w:val="nil"/>
              <w:left w:val="nil"/>
              <w:bottom w:val="nil"/>
              <w:right w:val="nil"/>
            </w:tcBorders>
            <w:shd w:val="solid" w:color="FFFFFF" w:fill="auto"/>
            <w:vAlign w:val="center"/>
          </w:tcPr>
          <w:p w14:paraId="79ED5857"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793" w:type="dxa"/>
            <w:tcBorders>
              <w:top w:val="nil"/>
              <w:left w:val="nil"/>
              <w:bottom w:val="nil"/>
              <w:right w:val="nil"/>
            </w:tcBorders>
            <w:shd w:val="solid" w:color="FFFFFF" w:fill="auto"/>
            <w:vAlign w:val="center"/>
          </w:tcPr>
          <w:p w14:paraId="216300FC"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36" w:type="dxa"/>
            <w:tcBorders>
              <w:top w:val="nil"/>
              <w:left w:val="nil"/>
              <w:bottom w:val="nil"/>
              <w:right w:val="nil"/>
            </w:tcBorders>
            <w:shd w:val="solid" w:color="FFFFFF" w:fill="auto"/>
            <w:vAlign w:val="center"/>
          </w:tcPr>
          <w:p w14:paraId="6E29954B"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6" w:type="dxa"/>
            <w:tcBorders>
              <w:top w:val="nil"/>
              <w:left w:val="nil"/>
              <w:bottom w:val="nil"/>
              <w:right w:val="nil"/>
            </w:tcBorders>
            <w:shd w:val="solid" w:color="FFFFFF" w:fill="auto"/>
            <w:vAlign w:val="center"/>
          </w:tcPr>
          <w:p w14:paraId="4C513E9A"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r>
      <w:tr w:rsidR="00161871" w:rsidRPr="00313E2B" w14:paraId="39B23189" w14:textId="77777777" w:rsidTr="00161871">
        <w:tc>
          <w:tcPr>
            <w:tcW w:w="3288" w:type="dxa"/>
            <w:tcBorders>
              <w:top w:val="nil"/>
              <w:left w:val="nil"/>
              <w:right w:val="nil"/>
            </w:tcBorders>
            <w:shd w:val="solid" w:color="FFFFFF" w:fill="auto"/>
          </w:tcPr>
          <w:p w14:paraId="785F9060" w14:textId="77777777" w:rsidR="00F244A3" w:rsidRPr="00313E2B" w:rsidRDefault="00F244A3" w:rsidP="00161871">
            <w:pPr>
              <w:autoSpaceDE w:val="0"/>
              <w:autoSpaceDN w:val="0"/>
              <w:adjustRightInd w:val="0"/>
              <w:ind w:left="0" w:firstLine="0"/>
              <w:rPr>
                <w:rFonts w:asciiTheme="minorHAnsi" w:eastAsiaTheme="minorHAnsi" w:hAnsiTheme="minorHAnsi" w:cstheme="minorHAnsi"/>
                <w:b/>
                <w:bCs/>
                <w:noProof/>
                <w:color w:val="000000"/>
                <w:sz w:val="19"/>
                <w:szCs w:val="19"/>
                <w:lang w:val="es-ES"/>
              </w:rPr>
            </w:pPr>
          </w:p>
        </w:tc>
        <w:tc>
          <w:tcPr>
            <w:tcW w:w="708" w:type="dxa"/>
            <w:tcBorders>
              <w:top w:val="nil"/>
              <w:left w:val="nil"/>
              <w:right w:val="nil"/>
            </w:tcBorders>
            <w:shd w:val="solid" w:color="FFFFFF" w:fill="auto"/>
          </w:tcPr>
          <w:p w14:paraId="05329975" w14:textId="77777777" w:rsidR="00F244A3" w:rsidRPr="00313E2B" w:rsidRDefault="00F244A3" w:rsidP="00F244A3">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3116" w:type="dxa"/>
            <w:gridSpan w:val="5"/>
            <w:tcBorders>
              <w:top w:val="nil"/>
              <w:left w:val="nil"/>
              <w:right w:val="nil"/>
            </w:tcBorders>
            <w:shd w:val="clear" w:color="auto" w:fill="B8CCE4" w:themeFill="accent1" w:themeFillTint="66"/>
            <w:vAlign w:val="center"/>
          </w:tcPr>
          <w:p w14:paraId="0135C43F" w14:textId="2ABD9693" w:rsidR="00F244A3" w:rsidRPr="00313E2B" w:rsidRDefault="00F244A3" w:rsidP="00F244A3">
            <w:pPr>
              <w:autoSpaceDE w:val="0"/>
              <w:autoSpaceDN w:val="0"/>
              <w:adjustRightInd w:val="0"/>
              <w:ind w:left="0" w:firstLine="0"/>
              <w:jc w:val="center"/>
              <w:rPr>
                <w:rFonts w:asciiTheme="minorHAnsi" w:eastAsiaTheme="minorHAnsi" w:hAnsiTheme="minorHAnsi" w:cstheme="minorHAnsi"/>
                <w:noProof/>
                <w:color w:val="000000"/>
                <w:sz w:val="19"/>
                <w:szCs w:val="19"/>
                <w:lang w:val="es-ES"/>
              </w:rPr>
            </w:pPr>
            <w:r w:rsidRPr="00313E2B">
              <w:rPr>
                <w:rFonts w:asciiTheme="minorHAnsi" w:eastAsiaTheme="minorHAnsi" w:hAnsiTheme="minorHAnsi" w:cstheme="minorHAnsi"/>
                <w:b/>
                <w:bCs/>
                <w:noProof/>
                <w:color w:val="000000"/>
                <w:sz w:val="19"/>
                <w:szCs w:val="19"/>
                <w:lang w:val="es-ES"/>
              </w:rPr>
              <w:t>202</w:t>
            </w:r>
            <w:r w:rsidR="007C6B16" w:rsidRPr="00313E2B">
              <w:rPr>
                <w:rFonts w:asciiTheme="minorHAnsi" w:eastAsiaTheme="minorHAnsi" w:hAnsiTheme="minorHAnsi" w:cstheme="minorHAnsi"/>
                <w:b/>
                <w:bCs/>
                <w:noProof/>
                <w:color w:val="000000"/>
                <w:sz w:val="19"/>
                <w:szCs w:val="19"/>
                <w:lang w:val="es-ES"/>
              </w:rPr>
              <w:t>1</w:t>
            </w:r>
          </w:p>
        </w:tc>
        <w:tc>
          <w:tcPr>
            <w:tcW w:w="236" w:type="dxa"/>
            <w:tcBorders>
              <w:top w:val="nil"/>
              <w:left w:val="nil"/>
              <w:right w:val="nil"/>
            </w:tcBorders>
            <w:shd w:val="clear" w:color="auto" w:fill="F2F2F2" w:themeFill="background1" w:themeFillShade="F2"/>
            <w:vAlign w:val="center"/>
          </w:tcPr>
          <w:p w14:paraId="06B654D8" w14:textId="77777777" w:rsidR="00F244A3" w:rsidRPr="00313E2B" w:rsidRDefault="00F244A3" w:rsidP="00F244A3">
            <w:pPr>
              <w:autoSpaceDE w:val="0"/>
              <w:autoSpaceDN w:val="0"/>
              <w:adjustRightInd w:val="0"/>
              <w:ind w:left="0" w:firstLine="0"/>
              <w:jc w:val="center"/>
              <w:rPr>
                <w:rFonts w:asciiTheme="minorHAnsi" w:eastAsiaTheme="minorHAnsi" w:hAnsiTheme="minorHAnsi" w:cstheme="minorHAnsi"/>
                <w:noProof/>
                <w:color w:val="000000"/>
                <w:sz w:val="19"/>
                <w:szCs w:val="19"/>
                <w:lang w:val="es-ES"/>
              </w:rPr>
            </w:pPr>
          </w:p>
        </w:tc>
        <w:tc>
          <w:tcPr>
            <w:tcW w:w="3028" w:type="dxa"/>
            <w:gridSpan w:val="5"/>
            <w:tcBorders>
              <w:top w:val="nil"/>
              <w:left w:val="nil"/>
              <w:right w:val="nil"/>
            </w:tcBorders>
            <w:shd w:val="clear" w:color="auto" w:fill="D6E3BC" w:themeFill="accent3" w:themeFillTint="66"/>
            <w:vAlign w:val="center"/>
          </w:tcPr>
          <w:p w14:paraId="1BE19F8A" w14:textId="464643E4" w:rsidR="00F244A3" w:rsidRPr="00313E2B" w:rsidRDefault="007C6B16" w:rsidP="00F244A3">
            <w:pPr>
              <w:autoSpaceDE w:val="0"/>
              <w:autoSpaceDN w:val="0"/>
              <w:adjustRightInd w:val="0"/>
              <w:ind w:left="0" w:firstLine="0"/>
              <w:jc w:val="center"/>
              <w:rPr>
                <w:rFonts w:asciiTheme="minorHAnsi" w:eastAsiaTheme="minorHAnsi" w:hAnsiTheme="minorHAnsi" w:cstheme="minorHAnsi"/>
                <w:noProof/>
                <w:color w:val="000000"/>
                <w:sz w:val="19"/>
                <w:szCs w:val="19"/>
                <w:lang w:val="es-ES"/>
              </w:rPr>
            </w:pPr>
            <w:r w:rsidRPr="00313E2B">
              <w:rPr>
                <w:rFonts w:asciiTheme="minorHAnsi" w:eastAsiaTheme="minorHAnsi" w:hAnsiTheme="minorHAnsi" w:cstheme="minorHAnsi"/>
                <w:b/>
                <w:bCs/>
                <w:noProof/>
                <w:color w:val="000000"/>
                <w:sz w:val="19"/>
                <w:szCs w:val="19"/>
                <w:lang w:val="es-ES"/>
              </w:rPr>
              <w:t>2020</w:t>
            </w:r>
          </w:p>
        </w:tc>
      </w:tr>
      <w:tr w:rsidR="00313E2B" w:rsidRPr="00313E2B" w14:paraId="57D72831" w14:textId="77777777" w:rsidTr="000A1685">
        <w:tc>
          <w:tcPr>
            <w:tcW w:w="3288" w:type="dxa"/>
            <w:tcBorders>
              <w:top w:val="nil"/>
              <w:left w:val="nil"/>
              <w:bottom w:val="single" w:sz="4" w:space="0" w:color="auto"/>
              <w:right w:val="nil"/>
            </w:tcBorders>
            <w:shd w:val="solid" w:color="FFFFFF" w:fill="auto"/>
          </w:tcPr>
          <w:p w14:paraId="0DE9D21D" w14:textId="349AAC43" w:rsidR="00313E2B" w:rsidRPr="00313E2B" w:rsidRDefault="00313E2B" w:rsidP="00551574">
            <w:pPr>
              <w:autoSpaceDE w:val="0"/>
              <w:autoSpaceDN w:val="0"/>
              <w:adjustRightInd w:val="0"/>
              <w:ind w:left="0" w:firstLine="0"/>
              <w:rPr>
                <w:rFonts w:asciiTheme="minorHAnsi" w:eastAsiaTheme="minorHAnsi" w:hAnsiTheme="minorHAnsi" w:cstheme="minorHAnsi"/>
                <w:i/>
                <w:iCs/>
                <w:noProof/>
                <w:color w:val="000000"/>
                <w:sz w:val="19"/>
                <w:szCs w:val="19"/>
                <w:lang w:val="es-ES"/>
              </w:rPr>
            </w:pPr>
            <w:r w:rsidRPr="00313E2B">
              <w:rPr>
                <w:rFonts w:asciiTheme="minorHAnsi" w:eastAsiaTheme="minorHAnsi" w:hAnsiTheme="minorHAnsi" w:cstheme="minorHAnsi"/>
                <w:i/>
                <w:iCs/>
                <w:noProof/>
                <w:color w:val="000000"/>
                <w:sz w:val="19"/>
                <w:szCs w:val="19"/>
                <w:lang w:val="es-ES"/>
              </w:rPr>
              <w:t>en miles de francos suizos</w:t>
            </w:r>
          </w:p>
          <w:p w14:paraId="0423200A" w14:textId="7FA59248" w:rsidR="00313E2B" w:rsidRPr="00313E2B" w:rsidRDefault="00313E2B" w:rsidP="00551574">
            <w:pPr>
              <w:autoSpaceDE w:val="0"/>
              <w:autoSpaceDN w:val="0"/>
              <w:adjustRightInd w:val="0"/>
              <w:ind w:left="0" w:firstLine="0"/>
              <w:rPr>
                <w:rFonts w:asciiTheme="minorHAnsi" w:eastAsiaTheme="minorHAnsi" w:hAnsiTheme="minorHAnsi" w:cstheme="minorHAnsi"/>
                <w:b/>
                <w:bCs/>
                <w:noProof/>
                <w:color w:val="000000"/>
                <w:sz w:val="19"/>
                <w:szCs w:val="19"/>
                <w:lang w:val="es-ES"/>
              </w:rPr>
            </w:pPr>
          </w:p>
        </w:tc>
        <w:tc>
          <w:tcPr>
            <w:tcW w:w="708" w:type="dxa"/>
            <w:tcBorders>
              <w:top w:val="nil"/>
              <w:left w:val="nil"/>
              <w:bottom w:val="single" w:sz="4" w:space="0" w:color="auto"/>
              <w:right w:val="nil"/>
            </w:tcBorders>
            <w:shd w:val="solid" w:color="FFFFFF" w:fill="auto"/>
            <w:vAlign w:val="center"/>
          </w:tcPr>
          <w:p w14:paraId="5290D189" w14:textId="77777777" w:rsidR="00313E2B" w:rsidRPr="00313E2B" w:rsidRDefault="00313E2B"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1" w:type="dxa"/>
            <w:tcBorders>
              <w:top w:val="nil"/>
              <w:left w:val="nil"/>
              <w:bottom w:val="single" w:sz="4" w:space="0" w:color="auto"/>
              <w:right w:val="nil"/>
            </w:tcBorders>
            <w:shd w:val="solid" w:color="FFFFFF" w:fill="auto"/>
            <w:vAlign w:val="center"/>
          </w:tcPr>
          <w:p w14:paraId="18C34D90" w14:textId="54F7EA22" w:rsidR="00313E2B" w:rsidRPr="00313E2B" w:rsidRDefault="00313E2B" w:rsidP="00551574">
            <w:pPr>
              <w:autoSpaceDE w:val="0"/>
              <w:autoSpaceDN w:val="0"/>
              <w:adjustRightInd w:val="0"/>
              <w:ind w:left="0" w:firstLine="0"/>
              <w:jc w:val="center"/>
              <w:rPr>
                <w:rFonts w:asciiTheme="minorHAnsi" w:eastAsiaTheme="minorHAnsi" w:hAnsiTheme="minorHAnsi" w:cstheme="minorHAnsi"/>
                <w:noProof/>
                <w:color w:val="000000"/>
                <w:sz w:val="19"/>
                <w:szCs w:val="19"/>
                <w:lang w:val="es-ES"/>
              </w:rPr>
            </w:pPr>
            <w:r w:rsidRPr="00313E2B">
              <w:rPr>
                <w:rFonts w:asciiTheme="minorHAnsi" w:eastAsiaTheme="minorHAnsi" w:hAnsiTheme="minorHAnsi" w:cstheme="minorHAnsi"/>
                <w:b/>
                <w:bCs/>
                <w:noProof/>
                <w:color w:val="000000"/>
                <w:sz w:val="19"/>
                <w:szCs w:val="19"/>
                <w:lang w:val="es-ES"/>
              </w:rPr>
              <w:t>Fondos básicos</w:t>
            </w:r>
          </w:p>
        </w:tc>
        <w:tc>
          <w:tcPr>
            <w:tcW w:w="1370" w:type="dxa"/>
            <w:gridSpan w:val="3"/>
            <w:tcBorders>
              <w:top w:val="nil"/>
              <w:left w:val="nil"/>
              <w:bottom w:val="single" w:sz="4" w:space="0" w:color="auto"/>
              <w:right w:val="nil"/>
            </w:tcBorders>
            <w:shd w:val="solid" w:color="FFFFFF" w:fill="auto"/>
            <w:vAlign w:val="center"/>
          </w:tcPr>
          <w:p w14:paraId="22C0A6E4" w14:textId="5A14C890" w:rsidR="00313E2B" w:rsidRPr="00313E2B" w:rsidRDefault="00313E2B" w:rsidP="00551574">
            <w:pPr>
              <w:autoSpaceDE w:val="0"/>
              <w:autoSpaceDN w:val="0"/>
              <w:adjustRightInd w:val="0"/>
              <w:ind w:left="0" w:firstLine="0"/>
              <w:jc w:val="center"/>
              <w:rPr>
                <w:rFonts w:asciiTheme="minorHAnsi" w:eastAsiaTheme="minorHAnsi" w:hAnsiTheme="minorHAnsi" w:cstheme="minorHAnsi"/>
                <w:noProof/>
                <w:color w:val="000000"/>
                <w:sz w:val="19"/>
                <w:szCs w:val="19"/>
                <w:lang w:val="es-ES"/>
              </w:rPr>
            </w:pPr>
            <w:r w:rsidRPr="00313E2B">
              <w:rPr>
                <w:rFonts w:asciiTheme="minorHAnsi" w:hAnsiTheme="minorHAnsi"/>
                <w:b/>
                <w:bCs/>
                <w:noProof/>
                <w:sz w:val="19"/>
                <w:szCs w:val="19"/>
                <w:lang w:val="es-ES"/>
              </w:rPr>
              <w:t>Proyectos no financiados con cargo al presupuesto básico</w:t>
            </w:r>
          </w:p>
        </w:tc>
        <w:tc>
          <w:tcPr>
            <w:tcW w:w="895" w:type="dxa"/>
            <w:tcBorders>
              <w:top w:val="nil"/>
              <w:left w:val="nil"/>
              <w:bottom w:val="single" w:sz="4" w:space="0" w:color="auto"/>
              <w:right w:val="nil"/>
            </w:tcBorders>
            <w:shd w:val="solid" w:color="FFFFFF" w:fill="auto"/>
            <w:vAlign w:val="center"/>
          </w:tcPr>
          <w:p w14:paraId="53CF41CF" w14:textId="77777777" w:rsidR="00313E2B" w:rsidRPr="00313E2B" w:rsidRDefault="00313E2B" w:rsidP="00551574">
            <w:pPr>
              <w:autoSpaceDE w:val="0"/>
              <w:autoSpaceDN w:val="0"/>
              <w:adjustRightInd w:val="0"/>
              <w:ind w:left="0" w:firstLine="0"/>
              <w:jc w:val="center"/>
              <w:rPr>
                <w:rFonts w:asciiTheme="minorHAnsi" w:eastAsiaTheme="minorHAnsi" w:hAnsiTheme="minorHAnsi" w:cstheme="minorHAnsi"/>
                <w:noProof/>
                <w:color w:val="000000"/>
                <w:sz w:val="19"/>
                <w:szCs w:val="19"/>
                <w:lang w:val="es-ES"/>
              </w:rPr>
            </w:pPr>
            <w:r w:rsidRPr="00313E2B">
              <w:rPr>
                <w:rFonts w:asciiTheme="minorHAnsi" w:eastAsiaTheme="minorHAnsi" w:hAnsiTheme="minorHAnsi" w:cstheme="minorHAnsi"/>
                <w:b/>
                <w:bCs/>
                <w:noProof/>
                <w:color w:val="000000"/>
                <w:sz w:val="19"/>
                <w:szCs w:val="19"/>
                <w:lang w:val="es-ES"/>
              </w:rPr>
              <w:t>Total</w:t>
            </w:r>
          </w:p>
        </w:tc>
        <w:tc>
          <w:tcPr>
            <w:tcW w:w="236" w:type="dxa"/>
            <w:tcBorders>
              <w:top w:val="nil"/>
              <w:left w:val="nil"/>
              <w:bottom w:val="single" w:sz="4" w:space="0" w:color="auto"/>
              <w:right w:val="nil"/>
            </w:tcBorders>
            <w:shd w:val="clear" w:color="auto" w:fill="F2F2F2" w:themeFill="background1" w:themeFillShade="F2"/>
            <w:vAlign w:val="center"/>
          </w:tcPr>
          <w:p w14:paraId="511C78E4" w14:textId="77777777" w:rsidR="00313E2B" w:rsidRPr="00313E2B" w:rsidRDefault="00313E2B" w:rsidP="00551574">
            <w:pPr>
              <w:autoSpaceDE w:val="0"/>
              <w:autoSpaceDN w:val="0"/>
              <w:adjustRightInd w:val="0"/>
              <w:ind w:left="0" w:firstLine="0"/>
              <w:jc w:val="center"/>
              <w:rPr>
                <w:rFonts w:asciiTheme="minorHAnsi" w:eastAsiaTheme="minorHAnsi" w:hAnsiTheme="minorHAnsi" w:cstheme="minorHAnsi"/>
                <w:noProof/>
                <w:color w:val="000000"/>
                <w:sz w:val="19"/>
                <w:szCs w:val="19"/>
                <w:lang w:val="es-ES"/>
              </w:rPr>
            </w:pPr>
          </w:p>
        </w:tc>
        <w:tc>
          <w:tcPr>
            <w:tcW w:w="901" w:type="dxa"/>
            <w:tcBorders>
              <w:top w:val="nil"/>
              <w:left w:val="nil"/>
              <w:bottom w:val="single" w:sz="4" w:space="0" w:color="auto"/>
              <w:right w:val="nil"/>
            </w:tcBorders>
            <w:shd w:val="solid" w:color="FFFFFF" w:fill="auto"/>
            <w:vAlign w:val="center"/>
          </w:tcPr>
          <w:p w14:paraId="4C56A2BC" w14:textId="21FE8A3F" w:rsidR="00313E2B" w:rsidRPr="00313E2B" w:rsidRDefault="00313E2B" w:rsidP="00551574">
            <w:pPr>
              <w:autoSpaceDE w:val="0"/>
              <w:autoSpaceDN w:val="0"/>
              <w:adjustRightInd w:val="0"/>
              <w:ind w:left="0" w:firstLine="0"/>
              <w:jc w:val="center"/>
              <w:rPr>
                <w:rFonts w:asciiTheme="minorHAnsi" w:eastAsiaTheme="minorHAnsi" w:hAnsiTheme="minorHAnsi" w:cstheme="minorHAnsi"/>
                <w:noProof/>
                <w:color w:val="000000"/>
                <w:sz w:val="19"/>
                <w:szCs w:val="19"/>
                <w:lang w:val="es-ES"/>
              </w:rPr>
            </w:pPr>
            <w:r w:rsidRPr="00313E2B">
              <w:rPr>
                <w:rFonts w:asciiTheme="minorHAnsi" w:eastAsiaTheme="minorHAnsi" w:hAnsiTheme="minorHAnsi" w:cstheme="minorHAnsi"/>
                <w:b/>
                <w:bCs/>
                <w:noProof/>
                <w:color w:val="000000"/>
                <w:sz w:val="19"/>
                <w:szCs w:val="19"/>
                <w:lang w:val="es-ES"/>
              </w:rPr>
              <w:t>Fondos básicos</w:t>
            </w:r>
          </w:p>
        </w:tc>
        <w:tc>
          <w:tcPr>
            <w:tcW w:w="1271" w:type="dxa"/>
            <w:gridSpan w:val="3"/>
            <w:tcBorders>
              <w:top w:val="nil"/>
              <w:left w:val="nil"/>
              <w:bottom w:val="single" w:sz="4" w:space="0" w:color="auto"/>
              <w:right w:val="nil"/>
            </w:tcBorders>
            <w:shd w:val="solid" w:color="FFFFFF" w:fill="auto"/>
            <w:vAlign w:val="center"/>
          </w:tcPr>
          <w:p w14:paraId="565C4F47" w14:textId="20EE2877" w:rsidR="00313E2B" w:rsidRPr="00313E2B" w:rsidRDefault="00313E2B" w:rsidP="00551574">
            <w:pPr>
              <w:autoSpaceDE w:val="0"/>
              <w:autoSpaceDN w:val="0"/>
              <w:adjustRightInd w:val="0"/>
              <w:ind w:left="0" w:firstLine="0"/>
              <w:jc w:val="center"/>
              <w:rPr>
                <w:rFonts w:asciiTheme="minorHAnsi" w:eastAsiaTheme="minorHAnsi" w:hAnsiTheme="minorHAnsi" w:cstheme="minorHAnsi"/>
                <w:noProof/>
                <w:color w:val="000000"/>
                <w:sz w:val="19"/>
                <w:szCs w:val="19"/>
                <w:lang w:val="es-ES"/>
              </w:rPr>
            </w:pPr>
            <w:r w:rsidRPr="00313E2B">
              <w:rPr>
                <w:rFonts w:asciiTheme="minorHAnsi" w:hAnsiTheme="minorHAnsi"/>
                <w:b/>
                <w:bCs/>
                <w:noProof/>
                <w:sz w:val="19"/>
                <w:szCs w:val="19"/>
                <w:lang w:val="es-ES"/>
              </w:rPr>
              <w:t>Proyectos no financiados con cargo al presupuesto básico</w:t>
            </w:r>
          </w:p>
        </w:tc>
        <w:tc>
          <w:tcPr>
            <w:tcW w:w="856" w:type="dxa"/>
            <w:tcBorders>
              <w:top w:val="nil"/>
              <w:left w:val="nil"/>
              <w:bottom w:val="single" w:sz="4" w:space="0" w:color="auto"/>
              <w:right w:val="nil"/>
            </w:tcBorders>
            <w:shd w:val="solid" w:color="FFFFFF" w:fill="auto"/>
            <w:vAlign w:val="center"/>
          </w:tcPr>
          <w:p w14:paraId="2E5A435E" w14:textId="77777777" w:rsidR="00313E2B" w:rsidRPr="00313E2B" w:rsidRDefault="00313E2B" w:rsidP="00551574">
            <w:pPr>
              <w:autoSpaceDE w:val="0"/>
              <w:autoSpaceDN w:val="0"/>
              <w:adjustRightInd w:val="0"/>
              <w:ind w:left="0" w:firstLine="0"/>
              <w:jc w:val="center"/>
              <w:rPr>
                <w:rFonts w:asciiTheme="minorHAnsi" w:eastAsiaTheme="minorHAnsi" w:hAnsiTheme="minorHAnsi" w:cstheme="minorHAnsi"/>
                <w:noProof/>
                <w:color w:val="000000"/>
                <w:sz w:val="19"/>
                <w:szCs w:val="19"/>
                <w:lang w:val="es-ES"/>
              </w:rPr>
            </w:pPr>
            <w:r w:rsidRPr="00313E2B">
              <w:rPr>
                <w:rFonts w:asciiTheme="minorHAnsi" w:eastAsiaTheme="minorHAnsi" w:hAnsiTheme="minorHAnsi" w:cstheme="minorHAnsi"/>
                <w:b/>
                <w:bCs/>
                <w:noProof/>
                <w:color w:val="000000"/>
                <w:sz w:val="19"/>
                <w:szCs w:val="19"/>
                <w:lang w:val="es-ES"/>
              </w:rPr>
              <w:t>Total</w:t>
            </w:r>
          </w:p>
        </w:tc>
      </w:tr>
      <w:tr w:rsidR="00551574" w:rsidRPr="00313E2B" w14:paraId="4755800C" w14:textId="77777777" w:rsidTr="00161871">
        <w:tc>
          <w:tcPr>
            <w:tcW w:w="3288" w:type="dxa"/>
            <w:tcBorders>
              <w:top w:val="single" w:sz="4" w:space="0" w:color="auto"/>
              <w:left w:val="nil"/>
              <w:bottom w:val="nil"/>
              <w:right w:val="nil"/>
            </w:tcBorders>
            <w:shd w:val="solid" w:color="FFFFFF" w:fill="auto"/>
          </w:tcPr>
          <w:p w14:paraId="742DBEBB" w14:textId="77777777" w:rsidR="00551574" w:rsidRPr="00313E2B" w:rsidRDefault="00551574" w:rsidP="00551574">
            <w:pPr>
              <w:autoSpaceDE w:val="0"/>
              <w:autoSpaceDN w:val="0"/>
              <w:adjustRightInd w:val="0"/>
              <w:ind w:left="0" w:firstLine="0"/>
              <w:rPr>
                <w:rFonts w:asciiTheme="minorHAnsi" w:eastAsiaTheme="minorHAnsi" w:hAnsiTheme="minorHAnsi" w:cstheme="minorHAnsi"/>
                <w:noProof/>
                <w:color w:val="000000"/>
                <w:sz w:val="19"/>
                <w:szCs w:val="19"/>
                <w:lang w:val="es-ES"/>
              </w:rPr>
            </w:pPr>
          </w:p>
        </w:tc>
        <w:tc>
          <w:tcPr>
            <w:tcW w:w="708" w:type="dxa"/>
            <w:tcBorders>
              <w:top w:val="single" w:sz="4" w:space="0" w:color="auto"/>
              <w:left w:val="nil"/>
              <w:bottom w:val="nil"/>
              <w:right w:val="nil"/>
            </w:tcBorders>
            <w:shd w:val="solid" w:color="FFFFFF" w:fill="auto"/>
          </w:tcPr>
          <w:p w14:paraId="19FB1175"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1" w:type="dxa"/>
            <w:tcBorders>
              <w:top w:val="single" w:sz="4" w:space="0" w:color="auto"/>
              <w:left w:val="nil"/>
              <w:bottom w:val="nil"/>
              <w:right w:val="nil"/>
            </w:tcBorders>
            <w:shd w:val="solid" w:color="FFFFFF" w:fill="auto"/>
          </w:tcPr>
          <w:p w14:paraId="4FD9835B"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84" w:type="dxa"/>
            <w:tcBorders>
              <w:top w:val="single" w:sz="4" w:space="0" w:color="auto"/>
              <w:left w:val="nil"/>
              <w:bottom w:val="nil"/>
              <w:right w:val="nil"/>
            </w:tcBorders>
            <w:shd w:val="solid" w:color="FFFFFF" w:fill="auto"/>
          </w:tcPr>
          <w:p w14:paraId="66910955"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0" w:type="dxa"/>
            <w:tcBorders>
              <w:top w:val="single" w:sz="4" w:space="0" w:color="auto"/>
              <w:left w:val="nil"/>
              <w:bottom w:val="nil"/>
              <w:right w:val="nil"/>
            </w:tcBorders>
            <w:shd w:val="solid" w:color="FFFFFF" w:fill="auto"/>
          </w:tcPr>
          <w:p w14:paraId="651FE276"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36" w:type="dxa"/>
            <w:tcBorders>
              <w:top w:val="single" w:sz="4" w:space="0" w:color="auto"/>
              <w:left w:val="nil"/>
              <w:bottom w:val="nil"/>
              <w:right w:val="nil"/>
            </w:tcBorders>
            <w:shd w:val="solid" w:color="FFFFFF" w:fill="auto"/>
          </w:tcPr>
          <w:p w14:paraId="133FA7E1"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95" w:type="dxa"/>
            <w:tcBorders>
              <w:top w:val="single" w:sz="4" w:space="0" w:color="auto"/>
              <w:left w:val="nil"/>
              <w:bottom w:val="nil"/>
              <w:right w:val="nil"/>
            </w:tcBorders>
            <w:shd w:val="solid" w:color="FFFFFF" w:fill="auto"/>
          </w:tcPr>
          <w:p w14:paraId="0C182281"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36" w:type="dxa"/>
            <w:tcBorders>
              <w:top w:val="single" w:sz="4" w:space="0" w:color="auto"/>
              <w:left w:val="nil"/>
              <w:bottom w:val="nil"/>
              <w:right w:val="nil"/>
            </w:tcBorders>
            <w:shd w:val="clear" w:color="auto" w:fill="F2F2F2" w:themeFill="background1" w:themeFillShade="F2"/>
          </w:tcPr>
          <w:p w14:paraId="14F07872"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901" w:type="dxa"/>
            <w:tcBorders>
              <w:top w:val="single" w:sz="4" w:space="0" w:color="auto"/>
              <w:left w:val="nil"/>
              <w:bottom w:val="nil"/>
              <w:right w:val="nil"/>
            </w:tcBorders>
            <w:shd w:val="solid" w:color="FFFFFF" w:fill="auto"/>
          </w:tcPr>
          <w:p w14:paraId="68496F20"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42" w:type="dxa"/>
            <w:tcBorders>
              <w:top w:val="single" w:sz="4" w:space="0" w:color="auto"/>
              <w:left w:val="nil"/>
              <w:bottom w:val="nil"/>
              <w:right w:val="nil"/>
            </w:tcBorders>
            <w:shd w:val="solid" w:color="FFFFFF" w:fill="auto"/>
          </w:tcPr>
          <w:p w14:paraId="643903ED"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793" w:type="dxa"/>
            <w:tcBorders>
              <w:top w:val="single" w:sz="4" w:space="0" w:color="auto"/>
              <w:left w:val="nil"/>
              <w:bottom w:val="nil"/>
              <w:right w:val="nil"/>
            </w:tcBorders>
            <w:shd w:val="solid" w:color="FFFFFF" w:fill="auto"/>
          </w:tcPr>
          <w:p w14:paraId="7A588B1D"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236" w:type="dxa"/>
            <w:tcBorders>
              <w:top w:val="single" w:sz="4" w:space="0" w:color="auto"/>
              <w:left w:val="nil"/>
              <w:bottom w:val="nil"/>
              <w:right w:val="nil"/>
            </w:tcBorders>
            <w:shd w:val="solid" w:color="FFFFFF" w:fill="auto"/>
          </w:tcPr>
          <w:p w14:paraId="31DDC695"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6" w:type="dxa"/>
            <w:tcBorders>
              <w:top w:val="single" w:sz="4" w:space="0" w:color="auto"/>
              <w:left w:val="nil"/>
              <w:bottom w:val="nil"/>
              <w:right w:val="nil"/>
            </w:tcBorders>
            <w:shd w:val="solid" w:color="FFFFFF" w:fill="auto"/>
          </w:tcPr>
          <w:p w14:paraId="2417FD19"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r>
      <w:tr w:rsidR="00551574" w:rsidRPr="00313E2B" w14:paraId="2179C2CC" w14:textId="77777777" w:rsidTr="00161871">
        <w:tc>
          <w:tcPr>
            <w:tcW w:w="3288" w:type="dxa"/>
            <w:tcBorders>
              <w:top w:val="nil"/>
              <w:left w:val="nil"/>
              <w:bottom w:val="nil"/>
              <w:right w:val="nil"/>
            </w:tcBorders>
            <w:shd w:val="solid" w:color="FFFFFF" w:fill="auto"/>
          </w:tcPr>
          <w:p w14:paraId="361E2FA4" w14:textId="3E043A92" w:rsidR="00551574" w:rsidRPr="00313E2B" w:rsidRDefault="00551574" w:rsidP="00551574">
            <w:pPr>
              <w:autoSpaceDE w:val="0"/>
              <w:autoSpaceDN w:val="0"/>
              <w:adjustRightInd w:val="0"/>
              <w:ind w:left="0" w:firstLine="0"/>
              <w:rPr>
                <w:rFonts w:asciiTheme="minorHAnsi" w:eastAsiaTheme="minorHAnsi" w:hAnsiTheme="minorHAnsi" w:cstheme="minorHAnsi"/>
                <w:noProof/>
                <w:color w:val="000000"/>
                <w:sz w:val="19"/>
                <w:szCs w:val="19"/>
                <w:lang w:val="es-ES"/>
              </w:rPr>
            </w:pPr>
            <w:r w:rsidRPr="00313E2B">
              <w:rPr>
                <w:rFonts w:asciiTheme="minorHAnsi" w:hAnsiTheme="minorHAnsi"/>
                <w:noProof/>
                <w:sz w:val="19"/>
                <w:szCs w:val="19"/>
                <w:lang w:val="es-ES"/>
              </w:rPr>
              <w:t>Saldo del fondo al inicio del ejercicio</w:t>
            </w:r>
          </w:p>
        </w:tc>
        <w:tc>
          <w:tcPr>
            <w:tcW w:w="708" w:type="dxa"/>
            <w:tcBorders>
              <w:top w:val="nil"/>
              <w:left w:val="nil"/>
              <w:bottom w:val="nil"/>
              <w:right w:val="nil"/>
            </w:tcBorders>
            <w:shd w:val="solid" w:color="FFFFFF" w:fill="auto"/>
          </w:tcPr>
          <w:p w14:paraId="3F1673E8"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1" w:type="dxa"/>
            <w:tcBorders>
              <w:top w:val="nil"/>
              <w:left w:val="nil"/>
              <w:bottom w:val="nil"/>
              <w:right w:val="nil"/>
            </w:tcBorders>
            <w:shd w:val="solid" w:color="FFFFFF" w:fill="auto"/>
          </w:tcPr>
          <w:p w14:paraId="5B695024" w14:textId="05372F93"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3</w:t>
            </w:r>
            <w:r w:rsidR="00B71CAF" w:rsidRPr="00313E2B">
              <w:rPr>
                <w:noProof/>
                <w:sz w:val="19"/>
                <w:szCs w:val="19"/>
                <w:lang w:val="es-ES"/>
              </w:rPr>
              <w:t xml:space="preserve"> </w:t>
            </w:r>
            <w:r w:rsidRPr="00313E2B">
              <w:rPr>
                <w:noProof/>
                <w:sz w:val="19"/>
                <w:szCs w:val="19"/>
                <w:lang w:val="es-ES"/>
              </w:rPr>
              <w:t xml:space="preserve">318 </w:t>
            </w:r>
          </w:p>
        </w:tc>
        <w:tc>
          <w:tcPr>
            <w:tcW w:w="284" w:type="dxa"/>
            <w:tcBorders>
              <w:top w:val="nil"/>
              <w:left w:val="nil"/>
              <w:bottom w:val="nil"/>
              <w:right w:val="nil"/>
            </w:tcBorders>
            <w:shd w:val="solid" w:color="FFFFFF" w:fill="auto"/>
          </w:tcPr>
          <w:p w14:paraId="72344C24"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0" w:type="dxa"/>
            <w:tcBorders>
              <w:top w:val="nil"/>
              <w:left w:val="nil"/>
              <w:bottom w:val="nil"/>
              <w:right w:val="nil"/>
            </w:tcBorders>
            <w:shd w:val="solid" w:color="FFFFFF" w:fill="auto"/>
          </w:tcPr>
          <w:p w14:paraId="5B5A03D4" w14:textId="48BDE636"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1</w:t>
            </w:r>
            <w:r w:rsidR="00B71CAF" w:rsidRPr="00313E2B">
              <w:rPr>
                <w:noProof/>
                <w:sz w:val="19"/>
                <w:szCs w:val="19"/>
                <w:lang w:val="es-ES"/>
              </w:rPr>
              <w:t xml:space="preserve"> </w:t>
            </w:r>
            <w:r w:rsidRPr="00313E2B">
              <w:rPr>
                <w:noProof/>
                <w:sz w:val="19"/>
                <w:szCs w:val="19"/>
                <w:lang w:val="es-ES"/>
              </w:rPr>
              <w:t xml:space="preserve">877 </w:t>
            </w:r>
          </w:p>
        </w:tc>
        <w:tc>
          <w:tcPr>
            <w:tcW w:w="236" w:type="dxa"/>
            <w:tcBorders>
              <w:top w:val="nil"/>
              <w:left w:val="nil"/>
              <w:bottom w:val="nil"/>
              <w:right w:val="nil"/>
            </w:tcBorders>
            <w:shd w:val="solid" w:color="FFFFFF" w:fill="auto"/>
          </w:tcPr>
          <w:p w14:paraId="2751B482"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95" w:type="dxa"/>
            <w:tcBorders>
              <w:top w:val="nil"/>
              <w:left w:val="nil"/>
              <w:bottom w:val="nil"/>
              <w:right w:val="nil"/>
            </w:tcBorders>
            <w:shd w:val="solid" w:color="FFFFFF" w:fill="auto"/>
          </w:tcPr>
          <w:p w14:paraId="0486A690" w14:textId="55F921B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5</w:t>
            </w:r>
            <w:r w:rsidR="00B71CAF" w:rsidRPr="00313E2B">
              <w:rPr>
                <w:noProof/>
                <w:sz w:val="19"/>
                <w:szCs w:val="19"/>
                <w:lang w:val="es-ES"/>
              </w:rPr>
              <w:t xml:space="preserve"> </w:t>
            </w:r>
            <w:r w:rsidRPr="00313E2B">
              <w:rPr>
                <w:noProof/>
                <w:sz w:val="19"/>
                <w:szCs w:val="19"/>
                <w:lang w:val="es-ES"/>
              </w:rPr>
              <w:t xml:space="preserve">195 </w:t>
            </w:r>
          </w:p>
        </w:tc>
        <w:tc>
          <w:tcPr>
            <w:tcW w:w="236" w:type="dxa"/>
            <w:tcBorders>
              <w:top w:val="nil"/>
              <w:left w:val="nil"/>
              <w:bottom w:val="nil"/>
              <w:right w:val="nil"/>
            </w:tcBorders>
            <w:shd w:val="clear" w:color="auto" w:fill="F2F2F2" w:themeFill="background1" w:themeFillShade="F2"/>
          </w:tcPr>
          <w:p w14:paraId="3CB092CB"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901" w:type="dxa"/>
            <w:tcBorders>
              <w:top w:val="nil"/>
              <w:left w:val="nil"/>
              <w:bottom w:val="nil"/>
              <w:right w:val="nil"/>
            </w:tcBorders>
            <w:shd w:val="solid" w:color="FFFFFF" w:fill="auto"/>
          </w:tcPr>
          <w:p w14:paraId="5CFC3D3A" w14:textId="463DCD9F"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2</w:t>
            </w:r>
            <w:r w:rsidR="00B71CAF" w:rsidRPr="00313E2B">
              <w:rPr>
                <w:noProof/>
                <w:sz w:val="19"/>
                <w:szCs w:val="19"/>
                <w:lang w:val="es-ES"/>
              </w:rPr>
              <w:t xml:space="preserve"> </w:t>
            </w:r>
            <w:r w:rsidRPr="00313E2B">
              <w:rPr>
                <w:noProof/>
                <w:sz w:val="19"/>
                <w:szCs w:val="19"/>
                <w:lang w:val="es-ES"/>
              </w:rPr>
              <w:t xml:space="preserve">648 </w:t>
            </w:r>
          </w:p>
        </w:tc>
        <w:tc>
          <w:tcPr>
            <w:tcW w:w="242" w:type="dxa"/>
            <w:tcBorders>
              <w:top w:val="nil"/>
              <w:left w:val="nil"/>
              <w:bottom w:val="nil"/>
              <w:right w:val="nil"/>
            </w:tcBorders>
            <w:shd w:val="solid" w:color="FFFFFF" w:fill="auto"/>
          </w:tcPr>
          <w:p w14:paraId="53C5BED9"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793" w:type="dxa"/>
            <w:tcBorders>
              <w:top w:val="nil"/>
              <w:left w:val="nil"/>
              <w:bottom w:val="nil"/>
              <w:right w:val="nil"/>
            </w:tcBorders>
            <w:shd w:val="solid" w:color="FFFFFF" w:fill="auto"/>
          </w:tcPr>
          <w:p w14:paraId="6437706F" w14:textId="156D32BB"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2</w:t>
            </w:r>
            <w:r w:rsidR="00B71CAF" w:rsidRPr="00313E2B">
              <w:rPr>
                <w:noProof/>
                <w:sz w:val="19"/>
                <w:szCs w:val="19"/>
                <w:lang w:val="es-ES"/>
              </w:rPr>
              <w:t xml:space="preserve"> </w:t>
            </w:r>
            <w:r w:rsidRPr="00313E2B">
              <w:rPr>
                <w:noProof/>
                <w:sz w:val="19"/>
                <w:szCs w:val="19"/>
                <w:lang w:val="es-ES"/>
              </w:rPr>
              <w:t xml:space="preserve">073 </w:t>
            </w:r>
          </w:p>
        </w:tc>
        <w:tc>
          <w:tcPr>
            <w:tcW w:w="236" w:type="dxa"/>
            <w:tcBorders>
              <w:top w:val="nil"/>
              <w:left w:val="nil"/>
              <w:bottom w:val="nil"/>
              <w:right w:val="nil"/>
            </w:tcBorders>
            <w:shd w:val="solid" w:color="FFFFFF" w:fill="auto"/>
          </w:tcPr>
          <w:p w14:paraId="3DE137DA"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6" w:type="dxa"/>
            <w:tcBorders>
              <w:top w:val="nil"/>
              <w:left w:val="nil"/>
              <w:bottom w:val="nil"/>
              <w:right w:val="nil"/>
            </w:tcBorders>
            <w:shd w:val="solid" w:color="FFFFFF" w:fill="auto"/>
          </w:tcPr>
          <w:p w14:paraId="042884C2" w14:textId="12DDDB96"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4</w:t>
            </w:r>
            <w:r w:rsidR="00B71CAF" w:rsidRPr="00313E2B">
              <w:rPr>
                <w:noProof/>
                <w:sz w:val="19"/>
                <w:szCs w:val="19"/>
                <w:lang w:val="es-ES"/>
              </w:rPr>
              <w:t xml:space="preserve"> </w:t>
            </w:r>
            <w:r w:rsidRPr="00313E2B">
              <w:rPr>
                <w:noProof/>
                <w:sz w:val="19"/>
                <w:szCs w:val="19"/>
                <w:lang w:val="es-ES"/>
              </w:rPr>
              <w:t xml:space="preserve">721 </w:t>
            </w:r>
          </w:p>
        </w:tc>
      </w:tr>
      <w:tr w:rsidR="00551574" w:rsidRPr="00313E2B" w14:paraId="26A9EFD7" w14:textId="77777777" w:rsidTr="00161871">
        <w:tc>
          <w:tcPr>
            <w:tcW w:w="3288" w:type="dxa"/>
            <w:tcBorders>
              <w:top w:val="nil"/>
              <w:left w:val="nil"/>
              <w:bottom w:val="nil"/>
              <w:right w:val="nil"/>
            </w:tcBorders>
            <w:shd w:val="solid" w:color="FFFFFF" w:fill="auto"/>
          </w:tcPr>
          <w:p w14:paraId="5231808D" w14:textId="4B550DC8" w:rsidR="00551574" w:rsidRPr="00313E2B" w:rsidRDefault="00551574" w:rsidP="00551574">
            <w:pPr>
              <w:autoSpaceDE w:val="0"/>
              <w:autoSpaceDN w:val="0"/>
              <w:adjustRightInd w:val="0"/>
              <w:ind w:left="0" w:firstLine="0"/>
              <w:rPr>
                <w:rFonts w:asciiTheme="minorHAnsi" w:eastAsiaTheme="minorHAnsi" w:hAnsiTheme="minorHAnsi" w:cstheme="minorHAnsi"/>
                <w:noProof/>
                <w:color w:val="000000"/>
                <w:sz w:val="19"/>
                <w:szCs w:val="19"/>
                <w:lang w:val="es-ES"/>
              </w:rPr>
            </w:pPr>
            <w:r w:rsidRPr="00313E2B">
              <w:rPr>
                <w:rFonts w:asciiTheme="minorHAnsi" w:hAnsiTheme="minorHAnsi"/>
                <w:noProof/>
                <w:sz w:val="19"/>
                <w:szCs w:val="19"/>
                <w:lang w:val="es-ES"/>
              </w:rPr>
              <w:t>Ingresos/(gastos) netos del ejercicio</w:t>
            </w:r>
            <w:r w:rsidRPr="00313E2B">
              <w:rPr>
                <w:rFonts w:asciiTheme="minorHAnsi" w:eastAsiaTheme="minorHAnsi" w:hAnsiTheme="minorHAnsi" w:cstheme="minorHAnsi"/>
                <w:noProof/>
                <w:color w:val="000000"/>
                <w:sz w:val="19"/>
                <w:szCs w:val="19"/>
                <w:lang w:val="es-ES"/>
              </w:rPr>
              <w:t xml:space="preserve"> </w:t>
            </w:r>
          </w:p>
        </w:tc>
        <w:tc>
          <w:tcPr>
            <w:tcW w:w="708" w:type="dxa"/>
            <w:tcBorders>
              <w:top w:val="nil"/>
              <w:left w:val="nil"/>
              <w:bottom w:val="nil"/>
              <w:right w:val="nil"/>
            </w:tcBorders>
            <w:shd w:val="solid" w:color="FFFFFF" w:fill="auto"/>
          </w:tcPr>
          <w:p w14:paraId="501D754B" w14:textId="77777777" w:rsidR="00551574" w:rsidRPr="00313E2B" w:rsidRDefault="00551574" w:rsidP="00551574">
            <w:pPr>
              <w:autoSpaceDE w:val="0"/>
              <w:autoSpaceDN w:val="0"/>
              <w:adjustRightInd w:val="0"/>
              <w:ind w:left="0" w:firstLine="0"/>
              <w:jc w:val="center"/>
              <w:rPr>
                <w:rFonts w:asciiTheme="minorHAnsi" w:eastAsiaTheme="minorHAnsi" w:hAnsiTheme="minorHAnsi" w:cstheme="minorHAnsi"/>
                <w:noProof/>
                <w:color w:val="000000"/>
                <w:sz w:val="19"/>
                <w:szCs w:val="19"/>
                <w:lang w:val="es-ES"/>
              </w:rPr>
            </w:pPr>
            <w:r w:rsidRPr="00313E2B">
              <w:rPr>
                <w:rFonts w:asciiTheme="minorHAnsi" w:eastAsiaTheme="minorHAnsi" w:hAnsiTheme="minorHAnsi" w:cstheme="minorHAnsi"/>
                <w:noProof/>
                <w:color w:val="000000"/>
                <w:sz w:val="19"/>
                <w:szCs w:val="19"/>
                <w:lang w:val="es-ES"/>
              </w:rPr>
              <w:t>11</w:t>
            </w:r>
          </w:p>
        </w:tc>
        <w:tc>
          <w:tcPr>
            <w:tcW w:w="851" w:type="dxa"/>
            <w:tcBorders>
              <w:top w:val="nil"/>
              <w:left w:val="nil"/>
              <w:bottom w:val="nil"/>
              <w:right w:val="nil"/>
            </w:tcBorders>
            <w:shd w:val="solid" w:color="FFFFFF" w:fill="auto"/>
          </w:tcPr>
          <w:p w14:paraId="15299072" w14:textId="1B318EFF"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420 </w:t>
            </w:r>
          </w:p>
        </w:tc>
        <w:tc>
          <w:tcPr>
            <w:tcW w:w="284" w:type="dxa"/>
            <w:tcBorders>
              <w:top w:val="nil"/>
              <w:left w:val="nil"/>
              <w:bottom w:val="nil"/>
              <w:right w:val="nil"/>
            </w:tcBorders>
            <w:shd w:val="solid" w:color="FFFFFF" w:fill="auto"/>
          </w:tcPr>
          <w:p w14:paraId="769722DA"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0" w:type="dxa"/>
            <w:tcBorders>
              <w:top w:val="nil"/>
              <w:left w:val="nil"/>
              <w:bottom w:val="nil"/>
              <w:right w:val="nil"/>
            </w:tcBorders>
            <w:shd w:val="solid" w:color="FFFFFF" w:fill="auto"/>
          </w:tcPr>
          <w:p w14:paraId="1F21034D" w14:textId="57478475"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114 </w:t>
            </w:r>
          </w:p>
        </w:tc>
        <w:tc>
          <w:tcPr>
            <w:tcW w:w="236" w:type="dxa"/>
            <w:tcBorders>
              <w:top w:val="nil"/>
              <w:left w:val="nil"/>
              <w:bottom w:val="nil"/>
              <w:right w:val="nil"/>
            </w:tcBorders>
            <w:shd w:val="solid" w:color="FFFFFF" w:fill="auto"/>
          </w:tcPr>
          <w:p w14:paraId="50886F6C"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95" w:type="dxa"/>
            <w:tcBorders>
              <w:top w:val="nil"/>
              <w:left w:val="nil"/>
              <w:bottom w:val="nil"/>
              <w:right w:val="nil"/>
            </w:tcBorders>
          </w:tcPr>
          <w:p w14:paraId="1D2762E5" w14:textId="6DB162B4"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534 </w:t>
            </w:r>
          </w:p>
        </w:tc>
        <w:tc>
          <w:tcPr>
            <w:tcW w:w="236" w:type="dxa"/>
            <w:tcBorders>
              <w:top w:val="nil"/>
              <w:left w:val="nil"/>
              <w:bottom w:val="nil"/>
              <w:right w:val="nil"/>
            </w:tcBorders>
            <w:shd w:val="clear" w:color="auto" w:fill="F2F2F2" w:themeFill="background1" w:themeFillShade="F2"/>
          </w:tcPr>
          <w:p w14:paraId="0B09AACF"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901" w:type="dxa"/>
            <w:tcBorders>
              <w:top w:val="nil"/>
              <w:left w:val="nil"/>
              <w:bottom w:val="nil"/>
              <w:right w:val="nil"/>
            </w:tcBorders>
            <w:shd w:val="solid" w:color="FFFFFF" w:fill="auto"/>
          </w:tcPr>
          <w:p w14:paraId="0CEA82D8" w14:textId="49248A4D"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670 </w:t>
            </w:r>
          </w:p>
        </w:tc>
        <w:tc>
          <w:tcPr>
            <w:tcW w:w="242" w:type="dxa"/>
            <w:tcBorders>
              <w:top w:val="nil"/>
              <w:left w:val="nil"/>
              <w:bottom w:val="nil"/>
              <w:right w:val="nil"/>
            </w:tcBorders>
            <w:shd w:val="solid" w:color="FFFFFF" w:fill="auto"/>
          </w:tcPr>
          <w:p w14:paraId="1BAA626D"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793" w:type="dxa"/>
            <w:tcBorders>
              <w:top w:val="nil"/>
              <w:left w:val="nil"/>
              <w:bottom w:val="nil"/>
              <w:right w:val="nil"/>
            </w:tcBorders>
            <w:shd w:val="solid" w:color="FFFFFF" w:fill="auto"/>
          </w:tcPr>
          <w:p w14:paraId="728EADC9" w14:textId="19DA9001"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(196)</w:t>
            </w:r>
          </w:p>
        </w:tc>
        <w:tc>
          <w:tcPr>
            <w:tcW w:w="236" w:type="dxa"/>
            <w:tcBorders>
              <w:top w:val="nil"/>
              <w:left w:val="nil"/>
              <w:bottom w:val="nil"/>
              <w:right w:val="nil"/>
            </w:tcBorders>
            <w:shd w:val="solid" w:color="FFFFFF" w:fill="auto"/>
          </w:tcPr>
          <w:p w14:paraId="66ADEF14"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p>
        </w:tc>
        <w:tc>
          <w:tcPr>
            <w:tcW w:w="856" w:type="dxa"/>
            <w:tcBorders>
              <w:top w:val="nil"/>
              <w:left w:val="nil"/>
              <w:bottom w:val="nil"/>
              <w:right w:val="nil"/>
            </w:tcBorders>
            <w:shd w:val="solid" w:color="FFFFFF" w:fill="auto"/>
          </w:tcPr>
          <w:p w14:paraId="39B9C43B" w14:textId="70D33CA5" w:rsidR="00551574" w:rsidRPr="00313E2B" w:rsidRDefault="00551574" w:rsidP="00551574">
            <w:pPr>
              <w:autoSpaceDE w:val="0"/>
              <w:autoSpaceDN w:val="0"/>
              <w:adjustRightInd w:val="0"/>
              <w:ind w:left="0" w:firstLine="0"/>
              <w:jc w:val="right"/>
              <w:rPr>
                <w:rFonts w:asciiTheme="minorHAnsi" w:eastAsiaTheme="minorHAnsi" w:hAnsiTheme="minorHAnsi" w:cstheme="minorHAnsi"/>
                <w:noProof/>
                <w:color w:val="000000"/>
                <w:sz w:val="19"/>
                <w:szCs w:val="19"/>
                <w:lang w:val="es-ES"/>
              </w:rPr>
            </w:pPr>
            <w:r w:rsidRPr="00313E2B">
              <w:rPr>
                <w:noProof/>
                <w:sz w:val="19"/>
                <w:szCs w:val="19"/>
                <w:lang w:val="es-ES"/>
              </w:rPr>
              <w:t xml:space="preserve">  474 </w:t>
            </w:r>
          </w:p>
        </w:tc>
      </w:tr>
      <w:tr w:rsidR="00551574" w:rsidRPr="00313E2B" w14:paraId="40414CC9" w14:textId="77777777" w:rsidTr="00FF2210">
        <w:tc>
          <w:tcPr>
            <w:tcW w:w="3288" w:type="dxa"/>
            <w:tcBorders>
              <w:top w:val="nil"/>
              <w:left w:val="nil"/>
              <w:bottom w:val="nil"/>
              <w:right w:val="nil"/>
            </w:tcBorders>
            <w:shd w:val="solid" w:color="FFFFFF" w:fill="auto"/>
            <w:vAlign w:val="center"/>
          </w:tcPr>
          <w:p w14:paraId="6062CDDD" w14:textId="0A11BE66" w:rsidR="00551574" w:rsidRPr="00313E2B" w:rsidRDefault="00551574" w:rsidP="00551574">
            <w:pPr>
              <w:autoSpaceDE w:val="0"/>
              <w:autoSpaceDN w:val="0"/>
              <w:adjustRightInd w:val="0"/>
              <w:ind w:left="0" w:firstLine="0"/>
              <w:rPr>
                <w:rFonts w:asciiTheme="minorHAnsi" w:eastAsiaTheme="minorHAnsi" w:hAnsiTheme="minorHAnsi" w:cstheme="minorHAnsi"/>
                <w:b/>
                <w:bCs/>
                <w:noProof/>
                <w:color w:val="000000"/>
                <w:sz w:val="19"/>
                <w:szCs w:val="19"/>
                <w:lang w:val="es-ES"/>
              </w:rPr>
            </w:pPr>
            <w:r w:rsidRPr="00313E2B">
              <w:rPr>
                <w:rFonts w:asciiTheme="minorHAnsi" w:hAnsiTheme="minorHAnsi"/>
                <w:b/>
                <w:bCs/>
                <w:noProof/>
                <w:sz w:val="19"/>
                <w:szCs w:val="19"/>
                <w:lang w:val="es-ES"/>
              </w:rPr>
              <w:t>Saldo del fondo al cierre del ejercicio</w:t>
            </w:r>
          </w:p>
        </w:tc>
        <w:tc>
          <w:tcPr>
            <w:tcW w:w="708" w:type="dxa"/>
            <w:tcBorders>
              <w:top w:val="nil"/>
              <w:left w:val="nil"/>
              <w:bottom w:val="nil"/>
              <w:right w:val="nil"/>
            </w:tcBorders>
            <w:shd w:val="solid" w:color="FFFFFF" w:fill="auto"/>
          </w:tcPr>
          <w:p w14:paraId="4980916B" w14:textId="77777777" w:rsidR="00551574" w:rsidRPr="00313E2B" w:rsidRDefault="00551574" w:rsidP="00551574">
            <w:pPr>
              <w:autoSpaceDE w:val="0"/>
              <w:autoSpaceDN w:val="0"/>
              <w:adjustRightInd w:val="0"/>
              <w:ind w:left="0" w:firstLine="0"/>
              <w:jc w:val="right"/>
              <w:rPr>
                <w:rFonts w:asciiTheme="minorHAnsi" w:eastAsiaTheme="minorHAnsi" w:hAnsiTheme="minorHAnsi" w:cstheme="minorHAnsi"/>
                <w:b/>
                <w:bCs/>
                <w:noProof/>
                <w:color w:val="000000"/>
                <w:sz w:val="19"/>
                <w:szCs w:val="19"/>
                <w:lang w:val="es-ES"/>
              </w:rPr>
            </w:pPr>
          </w:p>
        </w:tc>
        <w:tc>
          <w:tcPr>
            <w:tcW w:w="851" w:type="dxa"/>
            <w:tcBorders>
              <w:top w:val="single" w:sz="6" w:space="0" w:color="auto"/>
              <w:left w:val="nil"/>
              <w:bottom w:val="single" w:sz="6" w:space="0" w:color="auto"/>
              <w:right w:val="nil"/>
            </w:tcBorders>
            <w:shd w:val="clear" w:color="auto" w:fill="B8CCE4" w:themeFill="accent1" w:themeFillTint="66"/>
          </w:tcPr>
          <w:p w14:paraId="6457928E" w14:textId="07F00593" w:rsidR="00551574" w:rsidRPr="001441B9" w:rsidRDefault="00551574" w:rsidP="00551574">
            <w:pPr>
              <w:autoSpaceDE w:val="0"/>
              <w:autoSpaceDN w:val="0"/>
              <w:adjustRightInd w:val="0"/>
              <w:ind w:left="0" w:firstLine="0"/>
              <w:jc w:val="right"/>
              <w:rPr>
                <w:rFonts w:asciiTheme="minorHAnsi" w:eastAsiaTheme="minorHAnsi" w:hAnsiTheme="minorHAnsi" w:cstheme="minorHAnsi"/>
                <w:b/>
                <w:bCs/>
                <w:noProof/>
                <w:color w:val="000000"/>
                <w:sz w:val="19"/>
                <w:szCs w:val="19"/>
                <w:lang w:val="es-ES"/>
              </w:rPr>
            </w:pPr>
            <w:r w:rsidRPr="001441B9">
              <w:rPr>
                <w:b/>
                <w:noProof/>
                <w:sz w:val="19"/>
                <w:szCs w:val="19"/>
                <w:lang w:val="es-ES"/>
              </w:rPr>
              <w:t xml:space="preserve"> 3</w:t>
            </w:r>
            <w:r w:rsidR="00B71CAF" w:rsidRPr="001441B9">
              <w:rPr>
                <w:b/>
                <w:noProof/>
                <w:sz w:val="19"/>
                <w:szCs w:val="19"/>
                <w:lang w:val="es-ES"/>
              </w:rPr>
              <w:t xml:space="preserve"> </w:t>
            </w:r>
            <w:r w:rsidRPr="001441B9">
              <w:rPr>
                <w:b/>
                <w:noProof/>
                <w:sz w:val="19"/>
                <w:szCs w:val="19"/>
                <w:lang w:val="es-ES"/>
              </w:rPr>
              <w:t xml:space="preserve">738 </w:t>
            </w:r>
          </w:p>
        </w:tc>
        <w:tc>
          <w:tcPr>
            <w:tcW w:w="284" w:type="dxa"/>
            <w:tcBorders>
              <w:top w:val="single" w:sz="6" w:space="0" w:color="auto"/>
              <w:left w:val="nil"/>
              <w:bottom w:val="single" w:sz="6" w:space="0" w:color="auto"/>
              <w:right w:val="nil"/>
            </w:tcBorders>
            <w:shd w:val="clear" w:color="auto" w:fill="B8CCE4" w:themeFill="accent1" w:themeFillTint="66"/>
          </w:tcPr>
          <w:p w14:paraId="0E9E45E1" w14:textId="77777777" w:rsidR="00551574" w:rsidRPr="001441B9" w:rsidRDefault="00551574" w:rsidP="00551574">
            <w:pPr>
              <w:autoSpaceDE w:val="0"/>
              <w:autoSpaceDN w:val="0"/>
              <w:adjustRightInd w:val="0"/>
              <w:ind w:left="0" w:firstLine="0"/>
              <w:jc w:val="right"/>
              <w:rPr>
                <w:rFonts w:asciiTheme="minorHAnsi" w:eastAsiaTheme="minorHAnsi" w:hAnsiTheme="minorHAnsi" w:cstheme="minorHAnsi"/>
                <w:b/>
                <w:bCs/>
                <w:noProof/>
                <w:color w:val="000000"/>
                <w:sz w:val="19"/>
                <w:szCs w:val="19"/>
                <w:lang w:val="es-ES"/>
              </w:rPr>
            </w:pPr>
          </w:p>
        </w:tc>
        <w:tc>
          <w:tcPr>
            <w:tcW w:w="850" w:type="dxa"/>
            <w:tcBorders>
              <w:top w:val="single" w:sz="6" w:space="0" w:color="auto"/>
              <w:left w:val="nil"/>
              <w:bottom w:val="single" w:sz="6" w:space="0" w:color="auto"/>
              <w:right w:val="nil"/>
            </w:tcBorders>
            <w:shd w:val="clear" w:color="auto" w:fill="B8CCE4" w:themeFill="accent1" w:themeFillTint="66"/>
          </w:tcPr>
          <w:p w14:paraId="68EB789E" w14:textId="78561270" w:rsidR="00551574" w:rsidRPr="001441B9" w:rsidRDefault="00551574" w:rsidP="00551574">
            <w:pPr>
              <w:autoSpaceDE w:val="0"/>
              <w:autoSpaceDN w:val="0"/>
              <w:adjustRightInd w:val="0"/>
              <w:ind w:left="0" w:firstLine="0"/>
              <w:jc w:val="right"/>
              <w:rPr>
                <w:rFonts w:asciiTheme="minorHAnsi" w:eastAsiaTheme="minorHAnsi" w:hAnsiTheme="minorHAnsi" w:cstheme="minorHAnsi"/>
                <w:b/>
                <w:bCs/>
                <w:noProof/>
                <w:color w:val="000000"/>
                <w:sz w:val="19"/>
                <w:szCs w:val="19"/>
                <w:lang w:val="es-ES"/>
              </w:rPr>
            </w:pPr>
            <w:r w:rsidRPr="001441B9">
              <w:rPr>
                <w:b/>
                <w:noProof/>
                <w:sz w:val="19"/>
                <w:szCs w:val="19"/>
                <w:lang w:val="es-ES"/>
              </w:rPr>
              <w:t xml:space="preserve"> 1</w:t>
            </w:r>
            <w:r w:rsidR="00B71CAF" w:rsidRPr="001441B9">
              <w:rPr>
                <w:b/>
                <w:noProof/>
                <w:sz w:val="19"/>
                <w:szCs w:val="19"/>
                <w:lang w:val="es-ES"/>
              </w:rPr>
              <w:t xml:space="preserve"> </w:t>
            </w:r>
            <w:r w:rsidRPr="001441B9">
              <w:rPr>
                <w:b/>
                <w:noProof/>
                <w:sz w:val="19"/>
                <w:szCs w:val="19"/>
                <w:lang w:val="es-ES"/>
              </w:rPr>
              <w:t xml:space="preserve">991 </w:t>
            </w:r>
          </w:p>
        </w:tc>
        <w:tc>
          <w:tcPr>
            <w:tcW w:w="236" w:type="dxa"/>
            <w:tcBorders>
              <w:top w:val="single" w:sz="6" w:space="0" w:color="auto"/>
              <w:left w:val="nil"/>
              <w:bottom w:val="single" w:sz="6" w:space="0" w:color="auto"/>
              <w:right w:val="nil"/>
            </w:tcBorders>
            <w:shd w:val="clear" w:color="auto" w:fill="B8CCE4" w:themeFill="accent1" w:themeFillTint="66"/>
          </w:tcPr>
          <w:p w14:paraId="2C7F21DD" w14:textId="77777777" w:rsidR="00551574" w:rsidRPr="001441B9" w:rsidRDefault="00551574" w:rsidP="00551574">
            <w:pPr>
              <w:autoSpaceDE w:val="0"/>
              <w:autoSpaceDN w:val="0"/>
              <w:adjustRightInd w:val="0"/>
              <w:ind w:left="0" w:firstLine="0"/>
              <w:jc w:val="right"/>
              <w:rPr>
                <w:rFonts w:asciiTheme="minorHAnsi" w:eastAsiaTheme="minorHAnsi" w:hAnsiTheme="minorHAnsi" w:cstheme="minorHAnsi"/>
                <w:b/>
                <w:bCs/>
                <w:noProof/>
                <w:color w:val="000000"/>
                <w:sz w:val="19"/>
                <w:szCs w:val="19"/>
                <w:lang w:val="es-ES"/>
              </w:rPr>
            </w:pPr>
          </w:p>
        </w:tc>
        <w:tc>
          <w:tcPr>
            <w:tcW w:w="895" w:type="dxa"/>
            <w:tcBorders>
              <w:top w:val="single" w:sz="6" w:space="0" w:color="auto"/>
              <w:left w:val="nil"/>
              <w:bottom w:val="single" w:sz="6" w:space="0" w:color="auto"/>
              <w:right w:val="nil"/>
            </w:tcBorders>
            <w:shd w:val="clear" w:color="auto" w:fill="B8CCE4" w:themeFill="accent1" w:themeFillTint="66"/>
          </w:tcPr>
          <w:p w14:paraId="2442D44F" w14:textId="002A918F" w:rsidR="00551574" w:rsidRPr="001441B9" w:rsidRDefault="00551574" w:rsidP="00551574">
            <w:pPr>
              <w:autoSpaceDE w:val="0"/>
              <w:autoSpaceDN w:val="0"/>
              <w:adjustRightInd w:val="0"/>
              <w:ind w:left="0" w:firstLine="0"/>
              <w:jc w:val="right"/>
              <w:rPr>
                <w:rFonts w:asciiTheme="minorHAnsi" w:eastAsiaTheme="minorHAnsi" w:hAnsiTheme="minorHAnsi" w:cstheme="minorHAnsi"/>
                <w:b/>
                <w:bCs/>
                <w:noProof/>
                <w:color w:val="000000"/>
                <w:sz w:val="19"/>
                <w:szCs w:val="19"/>
                <w:lang w:val="es-ES"/>
              </w:rPr>
            </w:pPr>
            <w:r w:rsidRPr="001441B9">
              <w:rPr>
                <w:b/>
                <w:noProof/>
                <w:sz w:val="19"/>
                <w:szCs w:val="19"/>
                <w:lang w:val="es-ES"/>
              </w:rPr>
              <w:t xml:space="preserve"> 5</w:t>
            </w:r>
            <w:r w:rsidR="00B71CAF" w:rsidRPr="001441B9">
              <w:rPr>
                <w:b/>
                <w:noProof/>
                <w:sz w:val="19"/>
                <w:szCs w:val="19"/>
                <w:lang w:val="es-ES"/>
              </w:rPr>
              <w:t xml:space="preserve"> </w:t>
            </w:r>
            <w:r w:rsidRPr="001441B9">
              <w:rPr>
                <w:b/>
                <w:noProof/>
                <w:sz w:val="19"/>
                <w:szCs w:val="19"/>
                <w:lang w:val="es-ES"/>
              </w:rPr>
              <w:t xml:space="preserve">729 </w:t>
            </w:r>
          </w:p>
        </w:tc>
        <w:tc>
          <w:tcPr>
            <w:tcW w:w="236" w:type="dxa"/>
            <w:tcBorders>
              <w:top w:val="single" w:sz="6" w:space="0" w:color="auto"/>
              <w:left w:val="nil"/>
              <w:bottom w:val="single" w:sz="6" w:space="0" w:color="auto"/>
              <w:right w:val="nil"/>
            </w:tcBorders>
            <w:shd w:val="clear" w:color="auto" w:fill="F2F2F2" w:themeFill="background1" w:themeFillShade="F2"/>
          </w:tcPr>
          <w:p w14:paraId="32D796F1" w14:textId="77777777" w:rsidR="00551574" w:rsidRPr="001441B9" w:rsidRDefault="00551574" w:rsidP="00551574">
            <w:pPr>
              <w:autoSpaceDE w:val="0"/>
              <w:autoSpaceDN w:val="0"/>
              <w:adjustRightInd w:val="0"/>
              <w:ind w:left="0" w:firstLine="0"/>
              <w:jc w:val="right"/>
              <w:rPr>
                <w:rFonts w:asciiTheme="minorHAnsi" w:eastAsiaTheme="minorHAnsi" w:hAnsiTheme="minorHAnsi" w:cstheme="minorHAnsi"/>
                <w:b/>
                <w:bCs/>
                <w:noProof/>
                <w:color w:val="000000"/>
                <w:sz w:val="19"/>
                <w:szCs w:val="19"/>
                <w:lang w:val="es-ES"/>
              </w:rPr>
            </w:pPr>
          </w:p>
        </w:tc>
        <w:tc>
          <w:tcPr>
            <w:tcW w:w="901" w:type="dxa"/>
            <w:tcBorders>
              <w:top w:val="single" w:sz="6" w:space="0" w:color="auto"/>
              <w:left w:val="nil"/>
              <w:bottom w:val="single" w:sz="6" w:space="0" w:color="auto"/>
              <w:right w:val="nil"/>
            </w:tcBorders>
            <w:shd w:val="clear" w:color="auto" w:fill="D6E3BC" w:themeFill="accent3" w:themeFillTint="66"/>
          </w:tcPr>
          <w:p w14:paraId="13C676E4" w14:textId="25201B4E" w:rsidR="00551574" w:rsidRPr="001441B9" w:rsidRDefault="00551574" w:rsidP="00551574">
            <w:pPr>
              <w:autoSpaceDE w:val="0"/>
              <w:autoSpaceDN w:val="0"/>
              <w:adjustRightInd w:val="0"/>
              <w:ind w:left="0" w:firstLine="0"/>
              <w:jc w:val="right"/>
              <w:rPr>
                <w:rFonts w:asciiTheme="minorHAnsi" w:eastAsiaTheme="minorHAnsi" w:hAnsiTheme="minorHAnsi" w:cstheme="minorHAnsi"/>
                <w:b/>
                <w:bCs/>
                <w:noProof/>
                <w:color w:val="000000"/>
                <w:sz w:val="19"/>
                <w:szCs w:val="19"/>
                <w:lang w:val="es-ES"/>
              </w:rPr>
            </w:pPr>
            <w:r w:rsidRPr="001441B9">
              <w:rPr>
                <w:b/>
                <w:noProof/>
                <w:sz w:val="19"/>
                <w:szCs w:val="19"/>
                <w:lang w:val="es-ES"/>
              </w:rPr>
              <w:t>3</w:t>
            </w:r>
            <w:r w:rsidR="00B71CAF" w:rsidRPr="001441B9">
              <w:rPr>
                <w:b/>
                <w:noProof/>
                <w:sz w:val="19"/>
                <w:szCs w:val="19"/>
                <w:lang w:val="es-ES"/>
              </w:rPr>
              <w:t xml:space="preserve"> </w:t>
            </w:r>
            <w:r w:rsidRPr="001441B9">
              <w:rPr>
                <w:b/>
                <w:noProof/>
                <w:sz w:val="19"/>
                <w:szCs w:val="19"/>
                <w:lang w:val="es-ES"/>
              </w:rPr>
              <w:t xml:space="preserve">318 </w:t>
            </w:r>
          </w:p>
        </w:tc>
        <w:tc>
          <w:tcPr>
            <w:tcW w:w="242" w:type="dxa"/>
            <w:tcBorders>
              <w:top w:val="single" w:sz="6" w:space="0" w:color="auto"/>
              <w:left w:val="nil"/>
              <w:bottom w:val="single" w:sz="6" w:space="0" w:color="auto"/>
              <w:right w:val="nil"/>
            </w:tcBorders>
            <w:shd w:val="clear" w:color="auto" w:fill="D6E3BC" w:themeFill="accent3" w:themeFillTint="66"/>
          </w:tcPr>
          <w:p w14:paraId="3FCBCC6A" w14:textId="77777777" w:rsidR="00551574" w:rsidRPr="001441B9" w:rsidRDefault="00551574" w:rsidP="00551574">
            <w:pPr>
              <w:autoSpaceDE w:val="0"/>
              <w:autoSpaceDN w:val="0"/>
              <w:adjustRightInd w:val="0"/>
              <w:ind w:left="0" w:firstLine="0"/>
              <w:jc w:val="right"/>
              <w:rPr>
                <w:rFonts w:asciiTheme="minorHAnsi" w:eastAsiaTheme="minorHAnsi" w:hAnsiTheme="minorHAnsi" w:cstheme="minorHAnsi"/>
                <w:b/>
                <w:bCs/>
                <w:noProof/>
                <w:color w:val="000000"/>
                <w:sz w:val="19"/>
                <w:szCs w:val="19"/>
                <w:lang w:val="es-ES"/>
              </w:rPr>
            </w:pPr>
          </w:p>
        </w:tc>
        <w:tc>
          <w:tcPr>
            <w:tcW w:w="793" w:type="dxa"/>
            <w:tcBorders>
              <w:top w:val="single" w:sz="6" w:space="0" w:color="auto"/>
              <w:left w:val="nil"/>
              <w:bottom w:val="single" w:sz="6" w:space="0" w:color="auto"/>
              <w:right w:val="nil"/>
            </w:tcBorders>
            <w:shd w:val="clear" w:color="auto" w:fill="D6E3BC" w:themeFill="accent3" w:themeFillTint="66"/>
          </w:tcPr>
          <w:p w14:paraId="086DD235" w14:textId="452BEBFC" w:rsidR="00551574" w:rsidRPr="001441B9" w:rsidRDefault="00551574" w:rsidP="00551574">
            <w:pPr>
              <w:autoSpaceDE w:val="0"/>
              <w:autoSpaceDN w:val="0"/>
              <w:adjustRightInd w:val="0"/>
              <w:ind w:left="0" w:firstLine="0"/>
              <w:jc w:val="right"/>
              <w:rPr>
                <w:rFonts w:asciiTheme="minorHAnsi" w:eastAsiaTheme="minorHAnsi" w:hAnsiTheme="minorHAnsi" w:cstheme="minorHAnsi"/>
                <w:b/>
                <w:bCs/>
                <w:noProof/>
                <w:color w:val="000000"/>
                <w:sz w:val="19"/>
                <w:szCs w:val="19"/>
                <w:lang w:val="es-ES"/>
              </w:rPr>
            </w:pPr>
            <w:r w:rsidRPr="001441B9">
              <w:rPr>
                <w:b/>
                <w:noProof/>
                <w:sz w:val="19"/>
                <w:szCs w:val="19"/>
                <w:lang w:val="es-ES"/>
              </w:rPr>
              <w:t>1</w:t>
            </w:r>
            <w:r w:rsidR="00B71CAF" w:rsidRPr="001441B9">
              <w:rPr>
                <w:b/>
                <w:noProof/>
                <w:sz w:val="19"/>
                <w:szCs w:val="19"/>
                <w:lang w:val="es-ES"/>
              </w:rPr>
              <w:t xml:space="preserve"> </w:t>
            </w:r>
            <w:r w:rsidRPr="001441B9">
              <w:rPr>
                <w:b/>
                <w:noProof/>
                <w:sz w:val="19"/>
                <w:szCs w:val="19"/>
                <w:lang w:val="es-ES"/>
              </w:rPr>
              <w:t xml:space="preserve">877 </w:t>
            </w:r>
          </w:p>
        </w:tc>
        <w:tc>
          <w:tcPr>
            <w:tcW w:w="236" w:type="dxa"/>
            <w:tcBorders>
              <w:top w:val="single" w:sz="6" w:space="0" w:color="auto"/>
              <w:left w:val="nil"/>
              <w:bottom w:val="single" w:sz="6" w:space="0" w:color="auto"/>
              <w:right w:val="nil"/>
            </w:tcBorders>
            <w:shd w:val="clear" w:color="auto" w:fill="D6E3BC" w:themeFill="accent3" w:themeFillTint="66"/>
          </w:tcPr>
          <w:p w14:paraId="7825EA9B" w14:textId="77777777" w:rsidR="00551574" w:rsidRPr="001441B9" w:rsidRDefault="00551574" w:rsidP="00551574">
            <w:pPr>
              <w:autoSpaceDE w:val="0"/>
              <w:autoSpaceDN w:val="0"/>
              <w:adjustRightInd w:val="0"/>
              <w:ind w:left="0" w:firstLine="0"/>
              <w:jc w:val="right"/>
              <w:rPr>
                <w:rFonts w:asciiTheme="minorHAnsi" w:eastAsiaTheme="minorHAnsi" w:hAnsiTheme="minorHAnsi" w:cstheme="minorHAnsi"/>
                <w:b/>
                <w:bCs/>
                <w:noProof/>
                <w:color w:val="000000"/>
                <w:sz w:val="19"/>
                <w:szCs w:val="19"/>
                <w:lang w:val="es-ES"/>
              </w:rPr>
            </w:pPr>
          </w:p>
        </w:tc>
        <w:tc>
          <w:tcPr>
            <w:tcW w:w="856" w:type="dxa"/>
            <w:tcBorders>
              <w:top w:val="single" w:sz="6" w:space="0" w:color="auto"/>
              <w:left w:val="nil"/>
              <w:bottom w:val="single" w:sz="6" w:space="0" w:color="auto"/>
              <w:right w:val="nil"/>
            </w:tcBorders>
            <w:shd w:val="clear" w:color="auto" w:fill="D6E3BC" w:themeFill="accent3" w:themeFillTint="66"/>
          </w:tcPr>
          <w:p w14:paraId="61A634B7" w14:textId="2F92C740" w:rsidR="00551574" w:rsidRPr="001441B9" w:rsidRDefault="00551574" w:rsidP="00551574">
            <w:pPr>
              <w:autoSpaceDE w:val="0"/>
              <w:autoSpaceDN w:val="0"/>
              <w:adjustRightInd w:val="0"/>
              <w:ind w:left="0" w:firstLine="0"/>
              <w:jc w:val="right"/>
              <w:rPr>
                <w:rFonts w:asciiTheme="minorHAnsi" w:eastAsiaTheme="minorHAnsi" w:hAnsiTheme="minorHAnsi" w:cstheme="minorHAnsi"/>
                <w:b/>
                <w:bCs/>
                <w:noProof/>
                <w:color w:val="000000"/>
                <w:sz w:val="19"/>
                <w:szCs w:val="19"/>
                <w:lang w:val="es-ES"/>
              </w:rPr>
            </w:pPr>
            <w:r w:rsidRPr="001441B9">
              <w:rPr>
                <w:b/>
                <w:noProof/>
                <w:sz w:val="19"/>
                <w:szCs w:val="19"/>
                <w:lang w:val="es-ES"/>
              </w:rPr>
              <w:t xml:space="preserve">  5</w:t>
            </w:r>
            <w:r w:rsidR="00B71CAF" w:rsidRPr="001441B9">
              <w:rPr>
                <w:b/>
                <w:noProof/>
                <w:sz w:val="19"/>
                <w:szCs w:val="19"/>
                <w:lang w:val="es-ES"/>
              </w:rPr>
              <w:t xml:space="preserve"> </w:t>
            </w:r>
            <w:r w:rsidRPr="001441B9">
              <w:rPr>
                <w:b/>
                <w:noProof/>
                <w:sz w:val="19"/>
                <w:szCs w:val="19"/>
                <w:lang w:val="es-ES"/>
              </w:rPr>
              <w:t xml:space="preserve">195 </w:t>
            </w:r>
          </w:p>
        </w:tc>
      </w:tr>
    </w:tbl>
    <w:p w14:paraId="38F196F6" w14:textId="41A5EDEE" w:rsidR="00F96BA5" w:rsidRPr="00313E2B" w:rsidRDefault="00FB66C4" w:rsidP="00946B96">
      <w:pPr>
        <w:rPr>
          <w:rFonts w:eastAsia="Times New Roman" w:cs="Arial"/>
          <w:b/>
          <w:bCs/>
          <w:noProof/>
          <w:sz w:val="19"/>
          <w:szCs w:val="19"/>
          <w:lang w:val="es-ES" w:eastAsia="en-GB"/>
        </w:rPr>
      </w:pPr>
      <w:r w:rsidRPr="00313E2B">
        <w:rPr>
          <w:rFonts w:eastAsia="Times New Roman" w:cs="Arial"/>
          <w:b/>
          <w:bCs/>
          <w:noProof/>
          <w:sz w:val="19"/>
          <w:szCs w:val="19"/>
          <w:lang w:val="es-ES" w:eastAsia="en-GB"/>
        </w:rPr>
        <w:br w:type="page"/>
      </w:r>
      <w:r w:rsidR="00F96BA5" w:rsidRPr="00313E2B">
        <w:rPr>
          <w:rFonts w:eastAsia="Times New Roman" w:cs="Arial"/>
          <w:b/>
          <w:bCs/>
          <w:noProof/>
          <w:sz w:val="19"/>
          <w:szCs w:val="19"/>
          <w:lang w:val="es-ES" w:eastAsia="en-GB"/>
        </w:rPr>
        <w:lastRenderedPageBreak/>
        <w:t>III.</w:t>
      </w:r>
      <w:r w:rsidR="00F96BA5" w:rsidRPr="00313E2B">
        <w:rPr>
          <w:rFonts w:eastAsia="Times New Roman" w:cs="Arial"/>
          <w:b/>
          <w:bCs/>
          <w:noProof/>
          <w:sz w:val="19"/>
          <w:szCs w:val="19"/>
          <w:lang w:val="es-ES" w:eastAsia="en-GB"/>
        </w:rPr>
        <w:tab/>
      </w:r>
      <w:r w:rsidR="00946B96" w:rsidRPr="00313E2B">
        <w:rPr>
          <w:b/>
          <w:bCs/>
          <w:noProof/>
          <w:sz w:val="19"/>
          <w:szCs w:val="19"/>
          <w:lang w:val="es-ES"/>
        </w:rPr>
        <w:t xml:space="preserve">Estado de los flujos de tesorería para el ejercicio finalizado el 31 de diciembre de </w:t>
      </w:r>
      <w:r w:rsidR="000B2A00" w:rsidRPr="00313E2B">
        <w:rPr>
          <w:rFonts w:eastAsia="Times New Roman" w:cs="Arial"/>
          <w:b/>
          <w:bCs/>
          <w:noProof/>
          <w:sz w:val="19"/>
          <w:szCs w:val="19"/>
          <w:lang w:val="es-ES" w:eastAsia="en-GB"/>
        </w:rPr>
        <w:t>202</w:t>
      </w:r>
      <w:r w:rsidR="007C6B16" w:rsidRPr="00313E2B">
        <w:rPr>
          <w:rFonts w:eastAsia="Times New Roman" w:cs="Arial"/>
          <w:b/>
          <w:bCs/>
          <w:noProof/>
          <w:sz w:val="19"/>
          <w:szCs w:val="19"/>
          <w:lang w:val="es-ES" w:eastAsia="en-GB"/>
        </w:rPr>
        <w:t>1</w:t>
      </w:r>
    </w:p>
    <w:p w14:paraId="27393C7A" w14:textId="77777777" w:rsidR="00A545D6" w:rsidRPr="00313E2B" w:rsidRDefault="00A545D6">
      <w:pPr>
        <w:rPr>
          <w:rFonts w:eastAsia="Times New Roman" w:cs="Arial"/>
          <w:b/>
          <w:bCs/>
          <w:noProof/>
          <w:sz w:val="19"/>
          <w:szCs w:val="19"/>
          <w:lang w:val="es-ES" w:eastAsia="en-GB"/>
        </w:rPr>
      </w:pPr>
    </w:p>
    <w:tbl>
      <w:tblPr>
        <w:tblpPr w:leftFromText="180" w:rightFromText="180" w:vertAnchor="text" w:horzAnchor="margin" w:tblpX="-567" w:tblpY="76"/>
        <w:tblW w:w="9498" w:type="dxa"/>
        <w:tblLook w:val="04A0" w:firstRow="1" w:lastRow="0" w:firstColumn="1" w:lastColumn="0" w:noHBand="0" w:noVBand="1"/>
      </w:tblPr>
      <w:tblGrid>
        <w:gridCol w:w="5954"/>
        <w:gridCol w:w="1400"/>
        <w:gridCol w:w="262"/>
        <w:gridCol w:w="284"/>
        <w:gridCol w:w="1598"/>
      </w:tblGrid>
      <w:tr w:rsidR="0079083B" w:rsidRPr="00313E2B" w14:paraId="3E2A7CFF" w14:textId="77777777" w:rsidTr="00CB5586">
        <w:trPr>
          <w:trHeight w:val="324"/>
        </w:trPr>
        <w:tc>
          <w:tcPr>
            <w:tcW w:w="5954" w:type="dxa"/>
            <w:tcBorders>
              <w:top w:val="nil"/>
              <w:left w:val="nil"/>
              <w:bottom w:val="single" w:sz="8" w:space="0" w:color="auto"/>
              <w:right w:val="nil"/>
            </w:tcBorders>
            <w:shd w:val="clear" w:color="000000" w:fill="FFFFFF"/>
            <w:noWrap/>
            <w:vAlign w:val="bottom"/>
            <w:hideMark/>
          </w:tcPr>
          <w:p w14:paraId="59D1D761" w14:textId="7B0AB97E" w:rsidR="0079083B" w:rsidRPr="00313E2B" w:rsidRDefault="00946B96" w:rsidP="0079083B">
            <w:pPr>
              <w:ind w:left="0" w:firstLine="0"/>
              <w:rPr>
                <w:rFonts w:asciiTheme="minorHAnsi" w:eastAsia="Times New Roman" w:hAnsiTheme="minorHAnsi" w:cstheme="minorHAnsi"/>
                <w:i/>
                <w:iCs/>
                <w:noProof/>
                <w:sz w:val="19"/>
                <w:szCs w:val="19"/>
                <w:lang w:val="es-ES" w:eastAsia="en-GB"/>
              </w:rPr>
            </w:pPr>
            <w:r w:rsidRPr="00313E2B">
              <w:rPr>
                <w:i/>
                <w:iCs/>
                <w:noProof/>
                <w:sz w:val="19"/>
                <w:szCs w:val="19"/>
                <w:lang w:val="es-ES"/>
              </w:rPr>
              <w:t>en miles de francos suizos</w:t>
            </w:r>
          </w:p>
        </w:tc>
        <w:tc>
          <w:tcPr>
            <w:tcW w:w="1662" w:type="dxa"/>
            <w:gridSpan w:val="2"/>
            <w:tcBorders>
              <w:top w:val="nil"/>
              <w:left w:val="nil"/>
              <w:bottom w:val="single" w:sz="8" w:space="0" w:color="auto"/>
              <w:right w:val="nil"/>
            </w:tcBorders>
            <w:shd w:val="clear" w:color="000000" w:fill="8DB4E2"/>
            <w:noWrap/>
            <w:vAlign w:val="center"/>
            <w:hideMark/>
          </w:tcPr>
          <w:p w14:paraId="624093E1" w14:textId="2480A344" w:rsidR="0079083B" w:rsidRPr="00313E2B" w:rsidRDefault="0079083B" w:rsidP="0079083B">
            <w:pPr>
              <w:ind w:left="0" w:firstLine="0"/>
              <w:jc w:val="center"/>
              <w:rPr>
                <w:rFonts w:asciiTheme="minorHAnsi" w:eastAsia="Times New Roman" w:hAnsiTheme="minorHAnsi" w:cstheme="minorHAnsi"/>
                <w:b/>
                <w:bCs/>
                <w:noProof/>
                <w:sz w:val="19"/>
                <w:szCs w:val="19"/>
                <w:lang w:val="es-ES" w:eastAsia="en-GB"/>
              </w:rPr>
            </w:pPr>
            <w:r w:rsidRPr="00313E2B">
              <w:rPr>
                <w:rFonts w:asciiTheme="minorHAnsi" w:eastAsia="Times New Roman" w:hAnsiTheme="minorHAnsi" w:cstheme="minorHAnsi"/>
                <w:b/>
                <w:bCs/>
                <w:noProof/>
                <w:sz w:val="19"/>
                <w:szCs w:val="19"/>
                <w:lang w:val="es-ES" w:eastAsia="en-GB"/>
              </w:rPr>
              <w:t>202</w:t>
            </w:r>
            <w:r w:rsidR="007C6B16" w:rsidRPr="00313E2B">
              <w:rPr>
                <w:rFonts w:asciiTheme="minorHAnsi" w:eastAsia="Times New Roman" w:hAnsiTheme="minorHAnsi" w:cstheme="minorHAnsi"/>
                <w:b/>
                <w:bCs/>
                <w:noProof/>
                <w:sz w:val="19"/>
                <w:szCs w:val="19"/>
                <w:lang w:val="es-ES" w:eastAsia="en-GB"/>
              </w:rPr>
              <w:t>1</w:t>
            </w:r>
          </w:p>
        </w:tc>
        <w:tc>
          <w:tcPr>
            <w:tcW w:w="284" w:type="dxa"/>
            <w:tcBorders>
              <w:top w:val="nil"/>
              <w:left w:val="nil"/>
              <w:bottom w:val="single" w:sz="8" w:space="0" w:color="auto"/>
              <w:right w:val="nil"/>
            </w:tcBorders>
            <w:shd w:val="clear" w:color="000000" w:fill="D9D9D9"/>
            <w:noWrap/>
            <w:vAlign w:val="center"/>
            <w:hideMark/>
          </w:tcPr>
          <w:p w14:paraId="6276114D" w14:textId="77777777" w:rsidR="0079083B" w:rsidRPr="00313E2B" w:rsidRDefault="0079083B" w:rsidP="0079083B">
            <w:pPr>
              <w:ind w:left="0" w:firstLine="0"/>
              <w:jc w:val="center"/>
              <w:rPr>
                <w:rFonts w:asciiTheme="minorHAnsi" w:eastAsia="Times New Roman" w:hAnsiTheme="minorHAnsi" w:cstheme="minorHAnsi"/>
                <w:b/>
                <w:bCs/>
                <w:noProof/>
                <w:sz w:val="19"/>
                <w:szCs w:val="19"/>
                <w:lang w:val="es-ES" w:eastAsia="en-GB"/>
              </w:rPr>
            </w:pPr>
            <w:r w:rsidRPr="00313E2B">
              <w:rPr>
                <w:rFonts w:asciiTheme="minorHAnsi" w:eastAsia="Times New Roman" w:hAnsiTheme="minorHAnsi" w:cstheme="minorHAnsi"/>
                <w:b/>
                <w:bCs/>
                <w:noProof/>
                <w:sz w:val="19"/>
                <w:szCs w:val="19"/>
                <w:lang w:val="es-ES" w:eastAsia="en-GB"/>
              </w:rPr>
              <w:t> </w:t>
            </w:r>
          </w:p>
        </w:tc>
        <w:tc>
          <w:tcPr>
            <w:tcW w:w="1598" w:type="dxa"/>
            <w:tcBorders>
              <w:top w:val="nil"/>
              <w:left w:val="nil"/>
              <w:bottom w:val="single" w:sz="8" w:space="0" w:color="auto"/>
              <w:right w:val="nil"/>
            </w:tcBorders>
            <w:shd w:val="clear" w:color="000000" w:fill="D8E4BC"/>
            <w:noWrap/>
            <w:vAlign w:val="center"/>
            <w:hideMark/>
          </w:tcPr>
          <w:p w14:paraId="6682ACC2" w14:textId="760437A6" w:rsidR="0079083B" w:rsidRPr="00313E2B" w:rsidRDefault="007C6B16" w:rsidP="0079083B">
            <w:pPr>
              <w:ind w:left="0" w:firstLine="0"/>
              <w:jc w:val="center"/>
              <w:rPr>
                <w:rFonts w:asciiTheme="minorHAnsi" w:eastAsia="Times New Roman" w:hAnsiTheme="minorHAnsi" w:cstheme="minorHAnsi"/>
                <w:b/>
                <w:bCs/>
                <w:noProof/>
                <w:sz w:val="19"/>
                <w:szCs w:val="19"/>
                <w:lang w:val="es-ES" w:eastAsia="en-GB"/>
              </w:rPr>
            </w:pPr>
            <w:r w:rsidRPr="00313E2B">
              <w:rPr>
                <w:rFonts w:asciiTheme="minorHAnsi" w:eastAsia="Times New Roman" w:hAnsiTheme="minorHAnsi" w:cstheme="minorHAnsi"/>
                <w:b/>
                <w:bCs/>
                <w:noProof/>
                <w:sz w:val="19"/>
                <w:szCs w:val="19"/>
                <w:lang w:val="es-ES" w:eastAsia="en-GB"/>
              </w:rPr>
              <w:t>2020</w:t>
            </w:r>
          </w:p>
        </w:tc>
      </w:tr>
      <w:tr w:rsidR="0079083B" w:rsidRPr="00313E2B" w14:paraId="267982FE" w14:textId="77777777" w:rsidTr="00CB5586">
        <w:trPr>
          <w:trHeight w:val="288"/>
        </w:trPr>
        <w:tc>
          <w:tcPr>
            <w:tcW w:w="5954" w:type="dxa"/>
            <w:tcBorders>
              <w:top w:val="nil"/>
              <w:left w:val="nil"/>
              <w:bottom w:val="nil"/>
              <w:right w:val="nil"/>
            </w:tcBorders>
            <w:shd w:val="clear" w:color="000000" w:fill="FFFFFF"/>
            <w:noWrap/>
            <w:vAlign w:val="center"/>
            <w:hideMark/>
          </w:tcPr>
          <w:p w14:paraId="7F0A1966" w14:textId="77777777" w:rsidR="0079083B" w:rsidRPr="00313E2B" w:rsidRDefault="0079083B" w:rsidP="0079083B">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1400" w:type="dxa"/>
            <w:tcBorders>
              <w:top w:val="nil"/>
              <w:left w:val="nil"/>
              <w:bottom w:val="nil"/>
              <w:right w:val="nil"/>
            </w:tcBorders>
            <w:shd w:val="clear" w:color="000000" w:fill="FFFFFF"/>
            <w:noWrap/>
            <w:vAlign w:val="center"/>
            <w:hideMark/>
          </w:tcPr>
          <w:p w14:paraId="417D6B4B" w14:textId="77777777" w:rsidR="0079083B" w:rsidRPr="00313E2B" w:rsidRDefault="0079083B" w:rsidP="0079083B">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262" w:type="dxa"/>
            <w:tcBorders>
              <w:top w:val="nil"/>
              <w:left w:val="nil"/>
              <w:bottom w:val="nil"/>
              <w:right w:val="nil"/>
            </w:tcBorders>
            <w:shd w:val="clear" w:color="000000" w:fill="FFFFFF"/>
            <w:noWrap/>
            <w:vAlign w:val="center"/>
            <w:hideMark/>
          </w:tcPr>
          <w:p w14:paraId="038A053A" w14:textId="77777777" w:rsidR="0079083B" w:rsidRPr="00313E2B" w:rsidRDefault="0079083B" w:rsidP="0079083B">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60F7218A" w14:textId="77777777" w:rsidR="0079083B" w:rsidRPr="00313E2B" w:rsidRDefault="0079083B" w:rsidP="0079083B">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1598" w:type="dxa"/>
            <w:tcBorders>
              <w:top w:val="nil"/>
              <w:left w:val="nil"/>
              <w:bottom w:val="nil"/>
              <w:right w:val="nil"/>
            </w:tcBorders>
            <w:shd w:val="clear" w:color="000000" w:fill="FFFFFF"/>
            <w:noWrap/>
            <w:vAlign w:val="center"/>
            <w:hideMark/>
          </w:tcPr>
          <w:p w14:paraId="03CE9011" w14:textId="77777777" w:rsidR="0079083B" w:rsidRPr="00313E2B" w:rsidRDefault="0079083B" w:rsidP="0079083B">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r>
      <w:tr w:rsidR="00946B96" w:rsidRPr="00313E2B" w14:paraId="15C04F59" w14:textId="77777777" w:rsidTr="00CB5586">
        <w:trPr>
          <w:trHeight w:val="288"/>
        </w:trPr>
        <w:tc>
          <w:tcPr>
            <w:tcW w:w="5954" w:type="dxa"/>
            <w:tcBorders>
              <w:top w:val="nil"/>
              <w:left w:val="nil"/>
              <w:bottom w:val="nil"/>
              <w:right w:val="nil"/>
            </w:tcBorders>
            <w:shd w:val="clear" w:color="000000" w:fill="FFFFFF"/>
            <w:noWrap/>
            <w:vAlign w:val="center"/>
            <w:hideMark/>
          </w:tcPr>
          <w:p w14:paraId="1EA30133" w14:textId="6D00F953" w:rsidR="00946B96" w:rsidRPr="00313E2B" w:rsidRDefault="00946B96" w:rsidP="00946B96">
            <w:pPr>
              <w:ind w:left="0" w:firstLine="0"/>
              <w:rPr>
                <w:rFonts w:asciiTheme="minorHAnsi" w:eastAsia="Times New Roman" w:hAnsiTheme="minorHAnsi" w:cstheme="minorHAnsi"/>
                <w:b/>
                <w:bCs/>
                <w:noProof/>
                <w:sz w:val="19"/>
                <w:szCs w:val="19"/>
                <w:lang w:val="es-ES" w:eastAsia="en-GB"/>
              </w:rPr>
            </w:pPr>
            <w:r w:rsidRPr="00313E2B">
              <w:rPr>
                <w:b/>
                <w:bCs/>
                <w:noProof/>
                <w:sz w:val="19"/>
                <w:szCs w:val="19"/>
                <w:lang w:val="es-ES"/>
              </w:rPr>
              <w:t>Flujos de tesorería operativos</w:t>
            </w:r>
          </w:p>
        </w:tc>
        <w:tc>
          <w:tcPr>
            <w:tcW w:w="1400" w:type="dxa"/>
            <w:tcBorders>
              <w:top w:val="nil"/>
              <w:left w:val="nil"/>
              <w:bottom w:val="nil"/>
              <w:right w:val="nil"/>
            </w:tcBorders>
            <w:shd w:val="clear" w:color="000000" w:fill="FFFFFF"/>
            <w:noWrap/>
            <w:vAlign w:val="center"/>
            <w:hideMark/>
          </w:tcPr>
          <w:p w14:paraId="6E71BA78" w14:textId="77777777" w:rsidR="00946B96" w:rsidRPr="00313E2B" w:rsidRDefault="00946B96" w:rsidP="00946B9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262" w:type="dxa"/>
            <w:tcBorders>
              <w:top w:val="nil"/>
              <w:left w:val="nil"/>
              <w:bottom w:val="nil"/>
              <w:right w:val="nil"/>
            </w:tcBorders>
            <w:shd w:val="clear" w:color="000000" w:fill="FFFFFF"/>
            <w:noWrap/>
            <w:vAlign w:val="center"/>
            <w:hideMark/>
          </w:tcPr>
          <w:p w14:paraId="1C0B8F99" w14:textId="77777777" w:rsidR="00946B96" w:rsidRPr="00313E2B" w:rsidRDefault="00946B96" w:rsidP="00946B9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029099C2" w14:textId="77777777" w:rsidR="00946B96" w:rsidRPr="00313E2B" w:rsidRDefault="00946B96" w:rsidP="00946B9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1598" w:type="dxa"/>
            <w:tcBorders>
              <w:top w:val="nil"/>
              <w:left w:val="nil"/>
              <w:bottom w:val="nil"/>
              <w:right w:val="nil"/>
            </w:tcBorders>
            <w:shd w:val="clear" w:color="000000" w:fill="FFFFFF"/>
            <w:noWrap/>
            <w:vAlign w:val="center"/>
            <w:hideMark/>
          </w:tcPr>
          <w:p w14:paraId="00674B4C" w14:textId="77777777" w:rsidR="00946B96" w:rsidRPr="00313E2B" w:rsidRDefault="00946B96" w:rsidP="00946B9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r>
      <w:tr w:rsidR="0079083B" w:rsidRPr="00313E2B" w14:paraId="004CB2C7" w14:textId="77777777" w:rsidTr="00CB5586">
        <w:trPr>
          <w:trHeight w:val="288"/>
        </w:trPr>
        <w:tc>
          <w:tcPr>
            <w:tcW w:w="5954" w:type="dxa"/>
            <w:tcBorders>
              <w:top w:val="nil"/>
              <w:left w:val="nil"/>
              <w:bottom w:val="nil"/>
              <w:right w:val="nil"/>
            </w:tcBorders>
            <w:shd w:val="clear" w:color="000000" w:fill="FFFFFF"/>
            <w:noWrap/>
            <w:vAlign w:val="center"/>
            <w:hideMark/>
          </w:tcPr>
          <w:p w14:paraId="0DB0BE4E" w14:textId="77777777" w:rsidR="0079083B" w:rsidRPr="00313E2B" w:rsidRDefault="0079083B" w:rsidP="0079083B">
            <w:pPr>
              <w:ind w:left="0" w:firstLine="0"/>
              <w:rPr>
                <w:rFonts w:asciiTheme="minorHAnsi" w:eastAsia="Times New Roman" w:hAnsiTheme="minorHAnsi" w:cstheme="minorHAnsi"/>
                <w:b/>
                <w:bCs/>
                <w:noProof/>
                <w:sz w:val="19"/>
                <w:szCs w:val="19"/>
                <w:lang w:val="es-ES" w:eastAsia="en-GB"/>
              </w:rPr>
            </w:pPr>
            <w:r w:rsidRPr="00313E2B">
              <w:rPr>
                <w:rFonts w:asciiTheme="minorHAnsi" w:eastAsia="Times New Roman" w:hAnsiTheme="minorHAnsi" w:cstheme="minorHAnsi"/>
                <w:b/>
                <w:bCs/>
                <w:noProof/>
                <w:sz w:val="19"/>
                <w:szCs w:val="19"/>
                <w:lang w:val="es-ES" w:eastAsia="en-GB"/>
              </w:rPr>
              <w:t> </w:t>
            </w:r>
          </w:p>
        </w:tc>
        <w:tc>
          <w:tcPr>
            <w:tcW w:w="1400" w:type="dxa"/>
            <w:tcBorders>
              <w:top w:val="nil"/>
              <w:left w:val="nil"/>
              <w:bottom w:val="nil"/>
              <w:right w:val="nil"/>
            </w:tcBorders>
            <w:shd w:val="clear" w:color="000000" w:fill="FFFFFF"/>
            <w:noWrap/>
            <w:vAlign w:val="center"/>
            <w:hideMark/>
          </w:tcPr>
          <w:p w14:paraId="508169A9" w14:textId="77777777" w:rsidR="0079083B" w:rsidRPr="00313E2B" w:rsidRDefault="0079083B" w:rsidP="0079083B">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262" w:type="dxa"/>
            <w:tcBorders>
              <w:top w:val="nil"/>
              <w:left w:val="nil"/>
              <w:bottom w:val="nil"/>
              <w:right w:val="nil"/>
            </w:tcBorders>
            <w:shd w:val="clear" w:color="000000" w:fill="FFFFFF"/>
            <w:noWrap/>
            <w:vAlign w:val="center"/>
            <w:hideMark/>
          </w:tcPr>
          <w:p w14:paraId="0FBF627F" w14:textId="77777777" w:rsidR="0079083B" w:rsidRPr="00313E2B" w:rsidRDefault="0079083B" w:rsidP="0079083B">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3C325D68" w14:textId="77777777" w:rsidR="0079083B" w:rsidRPr="00313E2B" w:rsidRDefault="0079083B" w:rsidP="0079083B">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1598" w:type="dxa"/>
            <w:tcBorders>
              <w:top w:val="nil"/>
              <w:left w:val="nil"/>
              <w:bottom w:val="nil"/>
              <w:right w:val="nil"/>
            </w:tcBorders>
            <w:shd w:val="clear" w:color="000000" w:fill="FFFFFF"/>
            <w:noWrap/>
            <w:vAlign w:val="center"/>
            <w:hideMark/>
          </w:tcPr>
          <w:p w14:paraId="73362C41" w14:textId="77777777" w:rsidR="0079083B" w:rsidRPr="00313E2B" w:rsidRDefault="0079083B" w:rsidP="0079083B">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r>
      <w:tr w:rsidR="00946B96" w:rsidRPr="00313E2B" w14:paraId="2AA53F45" w14:textId="77777777" w:rsidTr="002538A3">
        <w:trPr>
          <w:trHeight w:val="288"/>
        </w:trPr>
        <w:tc>
          <w:tcPr>
            <w:tcW w:w="5954" w:type="dxa"/>
            <w:tcBorders>
              <w:top w:val="nil"/>
              <w:left w:val="nil"/>
              <w:bottom w:val="nil"/>
              <w:right w:val="nil"/>
            </w:tcBorders>
            <w:shd w:val="clear" w:color="000000" w:fill="FFFFFF"/>
            <w:noWrap/>
            <w:vAlign w:val="center"/>
            <w:hideMark/>
          </w:tcPr>
          <w:p w14:paraId="197324D5" w14:textId="47E838EC" w:rsidR="00946B96" w:rsidRPr="00313E2B" w:rsidRDefault="00946B96" w:rsidP="00946B96">
            <w:pPr>
              <w:ind w:left="0" w:firstLine="0"/>
              <w:rPr>
                <w:rFonts w:asciiTheme="minorHAnsi" w:eastAsia="Times New Roman" w:hAnsiTheme="minorHAnsi" w:cstheme="minorHAnsi"/>
                <w:b/>
                <w:bCs/>
                <w:noProof/>
                <w:sz w:val="19"/>
                <w:szCs w:val="19"/>
                <w:lang w:val="es-ES" w:eastAsia="en-GB"/>
              </w:rPr>
            </w:pPr>
            <w:r w:rsidRPr="00313E2B">
              <w:rPr>
                <w:b/>
                <w:bCs/>
                <w:noProof/>
                <w:sz w:val="19"/>
                <w:szCs w:val="19"/>
                <w:lang w:val="es-ES"/>
              </w:rPr>
              <w:t>Excedente/(Déficit) de las operaciones</w:t>
            </w:r>
          </w:p>
        </w:tc>
        <w:tc>
          <w:tcPr>
            <w:tcW w:w="1400" w:type="dxa"/>
            <w:tcBorders>
              <w:top w:val="nil"/>
              <w:left w:val="nil"/>
              <w:bottom w:val="single" w:sz="4" w:space="0" w:color="auto"/>
              <w:right w:val="nil"/>
            </w:tcBorders>
            <w:shd w:val="clear" w:color="000000" w:fill="FFFFFF"/>
            <w:noWrap/>
            <w:vAlign w:val="center"/>
            <w:hideMark/>
          </w:tcPr>
          <w:p w14:paraId="7158BD1E" w14:textId="1AD7D43E" w:rsidR="00946B96" w:rsidRPr="00313E2B" w:rsidRDefault="00946B96" w:rsidP="00946B96">
            <w:pPr>
              <w:ind w:left="0" w:firstLine="0"/>
              <w:jc w:val="right"/>
              <w:rPr>
                <w:rFonts w:asciiTheme="minorHAnsi" w:eastAsia="Times New Roman" w:hAnsiTheme="minorHAnsi" w:cstheme="minorHAnsi"/>
                <w:b/>
                <w:bCs/>
                <w:noProof/>
                <w:sz w:val="19"/>
                <w:szCs w:val="19"/>
                <w:lang w:val="es-ES" w:eastAsia="en-GB"/>
              </w:rPr>
            </w:pPr>
            <w:r w:rsidRPr="00313E2B">
              <w:rPr>
                <w:rFonts w:asciiTheme="minorHAnsi" w:eastAsia="Times New Roman" w:hAnsiTheme="minorHAnsi" w:cstheme="minorHAnsi"/>
                <w:b/>
                <w:bCs/>
                <w:noProof/>
                <w:sz w:val="19"/>
                <w:szCs w:val="19"/>
                <w:lang w:val="es-ES" w:eastAsia="en-GB"/>
              </w:rPr>
              <w:t>534</w:t>
            </w:r>
          </w:p>
        </w:tc>
        <w:tc>
          <w:tcPr>
            <w:tcW w:w="262" w:type="dxa"/>
            <w:tcBorders>
              <w:top w:val="nil"/>
              <w:left w:val="nil"/>
              <w:bottom w:val="single" w:sz="4" w:space="0" w:color="auto"/>
              <w:right w:val="nil"/>
            </w:tcBorders>
            <w:shd w:val="clear" w:color="000000" w:fill="FFFFFF"/>
            <w:noWrap/>
            <w:vAlign w:val="center"/>
            <w:hideMark/>
          </w:tcPr>
          <w:p w14:paraId="745C29E1" w14:textId="77777777" w:rsidR="00946B96" w:rsidRPr="00313E2B" w:rsidRDefault="00946B96" w:rsidP="00946B96">
            <w:pPr>
              <w:ind w:left="0" w:firstLine="0"/>
              <w:rPr>
                <w:rFonts w:asciiTheme="minorHAnsi" w:eastAsia="Times New Roman" w:hAnsiTheme="minorHAnsi" w:cstheme="minorHAnsi"/>
                <w:b/>
                <w:bCs/>
                <w:noProof/>
                <w:sz w:val="19"/>
                <w:szCs w:val="19"/>
                <w:lang w:val="es-ES" w:eastAsia="en-GB"/>
              </w:rPr>
            </w:pPr>
            <w:r w:rsidRPr="00313E2B">
              <w:rPr>
                <w:rFonts w:asciiTheme="minorHAnsi" w:eastAsia="Times New Roman" w:hAnsiTheme="minorHAnsi" w:cstheme="minorHAnsi"/>
                <w:b/>
                <w:bCs/>
                <w:noProof/>
                <w:sz w:val="19"/>
                <w:szCs w:val="19"/>
                <w:lang w:val="es-ES" w:eastAsia="en-GB"/>
              </w:rPr>
              <w:t> </w:t>
            </w:r>
          </w:p>
        </w:tc>
        <w:tc>
          <w:tcPr>
            <w:tcW w:w="284" w:type="dxa"/>
            <w:tcBorders>
              <w:top w:val="nil"/>
              <w:left w:val="nil"/>
              <w:bottom w:val="single" w:sz="4" w:space="0" w:color="auto"/>
              <w:right w:val="nil"/>
            </w:tcBorders>
            <w:shd w:val="clear" w:color="000000" w:fill="D9D9D9"/>
            <w:noWrap/>
            <w:vAlign w:val="center"/>
            <w:hideMark/>
          </w:tcPr>
          <w:p w14:paraId="0EBF8411" w14:textId="77777777" w:rsidR="00946B96" w:rsidRPr="00313E2B" w:rsidRDefault="00946B96" w:rsidP="00946B96">
            <w:pPr>
              <w:ind w:left="0" w:firstLine="0"/>
              <w:rPr>
                <w:rFonts w:asciiTheme="minorHAnsi" w:eastAsia="Times New Roman" w:hAnsiTheme="minorHAnsi" w:cstheme="minorHAnsi"/>
                <w:b/>
                <w:bCs/>
                <w:noProof/>
                <w:sz w:val="19"/>
                <w:szCs w:val="19"/>
                <w:lang w:val="es-ES" w:eastAsia="en-GB"/>
              </w:rPr>
            </w:pPr>
            <w:r w:rsidRPr="00313E2B">
              <w:rPr>
                <w:rFonts w:asciiTheme="minorHAnsi" w:eastAsia="Times New Roman" w:hAnsiTheme="minorHAnsi" w:cstheme="minorHAnsi"/>
                <w:b/>
                <w:bCs/>
                <w:noProof/>
                <w:sz w:val="19"/>
                <w:szCs w:val="19"/>
                <w:lang w:val="es-ES" w:eastAsia="en-GB"/>
              </w:rPr>
              <w:t> </w:t>
            </w:r>
          </w:p>
        </w:tc>
        <w:tc>
          <w:tcPr>
            <w:tcW w:w="1598" w:type="dxa"/>
            <w:tcBorders>
              <w:top w:val="nil"/>
              <w:left w:val="nil"/>
              <w:bottom w:val="single" w:sz="4" w:space="0" w:color="auto"/>
              <w:right w:val="nil"/>
            </w:tcBorders>
            <w:shd w:val="clear" w:color="000000" w:fill="FFFFFF"/>
            <w:noWrap/>
            <w:hideMark/>
          </w:tcPr>
          <w:p w14:paraId="643A463B" w14:textId="64F60897" w:rsidR="00946B96" w:rsidRPr="00313E2B" w:rsidRDefault="00946B96" w:rsidP="00946B96">
            <w:pPr>
              <w:ind w:left="0" w:firstLine="0"/>
              <w:jc w:val="right"/>
              <w:rPr>
                <w:rFonts w:asciiTheme="minorHAnsi" w:eastAsia="Times New Roman" w:hAnsiTheme="minorHAnsi" w:cstheme="minorHAnsi"/>
                <w:b/>
                <w:bCs/>
                <w:noProof/>
                <w:sz w:val="19"/>
                <w:szCs w:val="19"/>
                <w:lang w:val="es-ES" w:eastAsia="en-GB"/>
              </w:rPr>
            </w:pPr>
            <w:r w:rsidRPr="00313E2B">
              <w:rPr>
                <w:b/>
                <w:noProof/>
                <w:sz w:val="19"/>
                <w:szCs w:val="19"/>
                <w:lang w:val="es-ES"/>
              </w:rPr>
              <w:t>474</w:t>
            </w:r>
          </w:p>
        </w:tc>
      </w:tr>
      <w:tr w:rsidR="007C6B16" w:rsidRPr="00313E2B" w14:paraId="52567809" w14:textId="77777777" w:rsidTr="002538A3">
        <w:trPr>
          <w:trHeight w:val="288"/>
        </w:trPr>
        <w:tc>
          <w:tcPr>
            <w:tcW w:w="5954" w:type="dxa"/>
            <w:tcBorders>
              <w:top w:val="nil"/>
              <w:left w:val="nil"/>
              <w:bottom w:val="nil"/>
              <w:right w:val="nil"/>
            </w:tcBorders>
            <w:shd w:val="clear" w:color="000000" w:fill="FFFFFF"/>
            <w:noWrap/>
            <w:vAlign w:val="center"/>
            <w:hideMark/>
          </w:tcPr>
          <w:p w14:paraId="2078FAE2" w14:textId="77777777" w:rsidR="007C6B16" w:rsidRPr="00313E2B" w:rsidRDefault="007C6B16" w:rsidP="007C6B16">
            <w:pPr>
              <w:ind w:left="0" w:firstLine="0"/>
              <w:rPr>
                <w:rFonts w:asciiTheme="minorHAnsi" w:eastAsia="Times New Roman" w:hAnsiTheme="minorHAnsi" w:cstheme="minorHAnsi"/>
                <w:b/>
                <w:bCs/>
                <w:noProof/>
                <w:sz w:val="19"/>
                <w:szCs w:val="19"/>
                <w:lang w:val="es-ES" w:eastAsia="en-GB"/>
              </w:rPr>
            </w:pPr>
            <w:r w:rsidRPr="00313E2B">
              <w:rPr>
                <w:rFonts w:asciiTheme="minorHAnsi" w:eastAsia="Times New Roman" w:hAnsiTheme="minorHAnsi" w:cstheme="minorHAnsi"/>
                <w:b/>
                <w:bCs/>
                <w:noProof/>
                <w:sz w:val="19"/>
                <w:szCs w:val="19"/>
                <w:lang w:val="es-ES" w:eastAsia="en-GB"/>
              </w:rPr>
              <w:t> </w:t>
            </w:r>
          </w:p>
        </w:tc>
        <w:tc>
          <w:tcPr>
            <w:tcW w:w="1400" w:type="dxa"/>
            <w:tcBorders>
              <w:top w:val="nil"/>
              <w:left w:val="nil"/>
              <w:bottom w:val="nil"/>
              <w:right w:val="nil"/>
            </w:tcBorders>
            <w:shd w:val="clear" w:color="000000" w:fill="FFFFFF"/>
            <w:noWrap/>
            <w:vAlign w:val="center"/>
            <w:hideMark/>
          </w:tcPr>
          <w:p w14:paraId="5C3D6826" w14:textId="77777777" w:rsidR="007C6B16" w:rsidRPr="00313E2B" w:rsidRDefault="007C6B16" w:rsidP="007C6B16">
            <w:pPr>
              <w:ind w:left="0" w:firstLine="0"/>
              <w:rPr>
                <w:rFonts w:asciiTheme="minorHAnsi" w:eastAsia="Times New Roman" w:hAnsiTheme="minorHAnsi" w:cstheme="minorHAnsi"/>
                <w:b/>
                <w:bCs/>
                <w:noProof/>
                <w:sz w:val="19"/>
                <w:szCs w:val="19"/>
                <w:lang w:val="es-ES" w:eastAsia="en-GB"/>
              </w:rPr>
            </w:pPr>
            <w:r w:rsidRPr="00313E2B">
              <w:rPr>
                <w:rFonts w:asciiTheme="minorHAnsi" w:eastAsia="Times New Roman" w:hAnsiTheme="minorHAnsi" w:cstheme="minorHAnsi"/>
                <w:b/>
                <w:bCs/>
                <w:noProof/>
                <w:sz w:val="19"/>
                <w:szCs w:val="19"/>
                <w:lang w:val="es-ES" w:eastAsia="en-GB"/>
              </w:rPr>
              <w:t> </w:t>
            </w:r>
          </w:p>
        </w:tc>
        <w:tc>
          <w:tcPr>
            <w:tcW w:w="262" w:type="dxa"/>
            <w:tcBorders>
              <w:top w:val="nil"/>
              <w:left w:val="nil"/>
              <w:bottom w:val="nil"/>
              <w:right w:val="nil"/>
            </w:tcBorders>
            <w:shd w:val="clear" w:color="000000" w:fill="FFFFFF"/>
            <w:noWrap/>
            <w:vAlign w:val="center"/>
            <w:hideMark/>
          </w:tcPr>
          <w:p w14:paraId="3AD14E8D" w14:textId="77777777" w:rsidR="007C6B16" w:rsidRPr="00313E2B" w:rsidRDefault="007C6B16" w:rsidP="007C6B16">
            <w:pPr>
              <w:ind w:left="0" w:firstLine="0"/>
              <w:rPr>
                <w:rFonts w:asciiTheme="minorHAnsi" w:eastAsia="Times New Roman" w:hAnsiTheme="minorHAnsi" w:cstheme="minorHAnsi"/>
                <w:b/>
                <w:bCs/>
                <w:noProof/>
                <w:sz w:val="19"/>
                <w:szCs w:val="19"/>
                <w:lang w:val="es-ES" w:eastAsia="en-GB"/>
              </w:rPr>
            </w:pPr>
            <w:r w:rsidRPr="00313E2B">
              <w:rPr>
                <w:rFonts w:asciiTheme="minorHAnsi" w:eastAsia="Times New Roman" w:hAnsiTheme="minorHAnsi" w:cstheme="minorHAnsi"/>
                <w:b/>
                <w:bCs/>
                <w:noProof/>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0ABF3B69" w14:textId="77777777" w:rsidR="007C6B16" w:rsidRPr="00313E2B" w:rsidRDefault="007C6B16" w:rsidP="007C6B16">
            <w:pPr>
              <w:ind w:left="0" w:firstLine="0"/>
              <w:rPr>
                <w:rFonts w:asciiTheme="minorHAnsi" w:eastAsia="Times New Roman" w:hAnsiTheme="minorHAnsi" w:cstheme="minorHAnsi"/>
                <w:b/>
                <w:bCs/>
                <w:noProof/>
                <w:sz w:val="19"/>
                <w:szCs w:val="19"/>
                <w:lang w:val="es-ES" w:eastAsia="en-GB"/>
              </w:rPr>
            </w:pPr>
            <w:r w:rsidRPr="00313E2B">
              <w:rPr>
                <w:rFonts w:asciiTheme="minorHAnsi" w:eastAsia="Times New Roman" w:hAnsiTheme="minorHAnsi" w:cstheme="minorHAnsi"/>
                <w:b/>
                <w:bCs/>
                <w:noProof/>
                <w:sz w:val="19"/>
                <w:szCs w:val="19"/>
                <w:lang w:val="es-ES" w:eastAsia="en-GB"/>
              </w:rPr>
              <w:t> </w:t>
            </w:r>
          </w:p>
        </w:tc>
        <w:tc>
          <w:tcPr>
            <w:tcW w:w="1598" w:type="dxa"/>
            <w:tcBorders>
              <w:top w:val="nil"/>
              <w:left w:val="nil"/>
              <w:bottom w:val="nil"/>
              <w:right w:val="nil"/>
            </w:tcBorders>
            <w:shd w:val="clear" w:color="000000" w:fill="FFFFFF"/>
            <w:noWrap/>
            <w:hideMark/>
          </w:tcPr>
          <w:p w14:paraId="6556E9DC" w14:textId="4DB4804A" w:rsidR="007C6B16" w:rsidRPr="00313E2B" w:rsidRDefault="007C6B16" w:rsidP="007C6B16">
            <w:pPr>
              <w:ind w:left="0" w:firstLine="0"/>
              <w:rPr>
                <w:rFonts w:asciiTheme="minorHAnsi" w:eastAsia="Times New Roman" w:hAnsiTheme="minorHAnsi" w:cstheme="minorHAnsi"/>
                <w:b/>
                <w:bCs/>
                <w:noProof/>
                <w:sz w:val="19"/>
                <w:szCs w:val="19"/>
                <w:lang w:val="es-ES" w:eastAsia="en-GB"/>
              </w:rPr>
            </w:pPr>
            <w:r w:rsidRPr="00313E2B">
              <w:rPr>
                <w:noProof/>
                <w:sz w:val="19"/>
                <w:szCs w:val="19"/>
                <w:lang w:val="es-ES"/>
              </w:rPr>
              <w:t xml:space="preserve"> </w:t>
            </w:r>
          </w:p>
        </w:tc>
      </w:tr>
      <w:tr w:rsidR="00946B96" w:rsidRPr="00313E2B" w14:paraId="3A72D3EA" w14:textId="77777777" w:rsidTr="002538A3">
        <w:trPr>
          <w:trHeight w:val="288"/>
        </w:trPr>
        <w:tc>
          <w:tcPr>
            <w:tcW w:w="5954" w:type="dxa"/>
            <w:tcBorders>
              <w:top w:val="nil"/>
              <w:left w:val="nil"/>
              <w:bottom w:val="nil"/>
              <w:right w:val="nil"/>
            </w:tcBorders>
            <w:shd w:val="clear" w:color="000000" w:fill="FFFFFF"/>
            <w:noWrap/>
            <w:vAlign w:val="center"/>
            <w:hideMark/>
          </w:tcPr>
          <w:p w14:paraId="5A47C650" w14:textId="48E3B6E1" w:rsidR="00946B96" w:rsidRPr="00313E2B" w:rsidRDefault="00946B96" w:rsidP="00946B96">
            <w:pPr>
              <w:ind w:left="0" w:firstLine="0"/>
              <w:rPr>
                <w:rFonts w:asciiTheme="minorHAnsi" w:eastAsia="Times New Roman" w:hAnsiTheme="minorHAnsi" w:cstheme="minorHAnsi"/>
                <w:noProof/>
                <w:color w:val="000000"/>
                <w:sz w:val="19"/>
                <w:szCs w:val="19"/>
                <w:lang w:val="es-ES" w:eastAsia="en-GB"/>
              </w:rPr>
            </w:pPr>
            <w:r w:rsidRPr="00313E2B">
              <w:rPr>
                <w:noProof/>
                <w:color w:val="000000"/>
                <w:sz w:val="19"/>
                <w:szCs w:val="19"/>
                <w:lang w:val="es-ES"/>
              </w:rPr>
              <w:t>Amortización del inmovilizado</w:t>
            </w:r>
          </w:p>
        </w:tc>
        <w:tc>
          <w:tcPr>
            <w:tcW w:w="1400" w:type="dxa"/>
            <w:tcBorders>
              <w:top w:val="nil"/>
              <w:left w:val="nil"/>
              <w:bottom w:val="nil"/>
              <w:right w:val="nil"/>
            </w:tcBorders>
            <w:shd w:val="clear" w:color="000000" w:fill="FFFFFF"/>
            <w:noWrap/>
            <w:hideMark/>
          </w:tcPr>
          <w:p w14:paraId="0E8FCB20" w14:textId="20AA8541" w:rsidR="00946B96" w:rsidRPr="00313E2B" w:rsidRDefault="00946B96" w:rsidP="00946B96">
            <w:pPr>
              <w:ind w:left="0" w:firstLine="0"/>
              <w:jc w:val="right"/>
              <w:rPr>
                <w:rFonts w:asciiTheme="minorHAnsi" w:eastAsia="Times New Roman" w:hAnsiTheme="minorHAnsi" w:cstheme="minorHAnsi"/>
                <w:noProof/>
                <w:sz w:val="19"/>
                <w:szCs w:val="19"/>
                <w:lang w:val="es-ES" w:eastAsia="en-GB"/>
              </w:rPr>
            </w:pPr>
            <w:r w:rsidRPr="00313E2B">
              <w:rPr>
                <w:noProof/>
                <w:sz w:val="19"/>
                <w:szCs w:val="19"/>
                <w:lang w:val="es-ES"/>
              </w:rPr>
              <w:t>6</w:t>
            </w:r>
          </w:p>
        </w:tc>
        <w:tc>
          <w:tcPr>
            <w:tcW w:w="262" w:type="dxa"/>
            <w:tcBorders>
              <w:top w:val="nil"/>
              <w:left w:val="nil"/>
              <w:bottom w:val="nil"/>
              <w:right w:val="nil"/>
            </w:tcBorders>
            <w:shd w:val="clear" w:color="000000" w:fill="FFFFFF"/>
            <w:noWrap/>
            <w:vAlign w:val="center"/>
            <w:hideMark/>
          </w:tcPr>
          <w:p w14:paraId="3D7038DB" w14:textId="77777777" w:rsidR="00946B96" w:rsidRPr="00313E2B" w:rsidRDefault="00946B96" w:rsidP="00946B9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1542062C" w14:textId="77777777" w:rsidR="00946B96" w:rsidRPr="00313E2B" w:rsidRDefault="00946B96" w:rsidP="00946B9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1598" w:type="dxa"/>
            <w:tcBorders>
              <w:top w:val="nil"/>
              <w:left w:val="nil"/>
              <w:bottom w:val="nil"/>
              <w:right w:val="nil"/>
            </w:tcBorders>
            <w:shd w:val="clear" w:color="000000" w:fill="FFFFFF"/>
            <w:noWrap/>
            <w:hideMark/>
          </w:tcPr>
          <w:p w14:paraId="20F38CF2" w14:textId="48C6D772" w:rsidR="00946B96" w:rsidRPr="00313E2B" w:rsidRDefault="00946B96" w:rsidP="00946B96">
            <w:pPr>
              <w:ind w:left="0" w:firstLine="0"/>
              <w:jc w:val="right"/>
              <w:rPr>
                <w:rFonts w:asciiTheme="minorHAnsi" w:eastAsia="Times New Roman" w:hAnsiTheme="minorHAnsi" w:cstheme="minorHAnsi"/>
                <w:noProof/>
                <w:sz w:val="19"/>
                <w:szCs w:val="19"/>
                <w:lang w:val="es-ES" w:eastAsia="en-GB"/>
              </w:rPr>
            </w:pPr>
            <w:r w:rsidRPr="00313E2B">
              <w:rPr>
                <w:noProof/>
                <w:sz w:val="19"/>
                <w:szCs w:val="19"/>
                <w:lang w:val="es-ES"/>
              </w:rPr>
              <w:t>7</w:t>
            </w:r>
          </w:p>
        </w:tc>
      </w:tr>
      <w:tr w:rsidR="00946B96" w:rsidRPr="00313E2B" w14:paraId="0D502E19" w14:textId="77777777" w:rsidTr="002538A3">
        <w:trPr>
          <w:trHeight w:val="288"/>
        </w:trPr>
        <w:tc>
          <w:tcPr>
            <w:tcW w:w="5954" w:type="dxa"/>
            <w:tcBorders>
              <w:top w:val="nil"/>
              <w:left w:val="nil"/>
              <w:bottom w:val="nil"/>
              <w:right w:val="nil"/>
            </w:tcBorders>
            <w:shd w:val="clear" w:color="000000" w:fill="FFFFFF"/>
            <w:noWrap/>
            <w:vAlign w:val="center"/>
            <w:hideMark/>
          </w:tcPr>
          <w:p w14:paraId="62389418" w14:textId="30CF9113" w:rsidR="00946B96" w:rsidRPr="00313E2B" w:rsidRDefault="00946B96" w:rsidP="00946B96">
            <w:pPr>
              <w:ind w:left="0" w:firstLine="0"/>
              <w:rPr>
                <w:rFonts w:asciiTheme="minorHAnsi" w:eastAsia="Times New Roman" w:hAnsiTheme="minorHAnsi" w:cstheme="minorHAnsi"/>
                <w:noProof/>
                <w:sz w:val="19"/>
                <w:szCs w:val="19"/>
                <w:lang w:val="es-ES" w:eastAsia="en-GB"/>
              </w:rPr>
            </w:pPr>
            <w:r w:rsidRPr="00313E2B">
              <w:rPr>
                <w:noProof/>
                <w:sz w:val="19"/>
                <w:szCs w:val="19"/>
                <w:lang w:val="es-ES"/>
              </w:rPr>
              <w:t>Incremento / (disminución) de las provisiones en caso de mora de las contribuciones de los miembros</w:t>
            </w:r>
          </w:p>
        </w:tc>
        <w:tc>
          <w:tcPr>
            <w:tcW w:w="1400" w:type="dxa"/>
            <w:tcBorders>
              <w:top w:val="nil"/>
              <w:left w:val="nil"/>
              <w:bottom w:val="nil"/>
              <w:right w:val="nil"/>
            </w:tcBorders>
            <w:shd w:val="clear" w:color="000000" w:fill="FFFFFF"/>
            <w:noWrap/>
            <w:hideMark/>
          </w:tcPr>
          <w:p w14:paraId="2F963FA0" w14:textId="0F43F92C" w:rsidR="00946B96" w:rsidRPr="00313E2B" w:rsidRDefault="00946B96" w:rsidP="00946B96">
            <w:pPr>
              <w:ind w:left="0" w:firstLine="0"/>
              <w:jc w:val="right"/>
              <w:rPr>
                <w:rFonts w:asciiTheme="minorHAnsi" w:eastAsia="Times New Roman" w:hAnsiTheme="minorHAnsi" w:cstheme="minorHAnsi"/>
                <w:noProof/>
                <w:sz w:val="19"/>
                <w:szCs w:val="19"/>
                <w:lang w:val="es-ES" w:eastAsia="en-GB"/>
              </w:rPr>
            </w:pPr>
            <w:r w:rsidRPr="00313E2B">
              <w:rPr>
                <w:noProof/>
                <w:sz w:val="19"/>
                <w:szCs w:val="19"/>
                <w:lang w:val="es-ES"/>
              </w:rPr>
              <w:t>60</w:t>
            </w:r>
          </w:p>
        </w:tc>
        <w:tc>
          <w:tcPr>
            <w:tcW w:w="262" w:type="dxa"/>
            <w:tcBorders>
              <w:top w:val="nil"/>
              <w:left w:val="nil"/>
              <w:bottom w:val="nil"/>
              <w:right w:val="nil"/>
            </w:tcBorders>
            <w:shd w:val="clear" w:color="000000" w:fill="FFFFFF"/>
            <w:noWrap/>
            <w:vAlign w:val="center"/>
            <w:hideMark/>
          </w:tcPr>
          <w:p w14:paraId="3213ADF9" w14:textId="77777777" w:rsidR="00946B96" w:rsidRPr="00313E2B" w:rsidRDefault="00946B96" w:rsidP="00946B9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380602EC" w14:textId="77777777" w:rsidR="00946B96" w:rsidRPr="00313E2B" w:rsidRDefault="00946B96" w:rsidP="00946B9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1598" w:type="dxa"/>
            <w:tcBorders>
              <w:top w:val="nil"/>
              <w:left w:val="nil"/>
              <w:bottom w:val="nil"/>
              <w:right w:val="nil"/>
            </w:tcBorders>
            <w:shd w:val="clear" w:color="000000" w:fill="FFFFFF"/>
            <w:noWrap/>
            <w:hideMark/>
          </w:tcPr>
          <w:p w14:paraId="59AAECED" w14:textId="3DBACEC6" w:rsidR="00946B96" w:rsidRPr="00313E2B" w:rsidRDefault="00946B96" w:rsidP="00946B96">
            <w:pPr>
              <w:ind w:left="0" w:firstLine="0"/>
              <w:jc w:val="right"/>
              <w:rPr>
                <w:rFonts w:asciiTheme="minorHAnsi" w:eastAsia="Times New Roman" w:hAnsiTheme="minorHAnsi" w:cstheme="minorHAnsi"/>
                <w:noProof/>
                <w:sz w:val="19"/>
                <w:szCs w:val="19"/>
                <w:lang w:val="es-ES" w:eastAsia="en-GB"/>
              </w:rPr>
            </w:pPr>
            <w:r w:rsidRPr="00313E2B">
              <w:rPr>
                <w:noProof/>
                <w:sz w:val="19"/>
                <w:szCs w:val="19"/>
                <w:lang w:val="es-ES"/>
              </w:rPr>
              <w:t>95</w:t>
            </w:r>
          </w:p>
        </w:tc>
      </w:tr>
      <w:tr w:rsidR="00946B96" w:rsidRPr="00313E2B" w14:paraId="1C367A3C" w14:textId="77777777" w:rsidTr="002538A3">
        <w:trPr>
          <w:trHeight w:val="312"/>
        </w:trPr>
        <w:tc>
          <w:tcPr>
            <w:tcW w:w="5954" w:type="dxa"/>
            <w:tcBorders>
              <w:top w:val="nil"/>
              <w:left w:val="nil"/>
              <w:bottom w:val="nil"/>
              <w:right w:val="nil"/>
            </w:tcBorders>
            <w:shd w:val="clear" w:color="000000" w:fill="FFFFFF"/>
            <w:noWrap/>
            <w:vAlign w:val="center"/>
            <w:hideMark/>
          </w:tcPr>
          <w:p w14:paraId="58051B12" w14:textId="5F1FFAC2" w:rsidR="00946B96" w:rsidRPr="00313E2B" w:rsidRDefault="00946B96" w:rsidP="00946B96">
            <w:pPr>
              <w:ind w:left="0" w:firstLine="0"/>
              <w:rPr>
                <w:rFonts w:asciiTheme="minorHAnsi" w:eastAsia="Times New Roman" w:hAnsiTheme="minorHAnsi" w:cstheme="minorHAnsi"/>
                <w:noProof/>
                <w:sz w:val="19"/>
                <w:szCs w:val="19"/>
                <w:lang w:val="es-ES" w:eastAsia="en-GB"/>
              </w:rPr>
            </w:pPr>
            <w:r w:rsidRPr="00313E2B">
              <w:rPr>
                <w:noProof/>
                <w:sz w:val="19"/>
                <w:szCs w:val="19"/>
                <w:lang w:val="es-ES"/>
              </w:rPr>
              <w:t>Incremento / (disminución) del pasivo correspondiente a vacaciones y repatriación del personal</w:t>
            </w:r>
          </w:p>
        </w:tc>
        <w:tc>
          <w:tcPr>
            <w:tcW w:w="1400" w:type="dxa"/>
            <w:tcBorders>
              <w:top w:val="nil"/>
              <w:left w:val="nil"/>
              <w:bottom w:val="nil"/>
              <w:right w:val="nil"/>
            </w:tcBorders>
            <w:shd w:val="clear" w:color="000000" w:fill="FFFFFF"/>
            <w:noWrap/>
            <w:hideMark/>
          </w:tcPr>
          <w:p w14:paraId="56EC5EE6" w14:textId="429B47D7" w:rsidR="00946B96" w:rsidRPr="00313E2B" w:rsidRDefault="00946B96" w:rsidP="00946B96">
            <w:pPr>
              <w:ind w:left="0" w:firstLine="0"/>
              <w:jc w:val="right"/>
              <w:rPr>
                <w:rFonts w:asciiTheme="minorHAnsi" w:eastAsia="Times New Roman" w:hAnsiTheme="minorHAnsi" w:cstheme="minorHAnsi"/>
                <w:noProof/>
                <w:sz w:val="19"/>
                <w:szCs w:val="19"/>
                <w:lang w:val="es-ES" w:eastAsia="en-GB"/>
              </w:rPr>
            </w:pPr>
            <w:r w:rsidRPr="00313E2B">
              <w:rPr>
                <w:noProof/>
                <w:sz w:val="19"/>
                <w:szCs w:val="19"/>
                <w:lang w:val="es-ES"/>
              </w:rPr>
              <w:t>19</w:t>
            </w:r>
          </w:p>
        </w:tc>
        <w:tc>
          <w:tcPr>
            <w:tcW w:w="262" w:type="dxa"/>
            <w:tcBorders>
              <w:top w:val="nil"/>
              <w:left w:val="nil"/>
              <w:bottom w:val="nil"/>
              <w:right w:val="nil"/>
            </w:tcBorders>
            <w:shd w:val="clear" w:color="000000" w:fill="FFFFFF"/>
            <w:noWrap/>
            <w:vAlign w:val="center"/>
            <w:hideMark/>
          </w:tcPr>
          <w:p w14:paraId="450183D5" w14:textId="77777777" w:rsidR="00946B96" w:rsidRPr="00313E2B" w:rsidRDefault="00946B96" w:rsidP="00946B9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662B59E5" w14:textId="77777777" w:rsidR="00946B96" w:rsidRPr="00313E2B" w:rsidRDefault="00946B96" w:rsidP="00946B9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1598" w:type="dxa"/>
            <w:tcBorders>
              <w:top w:val="nil"/>
              <w:left w:val="nil"/>
              <w:bottom w:val="nil"/>
              <w:right w:val="nil"/>
            </w:tcBorders>
            <w:shd w:val="clear" w:color="000000" w:fill="FFFFFF"/>
            <w:noWrap/>
            <w:hideMark/>
          </w:tcPr>
          <w:p w14:paraId="28248607" w14:textId="5A1FC8A3" w:rsidR="00946B96" w:rsidRPr="00313E2B" w:rsidRDefault="00946B96" w:rsidP="00946B96">
            <w:pPr>
              <w:ind w:left="0" w:firstLine="0"/>
              <w:jc w:val="right"/>
              <w:rPr>
                <w:rFonts w:asciiTheme="minorHAnsi" w:eastAsia="Times New Roman" w:hAnsiTheme="minorHAnsi" w:cstheme="minorHAnsi"/>
                <w:noProof/>
                <w:sz w:val="19"/>
                <w:szCs w:val="19"/>
                <w:lang w:val="es-ES" w:eastAsia="en-GB"/>
              </w:rPr>
            </w:pPr>
            <w:r w:rsidRPr="00313E2B">
              <w:rPr>
                <w:noProof/>
                <w:sz w:val="19"/>
                <w:szCs w:val="19"/>
                <w:lang w:val="es-ES"/>
              </w:rPr>
              <w:t>(41)</w:t>
            </w:r>
          </w:p>
        </w:tc>
      </w:tr>
      <w:tr w:rsidR="00946B96" w:rsidRPr="00313E2B" w14:paraId="295CEFA8" w14:textId="77777777" w:rsidTr="002538A3">
        <w:trPr>
          <w:trHeight w:val="312"/>
        </w:trPr>
        <w:tc>
          <w:tcPr>
            <w:tcW w:w="5954" w:type="dxa"/>
            <w:tcBorders>
              <w:top w:val="nil"/>
              <w:left w:val="nil"/>
              <w:bottom w:val="nil"/>
              <w:right w:val="nil"/>
            </w:tcBorders>
            <w:shd w:val="clear" w:color="000000" w:fill="FFFFFF"/>
            <w:noWrap/>
            <w:vAlign w:val="center"/>
            <w:hideMark/>
          </w:tcPr>
          <w:p w14:paraId="70FC1268" w14:textId="4AAC483D" w:rsidR="00946B96" w:rsidRPr="00313E2B" w:rsidRDefault="00946B96" w:rsidP="00946B96">
            <w:pPr>
              <w:ind w:left="0" w:firstLine="0"/>
              <w:rPr>
                <w:rFonts w:asciiTheme="minorHAnsi" w:eastAsia="Times New Roman" w:hAnsiTheme="minorHAnsi" w:cstheme="minorHAnsi"/>
                <w:noProof/>
                <w:sz w:val="19"/>
                <w:szCs w:val="19"/>
                <w:lang w:val="es-ES" w:eastAsia="en-GB"/>
              </w:rPr>
            </w:pPr>
            <w:r w:rsidRPr="00313E2B">
              <w:rPr>
                <w:noProof/>
                <w:sz w:val="19"/>
                <w:szCs w:val="19"/>
                <w:lang w:val="es-ES"/>
              </w:rPr>
              <w:t>Incremento / (disminución) de la provisión para la separación del personal</w:t>
            </w:r>
          </w:p>
        </w:tc>
        <w:tc>
          <w:tcPr>
            <w:tcW w:w="1400" w:type="dxa"/>
            <w:tcBorders>
              <w:top w:val="nil"/>
              <w:left w:val="nil"/>
              <w:bottom w:val="nil"/>
              <w:right w:val="nil"/>
            </w:tcBorders>
            <w:shd w:val="clear" w:color="000000" w:fill="FFFFFF"/>
            <w:noWrap/>
            <w:hideMark/>
          </w:tcPr>
          <w:p w14:paraId="115B0BFB" w14:textId="106104A3" w:rsidR="00946B96" w:rsidRPr="00313E2B" w:rsidRDefault="00946B96" w:rsidP="00946B96">
            <w:pPr>
              <w:ind w:left="0" w:firstLine="0"/>
              <w:jc w:val="right"/>
              <w:rPr>
                <w:rFonts w:asciiTheme="minorHAnsi" w:eastAsia="Times New Roman" w:hAnsiTheme="minorHAnsi" w:cstheme="minorHAnsi"/>
                <w:noProof/>
                <w:sz w:val="19"/>
                <w:szCs w:val="19"/>
                <w:lang w:val="es-ES" w:eastAsia="en-GB"/>
              </w:rPr>
            </w:pPr>
            <w:r w:rsidRPr="00313E2B">
              <w:rPr>
                <w:noProof/>
                <w:sz w:val="19"/>
                <w:szCs w:val="19"/>
                <w:lang w:val="es-ES"/>
              </w:rPr>
              <w:t>20</w:t>
            </w:r>
          </w:p>
        </w:tc>
        <w:tc>
          <w:tcPr>
            <w:tcW w:w="262" w:type="dxa"/>
            <w:tcBorders>
              <w:top w:val="nil"/>
              <w:left w:val="nil"/>
              <w:bottom w:val="nil"/>
              <w:right w:val="nil"/>
            </w:tcBorders>
            <w:shd w:val="clear" w:color="000000" w:fill="FFFFFF"/>
            <w:noWrap/>
            <w:vAlign w:val="center"/>
            <w:hideMark/>
          </w:tcPr>
          <w:p w14:paraId="6CE75ABF" w14:textId="77777777" w:rsidR="00946B96" w:rsidRPr="00313E2B" w:rsidRDefault="00946B96" w:rsidP="00946B9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029144EE" w14:textId="77777777" w:rsidR="00946B96" w:rsidRPr="00313E2B" w:rsidRDefault="00946B96" w:rsidP="00946B9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1598" w:type="dxa"/>
            <w:tcBorders>
              <w:top w:val="nil"/>
              <w:left w:val="nil"/>
              <w:bottom w:val="nil"/>
              <w:right w:val="nil"/>
            </w:tcBorders>
            <w:shd w:val="clear" w:color="000000" w:fill="FFFFFF"/>
            <w:noWrap/>
            <w:hideMark/>
          </w:tcPr>
          <w:p w14:paraId="1A0E1589" w14:textId="74FB9882" w:rsidR="00946B96" w:rsidRPr="00313E2B" w:rsidRDefault="00946B96" w:rsidP="00946B96">
            <w:pPr>
              <w:ind w:left="0" w:firstLine="0"/>
              <w:jc w:val="right"/>
              <w:rPr>
                <w:rFonts w:asciiTheme="minorHAnsi" w:eastAsia="Times New Roman" w:hAnsiTheme="minorHAnsi" w:cstheme="minorHAnsi"/>
                <w:noProof/>
                <w:sz w:val="19"/>
                <w:szCs w:val="19"/>
                <w:lang w:val="es-ES" w:eastAsia="en-GB"/>
              </w:rPr>
            </w:pPr>
            <w:r w:rsidRPr="00313E2B">
              <w:rPr>
                <w:noProof/>
                <w:sz w:val="19"/>
                <w:szCs w:val="19"/>
                <w:lang w:val="es-ES"/>
              </w:rPr>
              <w:t>18</w:t>
            </w:r>
          </w:p>
        </w:tc>
      </w:tr>
      <w:tr w:rsidR="00946B96" w:rsidRPr="00313E2B" w14:paraId="27377B3F" w14:textId="77777777" w:rsidTr="002538A3">
        <w:trPr>
          <w:trHeight w:val="312"/>
        </w:trPr>
        <w:tc>
          <w:tcPr>
            <w:tcW w:w="5954" w:type="dxa"/>
            <w:tcBorders>
              <w:top w:val="nil"/>
              <w:left w:val="nil"/>
              <w:bottom w:val="nil"/>
              <w:right w:val="nil"/>
            </w:tcBorders>
            <w:shd w:val="clear" w:color="000000" w:fill="FFFFFF"/>
            <w:noWrap/>
            <w:vAlign w:val="center"/>
            <w:hideMark/>
          </w:tcPr>
          <w:p w14:paraId="6D62C410" w14:textId="7E80EF9D" w:rsidR="00946B96" w:rsidRPr="00313E2B" w:rsidRDefault="00946B96" w:rsidP="00946B96">
            <w:pPr>
              <w:ind w:left="0" w:firstLine="0"/>
              <w:rPr>
                <w:rFonts w:asciiTheme="minorHAnsi" w:eastAsia="Times New Roman" w:hAnsiTheme="minorHAnsi" w:cstheme="minorHAnsi"/>
                <w:noProof/>
                <w:sz w:val="19"/>
                <w:szCs w:val="19"/>
                <w:lang w:val="es-ES" w:eastAsia="en-GB"/>
              </w:rPr>
            </w:pPr>
            <w:r w:rsidRPr="00313E2B">
              <w:rPr>
                <w:noProof/>
                <w:sz w:val="19"/>
                <w:szCs w:val="19"/>
                <w:lang w:val="es-ES"/>
              </w:rPr>
              <w:t>(Incremento) / disminución de las contribuciones de los miembros por cobrar (importe bruto)</w:t>
            </w:r>
          </w:p>
        </w:tc>
        <w:tc>
          <w:tcPr>
            <w:tcW w:w="1400" w:type="dxa"/>
            <w:tcBorders>
              <w:top w:val="nil"/>
              <w:left w:val="nil"/>
              <w:bottom w:val="nil"/>
              <w:right w:val="nil"/>
            </w:tcBorders>
            <w:shd w:val="clear" w:color="000000" w:fill="FFFFFF"/>
            <w:noWrap/>
            <w:hideMark/>
          </w:tcPr>
          <w:p w14:paraId="01089752" w14:textId="7316B560" w:rsidR="00946B96" w:rsidRPr="00313E2B" w:rsidRDefault="00946B96" w:rsidP="00946B96">
            <w:pPr>
              <w:ind w:left="0" w:firstLine="0"/>
              <w:jc w:val="right"/>
              <w:rPr>
                <w:rFonts w:asciiTheme="minorHAnsi" w:eastAsia="Times New Roman" w:hAnsiTheme="minorHAnsi" w:cstheme="minorHAnsi"/>
                <w:noProof/>
                <w:sz w:val="19"/>
                <w:szCs w:val="19"/>
                <w:lang w:val="es-ES" w:eastAsia="en-GB"/>
              </w:rPr>
            </w:pPr>
            <w:r w:rsidRPr="00313E2B">
              <w:rPr>
                <w:noProof/>
                <w:sz w:val="19"/>
                <w:szCs w:val="19"/>
                <w:lang w:val="es-ES"/>
              </w:rPr>
              <w:t>136</w:t>
            </w:r>
          </w:p>
        </w:tc>
        <w:tc>
          <w:tcPr>
            <w:tcW w:w="262" w:type="dxa"/>
            <w:tcBorders>
              <w:top w:val="nil"/>
              <w:left w:val="nil"/>
              <w:bottom w:val="nil"/>
              <w:right w:val="nil"/>
            </w:tcBorders>
            <w:shd w:val="clear" w:color="000000" w:fill="FFFFFF"/>
            <w:noWrap/>
            <w:vAlign w:val="center"/>
            <w:hideMark/>
          </w:tcPr>
          <w:p w14:paraId="41A1E1DB" w14:textId="77777777" w:rsidR="00946B96" w:rsidRPr="00313E2B" w:rsidRDefault="00946B96" w:rsidP="00946B9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7A6269D2" w14:textId="77777777" w:rsidR="00946B96" w:rsidRPr="00313E2B" w:rsidRDefault="00946B96" w:rsidP="00946B9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1598" w:type="dxa"/>
            <w:tcBorders>
              <w:top w:val="nil"/>
              <w:left w:val="nil"/>
              <w:bottom w:val="nil"/>
              <w:right w:val="nil"/>
            </w:tcBorders>
            <w:shd w:val="clear" w:color="000000" w:fill="FFFFFF"/>
            <w:noWrap/>
            <w:hideMark/>
          </w:tcPr>
          <w:p w14:paraId="2C828BBC" w14:textId="15F1443C" w:rsidR="00946B96" w:rsidRPr="00313E2B" w:rsidRDefault="00946B96" w:rsidP="00946B96">
            <w:pPr>
              <w:ind w:left="0" w:firstLine="0"/>
              <w:jc w:val="right"/>
              <w:rPr>
                <w:rFonts w:asciiTheme="minorHAnsi" w:eastAsia="Times New Roman" w:hAnsiTheme="minorHAnsi" w:cstheme="minorHAnsi"/>
                <w:noProof/>
                <w:sz w:val="19"/>
                <w:szCs w:val="19"/>
                <w:lang w:val="es-ES" w:eastAsia="en-GB"/>
              </w:rPr>
            </w:pPr>
            <w:r w:rsidRPr="00313E2B">
              <w:rPr>
                <w:noProof/>
                <w:sz w:val="19"/>
                <w:szCs w:val="19"/>
                <w:lang w:val="es-ES"/>
              </w:rPr>
              <w:t>1</w:t>
            </w:r>
            <w:r w:rsidR="00D07444" w:rsidRPr="00313E2B">
              <w:rPr>
                <w:noProof/>
                <w:sz w:val="19"/>
                <w:szCs w:val="19"/>
                <w:lang w:val="es-ES"/>
              </w:rPr>
              <w:t xml:space="preserve"> </w:t>
            </w:r>
            <w:r w:rsidRPr="00313E2B">
              <w:rPr>
                <w:noProof/>
                <w:sz w:val="19"/>
                <w:szCs w:val="19"/>
                <w:lang w:val="es-ES"/>
              </w:rPr>
              <w:t>590</w:t>
            </w:r>
          </w:p>
        </w:tc>
      </w:tr>
      <w:tr w:rsidR="00946B96" w:rsidRPr="00313E2B" w14:paraId="34E76447" w14:textId="77777777" w:rsidTr="002538A3">
        <w:trPr>
          <w:trHeight w:val="288"/>
        </w:trPr>
        <w:tc>
          <w:tcPr>
            <w:tcW w:w="5954" w:type="dxa"/>
            <w:tcBorders>
              <w:top w:val="nil"/>
              <w:left w:val="nil"/>
              <w:bottom w:val="nil"/>
              <w:right w:val="nil"/>
            </w:tcBorders>
            <w:shd w:val="clear" w:color="000000" w:fill="FFFFFF"/>
            <w:noWrap/>
            <w:vAlign w:val="center"/>
            <w:hideMark/>
          </w:tcPr>
          <w:p w14:paraId="167FF276" w14:textId="468BCFA2" w:rsidR="00946B96" w:rsidRPr="00313E2B" w:rsidRDefault="00946B96" w:rsidP="00946B96">
            <w:pPr>
              <w:ind w:left="0" w:firstLine="0"/>
              <w:rPr>
                <w:rFonts w:asciiTheme="minorHAnsi" w:eastAsia="Times New Roman" w:hAnsiTheme="minorHAnsi" w:cstheme="minorHAnsi"/>
                <w:noProof/>
                <w:sz w:val="19"/>
                <w:szCs w:val="19"/>
                <w:lang w:val="es-ES" w:eastAsia="en-GB"/>
              </w:rPr>
            </w:pPr>
            <w:r w:rsidRPr="00313E2B">
              <w:rPr>
                <w:noProof/>
                <w:sz w:val="19"/>
                <w:szCs w:val="19"/>
                <w:lang w:val="es-ES"/>
              </w:rPr>
              <w:t>Incremento / (disminución) de las asociaciones de colaboración acreedoras</w:t>
            </w:r>
          </w:p>
        </w:tc>
        <w:tc>
          <w:tcPr>
            <w:tcW w:w="1400" w:type="dxa"/>
            <w:tcBorders>
              <w:top w:val="nil"/>
              <w:left w:val="nil"/>
              <w:bottom w:val="nil"/>
              <w:right w:val="nil"/>
            </w:tcBorders>
            <w:shd w:val="clear" w:color="000000" w:fill="FFFFFF"/>
            <w:noWrap/>
            <w:hideMark/>
          </w:tcPr>
          <w:p w14:paraId="458552C9" w14:textId="2D5B4558" w:rsidR="00946B96" w:rsidRPr="00313E2B" w:rsidRDefault="00946B96" w:rsidP="00946B96">
            <w:pPr>
              <w:ind w:left="0" w:firstLine="0"/>
              <w:jc w:val="right"/>
              <w:rPr>
                <w:rFonts w:asciiTheme="minorHAnsi" w:eastAsia="Times New Roman" w:hAnsiTheme="minorHAnsi" w:cstheme="minorHAnsi"/>
                <w:noProof/>
                <w:sz w:val="19"/>
                <w:szCs w:val="19"/>
                <w:lang w:val="es-ES" w:eastAsia="en-GB"/>
              </w:rPr>
            </w:pPr>
            <w:r w:rsidRPr="00313E2B">
              <w:rPr>
                <w:noProof/>
                <w:sz w:val="19"/>
                <w:szCs w:val="19"/>
                <w:lang w:val="es-ES"/>
              </w:rPr>
              <w:t>74</w:t>
            </w:r>
          </w:p>
        </w:tc>
        <w:tc>
          <w:tcPr>
            <w:tcW w:w="262" w:type="dxa"/>
            <w:tcBorders>
              <w:top w:val="nil"/>
              <w:left w:val="nil"/>
              <w:bottom w:val="nil"/>
              <w:right w:val="nil"/>
            </w:tcBorders>
            <w:shd w:val="clear" w:color="000000" w:fill="FFFFFF"/>
            <w:noWrap/>
            <w:vAlign w:val="center"/>
            <w:hideMark/>
          </w:tcPr>
          <w:p w14:paraId="26C5D285" w14:textId="77777777" w:rsidR="00946B96" w:rsidRPr="00313E2B" w:rsidRDefault="00946B96" w:rsidP="00946B9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0E2A0891" w14:textId="77777777" w:rsidR="00946B96" w:rsidRPr="00313E2B" w:rsidRDefault="00946B96" w:rsidP="00946B9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1598" w:type="dxa"/>
            <w:tcBorders>
              <w:top w:val="nil"/>
              <w:left w:val="nil"/>
              <w:bottom w:val="nil"/>
              <w:right w:val="nil"/>
            </w:tcBorders>
            <w:shd w:val="clear" w:color="000000" w:fill="FFFFFF"/>
            <w:noWrap/>
            <w:hideMark/>
          </w:tcPr>
          <w:p w14:paraId="7D976AC1" w14:textId="21801BC9" w:rsidR="00946B96" w:rsidRPr="00313E2B" w:rsidRDefault="00946B96" w:rsidP="00946B96">
            <w:pPr>
              <w:ind w:left="0" w:firstLine="0"/>
              <w:jc w:val="right"/>
              <w:rPr>
                <w:rFonts w:asciiTheme="minorHAnsi" w:eastAsia="Times New Roman" w:hAnsiTheme="minorHAnsi" w:cstheme="minorHAnsi"/>
                <w:noProof/>
                <w:sz w:val="19"/>
                <w:szCs w:val="19"/>
                <w:lang w:val="es-ES" w:eastAsia="en-GB"/>
              </w:rPr>
            </w:pPr>
            <w:r w:rsidRPr="00313E2B">
              <w:rPr>
                <w:noProof/>
                <w:sz w:val="19"/>
                <w:szCs w:val="19"/>
                <w:lang w:val="es-ES"/>
              </w:rPr>
              <w:t>(307)</w:t>
            </w:r>
          </w:p>
        </w:tc>
      </w:tr>
      <w:tr w:rsidR="00946B96" w:rsidRPr="00313E2B" w14:paraId="17AD4C5E" w14:textId="77777777" w:rsidTr="002538A3">
        <w:trPr>
          <w:trHeight w:val="288"/>
        </w:trPr>
        <w:tc>
          <w:tcPr>
            <w:tcW w:w="5954" w:type="dxa"/>
            <w:tcBorders>
              <w:top w:val="nil"/>
              <w:left w:val="nil"/>
              <w:bottom w:val="nil"/>
              <w:right w:val="nil"/>
            </w:tcBorders>
            <w:shd w:val="clear" w:color="000000" w:fill="FFFFFF"/>
            <w:noWrap/>
            <w:vAlign w:val="center"/>
            <w:hideMark/>
          </w:tcPr>
          <w:p w14:paraId="2BFEBC81" w14:textId="4E673447" w:rsidR="00946B96" w:rsidRPr="00313E2B" w:rsidRDefault="00946B96" w:rsidP="00946B96">
            <w:pPr>
              <w:ind w:left="0" w:firstLine="0"/>
              <w:rPr>
                <w:rFonts w:asciiTheme="minorHAnsi" w:eastAsia="Times New Roman" w:hAnsiTheme="minorHAnsi" w:cstheme="minorHAnsi"/>
                <w:noProof/>
                <w:sz w:val="19"/>
                <w:szCs w:val="19"/>
                <w:lang w:val="es-ES" w:eastAsia="en-GB"/>
              </w:rPr>
            </w:pPr>
            <w:r w:rsidRPr="00313E2B">
              <w:rPr>
                <w:noProof/>
                <w:sz w:val="19"/>
                <w:szCs w:val="19"/>
                <w:lang w:val="es-ES"/>
              </w:rPr>
              <w:t>(Incremento) / disminución de otras cuentas por cobrar</w:t>
            </w:r>
          </w:p>
        </w:tc>
        <w:tc>
          <w:tcPr>
            <w:tcW w:w="1400" w:type="dxa"/>
            <w:tcBorders>
              <w:top w:val="nil"/>
              <w:left w:val="nil"/>
              <w:bottom w:val="nil"/>
              <w:right w:val="nil"/>
            </w:tcBorders>
            <w:shd w:val="clear" w:color="000000" w:fill="FFFFFF"/>
            <w:noWrap/>
            <w:hideMark/>
          </w:tcPr>
          <w:p w14:paraId="669269FE" w14:textId="4AB6A731" w:rsidR="00946B96" w:rsidRPr="00313E2B" w:rsidRDefault="00946B96" w:rsidP="00946B96">
            <w:pPr>
              <w:ind w:left="0" w:firstLine="0"/>
              <w:jc w:val="right"/>
              <w:rPr>
                <w:rFonts w:asciiTheme="minorHAnsi" w:eastAsia="Times New Roman" w:hAnsiTheme="minorHAnsi" w:cstheme="minorHAnsi"/>
                <w:noProof/>
                <w:sz w:val="19"/>
                <w:szCs w:val="19"/>
                <w:lang w:val="es-ES" w:eastAsia="en-GB"/>
              </w:rPr>
            </w:pPr>
            <w:r w:rsidRPr="00313E2B">
              <w:rPr>
                <w:noProof/>
                <w:sz w:val="19"/>
                <w:szCs w:val="19"/>
                <w:lang w:val="es-ES"/>
              </w:rPr>
              <w:t>36</w:t>
            </w:r>
          </w:p>
        </w:tc>
        <w:tc>
          <w:tcPr>
            <w:tcW w:w="262" w:type="dxa"/>
            <w:tcBorders>
              <w:top w:val="nil"/>
              <w:left w:val="nil"/>
              <w:bottom w:val="nil"/>
              <w:right w:val="nil"/>
            </w:tcBorders>
            <w:shd w:val="clear" w:color="000000" w:fill="FFFFFF"/>
            <w:noWrap/>
            <w:vAlign w:val="center"/>
            <w:hideMark/>
          </w:tcPr>
          <w:p w14:paraId="19F919E8" w14:textId="77777777" w:rsidR="00946B96" w:rsidRPr="00313E2B" w:rsidRDefault="00946B96" w:rsidP="00946B9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04638A97" w14:textId="77777777" w:rsidR="00946B96" w:rsidRPr="00313E2B" w:rsidRDefault="00946B96" w:rsidP="00946B9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1598" w:type="dxa"/>
            <w:tcBorders>
              <w:top w:val="nil"/>
              <w:left w:val="nil"/>
              <w:bottom w:val="nil"/>
              <w:right w:val="nil"/>
            </w:tcBorders>
            <w:shd w:val="clear" w:color="000000" w:fill="FFFFFF"/>
            <w:noWrap/>
            <w:hideMark/>
          </w:tcPr>
          <w:p w14:paraId="79C863E5" w14:textId="5C38CCFA" w:rsidR="00946B96" w:rsidRPr="00313E2B" w:rsidRDefault="00946B96" w:rsidP="00946B96">
            <w:pPr>
              <w:ind w:left="0" w:firstLine="0"/>
              <w:jc w:val="right"/>
              <w:rPr>
                <w:rFonts w:asciiTheme="minorHAnsi" w:eastAsia="Times New Roman" w:hAnsiTheme="minorHAnsi" w:cstheme="minorHAnsi"/>
                <w:noProof/>
                <w:sz w:val="19"/>
                <w:szCs w:val="19"/>
                <w:lang w:val="es-ES" w:eastAsia="en-GB"/>
              </w:rPr>
            </w:pPr>
            <w:r w:rsidRPr="00313E2B">
              <w:rPr>
                <w:noProof/>
                <w:sz w:val="19"/>
                <w:szCs w:val="19"/>
                <w:lang w:val="es-ES"/>
              </w:rPr>
              <w:t>57</w:t>
            </w:r>
          </w:p>
        </w:tc>
      </w:tr>
      <w:tr w:rsidR="00946B96" w:rsidRPr="00313E2B" w14:paraId="60EE92B3" w14:textId="77777777" w:rsidTr="002538A3">
        <w:trPr>
          <w:trHeight w:val="288"/>
        </w:trPr>
        <w:tc>
          <w:tcPr>
            <w:tcW w:w="5954" w:type="dxa"/>
            <w:tcBorders>
              <w:top w:val="nil"/>
              <w:left w:val="nil"/>
              <w:bottom w:val="nil"/>
              <w:right w:val="nil"/>
            </w:tcBorders>
            <w:shd w:val="clear" w:color="000000" w:fill="FFFFFF"/>
            <w:noWrap/>
            <w:vAlign w:val="center"/>
            <w:hideMark/>
          </w:tcPr>
          <w:p w14:paraId="6E577582" w14:textId="5733B7A9" w:rsidR="00946B96" w:rsidRPr="00313E2B" w:rsidRDefault="00946B96" w:rsidP="00946B96">
            <w:pPr>
              <w:ind w:left="0" w:firstLine="0"/>
              <w:rPr>
                <w:rFonts w:asciiTheme="minorHAnsi" w:eastAsia="Times New Roman" w:hAnsiTheme="minorHAnsi" w:cstheme="minorHAnsi"/>
                <w:noProof/>
                <w:sz w:val="19"/>
                <w:szCs w:val="19"/>
                <w:lang w:val="es-ES" w:eastAsia="en-GB"/>
              </w:rPr>
            </w:pPr>
            <w:r w:rsidRPr="00313E2B">
              <w:rPr>
                <w:noProof/>
                <w:sz w:val="19"/>
                <w:szCs w:val="19"/>
                <w:lang w:val="es-ES"/>
              </w:rPr>
              <w:t>Incremento / (disminución) de las contribuciones de los miembros pagadas con antelación</w:t>
            </w:r>
          </w:p>
        </w:tc>
        <w:tc>
          <w:tcPr>
            <w:tcW w:w="1400" w:type="dxa"/>
            <w:tcBorders>
              <w:top w:val="nil"/>
              <w:left w:val="nil"/>
              <w:bottom w:val="nil"/>
              <w:right w:val="nil"/>
            </w:tcBorders>
            <w:shd w:val="clear" w:color="000000" w:fill="FFFFFF"/>
            <w:noWrap/>
            <w:hideMark/>
          </w:tcPr>
          <w:p w14:paraId="2C43E162" w14:textId="0A1C8C48" w:rsidR="00946B96" w:rsidRPr="00313E2B" w:rsidRDefault="00946B96" w:rsidP="00946B96">
            <w:pPr>
              <w:ind w:left="0" w:firstLine="0"/>
              <w:jc w:val="right"/>
              <w:rPr>
                <w:rFonts w:asciiTheme="minorHAnsi" w:eastAsia="Times New Roman" w:hAnsiTheme="minorHAnsi" w:cstheme="minorHAnsi"/>
                <w:noProof/>
                <w:sz w:val="19"/>
                <w:szCs w:val="19"/>
                <w:lang w:val="es-ES" w:eastAsia="en-GB"/>
              </w:rPr>
            </w:pPr>
            <w:r w:rsidRPr="00313E2B">
              <w:rPr>
                <w:noProof/>
                <w:sz w:val="19"/>
                <w:szCs w:val="19"/>
                <w:lang w:val="es-ES"/>
              </w:rPr>
              <w:t>227</w:t>
            </w:r>
          </w:p>
        </w:tc>
        <w:tc>
          <w:tcPr>
            <w:tcW w:w="262" w:type="dxa"/>
            <w:tcBorders>
              <w:top w:val="nil"/>
              <w:left w:val="nil"/>
              <w:bottom w:val="nil"/>
              <w:right w:val="nil"/>
            </w:tcBorders>
            <w:shd w:val="clear" w:color="000000" w:fill="FFFFFF"/>
            <w:noWrap/>
            <w:vAlign w:val="center"/>
            <w:hideMark/>
          </w:tcPr>
          <w:p w14:paraId="432A2878" w14:textId="77777777" w:rsidR="00946B96" w:rsidRPr="00313E2B" w:rsidRDefault="00946B96" w:rsidP="00946B9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435F6274" w14:textId="77777777" w:rsidR="00946B96" w:rsidRPr="00313E2B" w:rsidRDefault="00946B96" w:rsidP="00946B9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1598" w:type="dxa"/>
            <w:tcBorders>
              <w:top w:val="nil"/>
              <w:left w:val="nil"/>
              <w:bottom w:val="nil"/>
              <w:right w:val="nil"/>
            </w:tcBorders>
            <w:shd w:val="clear" w:color="000000" w:fill="FFFFFF"/>
            <w:noWrap/>
            <w:hideMark/>
          </w:tcPr>
          <w:p w14:paraId="3D50D455" w14:textId="043E6A7F" w:rsidR="00946B96" w:rsidRPr="00313E2B" w:rsidRDefault="00946B96" w:rsidP="00946B96">
            <w:pPr>
              <w:ind w:left="0" w:firstLine="0"/>
              <w:jc w:val="right"/>
              <w:rPr>
                <w:rFonts w:asciiTheme="minorHAnsi" w:eastAsia="Times New Roman" w:hAnsiTheme="minorHAnsi" w:cstheme="minorHAnsi"/>
                <w:noProof/>
                <w:sz w:val="19"/>
                <w:szCs w:val="19"/>
                <w:lang w:val="es-ES" w:eastAsia="en-GB"/>
              </w:rPr>
            </w:pPr>
            <w:r w:rsidRPr="00313E2B">
              <w:rPr>
                <w:noProof/>
                <w:sz w:val="19"/>
                <w:szCs w:val="19"/>
                <w:lang w:val="es-ES"/>
              </w:rPr>
              <w:t>(183)</w:t>
            </w:r>
          </w:p>
        </w:tc>
      </w:tr>
      <w:tr w:rsidR="00946B96" w:rsidRPr="00313E2B" w14:paraId="10C153C4" w14:textId="77777777" w:rsidTr="002538A3">
        <w:trPr>
          <w:trHeight w:val="288"/>
        </w:trPr>
        <w:tc>
          <w:tcPr>
            <w:tcW w:w="5954" w:type="dxa"/>
            <w:tcBorders>
              <w:top w:val="nil"/>
              <w:left w:val="nil"/>
              <w:bottom w:val="nil"/>
              <w:right w:val="nil"/>
            </w:tcBorders>
            <w:shd w:val="clear" w:color="000000" w:fill="FFFFFF"/>
            <w:noWrap/>
            <w:vAlign w:val="center"/>
            <w:hideMark/>
          </w:tcPr>
          <w:p w14:paraId="3B7EC45B" w14:textId="70D5D83D" w:rsidR="00946B96" w:rsidRPr="00313E2B" w:rsidRDefault="00946B96" w:rsidP="00946B96">
            <w:pPr>
              <w:ind w:left="0" w:firstLine="0"/>
              <w:rPr>
                <w:rFonts w:asciiTheme="minorHAnsi" w:eastAsia="Times New Roman" w:hAnsiTheme="minorHAnsi" w:cstheme="minorHAnsi"/>
                <w:noProof/>
                <w:sz w:val="19"/>
                <w:szCs w:val="19"/>
                <w:lang w:val="es-ES" w:eastAsia="en-GB"/>
              </w:rPr>
            </w:pPr>
            <w:r w:rsidRPr="00313E2B">
              <w:rPr>
                <w:noProof/>
                <w:sz w:val="19"/>
                <w:szCs w:val="19"/>
                <w:lang w:val="es-ES"/>
              </w:rPr>
              <w:t>Incremento / (disminución) de las cuentas por pagar y pasivos acumulados</w:t>
            </w:r>
          </w:p>
        </w:tc>
        <w:tc>
          <w:tcPr>
            <w:tcW w:w="1400" w:type="dxa"/>
            <w:tcBorders>
              <w:top w:val="nil"/>
              <w:left w:val="nil"/>
              <w:bottom w:val="nil"/>
              <w:right w:val="nil"/>
            </w:tcBorders>
            <w:shd w:val="clear" w:color="000000" w:fill="FFFFFF"/>
            <w:noWrap/>
            <w:hideMark/>
          </w:tcPr>
          <w:p w14:paraId="093F9D0C" w14:textId="6988306C" w:rsidR="00946B96" w:rsidRPr="00313E2B" w:rsidRDefault="00946B96" w:rsidP="00946B96">
            <w:pPr>
              <w:ind w:left="0" w:firstLine="0"/>
              <w:jc w:val="right"/>
              <w:rPr>
                <w:rFonts w:asciiTheme="minorHAnsi" w:eastAsia="Times New Roman" w:hAnsiTheme="minorHAnsi" w:cstheme="minorHAnsi"/>
                <w:noProof/>
                <w:sz w:val="19"/>
                <w:szCs w:val="19"/>
                <w:lang w:val="es-ES" w:eastAsia="en-GB"/>
              </w:rPr>
            </w:pPr>
            <w:r w:rsidRPr="00313E2B">
              <w:rPr>
                <w:noProof/>
                <w:sz w:val="19"/>
                <w:szCs w:val="19"/>
                <w:lang w:val="es-ES"/>
              </w:rPr>
              <w:t>48</w:t>
            </w:r>
          </w:p>
        </w:tc>
        <w:tc>
          <w:tcPr>
            <w:tcW w:w="262" w:type="dxa"/>
            <w:tcBorders>
              <w:top w:val="nil"/>
              <w:left w:val="nil"/>
              <w:bottom w:val="nil"/>
              <w:right w:val="nil"/>
            </w:tcBorders>
            <w:shd w:val="clear" w:color="000000" w:fill="FFFFFF"/>
            <w:noWrap/>
            <w:vAlign w:val="center"/>
            <w:hideMark/>
          </w:tcPr>
          <w:p w14:paraId="68787B7F" w14:textId="77777777" w:rsidR="00946B96" w:rsidRPr="00313E2B" w:rsidRDefault="00946B96" w:rsidP="00946B9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7126A26E" w14:textId="77777777" w:rsidR="00946B96" w:rsidRPr="00313E2B" w:rsidRDefault="00946B96" w:rsidP="00946B9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1598" w:type="dxa"/>
            <w:tcBorders>
              <w:top w:val="nil"/>
              <w:left w:val="nil"/>
              <w:bottom w:val="nil"/>
              <w:right w:val="nil"/>
            </w:tcBorders>
            <w:shd w:val="clear" w:color="000000" w:fill="FFFFFF"/>
            <w:noWrap/>
            <w:hideMark/>
          </w:tcPr>
          <w:p w14:paraId="72325A5B" w14:textId="28B69878" w:rsidR="00946B96" w:rsidRPr="00313E2B" w:rsidRDefault="00946B96" w:rsidP="00946B96">
            <w:pPr>
              <w:ind w:left="0" w:firstLine="0"/>
              <w:jc w:val="right"/>
              <w:rPr>
                <w:rFonts w:asciiTheme="minorHAnsi" w:eastAsia="Times New Roman" w:hAnsiTheme="minorHAnsi" w:cstheme="minorHAnsi"/>
                <w:noProof/>
                <w:sz w:val="19"/>
                <w:szCs w:val="19"/>
                <w:lang w:val="es-ES" w:eastAsia="en-GB"/>
              </w:rPr>
            </w:pPr>
            <w:r w:rsidRPr="00313E2B">
              <w:rPr>
                <w:noProof/>
                <w:sz w:val="19"/>
                <w:szCs w:val="19"/>
                <w:lang w:val="es-ES"/>
              </w:rPr>
              <w:t>54</w:t>
            </w:r>
          </w:p>
        </w:tc>
      </w:tr>
      <w:tr w:rsidR="00946B96" w:rsidRPr="00313E2B" w14:paraId="3E910B9B" w14:textId="77777777" w:rsidTr="002538A3">
        <w:trPr>
          <w:trHeight w:val="288"/>
        </w:trPr>
        <w:tc>
          <w:tcPr>
            <w:tcW w:w="5954" w:type="dxa"/>
            <w:tcBorders>
              <w:top w:val="nil"/>
              <w:left w:val="nil"/>
              <w:bottom w:val="nil"/>
              <w:right w:val="nil"/>
            </w:tcBorders>
            <w:shd w:val="clear" w:color="000000" w:fill="FFFFFF"/>
            <w:noWrap/>
            <w:vAlign w:val="center"/>
            <w:hideMark/>
          </w:tcPr>
          <w:p w14:paraId="63B73FAC" w14:textId="599DD06E" w:rsidR="00946B96" w:rsidRPr="00313E2B" w:rsidRDefault="00946B96" w:rsidP="00946B96">
            <w:pPr>
              <w:ind w:left="0" w:firstLine="0"/>
              <w:rPr>
                <w:rFonts w:asciiTheme="minorHAnsi" w:eastAsia="Times New Roman" w:hAnsiTheme="minorHAnsi" w:cstheme="minorHAnsi"/>
                <w:noProof/>
                <w:sz w:val="19"/>
                <w:szCs w:val="19"/>
                <w:lang w:val="es-ES" w:eastAsia="en-GB"/>
              </w:rPr>
            </w:pPr>
            <w:r w:rsidRPr="00313E2B">
              <w:rPr>
                <w:noProof/>
                <w:sz w:val="19"/>
                <w:szCs w:val="19"/>
                <w:lang w:val="es-ES"/>
              </w:rPr>
              <w:t>Incremento / (disminución) de las cargas sociales por pagar</w:t>
            </w:r>
          </w:p>
        </w:tc>
        <w:tc>
          <w:tcPr>
            <w:tcW w:w="1400" w:type="dxa"/>
            <w:tcBorders>
              <w:top w:val="nil"/>
              <w:left w:val="nil"/>
              <w:bottom w:val="nil"/>
              <w:right w:val="nil"/>
            </w:tcBorders>
            <w:shd w:val="clear" w:color="000000" w:fill="FFFFFF"/>
            <w:noWrap/>
            <w:hideMark/>
          </w:tcPr>
          <w:p w14:paraId="08128F8A" w14:textId="00040964" w:rsidR="00946B96" w:rsidRPr="00313E2B" w:rsidRDefault="00946B96" w:rsidP="00946B96">
            <w:pPr>
              <w:ind w:left="0" w:firstLine="0"/>
              <w:jc w:val="right"/>
              <w:rPr>
                <w:rFonts w:asciiTheme="minorHAnsi" w:eastAsia="Times New Roman" w:hAnsiTheme="minorHAnsi" w:cstheme="minorHAnsi"/>
                <w:noProof/>
                <w:sz w:val="19"/>
                <w:szCs w:val="19"/>
                <w:lang w:val="es-ES" w:eastAsia="en-GB"/>
              </w:rPr>
            </w:pPr>
            <w:r w:rsidRPr="00313E2B">
              <w:rPr>
                <w:noProof/>
                <w:sz w:val="19"/>
                <w:szCs w:val="19"/>
                <w:lang w:val="es-ES"/>
              </w:rPr>
              <w:t>163</w:t>
            </w:r>
          </w:p>
        </w:tc>
        <w:tc>
          <w:tcPr>
            <w:tcW w:w="262" w:type="dxa"/>
            <w:tcBorders>
              <w:top w:val="nil"/>
              <w:left w:val="nil"/>
              <w:bottom w:val="nil"/>
              <w:right w:val="nil"/>
            </w:tcBorders>
            <w:shd w:val="clear" w:color="000000" w:fill="FFFFFF"/>
            <w:noWrap/>
            <w:vAlign w:val="center"/>
            <w:hideMark/>
          </w:tcPr>
          <w:p w14:paraId="4B1963BE" w14:textId="77777777" w:rsidR="00946B96" w:rsidRPr="00313E2B" w:rsidRDefault="00946B96" w:rsidP="00946B9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28145C39" w14:textId="77777777" w:rsidR="00946B96" w:rsidRPr="00313E2B" w:rsidRDefault="00946B96" w:rsidP="00946B9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1598" w:type="dxa"/>
            <w:tcBorders>
              <w:top w:val="nil"/>
              <w:left w:val="nil"/>
              <w:bottom w:val="nil"/>
              <w:right w:val="nil"/>
            </w:tcBorders>
            <w:shd w:val="clear" w:color="000000" w:fill="FFFFFF"/>
            <w:noWrap/>
            <w:hideMark/>
          </w:tcPr>
          <w:p w14:paraId="3022B546" w14:textId="35E8F3FB" w:rsidR="00946B96" w:rsidRPr="00313E2B" w:rsidRDefault="00946B96" w:rsidP="00946B96">
            <w:pPr>
              <w:ind w:left="0" w:firstLine="0"/>
              <w:jc w:val="right"/>
              <w:rPr>
                <w:rFonts w:asciiTheme="minorHAnsi" w:eastAsia="Times New Roman" w:hAnsiTheme="minorHAnsi" w:cstheme="minorHAnsi"/>
                <w:noProof/>
                <w:sz w:val="19"/>
                <w:szCs w:val="19"/>
                <w:lang w:val="es-ES" w:eastAsia="en-GB"/>
              </w:rPr>
            </w:pPr>
            <w:r w:rsidRPr="00313E2B">
              <w:rPr>
                <w:noProof/>
                <w:sz w:val="19"/>
                <w:szCs w:val="19"/>
                <w:lang w:val="es-ES"/>
              </w:rPr>
              <w:t>47</w:t>
            </w:r>
          </w:p>
        </w:tc>
      </w:tr>
      <w:tr w:rsidR="007C6B16" w:rsidRPr="00313E2B" w14:paraId="02E25CA0" w14:textId="77777777" w:rsidTr="002538A3">
        <w:trPr>
          <w:trHeight w:val="288"/>
        </w:trPr>
        <w:tc>
          <w:tcPr>
            <w:tcW w:w="5954" w:type="dxa"/>
            <w:tcBorders>
              <w:top w:val="nil"/>
              <w:left w:val="nil"/>
              <w:bottom w:val="nil"/>
              <w:right w:val="nil"/>
            </w:tcBorders>
            <w:shd w:val="clear" w:color="000000" w:fill="FFFFFF"/>
            <w:noWrap/>
            <w:vAlign w:val="center"/>
            <w:hideMark/>
          </w:tcPr>
          <w:p w14:paraId="5D771698" w14:textId="77777777" w:rsidR="007C6B16" w:rsidRPr="00313E2B" w:rsidRDefault="007C6B16" w:rsidP="007C6B16">
            <w:pPr>
              <w:ind w:left="0" w:firstLine="0"/>
              <w:rPr>
                <w:rFonts w:asciiTheme="minorHAnsi" w:eastAsia="Times New Roman" w:hAnsiTheme="minorHAnsi" w:cstheme="minorHAnsi"/>
                <w:b/>
                <w:bCs/>
                <w:noProof/>
                <w:sz w:val="19"/>
                <w:szCs w:val="19"/>
                <w:lang w:val="es-ES" w:eastAsia="en-GB"/>
              </w:rPr>
            </w:pPr>
            <w:r w:rsidRPr="00313E2B">
              <w:rPr>
                <w:rFonts w:asciiTheme="minorHAnsi" w:eastAsia="Times New Roman" w:hAnsiTheme="minorHAnsi" w:cstheme="minorHAnsi"/>
                <w:b/>
                <w:bCs/>
                <w:noProof/>
                <w:sz w:val="19"/>
                <w:szCs w:val="19"/>
                <w:lang w:val="es-ES" w:eastAsia="en-GB"/>
              </w:rPr>
              <w:t> </w:t>
            </w:r>
          </w:p>
        </w:tc>
        <w:tc>
          <w:tcPr>
            <w:tcW w:w="1400" w:type="dxa"/>
            <w:tcBorders>
              <w:top w:val="nil"/>
              <w:left w:val="nil"/>
              <w:bottom w:val="nil"/>
              <w:right w:val="nil"/>
            </w:tcBorders>
            <w:shd w:val="clear" w:color="000000" w:fill="FFFFFF"/>
            <w:noWrap/>
            <w:vAlign w:val="center"/>
            <w:hideMark/>
          </w:tcPr>
          <w:p w14:paraId="3CAAA487" w14:textId="77777777" w:rsidR="007C6B16" w:rsidRPr="00313E2B" w:rsidRDefault="007C6B16" w:rsidP="007C6B1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262" w:type="dxa"/>
            <w:tcBorders>
              <w:top w:val="nil"/>
              <w:left w:val="nil"/>
              <w:bottom w:val="nil"/>
              <w:right w:val="nil"/>
            </w:tcBorders>
            <w:shd w:val="clear" w:color="000000" w:fill="FFFFFF"/>
            <w:noWrap/>
            <w:vAlign w:val="center"/>
            <w:hideMark/>
          </w:tcPr>
          <w:p w14:paraId="7976AAAD" w14:textId="77777777" w:rsidR="007C6B16" w:rsidRPr="00313E2B" w:rsidRDefault="007C6B16" w:rsidP="007C6B1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587EB4AB" w14:textId="77777777" w:rsidR="007C6B16" w:rsidRPr="00313E2B" w:rsidRDefault="007C6B16" w:rsidP="007C6B1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1598" w:type="dxa"/>
            <w:tcBorders>
              <w:top w:val="nil"/>
              <w:left w:val="nil"/>
              <w:bottom w:val="nil"/>
              <w:right w:val="nil"/>
            </w:tcBorders>
            <w:shd w:val="clear" w:color="000000" w:fill="FFFFFF"/>
            <w:noWrap/>
            <w:hideMark/>
          </w:tcPr>
          <w:p w14:paraId="0FE5EDD9" w14:textId="44E4B5EF" w:rsidR="007C6B16" w:rsidRPr="00313E2B" w:rsidRDefault="007C6B16" w:rsidP="007C6B16">
            <w:pPr>
              <w:ind w:left="0" w:firstLine="0"/>
              <w:rPr>
                <w:rFonts w:asciiTheme="minorHAnsi" w:eastAsia="Times New Roman" w:hAnsiTheme="minorHAnsi" w:cstheme="minorHAnsi"/>
                <w:noProof/>
                <w:sz w:val="19"/>
                <w:szCs w:val="19"/>
                <w:lang w:val="es-ES" w:eastAsia="en-GB"/>
              </w:rPr>
            </w:pPr>
            <w:r w:rsidRPr="00313E2B">
              <w:rPr>
                <w:noProof/>
                <w:sz w:val="19"/>
                <w:szCs w:val="19"/>
                <w:lang w:val="es-ES"/>
              </w:rPr>
              <w:t xml:space="preserve"> </w:t>
            </w:r>
          </w:p>
        </w:tc>
      </w:tr>
      <w:tr w:rsidR="00946B96" w:rsidRPr="00313E2B" w14:paraId="72568250" w14:textId="77777777" w:rsidTr="001441B9">
        <w:trPr>
          <w:trHeight w:val="492"/>
        </w:trPr>
        <w:tc>
          <w:tcPr>
            <w:tcW w:w="5954" w:type="dxa"/>
            <w:tcBorders>
              <w:top w:val="nil"/>
              <w:left w:val="nil"/>
              <w:bottom w:val="nil"/>
              <w:right w:val="nil"/>
            </w:tcBorders>
            <w:shd w:val="clear" w:color="000000" w:fill="FFFFFF"/>
            <w:noWrap/>
            <w:vAlign w:val="center"/>
            <w:hideMark/>
          </w:tcPr>
          <w:p w14:paraId="410821D8" w14:textId="0938C66F" w:rsidR="00946B96" w:rsidRPr="00313E2B" w:rsidRDefault="00946B96" w:rsidP="00946B96">
            <w:pPr>
              <w:ind w:left="0" w:firstLine="0"/>
              <w:rPr>
                <w:rFonts w:asciiTheme="minorHAnsi" w:eastAsia="Times New Roman" w:hAnsiTheme="minorHAnsi" w:cstheme="minorHAnsi"/>
                <w:b/>
                <w:bCs/>
                <w:noProof/>
                <w:sz w:val="19"/>
                <w:szCs w:val="19"/>
                <w:lang w:val="es-ES" w:eastAsia="en-GB"/>
              </w:rPr>
            </w:pPr>
            <w:r w:rsidRPr="00313E2B">
              <w:rPr>
                <w:b/>
                <w:bCs/>
                <w:noProof/>
                <w:sz w:val="19"/>
                <w:szCs w:val="19"/>
                <w:lang w:val="es-ES"/>
              </w:rPr>
              <w:t>Total, Flujos de tesorería operativos</w:t>
            </w:r>
          </w:p>
        </w:tc>
        <w:tc>
          <w:tcPr>
            <w:tcW w:w="1400" w:type="dxa"/>
            <w:tcBorders>
              <w:top w:val="single" w:sz="4" w:space="0" w:color="auto"/>
              <w:left w:val="nil"/>
              <w:bottom w:val="nil"/>
              <w:right w:val="nil"/>
            </w:tcBorders>
            <w:shd w:val="clear" w:color="000000" w:fill="FFFFFF"/>
            <w:noWrap/>
            <w:vAlign w:val="center"/>
            <w:hideMark/>
          </w:tcPr>
          <w:p w14:paraId="70072C64" w14:textId="62014194" w:rsidR="00946B96" w:rsidRPr="00313E2B" w:rsidRDefault="00946B96" w:rsidP="00946B96">
            <w:pPr>
              <w:ind w:left="0" w:firstLine="0"/>
              <w:jc w:val="right"/>
              <w:rPr>
                <w:rFonts w:asciiTheme="minorHAnsi" w:eastAsia="Times New Roman" w:hAnsiTheme="minorHAnsi" w:cstheme="minorHAnsi"/>
                <w:b/>
                <w:bCs/>
                <w:noProof/>
                <w:sz w:val="19"/>
                <w:szCs w:val="19"/>
                <w:lang w:val="es-ES" w:eastAsia="en-GB"/>
              </w:rPr>
            </w:pPr>
            <w:r w:rsidRPr="00313E2B">
              <w:rPr>
                <w:rFonts w:asciiTheme="minorHAnsi" w:eastAsia="Times New Roman" w:hAnsiTheme="minorHAnsi" w:cstheme="minorHAnsi"/>
                <w:b/>
                <w:bCs/>
                <w:noProof/>
                <w:sz w:val="19"/>
                <w:szCs w:val="19"/>
                <w:lang w:val="es-ES" w:eastAsia="en-GB"/>
              </w:rPr>
              <w:t>1</w:t>
            </w:r>
            <w:r w:rsidR="00D07444" w:rsidRPr="00313E2B">
              <w:rPr>
                <w:rFonts w:asciiTheme="minorHAnsi" w:eastAsia="Times New Roman" w:hAnsiTheme="minorHAnsi" w:cstheme="minorHAnsi"/>
                <w:b/>
                <w:bCs/>
                <w:noProof/>
                <w:sz w:val="19"/>
                <w:szCs w:val="19"/>
                <w:lang w:val="es-ES" w:eastAsia="en-GB"/>
              </w:rPr>
              <w:t xml:space="preserve"> </w:t>
            </w:r>
            <w:r w:rsidRPr="00313E2B">
              <w:rPr>
                <w:rFonts w:asciiTheme="minorHAnsi" w:eastAsia="Times New Roman" w:hAnsiTheme="minorHAnsi" w:cstheme="minorHAnsi"/>
                <w:b/>
                <w:bCs/>
                <w:noProof/>
                <w:sz w:val="19"/>
                <w:szCs w:val="19"/>
                <w:lang w:val="es-ES" w:eastAsia="en-GB"/>
              </w:rPr>
              <w:t>323</w:t>
            </w:r>
          </w:p>
        </w:tc>
        <w:tc>
          <w:tcPr>
            <w:tcW w:w="262" w:type="dxa"/>
            <w:tcBorders>
              <w:top w:val="single" w:sz="4" w:space="0" w:color="auto"/>
              <w:left w:val="nil"/>
              <w:bottom w:val="nil"/>
              <w:right w:val="nil"/>
            </w:tcBorders>
            <w:shd w:val="clear" w:color="000000" w:fill="FFFFFF"/>
            <w:noWrap/>
            <w:vAlign w:val="center"/>
            <w:hideMark/>
          </w:tcPr>
          <w:p w14:paraId="5E3EEFC3" w14:textId="77777777" w:rsidR="00946B96" w:rsidRPr="00313E2B" w:rsidRDefault="00946B96" w:rsidP="00946B96">
            <w:pPr>
              <w:ind w:left="0" w:firstLine="0"/>
              <w:rPr>
                <w:rFonts w:asciiTheme="minorHAnsi" w:eastAsia="Times New Roman" w:hAnsiTheme="minorHAnsi" w:cstheme="minorHAnsi"/>
                <w:b/>
                <w:bCs/>
                <w:noProof/>
                <w:sz w:val="19"/>
                <w:szCs w:val="19"/>
                <w:lang w:val="es-ES" w:eastAsia="en-GB"/>
              </w:rPr>
            </w:pPr>
            <w:r w:rsidRPr="00313E2B">
              <w:rPr>
                <w:rFonts w:asciiTheme="minorHAnsi" w:eastAsia="Times New Roman" w:hAnsiTheme="minorHAnsi" w:cstheme="minorHAnsi"/>
                <w:b/>
                <w:bCs/>
                <w:noProof/>
                <w:sz w:val="19"/>
                <w:szCs w:val="19"/>
                <w:lang w:val="es-ES" w:eastAsia="en-GB"/>
              </w:rPr>
              <w:t> </w:t>
            </w:r>
          </w:p>
        </w:tc>
        <w:tc>
          <w:tcPr>
            <w:tcW w:w="284" w:type="dxa"/>
            <w:tcBorders>
              <w:top w:val="single" w:sz="4" w:space="0" w:color="auto"/>
              <w:left w:val="nil"/>
              <w:bottom w:val="nil"/>
              <w:right w:val="nil"/>
            </w:tcBorders>
            <w:shd w:val="clear" w:color="000000" w:fill="D9D9D9"/>
            <w:noWrap/>
            <w:vAlign w:val="center"/>
            <w:hideMark/>
          </w:tcPr>
          <w:p w14:paraId="2F80FA5C" w14:textId="77777777" w:rsidR="00946B96" w:rsidRPr="00313E2B" w:rsidRDefault="00946B96" w:rsidP="00946B96">
            <w:pPr>
              <w:ind w:left="0" w:firstLine="0"/>
              <w:rPr>
                <w:rFonts w:asciiTheme="minorHAnsi" w:eastAsia="Times New Roman" w:hAnsiTheme="minorHAnsi" w:cstheme="minorHAnsi"/>
                <w:b/>
                <w:bCs/>
                <w:noProof/>
                <w:sz w:val="19"/>
                <w:szCs w:val="19"/>
                <w:lang w:val="es-ES" w:eastAsia="en-GB"/>
              </w:rPr>
            </w:pPr>
            <w:r w:rsidRPr="00313E2B">
              <w:rPr>
                <w:rFonts w:asciiTheme="minorHAnsi" w:eastAsia="Times New Roman" w:hAnsiTheme="minorHAnsi" w:cstheme="minorHAnsi"/>
                <w:b/>
                <w:bCs/>
                <w:noProof/>
                <w:sz w:val="19"/>
                <w:szCs w:val="19"/>
                <w:lang w:val="es-ES" w:eastAsia="en-GB"/>
              </w:rPr>
              <w:t> </w:t>
            </w:r>
          </w:p>
        </w:tc>
        <w:tc>
          <w:tcPr>
            <w:tcW w:w="1598" w:type="dxa"/>
            <w:tcBorders>
              <w:top w:val="single" w:sz="4" w:space="0" w:color="auto"/>
              <w:left w:val="nil"/>
              <w:bottom w:val="nil"/>
              <w:right w:val="nil"/>
            </w:tcBorders>
            <w:shd w:val="clear" w:color="000000" w:fill="FFFFFF"/>
            <w:noWrap/>
            <w:vAlign w:val="center"/>
            <w:hideMark/>
          </w:tcPr>
          <w:p w14:paraId="02117231" w14:textId="0CF4110A" w:rsidR="00946B96" w:rsidRPr="00313E2B" w:rsidRDefault="00946B96" w:rsidP="001441B9">
            <w:pPr>
              <w:ind w:left="0" w:firstLine="0"/>
              <w:jc w:val="right"/>
              <w:rPr>
                <w:rFonts w:asciiTheme="minorHAnsi" w:eastAsia="Times New Roman" w:hAnsiTheme="minorHAnsi" w:cstheme="minorHAnsi"/>
                <w:b/>
                <w:bCs/>
                <w:noProof/>
                <w:sz w:val="19"/>
                <w:szCs w:val="19"/>
                <w:lang w:val="es-ES" w:eastAsia="en-GB"/>
              </w:rPr>
            </w:pPr>
            <w:r w:rsidRPr="00313E2B">
              <w:rPr>
                <w:b/>
                <w:noProof/>
                <w:sz w:val="19"/>
                <w:szCs w:val="19"/>
                <w:lang w:val="es-ES"/>
              </w:rPr>
              <w:t>1</w:t>
            </w:r>
            <w:r w:rsidR="00D07444" w:rsidRPr="00313E2B">
              <w:rPr>
                <w:b/>
                <w:noProof/>
                <w:sz w:val="19"/>
                <w:szCs w:val="19"/>
                <w:lang w:val="es-ES"/>
              </w:rPr>
              <w:t xml:space="preserve"> </w:t>
            </w:r>
            <w:r w:rsidRPr="00313E2B">
              <w:rPr>
                <w:b/>
                <w:noProof/>
                <w:sz w:val="19"/>
                <w:szCs w:val="19"/>
                <w:lang w:val="es-ES"/>
              </w:rPr>
              <w:t>811</w:t>
            </w:r>
          </w:p>
        </w:tc>
      </w:tr>
      <w:tr w:rsidR="007C6B16" w:rsidRPr="00313E2B" w14:paraId="3C5B34E9" w14:textId="77777777" w:rsidTr="001441B9">
        <w:trPr>
          <w:trHeight w:val="288"/>
        </w:trPr>
        <w:tc>
          <w:tcPr>
            <w:tcW w:w="5954" w:type="dxa"/>
            <w:tcBorders>
              <w:top w:val="nil"/>
              <w:left w:val="nil"/>
              <w:bottom w:val="nil"/>
              <w:right w:val="nil"/>
            </w:tcBorders>
            <w:shd w:val="clear" w:color="000000" w:fill="FFFFFF"/>
            <w:noWrap/>
            <w:vAlign w:val="center"/>
            <w:hideMark/>
          </w:tcPr>
          <w:p w14:paraId="7BD21FF6" w14:textId="77777777" w:rsidR="007C6B16" w:rsidRPr="00313E2B" w:rsidRDefault="007C6B16" w:rsidP="007C6B16">
            <w:pPr>
              <w:ind w:left="0" w:firstLine="0"/>
              <w:rPr>
                <w:rFonts w:asciiTheme="minorHAnsi" w:eastAsia="Times New Roman" w:hAnsiTheme="minorHAnsi" w:cstheme="minorHAnsi"/>
                <w:b/>
                <w:bCs/>
                <w:noProof/>
                <w:sz w:val="19"/>
                <w:szCs w:val="19"/>
                <w:lang w:val="es-ES" w:eastAsia="en-GB"/>
              </w:rPr>
            </w:pPr>
            <w:r w:rsidRPr="00313E2B">
              <w:rPr>
                <w:rFonts w:asciiTheme="minorHAnsi" w:eastAsia="Times New Roman" w:hAnsiTheme="minorHAnsi" w:cstheme="minorHAnsi"/>
                <w:b/>
                <w:bCs/>
                <w:noProof/>
                <w:sz w:val="19"/>
                <w:szCs w:val="19"/>
                <w:lang w:val="es-ES" w:eastAsia="en-GB"/>
              </w:rPr>
              <w:t> </w:t>
            </w:r>
          </w:p>
        </w:tc>
        <w:tc>
          <w:tcPr>
            <w:tcW w:w="1400" w:type="dxa"/>
            <w:tcBorders>
              <w:top w:val="nil"/>
              <w:left w:val="nil"/>
              <w:bottom w:val="nil"/>
              <w:right w:val="nil"/>
            </w:tcBorders>
            <w:shd w:val="clear" w:color="000000" w:fill="FFFFFF"/>
            <w:noWrap/>
            <w:vAlign w:val="center"/>
            <w:hideMark/>
          </w:tcPr>
          <w:p w14:paraId="47211CAC" w14:textId="77777777" w:rsidR="007C6B16" w:rsidRPr="00313E2B" w:rsidRDefault="007C6B16" w:rsidP="007C6B1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262" w:type="dxa"/>
            <w:tcBorders>
              <w:top w:val="nil"/>
              <w:left w:val="nil"/>
              <w:bottom w:val="nil"/>
              <w:right w:val="nil"/>
            </w:tcBorders>
            <w:shd w:val="clear" w:color="000000" w:fill="FFFFFF"/>
            <w:noWrap/>
            <w:vAlign w:val="center"/>
            <w:hideMark/>
          </w:tcPr>
          <w:p w14:paraId="5C55D982" w14:textId="77777777" w:rsidR="007C6B16" w:rsidRPr="00313E2B" w:rsidRDefault="007C6B16" w:rsidP="007C6B1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64864710" w14:textId="77777777" w:rsidR="007C6B16" w:rsidRPr="00313E2B" w:rsidRDefault="007C6B16" w:rsidP="007C6B1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1598" w:type="dxa"/>
            <w:tcBorders>
              <w:top w:val="nil"/>
              <w:left w:val="nil"/>
              <w:bottom w:val="nil"/>
              <w:right w:val="nil"/>
            </w:tcBorders>
            <w:shd w:val="clear" w:color="000000" w:fill="FFFFFF"/>
            <w:noWrap/>
            <w:vAlign w:val="center"/>
            <w:hideMark/>
          </w:tcPr>
          <w:p w14:paraId="0E610DCD" w14:textId="16BC5198" w:rsidR="007C6B16" w:rsidRPr="00313E2B" w:rsidRDefault="007C6B16" w:rsidP="001441B9">
            <w:pPr>
              <w:ind w:left="0" w:firstLine="0"/>
              <w:jc w:val="right"/>
              <w:rPr>
                <w:rFonts w:asciiTheme="minorHAnsi" w:eastAsia="Times New Roman" w:hAnsiTheme="minorHAnsi" w:cstheme="minorHAnsi"/>
                <w:noProof/>
                <w:sz w:val="19"/>
                <w:szCs w:val="19"/>
                <w:lang w:val="es-ES" w:eastAsia="en-GB"/>
              </w:rPr>
            </w:pPr>
            <w:r w:rsidRPr="00313E2B">
              <w:rPr>
                <w:noProof/>
                <w:sz w:val="19"/>
                <w:szCs w:val="19"/>
                <w:lang w:val="es-ES"/>
              </w:rPr>
              <w:t xml:space="preserve"> </w:t>
            </w:r>
          </w:p>
        </w:tc>
      </w:tr>
      <w:tr w:rsidR="00946B96" w:rsidRPr="001441B9" w14:paraId="5D41F4F3" w14:textId="77777777" w:rsidTr="001441B9">
        <w:trPr>
          <w:trHeight w:val="288"/>
        </w:trPr>
        <w:tc>
          <w:tcPr>
            <w:tcW w:w="5954" w:type="dxa"/>
            <w:tcBorders>
              <w:top w:val="nil"/>
              <w:left w:val="nil"/>
              <w:bottom w:val="nil"/>
              <w:right w:val="nil"/>
            </w:tcBorders>
            <w:shd w:val="clear" w:color="000000" w:fill="FFFFFF"/>
            <w:noWrap/>
            <w:vAlign w:val="center"/>
            <w:hideMark/>
          </w:tcPr>
          <w:p w14:paraId="12099468" w14:textId="04540C60" w:rsidR="00946B96" w:rsidRPr="00313E2B" w:rsidRDefault="00946B96" w:rsidP="00946B96">
            <w:pPr>
              <w:ind w:left="0" w:firstLine="0"/>
              <w:rPr>
                <w:rFonts w:asciiTheme="minorHAnsi" w:eastAsia="Times New Roman" w:hAnsiTheme="minorHAnsi" w:cstheme="minorHAnsi"/>
                <w:b/>
                <w:bCs/>
                <w:noProof/>
                <w:sz w:val="19"/>
                <w:szCs w:val="19"/>
                <w:lang w:val="es-ES" w:eastAsia="en-GB"/>
              </w:rPr>
            </w:pPr>
            <w:r w:rsidRPr="00313E2B">
              <w:rPr>
                <w:b/>
                <w:bCs/>
                <w:noProof/>
                <w:sz w:val="19"/>
                <w:szCs w:val="19"/>
                <w:lang w:val="es-ES"/>
              </w:rPr>
              <w:t>Flujos de tesorería de las actividades de inversión</w:t>
            </w:r>
          </w:p>
        </w:tc>
        <w:tc>
          <w:tcPr>
            <w:tcW w:w="1400" w:type="dxa"/>
            <w:tcBorders>
              <w:top w:val="nil"/>
              <w:left w:val="nil"/>
              <w:bottom w:val="nil"/>
              <w:right w:val="nil"/>
            </w:tcBorders>
            <w:shd w:val="clear" w:color="000000" w:fill="FFFFFF"/>
            <w:noWrap/>
            <w:vAlign w:val="center"/>
            <w:hideMark/>
          </w:tcPr>
          <w:p w14:paraId="148F1162" w14:textId="77777777" w:rsidR="00946B96" w:rsidRPr="00313E2B" w:rsidRDefault="00946B96" w:rsidP="00946B9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262" w:type="dxa"/>
            <w:tcBorders>
              <w:top w:val="nil"/>
              <w:left w:val="nil"/>
              <w:bottom w:val="nil"/>
              <w:right w:val="nil"/>
            </w:tcBorders>
            <w:shd w:val="clear" w:color="000000" w:fill="FFFFFF"/>
            <w:noWrap/>
            <w:vAlign w:val="center"/>
            <w:hideMark/>
          </w:tcPr>
          <w:p w14:paraId="4F9A8789" w14:textId="77777777" w:rsidR="00946B96" w:rsidRPr="00313E2B" w:rsidRDefault="00946B96" w:rsidP="00946B9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764E6FAD" w14:textId="77777777" w:rsidR="00946B96" w:rsidRPr="00313E2B" w:rsidRDefault="00946B96" w:rsidP="00946B9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1598" w:type="dxa"/>
            <w:tcBorders>
              <w:top w:val="nil"/>
              <w:left w:val="nil"/>
              <w:bottom w:val="nil"/>
              <w:right w:val="nil"/>
            </w:tcBorders>
            <w:shd w:val="clear" w:color="000000" w:fill="FFFFFF"/>
            <w:noWrap/>
            <w:vAlign w:val="center"/>
            <w:hideMark/>
          </w:tcPr>
          <w:p w14:paraId="3A1F490B" w14:textId="5192F541" w:rsidR="00946B96" w:rsidRPr="00313E2B" w:rsidRDefault="00946B96" w:rsidP="001441B9">
            <w:pPr>
              <w:ind w:left="0" w:firstLine="0"/>
              <w:jc w:val="right"/>
              <w:rPr>
                <w:rFonts w:asciiTheme="minorHAnsi" w:eastAsia="Times New Roman" w:hAnsiTheme="minorHAnsi" w:cstheme="minorHAnsi"/>
                <w:noProof/>
                <w:sz w:val="19"/>
                <w:szCs w:val="19"/>
                <w:lang w:val="es-ES" w:eastAsia="en-GB"/>
              </w:rPr>
            </w:pPr>
            <w:r w:rsidRPr="00313E2B">
              <w:rPr>
                <w:noProof/>
                <w:sz w:val="19"/>
                <w:szCs w:val="19"/>
                <w:lang w:val="es-ES"/>
              </w:rPr>
              <w:t xml:space="preserve"> </w:t>
            </w:r>
          </w:p>
        </w:tc>
      </w:tr>
      <w:tr w:rsidR="00946B96" w:rsidRPr="00313E2B" w14:paraId="0932408D" w14:textId="77777777" w:rsidTr="001441B9">
        <w:trPr>
          <w:trHeight w:val="312"/>
        </w:trPr>
        <w:tc>
          <w:tcPr>
            <w:tcW w:w="5954" w:type="dxa"/>
            <w:tcBorders>
              <w:top w:val="nil"/>
              <w:left w:val="nil"/>
              <w:bottom w:val="nil"/>
              <w:right w:val="nil"/>
            </w:tcBorders>
            <w:shd w:val="clear" w:color="000000" w:fill="FFFFFF"/>
            <w:noWrap/>
            <w:vAlign w:val="center"/>
            <w:hideMark/>
          </w:tcPr>
          <w:p w14:paraId="465EF2D5" w14:textId="5362EF84" w:rsidR="00946B96" w:rsidRPr="00313E2B" w:rsidRDefault="00946B96" w:rsidP="00946B96">
            <w:pPr>
              <w:ind w:left="0" w:firstLine="0"/>
              <w:rPr>
                <w:rFonts w:asciiTheme="minorHAnsi" w:eastAsia="Times New Roman" w:hAnsiTheme="minorHAnsi" w:cstheme="minorHAnsi"/>
                <w:noProof/>
                <w:color w:val="000000"/>
                <w:sz w:val="19"/>
                <w:szCs w:val="19"/>
                <w:lang w:val="es-ES" w:eastAsia="en-GB"/>
              </w:rPr>
            </w:pPr>
            <w:r w:rsidRPr="00313E2B">
              <w:rPr>
                <w:noProof/>
                <w:color w:val="000000"/>
                <w:sz w:val="19"/>
                <w:szCs w:val="19"/>
                <w:lang w:val="es-ES"/>
              </w:rPr>
              <w:t>Adquisición de activos fijos</w:t>
            </w:r>
          </w:p>
        </w:tc>
        <w:tc>
          <w:tcPr>
            <w:tcW w:w="1400" w:type="dxa"/>
            <w:tcBorders>
              <w:top w:val="nil"/>
              <w:left w:val="nil"/>
              <w:bottom w:val="nil"/>
              <w:right w:val="nil"/>
            </w:tcBorders>
            <w:shd w:val="clear" w:color="000000" w:fill="FFFFFF"/>
            <w:noWrap/>
            <w:vAlign w:val="center"/>
            <w:hideMark/>
          </w:tcPr>
          <w:p w14:paraId="4396A614" w14:textId="0DD7B1EE" w:rsidR="00946B96" w:rsidRPr="00313E2B" w:rsidRDefault="00946B96" w:rsidP="00946B96">
            <w:pPr>
              <w:ind w:left="0" w:firstLine="0"/>
              <w:jc w:val="right"/>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(11)</w:t>
            </w:r>
          </w:p>
        </w:tc>
        <w:tc>
          <w:tcPr>
            <w:tcW w:w="262" w:type="dxa"/>
            <w:tcBorders>
              <w:top w:val="nil"/>
              <w:left w:val="nil"/>
              <w:bottom w:val="nil"/>
              <w:right w:val="nil"/>
            </w:tcBorders>
            <w:shd w:val="clear" w:color="000000" w:fill="FFFFFF"/>
            <w:noWrap/>
            <w:vAlign w:val="center"/>
            <w:hideMark/>
          </w:tcPr>
          <w:p w14:paraId="056E18CC" w14:textId="77777777" w:rsidR="00946B96" w:rsidRPr="00313E2B" w:rsidRDefault="00946B96" w:rsidP="00946B9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6BBA012E" w14:textId="77777777" w:rsidR="00946B96" w:rsidRPr="00313E2B" w:rsidRDefault="00946B96" w:rsidP="00946B9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1598" w:type="dxa"/>
            <w:tcBorders>
              <w:top w:val="nil"/>
              <w:left w:val="nil"/>
              <w:bottom w:val="nil"/>
              <w:right w:val="nil"/>
            </w:tcBorders>
            <w:shd w:val="clear" w:color="000000" w:fill="FFFFFF"/>
            <w:noWrap/>
            <w:vAlign w:val="center"/>
            <w:hideMark/>
          </w:tcPr>
          <w:p w14:paraId="59CC2EF5" w14:textId="26D1BFD8" w:rsidR="00946B96" w:rsidRPr="00313E2B" w:rsidRDefault="00946B96" w:rsidP="001441B9">
            <w:pPr>
              <w:ind w:left="0" w:firstLine="0"/>
              <w:jc w:val="right"/>
              <w:rPr>
                <w:rFonts w:asciiTheme="minorHAnsi" w:eastAsia="Times New Roman" w:hAnsiTheme="minorHAnsi" w:cstheme="minorHAnsi"/>
                <w:noProof/>
                <w:sz w:val="19"/>
                <w:szCs w:val="19"/>
                <w:lang w:val="es-ES" w:eastAsia="en-GB"/>
              </w:rPr>
            </w:pPr>
            <w:r w:rsidRPr="00313E2B">
              <w:rPr>
                <w:noProof/>
                <w:sz w:val="19"/>
                <w:szCs w:val="19"/>
                <w:lang w:val="es-ES"/>
              </w:rPr>
              <w:t>(4)</w:t>
            </w:r>
          </w:p>
        </w:tc>
      </w:tr>
      <w:tr w:rsidR="007C6B16" w:rsidRPr="00313E2B" w14:paraId="76B4665D" w14:textId="77777777" w:rsidTr="001441B9">
        <w:trPr>
          <w:trHeight w:val="288"/>
        </w:trPr>
        <w:tc>
          <w:tcPr>
            <w:tcW w:w="5954" w:type="dxa"/>
            <w:tcBorders>
              <w:top w:val="nil"/>
              <w:left w:val="nil"/>
              <w:bottom w:val="nil"/>
              <w:right w:val="nil"/>
            </w:tcBorders>
            <w:shd w:val="clear" w:color="000000" w:fill="FFFFFF"/>
            <w:noWrap/>
            <w:vAlign w:val="center"/>
            <w:hideMark/>
          </w:tcPr>
          <w:p w14:paraId="67E32900" w14:textId="77777777" w:rsidR="007C6B16" w:rsidRPr="00313E2B" w:rsidRDefault="007C6B16" w:rsidP="007C6B1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1400" w:type="dxa"/>
            <w:tcBorders>
              <w:top w:val="nil"/>
              <w:left w:val="nil"/>
              <w:bottom w:val="nil"/>
              <w:right w:val="nil"/>
            </w:tcBorders>
            <w:shd w:val="clear" w:color="000000" w:fill="FFFFFF"/>
            <w:noWrap/>
            <w:vAlign w:val="center"/>
            <w:hideMark/>
          </w:tcPr>
          <w:p w14:paraId="10A8E5A8" w14:textId="77777777" w:rsidR="007C6B16" w:rsidRPr="00313E2B" w:rsidRDefault="007C6B16" w:rsidP="007C6B1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262" w:type="dxa"/>
            <w:tcBorders>
              <w:top w:val="nil"/>
              <w:left w:val="nil"/>
              <w:bottom w:val="nil"/>
              <w:right w:val="nil"/>
            </w:tcBorders>
            <w:shd w:val="clear" w:color="000000" w:fill="FFFFFF"/>
            <w:noWrap/>
            <w:vAlign w:val="center"/>
            <w:hideMark/>
          </w:tcPr>
          <w:p w14:paraId="3A7F0CCA" w14:textId="77777777" w:rsidR="007C6B16" w:rsidRPr="00313E2B" w:rsidRDefault="007C6B16" w:rsidP="007C6B1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371A620C" w14:textId="77777777" w:rsidR="007C6B16" w:rsidRPr="00313E2B" w:rsidRDefault="007C6B16" w:rsidP="007C6B1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1598" w:type="dxa"/>
            <w:tcBorders>
              <w:top w:val="nil"/>
              <w:left w:val="nil"/>
              <w:bottom w:val="nil"/>
              <w:right w:val="nil"/>
            </w:tcBorders>
            <w:shd w:val="clear" w:color="000000" w:fill="FFFFFF"/>
            <w:noWrap/>
            <w:vAlign w:val="center"/>
            <w:hideMark/>
          </w:tcPr>
          <w:p w14:paraId="0A3036D6" w14:textId="57B986C7" w:rsidR="007C6B16" w:rsidRPr="00313E2B" w:rsidRDefault="007C6B16" w:rsidP="001441B9">
            <w:pPr>
              <w:ind w:left="0" w:firstLine="0"/>
              <w:jc w:val="right"/>
              <w:rPr>
                <w:rFonts w:asciiTheme="minorHAnsi" w:eastAsia="Times New Roman" w:hAnsiTheme="minorHAnsi" w:cstheme="minorHAnsi"/>
                <w:noProof/>
                <w:sz w:val="19"/>
                <w:szCs w:val="19"/>
                <w:lang w:val="es-ES" w:eastAsia="en-GB"/>
              </w:rPr>
            </w:pPr>
            <w:r w:rsidRPr="00313E2B">
              <w:rPr>
                <w:noProof/>
                <w:sz w:val="19"/>
                <w:szCs w:val="19"/>
                <w:lang w:val="es-ES"/>
              </w:rPr>
              <w:t xml:space="preserve"> </w:t>
            </w:r>
          </w:p>
        </w:tc>
      </w:tr>
      <w:tr w:rsidR="00946B96" w:rsidRPr="00313E2B" w14:paraId="5E452586" w14:textId="77777777" w:rsidTr="001441B9">
        <w:trPr>
          <w:trHeight w:val="480"/>
        </w:trPr>
        <w:tc>
          <w:tcPr>
            <w:tcW w:w="5954" w:type="dxa"/>
            <w:tcBorders>
              <w:top w:val="nil"/>
              <w:left w:val="nil"/>
              <w:bottom w:val="nil"/>
              <w:right w:val="nil"/>
            </w:tcBorders>
            <w:shd w:val="clear" w:color="000000" w:fill="FFFFFF"/>
            <w:noWrap/>
            <w:vAlign w:val="center"/>
            <w:hideMark/>
          </w:tcPr>
          <w:p w14:paraId="01C7E797" w14:textId="5C71442D" w:rsidR="00946B96" w:rsidRPr="00313E2B" w:rsidRDefault="00946B96" w:rsidP="00946B96">
            <w:pPr>
              <w:ind w:left="0" w:firstLine="0"/>
              <w:rPr>
                <w:rFonts w:asciiTheme="minorHAnsi" w:eastAsia="Times New Roman" w:hAnsiTheme="minorHAnsi" w:cstheme="minorHAnsi"/>
                <w:b/>
                <w:bCs/>
                <w:noProof/>
                <w:sz w:val="19"/>
                <w:szCs w:val="19"/>
                <w:lang w:val="es-ES" w:eastAsia="en-GB"/>
              </w:rPr>
            </w:pPr>
            <w:r w:rsidRPr="00313E2B">
              <w:rPr>
                <w:b/>
                <w:bCs/>
                <w:noProof/>
                <w:sz w:val="19"/>
                <w:szCs w:val="19"/>
                <w:lang w:val="es-ES"/>
              </w:rPr>
              <w:t>Total, Flujos de tesorería de las actividades de inversión</w:t>
            </w:r>
          </w:p>
        </w:tc>
        <w:tc>
          <w:tcPr>
            <w:tcW w:w="1400" w:type="dxa"/>
            <w:tcBorders>
              <w:top w:val="single" w:sz="4" w:space="0" w:color="auto"/>
              <w:left w:val="nil"/>
              <w:bottom w:val="nil"/>
              <w:right w:val="nil"/>
            </w:tcBorders>
            <w:shd w:val="clear" w:color="000000" w:fill="FFFFFF"/>
            <w:noWrap/>
            <w:vAlign w:val="center"/>
            <w:hideMark/>
          </w:tcPr>
          <w:p w14:paraId="6D0C2B3F" w14:textId="03745ACF" w:rsidR="00946B96" w:rsidRPr="00313E2B" w:rsidRDefault="00946B96" w:rsidP="00946B96">
            <w:pPr>
              <w:ind w:left="0" w:firstLine="0"/>
              <w:jc w:val="right"/>
              <w:rPr>
                <w:rFonts w:asciiTheme="minorHAnsi" w:eastAsia="Times New Roman" w:hAnsiTheme="minorHAnsi" w:cstheme="minorHAnsi"/>
                <w:b/>
                <w:bCs/>
                <w:noProof/>
                <w:sz w:val="19"/>
                <w:szCs w:val="19"/>
                <w:lang w:val="es-ES" w:eastAsia="en-GB"/>
              </w:rPr>
            </w:pPr>
            <w:r w:rsidRPr="00313E2B">
              <w:rPr>
                <w:rFonts w:asciiTheme="minorHAnsi" w:eastAsia="Times New Roman" w:hAnsiTheme="minorHAnsi" w:cstheme="minorHAnsi"/>
                <w:b/>
                <w:bCs/>
                <w:noProof/>
                <w:sz w:val="19"/>
                <w:szCs w:val="19"/>
                <w:lang w:val="es-ES" w:eastAsia="en-GB"/>
              </w:rPr>
              <w:t>(11)</w:t>
            </w:r>
          </w:p>
        </w:tc>
        <w:tc>
          <w:tcPr>
            <w:tcW w:w="262" w:type="dxa"/>
            <w:tcBorders>
              <w:top w:val="single" w:sz="4" w:space="0" w:color="auto"/>
              <w:left w:val="nil"/>
              <w:bottom w:val="nil"/>
              <w:right w:val="nil"/>
            </w:tcBorders>
            <w:shd w:val="clear" w:color="000000" w:fill="FFFFFF"/>
            <w:noWrap/>
            <w:vAlign w:val="center"/>
            <w:hideMark/>
          </w:tcPr>
          <w:p w14:paraId="06E41437" w14:textId="77777777" w:rsidR="00946B96" w:rsidRPr="00313E2B" w:rsidRDefault="00946B96" w:rsidP="00946B96">
            <w:pPr>
              <w:ind w:left="0" w:firstLine="0"/>
              <w:rPr>
                <w:rFonts w:asciiTheme="minorHAnsi" w:eastAsia="Times New Roman" w:hAnsiTheme="minorHAnsi" w:cstheme="minorHAnsi"/>
                <w:b/>
                <w:bCs/>
                <w:noProof/>
                <w:sz w:val="19"/>
                <w:szCs w:val="19"/>
                <w:lang w:val="es-ES" w:eastAsia="en-GB"/>
              </w:rPr>
            </w:pPr>
            <w:r w:rsidRPr="00313E2B">
              <w:rPr>
                <w:rFonts w:asciiTheme="minorHAnsi" w:eastAsia="Times New Roman" w:hAnsiTheme="minorHAnsi" w:cstheme="minorHAnsi"/>
                <w:b/>
                <w:bCs/>
                <w:noProof/>
                <w:sz w:val="19"/>
                <w:szCs w:val="19"/>
                <w:lang w:val="es-ES" w:eastAsia="en-GB"/>
              </w:rPr>
              <w:t> </w:t>
            </w:r>
          </w:p>
        </w:tc>
        <w:tc>
          <w:tcPr>
            <w:tcW w:w="284" w:type="dxa"/>
            <w:tcBorders>
              <w:top w:val="single" w:sz="4" w:space="0" w:color="auto"/>
              <w:left w:val="nil"/>
              <w:bottom w:val="nil"/>
              <w:right w:val="nil"/>
            </w:tcBorders>
            <w:shd w:val="clear" w:color="000000" w:fill="D9D9D9"/>
            <w:noWrap/>
            <w:vAlign w:val="center"/>
            <w:hideMark/>
          </w:tcPr>
          <w:p w14:paraId="76E843FD" w14:textId="77777777" w:rsidR="00946B96" w:rsidRPr="00313E2B" w:rsidRDefault="00946B96" w:rsidP="00946B96">
            <w:pPr>
              <w:ind w:left="0" w:firstLine="0"/>
              <w:rPr>
                <w:rFonts w:asciiTheme="minorHAnsi" w:eastAsia="Times New Roman" w:hAnsiTheme="minorHAnsi" w:cstheme="minorHAnsi"/>
                <w:b/>
                <w:bCs/>
                <w:noProof/>
                <w:sz w:val="19"/>
                <w:szCs w:val="19"/>
                <w:lang w:val="es-ES" w:eastAsia="en-GB"/>
              </w:rPr>
            </w:pPr>
            <w:r w:rsidRPr="00313E2B">
              <w:rPr>
                <w:rFonts w:asciiTheme="minorHAnsi" w:eastAsia="Times New Roman" w:hAnsiTheme="minorHAnsi" w:cstheme="minorHAnsi"/>
                <w:b/>
                <w:bCs/>
                <w:noProof/>
                <w:sz w:val="19"/>
                <w:szCs w:val="19"/>
                <w:lang w:val="es-ES" w:eastAsia="en-GB"/>
              </w:rPr>
              <w:t> </w:t>
            </w:r>
          </w:p>
        </w:tc>
        <w:tc>
          <w:tcPr>
            <w:tcW w:w="1598" w:type="dxa"/>
            <w:tcBorders>
              <w:top w:val="single" w:sz="4" w:space="0" w:color="auto"/>
              <w:left w:val="nil"/>
              <w:bottom w:val="nil"/>
              <w:right w:val="nil"/>
            </w:tcBorders>
            <w:shd w:val="clear" w:color="000000" w:fill="FFFFFF"/>
            <w:noWrap/>
            <w:vAlign w:val="center"/>
            <w:hideMark/>
          </w:tcPr>
          <w:p w14:paraId="47854216" w14:textId="21CC7ADD" w:rsidR="00946B96" w:rsidRPr="00313E2B" w:rsidRDefault="00946B96" w:rsidP="001441B9">
            <w:pPr>
              <w:ind w:left="0" w:firstLine="0"/>
              <w:jc w:val="right"/>
              <w:rPr>
                <w:rFonts w:asciiTheme="minorHAnsi" w:eastAsia="Times New Roman" w:hAnsiTheme="minorHAnsi" w:cstheme="minorHAnsi"/>
                <w:b/>
                <w:bCs/>
                <w:noProof/>
                <w:sz w:val="19"/>
                <w:szCs w:val="19"/>
                <w:lang w:val="es-ES" w:eastAsia="en-GB"/>
              </w:rPr>
            </w:pPr>
            <w:r w:rsidRPr="00313E2B">
              <w:rPr>
                <w:noProof/>
                <w:sz w:val="19"/>
                <w:szCs w:val="19"/>
                <w:lang w:val="es-ES"/>
              </w:rPr>
              <w:t>(4)</w:t>
            </w:r>
          </w:p>
        </w:tc>
      </w:tr>
      <w:tr w:rsidR="007C6B16" w:rsidRPr="00313E2B" w14:paraId="5A423FC9" w14:textId="77777777" w:rsidTr="001441B9">
        <w:trPr>
          <w:trHeight w:val="288"/>
        </w:trPr>
        <w:tc>
          <w:tcPr>
            <w:tcW w:w="5954" w:type="dxa"/>
            <w:tcBorders>
              <w:top w:val="nil"/>
              <w:left w:val="nil"/>
              <w:bottom w:val="nil"/>
              <w:right w:val="nil"/>
            </w:tcBorders>
            <w:shd w:val="clear" w:color="000000" w:fill="FFFFFF"/>
            <w:noWrap/>
            <w:vAlign w:val="center"/>
            <w:hideMark/>
          </w:tcPr>
          <w:p w14:paraId="1DBD7639" w14:textId="77777777" w:rsidR="007C6B16" w:rsidRPr="00313E2B" w:rsidRDefault="007C6B16" w:rsidP="007C6B1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1400" w:type="dxa"/>
            <w:tcBorders>
              <w:top w:val="nil"/>
              <w:left w:val="nil"/>
              <w:bottom w:val="nil"/>
              <w:right w:val="nil"/>
            </w:tcBorders>
            <w:shd w:val="clear" w:color="000000" w:fill="FFFFFF"/>
            <w:noWrap/>
            <w:vAlign w:val="center"/>
            <w:hideMark/>
          </w:tcPr>
          <w:p w14:paraId="086D3BCE" w14:textId="77777777" w:rsidR="007C6B16" w:rsidRPr="00313E2B" w:rsidRDefault="007C6B16" w:rsidP="007C6B1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262" w:type="dxa"/>
            <w:tcBorders>
              <w:top w:val="nil"/>
              <w:left w:val="nil"/>
              <w:bottom w:val="nil"/>
              <w:right w:val="nil"/>
            </w:tcBorders>
            <w:shd w:val="clear" w:color="000000" w:fill="FFFFFF"/>
            <w:noWrap/>
            <w:vAlign w:val="center"/>
            <w:hideMark/>
          </w:tcPr>
          <w:p w14:paraId="619C122B" w14:textId="77777777" w:rsidR="007C6B16" w:rsidRPr="00313E2B" w:rsidRDefault="007C6B16" w:rsidP="007C6B1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3B71EEA3" w14:textId="77777777" w:rsidR="007C6B16" w:rsidRPr="00313E2B" w:rsidRDefault="007C6B16" w:rsidP="007C6B1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1598" w:type="dxa"/>
            <w:tcBorders>
              <w:top w:val="nil"/>
              <w:left w:val="nil"/>
              <w:bottom w:val="nil"/>
              <w:right w:val="nil"/>
            </w:tcBorders>
            <w:shd w:val="clear" w:color="000000" w:fill="FFFFFF"/>
            <w:noWrap/>
            <w:vAlign w:val="center"/>
            <w:hideMark/>
          </w:tcPr>
          <w:p w14:paraId="1CDCB617" w14:textId="3C922496" w:rsidR="007C6B16" w:rsidRPr="00313E2B" w:rsidRDefault="007C6B16" w:rsidP="001441B9">
            <w:pPr>
              <w:ind w:left="0" w:firstLine="0"/>
              <w:jc w:val="right"/>
              <w:rPr>
                <w:rFonts w:asciiTheme="minorHAnsi" w:eastAsia="Times New Roman" w:hAnsiTheme="minorHAnsi" w:cstheme="minorHAnsi"/>
                <w:noProof/>
                <w:sz w:val="19"/>
                <w:szCs w:val="19"/>
                <w:lang w:val="es-ES" w:eastAsia="en-GB"/>
              </w:rPr>
            </w:pPr>
            <w:r w:rsidRPr="00313E2B">
              <w:rPr>
                <w:noProof/>
                <w:sz w:val="19"/>
                <w:szCs w:val="19"/>
                <w:lang w:val="es-ES"/>
              </w:rPr>
              <w:t xml:space="preserve"> </w:t>
            </w:r>
          </w:p>
        </w:tc>
      </w:tr>
      <w:tr w:rsidR="00946B96" w:rsidRPr="00313E2B" w14:paraId="56B12FB4" w14:textId="77777777" w:rsidTr="001441B9">
        <w:trPr>
          <w:trHeight w:val="480"/>
        </w:trPr>
        <w:tc>
          <w:tcPr>
            <w:tcW w:w="5954" w:type="dxa"/>
            <w:tcBorders>
              <w:top w:val="nil"/>
              <w:left w:val="nil"/>
              <w:bottom w:val="nil"/>
              <w:right w:val="nil"/>
            </w:tcBorders>
            <w:shd w:val="clear" w:color="000000" w:fill="FFFFFF"/>
            <w:noWrap/>
            <w:vAlign w:val="center"/>
            <w:hideMark/>
          </w:tcPr>
          <w:p w14:paraId="3A95DB09" w14:textId="00E81C87" w:rsidR="00946B96" w:rsidRPr="00313E2B" w:rsidRDefault="00946B96" w:rsidP="00946B96">
            <w:pPr>
              <w:ind w:left="0" w:firstLine="0"/>
              <w:rPr>
                <w:rFonts w:asciiTheme="minorHAnsi" w:eastAsia="Times New Roman" w:hAnsiTheme="minorHAnsi" w:cstheme="minorHAnsi"/>
                <w:b/>
                <w:bCs/>
                <w:noProof/>
                <w:sz w:val="19"/>
                <w:szCs w:val="19"/>
                <w:lang w:val="es-ES" w:eastAsia="en-GB"/>
              </w:rPr>
            </w:pPr>
            <w:r w:rsidRPr="00313E2B">
              <w:rPr>
                <w:b/>
                <w:bCs/>
                <w:noProof/>
                <w:sz w:val="19"/>
                <w:szCs w:val="19"/>
                <w:lang w:val="es-ES"/>
              </w:rPr>
              <w:t>Entradas/(salidas) de tesorería netas</w:t>
            </w:r>
          </w:p>
        </w:tc>
        <w:tc>
          <w:tcPr>
            <w:tcW w:w="1400" w:type="dxa"/>
            <w:tcBorders>
              <w:top w:val="single" w:sz="4" w:space="0" w:color="auto"/>
              <w:left w:val="nil"/>
              <w:bottom w:val="single" w:sz="4" w:space="0" w:color="auto"/>
              <w:right w:val="nil"/>
            </w:tcBorders>
            <w:shd w:val="clear" w:color="000000" w:fill="FFFFFF"/>
            <w:noWrap/>
            <w:vAlign w:val="center"/>
            <w:hideMark/>
          </w:tcPr>
          <w:p w14:paraId="2200BA05" w14:textId="41AA0B8A" w:rsidR="00946B96" w:rsidRPr="00313E2B" w:rsidRDefault="00946B96" w:rsidP="00946B96">
            <w:pPr>
              <w:ind w:left="0" w:firstLine="0"/>
              <w:jc w:val="right"/>
              <w:rPr>
                <w:rFonts w:asciiTheme="minorHAnsi" w:eastAsia="Times New Roman" w:hAnsiTheme="minorHAnsi" w:cstheme="minorHAnsi"/>
                <w:b/>
                <w:bCs/>
                <w:noProof/>
                <w:sz w:val="19"/>
                <w:szCs w:val="19"/>
                <w:lang w:val="es-ES" w:eastAsia="en-GB"/>
              </w:rPr>
            </w:pPr>
            <w:r w:rsidRPr="00313E2B">
              <w:rPr>
                <w:rFonts w:asciiTheme="minorHAnsi" w:eastAsia="Times New Roman" w:hAnsiTheme="minorHAnsi" w:cstheme="minorHAnsi"/>
                <w:b/>
                <w:bCs/>
                <w:noProof/>
                <w:sz w:val="19"/>
                <w:szCs w:val="19"/>
                <w:lang w:val="es-ES" w:eastAsia="en-GB"/>
              </w:rPr>
              <w:t>1</w:t>
            </w:r>
            <w:r w:rsidR="00D07444" w:rsidRPr="00313E2B">
              <w:rPr>
                <w:rFonts w:asciiTheme="minorHAnsi" w:eastAsia="Times New Roman" w:hAnsiTheme="minorHAnsi" w:cstheme="minorHAnsi"/>
                <w:b/>
                <w:bCs/>
                <w:noProof/>
                <w:sz w:val="19"/>
                <w:szCs w:val="19"/>
                <w:lang w:val="es-ES" w:eastAsia="en-GB"/>
              </w:rPr>
              <w:t xml:space="preserve"> </w:t>
            </w:r>
            <w:r w:rsidRPr="00313E2B">
              <w:rPr>
                <w:rFonts w:asciiTheme="minorHAnsi" w:eastAsia="Times New Roman" w:hAnsiTheme="minorHAnsi" w:cstheme="minorHAnsi"/>
                <w:b/>
                <w:bCs/>
                <w:noProof/>
                <w:sz w:val="19"/>
                <w:szCs w:val="19"/>
                <w:lang w:val="es-ES" w:eastAsia="en-GB"/>
              </w:rPr>
              <w:t>312</w:t>
            </w:r>
          </w:p>
        </w:tc>
        <w:tc>
          <w:tcPr>
            <w:tcW w:w="262" w:type="dxa"/>
            <w:tcBorders>
              <w:top w:val="single" w:sz="4" w:space="0" w:color="auto"/>
              <w:left w:val="nil"/>
              <w:bottom w:val="single" w:sz="4" w:space="0" w:color="auto"/>
              <w:right w:val="nil"/>
            </w:tcBorders>
            <w:shd w:val="clear" w:color="000000" w:fill="FFFFFF"/>
            <w:noWrap/>
            <w:vAlign w:val="center"/>
            <w:hideMark/>
          </w:tcPr>
          <w:p w14:paraId="10ED0BD0" w14:textId="77777777" w:rsidR="00946B96" w:rsidRPr="00313E2B" w:rsidRDefault="00946B96" w:rsidP="00946B96">
            <w:pPr>
              <w:ind w:left="0" w:firstLine="0"/>
              <w:rPr>
                <w:rFonts w:asciiTheme="minorHAnsi" w:eastAsia="Times New Roman" w:hAnsiTheme="minorHAnsi" w:cstheme="minorHAnsi"/>
                <w:b/>
                <w:bCs/>
                <w:noProof/>
                <w:sz w:val="19"/>
                <w:szCs w:val="19"/>
                <w:lang w:val="es-ES" w:eastAsia="en-GB"/>
              </w:rPr>
            </w:pPr>
            <w:r w:rsidRPr="00313E2B">
              <w:rPr>
                <w:rFonts w:asciiTheme="minorHAnsi" w:eastAsia="Times New Roman" w:hAnsiTheme="minorHAnsi" w:cstheme="minorHAnsi"/>
                <w:b/>
                <w:bCs/>
                <w:noProof/>
                <w:sz w:val="19"/>
                <w:szCs w:val="19"/>
                <w:lang w:val="es-ES" w:eastAsia="en-GB"/>
              </w:rPr>
              <w:t> </w:t>
            </w:r>
          </w:p>
        </w:tc>
        <w:tc>
          <w:tcPr>
            <w:tcW w:w="284" w:type="dxa"/>
            <w:tcBorders>
              <w:top w:val="single" w:sz="4" w:space="0" w:color="auto"/>
              <w:left w:val="nil"/>
              <w:bottom w:val="single" w:sz="4" w:space="0" w:color="auto"/>
              <w:right w:val="nil"/>
            </w:tcBorders>
            <w:shd w:val="clear" w:color="000000" w:fill="D9D9D9"/>
            <w:noWrap/>
            <w:vAlign w:val="center"/>
            <w:hideMark/>
          </w:tcPr>
          <w:p w14:paraId="70EAF4AA" w14:textId="77777777" w:rsidR="00946B96" w:rsidRPr="00313E2B" w:rsidRDefault="00946B96" w:rsidP="00946B96">
            <w:pPr>
              <w:ind w:left="0" w:firstLine="0"/>
              <w:rPr>
                <w:rFonts w:asciiTheme="minorHAnsi" w:eastAsia="Times New Roman" w:hAnsiTheme="minorHAnsi" w:cstheme="minorHAnsi"/>
                <w:b/>
                <w:bCs/>
                <w:noProof/>
                <w:sz w:val="19"/>
                <w:szCs w:val="19"/>
                <w:lang w:val="es-ES" w:eastAsia="en-GB"/>
              </w:rPr>
            </w:pPr>
            <w:r w:rsidRPr="00313E2B">
              <w:rPr>
                <w:rFonts w:asciiTheme="minorHAnsi" w:eastAsia="Times New Roman" w:hAnsiTheme="minorHAnsi" w:cstheme="minorHAnsi"/>
                <w:b/>
                <w:bCs/>
                <w:noProof/>
                <w:sz w:val="19"/>
                <w:szCs w:val="19"/>
                <w:lang w:val="es-ES" w:eastAsia="en-GB"/>
              </w:rPr>
              <w:t> </w:t>
            </w:r>
          </w:p>
        </w:tc>
        <w:tc>
          <w:tcPr>
            <w:tcW w:w="1598" w:type="dxa"/>
            <w:tcBorders>
              <w:top w:val="single" w:sz="4" w:space="0" w:color="auto"/>
              <w:left w:val="nil"/>
              <w:bottom w:val="single" w:sz="4" w:space="0" w:color="auto"/>
              <w:right w:val="nil"/>
            </w:tcBorders>
            <w:shd w:val="clear" w:color="000000" w:fill="FFFFFF"/>
            <w:noWrap/>
            <w:vAlign w:val="center"/>
            <w:hideMark/>
          </w:tcPr>
          <w:p w14:paraId="00B91041" w14:textId="3D84B635" w:rsidR="00946B96" w:rsidRPr="00313E2B" w:rsidRDefault="00946B96" w:rsidP="001441B9">
            <w:pPr>
              <w:ind w:left="0" w:firstLine="0"/>
              <w:jc w:val="right"/>
              <w:rPr>
                <w:rFonts w:asciiTheme="minorHAnsi" w:eastAsia="Times New Roman" w:hAnsiTheme="minorHAnsi" w:cstheme="minorHAnsi"/>
                <w:b/>
                <w:bCs/>
                <w:noProof/>
                <w:sz w:val="19"/>
                <w:szCs w:val="19"/>
                <w:lang w:val="es-ES" w:eastAsia="en-GB"/>
              </w:rPr>
            </w:pPr>
            <w:r w:rsidRPr="00313E2B">
              <w:rPr>
                <w:b/>
                <w:noProof/>
                <w:sz w:val="19"/>
                <w:szCs w:val="19"/>
                <w:lang w:val="es-ES"/>
              </w:rPr>
              <w:t>1</w:t>
            </w:r>
            <w:r w:rsidR="00D07444" w:rsidRPr="00313E2B">
              <w:rPr>
                <w:b/>
                <w:noProof/>
                <w:sz w:val="19"/>
                <w:szCs w:val="19"/>
                <w:lang w:val="es-ES"/>
              </w:rPr>
              <w:t xml:space="preserve"> </w:t>
            </w:r>
            <w:r w:rsidRPr="00313E2B">
              <w:rPr>
                <w:b/>
                <w:noProof/>
                <w:sz w:val="19"/>
                <w:szCs w:val="19"/>
                <w:lang w:val="es-ES"/>
              </w:rPr>
              <w:t>807</w:t>
            </w:r>
          </w:p>
        </w:tc>
      </w:tr>
      <w:tr w:rsidR="007C6B16" w:rsidRPr="00313E2B" w14:paraId="384AA731" w14:textId="77777777" w:rsidTr="001441B9">
        <w:trPr>
          <w:trHeight w:val="288"/>
        </w:trPr>
        <w:tc>
          <w:tcPr>
            <w:tcW w:w="5954" w:type="dxa"/>
            <w:tcBorders>
              <w:top w:val="nil"/>
              <w:left w:val="nil"/>
              <w:bottom w:val="nil"/>
              <w:right w:val="nil"/>
            </w:tcBorders>
            <w:shd w:val="clear" w:color="000000" w:fill="FFFFFF"/>
            <w:noWrap/>
            <w:vAlign w:val="center"/>
            <w:hideMark/>
          </w:tcPr>
          <w:p w14:paraId="667FFF08" w14:textId="77777777" w:rsidR="007C6B16" w:rsidRPr="00313E2B" w:rsidRDefault="007C6B16" w:rsidP="007C6B16">
            <w:pPr>
              <w:ind w:left="0" w:firstLine="0"/>
              <w:rPr>
                <w:rFonts w:asciiTheme="minorHAnsi" w:eastAsia="Times New Roman" w:hAnsiTheme="minorHAnsi" w:cstheme="minorHAnsi"/>
                <w:b/>
                <w:bCs/>
                <w:noProof/>
                <w:sz w:val="19"/>
                <w:szCs w:val="19"/>
                <w:lang w:val="es-ES" w:eastAsia="en-GB"/>
              </w:rPr>
            </w:pPr>
            <w:r w:rsidRPr="00313E2B">
              <w:rPr>
                <w:rFonts w:asciiTheme="minorHAnsi" w:eastAsia="Times New Roman" w:hAnsiTheme="minorHAnsi" w:cstheme="minorHAnsi"/>
                <w:b/>
                <w:bCs/>
                <w:noProof/>
                <w:sz w:val="19"/>
                <w:szCs w:val="19"/>
                <w:lang w:val="es-ES" w:eastAsia="en-GB"/>
              </w:rPr>
              <w:t> </w:t>
            </w:r>
          </w:p>
        </w:tc>
        <w:tc>
          <w:tcPr>
            <w:tcW w:w="1400" w:type="dxa"/>
            <w:tcBorders>
              <w:top w:val="nil"/>
              <w:left w:val="nil"/>
              <w:bottom w:val="nil"/>
              <w:right w:val="nil"/>
            </w:tcBorders>
            <w:shd w:val="clear" w:color="000000" w:fill="FFFFFF"/>
            <w:noWrap/>
            <w:vAlign w:val="center"/>
            <w:hideMark/>
          </w:tcPr>
          <w:p w14:paraId="5767B7C3" w14:textId="77777777" w:rsidR="007C6B16" w:rsidRPr="00313E2B" w:rsidRDefault="007C6B16" w:rsidP="007C6B1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262" w:type="dxa"/>
            <w:tcBorders>
              <w:top w:val="nil"/>
              <w:left w:val="nil"/>
              <w:bottom w:val="nil"/>
              <w:right w:val="nil"/>
            </w:tcBorders>
            <w:shd w:val="clear" w:color="000000" w:fill="FFFFFF"/>
            <w:noWrap/>
            <w:vAlign w:val="center"/>
            <w:hideMark/>
          </w:tcPr>
          <w:p w14:paraId="41019639" w14:textId="77777777" w:rsidR="007C6B16" w:rsidRPr="00313E2B" w:rsidRDefault="007C6B16" w:rsidP="007C6B1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74ECCF23" w14:textId="77777777" w:rsidR="007C6B16" w:rsidRPr="00313E2B" w:rsidRDefault="007C6B16" w:rsidP="007C6B1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1598" w:type="dxa"/>
            <w:tcBorders>
              <w:top w:val="nil"/>
              <w:left w:val="nil"/>
              <w:bottom w:val="nil"/>
              <w:right w:val="nil"/>
            </w:tcBorders>
            <w:shd w:val="clear" w:color="000000" w:fill="FFFFFF"/>
            <w:noWrap/>
            <w:vAlign w:val="center"/>
            <w:hideMark/>
          </w:tcPr>
          <w:p w14:paraId="3BD36807" w14:textId="72F8B8A3" w:rsidR="007C6B16" w:rsidRPr="00313E2B" w:rsidRDefault="007C6B16" w:rsidP="001441B9">
            <w:pPr>
              <w:ind w:left="0" w:firstLine="0"/>
              <w:jc w:val="right"/>
              <w:rPr>
                <w:rFonts w:asciiTheme="minorHAnsi" w:eastAsia="Times New Roman" w:hAnsiTheme="minorHAnsi" w:cstheme="minorHAnsi"/>
                <w:noProof/>
                <w:sz w:val="19"/>
                <w:szCs w:val="19"/>
                <w:lang w:val="es-ES" w:eastAsia="en-GB"/>
              </w:rPr>
            </w:pPr>
            <w:r w:rsidRPr="00313E2B">
              <w:rPr>
                <w:noProof/>
                <w:sz w:val="19"/>
                <w:szCs w:val="19"/>
                <w:lang w:val="es-ES"/>
              </w:rPr>
              <w:t xml:space="preserve"> </w:t>
            </w:r>
          </w:p>
        </w:tc>
      </w:tr>
      <w:tr w:rsidR="00946B96" w:rsidRPr="00313E2B" w14:paraId="61EFA0FC" w14:textId="77777777" w:rsidTr="001441B9">
        <w:trPr>
          <w:trHeight w:val="288"/>
        </w:trPr>
        <w:tc>
          <w:tcPr>
            <w:tcW w:w="5954" w:type="dxa"/>
            <w:tcBorders>
              <w:top w:val="nil"/>
              <w:left w:val="nil"/>
              <w:bottom w:val="nil"/>
              <w:right w:val="nil"/>
            </w:tcBorders>
            <w:shd w:val="clear" w:color="000000" w:fill="FFFFFF"/>
            <w:noWrap/>
            <w:vAlign w:val="center"/>
            <w:hideMark/>
          </w:tcPr>
          <w:p w14:paraId="22FCC3B1" w14:textId="41C06B57" w:rsidR="00946B96" w:rsidRPr="00313E2B" w:rsidRDefault="00946B96" w:rsidP="00946B96">
            <w:pPr>
              <w:ind w:left="0" w:firstLine="0"/>
              <w:rPr>
                <w:rFonts w:asciiTheme="minorHAnsi" w:eastAsia="Times New Roman" w:hAnsiTheme="minorHAnsi" w:cstheme="minorHAnsi"/>
                <w:noProof/>
                <w:sz w:val="19"/>
                <w:szCs w:val="19"/>
                <w:lang w:val="es-ES" w:eastAsia="en-GB"/>
              </w:rPr>
            </w:pPr>
            <w:r w:rsidRPr="00313E2B">
              <w:rPr>
                <w:noProof/>
                <w:sz w:val="19"/>
                <w:szCs w:val="19"/>
                <w:lang w:val="es-ES"/>
              </w:rPr>
              <w:t>Efectivo y depósitos a corto plazo al principio del ejercicio</w:t>
            </w:r>
          </w:p>
        </w:tc>
        <w:tc>
          <w:tcPr>
            <w:tcW w:w="1400" w:type="dxa"/>
            <w:tcBorders>
              <w:top w:val="nil"/>
              <w:left w:val="nil"/>
              <w:bottom w:val="nil"/>
              <w:right w:val="nil"/>
            </w:tcBorders>
            <w:shd w:val="clear" w:color="000000" w:fill="FFFFFF"/>
            <w:noWrap/>
            <w:vAlign w:val="center"/>
            <w:hideMark/>
          </w:tcPr>
          <w:p w14:paraId="55EC1C51" w14:textId="1987ACF0" w:rsidR="00946B96" w:rsidRPr="00313E2B" w:rsidRDefault="00946B96" w:rsidP="00946B96">
            <w:pPr>
              <w:ind w:left="0" w:firstLine="0"/>
              <w:jc w:val="right"/>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5</w:t>
            </w:r>
            <w:r w:rsidR="00D07444" w:rsidRPr="00313E2B">
              <w:rPr>
                <w:rFonts w:asciiTheme="minorHAnsi" w:eastAsia="Times New Roman" w:hAnsiTheme="minorHAnsi" w:cstheme="minorHAnsi"/>
                <w:noProof/>
                <w:sz w:val="19"/>
                <w:szCs w:val="19"/>
                <w:lang w:val="es-ES" w:eastAsia="en-GB"/>
              </w:rPr>
              <w:t xml:space="preserve"> </w:t>
            </w:r>
            <w:r w:rsidRPr="00313E2B">
              <w:rPr>
                <w:rFonts w:asciiTheme="minorHAnsi" w:eastAsia="Times New Roman" w:hAnsiTheme="minorHAnsi" w:cstheme="minorHAnsi"/>
                <w:noProof/>
                <w:sz w:val="19"/>
                <w:szCs w:val="19"/>
                <w:lang w:val="es-ES" w:eastAsia="en-GB"/>
              </w:rPr>
              <w:t>634</w:t>
            </w:r>
          </w:p>
        </w:tc>
        <w:tc>
          <w:tcPr>
            <w:tcW w:w="262" w:type="dxa"/>
            <w:tcBorders>
              <w:top w:val="nil"/>
              <w:left w:val="nil"/>
              <w:bottom w:val="nil"/>
              <w:right w:val="nil"/>
            </w:tcBorders>
            <w:shd w:val="clear" w:color="000000" w:fill="FFFFFF"/>
            <w:noWrap/>
            <w:vAlign w:val="center"/>
            <w:hideMark/>
          </w:tcPr>
          <w:p w14:paraId="5E07200C" w14:textId="77777777" w:rsidR="00946B96" w:rsidRPr="00313E2B" w:rsidRDefault="00946B96" w:rsidP="00946B9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52655748" w14:textId="77777777" w:rsidR="00946B96" w:rsidRPr="00313E2B" w:rsidRDefault="00946B96" w:rsidP="00946B9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1598" w:type="dxa"/>
            <w:tcBorders>
              <w:top w:val="nil"/>
              <w:left w:val="nil"/>
              <w:bottom w:val="nil"/>
              <w:right w:val="nil"/>
            </w:tcBorders>
            <w:shd w:val="clear" w:color="000000" w:fill="FFFFFF"/>
            <w:noWrap/>
            <w:vAlign w:val="center"/>
            <w:hideMark/>
          </w:tcPr>
          <w:p w14:paraId="14D246B7" w14:textId="3E447CEC" w:rsidR="00946B96" w:rsidRPr="00313E2B" w:rsidRDefault="00946B96" w:rsidP="001441B9">
            <w:pPr>
              <w:ind w:left="0" w:firstLine="0"/>
              <w:jc w:val="right"/>
              <w:rPr>
                <w:rFonts w:asciiTheme="minorHAnsi" w:eastAsia="Times New Roman" w:hAnsiTheme="minorHAnsi" w:cstheme="minorHAnsi"/>
                <w:noProof/>
                <w:sz w:val="19"/>
                <w:szCs w:val="19"/>
                <w:lang w:val="es-ES" w:eastAsia="en-GB"/>
              </w:rPr>
            </w:pPr>
            <w:r w:rsidRPr="00313E2B">
              <w:rPr>
                <w:noProof/>
                <w:sz w:val="19"/>
                <w:szCs w:val="19"/>
                <w:lang w:val="es-ES"/>
              </w:rPr>
              <w:t>3</w:t>
            </w:r>
            <w:r w:rsidR="00D07444" w:rsidRPr="00313E2B">
              <w:rPr>
                <w:noProof/>
                <w:sz w:val="19"/>
                <w:szCs w:val="19"/>
                <w:lang w:val="es-ES"/>
              </w:rPr>
              <w:t xml:space="preserve"> </w:t>
            </w:r>
            <w:r w:rsidRPr="00313E2B">
              <w:rPr>
                <w:noProof/>
                <w:sz w:val="19"/>
                <w:szCs w:val="19"/>
                <w:lang w:val="es-ES"/>
              </w:rPr>
              <w:t>827</w:t>
            </w:r>
          </w:p>
        </w:tc>
      </w:tr>
      <w:tr w:rsidR="007C6B16" w:rsidRPr="00313E2B" w14:paraId="7A6E9C66" w14:textId="77777777" w:rsidTr="002538A3">
        <w:trPr>
          <w:trHeight w:val="288"/>
        </w:trPr>
        <w:tc>
          <w:tcPr>
            <w:tcW w:w="5954" w:type="dxa"/>
            <w:tcBorders>
              <w:top w:val="nil"/>
              <w:left w:val="nil"/>
              <w:bottom w:val="nil"/>
              <w:right w:val="nil"/>
            </w:tcBorders>
            <w:shd w:val="clear" w:color="000000" w:fill="FFFFFF"/>
            <w:noWrap/>
            <w:vAlign w:val="center"/>
            <w:hideMark/>
          </w:tcPr>
          <w:p w14:paraId="40FFE0D4" w14:textId="77777777" w:rsidR="007C6B16" w:rsidRPr="00313E2B" w:rsidRDefault="007C6B16" w:rsidP="007C6B16">
            <w:pPr>
              <w:ind w:left="0" w:firstLine="0"/>
              <w:rPr>
                <w:rFonts w:asciiTheme="minorHAnsi" w:eastAsia="Times New Roman" w:hAnsiTheme="minorHAnsi" w:cstheme="minorHAnsi"/>
                <w:b/>
                <w:bCs/>
                <w:noProof/>
                <w:sz w:val="19"/>
                <w:szCs w:val="19"/>
                <w:lang w:val="es-ES" w:eastAsia="en-GB"/>
              </w:rPr>
            </w:pPr>
            <w:r w:rsidRPr="00313E2B">
              <w:rPr>
                <w:rFonts w:asciiTheme="minorHAnsi" w:eastAsia="Times New Roman" w:hAnsiTheme="minorHAnsi" w:cstheme="minorHAnsi"/>
                <w:b/>
                <w:bCs/>
                <w:noProof/>
                <w:sz w:val="19"/>
                <w:szCs w:val="19"/>
                <w:lang w:val="es-ES" w:eastAsia="en-GB"/>
              </w:rPr>
              <w:t> </w:t>
            </w:r>
          </w:p>
        </w:tc>
        <w:tc>
          <w:tcPr>
            <w:tcW w:w="1400" w:type="dxa"/>
            <w:tcBorders>
              <w:top w:val="nil"/>
              <w:left w:val="nil"/>
              <w:bottom w:val="nil"/>
              <w:right w:val="nil"/>
            </w:tcBorders>
            <w:shd w:val="clear" w:color="000000" w:fill="FFFFFF"/>
            <w:noWrap/>
            <w:vAlign w:val="center"/>
            <w:hideMark/>
          </w:tcPr>
          <w:p w14:paraId="3360F377" w14:textId="77777777" w:rsidR="007C6B16" w:rsidRPr="00313E2B" w:rsidRDefault="007C6B16" w:rsidP="007C6B1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262" w:type="dxa"/>
            <w:tcBorders>
              <w:top w:val="nil"/>
              <w:left w:val="nil"/>
              <w:bottom w:val="nil"/>
              <w:right w:val="nil"/>
            </w:tcBorders>
            <w:shd w:val="clear" w:color="000000" w:fill="FFFFFF"/>
            <w:noWrap/>
            <w:vAlign w:val="center"/>
            <w:hideMark/>
          </w:tcPr>
          <w:p w14:paraId="2968FCE4" w14:textId="77777777" w:rsidR="007C6B16" w:rsidRPr="00313E2B" w:rsidRDefault="007C6B16" w:rsidP="007C6B1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3BBA7671" w14:textId="77777777" w:rsidR="007C6B16" w:rsidRPr="00313E2B" w:rsidRDefault="007C6B16" w:rsidP="007C6B16">
            <w:pPr>
              <w:ind w:left="0" w:firstLine="0"/>
              <w:rPr>
                <w:rFonts w:asciiTheme="minorHAnsi" w:eastAsia="Times New Roman" w:hAnsiTheme="minorHAnsi" w:cstheme="minorHAnsi"/>
                <w:noProof/>
                <w:sz w:val="19"/>
                <w:szCs w:val="19"/>
                <w:lang w:val="es-ES" w:eastAsia="en-GB"/>
              </w:rPr>
            </w:pPr>
            <w:r w:rsidRPr="00313E2B">
              <w:rPr>
                <w:rFonts w:asciiTheme="minorHAnsi" w:eastAsia="Times New Roman" w:hAnsiTheme="minorHAnsi" w:cstheme="minorHAnsi"/>
                <w:noProof/>
                <w:sz w:val="19"/>
                <w:szCs w:val="19"/>
                <w:lang w:val="es-ES" w:eastAsia="en-GB"/>
              </w:rPr>
              <w:t> </w:t>
            </w:r>
          </w:p>
        </w:tc>
        <w:tc>
          <w:tcPr>
            <w:tcW w:w="1598" w:type="dxa"/>
            <w:tcBorders>
              <w:top w:val="nil"/>
              <w:left w:val="nil"/>
              <w:bottom w:val="nil"/>
              <w:right w:val="nil"/>
            </w:tcBorders>
            <w:shd w:val="clear" w:color="000000" w:fill="FFFFFF"/>
            <w:noWrap/>
            <w:hideMark/>
          </w:tcPr>
          <w:p w14:paraId="7B5EAF0E" w14:textId="155FF7BB" w:rsidR="007C6B16" w:rsidRPr="00313E2B" w:rsidRDefault="007C6B16" w:rsidP="007C6B16">
            <w:pPr>
              <w:ind w:left="0" w:firstLine="0"/>
              <w:rPr>
                <w:rFonts w:asciiTheme="minorHAnsi" w:eastAsia="Times New Roman" w:hAnsiTheme="minorHAnsi" w:cstheme="minorHAnsi"/>
                <w:noProof/>
                <w:sz w:val="19"/>
                <w:szCs w:val="19"/>
                <w:lang w:val="es-ES" w:eastAsia="en-GB"/>
              </w:rPr>
            </w:pPr>
            <w:r w:rsidRPr="00313E2B">
              <w:rPr>
                <w:noProof/>
                <w:sz w:val="19"/>
                <w:szCs w:val="19"/>
                <w:lang w:val="es-ES"/>
              </w:rPr>
              <w:t xml:space="preserve"> </w:t>
            </w:r>
          </w:p>
        </w:tc>
      </w:tr>
      <w:tr w:rsidR="00946B96" w:rsidRPr="00313E2B" w14:paraId="50FD3E46" w14:textId="77777777" w:rsidTr="002538A3">
        <w:trPr>
          <w:trHeight w:val="480"/>
        </w:trPr>
        <w:tc>
          <w:tcPr>
            <w:tcW w:w="5954" w:type="dxa"/>
            <w:tcBorders>
              <w:top w:val="nil"/>
              <w:left w:val="nil"/>
              <w:bottom w:val="nil"/>
              <w:right w:val="nil"/>
            </w:tcBorders>
            <w:shd w:val="clear" w:color="auto" w:fill="auto"/>
            <w:noWrap/>
            <w:vAlign w:val="center"/>
            <w:hideMark/>
          </w:tcPr>
          <w:p w14:paraId="0073000D" w14:textId="2FF4887F" w:rsidR="00946B96" w:rsidRPr="00313E2B" w:rsidRDefault="00946B96" w:rsidP="00946B96">
            <w:pPr>
              <w:ind w:left="0" w:firstLine="0"/>
              <w:rPr>
                <w:rFonts w:asciiTheme="minorHAnsi" w:eastAsia="Times New Roman" w:hAnsiTheme="minorHAnsi" w:cstheme="minorHAnsi"/>
                <w:b/>
                <w:bCs/>
                <w:noProof/>
                <w:sz w:val="19"/>
                <w:szCs w:val="19"/>
                <w:lang w:val="es-ES" w:eastAsia="en-GB"/>
              </w:rPr>
            </w:pPr>
            <w:r w:rsidRPr="00313E2B">
              <w:rPr>
                <w:b/>
                <w:bCs/>
                <w:noProof/>
                <w:sz w:val="19"/>
                <w:szCs w:val="19"/>
                <w:lang w:val="es-ES"/>
              </w:rPr>
              <w:t>Efectivo y depósitos a corto plazo al cierre del ejercicio</w:t>
            </w:r>
          </w:p>
        </w:tc>
        <w:tc>
          <w:tcPr>
            <w:tcW w:w="1400" w:type="dxa"/>
            <w:tcBorders>
              <w:top w:val="single" w:sz="4" w:space="0" w:color="auto"/>
              <w:left w:val="nil"/>
              <w:bottom w:val="single" w:sz="4" w:space="0" w:color="auto"/>
              <w:right w:val="nil"/>
            </w:tcBorders>
            <w:shd w:val="clear" w:color="000000" w:fill="C5D9F1"/>
            <w:noWrap/>
            <w:vAlign w:val="center"/>
            <w:hideMark/>
          </w:tcPr>
          <w:p w14:paraId="56D5A419" w14:textId="1A7E5773" w:rsidR="00946B96" w:rsidRPr="00313E2B" w:rsidRDefault="00946B96" w:rsidP="00946B96">
            <w:pPr>
              <w:ind w:left="0" w:firstLine="0"/>
              <w:jc w:val="right"/>
              <w:rPr>
                <w:rFonts w:asciiTheme="minorHAnsi" w:eastAsia="Times New Roman" w:hAnsiTheme="minorHAnsi" w:cstheme="minorHAnsi"/>
                <w:b/>
                <w:bCs/>
                <w:noProof/>
                <w:sz w:val="19"/>
                <w:szCs w:val="19"/>
                <w:lang w:val="es-ES" w:eastAsia="en-GB"/>
              </w:rPr>
            </w:pPr>
            <w:r w:rsidRPr="00313E2B">
              <w:rPr>
                <w:rFonts w:asciiTheme="minorHAnsi" w:eastAsia="Times New Roman" w:hAnsiTheme="minorHAnsi" w:cstheme="minorHAnsi"/>
                <w:b/>
                <w:bCs/>
                <w:noProof/>
                <w:sz w:val="19"/>
                <w:szCs w:val="19"/>
                <w:lang w:val="es-ES" w:eastAsia="en-GB"/>
              </w:rPr>
              <w:t>6</w:t>
            </w:r>
            <w:r w:rsidR="00D07444" w:rsidRPr="00313E2B">
              <w:rPr>
                <w:rFonts w:asciiTheme="minorHAnsi" w:eastAsia="Times New Roman" w:hAnsiTheme="minorHAnsi" w:cstheme="minorHAnsi"/>
                <w:b/>
                <w:bCs/>
                <w:noProof/>
                <w:sz w:val="19"/>
                <w:szCs w:val="19"/>
                <w:lang w:val="es-ES" w:eastAsia="en-GB"/>
              </w:rPr>
              <w:t xml:space="preserve"> </w:t>
            </w:r>
            <w:r w:rsidRPr="00313E2B">
              <w:rPr>
                <w:rFonts w:asciiTheme="minorHAnsi" w:eastAsia="Times New Roman" w:hAnsiTheme="minorHAnsi" w:cstheme="minorHAnsi"/>
                <w:b/>
                <w:bCs/>
                <w:noProof/>
                <w:sz w:val="19"/>
                <w:szCs w:val="19"/>
                <w:lang w:val="es-ES" w:eastAsia="en-GB"/>
              </w:rPr>
              <w:t>946</w:t>
            </w:r>
          </w:p>
        </w:tc>
        <w:tc>
          <w:tcPr>
            <w:tcW w:w="262" w:type="dxa"/>
            <w:tcBorders>
              <w:top w:val="single" w:sz="4" w:space="0" w:color="auto"/>
              <w:left w:val="nil"/>
              <w:bottom w:val="single" w:sz="4" w:space="0" w:color="auto"/>
              <w:right w:val="nil"/>
            </w:tcBorders>
            <w:shd w:val="clear" w:color="000000" w:fill="C5D9F1"/>
            <w:noWrap/>
            <w:vAlign w:val="center"/>
            <w:hideMark/>
          </w:tcPr>
          <w:p w14:paraId="5D0547D2" w14:textId="77777777" w:rsidR="00946B96" w:rsidRPr="00313E2B" w:rsidRDefault="00946B96" w:rsidP="00946B96">
            <w:pPr>
              <w:ind w:left="0" w:firstLine="0"/>
              <w:rPr>
                <w:rFonts w:asciiTheme="minorHAnsi" w:eastAsia="Times New Roman" w:hAnsiTheme="minorHAnsi" w:cstheme="minorHAnsi"/>
                <w:b/>
                <w:bCs/>
                <w:noProof/>
                <w:sz w:val="19"/>
                <w:szCs w:val="19"/>
                <w:lang w:val="es-ES" w:eastAsia="en-GB"/>
              </w:rPr>
            </w:pPr>
            <w:r w:rsidRPr="00313E2B">
              <w:rPr>
                <w:rFonts w:asciiTheme="minorHAnsi" w:eastAsia="Times New Roman" w:hAnsiTheme="minorHAnsi" w:cstheme="minorHAnsi"/>
                <w:b/>
                <w:bCs/>
                <w:noProof/>
                <w:sz w:val="19"/>
                <w:szCs w:val="19"/>
                <w:lang w:val="es-ES" w:eastAsia="en-GB"/>
              </w:rPr>
              <w:t> </w:t>
            </w:r>
          </w:p>
        </w:tc>
        <w:tc>
          <w:tcPr>
            <w:tcW w:w="284" w:type="dxa"/>
            <w:tcBorders>
              <w:top w:val="single" w:sz="4" w:space="0" w:color="auto"/>
              <w:left w:val="nil"/>
              <w:bottom w:val="single" w:sz="4" w:space="0" w:color="auto"/>
              <w:right w:val="nil"/>
            </w:tcBorders>
            <w:shd w:val="clear" w:color="000000" w:fill="D9D9D9"/>
            <w:noWrap/>
            <w:vAlign w:val="center"/>
            <w:hideMark/>
          </w:tcPr>
          <w:p w14:paraId="2EA12872" w14:textId="77777777" w:rsidR="00946B96" w:rsidRPr="00313E2B" w:rsidRDefault="00946B96" w:rsidP="00946B96">
            <w:pPr>
              <w:ind w:left="0" w:firstLine="0"/>
              <w:rPr>
                <w:rFonts w:asciiTheme="minorHAnsi" w:eastAsia="Times New Roman" w:hAnsiTheme="minorHAnsi" w:cstheme="minorHAnsi"/>
                <w:b/>
                <w:bCs/>
                <w:noProof/>
                <w:sz w:val="19"/>
                <w:szCs w:val="19"/>
                <w:lang w:val="es-ES" w:eastAsia="en-GB"/>
              </w:rPr>
            </w:pPr>
            <w:r w:rsidRPr="00313E2B">
              <w:rPr>
                <w:rFonts w:asciiTheme="minorHAnsi" w:eastAsia="Times New Roman" w:hAnsiTheme="minorHAnsi" w:cstheme="minorHAnsi"/>
                <w:b/>
                <w:bCs/>
                <w:noProof/>
                <w:sz w:val="19"/>
                <w:szCs w:val="19"/>
                <w:lang w:val="es-ES" w:eastAsia="en-GB"/>
              </w:rPr>
              <w:t> </w:t>
            </w:r>
          </w:p>
        </w:tc>
        <w:tc>
          <w:tcPr>
            <w:tcW w:w="1598" w:type="dxa"/>
            <w:tcBorders>
              <w:top w:val="single" w:sz="4" w:space="0" w:color="auto"/>
              <w:left w:val="nil"/>
              <w:bottom w:val="single" w:sz="4" w:space="0" w:color="auto"/>
              <w:right w:val="nil"/>
            </w:tcBorders>
            <w:shd w:val="clear" w:color="000000" w:fill="EBF1DE"/>
            <w:noWrap/>
            <w:hideMark/>
          </w:tcPr>
          <w:p w14:paraId="77995921" w14:textId="638189E9" w:rsidR="00946B96" w:rsidRPr="00313E2B" w:rsidRDefault="00946B96" w:rsidP="00946B96">
            <w:pPr>
              <w:ind w:left="0" w:firstLine="0"/>
              <w:jc w:val="right"/>
              <w:rPr>
                <w:rFonts w:asciiTheme="minorHAnsi" w:eastAsia="Times New Roman" w:hAnsiTheme="minorHAnsi" w:cstheme="minorHAnsi"/>
                <w:b/>
                <w:bCs/>
                <w:noProof/>
                <w:sz w:val="19"/>
                <w:szCs w:val="19"/>
                <w:lang w:val="es-ES" w:eastAsia="en-GB"/>
              </w:rPr>
            </w:pPr>
            <w:r w:rsidRPr="00313E2B">
              <w:rPr>
                <w:b/>
                <w:noProof/>
                <w:sz w:val="19"/>
                <w:szCs w:val="19"/>
                <w:lang w:val="es-ES"/>
              </w:rPr>
              <w:t>5</w:t>
            </w:r>
            <w:r w:rsidR="00D07444" w:rsidRPr="00313E2B">
              <w:rPr>
                <w:b/>
                <w:noProof/>
                <w:sz w:val="19"/>
                <w:szCs w:val="19"/>
                <w:lang w:val="es-ES"/>
              </w:rPr>
              <w:t xml:space="preserve"> </w:t>
            </w:r>
            <w:r w:rsidRPr="00313E2B">
              <w:rPr>
                <w:b/>
                <w:noProof/>
                <w:sz w:val="19"/>
                <w:szCs w:val="19"/>
                <w:lang w:val="es-ES"/>
              </w:rPr>
              <w:t>634</w:t>
            </w:r>
          </w:p>
        </w:tc>
      </w:tr>
    </w:tbl>
    <w:p w14:paraId="1E4AE3DD" w14:textId="77777777" w:rsidR="00A545D6" w:rsidRPr="00064323" w:rsidRDefault="00A545D6" w:rsidP="00C26079">
      <w:pPr>
        <w:pStyle w:val="NoSpacing"/>
        <w:ind w:left="0" w:firstLine="0"/>
        <w:rPr>
          <w:rFonts w:eastAsia="Times New Roman" w:cs="Arial"/>
          <w:b/>
          <w:bCs/>
          <w:noProof/>
          <w:lang w:val="es-ES" w:eastAsia="en-GB"/>
        </w:rPr>
      </w:pPr>
    </w:p>
    <w:p w14:paraId="3A14665C" w14:textId="77777777" w:rsidR="00A545D6" w:rsidRPr="00064323" w:rsidRDefault="00A545D6" w:rsidP="00C26079">
      <w:pPr>
        <w:pStyle w:val="NoSpacing"/>
        <w:ind w:left="0" w:firstLine="0"/>
        <w:rPr>
          <w:rFonts w:eastAsia="Times New Roman" w:cs="Arial"/>
          <w:b/>
          <w:bCs/>
          <w:noProof/>
          <w:lang w:val="es-ES" w:eastAsia="en-GB"/>
        </w:rPr>
        <w:sectPr w:rsidR="00A545D6" w:rsidRPr="00064323" w:rsidSect="00800F14">
          <w:footerReference w:type="default" r:id="rId11"/>
          <w:pgSz w:w="11906" w:h="16838" w:code="9"/>
          <w:pgMar w:top="1440" w:right="1440" w:bottom="1440" w:left="1440" w:header="709" w:footer="709" w:gutter="0"/>
          <w:cols w:space="708"/>
          <w:titlePg/>
          <w:docGrid w:linePitch="360"/>
        </w:sectPr>
      </w:pPr>
    </w:p>
    <w:p w14:paraId="67060F63" w14:textId="4F52CFC2" w:rsidR="00211D26" w:rsidRDefault="00211D26" w:rsidP="00211D26">
      <w:pPr>
        <w:pStyle w:val="NoSpacing"/>
        <w:ind w:left="0" w:firstLine="0"/>
        <w:rPr>
          <w:b/>
          <w:noProof/>
          <w:sz w:val="24"/>
          <w:szCs w:val="24"/>
          <w:lang w:val="es-ES"/>
        </w:rPr>
      </w:pPr>
      <w:r w:rsidRPr="00E723E1">
        <w:rPr>
          <w:b/>
          <w:noProof/>
          <w:sz w:val="24"/>
          <w:szCs w:val="24"/>
          <w:lang w:val="es-ES"/>
        </w:rPr>
        <w:lastRenderedPageBreak/>
        <w:t>Anexo 2</w:t>
      </w:r>
    </w:p>
    <w:p w14:paraId="47F81DCF" w14:textId="77777777" w:rsidR="00574D5F" w:rsidRPr="00E723E1" w:rsidRDefault="00574D5F" w:rsidP="00211D26">
      <w:pPr>
        <w:pStyle w:val="NoSpacing"/>
        <w:ind w:left="0" w:firstLine="0"/>
        <w:rPr>
          <w:b/>
          <w:noProof/>
          <w:sz w:val="24"/>
          <w:szCs w:val="24"/>
          <w:lang w:val="es-ES"/>
        </w:rPr>
      </w:pPr>
    </w:p>
    <w:p w14:paraId="289C07CB" w14:textId="0C8B80BB" w:rsidR="001404C4" w:rsidRPr="00E723E1" w:rsidRDefault="00211D26" w:rsidP="00211D26">
      <w:pPr>
        <w:pStyle w:val="NoSpacing"/>
        <w:ind w:left="0" w:firstLine="0"/>
        <w:rPr>
          <w:b/>
          <w:noProof/>
          <w:lang w:val="es-ES"/>
        </w:rPr>
      </w:pPr>
      <w:r w:rsidRPr="00E723E1">
        <w:rPr>
          <w:b/>
          <w:noProof/>
          <w:lang w:val="es-ES"/>
        </w:rPr>
        <w:t xml:space="preserve">Resultados del presupuesto básico de </w:t>
      </w:r>
      <w:r w:rsidR="00E95D43" w:rsidRPr="00E723E1">
        <w:rPr>
          <w:b/>
          <w:noProof/>
          <w:lang w:val="es-ES"/>
        </w:rPr>
        <w:t xml:space="preserve">2021 </w:t>
      </w:r>
      <w:r w:rsidRPr="00E723E1">
        <w:rPr>
          <w:b/>
          <w:noProof/>
          <w:lang w:val="es-ES"/>
        </w:rPr>
        <w:t xml:space="preserve">para el período comprendido entre el 1 de enero y el 31 de diciembre de </w:t>
      </w:r>
      <w:r w:rsidR="00F15D4B" w:rsidRPr="00E723E1">
        <w:rPr>
          <w:b/>
          <w:noProof/>
          <w:lang w:val="es-ES"/>
        </w:rPr>
        <w:t>202</w:t>
      </w:r>
      <w:r w:rsidR="007C6B16" w:rsidRPr="00E723E1">
        <w:rPr>
          <w:b/>
          <w:noProof/>
          <w:lang w:val="es-ES"/>
        </w:rPr>
        <w:t>1</w:t>
      </w:r>
    </w:p>
    <w:p w14:paraId="634B1E29" w14:textId="77777777" w:rsidR="00211D26" w:rsidRPr="00E723E1" w:rsidRDefault="00211D26" w:rsidP="00211D26">
      <w:pPr>
        <w:pStyle w:val="NoSpacing"/>
        <w:ind w:left="0" w:firstLine="0"/>
        <w:rPr>
          <w:rFonts w:asciiTheme="minorHAnsi" w:hAnsiTheme="minorHAnsi"/>
          <w:bCs/>
          <w:i/>
          <w:noProof/>
          <w:sz w:val="20"/>
          <w:szCs w:val="20"/>
          <w:lang w:val="es-ES"/>
        </w:rPr>
      </w:pPr>
      <w:r w:rsidRPr="00E723E1">
        <w:rPr>
          <w:rFonts w:asciiTheme="minorHAnsi" w:hAnsiTheme="minorHAnsi"/>
          <w:bCs/>
          <w:i/>
          <w:noProof/>
          <w:sz w:val="20"/>
          <w:szCs w:val="20"/>
          <w:lang w:val="es-ES"/>
        </w:rPr>
        <w:t>(en miles de francos suizos, con posibles diferencias por redondeo)</w:t>
      </w:r>
    </w:p>
    <w:tbl>
      <w:tblPr>
        <w:tblW w:w="15023" w:type="dxa"/>
        <w:tblInd w:w="-147" w:type="dxa"/>
        <w:tblLayout w:type="fixed"/>
        <w:tblCellMar>
          <w:left w:w="57" w:type="dxa"/>
          <w:right w:w="57" w:type="dxa"/>
        </w:tblCellMar>
        <w:tblLook w:val="04A0" w:firstRow="1" w:lastRow="0" w:firstColumn="1" w:lastColumn="0" w:noHBand="0" w:noVBand="1"/>
      </w:tblPr>
      <w:tblGrid>
        <w:gridCol w:w="3258"/>
        <w:gridCol w:w="1417"/>
        <w:gridCol w:w="1276"/>
        <w:gridCol w:w="1134"/>
        <w:gridCol w:w="1276"/>
        <w:gridCol w:w="1417"/>
        <w:gridCol w:w="1276"/>
        <w:gridCol w:w="1276"/>
        <w:gridCol w:w="1417"/>
        <w:gridCol w:w="1276"/>
      </w:tblGrid>
      <w:tr w:rsidR="00F270A8" w:rsidRPr="00E723E1" w14:paraId="7EFD8F22" w14:textId="77777777" w:rsidTr="00CB5635">
        <w:trPr>
          <w:trHeight w:val="555"/>
          <w:tblHeader/>
        </w:trPr>
        <w:tc>
          <w:tcPr>
            <w:tcW w:w="3258" w:type="dxa"/>
            <w:tcBorders>
              <w:top w:val="single" w:sz="4" w:space="0" w:color="auto"/>
              <w:left w:val="single" w:sz="4" w:space="0" w:color="auto"/>
              <w:bottom w:val="nil"/>
              <w:right w:val="nil"/>
            </w:tcBorders>
            <w:shd w:val="clear" w:color="000000" w:fill="D6E3BC"/>
            <w:vAlign w:val="center"/>
            <w:hideMark/>
          </w:tcPr>
          <w:p w14:paraId="0645D378" w14:textId="0EE9EDD5" w:rsidR="00F270A8" w:rsidRPr="00E723E1" w:rsidRDefault="00211D26" w:rsidP="00CB5635">
            <w:pPr>
              <w:ind w:left="0" w:firstLine="0"/>
              <w:jc w:val="center"/>
              <w:rPr>
                <w:rFonts w:eastAsia="Times New Roman" w:cs="Calibri"/>
                <w:b/>
                <w:bCs/>
                <w:noProof/>
                <w:sz w:val="20"/>
                <w:szCs w:val="20"/>
                <w:lang w:val="es-ES" w:eastAsia="en-GB"/>
              </w:rPr>
            </w:pPr>
            <w:r w:rsidRPr="00E723E1">
              <w:rPr>
                <w:rFonts w:asciiTheme="minorHAnsi" w:eastAsiaTheme="minorHAnsi" w:hAnsiTheme="minorHAnsi" w:cstheme="minorHAnsi"/>
                <w:b/>
                <w:bCs/>
                <w:noProof/>
                <w:color w:val="000000"/>
                <w:sz w:val="20"/>
                <w:szCs w:val="20"/>
                <w:lang w:val="es-ES"/>
              </w:rPr>
              <w:t xml:space="preserve">Presupuesto de Ramsar para </w:t>
            </w:r>
            <w:r w:rsidR="00F270A8" w:rsidRPr="00E723E1">
              <w:rPr>
                <w:rFonts w:eastAsia="Times New Roman" w:cs="Calibri"/>
                <w:b/>
                <w:bCs/>
                <w:noProof/>
                <w:sz w:val="20"/>
                <w:szCs w:val="20"/>
                <w:lang w:val="es-ES" w:eastAsia="en-GB"/>
              </w:rPr>
              <w:t>2021</w:t>
            </w:r>
          </w:p>
        </w:tc>
        <w:tc>
          <w:tcPr>
            <w:tcW w:w="1417" w:type="dxa"/>
            <w:vMerge w:val="restart"/>
            <w:tcBorders>
              <w:top w:val="single" w:sz="4" w:space="0" w:color="auto"/>
              <w:left w:val="single" w:sz="4" w:space="0" w:color="auto"/>
              <w:bottom w:val="nil"/>
              <w:right w:val="single" w:sz="4" w:space="0" w:color="auto"/>
            </w:tcBorders>
            <w:shd w:val="clear" w:color="000000" w:fill="D6E3BC"/>
            <w:vAlign w:val="center"/>
            <w:hideMark/>
          </w:tcPr>
          <w:p w14:paraId="3FCE4CA1" w14:textId="1F7AF222" w:rsidR="00F270A8" w:rsidRPr="00CB5635" w:rsidRDefault="00211D26" w:rsidP="00CB5635">
            <w:pPr>
              <w:ind w:left="0" w:firstLine="0"/>
              <w:jc w:val="center"/>
              <w:rPr>
                <w:rFonts w:asciiTheme="minorHAnsi" w:eastAsia="Times New Roman" w:hAnsiTheme="minorHAnsi" w:cs="Calibri"/>
                <w:b/>
                <w:bCs/>
                <w:noProof/>
                <w:spacing w:val="-4"/>
                <w:sz w:val="20"/>
                <w:szCs w:val="20"/>
                <w:lang w:val="es-ES" w:eastAsia="en-GB"/>
              </w:rPr>
            </w:pPr>
            <w:r w:rsidRPr="00CB5635">
              <w:rPr>
                <w:rFonts w:asciiTheme="minorHAnsi" w:eastAsiaTheme="minorHAnsi" w:hAnsiTheme="minorHAnsi" w:cstheme="minorHAnsi"/>
                <w:b/>
                <w:bCs/>
                <w:noProof/>
                <w:color w:val="000000"/>
                <w:spacing w:val="-4"/>
                <w:sz w:val="20"/>
                <w:szCs w:val="20"/>
                <w:lang w:val="es-ES"/>
              </w:rPr>
              <w:t>Presupuesto aprobado</w:t>
            </w:r>
            <w:r w:rsidRPr="00CB5635">
              <w:rPr>
                <w:rFonts w:asciiTheme="minorHAnsi" w:eastAsia="Times New Roman" w:hAnsiTheme="minorHAnsi" w:cs="Calibri"/>
                <w:b/>
                <w:bCs/>
                <w:noProof/>
                <w:spacing w:val="-4"/>
                <w:sz w:val="20"/>
                <w:szCs w:val="20"/>
                <w:lang w:val="es-ES" w:eastAsia="en-GB"/>
              </w:rPr>
              <w:t xml:space="preserve"> </w:t>
            </w:r>
            <w:r w:rsidR="00F270A8" w:rsidRPr="00CB5635">
              <w:rPr>
                <w:rFonts w:asciiTheme="minorHAnsi" w:eastAsia="Times New Roman" w:hAnsiTheme="minorHAnsi" w:cs="Calibri"/>
                <w:b/>
                <w:bCs/>
                <w:noProof/>
                <w:spacing w:val="-4"/>
                <w:sz w:val="20"/>
                <w:szCs w:val="20"/>
                <w:lang w:val="es-ES" w:eastAsia="en-GB"/>
              </w:rPr>
              <w:t>(</w:t>
            </w:r>
            <w:r w:rsidRPr="00CB5635">
              <w:rPr>
                <w:rFonts w:asciiTheme="minorHAnsi" w:eastAsia="Times New Roman" w:hAnsiTheme="minorHAnsi" w:cs="Calibri"/>
                <w:b/>
                <w:bCs/>
                <w:noProof/>
                <w:spacing w:val="-4"/>
                <w:sz w:val="20"/>
                <w:szCs w:val="20"/>
                <w:lang w:val="es-ES" w:eastAsia="en-GB"/>
              </w:rPr>
              <w:t xml:space="preserve">aprobado por la </w:t>
            </w:r>
            <w:r w:rsidR="00F270A8" w:rsidRPr="00CB5635">
              <w:rPr>
                <w:rFonts w:asciiTheme="minorHAnsi" w:eastAsia="Times New Roman" w:hAnsiTheme="minorHAnsi" w:cs="Calibri"/>
                <w:b/>
                <w:bCs/>
                <w:noProof/>
                <w:spacing w:val="-4"/>
                <w:sz w:val="20"/>
                <w:szCs w:val="20"/>
                <w:lang w:val="es-ES" w:eastAsia="en-GB"/>
              </w:rPr>
              <w:t>COP13</w:t>
            </w:r>
            <w:r w:rsidRPr="00CB5635">
              <w:rPr>
                <w:rFonts w:asciiTheme="minorHAnsi" w:eastAsia="Times New Roman" w:hAnsiTheme="minorHAnsi" w:cs="Calibri"/>
                <w:b/>
                <w:bCs/>
                <w:noProof/>
                <w:spacing w:val="-4"/>
                <w:sz w:val="20"/>
                <w:szCs w:val="20"/>
                <w:lang w:val="es-ES" w:eastAsia="en-GB"/>
              </w:rPr>
              <w:t xml:space="preserve"> con ajustes de la reunión</w:t>
            </w:r>
            <w:r w:rsidR="00F270A8" w:rsidRPr="00CB5635">
              <w:rPr>
                <w:rFonts w:asciiTheme="minorHAnsi" w:eastAsia="Times New Roman" w:hAnsiTheme="minorHAnsi" w:cs="Calibri"/>
                <w:b/>
                <w:bCs/>
                <w:noProof/>
                <w:spacing w:val="-4"/>
                <w:sz w:val="20"/>
                <w:szCs w:val="20"/>
                <w:lang w:val="es-ES" w:eastAsia="en-GB"/>
              </w:rPr>
              <w:t xml:space="preserve"> SC59 </w:t>
            </w:r>
            <w:r w:rsidRPr="00CB5635">
              <w:rPr>
                <w:rFonts w:asciiTheme="minorHAnsi" w:eastAsia="Times New Roman" w:hAnsiTheme="minorHAnsi" w:cs="Calibri"/>
                <w:b/>
                <w:bCs/>
                <w:noProof/>
                <w:spacing w:val="-4"/>
                <w:sz w:val="20"/>
                <w:szCs w:val="20"/>
                <w:lang w:val="es-ES" w:eastAsia="en-GB"/>
              </w:rPr>
              <w:t>autorizados por la Secretaría</w:t>
            </w:r>
            <w:r w:rsidR="00F270A8" w:rsidRPr="00CB5635">
              <w:rPr>
                <w:rFonts w:asciiTheme="minorHAnsi" w:eastAsia="Times New Roman" w:hAnsiTheme="minorHAnsi" w:cs="Calibri"/>
                <w:b/>
                <w:bCs/>
                <w:noProof/>
                <w:spacing w:val="-4"/>
                <w:sz w:val="20"/>
                <w:szCs w:val="20"/>
                <w:lang w:val="es-ES" w:eastAsia="en-GB"/>
              </w:rPr>
              <w:t>)</w:t>
            </w:r>
          </w:p>
        </w:tc>
        <w:tc>
          <w:tcPr>
            <w:tcW w:w="1276" w:type="dxa"/>
            <w:vMerge w:val="restart"/>
            <w:tcBorders>
              <w:top w:val="single" w:sz="4" w:space="0" w:color="auto"/>
              <w:left w:val="single" w:sz="4" w:space="0" w:color="auto"/>
              <w:bottom w:val="nil"/>
              <w:right w:val="single" w:sz="4" w:space="0" w:color="auto"/>
            </w:tcBorders>
            <w:shd w:val="clear" w:color="000000" w:fill="D6E3BC"/>
            <w:vAlign w:val="center"/>
            <w:hideMark/>
          </w:tcPr>
          <w:p w14:paraId="685E9281" w14:textId="12ABE913" w:rsidR="00F270A8" w:rsidRPr="00CB5635" w:rsidRDefault="00211D26" w:rsidP="00CB5635">
            <w:pPr>
              <w:ind w:left="0" w:firstLine="0"/>
              <w:jc w:val="center"/>
              <w:rPr>
                <w:rFonts w:asciiTheme="minorHAnsi" w:eastAsia="Times New Roman" w:hAnsiTheme="minorHAnsi" w:cs="Calibri"/>
                <w:b/>
                <w:bCs/>
                <w:noProof/>
                <w:spacing w:val="-4"/>
                <w:sz w:val="20"/>
                <w:szCs w:val="20"/>
                <w:lang w:val="es-ES" w:eastAsia="en-GB"/>
              </w:rPr>
            </w:pPr>
            <w:r w:rsidRPr="00CB5635">
              <w:rPr>
                <w:rFonts w:asciiTheme="minorHAnsi" w:hAnsiTheme="minorHAnsi"/>
                <w:b/>
                <w:bCs/>
                <w:noProof/>
                <w:spacing w:val="-4"/>
                <w:sz w:val="20"/>
                <w:szCs w:val="20"/>
                <w:lang w:val="es-ES"/>
              </w:rPr>
              <w:t xml:space="preserve">Uso del excedente autorizado por la </w:t>
            </w:r>
            <w:r w:rsidR="00F270A8" w:rsidRPr="00CB5635">
              <w:rPr>
                <w:rFonts w:asciiTheme="minorHAnsi" w:eastAsia="Times New Roman" w:hAnsiTheme="minorHAnsi" w:cs="Calibri"/>
                <w:b/>
                <w:bCs/>
                <w:noProof/>
                <w:spacing w:val="-4"/>
                <w:sz w:val="20"/>
                <w:szCs w:val="20"/>
                <w:lang w:val="es-ES" w:eastAsia="en-GB"/>
              </w:rPr>
              <w:t xml:space="preserve">COP13 </w:t>
            </w:r>
            <w:r w:rsidRPr="00CB5635">
              <w:rPr>
                <w:rFonts w:asciiTheme="minorHAnsi" w:eastAsia="Times New Roman" w:hAnsiTheme="minorHAnsi" w:cs="Calibri"/>
                <w:b/>
                <w:bCs/>
                <w:noProof/>
                <w:spacing w:val="-4"/>
                <w:sz w:val="20"/>
                <w:szCs w:val="20"/>
                <w:lang w:val="es-ES" w:eastAsia="en-GB"/>
              </w:rPr>
              <w:t xml:space="preserve">mediante la Res. </w:t>
            </w:r>
            <w:r w:rsidR="00F270A8" w:rsidRPr="00CB5635">
              <w:rPr>
                <w:rFonts w:asciiTheme="minorHAnsi" w:eastAsia="Times New Roman" w:hAnsiTheme="minorHAnsi" w:cs="Calibri"/>
                <w:b/>
                <w:bCs/>
                <w:noProof/>
                <w:spacing w:val="-4"/>
                <w:sz w:val="20"/>
                <w:szCs w:val="20"/>
                <w:lang w:val="es-ES" w:eastAsia="en-GB"/>
              </w:rPr>
              <w:t>XIII.2 (</w:t>
            </w:r>
            <w:r w:rsidRPr="00CB5635">
              <w:rPr>
                <w:rFonts w:asciiTheme="minorHAnsi" w:eastAsia="Times New Roman" w:hAnsiTheme="minorHAnsi" w:cs="Calibri"/>
                <w:b/>
                <w:bCs/>
                <w:noProof/>
                <w:spacing w:val="-4"/>
                <w:sz w:val="20"/>
                <w:szCs w:val="20"/>
                <w:lang w:val="es-ES" w:eastAsia="en-GB"/>
              </w:rPr>
              <w:t>para</w:t>
            </w:r>
            <w:r w:rsidR="00F270A8" w:rsidRPr="00CB5635">
              <w:rPr>
                <w:rFonts w:asciiTheme="minorHAnsi" w:eastAsia="Times New Roman" w:hAnsiTheme="minorHAnsi" w:cs="Calibri"/>
                <w:b/>
                <w:bCs/>
                <w:noProof/>
                <w:spacing w:val="-4"/>
                <w:sz w:val="20"/>
                <w:szCs w:val="20"/>
                <w:lang w:val="es-ES" w:eastAsia="en-GB"/>
              </w:rPr>
              <w:t xml:space="preserve"> 2020)</w:t>
            </w:r>
          </w:p>
        </w:tc>
        <w:tc>
          <w:tcPr>
            <w:tcW w:w="1134" w:type="dxa"/>
            <w:vMerge w:val="restart"/>
            <w:tcBorders>
              <w:top w:val="single" w:sz="4" w:space="0" w:color="auto"/>
              <w:left w:val="single" w:sz="4" w:space="0" w:color="auto"/>
              <w:bottom w:val="nil"/>
              <w:right w:val="single" w:sz="4" w:space="0" w:color="auto"/>
            </w:tcBorders>
            <w:shd w:val="clear" w:color="000000" w:fill="D6E3BC"/>
            <w:vAlign w:val="center"/>
            <w:hideMark/>
          </w:tcPr>
          <w:p w14:paraId="0F274CC9" w14:textId="0A83B0D2" w:rsidR="00F270A8" w:rsidRPr="00CB5635" w:rsidRDefault="00211D26" w:rsidP="00CB5635">
            <w:pPr>
              <w:ind w:left="0" w:firstLine="0"/>
              <w:jc w:val="center"/>
              <w:rPr>
                <w:rFonts w:asciiTheme="minorHAnsi" w:eastAsia="Times New Roman" w:hAnsiTheme="minorHAnsi" w:cs="Calibri"/>
                <w:b/>
                <w:bCs/>
                <w:noProof/>
                <w:spacing w:val="-4"/>
                <w:sz w:val="20"/>
                <w:szCs w:val="20"/>
                <w:lang w:val="es-ES" w:eastAsia="en-GB"/>
              </w:rPr>
            </w:pPr>
            <w:r w:rsidRPr="00CB5635">
              <w:rPr>
                <w:rFonts w:asciiTheme="minorHAnsi" w:eastAsia="Times New Roman" w:hAnsiTheme="minorHAnsi" w:cs="Calibri"/>
                <w:b/>
                <w:bCs/>
                <w:noProof/>
                <w:spacing w:val="-4"/>
                <w:sz w:val="20"/>
                <w:szCs w:val="20"/>
                <w:lang w:val="es-ES" w:eastAsia="en-GB"/>
              </w:rPr>
              <w:t xml:space="preserve">Saldos previamente comprometidos en </w:t>
            </w:r>
            <w:r w:rsidR="00F270A8" w:rsidRPr="00CB5635">
              <w:rPr>
                <w:rFonts w:asciiTheme="minorHAnsi" w:eastAsia="Times New Roman" w:hAnsiTheme="minorHAnsi" w:cs="Calibri"/>
                <w:b/>
                <w:bCs/>
                <w:noProof/>
                <w:spacing w:val="-4"/>
                <w:sz w:val="20"/>
                <w:szCs w:val="20"/>
                <w:lang w:val="es-ES" w:eastAsia="en-GB"/>
              </w:rPr>
              <w:t xml:space="preserve">2020 </w:t>
            </w:r>
            <w:r w:rsidR="001D04C7" w:rsidRPr="00CB5635">
              <w:rPr>
                <w:rFonts w:asciiTheme="minorHAnsi" w:eastAsia="Times New Roman" w:hAnsiTheme="minorHAnsi" w:cs="Calibri"/>
                <w:b/>
                <w:bCs/>
                <w:noProof/>
                <w:spacing w:val="-4"/>
                <w:sz w:val="20"/>
                <w:szCs w:val="20"/>
                <w:lang w:val="es-ES" w:eastAsia="en-GB"/>
              </w:rPr>
              <w:t>a</w:t>
            </w:r>
            <w:r w:rsidRPr="00CB5635">
              <w:rPr>
                <w:rFonts w:asciiTheme="minorHAnsi" w:eastAsia="Times New Roman" w:hAnsiTheme="minorHAnsi" w:cs="Calibri"/>
                <w:b/>
                <w:bCs/>
                <w:noProof/>
                <w:spacing w:val="-4"/>
                <w:sz w:val="20"/>
                <w:szCs w:val="20"/>
                <w:lang w:val="es-ES" w:eastAsia="en-GB"/>
              </w:rPr>
              <w:t xml:space="preserve"> gastar en </w:t>
            </w:r>
            <w:r w:rsidR="00F270A8" w:rsidRPr="00CB5635">
              <w:rPr>
                <w:rFonts w:asciiTheme="minorHAnsi" w:eastAsia="Times New Roman" w:hAnsiTheme="minorHAnsi" w:cs="Calibri"/>
                <w:b/>
                <w:bCs/>
                <w:noProof/>
                <w:spacing w:val="-4"/>
                <w:sz w:val="20"/>
                <w:szCs w:val="20"/>
                <w:lang w:val="es-ES" w:eastAsia="en-GB"/>
              </w:rPr>
              <w:t>2021</w:t>
            </w:r>
            <w:r w:rsidR="00E95D43" w:rsidRPr="00CB5635">
              <w:rPr>
                <w:rFonts w:asciiTheme="minorHAnsi" w:eastAsia="Times New Roman" w:hAnsiTheme="minorHAnsi" w:cs="Calibri"/>
                <w:bCs/>
                <w:noProof/>
                <w:spacing w:val="-4"/>
                <w:sz w:val="20"/>
                <w:szCs w:val="20"/>
                <w:vertAlign w:val="superscript"/>
                <w:lang w:val="es-ES" w:eastAsia="en-GB"/>
              </w:rPr>
              <w:t>1</w:t>
            </w:r>
          </w:p>
        </w:tc>
        <w:tc>
          <w:tcPr>
            <w:tcW w:w="1276" w:type="dxa"/>
            <w:vMerge w:val="restart"/>
            <w:tcBorders>
              <w:top w:val="single" w:sz="4" w:space="0" w:color="auto"/>
              <w:left w:val="single" w:sz="4" w:space="0" w:color="auto"/>
              <w:bottom w:val="nil"/>
              <w:right w:val="single" w:sz="4" w:space="0" w:color="auto"/>
            </w:tcBorders>
            <w:shd w:val="clear" w:color="000000" w:fill="D6E3BC"/>
            <w:vAlign w:val="center"/>
            <w:hideMark/>
          </w:tcPr>
          <w:p w14:paraId="71B98067" w14:textId="37FE6427" w:rsidR="00F270A8" w:rsidRPr="00CB5635" w:rsidRDefault="00211D26" w:rsidP="00CB5635">
            <w:pPr>
              <w:ind w:left="0" w:firstLine="0"/>
              <w:jc w:val="center"/>
              <w:rPr>
                <w:rFonts w:asciiTheme="minorHAnsi" w:eastAsia="Times New Roman" w:hAnsiTheme="minorHAnsi" w:cs="Calibri"/>
                <w:b/>
                <w:bCs/>
                <w:noProof/>
                <w:spacing w:val="-4"/>
                <w:sz w:val="20"/>
                <w:szCs w:val="20"/>
                <w:lang w:val="es-ES" w:eastAsia="en-GB"/>
              </w:rPr>
            </w:pPr>
            <w:r w:rsidRPr="00CB5635">
              <w:rPr>
                <w:rFonts w:asciiTheme="minorHAnsi" w:eastAsia="Times New Roman" w:hAnsiTheme="minorHAnsi" w:cs="Calibri"/>
                <w:b/>
                <w:bCs/>
                <w:noProof/>
                <w:spacing w:val="-4"/>
                <w:sz w:val="20"/>
                <w:szCs w:val="20"/>
                <w:lang w:val="es-ES" w:eastAsia="en-GB"/>
              </w:rPr>
              <w:t xml:space="preserve">Uso autorizado por la reunión </w:t>
            </w:r>
            <w:r w:rsidR="00F270A8" w:rsidRPr="00CB5635">
              <w:rPr>
                <w:rFonts w:asciiTheme="minorHAnsi" w:eastAsia="Times New Roman" w:hAnsiTheme="minorHAnsi" w:cs="Calibri"/>
                <w:b/>
                <w:bCs/>
                <w:noProof/>
                <w:spacing w:val="-4"/>
                <w:sz w:val="20"/>
                <w:szCs w:val="20"/>
                <w:lang w:val="es-ES" w:eastAsia="en-GB"/>
              </w:rPr>
              <w:t xml:space="preserve">SC59 </w:t>
            </w:r>
            <w:r w:rsidRPr="00CB5635">
              <w:rPr>
                <w:rFonts w:asciiTheme="minorHAnsi" w:eastAsia="Times New Roman" w:hAnsiTheme="minorHAnsi" w:cs="Calibri"/>
                <w:b/>
                <w:bCs/>
                <w:noProof/>
                <w:spacing w:val="-4"/>
                <w:sz w:val="20"/>
                <w:szCs w:val="20"/>
                <w:lang w:val="es-ES" w:eastAsia="en-GB"/>
              </w:rPr>
              <w:t>de los ahorros</w:t>
            </w:r>
            <w:r w:rsidR="00E67F10" w:rsidRPr="00CB5635">
              <w:rPr>
                <w:rFonts w:asciiTheme="minorHAnsi" w:eastAsia="Times New Roman" w:hAnsiTheme="minorHAnsi" w:cs="Calibri"/>
                <w:b/>
                <w:bCs/>
                <w:noProof/>
                <w:spacing w:val="-4"/>
                <w:sz w:val="20"/>
                <w:szCs w:val="20"/>
                <w:lang w:val="es-ES" w:eastAsia="en-GB"/>
              </w:rPr>
              <w:t xml:space="preserve"> del presupuesto de</w:t>
            </w:r>
            <w:r w:rsidR="00F270A8" w:rsidRPr="00CB5635">
              <w:rPr>
                <w:rFonts w:asciiTheme="minorHAnsi" w:eastAsia="Times New Roman" w:hAnsiTheme="minorHAnsi" w:cs="Calibri"/>
                <w:b/>
                <w:bCs/>
                <w:noProof/>
                <w:spacing w:val="-4"/>
                <w:sz w:val="20"/>
                <w:szCs w:val="20"/>
                <w:lang w:val="es-ES" w:eastAsia="en-GB"/>
              </w:rPr>
              <w:t xml:space="preserve"> 2020</w:t>
            </w:r>
            <w:r w:rsidR="00E95D43" w:rsidRPr="00CB5635">
              <w:rPr>
                <w:rFonts w:asciiTheme="minorHAnsi" w:eastAsia="Times New Roman" w:hAnsiTheme="minorHAnsi" w:cs="Calibri"/>
                <w:bCs/>
                <w:noProof/>
                <w:spacing w:val="-4"/>
                <w:sz w:val="20"/>
                <w:szCs w:val="20"/>
                <w:vertAlign w:val="superscript"/>
                <w:lang w:val="es-ES" w:eastAsia="en-GB"/>
              </w:rPr>
              <w:t>2</w:t>
            </w:r>
          </w:p>
        </w:tc>
        <w:tc>
          <w:tcPr>
            <w:tcW w:w="1417" w:type="dxa"/>
            <w:vMerge w:val="restart"/>
            <w:tcBorders>
              <w:top w:val="single" w:sz="4" w:space="0" w:color="auto"/>
              <w:left w:val="single" w:sz="4" w:space="0" w:color="auto"/>
              <w:bottom w:val="nil"/>
              <w:right w:val="single" w:sz="4" w:space="0" w:color="auto"/>
            </w:tcBorders>
            <w:shd w:val="clear" w:color="000000" w:fill="D6E3BC"/>
            <w:vAlign w:val="center"/>
            <w:hideMark/>
          </w:tcPr>
          <w:p w14:paraId="747FD0E6" w14:textId="70906A76" w:rsidR="00F270A8" w:rsidRPr="00CB5635" w:rsidRDefault="00E67F10" w:rsidP="00CB5635">
            <w:pPr>
              <w:ind w:left="0" w:firstLine="0"/>
              <w:jc w:val="center"/>
              <w:rPr>
                <w:rFonts w:asciiTheme="minorHAnsi" w:eastAsia="Times New Roman" w:hAnsiTheme="minorHAnsi" w:cs="Calibri"/>
                <w:b/>
                <w:bCs/>
                <w:noProof/>
                <w:spacing w:val="-4"/>
                <w:sz w:val="20"/>
                <w:szCs w:val="20"/>
                <w:lang w:val="es-ES" w:eastAsia="en-GB"/>
              </w:rPr>
            </w:pPr>
            <w:r w:rsidRPr="00CB5635">
              <w:rPr>
                <w:rFonts w:asciiTheme="minorHAnsi" w:eastAsia="Times New Roman" w:hAnsiTheme="minorHAnsi" w:cs="Calibri"/>
                <w:b/>
                <w:bCs/>
                <w:noProof/>
                <w:spacing w:val="-4"/>
                <w:sz w:val="20"/>
                <w:szCs w:val="20"/>
                <w:lang w:val="es-ES" w:eastAsia="en-GB"/>
              </w:rPr>
              <w:t>Ahorros no comprometidos de</w:t>
            </w:r>
            <w:r w:rsidR="00F270A8" w:rsidRPr="00CB5635">
              <w:rPr>
                <w:rFonts w:asciiTheme="minorHAnsi" w:eastAsia="Times New Roman" w:hAnsiTheme="minorHAnsi" w:cs="Calibri"/>
                <w:b/>
                <w:bCs/>
                <w:noProof/>
                <w:spacing w:val="-4"/>
                <w:sz w:val="20"/>
                <w:szCs w:val="20"/>
                <w:lang w:val="es-ES" w:eastAsia="en-GB"/>
              </w:rPr>
              <w:t xml:space="preserve"> 2020 </w:t>
            </w:r>
            <w:r w:rsidRPr="00CB5635">
              <w:rPr>
                <w:rFonts w:asciiTheme="minorHAnsi" w:eastAsia="Times New Roman" w:hAnsiTheme="minorHAnsi" w:cs="Calibri"/>
                <w:b/>
                <w:bCs/>
                <w:noProof/>
                <w:spacing w:val="-4"/>
                <w:sz w:val="20"/>
                <w:szCs w:val="20"/>
                <w:lang w:val="es-ES" w:eastAsia="en-GB"/>
              </w:rPr>
              <w:t>traspasados a</w:t>
            </w:r>
            <w:r w:rsidR="00F270A8" w:rsidRPr="00CB5635">
              <w:rPr>
                <w:rFonts w:asciiTheme="minorHAnsi" w:eastAsia="Times New Roman" w:hAnsiTheme="minorHAnsi" w:cs="Calibri"/>
                <w:b/>
                <w:bCs/>
                <w:noProof/>
                <w:spacing w:val="-4"/>
                <w:sz w:val="20"/>
                <w:szCs w:val="20"/>
                <w:lang w:val="es-ES" w:eastAsia="en-GB"/>
              </w:rPr>
              <w:t xml:space="preserve"> 2021</w:t>
            </w:r>
          </w:p>
        </w:tc>
        <w:tc>
          <w:tcPr>
            <w:tcW w:w="1276" w:type="dxa"/>
            <w:vMerge w:val="restart"/>
            <w:tcBorders>
              <w:top w:val="single" w:sz="4" w:space="0" w:color="auto"/>
              <w:left w:val="single" w:sz="4" w:space="0" w:color="auto"/>
              <w:bottom w:val="nil"/>
              <w:right w:val="single" w:sz="4" w:space="0" w:color="auto"/>
            </w:tcBorders>
            <w:shd w:val="clear" w:color="000000" w:fill="D6E3BC"/>
            <w:vAlign w:val="center"/>
            <w:hideMark/>
          </w:tcPr>
          <w:p w14:paraId="667DED88" w14:textId="681AC78B" w:rsidR="00F270A8" w:rsidRPr="00CB5635" w:rsidRDefault="00E67F10" w:rsidP="00CB5635">
            <w:pPr>
              <w:ind w:left="0" w:firstLine="0"/>
              <w:jc w:val="center"/>
              <w:rPr>
                <w:rFonts w:asciiTheme="minorHAnsi" w:eastAsia="Times New Roman" w:hAnsiTheme="minorHAnsi" w:cs="Calibri"/>
                <w:b/>
                <w:bCs/>
                <w:noProof/>
                <w:spacing w:val="-4"/>
                <w:sz w:val="20"/>
                <w:szCs w:val="20"/>
                <w:lang w:val="es-ES" w:eastAsia="en-GB"/>
              </w:rPr>
            </w:pPr>
            <w:r w:rsidRPr="00CB5635">
              <w:rPr>
                <w:rFonts w:asciiTheme="minorHAnsi" w:eastAsia="Times New Roman" w:hAnsiTheme="minorHAnsi" w:cs="Calibri"/>
                <w:b/>
                <w:bCs/>
                <w:noProof/>
                <w:spacing w:val="-4"/>
                <w:sz w:val="20"/>
                <w:szCs w:val="20"/>
                <w:lang w:val="es-ES" w:eastAsia="en-GB"/>
              </w:rPr>
              <w:t xml:space="preserve">Presupuesto total de </w:t>
            </w:r>
            <w:r w:rsidR="00F270A8" w:rsidRPr="00CB5635">
              <w:rPr>
                <w:rFonts w:asciiTheme="minorHAnsi" w:eastAsia="Times New Roman" w:hAnsiTheme="minorHAnsi" w:cs="Calibri"/>
                <w:b/>
                <w:bCs/>
                <w:noProof/>
                <w:spacing w:val="-4"/>
                <w:sz w:val="20"/>
                <w:szCs w:val="20"/>
                <w:lang w:val="es-ES" w:eastAsia="en-GB"/>
              </w:rPr>
              <w:t>2021 (</w:t>
            </w:r>
            <w:r w:rsidRPr="00CB5635">
              <w:rPr>
                <w:rFonts w:asciiTheme="minorHAnsi" w:eastAsia="Times New Roman" w:hAnsiTheme="minorHAnsi" w:cs="Calibri"/>
                <w:b/>
                <w:bCs/>
                <w:noProof/>
                <w:spacing w:val="-4"/>
                <w:sz w:val="20"/>
                <w:szCs w:val="20"/>
                <w:lang w:val="es-ES" w:eastAsia="en-GB"/>
              </w:rPr>
              <w:t xml:space="preserve">con saldos no comprometidos a ser </w:t>
            </w:r>
            <w:r w:rsidR="001D04C7" w:rsidRPr="00CB5635">
              <w:rPr>
                <w:rFonts w:asciiTheme="minorHAnsi" w:eastAsia="Times New Roman" w:hAnsiTheme="minorHAnsi" w:cs="Calibri"/>
                <w:b/>
                <w:bCs/>
                <w:noProof/>
                <w:spacing w:val="-4"/>
                <w:sz w:val="20"/>
                <w:szCs w:val="20"/>
                <w:lang w:val="es-ES" w:eastAsia="en-GB"/>
              </w:rPr>
              <w:t>traspasados</w:t>
            </w:r>
          </w:p>
        </w:tc>
        <w:tc>
          <w:tcPr>
            <w:tcW w:w="1276" w:type="dxa"/>
            <w:vMerge w:val="restart"/>
            <w:tcBorders>
              <w:top w:val="single" w:sz="4" w:space="0" w:color="auto"/>
              <w:left w:val="nil"/>
              <w:bottom w:val="nil"/>
              <w:right w:val="nil"/>
            </w:tcBorders>
            <w:shd w:val="clear" w:color="000000" w:fill="D6E3BC"/>
            <w:vAlign w:val="center"/>
            <w:hideMark/>
          </w:tcPr>
          <w:p w14:paraId="080E5C7E" w14:textId="3F55C258" w:rsidR="00F270A8" w:rsidRPr="00CB5635" w:rsidRDefault="00E67F10" w:rsidP="00CB5635">
            <w:pPr>
              <w:ind w:left="0" w:firstLine="0"/>
              <w:jc w:val="center"/>
              <w:rPr>
                <w:rFonts w:asciiTheme="minorHAnsi" w:eastAsia="Times New Roman" w:hAnsiTheme="minorHAnsi" w:cs="Calibri"/>
                <w:b/>
                <w:bCs/>
                <w:noProof/>
                <w:spacing w:val="-4"/>
                <w:sz w:val="20"/>
                <w:szCs w:val="20"/>
                <w:lang w:val="es-ES" w:eastAsia="en-GB"/>
              </w:rPr>
            </w:pPr>
            <w:r w:rsidRPr="00CB5635">
              <w:rPr>
                <w:rFonts w:asciiTheme="minorHAnsi" w:eastAsia="Times New Roman" w:hAnsiTheme="minorHAnsi" w:cs="Calibri"/>
                <w:b/>
                <w:bCs/>
                <w:noProof/>
                <w:spacing w:val="-4"/>
                <w:sz w:val="20"/>
                <w:szCs w:val="20"/>
                <w:lang w:val="es-ES" w:eastAsia="en-GB"/>
              </w:rPr>
              <w:t>Gastos reales</w:t>
            </w:r>
          </w:p>
        </w:tc>
        <w:tc>
          <w:tcPr>
            <w:tcW w:w="1417" w:type="dxa"/>
            <w:vMerge w:val="restart"/>
            <w:tcBorders>
              <w:top w:val="single" w:sz="4" w:space="0" w:color="auto"/>
              <w:left w:val="single" w:sz="4" w:space="0" w:color="auto"/>
              <w:bottom w:val="nil"/>
              <w:right w:val="single" w:sz="4" w:space="0" w:color="auto"/>
            </w:tcBorders>
            <w:shd w:val="clear" w:color="auto" w:fill="D6E3BC" w:themeFill="accent3" w:themeFillTint="66"/>
            <w:vAlign w:val="center"/>
            <w:hideMark/>
          </w:tcPr>
          <w:p w14:paraId="1CC33EE2" w14:textId="77777777" w:rsidR="00E67F10" w:rsidRPr="00CB5635" w:rsidRDefault="00E67F10" w:rsidP="00CB5635">
            <w:pPr>
              <w:ind w:left="0" w:firstLine="0"/>
              <w:jc w:val="center"/>
              <w:rPr>
                <w:rFonts w:asciiTheme="minorHAnsi" w:eastAsia="Times New Roman" w:hAnsiTheme="minorHAnsi" w:cs="Calibri"/>
                <w:b/>
                <w:bCs/>
                <w:noProof/>
                <w:spacing w:val="-4"/>
                <w:sz w:val="20"/>
                <w:szCs w:val="20"/>
                <w:lang w:val="es-ES" w:eastAsia="en-GB"/>
              </w:rPr>
            </w:pPr>
            <w:r w:rsidRPr="00CB5635">
              <w:rPr>
                <w:rFonts w:asciiTheme="minorHAnsi" w:eastAsia="Times New Roman" w:hAnsiTheme="minorHAnsi" w:cs="Calibri"/>
                <w:b/>
                <w:bCs/>
                <w:noProof/>
                <w:spacing w:val="-4"/>
                <w:sz w:val="20"/>
                <w:szCs w:val="20"/>
                <w:lang w:val="es-ES" w:eastAsia="en-GB"/>
              </w:rPr>
              <w:t>Ajustes al presupuesto propuestos por la Secretaría</w:t>
            </w:r>
          </w:p>
          <w:p w14:paraId="29FEF856" w14:textId="0950260B" w:rsidR="00F270A8" w:rsidRPr="00CB5635" w:rsidRDefault="00F270A8" w:rsidP="00CB5635">
            <w:pPr>
              <w:ind w:left="0" w:firstLine="0"/>
              <w:jc w:val="center"/>
              <w:rPr>
                <w:rFonts w:asciiTheme="minorHAnsi" w:eastAsia="Times New Roman" w:hAnsiTheme="minorHAnsi" w:cs="Calibri"/>
                <w:b/>
                <w:bCs/>
                <w:noProof/>
                <w:spacing w:val="-4"/>
                <w:sz w:val="20"/>
                <w:szCs w:val="20"/>
                <w:lang w:val="es-ES" w:eastAsia="en-GB"/>
              </w:rPr>
            </w:pPr>
          </w:p>
        </w:tc>
        <w:tc>
          <w:tcPr>
            <w:tcW w:w="1276" w:type="dxa"/>
            <w:vMerge w:val="restart"/>
            <w:tcBorders>
              <w:top w:val="single" w:sz="4" w:space="0" w:color="auto"/>
              <w:left w:val="single" w:sz="4" w:space="0" w:color="auto"/>
              <w:bottom w:val="nil"/>
              <w:right w:val="single" w:sz="4" w:space="0" w:color="auto"/>
            </w:tcBorders>
            <w:shd w:val="clear" w:color="000000" w:fill="D6E3BC"/>
            <w:vAlign w:val="center"/>
            <w:hideMark/>
          </w:tcPr>
          <w:p w14:paraId="3589B550" w14:textId="4A8BB3B9" w:rsidR="00F270A8" w:rsidRPr="00CB5635" w:rsidRDefault="00E723E1" w:rsidP="00CB5635">
            <w:pPr>
              <w:ind w:left="0" w:firstLine="0"/>
              <w:jc w:val="center"/>
              <w:rPr>
                <w:rFonts w:asciiTheme="minorHAnsi" w:eastAsia="Times New Roman" w:hAnsiTheme="minorHAnsi" w:cs="Calibri"/>
                <w:b/>
                <w:bCs/>
                <w:noProof/>
                <w:spacing w:val="-4"/>
                <w:sz w:val="20"/>
                <w:szCs w:val="20"/>
                <w:lang w:val="es-ES" w:eastAsia="en-GB"/>
              </w:rPr>
            </w:pPr>
            <w:r w:rsidRPr="00CB5635">
              <w:rPr>
                <w:rFonts w:asciiTheme="minorHAnsi" w:eastAsia="Times New Roman" w:hAnsiTheme="minorHAnsi" w:cs="Calibri"/>
                <w:b/>
                <w:bCs/>
                <w:noProof/>
                <w:spacing w:val="-4"/>
                <w:sz w:val="20"/>
                <w:szCs w:val="20"/>
                <w:lang w:val="es-ES" w:eastAsia="en-GB"/>
              </w:rPr>
              <w:t>Saldo</w:t>
            </w:r>
          </w:p>
        </w:tc>
      </w:tr>
      <w:tr w:rsidR="00F270A8" w:rsidRPr="001441B9" w14:paraId="36764DFC" w14:textId="77777777" w:rsidTr="00CB5635">
        <w:trPr>
          <w:trHeight w:val="900"/>
          <w:tblHeader/>
        </w:trPr>
        <w:tc>
          <w:tcPr>
            <w:tcW w:w="3258" w:type="dxa"/>
            <w:tcBorders>
              <w:top w:val="nil"/>
              <w:left w:val="single" w:sz="4" w:space="0" w:color="auto"/>
              <w:bottom w:val="nil"/>
              <w:right w:val="nil"/>
            </w:tcBorders>
            <w:shd w:val="clear" w:color="000000" w:fill="D6E3BC"/>
            <w:vAlign w:val="center"/>
            <w:hideMark/>
          </w:tcPr>
          <w:p w14:paraId="6068F9B8" w14:textId="580D8C20" w:rsidR="00F270A8" w:rsidRPr="00E723E1" w:rsidRDefault="00211D26" w:rsidP="00CB5635">
            <w:pPr>
              <w:ind w:left="0" w:firstLine="0"/>
              <w:jc w:val="center"/>
              <w:rPr>
                <w:rFonts w:eastAsia="Times New Roman" w:cs="Calibri"/>
                <w:b/>
                <w:bCs/>
                <w:noProof/>
                <w:sz w:val="20"/>
                <w:szCs w:val="20"/>
                <w:lang w:val="es-ES" w:eastAsia="en-GB"/>
              </w:rPr>
            </w:pPr>
            <w:r w:rsidRPr="00E723E1">
              <w:rPr>
                <w:rFonts w:eastAsia="Times New Roman" w:cs="Calibri"/>
                <w:b/>
                <w:bCs/>
                <w:noProof/>
                <w:sz w:val="20"/>
                <w:szCs w:val="20"/>
                <w:lang w:val="es-ES" w:eastAsia="en-GB"/>
              </w:rPr>
              <w:t xml:space="preserve">Aprobado por la reunión </w:t>
            </w:r>
            <w:r w:rsidR="00F270A8" w:rsidRPr="00E723E1">
              <w:rPr>
                <w:rFonts w:eastAsia="Times New Roman" w:cs="Calibri"/>
                <w:b/>
                <w:bCs/>
                <w:noProof/>
                <w:sz w:val="20"/>
                <w:szCs w:val="20"/>
                <w:lang w:val="es-ES" w:eastAsia="en-GB"/>
              </w:rPr>
              <w:t>SC59</w:t>
            </w:r>
          </w:p>
        </w:tc>
        <w:tc>
          <w:tcPr>
            <w:tcW w:w="1417" w:type="dxa"/>
            <w:vMerge/>
            <w:tcBorders>
              <w:top w:val="single" w:sz="4" w:space="0" w:color="auto"/>
              <w:left w:val="single" w:sz="4" w:space="0" w:color="auto"/>
              <w:bottom w:val="nil"/>
              <w:right w:val="single" w:sz="4" w:space="0" w:color="auto"/>
            </w:tcBorders>
            <w:vAlign w:val="center"/>
            <w:hideMark/>
          </w:tcPr>
          <w:p w14:paraId="3640F71D" w14:textId="77777777" w:rsidR="00F270A8" w:rsidRPr="00E723E1" w:rsidRDefault="00F270A8" w:rsidP="00CB5635">
            <w:pPr>
              <w:ind w:left="0" w:firstLine="0"/>
              <w:jc w:val="center"/>
              <w:rPr>
                <w:rFonts w:eastAsia="Times New Roman" w:cs="Calibri"/>
                <w:b/>
                <w:bCs/>
                <w:noProof/>
                <w:sz w:val="20"/>
                <w:szCs w:val="20"/>
                <w:lang w:val="es-ES" w:eastAsia="en-GB"/>
              </w:rPr>
            </w:pPr>
          </w:p>
        </w:tc>
        <w:tc>
          <w:tcPr>
            <w:tcW w:w="1276" w:type="dxa"/>
            <w:vMerge/>
            <w:tcBorders>
              <w:top w:val="single" w:sz="4" w:space="0" w:color="auto"/>
              <w:left w:val="single" w:sz="4" w:space="0" w:color="auto"/>
              <w:bottom w:val="nil"/>
              <w:right w:val="single" w:sz="4" w:space="0" w:color="auto"/>
            </w:tcBorders>
            <w:vAlign w:val="center"/>
            <w:hideMark/>
          </w:tcPr>
          <w:p w14:paraId="7554E342" w14:textId="77777777" w:rsidR="00F270A8" w:rsidRPr="00E723E1" w:rsidRDefault="00F270A8" w:rsidP="00CB5635">
            <w:pPr>
              <w:ind w:left="0" w:firstLine="0"/>
              <w:jc w:val="center"/>
              <w:rPr>
                <w:rFonts w:eastAsia="Times New Roman" w:cs="Calibri"/>
                <w:b/>
                <w:bCs/>
                <w:noProof/>
                <w:sz w:val="20"/>
                <w:szCs w:val="20"/>
                <w:lang w:val="es-ES" w:eastAsia="en-GB"/>
              </w:rPr>
            </w:pPr>
          </w:p>
        </w:tc>
        <w:tc>
          <w:tcPr>
            <w:tcW w:w="1134" w:type="dxa"/>
            <w:vMerge/>
            <w:tcBorders>
              <w:top w:val="single" w:sz="4" w:space="0" w:color="auto"/>
              <w:left w:val="single" w:sz="4" w:space="0" w:color="auto"/>
              <w:bottom w:val="nil"/>
              <w:right w:val="single" w:sz="4" w:space="0" w:color="auto"/>
            </w:tcBorders>
            <w:vAlign w:val="center"/>
            <w:hideMark/>
          </w:tcPr>
          <w:p w14:paraId="549F3F01" w14:textId="77777777" w:rsidR="00F270A8" w:rsidRPr="00E723E1" w:rsidRDefault="00F270A8" w:rsidP="00CB5635">
            <w:pPr>
              <w:ind w:left="0" w:firstLine="0"/>
              <w:jc w:val="center"/>
              <w:rPr>
                <w:rFonts w:eastAsia="Times New Roman" w:cs="Calibri"/>
                <w:b/>
                <w:bCs/>
                <w:noProof/>
                <w:sz w:val="20"/>
                <w:szCs w:val="20"/>
                <w:lang w:val="es-ES" w:eastAsia="en-GB"/>
              </w:rPr>
            </w:pPr>
          </w:p>
        </w:tc>
        <w:tc>
          <w:tcPr>
            <w:tcW w:w="1276" w:type="dxa"/>
            <w:vMerge/>
            <w:tcBorders>
              <w:top w:val="single" w:sz="4" w:space="0" w:color="auto"/>
              <w:left w:val="single" w:sz="4" w:space="0" w:color="auto"/>
              <w:bottom w:val="nil"/>
              <w:right w:val="single" w:sz="4" w:space="0" w:color="auto"/>
            </w:tcBorders>
            <w:vAlign w:val="center"/>
            <w:hideMark/>
          </w:tcPr>
          <w:p w14:paraId="7C40F615" w14:textId="77777777" w:rsidR="00F270A8" w:rsidRPr="00E723E1" w:rsidRDefault="00F270A8" w:rsidP="00CB5635">
            <w:pPr>
              <w:ind w:left="0" w:firstLine="0"/>
              <w:jc w:val="center"/>
              <w:rPr>
                <w:rFonts w:eastAsia="Times New Roman" w:cs="Calibri"/>
                <w:b/>
                <w:bCs/>
                <w:noProof/>
                <w:sz w:val="20"/>
                <w:szCs w:val="20"/>
                <w:lang w:val="es-ES" w:eastAsia="en-GB"/>
              </w:rPr>
            </w:pPr>
          </w:p>
        </w:tc>
        <w:tc>
          <w:tcPr>
            <w:tcW w:w="1417" w:type="dxa"/>
            <w:vMerge/>
            <w:tcBorders>
              <w:top w:val="single" w:sz="4" w:space="0" w:color="auto"/>
              <w:left w:val="single" w:sz="4" w:space="0" w:color="auto"/>
              <w:bottom w:val="nil"/>
              <w:right w:val="single" w:sz="4" w:space="0" w:color="auto"/>
            </w:tcBorders>
            <w:vAlign w:val="center"/>
            <w:hideMark/>
          </w:tcPr>
          <w:p w14:paraId="632D72F8" w14:textId="77777777" w:rsidR="00F270A8" w:rsidRPr="00E723E1" w:rsidRDefault="00F270A8" w:rsidP="00CB5635">
            <w:pPr>
              <w:ind w:left="0" w:firstLine="0"/>
              <w:jc w:val="center"/>
              <w:rPr>
                <w:rFonts w:eastAsia="Times New Roman" w:cs="Calibri"/>
                <w:b/>
                <w:bCs/>
                <w:noProof/>
                <w:sz w:val="20"/>
                <w:szCs w:val="20"/>
                <w:lang w:val="es-ES" w:eastAsia="en-GB"/>
              </w:rPr>
            </w:pPr>
          </w:p>
        </w:tc>
        <w:tc>
          <w:tcPr>
            <w:tcW w:w="1276" w:type="dxa"/>
            <w:vMerge/>
            <w:tcBorders>
              <w:top w:val="single" w:sz="4" w:space="0" w:color="auto"/>
              <w:left w:val="single" w:sz="4" w:space="0" w:color="auto"/>
              <w:bottom w:val="nil"/>
              <w:right w:val="single" w:sz="4" w:space="0" w:color="auto"/>
            </w:tcBorders>
            <w:vAlign w:val="center"/>
            <w:hideMark/>
          </w:tcPr>
          <w:p w14:paraId="61A0914C" w14:textId="77777777" w:rsidR="00F270A8" w:rsidRPr="00E723E1" w:rsidRDefault="00F270A8" w:rsidP="00CB5635">
            <w:pPr>
              <w:ind w:left="0" w:firstLine="0"/>
              <w:jc w:val="center"/>
              <w:rPr>
                <w:rFonts w:eastAsia="Times New Roman" w:cs="Calibri"/>
                <w:b/>
                <w:bCs/>
                <w:noProof/>
                <w:sz w:val="20"/>
                <w:szCs w:val="20"/>
                <w:lang w:val="es-ES" w:eastAsia="en-GB"/>
              </w:rPr>
            </w:pPr>
          </w:p>
        </w:tc>
        <w:tc>
          <w:tcPr>
            <w:tcW w:w="1276" w:type="dxa"/>
            <w:vMerge/>
            <w:tcBorders>
              <w:top w:val="single" w:sz="4" w:space="0" w:color="auto"/>
              <w:left w:val="nil"/>
              <w:bottom w:val="nil"/>
              <w:right w:val="nil"/>
            </w:tcBorders>
            <w:vAlign w:val="center"/>
            <w:hideMark/>
          </w:tcPr>
          <w:p w14:paraId="67F2FE74" w14:textId="77777777" w:rsidR="00F270A8" w:rsidRPr="00E723E1" w:rsidRDefault="00F270A8" w:rsidP="00CB5635">
            <w:pPr>
              <w:ind w:left="0" w:firstLine="0"/>
              <w:jc w:val="center"/>
              <w:rPr>
                <w:rFonts w:eastAsia="Times New Roman" w:cs="Calibri"/>
                <w:b/>
                <w:bCs/>
                <w:noProof/>
                <w:sz w:val="20"/>
                <w:szCs w:val="20"/>
                <w:lang w:val="es-ES" w:eastAsia="en-GB"/>
              </w:rPr>
            </w:pPr>
          </w:p>
        </w:tc>
        <w:tc>
          <w:tcPr>
            <w:tcW w:w="1417" w:type="dxa"/>
            <w:vMerge/>
            <w:tcBorders>
              <w:top w:val="single" w:sz="4" w:space="0" w:color="auto"/>
              <w:left w:val="single" w:sz="4" w:space="0" w:color="auto"/>
              <w:bottom w:val="nil"/>
              <w:right w:val="single" w:sz="4" w:space="0" w:color="auto"/>
            </w:tcBorders>
            <w:shd w:val="clear" w:color="auto" w:fill="D6E3BC" w:themeFill="accent3" w:themeFillTint="66"/>
            <w:vAlign w:val="center"/>
            <w:hideMark/>
          </w:tcPr>
          <w:p w14:paraId="70188CEB" w14:textId="77777777" w:rsidR="00F270A8" w:rsidRPr="00E723E1" w:rsidRDefault="00F270A8" w:rsidP="00CB5635">
            <w:pPr>
              <w:ind w:left="0" w:firstLine="0"/>
              <w:jc w:val="center"/>
              <w:rPr>
                <w:rFonts w:eastAsia="Times New Roman" w:cs="Calibri"/>
                <w:b/>
                <w:bCs/>
                <w:noProof/>
                <w:sz w:val="20"/>
                <w:szCs w:val="20"/>
                <w:lang w:val="es-ES" w:eastAsia="en-GB"/>
              </w:rPr>
            </w:pPr>
          </w:p>
        </w:tc>
        <w:tc>
          <w:tcPr>
            <w:tcW w:w="1276" w:type="dxa"/>
            <w:vMerge/>
            <w:tcBorders>
              <w:top w:val="single" w:sz="4" w:space="0" w:color="auto"/>
              <w:left w:val="single" w:sz="4" w:space="0" w:color="auto"/>
              <w:bottom w:val="nil"/>
              <w:right w:val="single" w:sz="4" w:space="0" w:color="auto"/>
            </w:tcBorders>
            <w:vAlign w:val="center"/>
            <w:hideMark/>
          </w:tcPr>
          <w:p w14:paraId="78E2F8F9" w14:textId="77777777" w:rsidR="00F270A8" w:rsidRPr="00E723E1" w:rsidRDefault="00F270A8" w:rsidP="00CB5635">
            <w:pPr>
              <w:ind w:left="0" w:firstLine="0"/>
              <w:jc w:val="center"/>
              <w:rPr>
                <w:rFonts w:eastAsia="Times New Roman" w:cs="Calibri"/>
                <w:b/>
                <w:bCs/>
                <w:noProof/>
                <w:sz w:val="20"/>
                <w:szCs w:val="20"/>
                <w:lang w:val="es-ES" w:eastAsia="en-GB"/>
              </w:rPr>
            </w:pPr>
          </w:p>
        </w:tc>
      </w:tr>
      <w:tr w:rsidR="00CB5635" w:rsidRPr="00E723E1" w14:paraId="14910D5A" w14:textId="77777777" w:rsidTr="00CB5635">
        <w:trPr>
          <w:trHeight w:val="225"/>
          <w:tblHeader/>
        </w:trPr>
        <w:tc>
          <w:tcPr>
            <w:tcW w:w="3258" w:type="dxa"/>
            <w:tcBorders>
              <w:top w:val="nil"/>
              <w:left w:val="single" w:sz="4" w:space="0" w:color="auto"/>
              <w:bottom w:val="nil"/>
              <w:right w:val="nil"/>
            </w:tcBorders>
            <w:shd w:val="clear" w:color="000000" w:fill="D6E3BC"/>
            <w:vAlign w:val="center"/>
            <w:hideMark/>
          </w:tcPr>
          <w:p w14:paraId="739A9B2E" w14:textId="658701D0" w:rsidR="00CB5635" w:rsidRPr="00E723E1" w:rsidRDefault="00CB5635" w:rsidP="00F270A8">
            <w:pPr>
              <w:ind w:left="0" w:firstLine="0"/>
              <w:jc w:val="center"/>
              <w:rPr>
                <w:rFonts w:eastAsia="Times New Roman" w:cs="Calibri"/>
                <w:b/>
                <w:bCs/>
                <w:noProof/>
                <w:sz w:val="20"/>
                <w:szCs w:val="20"/>
                <w:lang w:val="es-ES" w:eastAsia="en-GB"/>
              </w:rPr>
            </w:pPr>
            <w:r w:rsidRPr="00E723E1">
              <w:rPr>
                <w:rFonts w:eastAsia="Times New Roman" w:cs="Calibri"/>
                <w:b/>
                <w:bCs/>
                <w:noProof/>
                <w:sz w:val="20"/>
                <w:szCs w:val="20"/>
                <w:lang w:val="es-ES" w:eastAsia="en-GB"/>
              </w:rPr>
              <w:t>en miles de francos suizos</w:t>
            </w:r>
          </w:p>
        </w:tc>
        <w:tc>
          <w:tcPr>
            <w:tcW w:w="1417" w:type="dxa"/>
            <w:vMerge w:val="restart"/>
            <w:tcBorders>
              <w:top w:val="nil"/>
              <w:left w:val="single" w:sz="4" w:space="0" w:color="auto"/>
              <w:bottom w:val="single" w:sz="4" w:space="0" w:color="000000"/>
              <w:right w:val="single" w:sz="4" w:space="0" w:color="auto"/>
            </w:tcBorders>
            <w:shd w:val="clear" w:color="000000" w:fill="D6E3BC"/>
            <w:vAlign w:val="center"/>
            <w:hideMark/>
          </w:tcPr>
          <w:p w14:paraId="0D401D5D" w14:textId="77777777" w:rsidR="00CB5635" w:rsidRPr="00E723E1" w:rsidRDefault="00CB5635" w:rsidP="00F270A8">
            <w:pPr>
              <w:ind w:left="0" w:firstLine="0"/>
              <w:jc w:val="center"/>
              <w:rPr>
                <w:rFonts w:eastAsia="Times New Roman" w:cs="Calibri"/>
                <w:b/>
                <w:bCs/>
                <w:noProof/>
                <w:sz w:val="20"/>
                <w:szCs w:val="20"/>
                <w:lang w:val="es-ES" w:eastAsia="en-GB"/>
              </w:rPr>
            </w:pPr>
            <w:r w:rsidRPr="00E723E1">
              <w:rPr>
                <w:rFonts w:eastAsia="Times New Roman" w:cs="Calibri"/>
                <w:b/>
                <w:bCs/>
                <w:noProof/>
                <w:sz w:val="20"/>
                <w:szCs w:val="20"/>
                <w:lang w:val="es-ES" w:eastAsia="en-GB"/>
              </w:rPr>
              <w:t>(A)</w:t>
            </w:r>
          </w:p>
        </w:tc>
        <w:tc>
          <w:tcPr>
            <w:tcW w:w="1276" w:type="dxa"/>
            <w:vMerge w:val="restart"/>
            <w:tcBorders>
              <w:top w:val="nil"/>
              <w:left w:val="single" w:sz="4" w:space="0" w:color="auto"/>
              <w:bottom w:val="single" w:sz="4" w:space="0" w:color="000000"/>
              <w:right w:val="single" w:sz="4" w:space="0" w:color="auto"/>
            </w:tcBorders>
            <w:shd w:val="clear" w:color="000000" w:fill="D6E3BC"/>
            <w:vAlign w:val="center"/>
            <w:hideMark/>
          </w:tcPr>
          <w:p w14:paraId="6FB330C1" w14:textId="77777777" w:rsidR="00CB5635" w:rsidRPr="00E723E1" w:rsidRDefault="00CB5635" w:rsidP="00F270A8">
            <w:pPr>
              <w:ind w:left="0" w:firstLine="0"/>
              <w:jc w:val="center"/>
              <w:rPr>
                <w:rFonts w:eastAsia="Times New Roman" w:cs="Calibri"/>
                <w:b/>
                <w:bCs/>
                <w:noProof/>
                <w:sz w:val="20"/>
                <w:szCs w:val="20"/>
                <w:lang w:val="es-ES" w:eastAsia="en-GB"/>
              </w:rPr>
            </w:pPr>
            <w:r w:rsidRPr="00E723E1">
              <w:rPr>
                <w:rFonts w:eastAsia="Times New Roman" w:cs="Calibri"/>
                <w:b/>
                <w:bCs/>
                <w:noProof/>
                <w:sz w:val="20"/>
                <w:szCs w:val="20"/>
                <w:lang w:val="es-ES" w:eastAsia="en-GB"/>
              </w:rPr>
              <w:t>(B)</w:t>
            </w:r>
          </w:p>
        </w:tc>
        <w:tc>
          <w:tcPr>
            <w:tcW w:w="1134" w:type="dxa"/>
            <w:vMerge w:val="restart"/>
            <w:tcBorders>
              <w:top w:val="nil"/>
              <w:left w:val="single" w:sz="4" w:space="0" w:color="auto"/>
              <w:bottom w:val="single" w:sz="4" w:space="0" w:color="000000"/>
              <w:right w:val="single" w:sz="4" w:space="0" w:color="auto"/>
            </w:tcBorders>
            <w:shd w:val="clear" w:color="000000" w:fill="D6E3BC"/>
            <w:vAlign w:val="center"/>
            <w:hideMark/>
          </w:tcPr>
          <w:p w14:paraId="48625041" w14:textId="77777777" w:rsidR="00CB5635" w:rsidRPr="00E723E1" w:rsidRDefault="00CB5635" w:rsidP="00F270A8">
            <w:pPr>
              <w:ind w:left="0" w:firstLine="0"/>
              <w:jc w:val="center"/>
              <w:rPr>
                <w:rFonts w:eastAsia="Times New Roman" w:cs="Calibri"/>
                <w:b/>
                <w:bCs/>
                <w:noProof/>
                <w:sz w:val="20"/>
                <w:szCs w:val="20"/>
                <w:lang w:val="es-ES" w:eastAsia="en-GB"/>
              </w:rPr>
            </w:pPr>
            <w:r w:rsidRPr="00E723E1">
              <w:rPr>
                <w:rFonts w:eastAsia="Times New Roman" w:cs="Calibri"/>
                <w:b/>
                <w:bCs/>
                <w:noProof/>
                <w:sz w:val="20"/>
                <w:szCs w:val="20"/>
                <w:lang w:val="es-ES" w:eastAsia="en-GB"/>
              </w:rPr>
              <w:t>(C)</w:t>
            </w:r>
          </w:p>
        </w:tc>
        <w:tc>
          <w:tcPr>
            <w:tcW w:w="1276" w:type="dxa"/>
            <w:vMerge w:val="restart"/>
            <w:tcBorders>
              <w:top w:val="nil"/>
              <w:left w:val="single" w:sz="4" w:space="0" w:color="auto"/>
              <w:bottom w:val="single" w:sz="4" w:space="0" w:color="000000"/>
              <w:right w:val="single" w:sz="4" w:space="0" w:color="auto"/>
            </w:tcBorders>
            <w:shd w:val="clear" w:color="000000" w:fill="D6E3BC"/>
            <w:vAlign w:val="center"/>
            <w:hideMark/>
          </w:tcPr>
          <w:p w14:paraId="7EAD9611" w14:textId="77777777" w:rsidR="00CB5635" w:rsidRPr="00E723E1" w:rsidRDefault="00CB5635" w:rsidP="00F270A8">
            <w:pPr>
              <w:ind w:left="0" w:firstLine="0"/>
              <w:jc w:val="center"/>
              <w:rPr>
                <w:rFonts w:eastAsia="Times New Roman" w:cs="Calibri"/>
                <w:b/>
                <w:bCs/>
                <w:noProof/>
                <w:sz w:val="20"/>
                <w:szCs w:val="20"/>
                <w:lang w:val="es-ES" w:eastAsia="en-GB"/>
              </w:rPr>
            </w:pPr>
            <w:r w:rsidRPr="00E723E1">
              <w:rPr>
                <w:rFonts w:eastAsia="Times New Roman" w:cs="Calibri"/>
                <w:b/>
                <w:bCs/>
                <w:noProof/>
                <w:sz w:val="20"/>
                <w:szCs w:val="20"/>
                <w:lang w:val="es-ES" w:eastAsia="en-GB"/>
              </w:rPr>
              <w:t>(D)</w:t>
            </w:r>
          </w:p>
        </w:tc>
        <w:tc>
          <w:tcPr>
            <w:tcW w:w="1417" w:type="dxa"/>
            <w:vMerge w:val="restart"/>
            <w:tcBorders>
              <w:top w:val="nil"/>
              <w:left w:val="single" w:sz="4" w:space="0" w:color="auto"/>
              <w:bottom w:val="single" w:sz="4" w:space="0" w:color="000000"/>
              <w:right w:val="single" w:sz="4" w:space="0" w:color="auto"/>
            </w:tcBorders>
            <w:shd w:val="clear" w:color="000000" w:fill="D6E3BC"/>
            <w:vAlign w:val="center"/>
            <w:hideMark/>
          </w:tcPr>
          <w:p w14:paraId="6462FCD0" w14:textId="77777777" w:rsidR="00CB5635" w:rsidRPr="00E723E1" w:rsidRDefault="00CB5635" w:rsidP="00F270A8">
            <w:pPr>
              <w:ind w:left="0" w:firstLine="0"/>
              <w:jc w:val="center"/>
              <w:rPr>
                <w:rFonts w:eastAsia="Times New Roman" w:cs="Calibri"/>
                <w:b/>
                <w:bCs/>
                <w:noProof/>
                <w:sz w:val="20"/>
                <w:szCs w:val="20"/>
                <w:lang w:val="es-ES" w:eastAsia="en-GB"/>
              </w:rPr>
            </w:pPr>
            <w:r w:rsidRPr="00E723E1">
              <w:rPr>
                <w:rFonts w:eastAsia="Times New Roman" w:cs="Calibri"/>
                <w:b/>
                <w:bCs/>
                <w:noProof/>
                <w:sz w:val="20"/>
                <w:szCs w:val="20"/>
                <w:lang w:val="es-ES" w:eastAsia="en-GB"/>
              </w:rPr>
              <w:t>(E)</w:t>
            </w:r>
          </w:p>
        </w:tc>
        <w:tc>
          <w:tcPr>
            <w:tcW w:w="1276" w:type="dxa"/>
            <w:vMerge w:val="restart"/>
            <w:tcBorders>
              <w:top w:val="nil"/>
              <w:left w:val="single" w:sz="4" w:space="0" w:color="auto"/>
              <w:bottom w:val="single" w:sz="4" w:space="0" w:color="000000"/>
              <w:right w:val="single" w:sz="4" w:space="0" w:color="auto"/>
            </w:tcBorders>
            <w:shd w:val="clear" w:color="000000" w:fill="D6E3BC"/>
            <w:vAlign w:val="center"/>
            <w:hideMark/>
          </w:tcPr>
          <w:p w14:paraId="4489B478" w14:textId="77777777" w:rsidR="00CB5635" w:rsidRPr="00E723E1" w:rsidRDefault="00CB5635" w:rsidP="00F270A8">
            <w:pPr>
              <w:ind w:left="0" w:firstLine="0"/>
              <w:jc w:val="center"/>
              <w:rPr>
                <w:rFonts w:eastAsia="Times New Roman" w:cs="Calibri"/>
                <w:b/>
                <w:bCs/>
                <w:noProof/>
                <w:sz w:val="20"/>
                <w:szCs w:val="20"/>
                <w:lang w:val="es-ES" w:eastAsia="en-GB"/>
              </w:rPr>
            </w:pPr>
            <w:r w:rsidRPr="00E723E1">
              <w:rPr>
                <w:rFonts w:eastAsia="Times New Roman" w:cs="Calibri"/>
                <w:b/>
                <w:bCs/>
                <w:noProof/>
                <w:sz w:val="20"/>
                <w:szCs w:val="20"/>
                <w:lang w:val="es-ES" w:eastAsia="en-GB"/>
              </w:rPr>
              <w:t>(F)=A+B+C+D+E</w:t>
            </w:r>
          </w:p>
        </w:tc>
        <w:tc>
          <w:tcPr>
            <w:tcW w:w="1276" w:type="dxa"/>
            <w:vMerge w:val="restart"/>
            <w:tcBorders>
              <w:top w:val="nil"/>
              <w:left w:val="nil"/>
              <w:bottom w:val="single" w:sz="4" w:space="0" w:color="000000"/>
              <w:right w:val="nil"/>
            </w:tcBorders>
            <w:shd w:val="clear" w:color="000000" w:fill="D6E3BC"/>
            <w:vAlign w:val="center"/>
            <w:hideMark/>
          </w:tcPr>
          <w:p w14:paraId="71DD3190" w14:textId="77777777" w:rsidR="00CB5635" w:rsidRPr="00E723E1" w:rsidRDefault="00CB5635" w:rsidP="00F270A8">
            <w:pPr>
              <w:ind w:left="0" w:firstLine="0"/>
              <w:jc w:val="center"/>
              <w:rPr>
                <w:rFonts w:eastAsia="Times New Roman" w:cs="Calibri"/>
                <w:b/>
                <w:bCs/>
                <w:noProof/>
                <w:sz w:val="20"/>
                <w:szCs w:val="20"/>
                <w:lang w:val="es-ES" w:eastAsia="en-GB"/>
              </w:rPr>
            </w:pPr>
            <w:r w:rsidRPr="00E723E1">
              <w:rPr>
                <w:rFonts w:eastAsia="Times New Roman" w:cs="Calibri"/>
                <w:b/>
                <w:bCs/>
                <w:noProof/>
                <w:sz w:val="20"/>
                <w:szCs w:val="20"/>
                <w:lang w:val="es-ES" w:eastAsia="en-GB"/>
              </w:rPr>
              <w:t>(G)</w:t>
            </w:r>
          </w:p>
        </w:tc>
        <w:tc>
          <w:tcPr>
            <w:tcW w:w="1417" w:type="dxa"/>
            <w:vMerge w:val="restart"/>
            <w:tcBorders>
              <w:top w:val="nil"/>
              <w:left w:val="single" w:sz="4" w:space="0" w:color="auto"/>
              <w:right w:val="single" w:sz="4" w:space="0" w:color="auto"/>
            </w:tcBorders>
            <w:shd w:val="clear" w:color="auto" w:fill="D6E3BC" w:themeFill="accent3" w:themeFillTint="66"/>
            <w:vAlign w:val="center"/>
            <w:hideMark/>
          </w:tcPr>
          <w:p w14:paraId="4DC35693" w14:textId="0B387297" w:rsidR="00CB5635" w:rsidRPr="00E723E1" w:rsidRDefault="00CB5635" w:rsidP="00F270A8">
            <w:pPr>
              <w:ind w:left="0" w:firstLine="0"/>
              <w:jc w:val="center"/>
              <w:rPr>
                <w:rFonts w:eastAsia="Times New Roman" w:cs="Calibri"/>
                <w:b/>
                <w:bCs/>
                <w:noProof/>
                <w:sz w:val="20"/>
                <w:szCs w:val="20"/>
                <w:lang w:val="es-ES" w:eastAsia="en-GB"/>
              </w:rPr>
            </w:pPr>
            <w:r w:rsidRPr="00E723E1">
              <w:rPr>
                <w:rFonts w:eastAsia="Times New Roman" w:cs="Calibri"/>
                <w:b/>
                <w:bCs/>
                <w:noProof/>
                <w:sz w:val="20"/>
                <w:szCs w:val="20"/>
                <w:lang w:val="es-ES" w:eastAsia="en-GB"/>
              </w:rPr>
              <w:t>(H)</w:t>
            </w:r>
          </w:p>
        </w:tc>
        <w:tc>
          <w:tcPr>
            <w:tcW w:w="1276" w:type="dxa"/>
            <w:vMerge w:val="restart"/>
            <w:tcBorders>
              <w:top w:val="nil"/>
              <w:left w:val="single" w:sz="4" w:space="0" w:color="auto"/>
              <w:bottom w:val="single" w:sz="4" w:space="0" w:color="000000"/>
              <w:right w:val="single" w:sz="4" w:space="0" w:color="auto"/>
            </w:tcBorders>
            <w:shd w:val="clear" w:color="auto" w:fill="D6E3BC" w:themeFill="accent3" w:themeFillTint="66"/>
            <w:vAlign w:val="center"/>
            <w:hideMark/>
          </w:tcPr>
          <w:p w14:paraId="59DD2995" w14:textId="79B4AB8C" w:rsidR="00CB5635" w:rsidRPr="00E723E1" w:rsidRDefault="00CB5635" w:rsidP="001441B9">
            <w:pPr>
              <w:ind w:left="0" w:firstLine="0"/>
              <w:jc w:val="center"/>
              <w:rPr>
                <w:rFonts w:eastAsia="Times New Roman" w:cs="Calibri"/>
                <w:b/>
                <w:bCs/>
                <w:noProof/>
                <w:sz w:val="20"/>
                <w:szCs w:val="20"/>
                <w:lang w:val="es-ES" w:eastAsia="en-GB"/>
              </w:rPr>
            </w:pPr>
            <w:r w:rsidRPr="00E723E1">
              <w:rPr>
                <w:rFonts w:eastAsia="Times New Roman" w:cs="Calibri"/>
                <w:b/>
                <w:bCs/>
                <w:noProof/>
                <w:sz w:val="20"/>
                <w:szCs w:val="20"/>
                <w:lang w:val="es-ES" w:eastAsia="en-GB"/>
              </w:rPr>
              <w:t>(I)=(F)-(G)</w:t>
            </w:r>
            <w:r w:rsidR="001441B9">
              <w:rPr>
                <w:rFonts w:eastAsia="Times New Roman" w:cs="Calibri"/>
                <w:b/>
                <w:bCs/>
                <w:noProof/>
                <w:sz w:val="20"/>
                <w:szCs w:val="20"/>
                <w:lang w:val="es-ES" w:eastAsia="en-GB"/>
              </w:rPr>
              <w:t>+</w:t>
            </w:r>
            <w:r w:rsidRPr="00E723E1">
              <w:rPr>
                <w:rFonts w:eastAsia="Times New Roman" w:cs="Calibri"/>
                <w:b/>
                <w:bCs/>
                <w:noProof/>
                <w:sz w:val="20"/>
                <w:szCs w:val="20"/>
                <w:lang w:val="es-ES" w:eastAsia="en-GB"/>
              </w:rPr>
              <w:t>(H)</w:t>
            </w:r>
          </w:p>
        </w:tc>
      </w:tr>
      <w:tr w:rsidR="00CB5635" w:rsidRPr="00E723E1" w14:paraId="4630C9B6" w14:textId="77777777" w:rsidTr="00CB5635">
        <w:trPr>
          <w:trHeight w:val="240"/>
        </w:trPr>
        <w:tc>
          <w:tcPr>
            <w:tcW w:w="3258" w:type="dxa"/>
            <w:tcBorders>
              <w:top w:val="nil"/>
              <w:left w:val="single" w:sz="4" w:space="0" w:color="auto"/>
              <w:bottom w:val="single" w:sz="4" w:space="0" w:color="auto"/>
              <w:right w:val="nil"/>
            </w:tcBorders>
            <w:shd w:val="clear" w:color="000000" w:fill="D6E3BC"/>
            <w:vAlign w:val="center"/>
            <w:hideMark/>
          </w:tcPr>
          <w:p w14:paraId="1BB9EF78" w14:textId="77777777" w:rsidR="00CB5635" w:rsidRPr="00E723E1" w:rsidRDefault="00CB5635" w:rsidP="00F270A8">
            <w:pPr>
              <w:ind w:left="0" w:firstLine="0"/>
              <w:rPr>
                <w:rFonts w:ascii="Arial" w:eastAsia="Times New Roman" w:hAnsi="Arial" w:cs="Arial"/>
                <w:noProof/>
                <w:sz w:val="20"/>
                <w:szCs w:val="20"/>
                <w:lang w:val="es-ES" w:eastAsia="en-GB"/>
              </w:rPr>
            </w:pPr>
            <w:r w:rsidRPr="00E723E1">
              <w:rPr>
                <w:rFonts w:ascii="Arial" w:eastAsia="Times New Roman" w:hAnsi="Arial" w:cs="Arial"/>
                <w:noProof/>
                <w:sz w:val="20"/>
                <w:szCs w:val="20"/>
                <w:lang w:val="es-ES" w:eastAsia="en-GB"/>
              </w:rPr>
              <w:t> </w:t>
            </w:r>
          </w:p>
        </w:tc>
        <w:tc>
          <w:tcPr>
            <w:tcW w:w="1417" w:type="dxa"/>
            <w:vMerge/>
            <w:tcBorders>
              <w:top w:val="nil"/>
              <w:left w:val="single" w:sz="4" w:space="0" w:color="auto"/>
              <w:bottom w:val="single" w:sz="4" w:space="0" w:color="000000"/>
              <w:right w:val="single" w:sz="4" w:space="0" w:color="auto"/>
            </w:tcBorders>
            <w:vAlign w:val="center"/>
            <w:hideMark/>
          </w:tcPr>
          <w:p w14:paraId="472483CB" w14:textId="77777777" w:rsidR="00CB5635" w:rsidRPr="00E723E1" w:rsidRDefault="00CB5635" w:rsidP="00F270A8">
            <w:pPr>
              <w:ind w:left="0" w:firstLine="0"/>
              <w:rPr>
                <w:rFonts w:eastAsia="Times New Roman" w:cs="Calibri"/>
                <w:b/>
                <w:bCs/>
                <w:noProof/>
                <w:sz w:val="20"/>
                <w:szCs w:val="20"/>
                <w:lang w:val="es-ES" w:eastAsia="en-GB"/>
              </w:rPr>
            </w:pPr>
          </w:p>
        </w:tc>
        <w:tc>
          <w:tcPr>
            <w:tcW w:w="1276" w:type="dxa"/>
            <w:vMerge/>
            <w:tcBorders>
              <w:top w:val="nil"/>
              <w:left w:val="single" w:sz="4" w:space="0" w:color="auto"/>
              <w:bottom w:val="single" w:sz="4" w:space="0" w:color="000000"/>
              <w:right w:val="single" w:sz="4" w:space="0" w:color="auto"/>
            </w:tcBorders>
            <w:vAlign w:val="center"/>
            <w:hideMark/>
          </w:tcPr>
          <w:p w14:paraId="5EE0DB3C" w14:textId="77777777" w:rsidR="00CB5635" w:rsidRPr="00E723E1" w:rsidRDefault="00CB5635" w:rsidP="00F270A8">
            <w:pPr>
              <w:ind w:left="0" w:firstLine="0"/>
              <w:rPr>
                <w:rFonts w:eastAsia="Times New Roman" w:cs="Calibri"/>
                <w:b/>
                <w:bCs/>
                <w:noProof/>
                <w:sz w:val="20"/>
                <w:szCs w:val="20"/>
                <w:lang w:val="es-ES" w:eastAsia="en-GB"/>
              </w:rPr>
            </w:pPr>
          </w:p>
        </w:tc>
        <w:tc>
          <w:tcPr>
            <w:tcW w:w="1134" w:type="dxa"/>
            <w:vMerge/>
            <w:tcBorders>
              <w:top w:val="nil"/>
              <w:left w:val="single" w:sz="4" w:space="0" w:color="auto"/>
              <w:bottom w:val="single" w:sz="4" w:space="0" w:color="000000"/>
              <w:right w:val="single" w:sz="4" w:space="0" w:color="auto"/>
            </w:tcBorders>
            <w:vAlign w:val="center"/>
            <w:hideMark/>
          </w:tcPr>
          <w:p w14:paraId="73477A7D" w14:textId="77777777" w:rsidR="00CB5635" w:rsidRPr="00E723E1" w:rsidRDefault="00CB5635" w:rsidP="00F270A8">
            <w:pPr>
              <w:ind w:left="0" w:firstLine="0"/>
              <w:rPr>
                <w:rFonts w:eastAsia="Times New Roman" w:cs="Calibri"/>
                <w:b/>
                <w:bCs/>
                <w:noProof/>
                <w:sz w:val="20"/>
                <w:szCs w:val="20"/>
                <w:lang w:val="es-ES" w:eastAsia="en-GB"/>
              </w:rPr>
            </w:pPr>
          </w:p>
        </w:tc>
        <w:tc>
          <w:tcPr>
            <w:tcW w:w="1276" w:type="dxa"/>
            <w:vMerge/>
            <w:tcBorders>
              <w:top w:val="nil"/>
              <w:left w:val="single" w:sz="4" w:space="0" w:color="auto"/>
              <w:bottom w:val="single" w:sz="4" w:space="0" w:color="000000"/>
              <w:right w:val="single" w:sz="4" w:space="0" w:color="auto"/>
            </w:tcBorders>
            <w:vAlign w:val="center"/>
            <w:hideMark/>
          </w:tcPr>
          <w:p w14:paraId="18330A9E" w14:textId="77777777" w:rsidR="00CB5635" w:rsidRPr="00E723E1" w:rsidRDefault="00CB5635" w:rsidP="00F270A8">
            <w:pPr>
              <w:ind w:left="0" w:firstLine="0"/>
              <w:rPr>
                <w:rFonts w:eastAsia="Times New Roman" w:cs="Calibri"/>
                <w:b/>
                <w:bCs/>
                <w:noProof/>
                <w:sz w:val="20"/>
                <w:szCs w:val="20"/>
                <w:lang w:val="es-ES" w:eastAsia="en-GB"/>
              </w:rPr>
            </w:pPr>
          </w:p>
        </w:tc>
        <w:tc>
          <w:tcPr>
            <w:tcW w:w="1417" w:type="dxa"/>
            <w:vMerge/>
            <w:tcBorders>
              <w:top w:val="nil"/>
              <w:left w:val="single" w:sz="4" w:space="0" w:color="auto"/>
              <w:bottom w:val="single" w:sz="4" w:space="0" w:color="000000"/>
              <w:right w:val="single" w:sz="4" w:space="0" w:color="auto"/>
            </w:tcBorders>
            <w:vAlign w:val="center"/>
            <w:hideMark/>
          </w:tcPr>
          <w:p w14:paraId="792B16F4" w14:textId="77777777" w:rsidR="00CB5635" w:rsidRPr="00E723E1" w:rsidRDefault="00CB5635" w:rsidP="00F270A8">
            <w:pPr>
              <w:ind w:left="0" w:firstLine="0"/>
              <w:rPr>
                <w:rFonts w:eastAsia="Times New Roman" w:cs="Calibri"/>
                <w:b/>
                <w:bCs/>
                <w:noProof/>
                <w:sz w:val="20"/>
                <w:szCs w:val="20"/>
                <w:lang w:val="es-ES" w:eastAsia="en-GB"/>
              </w:rPr>
            </w:pPr>
          </w:p>
        </w:tc>
        <w:tc>
          <w:tcPr>
            <w:tcW w:w="1276" w:type="dxa"/>
            <w:vMerge/>
            <w:tcBorders>
              <w:top w:val="nil"/>
              <w:left w:val="single" w:sz="4" w:space="0" w:color="auto"/>
              <w:bottom w:val="single" w:sz="4" w:space="0" w:color="000000"/>
              <w:right w:val="single" w:sz="4" w:space="0" w:color="auto"/>
            </w:tcBorders>
            <w:vAlign w:val="center"/>
            <w:hideMark/>
          </w:tcPr>
          <w:p w14:paraId="051C7A64" w14:textId="77777777" w:rsidR="00CB5635" w:rsidRPr="00E723E1" w:rsidRDefault="00CB5635" w:rsidP="00F270A8">
            <w:pPr>
              <w:ind w:left="0" w:firstLine="0"/>
              <w:rPr>
                <w:rFonts w:eastAsia="Times New Roman" w:cs="Calibri"/>
                <w:b/>
                <w:bCs/>
                <w:noProof/>
                <w:sz w:val="20"/>
                <w:szCs w:val="20"/>
                <w:lang w:val="es-ES" w:eastAsia="en-GB"/>
              </w:rPr>
            </w:pPr>
          </w:p>
        </w:tc>
        <w:tc>
          <w:tcPr>
            <w:tcW w:w="1276" w:type="dxa"/>
            <w:vMerge/>
            <w:tcBorders>
              <w:top w:val="nil"/>
              <w:left w:val="nil"/>
              <w:bottom w:val="single" w:sz="4" w:space="0" w:color="000000"/>
              <w:right w:val="nil"/>
            </w:tcBorders>
            <w:vAlign w:val="center"/>
            <w:hideMark/>
          </w:tcPr>
          <w:p w14:paraId="30900999" w14:textId="77777777" w:rsidR="00CB5635" w:rsidRPr="00E723E1" w:rsidRDefault="00CB5635" w:rsidP="00F270A8">
            <w:pPr>
              <w:ind w:left="0" w:firstLine="0"/>
              <w:rPr>
                <w:rFonts w:eastAsia="Times New Roman" w:cs="Calibri"/>
                <w:b/>
                <w:bCs/>
                <w:noProof/>
                <w:sz w:val="20"/>
                <w:szCs w:val="20"/>
                <w:lang w:val="es-ES" w:eastAsia="en-GB"/>
              </w:rPr>
            </w:pPr>
          </w:p>
        </w:tc>
        <w:tc>
          <w:tcPr>
            <w:tcW w:w="1417" w:type="dxa"/>
            <w:vMerge/>
            <w:tcBorders>
              <w:left w:val="single" w:sz="4" w:space="0" w:color="auto"/>
              <w:bottom w:val="single" w:sz="4" w:space="0" w:color="auto"/>
              <w:right w:val="single" w:sz="4" w:space="0" w:color="auto"/>
            </w:tcBorders>
            <w:shd w:val="clear" w:color="auto" w:fill="D6E3BC" w:themeFill="accent3" w:themeFillTint="66"/>
            <w:vAlign w:val="center"/>
            <w:hideMark/>
          </w:tcPr>
          <w:p w14:paraId="20CD000F" w14:textId="6D12F471" w:rsidR="00CB5635" w:rsidRPr="00E723E1" w:rsidRDefault="00CB5635" w:rsidP="00F270A8">
            <w:pPr>
              <w:ind w:left="0" w:firstLine="0"/>
              <w:jc w:val="center"/>
              <w:rPr>
                <w:rFonts w:eastAsia="Times New Roman" w:cs="Calibri"/>
                <w:b/>
                <w:bCs/>
                <w:noProof/>
                <w:sz w:val="20"/>
                <w:szCs w:val="20"/>
                <w:lang w:val="es-ES" w:eastAsia="en-GB"/>
              </w:rPr>
            </w:pPr>
          </w:p>
        </w:tc>
        <w:tc>
          <w:tcPr>
            <w:tcW w:w="1276" w:type="dxa"/>
            <w:vMerge/>
            <w:tcBorders>
              <w:top w:val="nil"/>
              <w:left w:val="single" w:sz="4" w:space="0" w:color="auto"/>
              <w:bottom w:val="single" w:sz="4" w:space="0" w:color="000000"/>
              <w:right w:val="single" w:sz="4" w:space="0" w:color="auto"/>
            </w:tcBorders>
            <w:shd w:val="clear" w:color="auto" w:fill="D6E3BC" w:themeFill="accent3" w:themeFillTint="66"/>
            <w:vAlign w:val="center"/>
            <w:hideMark/>
          </w:tcPr>
          <w:p w14:paraId="7388123E" w14:textId="77777777" w:rsidR="00CB5635" w:rsidRPr="00E723E1" w:rsidRDefault="00CB5635" w:rsidP="00F270A8">
            <w:pPr>
              <w:ind w:left="0" w:firstLine="0"/>
              <w:rPr>
                <w:rFonts w:eastAsia="Times New Roman" w:cs="Calibri"/>
                <w:b/>
                <w:bCs/>
                <w:noProof/>
                <w:sz w:val="20"/>
                <w:szCs w:val="20"/>
                <w:lang w:val="es-ES" w:eastAsia="en-GB"/>
              </w:rPr>
            </w:pPr>
          </w:p>
        </w:tc>
      </w:tr>
      <w:tr w:rsidR="00F270A8" w:rsidRPr="00E723E1" w14:paraId="7662FD54" w14:textId="77777777" w:rsidTr="00CB5635">
        <w:trPr>
          <w:trHeight w:val="105"/>
        </w:trPr>
        <w:tc>
          <w:tcPr>
            <w:tcW w:w="3258" w:type="dxa"/>
            <w:tcBorders>
              <w:top w:val="nil"/>
              <w:left w:val="single" w:sz="4" w:space="0" w:color="auto"/>
              <w:bottom w:val="nil"/>
              <w:right w:val="nil"/>
            </w:tcBorders>
            <w:shd w:val="clear" w:color="auto" w:fill="auto"/>
            <w:noWrap/>
            <w:vAlign w:val="center"/>
            <w:hideMark/>
          </w:tcPr>
          <w:p w14:paraId="58B72840" w14:textId="77777777" w:rsidR="00F270A8" w:rsidRPr="00E723E1" w:rsidRDefault="00F270A8" w:rsidP="00F270A8">
            <w:pPr>
              <w:ind w:left="0" w:firstLine="0"/>
              <w:rPr>
                <w:rFonts w:eastAsia="Times New Roman" w:cs="Calibri"/>
                <w:b/>
                <w:bCs/>
                <w:noProof/>
                <w:sz w:val="20"/>
                <w:szCs w:val="20"/>
                <w:lang w:val="es-ES" w:eastAsia="en-GB"/>
              </w:rPr>
            </w:pPr>
            <w:r w:rsidRPr="00E723E1">
              <w:rPr>
                <w:rFonts w:eastAsia="Times New Roman" w:cs="Calibri"/>
                <w:b/>
                <w:bCs/>
                <w:noProof/>
                <w:sz w:val="20"/>
                <w:szCs w:val="20"/>
                <w:lang w:val="es-ES" w:eastAsia="en-GB"/>
              </w:rPr>
              <w:t> </w:t>
            </w:r>
          </w:p>
        </w:tc>
        <w:tc>
          <w:tcPr>
            <w:tcW w:w="1417" w:type="dxa"/>
            <w:vMerge w:val="restart"/>
            <w:tcBorders>
              <w:top w:val="nil"/>
              <w:left w:val="single" w:sz="4" w:space="0" w:color="auto"/>
              <w:bottom w:val="nil"/>
              <w:right w:val="single" w:sz="4" w:space="0" w:color="auto"/>
            </w:tcBorders>
            <w:shd w:val="clear" w:color="auto" w:fill="auto"/>
            <w:noWrap/>
            <w:vAlign w:val="center"/>
            <w:hideMark/>
          </w:tcPr>
          <w:p w14:paraId="059016FD" w14:textId="77777777" w:rsidR="00F270A8" w:rsidRPr="00E723E1" w:rsidRDefault="00F270A8" w:rsidP="00F270A8">
            <w:pPr>
              <w:ind w:left="0" w:firstLine="0"/>
              <w:rPr>
                <w:rFonts w:eastAsia="Times New Roman" w:cs="Calibri"/>
                <w:b/>
                <w:bCs/>
                <w:noProof/>
                <w:sz w:val="20"/>
                <w:szCs w:val="20"/>
                <w:lang w:val="es-ES" w:eastAsia="en-GB"/>
              </w:rPr>
            </w:pPr>
            <w:r w:rsidRPr="00E723E1">
              <w:rPr>
                <w:rFonts w:eastAsia="Times New Roman" w:cs="Calibri"/>
                <w:b/>
                <w:bCs/>
                <w:noProof/>
                <w:sz w:val="20"/>
                <w:szCs w:val="20"/>
                <w:lang w:val="es-ES" w:eastAsia="en-GB"/>
              </w:rPr>
              <w:t> </w:t>
            </w:r>
          </w:p>
        </w:tc>
        <w:tc>
          <w:tcPr>
            <w:tcW w:w="1276" w:type="dxa"/>
            <w:vMerge w:val="restart"/>
            <w:tcBorders>
              <w:top w:val="nil"/>
              <w:left w:val="single" w:sz="4" w:space="0" w:color="auto"/>
              <w:bottom w:val="nil"/>
              <w:right w:val="single" w:sz="4" w:space="0" w:color="auto"/>
            </w:tcBorders>
            <w:shd w:val="clear" w:color="auto" w:fill="auto"/>
            <w:noWrap/>
            <w:vAlign w:val="center"/>
            <w:hideMark/>
          </w:tcPr>
          <w:p w14:paraId="03CEA56E" w14:textId="77777777" w:rsidR="00F270A8" w:rsidRPr="00E723E1" w:rsidRDefault="00F270A8" w:rsidP="00F270A8">
            <w:pPr>
              <w:ind w:left="0" w:firstLine="0"/>
              <w:rPr>
                <w:rFonts w:eastAsia="Times New Roman" w:cs="Calibri"/>
                <w:b/>
                <w:bCs/>
                <w:noProof/>
                <w:sz w:val="20"/>
                <w:szCs w:val="20"/>
                <w:lang w:val="es-ES" w:eastAsia="en-GB"/>
              </w:rPr>
            </w:pPr>
            <w:r w:rsidRPr="00E723E1">
              <w:rPr>
                <w:rFonts w:eastAsia="Times New Roman" w:cs="Calibri"/>
                <w:b/>
                <w:bCs/>
                <w:noProof/>
                <w:sz w:val="20"/>
                <w:szCs w:val="20"/>
                <w:lang w:val="es-ES" w:eastAsia="en-GB"/>
              </w:rPr>
              <w:t> </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29AD254F" w14:textId="77777777" w:rsidR="00F270A8" w:rsidRPr="00E723E1" w:rsidRDefault="00F270A8" w:rsidP="00F270A8">
            <w:pPr>
              <w:ind w:left="0" w:firstLine="0"/>
              <w:rPr>
                <w:rFonts w:eastAsia="Times New Roman" w:cs="Calibri"/>
                <w:b/>
                <w:bCs/>
                <w:noProof/>
                <w:sz w:val="20"/>
                <w:szCs w:val="20"/>
                <w:lang w:val="es-ES" w:eastAsia="en-GB"/>
              </w:rPr>
            </w:pPr>
            <w:r w:rsidRPr="00E723E1">
              <w:rPr>
                <w:rFonts w:eastAsia="Times New Roman" w:cs="Calibri"/>
                <w:b/>
                <w:bCs/>
                <w:noProof/>
                <w:sz w:val="20"/>
                <w:szCs w:val="20"/>
                <w:lang w:val="es-ES" w:eastAsia="en-GB"/>
              </w:rPr>
              <w:t> </w:t>
            </w:r>
          </w:p>
        </w:tc>
        <w:tc>
          <w:tcPr>
            <w:tcW w:w="1276" w:type="dxa"/>
            <w:vMerge w:val="restart"/>
            <w:tcBorders>
              <w:top w:val="nil"/>
              <w:left w:val="single" w:sz="4" w:space="0" w:color="auto"/>
              <w:bottom w:val="nil"/>
              <w:right w:val="single" w:sz="4" w:space="0" w:color="auto"/>
            </w:tcBorders>
            <w:shd w:val="clear" w:color="auto" w:fill="auto"/>
            <w:noWrap/>
            <w:vAlign w:val="center"/>
            <w:hideMark/>
          </w:tcPr>
          <w:p w14:paraId="727D11F3" w14:textId="77777777" w:rsidR="00F270A8" w:rsidRPr="00E723E1" w:rsidRDefault="00F270A8" w:rsidP="00F270A8">
            <w:pPr>
              <w:ind w:left="0" w:firstLine="0"/>
              <w:rPr>
                <w:rFonts w:eastAsia="Times New Roman" w:cs="Calibri"/>
                <w:b/>
                <w:bCs/>
                <w:noProof/>
                <w:sz w:val="20"/>
                <w:szCs w:val="20"/>
                <w:lang w:val="es-ES" w:eastAsia="en-GB"/>
              </w:rPr>
            </w:pPr>
            <w:r w:rsidRPr="00E723E1">
              <w:rPr>
                <w:rFonts w:eastAsia="Times New Roman" w:cs="Calibri"/>
                <w:b/>
                <w:bCs/>
                <w:noProof/>
                <w:sz w:val="20"/>
                <w:szCs w:val="20"/>
                <w:lang w:val="es-ES" w:eastAsia="en-GB"/>
              </w:rPr>
              <w:t> </w:t>
            </w:r>
          </w:p>
        </w:tc>
        <w:tc>
          <w:tcPr>
            <w:tcW w:w="1417" w:type="dxa"/>
            <w:vMerge w:val="restart"/>
            <w:tcBorders>
              <w:top w:val="nil"/>
              <w:left w:val="nil"/>
              <w:bottom w:val="nil"/>
              <w:right w:val="nil"/>
            </w:tcBorders>
            <w:shd w:val="clear" w:color="auto" w:fill="auto"/>
            <w:noWrap/>
            <w:vAlign w:val="center"/>
            <w:hideMark/>
          </w:tcPr>
          <w:p w14:paraId="432697B4" w14:textId="77777777" w:rsidR="00F270A8" w:rsidRPr="00E723E1" w:rsidRDefault="00F270A8" w:rsidP="00F270A8">
            <w:pPr>
              <w:ind w:left="0" w:firstLine="0"/>
              <w:rPr>
                <w:rFonts w:eastAsia="Times New Roman" w:cs="Calibri"/>
                <w:b/>
                <w:bCs/>
                <w:noProof/>
                <w:sz w:val="20"/>
                <w:szCs w:val="20"/>
                <w:lang w:val="es-ES" w:eastAsia="en-GB"/>
              </w:rPr>
            </w:pPr>
          </w:p>
        </w:tc>
        <w:tc>
          <w:tcPr>
            <w:tcW w:w="1276" w:type="dxa"/>
            <w:vMerge w:val="restart"/>
            <w:tcBorders>
              <w:top w:val="nil"/>
              <w:left w:val="single" w:sz="4" w:space="0" w:color="auto"/>
              <w:bottom w:val="nil"/>
              <w:right w:val="single" w:sz="4" w:space="0" w:color="auto"/>
            </w:tcBorders>
            <w:shd w:val="clear" w:color="auto" w:fill="auto"/>
            <w:noWrap/>
            <w:vAlign w:val="center"/>
            <w:hideMark/>
          </w:tcPr>
          <w:p w14:paraId="3A96BB1E" w14:textId="77777777" w:rsidR="00F270A8" w:rsidRPr="00E723E1" w:rsidRDefault="00F270A8" w:rsidP="00F270A8">
            <w:pPr>
              <w:ind w:left="0" w:firstLine="0"/>
              <w:rPr>
                <w:rFonts w:eastAsia="Times New Roman" w:cs="Calibri"/>
                <w:b/>
                <w:bCs/>
                <w:noProof/>
                <w:sz w:val="20"/>
                <w:szCs w:val="20"/>
                <w:lang w:val="es-ES" w:eastAsia="en-GB"/>
              </w:rPr>
            </w:pPr>
            <w:r w:rsidRPr="00E723E1">
              <w:rPr>
                <w:rFonts w:eastAsia="Times New Roman" w:cs="Calibri"/>
                <w:b/>
                <w:bCs/>
                <w:noProof/>
                <w:sz w:val="20"/>
                <w:szCs w:val="20"/>
                <w:lang w:val="es-ES" w:eastAsia="en-GB"/>
              </w:rPr>
              <w:t> </w:t>
            </w:r>
          </w:p>
        </w:tc>
        <w:tc>
          <w:tcPr>
            <w:tcW w:w="1276" w:type="dxa"/>
            <w:vMerge w:val="restart"/>
            <w:tcBorders>
              <w:top w:val="nil"/>
              <w:left w:val="nil"/>
              <w:bottom w:val="nil"/>
              <w:right w:val="nil"/>
            </w:tcBorders>
            <w:shd w:val="clear" w:color="auto" w:fill="auto"/>
            <w:noWrap/>
            <w:vAlign w:val="center"/>
            <w:hideMark/>
          </w:tcPr>
          <w:p w14:paraId="439548DD" w14:textId="77777777" w:rsidR="00F270A8" w:rsidRPr="00E723E1" w:rsidRDefault="00F270A8" w:rsidP="00F270A8">
            <w:pPr>
              <w:ind w:left="0" w:firstLine="0"/>
              <w:rPr>
                <w:rFonts w:eastAsia="Times New Roman" w:cs="Calibri"/>
                <w:b/>
                <w:bCs/>
                <w:noProof/>
                <w:sz w:val="20"/>
                <w:szCs w:val="20"/>
                <w:lang w:val="es-ES" w:eastAsia="en-GB"/>
              </w:rPr>
            </w:pPr>
          </w:p>
        </w:tc>
        <w:tc>
          <w:tcPr>
            <w:tcW w:w="1417" w:type="dxa"/>
            <w:tcBorders>
              <w:top w:val="nil"/>
              <w:left w:val="single" w:sz="4" w:space="0" w:color="auto"/>
              <w:bottom w:val="nil"/>
              <w:right w:val="single" w:sz="4" w:space="0" w:color="auto"/>
            </w:tcBorders>
            <w:shd w:val="clear" w:color="auto" w:fill="auto"/>
            <w:noWrap/>
            <w:vAlign w:val="center"/>
            <w:hideMark/>
          </w:tcPr>
          <w:p w14:paraId="51190D64" w14:textId="77777777" w:rsidR="00F270A8" w:rsidRPr="00E723E1" w:rsidRDefault="00F270A8" w:rsidP="00F270A8">
            <w:pPr>
              <w:ind w:left="0" w:firstLine="0"/>
              <w:rPr>
                <w:rFonts w:eastAsia="Times New Roman" w:cs="Calibri"/>
                <w:b/>
                <w:bCs/>
                <w:noProof/>
                <w:sz w:val="20"/>
                <w:szCs w:val="20"/>
                <w:lang w:val="es-ES" w:eastAsia="en-GB"/>
              </w:rPr>
            </w:pPr>
            <w:r w:rsidRPr="00E723E1">
              <w:rPr>
                <w:rFonts w:eastAsia="Times New Roman" w:cs="Calibri"/>
                <w:b/>
                <w:bCs/>
                <w:noProof/>
                <w:sz w:val="20"/>
                <w:szCs w:val="20"/>
                <w:lang w:val="es-ES" w:eastAsia="en-GB"/>
              </w:rPr>
              <w:t> </w:t>
            </w:r>
          </w:p>
        </w:tc>
        <w:tc>
          <w:tcPr>
            <w:tcW w:w="1276" w:type="dxa"/>
            <w:vMerge w:val="restart"/>
            <w:tcBorders>
              <w:top w:val="nil"/>
              <w:left w:val="single" w:sz="4" w:space="0" w:color="auto"/>
              <w:bottom w:val="nil"/>
              <w:right w:val="single" w:sz="4" w:space="0" w:color="auto"/>
            </w:tcBorders>
            <w:shd w:val="clear" w:color="auto" w:fill="auto"/>
            <w:noWrap/>
            <w:vAlign w:val="center"/>
            <w:hideMark/>
          </w:tcPr>
          <w:p w14:paraId="49239DA1" w14:textId="77777777" w:rsidR="00F270A8" w:rsidRPr="00E723E1" w:rsidRDefault="00F270A8" w:rsidP="00F270A8">
            <w:pPr>
              <w:ind w:left="0" w:firstLine="0"/>
              <w:rPr>
                <w:rFonts w:eastAsia="Times New Roman" w:cs="Calibri"/>
                <w:b/>
                <w:bCs/>
                <w:noProof/>
                <w:sz w:val="20"/>
                <w:szCs w:val="20"/>
                <w:lang w:val="es-ES" w:eastAsia="en-GB"/>
              </w:rPr>
            </w:pPr>
            <w:r w:rsidRPr="00E723E1">
              <w:rPr>
                <w:rFonts w:eastAsia="Times New Roman" w:cs="Calibri"/>
                <w:b/>
                <w:bCs/>
                <w:noProof/>
                <w:sz w:val="20"/>
                <w:szCs w:val="20"/>
                <w:lang w:val="es-ES" w:eastAsia="en-GB"/>
              </w:rPr>
              <w:t> </w:t>
            </w:r>
          </w:p>
        </w:tc>
      </w:tr>
      <w:tr w:rsidR="00E67F10" w:rsidRPr="00E723E1" w14:paraId="564F1A8A" w14:textId="77777777" w:rsidTr="00CB5635">
        <w:trPr>
          <w:trHeight w:val="163"/>
        </w:trPr>
        <w:tc>
          <w:tcPr>
            <w:tcW w:w="3258" w:type="dxa"/>
            <w:tcBorders>
              <w:top w:val="nil"/>
              <w:left w:val="single" w:sz="4" w:space="0" w:color="auto"/>
              <w:bottom w:val="nil"/>
              <w:right w:val="nil"/>
            </w:tcBorders>
            <w:shd w:val="clear" w:color="auto" w:fill="auto"/>
            <w:noWrap/>
            <w:hideMark/>
          </w:tcPr>
          <w:p w14:paraId="4E9D8988" w14:textId="6AFCDF0C" w:rsidR="00E67F10" w:rsidRPr="00E723E1" w:rsidRDefault="00E67F10" w:rsidP="00E67F10">
            <w:pPr>
              <w:ind w:left="0" w:firstLine="0"/>
              <w:rPr>
                <w:rFonts w:eastAsia="Times New Roman" w:cs="Calibri"/>
                <w:b/>
                <w:bCs/>
                <w:noProof/>
                <w:sz w:val="20"/>
                <w:szCs w:val="20"/>
                <w:lang w:val="es-ES" w:eastAsia="en-GB"/>
              </w:rPr>
            </w:pPr>
            <w:r w:rsidRPr="00E723E1">
              <w:rPr>
                <w:rFonts w:asciiTheme="minorHAnsi" w:eastAsiaTheme="minorHAnsi" w:hAnsiTheme="minorHAnsi" w:cstheme="minorHAnsi"/>
                <w:b/>
                <w:bCs/>
                <w:noProof/>
                <w:color w:val="000000"/>
                <w:sz w:val="20"/>
                <w:szCs w:val="20"/>
                <w:lang w:val="es-ES"/>
              </w:rPr>
              <w:t>INGRESOS</w:t>
            </w:r>
          </w:p>
        </w:tc>
        <w:tc>
          <w:tcPr>
            <w:tcW w:w="1417" w:type="dxa"/>
            <w:vMerge/>
            <w:tcBorders>
              <w:top w:val="nil"/>
              <w:left w:val="single" w:sz="4" w:space="0" w:color="auto"/>
              <w:bottom w:val="nil"/>
              <w:right w:val="single" w:sz="4" w:space="0" w:color="auto"/>
            </w:tcBorders>
            <w:vAlign w:val="center"/>
            <w:hideMark/>
          </w:tcPr>
          <w:p w14:paraId="0CB216BA" w14:textId="77777777" w:rsidR="00E67F10" w:rsidRPr="00E723E1" w:rsidRDefault="00E67F10" w:rsidP="00E67F10">
            <w:pPr>
              <w:ind w:left="0" w:firstLine="0"/>
              <w:rPr>
                <w:rFonts w:eastAsia="Times New Roman" w:cs="Calibri"/>
                <w:b/>
                <w:bCs/>
                <w:noProof/>
                <w:sz w:val="20"/>
                <w:szCs w:val="20"/>
                <w:lang w:val="es-ES" w:eastAsia="en-GB"/>
              </w:rPr>
            </w:pPr>
          </w:p>
        </w:tc>
        <w:tc>
          <w:tcPr>
            <w:tcW w:w="1276" w:type="dxa"/>
            <w:vMerge/>
            <w:tcBorders>
              <w:top w:val="nil"/>
              <w:left w:val="single" w:sz="4" w:space="0" w:color="auto"/>
              <w:bottom w:val="nil"/>
              <w:right w:val="single" w:sz="4" w:space="0" w:color="auto"/>
            </w:tcBorders>
            <w:vAlign w:val="center"/>
            <w:hideMark/>
          </w:tcPr>
          <w:p w14:paraId="271E9BC3" w14:textId="77777777" w:rsidR="00E67F10" w:rsidRPr="00E723E1" w:rsidRDefault="00E67F10" w:rsidP="00E67F10">
            <w:pPr>
              <w:ind w:left="0" w:firstLine="0"/>
              <w:rPr>
                <w:rFonts w:eastAsia="Times New Roman" w:cs="Calibri"/>
                <w:b/>
                <w:bCs/>
                <w:noProof/>
                <w:sz w:val="20"/>
                <w:szCs w:val="20"/>
                <w:lang w:val="es-ES" w:eastAsia="en-GB"/>
              </w:rPr>
            </w:pPr>
          </w:p>
        </w:tc>
        <w:tc>
          <w:tcPr>
            <w:tcW w:w="1134" w:type="dxa"/>
            <w:vMerge/>
            <w:tcBorders>
              <w:top w:val="nil"/>
              <w:left w:val="single" w:sz="4" w:space="0" w:color="auto"/>
              <w:bottom w:val="nil"/>
              <w:right w:val="single" w:sz="4" w:space="0" w:color="auto"/>
            </w:tcBorders>
            <w:vAlign w:val="center"/>
            <w:hideMark/>
          </w:tcPr>
          <w:p w14:paraId="5C4A5889" w14:textId="77777777" w:rsidR="00E67F10" w:rsidRPr="00E723E1" w:rsidRDefault="00E67F10" w:rsidP="00E67F10">
            <w:pPr>
              <w:ind w:left="0" w:firstLine="0"/>
              <w:rPr>
                <w:rFonts w:eastAsia="Times New Roman" w:cs="Calibri"/>
                <w:b/>
                <w:bCs/>
                <w:noProof/>
                <w:sz w:val="20"/>
                <w:szCs w:val="20"/>
                <w:lang w:val="es-ES" w:eastAsia="en-GB"/>
              </w:rPr>
            </w:pPr>
          </w:p>
        </w:tc>
        <w:tc>
          <w:tcPr>
            <w:tcW w:w="1276" w:type="dxa"/>
            <w:vMerge/>
            <w:tcBorders>
              <w:top w:val="nil"/>
              <w:left w:val="single" w:sz="4" w:space="0" w:color="auto"/>
              <w:bottom w:val="nil"/>
              <w:right w:val="single" w:sz="4" w:space="0" w:color="auto"/>
            </w:tcBorders>
            <w:vAlign w:val="center"/>
            <w:hideMark/>
          </w:tcPr>
          <w:p w14:paraId="2B3371AA" w14:textId="77777777" w:rsidR="00E67F10" w:rsidRPr="00E723E1" w:rsidRDefault="00E67F10" w:rsidP="00E67F10">
            <w:pPr>
              <w:ind w:left="0" w:firstLine="0"/>
              <w:rPr>
                <w:rFonts w:eastAsia="Times New Roman" w:cs="Calibri"/>
                <w:b/>
                <w:bCs/>
                <w:noProof/>
                <w:sz w:val="20"/>
                <w:szCs w:val="20"/>
                <w:lang w:val="es-ES" w:eastAsia="en-GB"/>
              </w:rPr>
            </w:pPr>
          </w:p>
        </w:tc>
        <w:tc>
          <w:tcPr>
            <w:tcW w:w="1417" w:type="dxa"/>
            <w:vMerge/>
            <w:tcBorders>
              <w:top w:val="nil"/>
              <w:left w:val="nil"/>
              <w:bottom w:val="nil"/>
              <w:right w:val="nil"/>
            </w:tcBorders>
            <w:vAlign w:val="center"/>
            <w:hideMark/>
          </w:tcPr>
          <w:p w14:paraId="6F9C3DD4" w14:textId="77777777" w:rsidR="00E67F10" w:rsidRPr="00E723E1" w:rsidRDefault="00E67F10" w:rsidP="00E67F10">
            <w:pPr>
              <w:ind w:left="0" w:firstLine="0"/>
              <w:rPr>
                <w:rFonts w:eastAsia="Times New Roman" w:cs="Calibri"/>
                <w:b/>
                <w:bCs/>
                <w:noProof/>
                <w:sz w:val="20"/>
                <w:szCs w:val="20"/>
                <w:lang w:val="es-ES" w:eastAsia="en-GB"/>
              </w:rPr>
            </w:pPr>
          </w:p>
        </w:tc>
        <w:tc>
          <w:tcPr>
            <w:tcW w:w="1276" w:type="dxa"/>
            <w:vMerge/>
            <w:tcBorders>
              <w:top w:val="nil"/>
              <w:left w:val="single" w:sz="4" w:space="0" w:color="auto"/>
              <w:bottom w:val="nil"/>
              <w:right w:val="single" w:sz="4" w:space="0" w:color="auto"/>
            </w:tcBorders>
            <w:vAlign w:val="center"/>
            <w:hideMark/>
          </w:tcPr>
          <w:p w14:paraId="57FCDB43" w14:textId="77777777" w:rsidR="00E67F10" w:rsidRPr="00E723E1" w:rsidRDefault="00E67F10" w:rsidP="00E67F10">
            <w:pPr>
              <w:ind w:left="0" w:firstLine="0"/>
              <w:rPr>
                <w:rFonts w:eastAsia="Times New Roman" w:cs="Calibri"/>
                <w:b/>
                <w:bCs/>
                <w:noProof/>
                <w:sz w:val="20"/>
                <w:szCs w:val="20"/>
                <w:lang w:val="es-ES" w:eastAsia="en-GB"/>
              </w:rPr>
            </w:pPr>
          </w:p>
        </w:tc>
        <w:tc>
          <w:tcPr>
            <w:tcW w:w="1276" w:type="dxa"/>
            <w:vMerge/>
            <w:tcBorders>
              <w:top w:val="nil"/>
              <w:left w:val="nil"/>
              <w:bottom w:val="nil"/>
              <w:right w:val="nil"/>
            </w:tcBorders>
            <w:vAlign w:val="center"/>
            <w:hideMark/>
          </w:tcPr>
          <w:p w14:paraId="1A746CE3" w14:textId="77777777" w:rsidR="00E67F10" w:rsidRPr="00E723E1" w:rsidRDefault="00E67F10" w:rsidP="00E67F10">
            <w:pPr>
              <w:ind w:left="0" w:firstLine="0"/>
              <w:rPr>
                <w:rFonts w:eastAsia="Times New Roman" w:cs="Calibri"/>
                <w:b/>
                <w:bCs/>
                <w:noProof/>
                <w:sz w:val="20"/>
                <w:szCs w:val="20"/>
                <w:lang w:val="es-ES" w:eastAsia="en-GB"/>
              </w:rPr>
            </w:pPr>
          </w:p>
        </w:tc>
        <w:tc>
          <w:tcPr>
            <w:tcW w:w="1417" w:type="dxa"/>
            <w:tcBorders>
              <w:top w:val="nil"/>
              <w:left w:val="single" w:sz="4" w:space="0" w:color="auto"/>
              <w:bottom w:val="nil"/>
              <w:right w:val="single" w:sz="4" w:space="0" w:color="auto"/>
            </w:tcBorders>
            <w:shd w:val="clear" w:color="auto" w:fill="auto"/>
            <w:noWrap/>
            <w:vAlign w:val="center"/>
            <w:hideMark/>
          </w:tcPr>
          <w:p w14:paraId="7F82083E" w14:textId="77777777" w:rsidR="00E67F10" w:rsidRPr="00E723E1" w:rsidRDefault="00E67F10" w:rsidP="00E67F10">
            <w:pPr>
              <w:ind w:left="0" w:firstLine="0"/>
              <w:rPr>
                <w:rFonts w:eastAsia="Times New Roman" w:cs="Calibri"/>
                <w:b/>
                <w:bCs/>
                <w:noProof/>
                <w:sz w:val="20"/>
                <w:szCs w:val="20"/>
                <w:lang w:val="es-ES" w:eastAsia="en-GB"/>
              </w:rPr>
            </w:pPr>
            <w:r w:rsidRPr="00E723E1">
              <w:rPr>
                <w:rFonts w:eastAsia="Times New Roman" w:cs="Calibri"/>
                <w:b/>
                <w:bCs/>
                <w:noProof/>
                <w:sz w:val="20"/>
                <w:szCs w:val="20"/>
                <w:lang w:val="es-ES" w:eastAsia="en-GB"/>
              </w:rPr>
              <w:t> </w:t>
            </w:r>
          </w:p>
        </w:tc>
        <w:tc>
          <w:tcPr>
            <w:tcW w:w="1276" w:type="dxa"/>
            <w:vMerge/>
            <w:tcBorders>
              <w:top w:val="nil"/>
              <w:left w:val="single" w:sz="4" w:space="0" w:color="auto"/>
              <w:bottom w:val="nil"/>
              <w:right w:val="single" w:sz="4" w:space="0" w:color="auto"/>
            </w:tcBorders>
            <w:vAlign w:val="center"/>
            <w:hideMark/>
          </w:tcPr>
          <w:p w14:paraId="3A83332D" w14:textId="77777777" w:rsidR="00E67F10" w:rsidRPr="00E723E1" w:rsidRDefault="00E67F10" w:rsidP="00E67F10">
            <w:pPr>
              <w:ind w:left="0" w:firstLine="0"/>
              <w:rPr>
                <w:rFonts w:eastAsia="Times New Roman" w:cs="Calibri"/>
                <w:b/>
                <w:bCs/>
                <w:noProof/>
                <w:sz w:val="20"/>
                <w:szCs w:val="20"/>
                <w:lang w:val="es-ES" w:eastAsia="en-GB"/>
              </w:rPr>
            </w:pPr>
          </w:p>
        </w:tc>
      </w:tr>
      <w:tr w:rsidR="00E67F10" w:rsidRPr="00E723E1" w14:paraId="331373C6" w14:textId="77777777" w:rsidTr="00CB5635">
        <w:trPr>
          <w:trHeight w:val="255"/>
        </w:trPr>
        <w:tc>
          <w:tcPr>
            <w:tcW w:w="3258" w:type="dxa"/>
            <w:tcBorders>
              <w:top w:val="single" w:sz="4" w:space="0" w:color="auto"/>
              <w:left w:val="single" w:sz="4" w:space="0" w:color="auto"/>
              <w:bottom w:val="single" w:sz="4" w:space="0" w:color="auto"/>
              <w:right w:val="nil"/>
            </w:tcBorders>
            <w:shd w:val="clear" w:color="auto" w:fill="auto"/>
            <w:noWrap/>
            <w:hideMark/>
          </w:tcPr>
          <w:p w14:paraId="33BA0E21" w14:textId="32DC05CA" w:rsidR="00E67F10" w:rsidRPr="00E723E1" w:rsidRDefault="00E67F10" w:rsidP="00E67F10">
            <w:pPr>
              <w:ind w:left="0" w:firstLine="0"/>
              <w:rPr>
                <w:rFonts w:eastAsia="Times New Roman" w:cs="Calibri"/>
                <w:noProof/>
                <w:sz w:val="20"/>
                <w:szCs w:val="20"/>
                <w:lang w:val="es-ES" w:eastAsia="en-GB"/>
              </w:rPr>
            </w:pPr>
            <w:r w:rsidRPr="00E723E1">
              <w:rPr>
                <w:rFonts w:asciiTheme="minorHAnsi" w:eastAsiaTheme="minorHAnsi" w:hAnsiTheme="minorHAnsi" w:cstheme="minorHAnsi"/>
                <w:noProof/>
                <w:color w:val="000000"/>
                <w:sz w:val="20"/>
                <w:szCs w:val="20"/>
                <w:lang w:val="es-ES"/>
              </w:rPr>
              <w:t>Contribuciones de las Partes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CD458" w14:textId="05FA9FD2"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3</w:t>
            </w:r>
            <w:r w:rsidR="004B6B6E">
              <w:rPr>
                <w:rFonts w:eastAsia="Times New Roman" w:cs="Calibri"/>
                <w:noProof/>
                <w:sz w:val="20"/>
                <w:szCs w:val="20"/>
                <w:lang w:val="es-ES" w:eastAsia="en-GB"/>
              </w:rPr>
              <w:t xml:space="preserve"> </w:t>
            </w:r>
            <w:r w:rsidRPr="00E723E1">
              <w:rPr>
                <w:rFonts w:eastAsia="Times New Roman" w:cs="Calibri"/>
                <w:noProof/>
                <w:sz w:val="20"/>
                <w:szCs w:val="20"/>
                <w:lang w:val="es-ES" w:eastAsia="en-GB"/>
              </w:rPr>
              <w:t>779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E2AEAF6"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F84EC02"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95EE052"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7D06A3B"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1881500" w14:textId="63C73B1B"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3</w:t>
            </w:r>
            <w:r w:rsidR="004B6B6E">
              <w:rPr>
                <w:rFonts w:eastAsia="Times New Roman" w:cs="Calibri"/>
                <w:noProof/>
                <w:sz w:val="20"/>
                <w:szCs w:val="20"/>
                <w:lang w:val="es-ES" w:eastAsia="en-GB"/>
              </w:rPr>
              <w:t xml:space="preserve"> </w:t>
            </w:r>
            <w:r w:rsidRPr="00E723E1">
              <w:rPr>
                <w:rFonts w:eastAsia="Times New Roman" w:cs="Calibri"/>
                <w:noProof/>
                <w:sz w:val="20"/>
                <w:szCs w:val="20"/>
                <w:lang w:val="es-ES" w:eastAsia="en-GB"/>
              </w:rPr>
              <w:t>779</w:t>
            </w:r>
          </w:p>
        </w:tc>
        <w:tc>
          <w:tcPr>
            <w:tcW w:w="1276" w:type="dxa"/>
            <w:tcBorders>
              <w:top w:val="single" w:sz="4" w:space="0" w:color="auto"/>
              <w:left w:val="nil"/>
              <w:bottom w:val="single" w:sz="4" w:space="0" w:color="auto"/>
              <w:right w:val="nil"/>
            </w:tcBorders>
            <w:shd w:val="clear" w:color="auto" w:fill="auto"/>
            <w:noWrap/>
            <w:vAlign w:val="center"/>
            <w:hideMark/>
          </w:tcPr>
          <w:p w14:paraId="3C9A8A5A" w14:textId="667F67C0"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3</w:t>
            </w:r>
            <w:r w:rsidR="004B6B6E">
              <w:rPr>
                <w:rFonts w:eastAsia="Times New Roman" w:cs="Calibri"/>
                <w:noProof/>
                <w:sz w:val="20"/>
                <w:szCs w:val="20"/>
                <w:lang w:val="es-ES" w:eastAsia="en-GB"/>
              </w:rPr>
              <w:t xml:space="preserve"> </w:t>
            </w:r>
            <w:r w:rsidRPr="00E723E1">
              <w:rPr>
                <w:rFonts w:eastAsia="Times New Roman" w:cs="Calibri"/>
                <w:noProof/>
                <w:sz w:val="20"/>
                <w:szCs w:val="20"/>
                <w:lang w:val="es-ES" w:eastAsia="en-GB"/>
              </w:rPr>
              <w:t>779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A6103" w14:textId="0FC64816"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C285A0C"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r>
      <w:tr w:rsidR="00E67F10" w:rsidRPr="00E723E1" w14:paraId="6679697B" w14:textId="77777777" w:rsidTr="00CB5635">
        <w:trPr>
          <w:trHeight w:val="255"/>
        </w:trPr>
        <w:tc>
          <w:tcPr>
            <w:tcW w:w="3258" w:type="dxa"/>
            <w:tcBorders>
              <w:top w:val="nil"/>
              <w:left w:val="single" w:sz="4" w:space="0" w:color="auto"/>
              <w:bottom w:val="nil"/>
              <w:right w:val="nil"/>
            </w:tcBorders>
            <w:shd w:val="clear" w:color="auto" w:fill="auto"/>
            <w:noWrap/>
            <w:hideMark/>
          </w:tcPr>
          <w:p w14:paraId="0C4D3EB0" w14:textId="779FDC57" w:rsidR="00E67F10" w:rsidRPr="00E723E1" w:rsidRDefault="00E67F10" w:rsidP="00E67F10">
            <w:pPr>
              <w:ind w:left="0" w:firstLine="0"/>
              <w:rPr>
                <w:rFonts w:eastAsia="Times New Roman" w:cs="Calibri"/>
                <w:noProof/>
                <w:sz w:val="20"/>
                <w:szCs w:val="20"/>
                <w:lang w:val="es-ES" w:eastAsia="en-GB"/>
              </w:rPr>
            </w:pPr>
            <w:r w:rsidRPr="00E723E1">
              <w:rPr>
                <w:rFonts w:asciiTheme="minorHAnsi" w:eastAsiaTheme="minorHAnsi" w:hAnsiTheme="minorHAnsi" w:cstheme="minorHAnsi"/>
                <w:noProof/>
                <w:color w:val="000000"/>
                <w:sz w:val="20"/>
                <w:szCs w:val="20"/>
                <w:lang w:val="es-ES"/>
              </w:rPr>
              <w:t>Contribuciones voluntarias</w:t>
            </w:r>
          </w:p>
        </w:tc>
        <w:tc>
          <w:tcPr>
            <w:tcW w:w="1417" w:type="dxa"/>
            <w:tcBorders>
              <w:top w:val="nil"/>
              <w:left w:val="single" w:sz="4" w:space="0" w:color="auto"/>
              <w:bottom w:val="nil"/>
              <w:right w:val="single" w:sz="4" w:space="0" w:color="auto"/>
            </w:tcBorders>
            <w:shd w:val="clear" w:color="auto" w:fill="auto"/>
            <w:noWrap/>
            <w:vAlign w:val="center"/>
            <w:hideMark/>
          </w:tcPr>
          <w:p w14:paraId="0A6A8B8E" w14:textId="09EC0926"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w:t>
            </w:r>
            <w:r w:rsidR="004B6B6E">
              <w:rPr>
                <w:rFonts w:eastAsia="Times New Roman" w:cs="Calibri"/>
                <w:noProof/>
                <w:sz w:val="20"/>
                <w:szCs w:val="20"/>
                <w:lang w:val="es-ES" w:eastAsia="en-GB"/>
              </w:rPr>
              <w:t xml:space="preserve"> </w:t>
            </w:r>
            <w:r w:rsidRPr="00E723E1">
              <w:rPr>
                <w:rFonts w:eastAsia="Times New Roman" w:cs="Calibri"/>
                <w:noProof/>
                <w:sz w:val="20"/>
                <w:szCs w:val="20"/>
                <w:lang w:val="es-ES" w:eastAsia="en-GB"/>
              </w:rPr>
              <w:t>065</w:t>
            </w:r>
          </w:p>
        </w:tc>
        <w:tc>
          <w:tcPr>
            <w:tcW w:w="1276" w:type="dxa"/>
            <w:tcBorders>
              <w:top w:val="nil"/>
              <w:left w:val="nil"/>
              <w:bottom w:val="nil"/>
              <w:right w:val="single" w:sz="4" w:space="0" w:color="auto"/>
            </w:tcBorders>
            <w:shd w:val="clear" w:color="auto" w:fill="auto"/>
            <w:noWrap/>
            <w:vAlign w:val="center"/>
            <w:hideMark/>
          </w:tcPr>
          <w:p w14:paraId="3478811B"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nil"/>
              <w:left w:val="nil"/>
              <w:bottom w:val="nil"/>
              <w:right w:val="single" w:sz="4" w:space="0" w:color="auto"/>
            </w:tcBorders>
            <w:shd w:val="clear" w:color="auto" w:fill="auto"/>
            <w:noWrap/>
            <w:vAlign w:val="center"/>
            <w:hideMark/>
          </w:tcPr>
          <w:p w14:paraId="0DFDBD55"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nil"/>
              <w:right w:val="single" w:sz="4" w:space="0" w:color="auto"/>
            </w:tcBorders>
            <w:shd w:val="clear" w:color="auto" w:fill="auto"/>
            <w:noWrap/>
            <w:vAlign w:val="center"/>
            <w:hideMark/>
          </w:tcPr>
          <w:p w14:paraId="5A551528"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nil"/>
              <w:left w:val="nil"/>
              <w:bottom w:val="nil"/>
              <w:right w:val="single" w:sz="4" w:space="0" w:color="auto"/>
            </w:tcBorders>
            <w:shd w:val="clear" w:color="auto" w:fill="auto"/>
            <w:noWrap/>
            <w:vAlign w:val="center"/>
            <w:hideMark/>
          </w:tcPr>
          <w:p w14:paraId="0D1990FA"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nil"/>
              <w:right w:val="single" w:sz="4" w:space="0" w:color="auto"/>
            </w:tcBorders>
            <w:shd w:val="clear" w:color="auto" w:fill="auto"/>
            <w:noWrap/>
            <w:vAlign w:val="center"/>
            <w:hideMark/>
          </w:tcPr>
          <w:p w14:paraId="28DB7A73" w14:textId="72CFFA64"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w:t>
            </w:r>
            <w:r w:rsidR="004B6B6E">
              <w:rPr>
                <w:rFonts w:eastAsia="Times New Roman" w:cs="Calibri"/>
                <w:noProof/>
                <w:sz w:val="20"/>
                <w:szCs w:val="20"/>
                <w:lang w:val="es-ES" w:eastAsia="en-GB"/>
              </w:rPr>
              <w:t xml:space="preserve"> </w:t>
            </w:r>
            <w:r w:rsidRPr="00E723E1">
              <w:rPr>
                <w:rFonts w:eastAsia="Times New Roman" w:cs="Calibri"/>
                <w:noProof/>
                <w:sz w:val="20"/>
                <w:szCs w:val="20"/>
                <w:lang w:val="es-ES" w:eastAsia="en-GB"/>
              </w:rPr>
              <w:t>065</w:t>
            </w:r>
          </w:p>
        </w:tc>
        <w:tc>
          <w:tcPr>
            <w:tcW w:w="1276" w:type="dxa"/>
            <w:tcBorders>
              <w:top w:val="nil"/>
              <w:left w:val="nil"/>
              <w:bottom w:val="nil"/>
              <w:right w:val="nil"/>
            </w:tcBorders>
            <w:shd w:val="clear" w:color="auto" w:fill="auto"/>
            <w:noWrap/>
            <w:vAlign w:val="center"/>
            <w:hideMark/>
          </w:tcPr>
          <w:p w14:paraId="06F54707" w14:textId="5001A6A3"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w:t>
            </w:r>
            <w:r w:rsidR="004B6B6E">
              <w:rPr>
                <w:rFonts w:eastAsia="Times New Roman" w:cs="Calibri"/>
                <w:noProof/>
                <w:sz w:val="20"/>
                <w:szCs w:val="20"/>
                <w:lang w:val="es-ES" w:eastAsia="en-GB"/>
              </w:rPr>
              <w:t xml:space="preserve"> </w:t>
            </w:r>
            <w:r w:rsidRPr="00E723E1">
              <w:rPr>
                <w:rFonts w:eastAsia="Times New Roman" w:cs="Calibri"/>
                <w:noProof/>
                <w:sz w:val="20"/>
                <w:szCs w:val="20"/>
                <w:lang w:val="es-ES" w:eastAsia="en-GB"/>
              </w:rPr>
              <w:t>065</w:t>
            </w:r>
          </w:p>
        </w:tc>
        <w:tc>
          <w:tcPr>
            <w:tcW w:w="1417" w:type="dxa"/>
            <w:tcBorders>
              <w:top w:val="nil"/>
              <w:left w:val="single" w:sz="4" w:space="0" w:color="auto"/>
              <w:bottom w:val="nil"/>
              <w:right w:val="single" w:sz="4" w:space="0" w:color="auto"/>
            </w:tcBorders>
            <w:shd w:val="clear" w:color="auto" w:fill="auto"/>
            <w:noWrap/>
            <w:vAlign w:val="center"/>
            <w:hideMark/>
          </w:tcPr>
          <w:p w14:paraId="0AB28255" w14:textId="44C82645"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0 </w:t>
            </w:r>
          </w:p>
        </w:tc>
        <w:tc>
          <w:tcPr>
            <w:tcW w:w="1276" w:type="dxa"/>
            <w:tcBorders>
              <w:top w:val="nil"/>
              <w:left w:val="nil"/>
              <w:bottom w:val="single" w:sz="4" w:space="0" w:color="auto"/>
              <w:right w:val="single" w:sz="4" w:space="0" w:color="auto"/>
            </w:tcBorders>
            <w:shd w:val="clear" w:color="auto" w:fill="auto"/>
            <w:noWrap/>
            <w:vAlign w:val="center"/>
            <w:hideMark/>
          </w:tcPr>
          <w:p w14:paraId="7D3E9F7D"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r>
      <w:tr w:rsidR="00E67F10" w:rsidRPr="00E723E1" w14:paraId="1F63F6AD" w14:textId="77777777" w:rsidTr="00CB5635">
        <w:trPr>
          <w:trHeight w:val="300"/>
        </w:trPr>
        <w:tc>
          <w:tcPr>
            <w:tcW w:w="3258" w:type="dxa"/>
            <w:tcBorders>
              <w:top w:val="single" w:sz="4" w:space="0" w:color="auto"/>
              <w:left w:val="single" w:sz="4" w:space="0" w:color="auto"/>
              <w:bottom w:val="single" w:sz="4" w:space="0" w:color="auto"/>
              <w:right w:val="nil"/>
            </w:tcBorders>
            <w:shd w:val="clear" w:color="auto" w:fill="auto"/>
            <w:noWrap/>
            <w:hideMark/>
          </w:tcPr>
          <w:p w14:paraId="5AD08340" w14:textId="63EFFA16" w:rsidR="00E67F10" w:rsidRPr="00E723E1" w:rsidRDefault="00E67F10" w:rsidP="00E67F10">
            <w:pPr>
              <w:ind w:left="0" w:firstLine="0"/>
              <w:rPr>
                <w:rFonts w:eastAsia="Times New Roman" w:cs="Calibri"/>
                <w:noProof/>
                <w:sz w:val="20"/>
                <w:szCs w:val="20"/>
                <w:lang w:val="es-ES" w:eastAsia="en-GB"/>
              </w:rPr>
            </w:pPr>
            <w:r w:rsidRPr="00E723E1">
              <w:rPr>
                <w:rFonts w:asciiTheme="minorHAnsi" w:eastAsiaTheme="minorHAnsi" w:hAnsiTheme="minorHAnsi" w:cstheme="minorHAnsi"/>
                <w:noProof/>
                <w:color w:val="000000"/>
                <w:sz w:val="20"/>
                <w:szCs w:val="20"/>
                <w:lang w:val="es-ES"/>
              </w:rPr>
              <w:t>Impuesto sobre la renta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819DA"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5146D61"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BB4EA05"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6829C1B"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BAB8CEC"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F4A471F"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225</w:t>
            </w:r>
          </w:p>
        </w:tc>
        <w:tc>
          <w:tcPr>
            <w:tcW w:w="1276" w:type="dxa"/>
            <w:tcBorders>
              <w:top w:val="single" w:sz="4" w:space="0" w:color="auto"/>
              <w:left w:val="nil"/>
              <w:bottom w:val="single" w:sz="4" w:space="0" w:color="auto"/>
              <w:right w:val="nil"/>
            </w:tcBorders>
            <w:shd w:val="clear" w:color="auto" w:fill="auto"/>
            <w:noWrap/>
            <w:vAlign w:val="center"/>
            <w:hideMark/>
          </w:tcPr>
          <w:p w14:paraId="5F97672C"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DE703" w14:textId="4D70FA56"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0 </w:t>
            </w:r>
          </w:p>
        </w:tc>
        <w:tc>
          <w:tcPr>
            <w:tcW w:w="1276" w:type="dxa"/>
            <w:tcBorders>
              <w:top w:val="nil"/>
              <w:left w:val="nil"/>
              <w:bottom w:val="single" w:sz="4" w:space="0" w:color="auto"/>
              <w:right w:val="single" w:sz="4" w:space="0" w:color="auto"/>
            </w:tcBorders>
            <w:shd w:val="clear" w:color="auto" w:fill="auto"/>
            <w:noWrap/>
            <w:vAlign w:val="center"/>
            <w:hideMark/>
          </w:tcPr>
          <w:p w14:paraId="03744ABD"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w:t>
            </w:r>
          </w:p>
        </w:tc>
      </w:tr>
      <w:tr w:rsidR="00E67F10" w:rsidRPr="00E723E1" w14:paraId="69F6A91D" w14:textId="77777777" w:rsidTr="00CB5635">
        <w:trPr>
          <w:trHeight w:val="255"/>
        </w:trPr>
        <w:tc>
          <w:tcPr>
            <w:tcW w:w="3258" w:type="dxa"/>
            <w:tcBorders>
              <w:top w:val="nil"/>
              <w:left w:val="single" w:sz="4" w:space="0" w:color="auto"/>
              <w:bottom w:val="nil"/>
              <w:right w:val="nil"/>
            </w:tcBorders>
            <w:shd w:val="clear" w:color="auto" w:fill="auto"/>
            <w:noWrap/>
            <w:hideMark/>
          </w:tcPr>
          <w:p w14:paraId="58FAFF4C" w14:textId="01907502" w:rsidR="00E67F10" w:rsidRPr="00E723E1" w:rsidRDefault="00E67F10" w:rsidP="00E67F10">
            <w:pPr>
              <w:ind w:left="0" w:firstLine="0"/>
              <w:rPr>
                <w:rFonts w:eastAsia="Times New Roman" w:cs="Calibri"/>
                <w:noProof/>
                <w:sz w:val="20"/>
                <w:szCs w:val="20"/>
                <w:lang w:val="es-ES" w:eastAsia="en-GB"/>
              </w:rPr>
            </w:pPr>
            <w:r w:rsidRPr="00E723E1">
              <w:rPr>
                <w:rFonts w:asciiTheme="minorHAnsi" w:hAnsiTheme="minorHAnsi"/>
                <w:bCs/>
                <w:noProof/>
                <w:sz w:val="20"/>
                <w:szCs w:val="20"/>
                <w:lang w:val="es-ES"/>
              </w:rPr>
              <w:t xml:space="preserve">Otros </w:t>
            </w:r>
            <w:r w:rsidRPr="00E723E1">
              <w:rPr>
                <w:rFonts w:asciiTheme="minorHAnsi" w:hAnsiTheme="minorHAnsi"/>
                <w:bCs/>
                <w:noProof/>
                <w:color w:val="000000" w:themeColor="text1"/>
                <w:sz w:val="20"/>
                <w:szCs w:val="20"/>
                <w:lang w:val="es-ES"/>
              </w:rPr>
              <w:t xml:space="preserve">ingresos </w:t>
            </w:r>
            <w:r w:rsidRPr="00E723E1">
              <w:rPr>
                <w:rFonts w:asciiTheme="minorHAnsi" w:hAnsiTheme="minorHAnsi"/>
                <w:bCs/>
                <w:noProof/>
                <w:sz w:val="20"/>
                <w:szCs w:val="20"/>
                <w:lang w:val="es-ES"/>
              </w:rPr>
              <w:t>(incluyendo ingresos por intereses)</w:t>
            </w:r>
          </w:p>
        </w:tc>
        <w:tc>
          <w:tcPr>
            <w:tcW w:w="1417" w:type="dxa"/>
            <w:tcBorders>
              <w:top w:val="nil"/>
              <w:left w:val="single" w:sz="4" w:space="0" w:color="auto"/>
              <w:bottom w:val="nil"/>
              <w:right w:val="single" w:sz="4" w:space="0" w:color="auto"/>
            </w:tcBorders>
            <w:shd w:val="clear" w:color="auto" w:fill="auto"/>
            <w:noWrap/>
            <w:vAlign w:val="center"/>
            <w:hideMark/>
          </w:tcPr>
          <w:p w14:paraId="3020E625"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12</w:t>
            </w:r>
          </w:p>
        </w:tc>
        <w:tc>
          <w:tcPr>
            <w:tcW w:w="1276" w:type="dxa"/>
            <w:tcBorders>
              <w:top w:val="nil"/>
              <w:left w:val="nil"/>
              <w:bottom w:val="nil"/>
              <w:right w:val="single" w:sz="4" w:space="0" w:color="auto"/>
            </w:tcBorders>
            <w:shd w:val="clear" w:color="auto" w:fill="auto"/>
            <w:noWrap/>
            <w:vAlign w:val="center"/>
            <w:hideMark/>
          </w:tcPr>
          <w:p w14:paraId="7929E39E"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nil"/>
              <w:left w:val="nil"/>
              <w:bottom w:val="nil"/>
              <w:right w:val="single" w:sz="4" w:space="0" w:color="auto"/>
            </w:tcBorders>
            <w:shd w:val="clear" w:color="auto" w:fill="auto"/>
            <w:noWrap/>
            <w:vAlign w:val="center"/>
            <w:hideMark/>
          </w:tcPr>
          <w:p w14:paraId="570E1DDB"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nil"/>
              <w:right w:val="single" w:sz="4" w:space="0" w:color="auto"/>
            </w:tcBorders>
            <w:shd w:val="clear" w:color="auto" w:fill="auto"/>
            <w:noWrap/>
            <w:vAlign w:val="center"/>
            <w:hideMark/>
          </w:tcPr>
          <w:p w14:paraId="539C4555"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nil"/>
              <w:left w:val="nil"/>
              <w:bottom w:val="nil"/>
              <w:right w:val="single" w:sz="4" w:space="0" w:color="auto"/>
            </w:tcBorders>
            <w:shd w:val="clear" w:color="auto" w:fill="auto"/>
            <w:noWrap/>
            <w:vAlign w:val="center"/>
            <w:hideMark/>
          </w:tcPr>
          <w:p w14:paraId="2D1CA180"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nil"/>
              <w:right w:val="single" w:sz="4" w:space="0" w:color="auto"/>
            </w:tcBorders>
            <w:shd w:val="clear" w:color="auto" w:fill="auto"/>
            <w:noWrap/>
            <w:vAlign w:val="center"/>
            <w:hideMark/>
          </w:tcPr>
          <w:p w14:paraId="3E6C7A40"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12</w:t>
            </w:r>
          </w:p>
        </w:tc>
        <w:tc>
          <w:tcPr>
            <w:tcW w:w="1276" w:type="dxa"/>
            <w:tcBorders>
              <w:top w:val="nil"/>
              <w:left w:val="nil"/>
              <w:bottom w:val="nil"/>
              <w:right w:val="nil"/>
            </w:tcBorders>
            <w:shd w:val="clear" w:color="auto" w:fill="auto"/>
            <w:noWrap/>
            <w:vAlign w:val="center"/>
            <w:hideMark/>
          </w:tcPr>
          <w:p w14:paraId="629ABF6A"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nil"/>
              <w:left w:val="single" w:sz="4" w:space="0" w:color="auto"/>
              <w:bottom w:val="nil"/>
              <w:right w:val="single" w:sz="4" w:space="0" w:color="auto"/>
            </w:tcBorders>
            <w:shd w:val="clear" w:color="auto" w:fill="auto"/>
            <w:noWrap/>
            <w:vAlign w:val="center"/>
            <w:hideMark/>
          </w:tcPr>
          <w:p w14:paraId="65AE415D" w14:textId="024083D9"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0 </w:t>
            </w:r>
          </w:p>
        </w:tc>
        <w:tc>
          <w:tcPr>
            <w:tcW w:w="1276" w:type="dxa"/>
            <w:tcBorders>
              <w:top w:val="nil"/>
              <w:left w:val="nil"/>
              <w:bottom w:val="nil"/>
              <w:right w:val="single" w:sz="4" w:space="0" w:color="auto"/>
            </w:tcBorders>
            <w:shd w:val="clear" w:color="auto" w:fill="auto"/>
            <w:noWrap/>
            <w:vAlign w:val="center"/>
            <w:hideMark/>
          </w:tcPr>
          <w:p w14:paraId="690E704A"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12</w:t>
            </w:r>
          </w:p>
        </w:tc>
      </w:tr>
      <w:tr w:rsidR="00E67F10" w:rsidRPr="00E723E1" w14:paraId="5234A3FE" w14:textId="77777777" w:rsidTr="00CB5635">
        <w:trPr>
          <w:trHeight w:val="462"/>
        </w:trPr>
        <w:tc>
          <w:tcPr>
            <w:tcW w:w="3258" w:type="dxa"/>
            <w:tcBorders>
              <w:top w:val="single" w:sz="4" w:space="0" w:color="auto"/>
              <w:left w:val="single" w:sz="4" w:space="0" w:color="auto"/>
              <w:bottom w:val="single" w:sz="4" w:space="0" w:color="auto"/>
              <w:right w:val="nil"/>
            </w:tcBorders>
            <w:shd w:val="clear" w:color="000000" w:fill="D6E3BC"/>
            <w:noWrap/>
            <w:hideMark/>
          </w:tcPr>
          <w:p w14:paraId="36C29C65" w14:textId="403A90D9" w:rsidR="00E67F10" w:rsidRPr="00E723E1" w:rsidRDefault="00E67F10" w:rsidP="00E67F10">
            <w:pPr>
              <w:ind w:left="0" w:firstLine="0"/>
              <w:rPr>
                <w:rFonts w:eastAsia="Times New Roman" w:cs="Calibri"/>
                <w:b/>
                <w:bCs/>
                <w:noProof/>
                <w:sz w:val="20"/>
                <w:szCs w:val="20"/>
                <w:lang w:val="es-ES" w:eastAsia="en-GB"/>
              </w:rPr>
            </w:pPr>
            <w:r w:rsidRPr="00E723E1">
              <w:rPr>
                <w:rFonts w:asciiTheme="minorHAnsi" w:eastAsiaTheme="minorHAnsi" w:hAnsiTheme="minorHAnsi" w:cstheme="minorHAnsi"/>
                <w:b/>
                <w:bCs/>
                <w:noProof/>
                <w:color w:val="000000"/>
                <w:sz w:val="20"/>
                <w:szCs w:val="20"/>
                <w:lang w:val="es-ES"/>
              </w:rPr>
              <w:t>TOTAL, INGRESOS</w:t>
            </w:r>
          </w:p>
        </w:tc>
        <w:tc>
          <w:tcPr>
            <w:tcW w:w="1417" w:type="dxa"/>
            <w:tcBorders>
              <w:top w:val="single" w:sz="4" w:space="0" w:color="auto"/>
              <w:left w:val="single" w:sz="4" w:space="0" w:color="auto"/>
              <w:bottom w:val="single" w:sz="4" w:space="0" w:color="auto"/>
              <w:right w:val="single" w:sz="4" w:space="0" w:color="auto"/>
            </w:tcBorders>
            <w:shd w:val="clear" w:color="000000" w:fill="D6E3BC"/>
            <w:noWrap/>
            <w:vAlign w:val="center"/>
            <w:hideMark/>
          </w:tcPr>
          <w:p w14:paraId="62F6A6E1" w14:textId="66CB7FEA" w:rsidR="00E67F10" w:rsidRPr="00E723E1" w:rsidRDefault="00E67F10" w:rsidP="00E67F10">
            <w:pPr>
              <w:ind w:left="0" w:firstLine="0"/>
              <w:jc w:val="right"/>
              <w:rPr>
                <w:rFonts w:eastAsia="Times New Roman" w:cs="Calibri"/>
                <w:b/>
                <w:bCs/>
                <w:noProof/>
                <w:sz w:val="20"/>
                <w:szCs w:val="20"/>
                <w:lang w:val="es-ES" w:eastAsia="en-GB"/>
              </w:rPr>
            </w:pPr>
            <w:r w:rsidRPr="00E723E1">
              <w:rPr>
                <w:rFonts w:eastAsia="Times New Roman" w:cs="Calibri"/>
                <w:b/>
                <w:bCs/>
                <w:noProof/>
                <w:sz w:val="20"/>
                <w:szCs w:val="20"/>
                <w:lang w:val="es-ES" w:eastAsia="en-GB"/>
              </w:rPr>
              <w:t>5</w:t>
            </w:r>
            <w:r w:rsidR="004B6B6E">
              <w:rPr>
                <w:rFonts w:eastAsia="Times New Roman" w:cs="Calibri"/>
                <w:b/>
                <w:bCs/>
                <w:noProof/>
                <w:sz w:val="20"/>
                <w:szCs w:val="20"/>
                <w:lang w:val="es-ES" w:eastAsia="en-GB"/>
              </w:rPr>
              <w:t xml:space="preserve"> </w:t>
            </w:r>
            <w:r w:rsidRPr="00E723E1">
              <w:rPr>
                <w:rFonts w:eastAsia="Times New Roman" w:cs="Calibri"/>
                <w:b/>
                <w:bCs/>
                <w:noProof/>
                <w:sz w:val="20"/>
                <w:szCs w:val="20"/>
                <w:lang w:val="es-ES" w:eastAsia="en-GB"/>
              </w:rPr>
              <w:t>081</w:t>
            </w:r>
          </w:p>
        </w:tc>
        <w:tc>
          <w:tcPr>
            <w:tcW w:w="1276" w:type="dxa"/>
            <w:tcBorders>
              <w:top w:val="single" w:sz="4" w:space="0" w:color="auto"/>
              <w:left w:val="nil"/>
              <w:bottom w:val="single" w:sz="4" w:space="0" w:color="auto"/>
              <w:right w:val="single" w:sz="4" w:space="0" w:color="auto"/>
            </w:tcBorders>
            <w:shd w:val="clear" w:color="000000" w:fill="D6E3BC"/>
            <w:noWrap/>
            <w:vAlign w:val="center"/>
            <w:hideMark/>
          </w:tcPr>
          <w:p w14:paraId="2B6CFDED" w14:textId="77777777" w:rsidR="00E67F10" w:rsidRPr="00E723E1" w:rsidRDefault="00E67F10" w:rsidP="00E67F10">
            <w:pPr>
              <w:ind w:left="0" w:firstLine="0"/>
              <w:jc w:val="right"/>
              <w:rPr>
                <w:rFonts w:eastAsia="Times New Roman" w:cs="Calibri"/>
                <w:b/>
                <w:bCs/>
                <w:noProof/>
                <w:sz w:val="20"/>
                <w:szCs w:val="20"/>
                <w:lang w:val="es-ES" w:eastAsia="en-GB"/>
              </w:rPr>
            </w:pPr>
            <w:r w:rsidRPr="00E723E1">
              <w:rPr>
                <w:rFonts w:eastAsia="Times New Roman" w:cs="Calibri"/>
                <w:b/>
                <w:bCs/>
                <w:noProof/>
                <w:sz w:val="20"/>
                <w:szCs w:val="20"/>
                <w:lang w:val="es-ES" w:eastAsia="en-GB"/>
              </w:rPr>
              <w:t>0</w:t>
            </w:r>
          </w:p>
        </w:tc>
        <w:tc>
          <w:tcPr>
            <w:tcW w:w="1134" w:type="dxa"/>
            <w:tcBorders>
              <w:top w:val="single" w:sz="4" w:space="0" w:color="auto"/>
              <w:left w:val="nil"/>
              <w:bottom w:val="single" w:sz="4" w:space="0" w:color="auto"/>
              <w:right w:val="single" w:sz="4" w:space="0" w:color="auto"/>
            </w:tcBorders>
            <w:shd w:val="clear" w:color="000000" w:fill="D6E3BC"/>
            <w:noWrap/>
            <w:vAlign w:val="center"/>
            <w:hideMark/>
          </w:tcPr>
          <w:p w14:paraId="0F562E10" w14:textId="77777777" w:rsidR="00E67F10" w:rsidRPr="00E723E1" w:rsidRDefault="00E67F10" w:rsidP="00E67F10">
            <w:pPr>
              <w:ind w:left="0" w:firstLine="0"/>
              <w:jc w:val="right"/>
              <w:rPr>
                <w:rFonts w:eastAsia="Times New Roman" w:cs="Calibri"/>
                <w:b/>
                <w:bCs/>
                <w:noProof/>
                <w:sz w:val="20"/>
                <w:szCs w:val="20"/>
                <w:lang w:val="es-ES" w:eastAsia="en-GB"/>
              </w:rPr>
            </w:pPr>
            <w:r w:rsidRPr="00E723E1">
              <w:rPr>
                <w:rFonts w:eastAsia="Times New Roman" w:cs="Calibri"/>
                <w:b/>
                <w:bCs/>
                <w:noProof/>
                <w:sz w:val="20"/>
                <w:szCs w:val="20"/>
                <w:lang w:val="es-ES" w:eastAsia="en-GB"/>
              </w:rPr>
              <w:t>0</w:t>
            </w:r>
          </w:p>
        </w:tc>
        <w:tc>
          <w:tcPr>
            <w:tcW w:w="1276" w:type="dxa"/>
            <w:tcBorders>
              <w:top w:val="single" w:sz="4" w:space="0" w:color="auto"/>
              <w:left w:val="nil"/>
              <w:bottom w:val="single" w:sz="4" w:space="0" w:color="auto"/>
              <w:right w:val="single" w:sz="4" w:space="0" w:color="auto"/>
            </w:tcBorders>
            <w:shd w:val="clear" w:color="000000" w:fill="D6E3BC"/>
            <w:noWrap/>
            <w:vAlign w:val="center"/>
            <w:hideMark/>
          </w:tcPr>
          <w:p w14:paraId="7831E1CB" w14:textId="77777777" w:rsidR="00E67F10" w:rsidRPr="00E723E1" w:rsidRDefault="00E67F10" w:rsidP="00E67F10">
            <w:pPr>
              <w:ind w:left="0" w:firstLine="0"/>
              <w:jc w:val="right"/>
              <w:rPr>
                <w:rFonts w:eastAsia="Times New Roman" w:cs="Calibri"/>
                <w:b/>
                <w:bCs/>
                <w:noProof/>
                <w:sz w:val="20"/>
                <w:szCs w:val="20"/>
                <w:lang w:val="es-ES" w:eastAsia="en-GB"/>
              </w:rPr>
            </w:pPr>
            <w:r w:rsidRPr="00E723E1">
              <w:rPr>
                <w:rFonts w:eastAsia="Times New Roman" w:cs="Calibri"/>
                <w:b/>
                <w:bCs/>
                <w:noProof/>
                <w:sz w:val="20"/>
                <w:szCs w:val="20"/>
                <w:lang w:val="es-ES" w:eastAsia="en-GB"/>
              </w:rPr>
              <w:t>0</w:t>
            </w:r>
          </w:p>
        </w:tc>
        <w:tc>
          <w:tcPr>
            <w:tcW w:w="1417" w:type="dxa"/>
            <w:tcBorders>
              <w:top w:val="single" w:sz="4" w:space="0" w:color="auto"/>
              <w:left w:val="nil"/>
              <w:bottom w:val="single" w:sz="4" w:space="0" w:color="auto"/>
              <w:right w:val="single" w:sz="4" w:space="0" w:color="auto"/>
            </w:tcBorders>
            <w:shd w:val="clear" w:color="000000" w:fill="D6E3BC"/>
            <w:noWrap/>
            <w:vAlign w:val="center"/>
            <w:hideMark/>
          </w:tcPr>
          <w:p w14:paraId="2CB01B9D" w14:textId="77777777" w:rsidR="00E67F10" w:rsidRPr="00E723E1" w:rsidRDefault="00E67F10" w:rsidP="00E67F10">
            <w:pPr>
              <w:ind w:left="0" w:firstLine="0"/>
              <w:jc w:val="right"/>
              <w:rPr>
                <w:rFonts w:eastAsia="Times New Roman" w:cs="Calibri"/>
                <w:b/>
                <w:bCs/>
                <w:noProof/>
                <w:sz w:val="20"/>
                <w:szCs w:val="20"/>
                <w:lang w:val="es-ES" w:eastAsia="en-GB"/>
              </w:rPr>
            </w:pPr>
            <w:r w:rsidRPr="00E723E1">
              <w:rPr>
                <w:rFonts w:eastAsia="Times New Roman" w:cs="Calibri"/>
                <w:b/>
                <w:bCs/>
                <w:noProof/>
                <w:sz w:val="20"/>
                <w:szCs w:val="20"/>
                <w:lang w:val="es-ES" w:eastAsia="en-GB"/>
              </w:rPr>
              <w:t>0</w:t>
            </w:r>
          </w:p>
        </w:tc>
        <w:tc>
          <w:tcPr>
            <w:tcW w:w="1276" w:type="dxa"/>
            <w:tcBorders>
              <w:top w:val="single" w:sz="4" w:space="0" w:color="auto"/>
              <w:left w:val="nil"/>
              <w:bottom w:val="single" w:sz="4" w:space="0" w:color="auto"/>
              <w:right w:val="single" w:sz="4" w:space="0" w:color="auto"/>
            </w:tcBorders>
            <w:shd w:val="clear" w:color="000000" w:fill="D6E3BC"/>
            <w:noWrap/>
            <w:vAlign w:val="center"/>
            <w:hideMark/>
          </w:tcPr>
          <w:p w14:paraId="7B201B0A" w14:textId="4F25499C" w:rsidR="00E67F10" w:rsidRPr="00E723E1" w:rsidRDefault="00E67F10" w:rsidP="00E67F10">
            <w:pPr>
              <w:ind w:left="0" w:firstLine="0"/>
              <w:jc w:val="right"/>
              <w:rPr>
                <w:rFonts w:eastAsia="Times New Roman" w:cs="Calibri"/>
                <w:b/>
                <w:bCs/>
                <w:noProof/>
                <w:sz w:val="20"/>
                <w:szCs w:val="20"/>
                <w:lang w:val="es-ES" w:eastAsia="en-GB"/>
              </w:rPr>
            </w:pPr>
            <w:r w:rsidRPr="00E723E1">
              <w:rPr>
                <w:rFonts w:eastAsia="Times New Roman" w:cs="Calibri"/>
                <w:b/>
                <w:bCs/>
                <w:noProof/>
                <w:sz w:val="20"/>
                <w:szCs w:val="20"/>
                <w:lang w:val="es-ES" w:eastAsia="en-GB"/>
              </w:rPr>
              <w:t>5</w:t>
            </w:r>
            <w:r w:rsidR="004B6B6E">
              <w:rPr>
                <w:rFonts w:eastAsia="Times New Roman" w:cs="Calibri"/>
                <w:b/>
                <w:bCs/>
                <w:noProof/>
                <w:sz w:val="20"/>
                <w:szCs w:val="20"/>
                <w:lang w:val="es-ES" w:eastAsia="en-GB"/>
              </w:rPr>
              <w:t xml:space="preserve"> </w:t>
            </w:r>
            <w:r w:rsidRPr="00E723E1">
              <w:rPr>
                <w:rFonts w:eastAsia="Times New Roman" w:cs="Calibri"/>
                <w:b/>
                <w:bCs/>
                <w:noProof/>
                <w:sz w:val="20"/>
                <w:szCs w:val="20"/>
                <w:lang w:val="es-ES" w:eastAsia="en-GB"/>
              </w:rPr>
              <w:t>081</w:t>
            </w:r>
          </w:p>
        </w:tc>
        <w:tc>
          <w:tcPr>
            <w:tcW w:w="1276" w:type="dxa"/>
            <w:tcBorders>
              <w:top w:val="single" w:sz="4" w:space="0" w:color="auto"/>
              <w:left w:val="nil"/>
              <w:bottom w:val="single" w:sz="4" w:space="0" w:color="auto"/>
              <w:right w:val="nil"/>
            </w:tcBorders>
            <w:shd w:val="clear" w:color="000000" w:fill="D6E3BC"/>
            <w:noWrap/>
            <w:vAlign w:val="center"/>
            <w:hideMark/>
          </w:tcPr>
          <w:p w14:paraId="19BA5A01" w14:textId="7D04D43F" w:rsidR="00E67F10" w:rsidRPr="00E723E1" w:rsidRDefault="00E67F10" w:rsidP="00E67F10">
            <w:pPr>
              <w:ind w:left="0" w:firstLine="0"/>
              <w:jc w:val="right"/>
              <w:rPr>
                <w:rFonts w:eastAsia="Times New Roman" w:cs="Calibri"/>
                <w:b/>
                <w:bCs/>
                <w:noProof/>
                <w:sz w:val="20"/>
                <w:szCs w:val="20"/>
                <w:lang w:val="es-ES" w:eastAsia="en-GB"/>
              </w:rPr>
            </w:pPr>
            <w:r w:rsidRPr="00E723E1">
              <w:rPr>
                <w:rFonts w:eastAsia="Times New Roman" w:cs="Calibri"/>
                <w:b/>
                <w:bCs/>
                <w:noProof/>
                <w:sz w:val="20"/>
                <w:szCs w:val="20"/>
                <w:lang w:val="es-ES" w:eastAsia="en-GB"/>
              </w:rPr>
              <w:t>5</w:t>
            </w:r>
            <w:r w:rsidR="004B6B6E">
              <w:rPr>
                <w:rFonts w:eastAsia="Times New Roman" w:cs="Calibri"/>
                <w:b/>
                <w:bCs/>
                <w:noProof/>
                <w:sz w:val="20"/>
                <w:szCs w:val="20"/>
                <w:lang w:val="es-ES" w:eastAsia="en-GB"/>
              </w:rPr>
              <w:t xml:space="preserve"> </w:t>
            </w:r>
            <w:r w:rsidRPr="00E723E1">
              <w:rPr>
                <w:rFonts w:eastAsia="Times New Roman" w:cs="Calibri"/>
                <w:b/>
                <w:bCs/>
                <w:noProof/>
                <w:sz w:val="20"/>
                <w:szCs w:val="20"/>
                <w:lang w:val="es-ES" w:eastAsia="en-GB"/>
              </w:rPr>
              <w:t>071</w:t>
            </w:r>
          </w:p>
        </w:tc>
        <w:tc>
          <w:tcPr>
            <w:tcW w:w="1417" w:type="dxa"/>
            <w:tcBorders>
              <w:top w:val="single" w:sz="4" w:space="0" w:color="auto"/>
              <w:left w:val="single" w:sz="4" w:space="0" w:color="auto"/>
              <w:bottom w:val="single" w:sz="4" w:space="0" w:color="auto"/>
              <w:right w:val="single" w:sz="4" w:space="0" w:color="auto"/>
            </w:tcBorders>
            <w:shd w:val="clear" w:color="000000" w:fill="D6E3BC"/>
            <w:noWrap/>
            <w:vAlign w:val="center"/>
            <w:hideMark/>
          </w:tcPr>
          <w:p w14:paraId="1D1B8626" w14:textId="000EBDB4" w:rsidR="00E67F10" w:rsidRPr="00E723E1" w:rsidRDefault="00E67F10" w:rsidP="00E67F10">
            <w:pPr>
              <w:ind w:left="0" w:firstLine="0"/>
              <w:jc w:val="right"/>
              <w:rPr>
                <w:rFonts w:eastAsia="Times New Roman" w:cs="Calibri"/>
                <w:b/>
                <w:bCs/>
                <w:noProof/>
                <w:sz w:val="20"/>
                <w:szCs w:val="20"/>
                <w:lang w:val="es-ES" w:eastAsia="en-GB"/>
              </w:rPr>
            </w:pPr>
            <w:r w:rsidRPr="00E723E1">
              <w:rPr>
                <w:rFonts w:eastAsia="Times New Roman" w:cs="Calibri"/>
                <w:b/>
                <w:bCs/>
                <w:noProof/>
                <w:sz w:val="20"/>
                <w:szCs w:val="20"/>
                <w:lang w:val="es-ES" w:eastAsia="en-GB"/>
              </w:rPr>
              <w:t>0 </w:t>
            </w:r>
          </w:p>
        </w:tc>
        <w:tc>
          <w:tcPr>
            <w:tcW w:w="1276" w:type="dxa"/>
            <w:tcBorders>
              <w:top w:val="single" w:sz="4" w:space="0" w:color="auto"/>
              <w:left w:val="nil"/>
              <w:bottom w:val="single" w:sz="4" w:space="0" w:color="auto"/>
              <w:right w:val="single" w:sz="4" w:space="0" w:color="auto"/>
            </w:tcBorders>
            <w:shd w:val="clear" w:color="000000" w:fill="D6E3BC"/>
            <w:noWrap/>
            <w:vAlign w:val="center"/>
            <w:hideMark/>
          </w:tcPr>
          <w:p w14:paraId="43F6129B" w14:textId="77777777" w:rsidR="00E67F10" w:rsidRPr="00E723E1" w:rsidRDefault="00E67F10" w:rsidP="00E67F10">
            <w:pPr>
              <w:ind w:left="0" w:firstLine="0"/>
              <w:jc w:val="right"/>
              <w:rPr>
                <w:rFonts w:eastAsia="Times New Roman" w:cs="Calibri"/>
                <w:b/>
                <w:bCs/>
                <w:noProof/>
                <w:sz w:val="20"/>
                <w:szCs w:val="20"/>
                <w:lang w:val="es-ES" w:eastAsia="en-GB"/>
              </w:rPr>
            </w:pPr>
            <w:r w:rsidRPr="00E723E1">
              <w:rPr>
                <w:rFonts w:eastAsia="Times New Roman" w:cs="Calibri"/>
                <w:b/>
                <w:bCs/>
                <w:noProof/>
                <w:sz w:val="20"/>
                <w:szCs w:val="20"/>
                <w:lang w:val="es-ES" w:eastAsia="en-GB"/>
              </w:rPr>
              <w:t>10</w:t>
            </w:r>
          </w:p>
        </w:tc>
      </w:tr>
      <w:tr w:rsidR="00E67F10" w:rsidRPr="00E723E1" w14:paraId="64DE6796" w14:textId="77777777" w:rsidTr="00CB5635">
        <w:trPr>
          <w:trHeight w:val="75"/>
        </w:trPr>
        <w:tc>
          <w:tcPr>
            <w:tcW w:w="3258" w:type="dxa"/>
            <w:tcBorders>
              <w:top w:val="nil"/>
              <w:left w:val="single" w:sz="4" w:space="0" w:color="auto"/>
              <w:bottom w:val="nil"/>
              <w:right w:val="nil"/>
            </w:tcBorders>
            <w:shd w:val="clear" w:color="auto" w:fill="auto"/>
            <w:noWrap/>
            <w:hideMark/>
          </w:tcPr>
          <w:p w14:paraId="48841F64" w14:textId="21D3ABFA" w:rsidR="00E67F10" w:rsidRPr="00E723E1" w:rsidRDefault="00E67F10" w:rsidP="00E67F10">
            <w:pPr>
              <w:ind w:left="0" w:firstLine="0"/>
              <w:rPr>
                <w:rFonts w:eastAsia="Times New Roman" w:cs="Calibri"/>
                <w:b/>
                <w:bCs/>
                <w:noProof/>
                <w:sz w:val="20"/>
                <w:szCs w:val="20"/>
                <w:lang w:val="es-ES" w:eastAsia="en-GB"/>
              </w:rPr>
            </w:pPr>
          </w:p>
        </w:tc>
        <w:tc>
          <w:tcPr>
            <w:tcW w:w="1417" w:type="dxa"/>
            <w:vMerge w:val="restart"/>
            <w:tcBorders>
              <w:top w:val="nil"/>
              <w:left w:val="single" w:sz="4" w:space="0" w:color="auto"/>
              <w:bottom w:val="nil"/>
              <w:right w:val="single" w:sz="4" w:space="0" w:color="auto"/>
            </w:tcBorders>
            <w:shd w:val="clear" w:color="auto" w:fill="auto"/>
            <w:noWrap/>
            <w:vAlign w:val="center"/>
            <w:hideMark/>
          </w:tcPr>
          <w:p w14:paraId="0FB50A2F" w14:textId="77777777" w:rsidR="00E67F10" w:rsidRPr="00E723E1" w:rsidRDefault="00E67F10" w:rsidP="00E67F10">
            <w:pPr>
              <w:ind w:left="0" w:firstLine="0"/>
              <w:jc w:val="right"/>
              <w:rPr>
                <w:rFonts w:eastAsia="Times New Roman" w:cs="Calibri"/>
                <w:b/>
                <w:bCs/>
                <w:noProof/>
                <w:sz w:val="20"/>
                <w:szCs w:val="20"/>
                <w:lang w:val="es-ES" w:eastAsia="en-GB"/>
              </w:rPr>
            </w:pPr>
            <w:r w:rsidRPr="00E723E1">
              <w:rPr>
                <w:rFonts w:eastAsia="Times New Roman" w:cs="Calibri"/>
                <w:b/>
                <w:bCs/>
                <w:noProof/>
                <w:sz w:val="20"/>
                <w:szCs w:val="20"/>
                <w:lang w:val="es-ES" w:eastAsia="en-GB"/>
              </w:rPr>
              <w:t> </w:t>
            </w:r>
          </w:p>
        </w:tc>
        <w:tc>
          <w:tcPr>
            <w:tcW w:w="1276" w:type="dxa"/>
            <w:vMerge w:val="restart"/>
            <w:tcBorders>
              <w:top w:val="nil"/>
              <w:left w:val="single" w:sz="4" w:space="0" w:color="auto"/>
              <w:bottom w:val="nil"/>
              <w:right w:val="single" w:sz="4" w:space="0" w:color="auto"/>
            </w:tcBorders>
            <w:shd w:val="clear" w:color="auto" w:fill="auto"/>
            <w:noWrap/>
            <w:vAlign w:val="center"/>
            <w:hideMark/>
          </w:tcPr>
          <w:p w14:paraId="2F547229" w14:textId="77777777" w:rsidR="00E67F10" w:rsidRPr="00E723E1" w:rsidRDefault="00E67F10" w:rsidP="00E67F10">
            <w:pPr>
              <w:ind w:left="0" w:firstLine="0"/>
              <w:jc w:val="right"/>
              <w:rPr>
                <w:rFonts w:eastAsia="Times New Roman" w:cs="Calibri"/>
                <w:b/>
                <w:bCs/>
                <w:noProof/>
                <w:sz w:val="20"/>
                <w:szCs w:val="20"/>
                <w:lang w:val="es-ES" w:eastAsia="en-GB"/>
              </w:rPr>
            </w:pPr>
            <w:r w:rsidRPr="00E723E1">
              <w:rPr>
                <w:rFonts w:eastAsia="Times New Roman" w:cs="Calibri"/>
                <w:b/>
                <w:bCs/>
                <w:noProof/>
                <w:sz w:val="20"/>
                <w:szCs w:val="20"/>
                <w:lang w:val="es-ES" w:eastAsia="en-GB"/>
              </w:rPr>
              <w:t> </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55AC5480" w14:textId="77777777" w:rsidR="00E67F10" w:rsidRPr="00E723E1" w:rsidRDefault="00E67F10" w:rsidP="00E67F10">
            <w:pPr>
              <w:ind w:left="0" w:firstLine="0"/>
              <w:jc w:val="right"/>
              <w:rPr>
                <w:rFonts w:eastAsia="Times New Roman" w:cs="Calibri"/>
                <w:b/>
                <w:bCs/>
                <w:noProof/>
                <w:sz w:val="20"/>
                <w:szCs w:val="20"/>
                <w:lang w:val="es-ES" w:eastAsia="en-GB"/>
              </w:rPr>
            </w:pPr>
            <w:r w:rsidRPr="00E723E1">
              <w:rPr>
                <w:rFonts w:eastAsia="Times New Roman" w:cs="Calibri"/>
                <w:b/>
                <w:bCs/>
                <w:noProof/>
                <w:sz w:val="20"/>
                <w:szCs w:val="20"/>
                <w:lang w:val="es-ES" w:eastAsia="en-GB"/>
              </w:rPr>
              <w:t> </w:t>
            </w:r>
          </w:p>
        </w:tc>
        <w:tc>
          <w:tcPr>
            <w:tcW w:w="1276" w:type="dxa"/>
            <w:vMerge w:val="restart"/>
            <w:tcBorders>
              <w:top w:val="nil"/>
              <w:left w:val="single" w:sz="4" w:space="0" w:color="auto"/>
              <w:bottom w:val="nil"/>
              <w:right w:val="single" w:sz="4" w:space="0" w:color="auto"/>
            </w:tcBorders>
            <w:shd w:val="clear" w:color="auto" w:fill="auto"/>
            <w:noWrap/>
            <w:vAlign w:val="center"/>
            <w:hideMark/>
          </w:tcPr>
          <w:p w14:paraId="4F32A8E3" w14:textId="77777777" w:rsidR="00E67F10" w:rsidRPr="00E723E1" w:rsidRDefault="00E67F10" w:rsidP="00E67F10">
            <w:pPr>
              <w:ind w:left="0" w:firstLine="0"/>
              <w:jc w:val="right"/>
              <w:rPr>
                <w:rFonts w:eastAsia="Times New Roman" w:cs="Calibri"/>
                <w:b/>
                <w:bCs/>
                <w:noProof/>
                <w:sz w:val="20"/>
                <w:szCs w:val="20"/>
                <w:lang w:val="es-ES" w:eastAsia="en-GB"/>
              </w:rPr>
            </w:pPr>
            <w:r w:rsidRPr="00E723E1">
              <w:rPr>
                <w:rFonts w:eastAsia="Times New Roman" w:cs="Calibri"/>
                <w:b/>
                <w:bCs/>
                <w:noProof/>
                <w:sz w:val="20"/>
                <w:szCs w:val="20"/>
                <w:lang w:val="es-ES" w:eastAsia="en-GB"/>
              </w:rPr>
              <w:t> </w:t>
            </w:r>
          </w:p>
        </w:tc>
        <w:tc>
          <w:tcPr>
            <w:tcW w:w="1417" w:type="dxa"/>
            <w:vMerge w:val="restart"/>
            <w:tcBorders>
              <w:top w:val="nil"/>
              <w:left w:val="nil"/>
              <w:bottom w:val="nil"/>
              <w:right w:val="nil"/>
            </w:tcBorders>
            <w:shd w:val="clear" w:color="auto" w:fill="auto"/>
            <w:noWrap/>
            <w:vAlign w:val="center"/>
            <w:hideMark/>
          </w:tcPr>
          <w:p w14:paraId="6585E601" w14:textId="77777777" w:rsidR="00E67F10" w:rsidRPr="00E723E1" w:rsidRDefault="00E67F10" w:rsidP="00E67F10">
            <w:pPr>
              <w:ind w:left="0" w:firstLine="0"/>
              <w:jc w:val="right"/>
              <w:rPr>
                <w:rFonts w:eastAsia="Times New Roman" w:cs="Calibri"/>
                <w:b/>
                <w:bCs/>
                <w:noProof/>
                <w:sz w:val="20"/>
                <w:szCs w:val="20"/>
                <w:lang w:val="es-ES" w:eastAsia="en-GB"/>
              </w:rPr>
            </w:pPr>
          </w:p>
        </w:tc>
        <w:tc>
          <w:tcPr>
            <w:tcW w:w="1276" w:type="dxa"/>
            <w:vMerge w:val="restart"/>
            <w:tcBorders>
              <w:top w:val="nil"/>
              <w:left w:val="single" w:sz="4" w:space="0" w:color="auto"/>
              <w:bottom w:val="nil"/>
              <w:right w:val="single" w:sz="4" w:space="0" w:color="auto"/>
            </w:tcBorders>
            <w:shd w:val="clear" w:color="auto" w:fill="auto"/>
            <w:noWrap/>
            <w:vAlign w:val="center"/>
            <w:hideMark/>
          </w:tcPr>
          <w:p w14:paraId="5CD59086" w14:textId="77777777" w:rsidR="00E67F10" w:rsidRPr="00E723E1" w:rsidRDefault="00E67F10" w:rsidP="00E67F10">
            <w:pPr>
              <w:ind w:left="0" w:firstLine="0"/>
              <w:jc w:val="right"/>
              <w:rPr>
                <w:rFonts w:eastAsia="Times New Roman" w:cs="Calibri"/>
                <w:b/>
                <w:bCs/>
                <w:noProof/>
                <w:sz w:val="20"/>
                <w:szCs w:val="20"/>
                <w:lang w:val="es-ES" w:eastAsia="en-GB"/>
              </w:rPr>
            </w:pPr>
            <w:r w:rsidRPr="00E723E1">
              <w:rPr>
                <w:rFonts w:eastAsia="Times New Roman" w:cs="Calibri"/>
                <w:b/>
                <w:bCs/>
                <w:noProof/>
                <w:sz w:val="20"/>
                <w:szCs w:val="20"/>
                <w:lang w:val="es-ES" w:eastAsia="en-GB"/>
              </w:rPr>
              <w:t> </w:t>
            </w:r>
          </w:p>
        </w:tc>
        <w:tc>
          <w:tcPr>
            <w:tcW w:w="1276" w:type="dxa"/>
            <w:vMerge w:val="restart"/>
            <w:tcBorders>
              <w:top w:val="nil"/>
              <w:left w:val="nil"/>
              <w:bottom w:val="nil"/>
              <w:right w:val="nil"/>
            </w:tcBorders>
            <w:shd w:val="clear" w:color="auto" w:fill="auto"/>
            <w:noWrap/>
            <w:vAlign w:val="center"/>
            <w:hideMark/>
          </w:tcPr>
          <w:p w14:paraId="08164E8F" w14:textId="77777777" w:rsidR="00E67F10" w:rsidRPr="00E723E1" w:rsidRDefault="00E67F10" w:rsidP="00E67F10">
            <w:pPr>
              <w:ind w:left="0" w:firstLine="0"/>
              <w:jc w:val="right"/>
              <w:rPr>
                <w:rFonts w:eastAsia="Times New Roman" w:cs="Calibri"/>
                <w:b/>
                <w:bCs/>
                <w:noProof/>
                <w:sz w:val="20"/>
                <w:szCs w:val="20"/>
                <w:lang w:val="es-ES" w:eastAsia="en-GB"/>
              </w:rPr>
            </w:pPr>
          </w:p>
        </w:tc>
        <w:tc>
          <w:tcPr>
            <w:tcW w:w="1417" w:type="dxa"/>
            <w:tcBorders>
              <w:top w:val="nil"/>
              <w:left w:val="nil"/>
              <w:bottom w:val="nil"/>
              <w:right w:val="nil"/>
            </w:tcBorders>
            <w:shd w:val="clear" w:color="auto" w:fill="auto"/>
            <w:noWrap/>
            <w:vAlign w:val="center"/>
            <w:hideMark/>
          </w:tcPr>
          <w:p w14:paraId="5AD06A50" w14:textId="77777777" w:rsidR="00E67F10" w:rsidRPr="00E723E1" w:rsidRDefault="00E67F10" w:rsidP="00E67F10">
            <w:pPr>
              <w:ind w:left="0" w:firstLine="0"/>
              <w:jc w:val="right"/>
              <w:rPr>
                <w:rFonts w:ascii="Times New Roman" w:eastAsia="Times New Roman" w:hAnsi="Times New Roman"/>
                <w:noProof/>
                <w:sz w:val="20"/>
                <w:szCs w:val="20"/>
                <w:lang w:val="es-ES" w:eastAsia="en-GB"/>
              </w:rPr>
            </w:pPr>
          </w:p>
        </w:tc>
        <w:tc>
          <w:tcPr>
            <w:tcW w:w="1276" w:type="dxa"/>
            <w:vMerge w:val="restart"/>
            <w:tcBorders>
              <w:top w:val="nil"/>
              <w:left w:val="single" w:sz="4" w:space="0" w:color="auto"/>
              <w:bottom w:val="nil"/>
              <w:right w:val="single" w:sz="4" w:space="0" w:color="auto"/>
            </w:tcBorders>
            <w:shd w:val="clear" w:color="auto" w:fill="auto"/>
            <w:noWrap/>
            <w:vAlign w:val="center"/>
            <w:hideMark/>
          </w:tcPr>
          <w:p w14:paraId="088B58E8" w14:textId="77777777" w:rsidR="00E67F10" w:rsidRPr="00E723E1" w:rsidRDefault="00E67F10" w:rsidP="00E67F10">
            <w:pPr>
              <w:ind w:left="0" w:firstLine="0"/>
              <w:jc w:val="right"/>
              <w:rPr>
                <w:rFonts w:eastAsia="Times New Roman" w:cs="Calibri"/>
                <w:b/>
                <w:bCs/>
                <w:noProof/>
                <w:sz w:val="20"/>
                <w:szCs w:val="20"/>
                <w:lang w:val="es-ES" w:eastAsia="en-GB"/>
              </w:rPr>
            </w:pPr>
            <w:r w:rsidRPr="00E723E1">
              <w:rPr>
                <w:rFonts w:eastAsia="Times New Roman" w:cs="Calibri"/>
                <w:b/>
                <w:bCs/>
                <w:noProof/>
                <w:sz w:val="20"/>
                <w:szCs w:val="20"/>
                <w:lang w:val="es-ES" w:eastAsia="en-GB"/>
              </w:rPr>
              <w:t> </w:t>
            </w:r>
          </w:p>
        </w:tc>
      </w:tr>
      <w:tr w:rsidR="00E67F10" w:rsidRPr="00E723E1" w14:paraId="7A7A354D" w14:textId="77777777" w:rsidTr="00CB5635">
        <w:trPr>
          <w:trHeight w:val="125"/>
        </w:trPr>
        <w:tc>
          <w:tcPr>
            <w:tcW w:w="3258" w:type="dxa"/>
            <w:tcBorders>
              <w:top w:val="nil"/>
              <w:left w:val="single" w:sz="4" w:space="0" w:color="auto"/>
              <w:bottom w:val="nil"/>
              <w:right w:val="nil"/>
            </w:tcBorders>
            <w:shd w:val="clear" w:color="auto" w:fill="auto"/>
            <w:noWrap/>
            <w:hideMark/>
          </w:tcPr>
          <w:p w14:paraId="4338E53F" w14:textId="596AC9DB" w:rsidR="00E67F10" w:rsidRPr="00E723E1" w:rsidRDefault="00E67F10" w:rsidP="00E67F10">
            <w:pPr>
              <w:ind w:left="0" w:firstLine="0"/>
              <w:rPr>
                <w:rFonts w:eastAsia="Times New Roman" w:cs="Calibri"/>
                <w:b/>
                <w:bCs/>
                <w:noProof/>
                <w:sz w:val="20"/>
                <w:szCs w:val="20"/>
                <w:lang w:val="es-ES" w:eastAsia="en-GB"/>
              </w:rPr>
            </w:pPr>
            <w:r w:rsidRPr="00E723E1">
              <w:rPr>
                <w:rFonts w:asciiTheme="minorHAnsi" w:eastAsiaTheme="minorHAnsi" w:hAnsiTheme="minorHAnsi" w:cstheme="minorHAnsi"/>
                <w:b/>
                <w:bCs/>
                <w:noProof/>
                <w:color w:val="000000"/>
                <w:sz w:val="20"/>
                <w:szCs w:val="20"/>
                <w:lang w:val="es-ES"/>
              </w:rPr>
              <w:t>GASTOS</w:t>
            </w:r>
          </w:p>
        </w:tc>
        <w:tc>
          <w:tcPr>
            <w:tcW w:w="1417" w:type="dxa"/>
            <w:vMerge/>
            <w:tcBorders>
              <w:top w:val="nil"/>
              <w:left w:val="single" w:sz="4" w:space="0" w:color="auto"/>
              <w:bottom w:val="nil"/>
              <w:right w:val="single" w:sz="4" w:space="0" w:color="auto"/>
            </w:tcBorders>
            <w:vAlign w:val="center"/>
            <w:hideMark/>
          </w:tcPr>
          <w:p w14:paraId="78BF701C" w14:textId="77777777" w:rsidR="00E67F10" w:rsidRPr="00E723E1" w:rsidRDefault="00E67F10" w:rsidP="00E67F10">
            <w:pPr>
              <w:ind w:left="0" w:firstLine="0"/>
              <w:rPr>
                <w:rFonts w:eastAsia="Times New Roman" w:cs="Calibri"/>
                <w:b/>
                <w:bCs/>
                <w:noProof/>
                <w:sz w:val="20"/>
                <w:szCs w:val="20"/>
                <w:lang w:val="es-ES" w:eastAsia="en-GB"/>
              </w:rPr>
            </w:pPr>
          </w:p>
        </w:tc>
        <w:tc>
          <w:tcPr>
            <w:tcW w:w="1276" w:type="dxa"/>
            <w:vMerge/>
            <w:tcBorders>
              <w:top w:val="nil"/>
              <w:left w:val="single" w:sz="4" w:space="0" w:color="auto"/>
              <w:bottom w:val="nil"/>
              <w:right w:val="single" w:sz="4" w:space="0" w:color="auto"/>
            </w:tcBorders>
            <w:vAlign w:val="center"/>
            <w:hideMark/>
          </w:tcPr>
          <w:p w14:paraId="633CD449" w14:textId="77777777" w:rsidR="00E67F10" w:rsidRPr="00E723E1" w:rsidRDefault="00E67F10" w:rsidP="00E67F10">
            <w:pPr>
              <w:ind w:left="0" w:firstLine="0"/>
              <w:rPr>
                <w:rFonts w:eastAsia="Times New Roman" w:cs="Calibri"/>
                <w:b/>
                <w:bCs/>
                <w:noProof/>
                <w:sz w:val="20"/>
                <w:szCs w:val="20"/>
                <w:lang w:val="es-ES" w:eastAsia="en-GB"/>
              </w:rPr>
            </w:pPr>
          </w:p>
        </w:tc>
        <w:tc>
          <w:tcPr>
            <w:tcW w:w="1134" w:type="dxa"/>
            <w:vMerge/>
            <w:tcBorders>
              <w:top w:val="nil"/>
              <w:left w:val="single" w:sz="4" w:space="0" w:color="auto"/>
              <w:bottom w:val="nil"/>
              <w:right w:val="single" w:sz="4" w:space="0" w:color="auto"/>
            </w:tcBorders>
            <w:vAlign w:val="center"/>
            <w:hideMark/>
          </w:tcPr>
          <w:p w14:paraId="2FA8E6F0" w14:textId="77777777" w:rsidR="00E67F10" w:rsidRPr="00E723E1" w:rsidRDefault="00E67F10" w:rsidP="00E67F10">
            <w:pPr>
              <w:ind w:left="0" w:firstLine="0"/>
              <w:rPr>
                <w:rFonts w:eastAsia="Times New Roman" w:cs="Calibri"/>
                <w:b/>
                <w:bCs/>
                <w:noProof/>
                <w:sz w:val="20"/>
                <w:szCs w:val="20"/>
                <w:lang w:val="es-ES" w:eastAsia="en-GB"/>
              </w:rPr>
            </w:pPr>
          </w:p>
        </w:tc>
        <w:tc>
          <w:tcPr>
            <w:tcW w:w="1276" w:type="dxa"/>
            <w:vMerge/>
            <w:tcBorders>
              <w:top w:val="nil"/>
              <w:left w:val="single" w:sz="4" w:space="0" w:color="auto"/>
              <w:bottom w:val="nil"/>
              <w:right w:val="single" w:sz="4" w:space="0" w:color="auto"/>
            </w:tcBorders>
            <w:vAlign w:val="center"/>
            <w:hideMark/>
          </w:tcPr>
          <w:p w14:paraId="7DB046AC" w14:textId="77777777" w:rsidR="00E67F10" w:rsidRPr="00E723E1" w:rsidRDefault="00E67F10" w:rsidP="00E67F10">
            <w:pPr>
              <w:ind w:left="0" w:firstLine="0"/>
              <w:rPr>
                <w:rFonts w:eastAsia="Times New Roman" w:cs="Calibri"/>
                <w:b/>
                <w:bCs/>
                <w:noProof/>
                <w:sz w:val="20"/>
                <w:szCs w:val="20"/>
                <w:lang w:val="es-ES" w:eastAsia="en-GB"/>
              </w:rPr>
            </w:pPr>
          </w:p>
        </w:tc>
        <w:tc>
          <w:tcPr>
            <w:tcW w:w="1417" w:type="dxa"/>
            <w:vMerge/>
            <w:tcBorders>
              <w:top w:val="nil"/>
              <w:left w:val="nil"/>
              <w:bottom w:val="nil"/>
              <w:right w:val="nil"/>
            </w:tcBorders>
            <w:vAlign w:val="center"/>
            <w:hideMark/>
          </w:tcPr>
          <w:p w14:paraId="6E942B3E" w14:textId="77777777" w:rsidR="00E67F10" w:rsidRPr="00E723E1" w:rsidRDefault="00E67F10" w:rsidP="00E67F10">
            <w:pPr>
              <w:ind w:left="0" w:firstLine="0"/>
              <w:rPr>
                <w:rFonts w:eastAsia="Times New Roman" w:cs="Calibri"/>
                <w:b/>
                <w:bCs/>
                <w:noProof/>
                <w:sz w:val="20"/>
                <w:szCs w:val="20"/>
                <w:lang w:val="es-ES" w:eastAsia="en-GB"/>
              </w:rPr>
            </w:pPr>
          </w:p>
        </w:tc>
        <w:tc>
          <w:tcPr>
            <w:tcW w:w="1276" w:type="dxa"/>
            <w:vMerge/>
            <w:tcBorders>
              <w:top w:val="nil"/>
              <w:left w:val="single" w:sz="4" w:space="0" w:color="auto"/>
              <w:bottom w:val="nil"/>
              <w:right w:val="single" w:sz="4" w:space="0" w:color="auto"/>
            </w:tcBorders>
            <w:vAlign w:val="center"/>
            <w:hideMark/>
          </w:tcPr>
          <w:p w14:paraId="454BE5FB" w14:textId="77777777" w:rsidR="00E67F10" w:rsidRPr="00E723E1" w:rsidRDefault="00E67F10" w:rsidP="00E67F10">
            <w:pPr>
              <w:ind w:left="0" w:firstLine="0"/>
              <w:rPr>
                <w:rFonts w:eastAsia="Times New Roman" w:cs="Calibri"/>
                <w:b/>
                <w:bCs/>
                <w:noProof/>
                <w:sz w:val="20"/>
                <w:szCs w:val="20"/>
                <w:lang w:val="es-ES" w:eastAsia="en-GB"/>
              </w:rPr>
            </w:pPr>
          </w:p>
        </w:tc>
        <w:tc>
          <w:tcPr>
            <w:tcW w:w="1276" w:type="dxa"/>
            <w:vMerge/>
            <w:tcBorders>
              <w:top w:val="nil"/>
              <w:left w:val="nil"/>
              <w:bottom w:val="nil"/>
              <w:right w:val="nil"/>
            </w:tcBorders>
            <w:vAlign w:val="center"/>
            <w:hideMark/>
          </w:tcPr>
          <w:p w14:paraId="0BC29CC9" w14:textId="77777777" w:rsidR="00E67F10" w:rsidRPr="00E723E1" w:rsidRDefault="00E67F10" w:rsidP="00E67F10">
            <w:pPr>
              <w:ind w:left="0" w:firstLine="0"/>
              <w:rPr>
                <w:rFonts w:eastAsia="Times New Roman" w:cs="Calibri"/>
                <w:b/>
                <w:bCs/>
                <w:noProof/>
                <w:sz w:val="20"/>
                <w:szCs w:val="20"/>
                <w:lang w:val="es-ES" w:eastAsia="en-GB"/>
              </w:rPr>
            </w:pPr>
          </w:p>
        </w:tc>
        <w:tc>
          <w:tcPr>
            <w:tcW w:w="1417" w:type="dxa"/>
            <w:tcBorders>
              <w:top w:val="nil"/>
              <w:left w:val="nil"/>
              <w:bottom w:val="nil"/>
              <w:right w:val="nil"/>
            </w:tcBorders>
            <w:shd w:val="clear" w:color="auto" w:fill="auto"/>
            <w:noWrap/>
            <w:vAlign w:val="center"/>
            <w:hideMark/>
          </w:tcPr>
          <w:p w14:paraId="44059340" w14:textId="77777777" w:rsidR="00E67F10" w:rsidRPr="00E723E1" w:rsidRDefault="00E67F10" w:rsidP="00E67F10">
            <w:pPr>
              <w:ind w:left="0" w:firstLine="0"/>
              <w:rPr>
                <w:rFonts w:eastAsia="Times New Roman" w:cs="Calibri"/>
                <w:b/>
                <w:bCs/>
                <w:noProof/>
                <w:sz w:val="20"/>
                <w:szCs w:val="20"/>
                <w:lang w:val="es-ES" w:eastAsia="en-GB"/>
              </w:rPr>
            </w:pPr>
          </w:p>
        </w:tc>
        <w:tc>
          <w:tcPr>
            <w:tcW w:w="1276" w:type="dxa"/>
            <w:vMerge/>
            <w:tcBorders>
              <w:top w:val="nil"/>
              <w:left w:val="single" w:sz="4" w:space="0" w:color="auto"/>
              <w:bottom w:val="nil"/>
              <w:right w:val="single" w:sz="4" w:space="0" w:color="auto"/>
            </w:tcBorders>
            <w:vAlign w:val="center"/>
            <w:hideMark/>
          </w:tcPr>
          <w:p w14:paraId="24EEDBFD" w14:textId="77777777" w:rsidR="00E67F10" w:rsidRPr="00E723E1" w:rsidRDefault="00E67F10" w:rsidP="00E67F10">
            <w:pPr>
              <w:ind w:left="0" w:firstLine="0"/>
              <w:rPr>
                <w:rFonts w:eastAsia="Times New Roman" w:cs="Calibri"/>
                <w:b/>
                <w:bCs/>
                <w:noProof/>
                <w:sz w:val="20"/>
                <w:szCs w:val="20"/>
                <w:lang w:val="es-ES" w:eastAsia="en-GB"/>
              </w:rPr>
            </w:pPr>
          </w:p>
        </w:tc>
      </w:tr>
      <w:tr w:rsidR="00E67F10" w:rsidRPr="00E723E1" w14:paraId="593B2F4F" w14:textId="77777777" w:rsidTr="00CB5635">
        <w:trPr>
          <w:trHeight w:val="255"/>
        </w:trPr>
        <w:tc>
          <w:tcPr>
            <w:tcW w:w="3258" w:type="dxa"/>
            <w:tcBorders>
              <w:top w:val="single" w:sz="4" w:space="0" w:color="auto"/>
              <w:left w:val="single" w:sz="4" w:space="0" w:color="auto"/>
              <w:bottom w:val="single" w:sz="4" w:space="0" w:color="auto"/>
              <w:right w:val="nil"/>
            </w:tcBorders>
            <w:shd w:val="clear" w:color="000000" w:fill="EAF1DD"/>
            <w:noWrap/>
            <w:hideMark/>
          </w:tcPr>
          <w:p w14:paraId="3D5BB43F" w14:textId="464ED3D6" w:rsidR="00E67F10" w:rsidRPr="00E723E1" w:rsidRDefault="00E67F10" w:rsidP="00E67F10">
            <w:pPr>
              <w:ind w:left="0" w:firstLine="0"/>
              <w:rPr>
                <w:rFonts w:eastAsia="Times New Roman" w:cs="Calibri"/>
                <w:noProof/>
                <w:sz w:val="20"/>
                <w:szCs w:val="20"/>
                <w:lang w:val="es-ES" w:eastAsia="en-GB"/>
              </w:rPr>
            </w:pPr>
            <w:r w:rsidRPr="00E723E1">
              <w:rPr>
                <w:rFonts w:asciiTheme="minorHAnsi" w:eastAsiaTheme="minorHAnsi" w:hAnsiTheme="minorHAnsi" w:cstheme="minorHAnsi"/>
                <w:noProof/>
                <w:color w:val="000000"/>
                <w:sz w:val="20"/>
                <w:szCs w:val="20"/>
                <w:lang w:val="es-ES"/>
              </w:rPr>
              <w:t xml:space="preserve">A.  </w:t>
            </w:r>
            <w:r w:rsidRPr="00E723E1">
              <w:rPr>
                <w:rFonts w:asciiTheme="minorHAnsi" w:hAnsiTheme="minorHAnsi"/>
                <w:bCs/>
                <w:noProof/>
                <w:sz w:val="20"/>
                <w:szCs w:val="20"/>
                <w:lang w:val="es-ES"/>
              </w:rPr>
              <w:t xml:space="preserve">Personal directivo de la Secretaría y </w:t>
            </w:r>
            <w:r w:rsidRPr="00E723E1">
              <w:rPr>
                <w:rFonts w:asciiTheme="minorHAnsi" w:hAnsiTheme="minorHAnsi"/>
                <w:bCs/>
                <w:noProof/>
                <w:color w:val="000000" w:themeColor="text1"/>
                <w:sz w:val="20"/>
                <w:szCs w:val="20"/>
                <w:lang w:val="es-ES"/>
              </w:rPr>
              <w:t>gobernanza</w:t>
            </w:r>
          </w:p>
        </w:tc>
        <w:tc>
          <w:tcPr>
            <w:tcW w:w="141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021EB6AC"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1,051</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14:paraId="6F529988"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5</w:t>
            </w:r>
          </w:p>
        </w:tc>
        <w:tc>
          <w:tcPr>
            <w:tcW w:w="1134" w:type="dxa"/>
            <w:tcBorders>
              <w:top w:val="single" w:sz="4" w:space="0" w:color="auto"/>
              <w:left w:val="nil"/>
              <w:bottom w:val="single" w:sz="4" w:space="0" w:color="auto"/>
              <w:right w:val="single" w:sz="4" w:space="0" w:color="auto"/>
            </w:tcBorders>
            <w:shd w:val="clear" w:color="000000" w:fill="EAF1DD"/>
            <w:noWrap/>
            <w:vAlign w:val="center"/>
            <w:hideMark/>
          </w:tcPr>
          <w:p w14:paraId="4ED8E753"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14:paraId="722F41BA"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single" w:sz="4" w:space="0" w:color="auto"/>
              <w:left w:val="nil"/>
              <w:bottom w:val="single" w:sz="4" w:space="0" w:color="auto"/>
              <w:right w:val="single" w:sz="4" w:space="0" w:color="auto"/>
            </w:tcBorders>
            <w:shd w:val="clear" w:color="000000" w:fill="EAF1DD"/>
            <w:noWrap/>
            <w:vAlign w:val="center"/>
            <w:hideMark/>
          </w:tcPr>
          <w:p w14:paraId="19F96FF6"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175</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14:paraId="1148FFB8" w14:textId="60E1BF2E"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w:t>
            </w:r>
            <w:r w:rsidR="00922AC8">
              <w:rPr>
                <w:rFonts w:eastAsia="Times New Roman" w:cs="Calibri"/>
                <w:noProof/>
                <w:sz w:val="20"/>
                <w:szCs w:val="20"/>
                <w:lang w:val="es-ES" w:eastAsia="en-GB"/>
              </w:rPr>
              <w:t xml:space="preserve"> </w:t>
            </w:r>
            <w:r w:rsidRPr="00E723E1">
              <w:rPr>
                <w:rFonts w:eastAsia="Times New Roman" w:cs="Calibri"/>
                <w:noProof/>
                <w:sz w:val="20"/>
                <w:szCs w:val="20"/>
                <w:lang w:val="es-ES" w:eastAsia="en-GB"/>
              </w:rPr>
              <w:t>231</w:t>
            </w:r>
          </w:p>
        </w:tc>
        <w:tc>
          <w:tcPr>
            <w:tcW w:w="1276" w:type="dxa"/>
            <w:tcBorders>
              <w:top w:val="single" w:sz="4" w:space="0" w:color="auto"/>
              <w:left w:val="nil"/>
              <w:bottom w:val="single" w:sz="4" w:space="0" w:color="auto"/>
              <w:right w:val="nil"/>
            </w:tcBorders>
            <w:shd w:val="clear" w:color="000000" w:fill="EAF1DD"/>
            <w:noWrap/>
            <w:vAlign w:val="center"/>
            <w:hideMark/>
          </w:tcPr>
          <w:p w14:paraId="3886F708"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957</w:t>
            </w:r>
          </w:p>
        </w:tc>
        <w:tc>
          <w:tcPr>
            <w:tcW w:w="1417" w:type="dxa"/>
            <w:tcBorders>
              <w:top w:val="single" w:sz="4" w:space="0" w:color="auto"/>
              <w:left w:val="single" w:sz="4" w:space="0" w:color="auto"/>
              <w:bottom w:val="single" w:sz="4" w:space="0" w:color="auto"/>
              <w:right w:val="nil"/>
            </w:tcBorders>
            <w:shd w:val="clear" w:color="000000" w:fill="EAF1DD"/>
            <w:noWrap/>
            <w:vAlign w:val="center"/>
            <w:hideMark/>
          </w:tcPr>
          <w:p w14:paraId="2CBFC8CC"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5486FA3F"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274</w:t>
            </w:r>
          </w:p>
        </w:tc>
      </w:tr>
      <w:tr w:rsidR="00F270A8" w:rsidRPr="00E723E1" w14:paraId="2254EEEB" w14:textId="77777777" w:rsidTr="00CB5635">
        <w:trPr>
          <w:trHeight w:val="255"/>
        </w:trPr>
        <w:tc>
          <w:tcPr>
            <w:tcW w:w="3258" w:type="dxa"/>
            <w:tcBorders>
              <w:top w:val="single" w:sz="4" w:space="0" w:color="auto"/>
              <w:left w:val="single" w:sz="4" w:space="0" w:color="auto"/>
              <w:bottom w:val="single" w:sz="4" w:space="0" w:color="auto"/>
              <w:right w:val="nil"/>
            </w:tcBorders>
            <w:shd w:val="clear" w:color="auto" w:fill="auto"/>
            <w:noWrap/>
            <w:vAlign w:val="center"/>
            <w:hideMark/>
          </w:tcPr>
          <w:p w14:paraId="4E92BD2B" w14:textId="3ED0DC88" w:rsidR="00F270A8" w:rsidRPr="00E723E1" w:rsidRDefault="00F270A8" w:rsidP="00F270A8">
            <w:pPr>
              <w:ind w:left="0" w:firstLine="0"/>
              <w:rPr>
                <w:rFonts w:eastAsia="Times New Roman" w:cs="Calibri"/>
                <w:noProof/>
                <w:sz w:val="20"/>
                <w:szCs w:val="20"/>
                <w:lang w:val="es-ES" w:eastAsia="en-GB"/>
              </w:rPr>
            </w:pPr>
            <w:r w:rsidRPr="00E723E1">
              <w:rPr>
                <w:rFonts w:eastAsia="Times New Roman" w:cs="Calibri"/>
                <w:noProof/>
                <w:sz w:val="20"/>
                <w:szCs w:val="20"/>
                <w:lang w:val="es-ES" w:eastAsia="en-GB"/>
              </w:rPr>
              <w:t>Salari</w:t>
            </w:r>
            <w:r w:rsidR="00E67F10" w:rsidRPr="00E723E1">
              <w:rPr>
                <w:rFonts w:eastAsia="Times New Roman" w:cs="Calibri"/>
                <w:noProof/>
                <w:sz w:val="20"/>
                <w:szCs w:val="20"/>
                <w:lang w:val="es-ES" w:eastAsia="en-GB"/>
              </w:rPr>
              <w:t>o</w:t>
            </w:r>
            <w:r w:rsidRPr="00E723E1">
              <w:rPr>
                <w:rFonts w:eastAsia="Times New Roman" w:cs="Calibri"/>
                <w:noProof/>
                <w:sz w:val="20"/>
                <w:szCs w:val="20"/>
                <w:lang w:val="es-ES" w:eastAsia="en-GB"/>
              </w:rPr>
              <w:t xml:space="preserve">s, </w:t>
            </w:r>
            <w:r w:rsidR="00E67F10" w:rsidRPr="00E723E1">
              <w:rPr>
                <w:rFonts w:eastAsia="Times New Roman" w:cs="Calibri"/>
                <w:noProof/>
                <w:sz w:val="20"/>
                <w:szCs w:val="20"/>
                <w:lang w:val="es-ES" w:eastAsia="en-GB"/>
              </w:rPr>
              <w:t>gastos sociales y otras prestaciones laborales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001CB"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1,011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A01CD85"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2363C10"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5AAF5FF"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AAC1CB7"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151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7D67398" w14:textId="4D9662B1"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w:t>
            </w:r>
            <w:r w:rsidR="00922AC8">
              <w:rPr>
                <w:rFonts w:eastAsia="Times New Roman" w:cs="Calibri"/>
                <w:noProof/>
                <w:sz w:val="20"/>
                <w:szCs w:val="20"/>
                <w:lang w:val="es-ES" w:eastAsia="en-GB"/>
              </w:rPr>
              <w:t xml:space="preserve"> </w:t>
            </w:r>
            <w:r w:rsidRPr="00E723E1">
              <w:rPr>
                <w:rFonts w:eastAsia="Times New Roman" w:cs="Calibri"/>
                <w:noProof/>
                <w:sz w:val="20"/>
                <w:szCs w:val="20"/>
                <w:lang w:val="es-ES" w:eastAsia="en-GB"/>
              </w:rPr>
              <w:t>162</w:t>
            </w:r>
          </w:p>
        </w:tc>
        <w:tc>
          <w:tcPr>
            <w:tcW w:w="1276" w:type="dxa"/>
            <w:tcBorders>
              <w:top w:val="single" w:sz="4" w:space="0" w:color="auto"/>
              <w:left w:val="nil"/>
              <w:bottom w:val="single" w:sz="4" w:space="0" w:color="auto"/>
              <w:right w:val="nil"/>
            </w:tcBorders>
            <w:shd w:val="clear" w:color="auto" w:fill="auto"/>
            <w:noWrap/>
            <w:vAlign w:val="center"/>
            <w:hideMark/>
          </w:tcPr>
          <w:p w14:paraId="091D6344"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953</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4775E166"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4DAA7"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209</w:t>
            </w:r>
          </w:p>
        </w:tc>
      </w:tr>
      <w:tr w:rsidR="00F270A8" w:rsidRPr="00E723E1" w14:paraId="4977BFE6" w14:textId="77777777" w:rsidTr="00CB5635">
        <w:trPr>
          <w:trHeight w:val="255"/>
        </w:trPr>
        <w:tc>
          <w:tcPr>
            <w:tcW w:w="3258" w:type="dxa"/>
            <w:tcBorders>
              <w:top w:val="single" w:sz="4" w:space="0" w:color="auto"/>
              <w:left w:val="single" w:sz="4" w:space="0" w:color="auto"/>
              <w:bottom w:val="nil"/>
              <w:right w:val="nil"/>
            </w:tcBorders>
            <w:shd w:val="clear" w:color="auto" w:fill="auto"/>
            <w:noWrap/>
            <w:vAlign w:val="center"/>
            <w:hideMark/>
          </w:tcPr>
          <w:p w14:paraId="17CBCB93" w14:textId="0F215FFE" w:rsidR="00F270A8" w:rsidRPr="00E723E1" w:rsidRDefault="00E67F10" w:rsidP="00F270A8">
            <w:pPr>
              <w:ind w:left="0" w:firstLine="0"/>
              <w:rPr>
                <w:rFonts w:eastAsia="Times New Roman" w:cs="Calibri"/>
                <w:noProof/>
                <w:sz w:val="20"/>
                <w:szCs w:val="20"/>
                <w:lang w:val="es-ES" w:eastAsia="en-GB"/>
              </w:rPr>
            </w:pPr>
            <w:r w:rsidRPr="00E723E1">
              <w:rPr>
                <w:rFonts w:eastAsia="Times New Roman" w:cs="Calibri"/>
                <w:noProof/>
                <w:sz w:val="20"/>
                <w:szCs w:val="20"/>
                <w:lang w:val="es-ES" w:eastAsia="en-GB"/>
              </w:rPr>
              <w:t>Viajes</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14:paraId="004D91A2"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40</w:t>
            </w:r>
          </w:p>
        </w:tc>
        <w:tc>
          <w:tcPr>
            <w:tcW w:w="1276" w:type="dxa"/>
            <w:tcBorders>
              <w:top w:val="single" w:sz="4" w:space="0" w:color="auto"/>
              <w:left w:val="nil"/>
              <w:bottom w:val="nil"/>
              <w:right w:val="single" w:sz="4" w:space="0" w:color="auto"/>
            </w:tcBorders>
            <w:shd w:val="clear" w:color="auto" w:fill="auto"/>
            <w:noWrap/>
            <w:vAlign w:val="center"/>
            <w:hideMark/>
          </w:tcPr>
          <w:p w14:paraId="3AD8B56A"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5</w:t>
            </w:r>
          </w:p>
        </w:tc>
        <w:tc>
          <w:tcPr>
            <w:tcW w:w="1134" w:type="dxa"/>
            <w:tcBorders>
              <w:top w:val="single" w:sz="4" w:space="0" w:color="auto"/>
              <w:left w:val="nil"/>
              <w:bottom w:val="nil"/>
              <w:right w:val="single" w:sz="4" w:space="0" w:color="auto"/>
            </w:tcBorders>
            <w:shd w:val="clear" w:color="auto" w:fill="auto"/>
            <w:noWrap/>
            <w:vAlign w:val="center"/>
            <w:hideMark/>
          </w:tcPr>
          <w:p w14:paraId="26B47AE1"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single" w:sz="4" w:space="0" w:color="auto"/>
              <w:left w:val="nil"/>
              <w:bottom w:val="nil"/>
              <w:right w:val="single" w:sz="4" w:space="0" w:color="auto"/>
            </w:tcBorders>
            <w:shd w:val="clear" w:color="auto" w:fill="auto"/>
            <w:noWrap/>
            <w:vAlign w:val="center"/>
            <w:hideMark/>
          </w:tcPr>
          <w:p w14:paraId="74DAC3A8"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single" w:sz="4" w:space="0" w:color="auto"/>
              <w:left w:val="nil"/>
              <w:bottom w:val="nil"/>
              <w:right w:val="single" w:sz="4" w:space="0" w:color="auto"/>
            </w:tcBorders>
            <w:shd w:val="clear" w:color="auto" w:fill="auto"/>
            <w:noWrap/>
            <w:vAlign w:val="center"/>
            <w:hideMark/>
          </w:tcPr>
          <w:p w14:paraId="0790ED89"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24</w:t>
            </w:r>
          </w:p>
        </w:tc>
        <w:tc>
          <w:tcPr>
            <w:tcW w:w="1276" w:type="dxa"/>
            <w:tcBorders>
              <w:top w:val="single" w:sz="4" w:space="0" w:color="auto"/>
              <w:left w:val="nil"/>
              <w:bottom w:val="nil"/>
              <w:right w:val="single" w:sz="4" w:space="0" w:color="auto"/>
            </w:tcBorders>
            <w:shd w:val="clear" w:color="auto" w:fill="auto"/>
            <w:noWrap/>
            <w:vAlign w:val="center"/>
            <w:hideMark/>
          </w:tcPr>
          <w:p w14:paraId="5DF54AA7"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69</w:t>
            </w:r>
          </w:p>
        </w:tc>
        <w:tc>
          <w:tcPr>
            <w:tcW w:w="1276" w:type="dxa"/>
            <w:tcBorders>
              <w:top w:val="single" w:sz="4" w:space="0" w:color="auto"/>
              <w:left w:val="nil"/>
              <w:bottom w:val="nil"/>
              <w:right w:val="nil"/>
            </w:tcBorders>
            <w:shd w:val="clear" w:color="auto" w:fill="auto"/>
            <w:noWrap/>
            <w:vAlign w:val="center"/>
            <w:hideMark/>
          </w:tcPr>
          <w:p w14:paraId="263DD71D"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4</w:t>
            </w:r>
          </w:p>
        </w:tc>
        <w:tc>
          <w:tcPr>
            <w:tcW w:w="1417" w:type="dxa"/>
            <w:tcBorders>
              <w:top w:val="single" w:sz="4" w:space="0" w:color="auto"/>
              <w:left w:val="single" w:sz="4" w:space="0" w:color="auto"/>
              <w:bottom w:val="nil"/>
              <w:right w:val="nil"/>
            </w:tcBorders>
            <w:shd w:val="clear" w:color="auto" w:fill="auto"/>
            <w:noWrap/>
            <w:vAlign w:val="center"/>
            <w:hideMark/>
          </w:tcPr>
          <w:p w14:paraId="2D724356"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14:paraId="138DFEE1"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65</w:t>
            </w:r>
          </w:p>
        </w:tc>
      </w:tr>
      <w:tr w:rsidR="00E67F10" w:rsidRPr="00E723E1" w14:paraId="3BD117A4" w14:textId="77777777" w:rsidTr="00CB5635">
        <w:trPr>
          <w:trHeight w:val="255"/>
        </w:trPr>
        <w:tc>
          <w:tcPr>
            <w:tcW w:w="3258" w:type="dxa"/>
            <w:tcBorders>
              <w:top w:val="single" w:sz="4" w:space="0" w:color="auto"/>
              <w:left w:val="single" w:sz="4" w:space="0" w:color="auto"/>
              <w:bottom w:val="single" w:sz="4" w:space="0" w:color="auto"/>
              <w:right w:val="nil"/>
            </w:tcBorders>
            <w:shd w:val="clear" w:color="000000" w:fill="EAF1DD"/>
            <w:noWrap/>
            <w:hideMark/>
          </w:tcPr>
          <w:p w14:paraId="1209C34F" w14:textId="17EEB099" w:rsidR="00E67F10" w:rsidRPr="00E723E1" w:rsidRDefault="00E67F10" w:rsidP="00E67F10">
            <w:pPr>
              <w:ind w:left="0" w:firstLine="0"/>
              <w:rPr>
                <w:rFonts w:eastAsia="Times New Roman" w:cs="Calibri"/>
                <w:noProof/>
                <w:sz w:val="20"/>
                <w:szCs w:val="20"/>
                <w:lang w:val="es-ES" w:eastAsia="en-GB"/>
              </w:rPr>
            </w:pPr>
            <w:r w:rsidRPr="00E723E1">
              <w:rPr>
                <w:rFonts w:asciiTheme="minorHAnsi" w:eastAsiaTheme="minorHAnsi" w:hAnsiTheme="minorHAnsi" w:cstheme="minorHAnsi"/>
                <w:noProof/>
                <w:color w:val="000000"/>
                <w:sz w:val="20"/>
                <w:szCs w:val="20"/>
                <w:lang w:val="es-ES"/>
              </w:rPr>
              <w:t xml:space="preserve">B.  </w:t>
            </w:r>
            <w:r w:rsidRPr="00E723E1">
              <w:rPr>
                <w:rFonts w:asciiTheme="minorHAnsi" w:hAnsiTheme="minorHAnsi"/>
                <w:bCs/>
                <w:noProof/>
                <w:sz w:val="20"/>
                <w:szCs w:val="20"/>
                <w:lang w:val="es-ES"/>
              </w:rPr>
              <w:t>Movilización de recursos y promoción</w:t>
            </w:r>
          </w:p>
        </w:tc>
        <w:tc>
          <w:tcPr>
            <w:tcW w:w="141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1B965EA1"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532</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14:paraId="72B9116A"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45</w:t>
            </w:r>
          </w:p>
        </w:tc>
        <w:tc>
          <w:tcPr>
            <w:tcW w:w="1134" w:type="dxa"/>
            <w:tcBorders>
              <w:top w:val="single" w:sz="4" w:space="0" w:color="auto"/>
              <w:left w:val="nil"/>
              <w:bottom w:val="single" w:sz="4" w:space="0" w:color="auto"/>
              <w:right w:val="single" w:sz="4" w:space="0" w:color="auto"/>
            </w:tcBorders>
            <w:shd w:val="clear" w:color="000000" w:fill="EAF1DD"/>
            <w:noWrap/>
            <w:vAlign w:val="center"/>
            <w:hideMark/>
          </w:tcPr>
          <w:p w14:paraId="40DE01EC"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164</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14:paraId="1FFCA2AA"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111</w:t>
            </w:r>
          </w:p>
        </w:tc>
        <w:tc>
          <w:tcPr>
            <w:tcW w:w="1417" w:type="dxa"/>
            <w:tcBorders>
              <w:top w:val="single" w:sz="4" w:space="0" w:color="auto"/>
              <w:left w:val="nil"/>
              <w:bottom w:val="single" w:sz="4" w:space="0" w:color="auto"/>
              <w:right w:val="single" w:sz="4" w:space="0" w:color="auto"/>
            </w:tcBorders>
            <w:shd w:val="clear" w:color="000000" w:fill="EAF1DD"/>
            <w:noWrap/>
            <w:vAlign w:val="center"/>
            <w:hideMark/>
          </w:tcPr>
          <w:p w14:paraId="39F904C3"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50</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14:paraId="21387EBD"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902</w:t>
            </w:r>
          </w:p>
        </w:tc>
        <w:tc>
          <w:tcPr>
            <w:tcW w:w="1276" w:type="dxa"/>
            <w:tcBorders>
              <w:top w:val="single" w:sz="4" w:space="0" w:color="auto"/>
              <w:left w:val="nil"/>
              <w:bottom w:val="single" w:sz="4" w:space="0" w:color="auto"/>
              <w:right w:val="nil"/>
            </w:tcBorders>
            <w:shd w:val="clear" w:color="000000" w:fill="EAF1DD"/>
            <w:noWrap/>
            <w:vAlign w:val="center"/>
            <w:hideMark/>
          </w:tcPr>
          <w:p w14:paraId="0F62E098"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540</w:t>
            </w:r>
          </w:p>
        </w:tc>
        <w:tc>
          <w:tcPr>
            <w:tcW w:w="1417" w:type="dxa"/>
            <w:tcBorders>
              <w:top w:val="single" w:sz="4" w:space="0" w:color="auto"/>
              <w:left w:val="single" w:sz="4" w:space="0" w:color="auto"/>
              <w:bottom w:val="single" w:sz="4" w:space="0" w:color="auto"/>
              <w:right w:val="nil"/>
            </w:tcBorders>
            <w:shd w:val="clear" w:color="000000" w:fill="EAF1DD"/>
            <w:noWrap/>
            <w:vAlign w:val="center"/>
            <w:hideMark/>
          </w:tcPr>
          <w:p w14:paraId="5F4EE914"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71509781"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362</w:t>
            </w:r>
          </w:p>
        </w:tc>
      </w:tr>
      <w:tr w:rsidR="00F270A8" w:rsidRPr="00E723E1" w14:paraId="20499D8D" w14:textId="77777777" w:rsidTr="00CB5635">
        <w:trPr>
          <w:trHeight w:val="255"/>
        </w:trPr>
        <w:tc>
          <w:tcPr>
            <w:tcW w:w="3258" w:type="dxa"/>
            <w:tcBorders>
              <w:top w:val="single" w:sz="4" w:space="0" w:color="auto"/>
              <w:left w:val="single" w:sz="4" w:space="0" w:color="auto"/>
              <w:bottom w:val="single" w:sz="4" w:space="0" w:color="auto"/>
              <w:right w:val="nil"/>
            </w:tcBorders>
            <w:shd w:val="clear" w:color="auto" w:fill="auto"/>
            <w:noWrap/>
            <w:vAlign w:val="center"/>
            <w:hideMark/>
          </w:tcPr>
          <w:p w14:paraId="5F84B815" w14:textId="4AD59032" w:rsidR="00F270A8" w:rsidRPr="00E723E1" w:rsidRDefault="00E67F10" w:rsidP="00F270A8">
            <w:pPr>
              <w:ind w:left="0" w:firstLine="0"/>
              <w:rPr>
                <w:rFonts w:eastAsia="Times New Roman" w:cs="Calibri"/>
                <w:noProof/>
                <w:sz w:val="20"/>
                <w:szCs w:val="20"/>
                <w:lang w:val="es-ES" w:eastAsia="en-GB"/>
              </w:rPr>
            </w:pPr>
            <w:r w:rsidRPr="00E723E1">
              <w:rPr>
                <w:rFonts w:eastAsia="Times New Roman" w:cs="Calibri"/>
                <w:noProof/>
                <w:sz w:val="20"/>
                <w:szCs w:val="20"/>
                <w:lang w:val="es-ES" w:eastAsia="en-GB"/>
              </w:rPr>
              <w:t>Salarios, gastos sociales y otras prestaciones laborales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6DEBD"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396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3EBBBB9"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58D717D"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E47A01D"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CD656A6"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45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5C6D72E"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441</w:t>
            </w:r>
          </w:p>
        </w:tc>
        <w:tc>
          <w:tcPr>
            <w:tcW w:w="1276" w:type="dxa"/>
            <w:tcBorders>
              <w:top w:val="single" w:sz="4" w:space="0" w:color="auto"/>
              <w:left w:val="nil"/>
              <w:bottom w:val="single" w:sz="4" w:space="0" w:color="auto"/>
              <w:right w:val="nil"/>
            </w:tcBorders>
            <w:shd w:val="clear" w:color="auto" w:fill="auto"/>
            <w:noWrap/>
            <w:vAlign w:val="center"/>
            <w:hideMark/>
          </w:tcPr>
          <w:p w14:paraId="0839AE05"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309</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27D5B309"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2231B"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132</w:t>
            </w:r>
          </w:p>
        </w:tc>
      </w:tr>
      <w:tr w:rsidR="00F270A8" w:rsidRPr="00E723E1" w14:paraId="079C6949" w14:textId="77777777" w:rsidTr="00CB5635">
        <w:trPr>
          <w:trHeight w:val="255"/>
        </w:trPr>
        <w:tc>
          <w:tcPr>
            <w:tcW w:w="3258" w:type="dxa"/>
            <w:tcBorders>
              <w:top w:val="single" w:sz="4" w:space="0" w:color="auto"/>
              <w:left w:val="single" w:sz="4" w:space="0" w:color="auto"/>
              <w:bottom w:val="single" w:sz="4" w:space="0" w:color="auto"/>
              <w:right w:val="nil"/>
            </w:tcBorders>
            <w:shd w:val="clear" w:color="auto" w:fill="auto"/>
            <w:noWrap/>
            <w:vAlign w:val="center"/>
            <w:hideMark/>
          </w:tcPr>
          <w:p w14:paraId="0C7467E9" w14:textId="21EB542C" w:rsidR="00F270A8" w:rsidRPr="00E723E1" w:rsidRDefault="00F270A8" w:rsidP="00F270A8">
            <w:pPr>
              <w:ind w:left="0" w:firstLine="0"/>
              <w:rPr>
                <w:rFonts w:eastAsia="Times New Roman" w:cs="Calibri"/>
                <w:noProof/>
                <w:sz w:val="20"/>
                <w:szCs w:val="20"/>
                <w:lang w:val="es-ES" w:eastAsia="en-GB"/>
              </w:rPr>
            </w:pPr>
            <w:r w:rsidRPr="00E723E1">
              <w:rPr>
                <w:rFonts w:eastAsia="Times New Roman" w:cs="Calibri"/>
                <w:noProof/>
                <w:sz w:val="20"/>
                <w:szCs w:val="20"/>
                <w:lang w:val="es-ES" w:eastAsia="en-GB"/>
              </w:rPr>
              <w:t>Program</w:t>
            </w:r>
            <w:r w:rsidR="00E67F10" w:rsidRPr="00E723E1">
              <w:rPr>
                <w:rFonts w:eastAsia="Times New Roman" w:cs="Calibri"/>
                <w:noProof/>
                <w:sz w:val="20"/>
                <w:szCs w:val="20"/>
                <w:lang w:val="es-ES" w:eastAsia="en-GB"/>
              </w:rPr>
              <w:t>a de CECoP</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307EB"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D13BE01"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96CFAF7"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53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4E49DF7"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18CC41A"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04BFC34"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83</w:t>
            </w:r>
          </w:p>
        </w:tc>
        <w:tc>
          <w:tcPr>
            <w:tcW w:w="1276" w:type="dxa"/>
            <w:tcBorders>
              <w:top w:val="single" w:sz="4" w:space="0" w:color="auto"/>
              <w:left w:val="nil"/>
              <w:bottom w:val="single" w:sz="4" w:space="0" w:color="auto"/>
              <w:right w:val="nil"/>
            </w:tcBorders>
            <w:shd w:val="clear" w:color="auto" w:fill="auto"/>
            <w:noWrap/>
            <w:vAlign w:val="center"/>
            <w:hideMark/>
          </w:tcPr>
          <w:p w14:paraId="1E1719CE"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27</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7745AF2D"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E4C28"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56</w:t>
            </w:r>
          </w:p>
        </w:tc>
      </w:tr>
      <w:tr w:rsidR="00E67F10" w:rsidRPr="00E723E1" w14:paraId="026ABF34" w14:textId="77777777" w:rsidTr="00CB5635">
        <w:trPr>
          <w:trHeight w:val="255"/>
        </w:trPr>
        <w:tc>
          <w:tcPr>
            <w:tcW w:w="3258" w:type="dxa"/>
            <w:tcBorders>
              <w:top w:val="single" w:sz="4" w:space="0" w:color="auto"/>
              <w:left w:val="single" w:sz="4" w:space="0" w:color="auto"/>
              <w:bottom w:val="single" w:sz="4" w:space="0" w:color="auto"/>
              <w:right w:val="nil"/>
            </w:tcBorders>
            <w:shd w:val="clear" w:color="auto" w:fill="auto"/>
            <w:noWrap/>
            <w:hideMark/>
          </w:tcPr>
          <w:p w14:paraId="167FC554" w14:textId="4C1E783F" w:rsidR="00E67F10" w:rsidRPr="00E723E1" w:rsidRDefault="00E67F10" w:rsidP="00E67F10">
            <w:pPr>
              <w:ind w:left="0" w:firstLine="0"/>
              <w:rPr>
                <w:rFonts w:eastAsia="Times New Roman" w:cs="Calibri"/>
                <w:noProof/>
                <w:sz w:val="20"/>
                <w:szCs w:val="20"/>
                <w:lang w:val="es-ES" w:eastAsia="en-GB"/>
              </w:rPr>
            </w:pPr>
            <w:r w:rsidRPr="00E723E1">
              <w:rPr>
                <w:rFonts w:asciiTheme="minorHAnsi" w:hAnsiTheme="minorHAnsi"/>
                <w:bCs/>
                <w:noProof/>
                <w:sz w:val="20"/>
                <w:szCs w:val="20"/>
                <w:lang w:val="es-ES"/>
              </w:rPr>
              <w:lastRenderedPageBreak/>
              <w:t>Comunicaciones, traducciones, publicaciones e informes sobre la aplicación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1D6A5"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D545B73"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84506A6"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79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B1CC6CD"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A037EAB"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31F1194"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179</w:t>
            </w:r>
          </w:p>
        </w:tc>
        <w:tc>
          <w:tcPr>
            <w:tcW w:w="1276" w:type="dxa"/>
            <w:tcBorders>
              <w:top w:val="single" w:sz="4" w:space="0" w:color="auto"/>
              <w:left w:val="nil"/>
              <w:bottom w:val="single" w:sz="4" w:space="0" w:color="auto"/>
              <w:right w:val="nil"/>
            </w:tcBorders>
            <w:shd w:val="clear" w:color="auto" w:fill="auto"/>
            <w:noWrap/>
            <w:vAlign w:val="center"/>
            <w:hideMark/>
          </w:tcPr>
          <w:p w14:paraId="19F24218"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122</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7DDE58B3"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DBDE4"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57</w:t>
            </w:r>
          </w:p>
        </w:tc>
      </w:tr>
      <w:tr w:rsidR="00E67F10" w:rsidRPr="00E723E1" w14:paraId="15C3563E" w14:textId="77777777" w:rsidTr="00CB5635">
        <w:trPr>
          <w:trHeight w:val="255"/>
        </w:trPr>
        <w:tc>
          <w:tcPr>
            <w:tcW w:w="3258" w:type="dxa"/>
            <w:tcBorders>
              <w:top w:val="nil"/>
              <w:left w:val="single" w:sz="4" w:space="0" w:color="auto"/>
              <w:bottom w:val="single" w:sz="4" w:space="0" w:color="auto"/>
              <w:right w:val="nil"/>
            </w:tcBorders>
            <w:shd w:val="clear" w:color="auto" w:fill="auto"/>
            <w:noWrap/>
            <w:hideMark/>
          </w:tcPr>
          <w:p w14:paraId="5435EC88" w14:textId="788C4649" w:rsidR="00E67F10" w:rsidRPr="00E723E1" w:rsidRDefault="00E67F10" w:rsidP="00E67F10">
            <w:pPr>
              <w:ind w:left="0" w:firstLine="0"/>
              <w:rPr>
                <w:rFonts w:eastAsia="Times New Roman" w:cs="Calibri"/>
                <w:noProof/>
                <w:sz w:val="20"/>
                <w:szCs w:val="20"/>
                <w:lang w:val="es-ES" w:eastAsia="en-GB"/>
              </w:rPr>
            </w:pPr>
            <w:r w:rsidRPr="00E723E1">
              <w:rPr>
                <w:rFonts w:asciiTheme="minorHAnsi" w:eastAsiaTheme="minorHAnsi" w:hAnsiTheme="minorHAnsi" w:cstheme="minorHAnsi"/>
                <w:noProof/>
                <w:color w:val="000000"/>
                <w:sz w:val="20"/>
                <w:szCs w:val="20"/>
                <w:lang w:val="es-ES"/>
              </w:rPr>
              <w:t>DMH</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33BFF18E"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65A29E63"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14:paraId="2AA338F2"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20</w:t>
            </w:r>
          </w:p>
        </w:tc>
        <w:tc>
          <w:tcPr>
            <w:tcW w:w="1276" w:type="dxa"/>
            <w:tcBorders>
              <w:top w:val="nil"/>
              <w:left w:val="nil"/>
              <w:bottom w:val="single" w:sz="4" w:space="0" w:color="auto"/>
              <w:right w:val="single" w:sz="4" w:space="0" w:color="auto"/>
            </w:tcBorders>
            <w:shd w:val="clear" w:color="auto" w:fill="auto"/>
            <w:noWrap/>
            <w:vAlign w:val="center"/>
            <w:hideMark/>
          </w:tcPr>
          <w:p w14:paraId="52CC74DA"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25</w:t>
            </w:r>
          </w:p>
        </w:tc>
        <w:tc>
          <w:tcPr>
            <w:tcW w:w="1417" w:type="dxa"/>
            <w:tcBorders>
              <w:top w:val="nil"/>
              <w:left w:val="nil"/>
              <w:bottom w:val="single" w:sz="4" w:space="0" w:color="auto"/>
              <w:right w:val="single" w:sz="4" w:space="0" w:color="auto"/>
            </w:tcBorders>
            <w:shd w:val="clear" w:color="auto" w:fill="auto"/>
            <w:noWrap/>
            <w:vAlign w:val="center"/>
            <w:hideMark/>
          </w:tcPr>
          <w:p w14:paraId="08ABC057"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3FFE87B9"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45</w:t>
            </w:r>
          </w:p>
        </w:tc>
        <w:tc>
          <w:tcPr>
            <w:tcW w:w="1276" w:type="dxa"/>
            <w:tcBorders>
              <w:top w:val="nil"/>
              <w:left w:val="nil"/>
              <w:bottom w:val="single" w:sz="4" w:space="0" w:color="auto"/>
              <w:right w:val="nil"/>
            </w:tcBorders>
            <w:shd w:val="clear" w:color="auto" w:fill="auto"/>
            <w:noWrap/>
            <w:vAlign w:val="center"/>
            <w:hideMark/>
          </w:tcPr>
          <w:p w14:paraId="22A98DF0"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33</w:t>
            </w:r>
          </w:p>
        </w:tc>
        <w:tc>
          <w:tcPr>
            <w:tcW w:w="1417" w:type="dxa"/>
            <w:tcBorders>
              <w:top w:val="nil"/>
              <w:left w:val="single" w:sz="4" w:space="0" w:color="auto"/>
              <w:bottom w:val="single" w:sz="4" w:space="0" w:color="auto"/>
              <w:right w:val="nil"/>
            </w:tcBorders>
            <w:shd w:val="clear" w:color="auto" w:fill="auto"/>
            <w:noWrap/>
            <w:vAlign w:val="center"/>
            <w:hideMark/>
          </w:tcPr>
          <w:p w14:paraId="5DB6FFD6"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08191CD"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12</w:t>
            </w:r>
          </w:p>
        </w:tc>
      </w:tr>
      <w:tr w:rsidR="00E67F10" w:rsidRPr="00E723E1" w14:paraId="27B3DFC7" w14:textId="77777777" w:rsidTr="00CB5635">
        <w:trPr>
          <w:trHeight w:val="255"/>
        </w:trPr>
        <w:tc>
          <w:tcPr>
            <w:tcW w:w="3258" w:type="dxa"/>
            <w:tcBorders>
              <w:top w:val="nil"/>
              <w:left w:val="single" w:sz="4" w:space="0" w:color="auto"/>
              <w:bottom w:val="nil"/>
              <w:right w:val="nil"/>
            </w:tcBorders>
            <w:shd w:val="clear" w:color="auto" w:fill="auto"/>
            <w:noWrap/>
            <w:hideMark/>
          </w:tcPr>
          <w:p w14:paraId="01D04A2A" w14:textId="6D661251" w:rsidR="00E67F10" w:rsidRPr="00E723E1" w:rsidRDefault="00E67F10" w:rsidP="00E67F10">
            <w:pPr>
              <w:ind w:left="0" w:firstLine="0"/>
              <w:rPr>
                <w:rFonts w:eastAsia="Times New Roman" w:cs="Calibri"/>
                <w:noProof/>
                <w:sz w:val="20"/>
                <w:szCs w:val="20"/>
                <w:lang w:val="es-ES" w:eastAsia="en-GB"/>
              </w:rPr>
            </w:pPr>
            <w:r w:rsidRPr="00E723E1">
              <w:rPr>
                <w:rFonts w:asciiTheme="minorHAnsi" w:eastAsiaTheme="minorHAnsi" w:hAnsiTheme="minorHAnsi" w:cstheme="minorHAnsi"/>
                <w:noProof/>
                <w:color w:val="000000"/>
                <w:sz w:val="20"/>
                <w:szCs w:val="20"/>
                <w:lang w:val="es-ES"/>
              </w:rPr>
              <w:t>50º Aniversario en 2021</w:t>
            </w:r>
          </w:p>
        </w:tc>
        <w:tc>
          <w:tcPr>
            <w:tcW w:w="1417" w:type="dxa"/>
            <w:tcBorders>
              <w:top w:val="nil"/>
              <w:left w:val="single" w:sz="4" w:space="0" w:color="auto"/>
              <w:bottom w:val="nil"/>
              <w:right w:val="single" w:sz="4" w:space="0" w:color="auto"/>
            </w:tcBorders>
            <w:shd w:val="clear" w:color="auto" w:fill="auto"/>
            <w:noWrap/>
            <w:vAlign w:val="center"/>
            <w:hideMark/>
          </w:tcPr>
          <w:p w14:paraId="2EB9E53B"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nil"/>
              <w:right w:val="single" w:sz="4" w:space="0" w:color="auto"/>
            </w:tcBorders>
            <w:shd w:val="clear" w:color="auto" w:fill="auto"/>
            <w:noWrap/>
            <w:vAlign w:val="center"/>
            <w:hideMark/>
          </w:tcPr>
          <w:p w14:paraId="2C9BD637"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nil"/>
              <w:left w:val="nil"/>
              <w:bottom w:val="nil"/>
              <w:right w:val="single" w:sz="4" w:space="0" w:color="auto"/>
            </w:tcBorders>
            <w:shd w:val="clear" w:color="auto" w:fill="auto"/>
            <w:noWrap/>
            <w:vAlign w:val="center"/>
            <w:hideMark/>
          </w:tcPr>
          <w:p w14:paraId="7175B4EC"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8</w:t>
            </w:r>
          </w:p>
        </w:tc>
        <w:tc>
          <w:tcPr>
            <w:tcW w:w="1276" w:type="dxa"/>
            <w:tcBorders>
              <w:top w:val="nil"/>
              <w:left w:val="nil"/>
              <w:bottom w:val="nil"/>
              <w:right w:val="single" w:sz="4" w:space="0" w:color="auto"/>
            </w:tcBorders>
            <w:shd w:val="clear" w:color="auto" w:fill="auto"/>
            <w:noWrap/>
            <w:vAlign w:val="center"/>
            <w:hideMark/>
          </w:tcPr>
          <w:p w14:paraId="4BAAC3BC"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nil"/>
              <w:left w:val="nil"/>
              <w:bottom w:val="nil"/>
              <w:right w:val="single" w:sz="4" w:space="0" w:color="auto"/>
            </w:tcBorders>
            <w:shd w:val="clear" w:color="auto" w:fill="auto"/>
            <w:noWrap/>
            <w:vAlign w:val="center"/>
            <w:hideMark/>
          </w:tcPr>
          <w:p w14:paraId="7123E2D4"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nil"/>
              <w:right w:val="single" w:sz="4" w:space="0" w:color="auto"/>
            </w:tcBorders>
            <w:shd w:val="clear" w:color="auto" w:fill="auto"/>
            <w:noWrap/>
            <w:vAlign w:val="center"/>
            <w:hideMark/>
          </w:tcPr>
          <w:p w14:paraId="08C1CF90"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8</w:t>
            </w:r>
          </w:p>
        </w:tc>
        <w:tc>
          <w:tcPr>
            <w:tcW w:w="1276" w:type="dxa"/>
            <w:tcBorders>
              <w:top w:val="nil"/>
              <w:left w:val="nil"/>
              <w:bottom w:val="nil"/>
              <w:right w:val="nil"/>
            </w:tcBorders>
            <w:shd w:val="clear" w:color="auto" w:fill="auto"/>
            <w:noWrap/>
            <w:vAlign w:val="center"/>
            <w:hideMark/>
          </w:tcPr>
          <w:p w14:paraId="0E447433"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8</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732A746F"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14:paraId="3EC1B119"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r>
      <w:tr w:rsidR="00E67F10" w:rsidRPr="00E723E1" w14:paraId="7F4C4671" w14:textId="77777777" w:rsidTr="00CB5635">
        <w:trPr>
          <w:trHeight w:val="255"/>
        </w:trPr>
        <w:tc>
          <w:tcPr>
            <w:tcW w:w="3258" w:type="dxa"/>
            <w:tcBorders>
              <w:top w:val="single" w:sz="4" w:space="0" w:color="auto"/>
              <w:left w:val="single" w:sz="4" w:space="0" w:color="auto"/>
              <w:bottom w:val="single" w:sz="4" w:space="0" w:color="auto"/>
              <w:right w:val="nil"/>
            </w:tcBorders>
            <w:shd w:val="clear" w:color="auto" w:fill="auto"/>
            <w:noWrap/>
            <w:hideMark/>
          </w:tcPr>
          <w:p w14:paraId="3A9CAB03" w14:textId="5C3D32CA" w:rsidR="00E67F10" w:rsidRPr="00E723E1" w:rsidRDefault="00E67F10" w:rsidP="00E67F10">
            <w:pPr>
              <w:ind w:left="0" w:firstLine="0"/>
              <w:rPr>
                <w:rFonts w:eastAsia="Times New Roman" w:cs="Calibri"/>
                <w:noProof/>
                <w:sz w:val="20"/>
                <w:szCs w:val="20"/>
                <w:lang w:val="es-ES" w:eastAsia="en-GB"/>
              </w:rPr>
            </w:pPr>
            <w:r w:rsidRPr="00E723E1">
              <w:rPr>
                <w:rFonts w:asciiTheme="minorHAnsi" w:hAnsiTheme="minorHAnsi"/>
                <w:bCs/>
                <w:noProof/>
                <w:sz w:val="20"/>
                <w:szCs w:val="20"/>
                <w:lang w:val="es-ES"/>
              </w:rPr>
              <w:t xml:space="preserve">Apoyo </w:t>
            </w:r>
            <w:r w:rsidRPr="00E723E1">
              <w:rPr>
                <w:rFonts w:asciiTheme="minorHAnsi" w:hAnsiTheme="minorHAnsi"/>
                <w:bCs/>
                <w:noProof/>
                <w:color w:val="000000" w:themeColor="text1"/>
                <w:sz w:val="20"/>
                <w:szCs w:val="20"/>
                <w:lang w:val="es-ES"/>
              </w:rPr>
              <w:t>y desarrollo del sitio web/servicios informáticos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96423"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36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B636896"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FAFFC1D"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D67B229"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E2AAFA0"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6A07A12"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40</w:t>
            </w:r>
          </w:p>
        </w:tc>
        <w:tc>
          <w:tcPr>
            <w:tcW w:w="1276" w:type="dxa"/>
            <w:tcBorders>
              <w:top w:val="single" w:sz="4" w:space="0" w:color="auto"/>
              <w:left w:val="nil"/>
              <w:bottom w:val="single" w:sz="4" w:space="0" w:color="auto"/>
              <w:right w:val="nil"/>
            </w:tcBorders>
            <w:shd w:val="clear" w:color="auto" w:fill="auto"/>
            <w:noWrap/>
            <w:vAlign w:val="center"/>
            <w:hideMark/>
          </w:tcPr>
          <w:p w14:paraId="6577E26C"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40</w:t>
            </w:r>
          </w:p>
        </w:tc>
        <w:tc>
          <w:tcPr>
            <w:tcW w:w="1417" w:type="dxa"/>
            <w:tcBorders>
              <w:top w:val="nil"/>
              <w:left w:val="single" w:sz="4" w:space="0" w:color="auto"/>
              <w:bottom w:val="nil"/>
              <w:right w:val="nil"/>
            </w:tcBorders>
            <w:shd w:val="clear" w:color="auto" w:fill="auto"/>
            <w:noWrap/>
            <w:vAlign w:val="center"/>
            <w:hideMark/>
          </w:tcPr>
          <w:p w14:paraId="433639ED"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nil"/>
              <w:left w:val="single" w:sz="4" w:space="0" w:color="auto"/>
              <w:bottom w:val="nil"/>
              <w:right w:val="single" w:sz="4" w:space="0" w:color="auto"/>
            </w:tcBorders>
            <w:shd w:val="clear" w:color="auto" w:fill="auto"/>
            <w:noWrap/>
            <w:vAlign w:val="center"/>
            <w:hideMark/>
          </w:tcPr>
          <w:p w14:paraId="12591A22" w14:textId="77777777" w:rsidR="00E67F10" w:rsidRPr="00E723E1" w:rsidRDefault="00E67F10" w:rsidP="00E67F10">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r>
      <w:tr w:rsidR="00F270A8" w:rsidRPr="00E723E1" w14:paraId="1B0552F5" w14:textId="77777777" w:rsidTr="00CB5635">
        <w:trPr>
          <w:trHeight w:val="255"/>
        </w:trPr>
        <w:tc>
          <w:tcPr>
            <w:tcW w:w="3258" w:type="dxa"/>
            <w:tcBorders>
              <w:top w:val="nil"/>
              <w:left w:val="single" w:sz="4" w:space="0" w:color="auto"/>
              <w:bottom w:val="single" w:sz="4" w:space="0" w:color="auto"/>
              <w:right w:val="nil"/>
            </w:tcBorders>
            <w:shd w:val="clear" w:color="auto" w:fill="auto"/>
            <w:noWrap/>
            <w:vAlign w:val="center"/>
            <w:hideMark/>
          </w:tcPr>
          <w:p w14:paraId="2C3750D1" w14:textId="71163BDE" w:rsidR="00F270A8" w:rsidRPr="00E723E1" w:rsidRDefault="00B07108" w:rsidP="00F270A8">
            <w:pPr>
              <w:ind w:left="0" w:firstLine="0"/>
              <w:rPr>
                <w:rFonts w:eastAsia="Times New Roman" w:cs="Calibri"/>
                <w:noProof/>
                <w:sz w:val="20"/>
                <w:szCs w:val="20"/>
                <w:lang w:val="es-ES" w:eastAsia="en-GB"/>
              </w:rPr>
            </w:pPr>
            <w:r>
              <w:rPr>
                <w:rFonts w:eastAsia="Times New Roman" w:cs="Calibri"/>
                <w:noProof/>
                <w:sz w:val="20"/>
                <w:szCs w:val="20"/>
                <w:lang w:val="es-ES" w:eastAsia="en-GB"/>
              </w:rPr>
              <w:t>Remodelación del</w:t>
            </w:r>
            <w:r w:rsidR="00AE2808" w:rsidRPr="00E723E1">
              <w:rPr>
                <w:rFonts w:eastAsia="Times New Roman" w:cs="Calibri"/>
                <w:noProof/>
                <w:sz w:val="20"/>
                <w:szCs w:val="20"/>
                <w:lang w:val="es-ES" w:eastAsia="en-GB"/>
              </w:rPr>
              <w:t xml:space="preserve"> sitio </w:t>
            </w:r>
            <w:r>
              <w:rPr>
                <w:rFonts w:eastAsia="Times New Roman" w:cs="Calibri"/>
                <w:noProof/>
                <w:sz w:val="20"/>
                <w:szCs w:val="20"/>
                <w:lang w:val="es-ES" w:eastAsia="en-GB"/>
              </w:rPr>
              <w:t>w</w:t>
            </w:r>
            <w:r w:rsidR="00F270A8" w:rsidRPr="00E723E1">
              <w:rPr>
                <w:rFonts w:eastAsia="Times New Roman" w:cs="Calibri"/>
                <w:noProof/>
                <w:sz w:val="20"/>
                <w:szCs w:val="20"/>
                <w:lang w:val="es-ES" w:eastAsia="en-GB"/>
              </w:rPr>
              <w:t>eb</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61242DD4"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43FEF7EE"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14:paraId="277A3E1A"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17AD40B7"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86</w:t>
            </w:r>
          </w:p>
        </w:tc>
        <w:tc>
          <w:tcPr>
            <w:tcW w:w="1417" w:type="dxa"/>
            <w:tcBorders>
              <w:top w:val="nil"/>
              <w:left w:val="nil"/>
              <w:bottom w:val="single" w:sz="4" w:space="0" w:color="auto"/>
              <w:right w:val="single" w:sz="4" w:space="0" w:color="auto"/>
            </w:tcBorders>
            <w:shd w:val="clear" w:color="auto" w:fill="auto"/>
            <w:noWrap/>
            <w:vAlign w:val="center"/>
            <w:hideMark/>
          </w:tcPr>
          <w:p w14:paraId="6C987B14"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30B69CDC"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86</w:t>
            </w:r>
          </w:p>
        </w:tc>
        <w:tc>
          <w:tcPr>
            <w:tcW w:w="1276" w:type="dxa"/>
            <w:tcBorders>
              <w:top w:val="nil"/>
              <w:left w:val="nil"/>
              <w:bottom w:val="single" w:sz="4" w:space="0" w:color="auto"/>
              <w:right w:val="nil"/>
            </w:tcBorders>
            <w:shd w:val="clear" w:color="auto" w:fill="auto"/>
            <w:noWrap/>
            <w:vAlign w:val="center"/>
            <w:hideMark/>
          </w:tcPr>
          <w:p w14:paraId="68AC81A8"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3CF6ECCA"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6C44B"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86</w:t>
            </w:r>
          </w:p>
        </w:tc>
      </w:tr>
      <w:tr w:rsidR="00F270A8" w:rsidRPr="00E723E1" w14:paraId="074C89D9" w14:textId="77777777" w:rsidTr="00CB5635">
        <w:trPr>
          <w:trHeight w:val="255"/>
        </w:trPr>
        <w:tc>
          <w:tcPr>
            <w:tcW w:w="3258" w:type="dxa"/>
            <w:tcBorders>
              <w:top w:val="nil"/>
              <w:left w:val="single" w:sz="4" w:space="0" w:color="auto"/>
              <w:bottom w:val="nil"/>
              <w:right w:val="nil"/>
            </w:tcBorders>
            <w:shd w:val="clear" w:color="auto" w:fill="auto"/>
            <w:noWrap/>
            <w:vAlign w:val="center"/>
            <w:hideMark/>
          </w:tcPr>
          <w:p w14:paraId="364C2F16" w14:textId="68824D22" w:rsidR="00F270A8" w:rsidRPr="00E723E1" w:rsidRDefault="00AE2808" w:rsidP="00F270A8">
            <w:pPr>
              <w:ind w:left="0" w:firstLine="0"/>
              <w:rPr>
                <w:rFonts w:eastAsia="Times New Roman" w:cs="Calibri"/>
                <w:noProof/>
                <w:sz w:val="20"/>
                <w:szCs w:val="20"/>
                <w:lang w:val="es-ES" w:eastAsia="en-GB"/>
              </w:rPr>
            </w:pPr>
            <w:r w:rsidRPr="00E723E1">
              <w:rPr>
                <w:rFonts w:eastAsia="Times New Roman" w:cs="Calibri"/>
                <w:noProof/>
                <w:sz w:val="20"/>
                <w:szCs w:val="20"/>
                <w:lang w:val="es-ES" w:eastAsia="en-GB"/>
              </w:rPr>
              <w:t>Viajes</w:t>
            </w:r>
          </w:p>
        </w:tc>
        <w:tc>
          <w:tcPr>
            <w:tcW w:w="1417" w:type="dxa"/>
            <w:tcBorders>
              <w:top w:val="nil"/>
              <w:left w:val="single" w:sz="4" w:space="0" w:color="auto"/>
              <w:bottom w:val="nil"/>
              <w:right w:val="single" w:sz="4" w:space="0" w:color="auto"/>
            </w:tcBorders>
            <w:shd w:val="clear" w:color="auto" w:fill="auto"/>
            <w:noWrap/>
            <w:vAlign w:val="center"/>
            <w:hideMark/>
          </w:tcPr>
          <w:p w14:paraId="23B72DAB"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10</w:t>
            </w:r>
          </w:p>
        </w:tc>
        <w:tc>
          <w:tcPr>
            <w:tcW w:w="1276" w:type="dxa"/>
            <w:tcBorders>
              <w:top w:val="nil"/>
              <w:left w:val="nil"/>
              <w:bottom w:val="nil"/>
              <w:right w:val="single" w:sz="4" w:space="0" w:color="auto"/>
            </w:tcBorders>
            <w:shd w:val="clear" w:color="auto" w:fill="auto"/>
            <w:noWrap/>
            <w:vAlign w:val="center"/>
            <w:hideMark/>
          </w:tcPr>
          <w:p w14:paraId="455FC852"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5</w:t>
            </w:r>
          </w:p>
        </w:tc>
        <w:tc>
          <w:tcPr>
            <w:tcW w:w="1134" w:type="dxa"/>
            <w:tcBorders>
              <w:top w:val="nil"/>
              <w:left w:val="nil"/>
              <w:bottom w:val="nil"/>
              <w:right w:val="single" w:sz="4" w:space="0" w:color="auto"/>
            </w:tcBorders>
            <w:shd w:val="clear" w:color="auto" w:fill="auto"/>
            <w:noWrap/>
            <w:vAlign w:val="center"/>
            <w:hideMark/>
          </w:tcPr>
          <w:p w14:paraId="0694CB68"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nil"/>
              <w:right w:val="single" w:sz="4" w:space="0" w:color="auto"/>
            </w:tcBorders>
            <w:shd w:val="clear" w:color="auto" w:fill="auto"/>
            <w:noWrap/>
            <w:vAlign w:val="center"/>
            <w:hideMark/>
          </w:tcPr>
          <w:p w14:paraId="154C118D"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nil"/>
              <w:left w:val="nil"/>
              <w:bottom w:val="nil"/>
              <w:right w:val="single" w:sz="4" w:space="0" w:color="auto"/>
            </w:tcBorders>
            <w:shd w:val="clear" w:color="auto" w:fill="auto"/>
            <w:noWrap/>
            <w:vAlign w:val="center"/>
            <w:hideMark/>
          </w:tcPr>
          <w:p w14:paraId="224A0D9D"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5</w:t>
            </w:r>
          </w:p>
        </w:tc>
        <w:tc>
          <w:tcPr>
            <w:tcW w:w="1276" w:type="dxa"/>
            <w:tcBorders>
              <w:top w:val="nil"/>
              <w:left w:val="nil"/>
              <w:bottom w:val="nil"/>
              <w:right w:val="single" w:sz="4" w:space="0" w:color="auto"/>
            </w:tcBorders>
            <w:shd w:val="clear" w:color="auto" w:fill="auto"/>
            <w:noWrap/>
            <w:vAlign w:val="center"/>
            <w:hideMark/>
          </w:tcPr>
          <w:p w14:paraId="0DF90D24"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20</w:t>
            </w:r>
          </w:p>
        </w:tc>
        <w:tc>
          <w:tcPr>
            <w:tcW w:w="1276" w:type="dxa"/>
            <w:tcBorders>
              <w:top w:val="nil"/>
              <w:left w:val="nil"/>
              <w:bottom w:val="nil"/>
              <w:right w:val="nil"/>
            </w:tcBorders>
            <w:shd w:val="clear" w:color="auto" w:fill="auto"/>
            <w:noWrap/>
            <w:vAlign w:val="center"/>
            <w:hideMark/>
          </w:tcPr>
          <w:p w14:paraId="2679CE09"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w:t>
            </w:r>
          </w:p>
        </w:tc>
        <w:tc>
          <w:tcPr>
            <w:tcW w:w="1417" w:type="dxa"/>
            <w:tcBorders>
              <w:top w:val="nil"/>
              <w:left w:val="single" w:sz="4" w:space="0" w:color="auto"/>
              <w:bottom w:val="nil"/>
              <w:right w:val="nil"/>
            </w:tcBorders>
            <w:shd w:val="clear" w:color="auto" w:fill="auto"/>
            <w:noWrap/>
            <w:vAlign w:val="center"/>
            <w:hideMark/>
          </w:tcPr>
          <w:p w14:paraId="29E1EC56"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nil"/>
              <w:left w:val="single" w:sz="4" w:space="0" w:color="auto"/>
              <w:bottom w:val="nil"/>
              <w:right w:val="single" w:sz="4" w:space="0" w:color="auto"/>
            </w:tcBorders>
            <w:shd w:val="clear" w:color="auto" w:fill="auto"/>
            <w:noWrap/>
            <w:vAlign w:val="center"/>
            <w:hideMark/>
          </w:tcPr>
          <w:p w14:paraId="5B347A81"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18</w:t>
            </w:r>
          </w:p>
        </w:tc>
      </w:tr>
      <w:tr w:rsidR="00AE2808" w:rsidRPr="00E723E1" w14:paraId="13FEB2F8" w14:textId="77777777" w:rsidTr="00CB5635">
        <w:trPr>
          <w:trHeight w:val="255"/>
        </w:trPr>
        <w:tc>
          <w:tcPr>
            <w:tcW w:w="3258" w:type="dxa"/>
            <w:tcBorders>
              <w:top w:val="single" w:sz="4" w:space="0" w:color="auto"/>
              <w:left w:val="single" w:sz="4" w:space="0" w:color="auto"/>
              <w:bottom w:val="single" w:sz="4" w:space="0" w:color="auto"/>
              <w:right w:val="nil"/>
            </w:tcBorders>
            <w:shd w:val="clear" w:color="000000" w:fill="EAF1DD"/>
            <w:noWrap/>
            <w:hideMark/>
          </w:tcPr>
          <w:p w14:paraId="1E50FB49" w14:textId="3B2BE50B" w:rsidR="00AE2808" w:rsidRPr="00E723E1" w:rsidRDefault="00AE2808" w:rsidP="00AE2808">
            <w:pPr>
              <w:ind w:left="0" w:firstLine="0"/>
              <w:rPr>
                <w:rFonts w:eastAsia="Times New Roman" w:cs="Calibri"/>
                <w:noProof/>
                <w:sz w:val="20"/>
                <w:szCs w:val="20"/>
                <w:lang w:val="es-ES" w:eastAsia="en-GB"/>
              </w:rPr>
            </w:pPr>
            <w:r w:rsidRPr="00E723E1">
              <w:rPr>
                <w:rFonts w:asciiTheme="minorHAnsi" w:eastAsiaTheme="minorHAnsi" w:hAnsiTheme="minorHAnsi" w:cstheme="minorHAnsi"/>
                <w:noProof/>
                <w:color w:val="000000"/>
                <w:sz w:val="20"/>
                <w:szCs w:val="20"/>
                <w:lang w:val="es-ES"/>
              </w:rPr>
              <w:t>C.  Asesoramiento y apoyo regionales</w:t>
            </w:r>
          </w:p>
        </w:tc>
        <w:tc>
          <w:tcPr>
            <w:tcW w:w="141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3C4F4DD" w14:textId="347B4628"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w:t>
            </w:r>
            <w:r w:rsidR="004B6B6E">
              <w:rPr>
                <w:rFonts w:eastAsia="Times New Roman" w:cs="Calibri"/>
                <w:noProof/>
                <w:sz w:val="20"/>
                <w:szCs w:val="20"/>
                <w:lang w:val="es-ES" w:eastAsia="en-GB"/>
              </w:rPr>
              <w:t xml:space="preserve"> </w:t>
            </w:r>
            <w:r w:rsidRPr="00E723E1">
              <w:rPr>
                <w:rFonts w:eastAsia="Times New Roman" w:cs="Calibri"/>
                <w:noProof/>
                <w:sz w:val="20"/>
                <w:szCs w:val="20"/>
                <w:lang w:val="es-ES" w:eastAsia="en-GB"/>
              </w:rPr>
              <w:t>316</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14:paraId="55F297DA"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10</w:t>
            </w:r>
          </w:p>
        </w:tc>
        <w:tc>
          <w:tcPr>
            <w:tcW w:w="1134" w:type="dxa"/>
            <w:tcBorders>
              <w:top w:val="single" w:sz="4" w:space="0" w:color="auto"/>
              <w:left w:val="nil"/>
              <w:bottom w:val="single" w:sz="4" w:space="0" w:color="auto"/>
              <w:right w:val="single" w:sz="4" w:space="0" w:color="auto"/>
            </w:tcBorders>
            <w:shd w:val="clear" w:color="000000" w:fill="EAF1DD"/>
            <w:noWrap/>
            <w:vAlign w:val="center"/>
            <w:hideMark/>
          </w:tcPr>
          <w:p w14:paraId="56B870AB"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96</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14:paraId="7CC72E3A"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single" w:sz="4" w:space="0" w:color="auto"/>
              <w:left w:val="nil"/>
              <w:bottom w:val="single" w:sz="4" w:space="0" w:color="auto"/>
              <w:right w:val="single" w:sz="4" w:space="0" w:color="auto"/>
            </w:tcBorders>
            <w:shd w:val="clear" w:color="000000" w:fill="EAF1DD"/>
            <w:noWrap/>
            <w:vAlign w:val="center"/>
            <w:hideMark/>
          </w:tcPr>
          <w:p w14:paraId="00456CAC"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225</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14:paraId="0266B0DE" w14:textId="2D958688"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w:t>
            </w:r>
            <w:r w:rsidR="004B6B6E">
              <w:rPr>
                <w:rFonts w:eastAsia="Times New Roman" w:cs="Calibri"/>
                <w:noProof/>
                <w:sz w:val="20"/>
                <w:szCs w:val="20"/>
                <w:lang w:val="es-ES" w:eastAsia="en-GB"/>
              </w:rPr>
              <w:t xml:space="preserve"> </w:t>
            </w:r>
            <w:r w:rsidRPr="00E723E1">
              <w:rPr>
                <w:rFonts w:eastAsia="Times New Roman" w:cs="Calibri"/>
                <w:noProof/>
                <w:sz w:val="20"/>
                <w:szCs w:val="20"/>
                <w:lang w:val="es-ES" w:eastAsia="en-GB"/>
              </w:rPr>
              <w:t>647</w:t>
            </w:r>
          </w:p>
        </w:tc>
        <w:tc>
          <w:tcPr>
            <w:tcW w:w="1276" w:type="dxa"/>
            <w:tcBorders>
              <w:top w:val="single" w:sz="4" w:space="0" w:color="auto"/>
              <w:left w:val="nil"/>
              <w:bottom w:val="single" w:sz="4" w:space="0" w:color="auto"/>
              <w:right w:val="nil"/>
            </w:tcBorders>
            <w:shd w:val="clear" w:color="000000" w:fill="EAF1DD"/>
            <w:noWrap/>
            <w:vAlign w:val="center"/>
            <w:hideMark/>
          </w:tcPr>
          <w:p w14:paraId="389BF8D6" w14:textId="0ADD82FB"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w:t>
            </w:r>
            <w:r w:rsidR="004B6B6E">
              <w:rPr>
                <w:rFonts w:eastAsia="Times New Roman" w:cs="Calibri"/>
                <w:noProof/>
                <w:sz w:val="20"/>
                <w:szCs w:val="20"/>
                <w:lang w:val="es-ES" w:eastAsia="en-GB"/>
              </w:rPr>
              <w:t xml:space="preserve"> </w:t>
            </w:r>
            <w:r w:rsidRPr="00E723E1">
              <w:rPr>
                <w:rFonts w:eastAsia="Times New Roman" w:cs="Calibri"/>
                <w:noProof/>
                <w:sz w:val="20"/>
                <w:szCs w:val="20"/>
                <w:lang w:val="es-ES" w:eastAsia="en-GB"/>
              </w:rPr>
              <w:t>086</w:t>
            </w:r>
          </w:p>
        </w:tc>
        <w:tc>
          <w:tcPr>
            <w:tcW w:w="1417" w:type="dxa"/>
            <w:tcBorders>
              <w:top w:val="single" w:sz="4" w:space="0" w:color="auto"/>
              <w:left w:val="single" w:sz="4" w:space="0" w:color="auto"/>
              <w:bottom w:val="single" w:sz="4" w:space="0" w:color="auto"/>
              <w:right w:val="nil"/>
            </w:tcBorders>
            <w:shd w:val="clear" w:color="auto" w:fill="EAF1DD" w:themeFill="accent3" w:themeFillTint="33"/>
            <w:noWrap/>
            <w:vAlign w:val="center"/>
            <w:hideMark/>
          </w:tcPr>
          <w:p w14:paraId="52A5F6D5"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(11)</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3FB1FC5"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550</w:t>
            </w:r>
          </w:p>
        </w:tc>
      </w:tr>
      <w:tr w:rsidR="00AE2808" w:rsidRPr="00E723E1" w14:paraId="38740492" w14:textId="77777777" w:rsidTr="00CB5635">
        <w:trPr>
          <w:trHeight w:val="255"/>
        </w:trPr>
        <w:tc>
          <w:tcPr>
            <w:tcW w:w="3258" w:type="dxa"/>
            <w:tcBorders>
              <w:top w:val="single" w:sz="4" w:space="0" w:color="auto"/>
              <w:left w:val="single" w:sz="4" w:space="0" w:color="auto"/>
              <w:bottom w:val="single" w:sz="4" w:space="0" w:color="auto"/>
              <w:right w:val="nil"/>
            </w:tcBorders>
            <w:shd w:val="clear" w:color="auto" w:fill="auto"/>
            <w:noWrap/>
            <w:vAlign w:val="center"/>
            <w:hideMark/>
          </w:tcPr>
          <w:p w14:paraId="2D2484E0" w14:textId="25ECA92D" w:rsidR="00AE2808" w:rsidRPr="00E723E1" w:rsidRDefault="00AE2808" w:rsidP="00AE2808">
            <w:pPr>
              <w:ind w:left="0" w:firstLine="0"/>
              <w:rPr>
                <w:rFonts w:eastAsia="Times New Roman" w:cs="Calibri"/>
                <w:noProof/>
                <w:sz w:val="20"/>
                <w:szCs w:val="20"/>
                <w:lang w:val="es-ES" w:eastAsia="en-GB"/>
              </w:rPr>
            </w:pPr>
            <w:r w:rsidRPr="00E723E1">
              <w:rPr>
                <w:rFonts w:eastAsia="Times New Roman" w:cs="Calibri"/>
                <w:noProof/>
                <w:sz w:val="20"/>
                <w:szCs w:val="20"/>
                <w:lang w:val="es-ES" w:eastAsia="en-GB"/>
              </w:rPr>
              <w:t>Salarios, gastos sociales y otras prestaciones laborales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A425D" w14:textId="01D396D9"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w:t>
            </w:r>
            <w:r w:rsidR="004B6B6E">
              <w:rPr>
                <w:rFonts w:eastAsia="Times New Roman" w:cs="Calibri"/>
                <w:noProof/>
                <w:sz w:val="20"/>
                <w:szCs w:val="20"/>
                <w:lang w:val="es-ES" w:eastAsia="en-GB"/>
              </w:rPr>
              <w:t xml:space="preserve"> </w:t>
            </w:r>
            <w:r w:rsidRPr="00E723E1">
              <w:rPr>
                <w:rFonts w:eastAsia="Times New Roman" w:cs="Calibri"/>
                <w:noProof/>
                <w:sz w:val="20"/>
                <w:szCs w:val="20"/>
                <w:lang w:val="es-ES" w:eastAsia="en-GB"/>
              </w:rPr>
              <w:t>251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DA0E471"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068AA3A"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A57517B"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2DDB06D"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DC63025" w14:textId="403EC02B"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w:t>
            </w:r>
            <w:r w:rsidR="004B6B6E">
              <w:rPr>
                <w:rFonts w:eastAsia="Times New Roman" w:cs="Calibri"/>
                <w:noProof/>
                <w:sz w:val="20"/>
                <w:szCs w:val="20"/>
                <w:lang w:val="es-ES" w:eastAsia="en-GB"/>
              </w:rPr>
              <w:t xml:space="preserve"> </w:t>
            </w:r>
            <w:r w:rsidRPr="00E723E1">
              <w:rPr>
                <w:rFonts w:eastAsia="Times New Roman" w:cs="Calibri"/>
                <w:noProof/>
                <w:sz w:val="20"/>
                <w:szCs w:val="20"/>
                <w:lang w:val="es-ES" w:eastAsia="en-GB"/>
              </w:rPr>
              <w:t>451</w:t>
            </w:r>
          </w:p>
        </w:tc>
        <w:tc>
          <w:tcPr>
            <w:tcW w:w="1276" w:type="dxa"/>
            <w:tcBorders>
              <w:top w:val="single" w:sz="4" w:space="0" w:color="auto"/>
              <w:left w:val="nil"/>
              <w:bottom w:val="single" w:sz="4" w:space="0" w:color="auto"/>
              <w:right w:val="nil"/>
            </w:tcBorders>
            <w:shd w:val="clear" w:color="auto" w:fill="auto"/>
            <w:noWrap/>
            <w:vAlign w:val="center"/>
            <w:hideMark/>
          </w:tcPr>
          <w:p w14:paraId="7731E0AB" w14:textId="5003052C"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w:t>
            </w:r>
            <w:r w:rsidR="004B6B6E">
              <w:rPr>
                <w:rFonts w:eastAsia="Times New Roman" w:cs="Calibri"/>
                <w:noProof/>
                <w:sz w:val="20"/>
                <w:szCs w:val="20"/>
                <w:lang w:val="es-ES" w:eastAsia="en-GB"/>
              </w:rPr>
              <w:t xml:space="preserve"> </w:t>
            </w:r>
            <w:r w:rsidRPr="00E723E1">
              <w:rPr>
                <w:rFonts w:eastAsia="Times New Roman" w:cs="Calibri"/>
                <w:noProof/>
                <w:sz w:val="20"/>
                <w:szCs w:val="20"/>
                <w:lang w:val="es-ES" w:eastAsia="en-GB"/>
              </w:rPr>
              <w:t>079</w:t>
            </w:r>
          </w:p>
        </w:tc>
        <w:tc>
          <w:tcPr>
            <w:tcW w:w="1417"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4F84E92C"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209F0"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361</w:t>
            </w:r>
          </w:p>
        </w:tc>
      </w:tr>
      <w:tr w:rsidR="00F270A8" w:rsidRPr="00E723E1" w14:paraId="484387AA" w14:textId="77777777" w:rsidTr="00CB5635">
        <w:trPr>
          <w:trHeight w:val="255"/>
        </w:trPr>
        <w:tc>
          <w:tcPr>
            <w:tcW w:w="3258" w:type="dxa"/>
            <w:tcBorders>
              <w:top w:val="single" w:sz="4" w:space="0" w:color="auto"/>
              <w:left w:val="single" w:sz="4" w:space="0" w:color="auto"/>
              <w:bottom w:val="nil"/>
              <w:right w:val="nil"/>
            </w:tcBorders>
            <w:shd w:val="clear" w:color="auto" w:fill="auto"/>
            <w:noWrap/>
            <w:vAlign w:val="center"/>
            <w:hideMark/>
          </w:tcPr>
          <w:p w14:paraId="54200002" w14:textId="4C41B6B9" w:rsidR="00F270A8" w:rsidRPr="00E723E1" w:rsidRDefault="00AE2808" w:rsidP="00F270A8">
            <w:pPr>
              <w:ind w:left="0" w:firstLine="0"/>
              <w:rPr>
                <w:rFonts w:eastAsia="Times New Roman" w:cs="Calibri"/>
                <w:noProof/>
                <w:sz w:val="20"/>
                <w:szCs w:val="20"/>
                <w:lang w:val="es-ES" w:eastAsia="en-GB"/>
              </w:rPr>
            </w:pPr>
            <w:r w:rsidRPr="00E723E1">
              <w:rPr>
                <w:rFonts w:eastAsia="Times New Roman" w:cs="Calibri"/>
                <w:noProof/>
                <w:sz w:val="20"/>
                <w:szCs w:val="20"/>
                <w:lang w:val="es-ES" w:eastAsia="en-GB"/>
              </w:rPr>
              <w:t>Viajes</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14:paraId="6AAD2ECE"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65</w:t>
            </w:r>
          </w:p>
        </w:tc>
        <w:tc>
          <w:tcPr>
            <w:tcW w:w="1276" w:type="dxa"/>
            <w:tcBorders>
              <w:top w:val="single" w:sz="4" w:space="0" w:color="auto"/>
              <w:left w:val="nil"/>
              <w:bottom w:val="nil"/>
              <w:right w:val="single" w:sz="4" w:space="0" w:color="auto"/>
            </w:tcBorders>
            <w:shd w:val="clear" w:color="auto" w:fill="auto"/>
            <w:noWrap/>
            <w:vAlign w:val="center"/>
            <w:hideMark/>
          </w:tcPr>
          <w:p w14:paraId="10E98C20"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10</w:t>
            </w:r>
          </w:p>
        </w:tc>
        <w:tc>
          <w:tcPr>
            <w:tcW w:w="1134" w:type="dxa"/>
            <w:tcBorders>
              <w:top w:val="single" w:sz="4" w:space="0" w:color="auto"/>
              <w:left w:val="nil"/>
              <w:bottom w:val="nil"/>
              <w:right w:val="single" w:sz="4" w:space="0" w:color="auto"/>
            </w:tcBorders>
            <w:shd w:val="clear" w:color="auto" w:fill="auto"/>
            <w:noWrap/>
            <w:vAlign w:val="center"/>
            <w:hideMark/>
          </w:tcPr>
          <w:p w14:paraId="6AB161B1"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single" w:sz="4" w:space="0" w:color="auto"/>
              <w:left w:val="nil"/>
              <w:bottom w:val="nil"/>
              <w:right w:val="single" w:sz="4" w:space="0" w:color="auto"/>
            </w:tcBorders>
            <w:shd w:val="clear" w:color="auto" w:fill="auto"/>
            <w:noWrap/>
            <w:vAlign w:val="center"/>
            <w:hideMark/>
          </w:tcPr>
          <w:p w14:paraId="31FDBABD"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single" w:sz="4" w:space="0" w:color="auto"/>
              <w:left w:val="nil"/>
              <w:bottom w:val="nil"/>
              <w:right w:val="single" w:sz="4" w:space="0" w:color="auto"/>
            </w:tcBorders>
            <w:shd w:val="clear" w:color="auto" w:fill="auto"/>
            <w:noWrap/>
            <w:vAlign w:val="center"/>
            <w:hideMark/>
          </w:tcPr>
          <w:p w14:paraId="6DF1ACAA"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25</w:t>
            </w:r>
          </w:p>
        </w:tc>
        <w:tc>
          <w:tcPr>
            <w:tcW w:w="1276" w:type="dxa"/>
            <w:tcBorders>
              <w:top w:val="single" w:sz="4" w:space="0" w:color="auto"/>
              <w:left w:val="nil"/>
              <w:bottom w:val="nil"/>
              <w:right w:val="single" w:sz="4" w:space="0" w:color="auto"/>
            </w:tcBorders>
            <w:shd w:val="clear" w:color="auto" w:fill="auto"/>
            <w:noWrap/>
            <w:vAlign w:val="center"/>
            <w:hideMark/>
          </w:tcPr>
          <w:p w14:paraId="6B79E4F3"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100</w:t>
            </w:r>
          </w:p>
        </w:tc>
        <w:tc>
          <w:tcPr>
            <w:tcW w:w="1276" w:type="dxa"/>
            <w:tcBorders>
              <w:top w:val="single" w:sz="4" w:space="0" w:color="auto"/>
              <w:left w:val="nil"/>
              <w:bottom w:val="nil"/>
              <w:right w:val="nil"/>
            </w:tcBorders>
            <w:shd w:val="clear" w:color="auto" w:fill="auto"/>
            <w:noWrap/>
            <w:vAlign w:val="center"/>
            <w:hideMark/>
          </w:tcPr>
          <w:p w14:paraId="3E512D65"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7</w:t>
            </w:r>
          </w:p>
        </w:tc>
        <w:tc>
          <w:tcPr>
            <w:tcW w:w="1417" w:type="dxa"/>
            <w:tcBorders>
              <w:top w:val="single" w:sz="4" w:space="0" w:color="auto"/>
              <w:left w:val="single" w:sz="4" w:space="0" w:color="auto"/>
              <w:bottom w:val="nil"/>
              <w:right w:val="nil"/>
            </w:tcBorders>
            <w:shd w:val="clear" w:color="auto" w:fill="auto"/>
            <w:noWrap/>
            <w:vAlign w:val="center"/>
            <w:hideMark/>
          </w:tcPr>
          <w:p w14:paraId="4B4763EB"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14:paraId="0CD0FB40"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93</w:t>
            </w:r>
          </w:p>
        </w:tc>
      </w:tr>
      <w:tr w:rsidR="00F270A8" w:rsidRPr="00E723E1" w14:paraId="0A178818" w14:textId="77777777" w:rsidTr="00CB5635">
        <w:trPr>
          <w:trHeight w:val="255"/>
        </w:trPr>
        <w:tc>
          <w:tcPr>
            <w:tcW w:w="3258" w:type="dxa"/>
            <w:tcBorders>
              <w:top w:val="single" w:sz="4" w:space="0" w:color="auto"/>
              <w:left w:val="single" w:sz="4" w:space="0" w:color="auto"/>
              <w:bottom w:val="single" w:sz="4" w:space="0" w:color="auto"/>
              <w:right w:val="nil"/>
            </w:tcBorders>
            <w:shd w:val="clear" w:color="auto" w:fill="auto"/>
            <w:noWrap/>
            <w:vAlign w:val="center"/>
            <w:hideMark/>
          </w:tcPr>
          <w:p w14:paraId="61B84E30" w14:textId="4F539845" w:rsidR="00F270A8" w:rsidRPr="00E723E1" w:rsidRDefault="00AE2808" w:rsidP="00F270A8">
            <w:pPr>
              <w:ind w:left="0" w:firstLine="0"/>
              <w:rPr>
                <w:rFonts w:eastAsia="Times New Roman" w:cs="Calibri"/>
                <w:noProof/>
                <w:sz w:val="20"/>
                <w:szCs w:val="20"/>
                <w:lang w:val="es-ES" w:eastAsia="en-GB"/>
              </w:rPr>
            </w:pPr>
            <w:r w:rsidRPr="00E723E1">
              <w:rPr>
                <w:rFonts w:eastAsia="Times New Roman" w:cs="Calibri"/>
                <w:noProof/>
                <w:sz w:val="20"/>
                <w:szCs w:val="20"/>
                <w:lang w:val="es-ES" w:eastAsia="en-GB"/>
              </w:rPr>
              <w:t xml:space="preserve">Misiones </w:t>
            </w:r>
            <w:r w:rsidR="00F270A8" w:rsidRPr="00E723E1">
              <w:rPr>
                <w:rFonts w:eastAsia="Times New Roman" w:cs="Calibri"/>
                <w:noProof/>
                <w:sz w:val="20"/>
                <w:szCs w:val="20"/>
                <w:lang w:val="es-ES" w:eastAsia="en-GB"/>
              </w:rPr>
              <w:t xml:space="preserve">Ramsar </w:t>
            </w:r>
            <w:r w:rsidRPr="00E723E1">
              <w:rPr>
                <w:rFonts w:eastAsia="Times New Roman" w:cs="Calibri"/>
                <w:noProof/>
                <w:sz w:val="20"/>
                <w:szCs w:val="20"/>
                <w:lang w:val="es-ES" w:eastAsia="en-GB"/>
              </w:rPr>
              <w:t>de Asesoramiento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C6193"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85831F2"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A810056"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96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1F69A8A"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C937BEB"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105D3C4"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96</w:t>
            </w:r>
          </w:p>
        </w:tc>
        <w:tc>
          <w:tcPr>
            <w:tcW w:w="1276" w:type="dxa"/>
            <w:tcBorders>
              <w:top w:val="single" w:sz="4" w:space="0" w:color="auto"/>
              <w:left w:val="nil"/>
              <w:bottom w:val="single" w:sz="4" w:space="0" w:color="auto"/>
              <w:right w:val="nil"/>
            </w:tcBorders>
            <w:shd w:val="clear" w:color="auto" w:fill="auto"/>
            <w:noWrap/>
            <w:vAlign w:val="center"/>
            <w:hideMark/>
          </w:tcPr>
          <w:p w14:paraId="6799E788"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16544ABD"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3F194"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96</w:t>
            </w:r>
          </w:p>
        </w:tc>
      </w:tr>
      <w:tr w:rsidR="00AE2808" w:rsidRPr="00E723E1" w14:paraId="054395AE" w14:textId="77777777" w:rsidTr="00CB5635">
        <w:trPr>
          <w:trHeight w:val="255"/>
        </w:trPr>
        <w:tc>
          <w:tcPr>
            <w:tcW w:w="3258" w:type="dxa"/>
            <w:tcBorders>
              <w:top w:val="nil"/>
              <w:left w:val="single" w:sz="4" w:space="0" w:color="auto"/>
              <w:bottom w:val="nil"/>
              <w:right w:val="nil"/>
            </w:tcBorders>
            <w:shd w:val="clear" w:color="000000" w:fill="EAF1DD"/>
            <w:noWrap/>
            <w:hideMark/>
          </w:tcPr>
          <w:p w14:paraId="43CCC594" w14:textId="42369FDD" w:rsidR="00AE2808" w:rsidRPr="00E723E1" w:rsidRDefault="00AE2808" w:rsidP="00AE2808">
            <w:pPr>
              <w:ind w:left="0" w:firstLine="0"/>
              <w:rPr>
                <w:rFonts w:eastAsia="Times New Roman" w:cs="Calibri"/>
                <w:noProof/>
                <w:sz w:val="20"/>
                <w:szCs w:val="20"/>
                <w:lang w:val="es-ES" w:eastAsia="en-GB"/>
              </w:rPr>
            </w:pPr>
            <w:r w:rsidRPr="00E723E1">
              <w:rPr>
                <w:rFonts w:asciiTheme="minorHAnsi" w:eastAsiaTheme="minorHAnsi" w:hAnsiTheme="minorHAnsi" w:cstheme="minorHAnsi"/>
                <w:noProof/>
                <w:color w:val="000000"/>
                <w:sz w:val="20"/>
                <w:szCs w:val="20"/>
                <w:lang w:val="es-ES"/>
              </w:rPr>
              <w:t>D.  Apoyo a las iniciativas regionales</w:t>
            </w:r>
          </w:p>
        </w:tc>
        <w:tc>
          <w:tcPr>
            <w:tcW w:w="1417" w:type="dxa"/>
            <w:tcBorders>
              <w:top w:val="nil"/>
              <w:left w:val="single" w:sz="4" w:space="0" w:color="auto"/>
              <w:bottom w:val="nil"/>
              <w:right w:val="single" w:sz="4" w:space="0" w:color="auto"/>
            </w:tcBorders>
            <w:shd w:val="clear" w:color="000000" w:fill="EAF1DD"/>
            <w:noWrap/>
            <w:vAlign w:val="center"/>
            <w:hideMark/>
          </w:tcPr>
          <w:p w14:paraId="21C495D6"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100</w:t>
            </w:r>
          </w:p>
        </w:tc>
        <w:tc>
          <w:tcPr>
            <w:tcW w:w="1276" w:type="dxa"/>
            <w:tcBorders>
              <w:top w:val="nil"/>
              <w:left w:val="nil"/>
              <w:bottom w:val="nil"/>
              <w:right w:val="single" w:sz="4" w:space="0" w:color="auto"/>
            </w:tcBorders>
            <w:shd w:val="clear" w:color="000000" w:fill="EAF1DD"/>
            <w:noWrap/>
            <w:vAlign w:val="center"/>
            <w:hideMark/>
          </w:tcPr>
          <w:p w14:paraId="0DB4E8C5"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nil"/>
              <w:left w:val="nil"/>
              <w:bottom w:val="nil"/>
              <w:right w:val="single" w:sz="4" w:space="0" w:color="auto"/>
            </w:tcBorders>
            <w:shd w:val="clear" w:color="000000" w:fill="EAF1DD"/>
            <w:noWrap/>
            <w:vAlign w:val="center"/>
            <w:hideMark/>
          </w:tcPr>
          <w:p w14:paraId="70527F9E"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97</w:t>
            </w:r>
          </w:p>
        </w:tc>
        <w:tc>
          <w:tcPr>
            <w:tcW w:w="1276" w:type="dxa"/>
            <w:tcBorders>
              <w:top w:val="nil"/>
              <w:left w:val="nil"/>
              <w:bottom w:val="nil"/>
              <w:right w:val="single" w:sz="4" w:space="0" w:color="auto"/>
            </w:tcBorders>
            <w:shd w:val="clear" w:color="000000" w:fill="EAF1DD"/>
            <w:noWrap/>
            <w:vAlign w:val="center"/>
            <w:hideMark/>
          </w:tcPr>
          <w:p w14:paraId="27F6B720"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20</w:t>
            </w:r>
          </w:p>
        </w:tc>
        <w:tc>
          <w:tcPr>
            <w:tcW w:w="1417" w:type="dxa"/>
            <w:tcBorders>
              <w:top w:val="nil"/>
              <w:left w:val="nil"/>
              <w:bottom w:val="nil"/>
              <w:right w:val="single" w:sz="4" w:space="0" w:color="auto"/>
            </w:tcBorders>
            <w:shd w:val="clear" w:color="000000" w:fill="EAF1DD"/>
            <w:noWrap/>
            <w:vAlign w:val="center"/>
            <w:hideMark/>
          </w:tcPr>
          <w:p w14:paraId="3EDC21AA"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nil"/>
              <w:right w:val="single" w:sz="4" w:space="0" w:color="auto"/>
            </w:tcBorders>
            <w:shd w:val="clear" w:color="000000" w:fill="EAF1DD"/>
            <w:noWrap/>
            <w:vAlign w:val="center"/>
            <w:hideMark/>
          </w:tcPr>
          <w:p w14:paraId="1E0444D6"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217</w:t>
            </w:r>
          </w:p>
        </w:tc>
        <w:tc>
          <w:tcPr>
            <w:tcW w:w="1276" w:type="dxa"/>
            <w:tcBorders>
              <w:top w:val="nil"/>
              <w:left w:val="nil"/>
              <w:bottom w:val="nil"/>
              <w:right w:val="nil"/>
            </w:tcBorders>
            <w:shd w:val="clear" w:color="000000" w:fill="EAF1DD"/>
            <w:noWrap/>
            <w:vAlign w:val="center"/>
            <w:hideMark/>
          </w:tcPr>
          <w:p w14:paraId="24D1838F"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140</w:t>
            </w:r>
          </w:p>
        </w:tc>
        <w:tc>
          <w:tcPr>
            <w:tcW w:w="1417" w:type="dxa"/>
            <w:tcBorders>
              <w:top w:val="nil"/>
              <w:left w:val="single" w:sz="4" w:space="0" w:color="auto"/>
              <w:bottom w:val="nil"/>
              <w:right w:val="nil"/>
            </w:tcBorders>
            <w:shd w:val="clear" w:color="000000" w:fill="EAF1DD"/>
            <w:noWrap/>
            <w:vAlign w:val="center"/>
            <w:hideMark/>
          </w:tcPr>
          <w:p w14:paraId="14B0D92C"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nil"/>
              <w:left w:val="single" w:sz="4" w:space="0" w:color="auto"/>
              <w:bottom w:val="nil"/>
              <w:right w:val="single" w:sz="4" w:space="0" w:color="auto"/>
            </w:tcBorders>
            <w:shd w:val="clear" w:color="000000" w:fill="EAF1DD"/>
            <w:noWrap/>
            <w:vAlign w:val="center"/>
            <w:hideMark/>
          </w:tcPr>
          <w:p w14:paraId="5F8826C1"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77</w:t>
            </w:r>
          </w:p>
        </w:tc>
      </w:tr>
      <w:tr w:rsidR="00AE2808" w:rsidRPr="00E723E1" w14:paraId="35E41699" w14:textId="77777777" w:rsidTr="00CB5635">
        <w:trPr>
          <w:trHeight w:val="255"/>
        </w:trPr>
        <w:tc>
          <w:tcPr>
            <w:tcW w:w="3258" w:type="dxa"/>
            <w:tcBorders>
              <w:top w:val="single" w:sz="4" w:space="0" w:color="auto"/>
              <w:left w:val="single" w:sz="4" w:space="0" w:color="auto"/>
              <w:bottom w:val="single" w:sz="4" w:space="0" w:color="auto"/>
              <w:right w:val="nil"/>
            </w:tcBorders>
            <w:shd w:val="clear" w:color="auto" w:fill="auto"/>
            <w:noWrap/>
            <w:hideMark/>
          </w:tcPr>
          <w:p w14:paraId="0CD1E657" w14:textId="3BE3AE70" w:rsidR="00AE2808" w:rsidRPr="00E723E1" w:rsidRDefault="00AE2808" w:rsidP="00AE2808">
            <w:pPr>
              <w:ind w:left="0" w:firstLine="0"/>
              <w:rPr>
                <w:rFonts w:eastAsia="Times New Roman" w:cs="Calibri"/>
                <w:noProof/>
                <w:sz w:val="20"/>
                <w:szCs w:val="20"/>
                <w:lang w:val="es-ES" w:eastAsia="en-GB"/>
              </w:rPr>
            </w:pPr>
            <w:r w:rsidRPr="00E723E1">
              <w:rPr>
                <w:rFonts w:asciiTheme="minorHAnsi" w:eastAsiaTheme="minorHAnsi" w:hAnsiTheme="minorHAnsi" w:cstheme="minorHAnsi"/>
                <w:noProof/>
                <w:color w:val="000000"/>
                <w:sz w:val="20"/>
                <w:szCs w:val="20"/>
                <w:lang w:val="es-ES"/>
              </w:rPr>
              <w:t>GT-IR, Res. XIII.9, párr. 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E5EEF"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A0CF407"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DFA9E77"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29E009D"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28A6884"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2D875DA"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21</w:t>
            </w:r>
          </w:p>
        </w:tc>
        <w:tc>
          <w:tcPr>
            <w:tcW w:w="1276" w:type="dxa"/>
            <w:tcBorders>
              <w:top w:val="single" w:sz="4" w:space="0" w:color="auto"/>
              <w:left w:val="nil"/>
              <w:bottom w:val="single" w:sz="4" w:space="0" w:color="auto"/>
              <w:right w:val="nil"/>
            </w:tcBorders>
            <w:shd w:val="clear" w:color="auto" w:fill="auto"/>
            <w:noWrap/>
            <w:vAlign w:val="center"/>
            <w:hideMark/>
          </w:tcPr>
          <w:p w14:paraId="752E2D98"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20</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079814BC"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03527"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w:t>
            </w:r>
          </w:p>
        </w:tc>
      </w:tr>
      <w:tr w:rsidR="00AE2808" w:rsidRPr="00E723E1" w14:paraId="59799C8E" w14:textId="77777777" w:rsidTr="00CB5635">
        <w:trPr>
          <w:trHeight w:val="255"/>
        </w:trPr>
        <w:tc>
          <w:tcPr>
            <w:tcW w:w="3258" w:type="dxa"/>
            <w:tcBorders>
              <w:top w:val="nil"/>
              <w:left w:val="single" w:sz="4" w:space="0" w:color="auto"/>
              <w:bottom w:val="single" w:sz="4" w:space="0" w:color="auto"/>
              <w:right w:val="nil"/>
            </w:tcBorders>
            <w:shd w:val="clear" w:color="auto" w:fill="auto"/>
            <w:noWrap/>
            <w:hideMark/>
          </w:tcPr>
          <w:p w14:paraId="0A43C81F" w14:textId="4C2A2DB2" w:rsidR="00AE2808" w:rsidRPr="00E723E1" w:rsidRDefault="00AE2808" w:rsidP="00AE2808">
            <w:pPr>
              <w:ind w:left="0" w:firstLine="0"/>
              <w:rPr>
                <w:rFonts w:eastAsia="Times New Roman" w:cs="Calibri"/>
                <w:noProof/>
                <w:sz w:val="20"/>
                <w:szCs w:val="20"/>
                <w:lang w:val="es-ES" w:eastAsia="en-GB"/>
              </w:rPr>
            </w:pPr>
            <w:r w:rsidRPr="00E723E1">
              <w:rPr>
                <w:rFonts w:asciiTheme="minorHAnsi" w:eastAsiaTheme="minorHAnsi" w:hAnsiTheme="minorHAnsi" w:cstheme="minorHAnsi"/>
                <w:noProof/>
                <w:color w:val="000000" w:themeColor="text1"/>
                <w:sz w:val="20"/>
                <w:szCs w:val="20"/>
                <w:lang w:val="es-ES"/>
              </w:rPr>
              <w:t>Redacción de propuestas para las IRR</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65610D40"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57462EBC"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14:paraId="3A7BBE03"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38353928"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nil"/>
              <w:left w:val="nil"/>
              <w:bottom w:val="single" w:sz="4" w:space="0" w:color="auto"/>
              <w:right w:val="single" w:sz="4" w:space="0" w:color="auto"/>
            </w:tcBorders>
            <w:shd w:val="clear" w:color="auto" w:fill="auto"/>
            <w:noWrap/>
            <w:vAlign w:val="center"/>
            <w:hideMark/>
          </w:tcPr>
          <w:p w14:paraId="6CDE729E"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2CE0155B"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single" w:sz="4" w:space="0" w:color="auto"/>
              <w:right w:val="nil"/>
            </w:tcBorders>
            <w:shd w:val="clear" w:color="auto" w:fill="auto"/>
            <w:noWrap/>
            <w:vAlign w:val="center"/>
            <w:hideMark/>
          </w:tcPr>
          <w:p w14:paraId="2BA00493"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nil"/>
              <w:left w:val="single" w:sz="4" w:space="0" w:color="auto"/>
              <w:bottom w:val="single" w:sz="4" w:space="0" w:color="auto"/>
              <w:right w:val="nil"/>
            </w:tcBorders>
            <w:shd w:val="clear" w:color="auto" w:fill="auto"/>
            <w:noWrap/>
            <w:vAlign w:val="center"/>
            <w:hideMark/>
          </w:tcPr>
          <w:p w14:paraId="34DC3DF1"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041056B"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r>
      <w:tr w:rsidR="00AE2808" w:rsidRPr="00E723E1" w14:paraId="5A77F9DC" w14:textId="77777777" w:rsidTr="00CB5635">
        <w:trPr>
          <w:trHeight w:val="255"/>
        </w:trPr>
        <w:tc>
          <w:tcPr>
            <w:tcW w:w="3258" w:type="dxa"/>
            <w:tcBorders>
              <w:top w:val="nil"/>
              <w:left w:val="single" w:sz="4" w:space="0" w:color="auto"/>
              <w:bottom w:val="nil"/>
              <w:right w:val="nil"/>
            </w:tcBorders>
            <w:shd w:val="clear" w:color="auto" w:fill="auto"/>
            <w:noWrap/>
            <w:hideMark/>
          </w:tcPr>
          <w:p w14:paraId="2977E6C1" w14:textId="58F2B254" w:rsidR="00AE2808" w:rsidRPr="00E723E1" w:rsidRDefault="00AE2808" w:rsidP="00AE2808">
            <w:pPr>
              <w:ind w:left="0" w:firstLine="0"/>
              <w:rPr>
                <w:rFonts w:eastAsia="Times New Roman" w:cs="Calibri"/>
                <w:noProof/>
                <w:sz w:val="20"/>
                <w:szCs w:val="20"/>
                <w:lang w:val="es-ES" w:eastAsia="en-GB"/>
              </w:rPr>
            </w:pPr>
            <w:r w:rsidRPr="00E723E1">
              <w:rPr>
                <w:rFonts w:asciiTheme="minorHAnsi" w:eastAsiaTheme="minorHAnsi" w:hAnsiTheme="minorHAnsi" w:cstheme="minorHAnsi"/>
                <w:noProof/>
                <w:color w:val="000000"/>
                <w:sz w:val="20"/>
                <w:szCs w:val="20"/>
                <w:lang w:val="es-ES"/>
              </w:rPr>
              <w:t>Actividad 1: Cuenca del río Senegal</w:t>
            </w:r>
          </w:p>
        </w:tc>
        <w:tc>
          <w:tcPr>
            <w:tcW w:w="1417" w:type="dxa"/>
            <w:tcBorders>
              <w:top w:val="nil"/>
              <w:left w:val="single" w:sz="4" w:space="0" w:color="auto"/>
              <w:bottom w:val="nil"/>
              <w:right w:val="single" w:sz="4" w:space="0" w:color="auto"/>
            </w:tcBorders>
            <w:shd w:val="clear" w:color="auto" w:fill="auto"/>
            <w:noWrap/>
            <w:vAlign w:val="center"/>
            <w:hideMark/>
          </w:tcPr>
          <w:p w14:paraId="77DC42F1"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25</w:t>
            </w:r>
          </w:p>
        </w:tc>
        <w:tc>
          <w:tcPr>
            <w:tcW w:w="1276" w:type="dxa"/>
            <w:tcBorders>
              <w:top w:val="nil"/>
              <w:left w:val="nil"/>
              <w:bottom w:val="nil"/>
              <w:right w:val="single" w:sz="4" w:space="0" w:color="auto"/>
            </w:tcBorders>
            <w:shd w:val="clear" w:color="auto" w:fill="auto"/>
            <w:noWrap/>
            <w:vAlign w:val="center"/>
            <w:hideMark/>
          </w:tcPr>
          <w:p w14:paraId="580106AB"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nil"/>
              <w:left w:val="nil"/>
              <w:bottom w:val="nil"/>
              <w:right w:val="single" w:sz="4" w:space="0" w:color="auto"/>
            </w:tcBorders>
            <w:shd w:val="clear" w:color="auto" w:fill="auto"/>
            <w:noWrap/>
            <w:vAlign w:val="center"/>
            <w:hideMark/>
          </w:tcPr>
          <w:p w14:paraId="3A69B659"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nil"/>
              <w:right w:val="single" w:sz="4" w:space="0" w:color="auto"/>
            </w:tcBorders>
            <w:shd w:val="clear" w:color="auto" w:fill="auto"/>
            <w:noWrap/>
            <w:vAlign w:val="center"/>
            <w:hideMark/>
          </w:tcPr>
          <w:p w14:paraId="04854136"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10</w:t>
            </w:r>
          </w:p>
        </w:tc>
        <w:tc>
          <w:tcPr>
            <w:tcW w:w="1417" w:type="dxa"/>
            <w:tcBorders>
              <w:top w:val="nil"/>
              <w:left w:val="nil"/>
              <w:bottom w:val="nil"/>
              <w:right w:val="single" w:sz="4" w:space="0" w:color="auto"/>
            </w:tcBorders>
            <w:shd w:val="clear" w:color="auto" w:fill="auto"/>
            <w:noWrap/>
            <w:vAlign w:val="center"/>
            <w:hideMark/>
          </w:tcPr>
          <w:p w14:paraId="07237609"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nil"/>
              <w:right w:val="single" w:sz="4" w:space="0" w:color="auto"/>
            </w:tcBorders>
            <w:shd w:val="clear" w:color="auto" w:fill="auto"/>
            <w:noWrap/>
            <w:vAlign w:val="center"/>
            <w:hideMark/>
          </w:tcPr>
          <w:p w14:paraId="7673DA55"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35</w:t>
            </w:r>
          </w:p>
        </w:tc>
        <w:tc>
          <w:tcPr>
            <w:tcW w:w="1276" w:type="dxa"/>
            <w:tcBorders>
              <w:top w:val="nil"/>
              <w:left w:val="nil"/>
              <w:bottom w:val="nil"/>
              <w:right w:val="nil"/>
            </w:tcBorders>
            <w:shd w:val="clear" w:color="auto" w:fill="auto"/>
            <w:noWrap/>
            <w:vAlign w:val="center"/>
            <w:hideMark/>
          </w:tcPr>
          <w:p w14:paraId="558BEF61"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35</w:t>
            </w:r>
          </w:p>
        </w:tc>
        <w:tc>
          <w:tcPr>
            <w:tcW w:w="1417" w:type="dxa"/>
            <w:tcBorders>
              <w:top w:val="nil"/>
              <w:left w:val="single" w:sz="4" w:space="0" w:color="auto"/>
              <w:bottom w:val="nil"/>
              <w:right w:val="nil"/>
            </w:tcBorders>
            <w:shd w:val="clear" w:color="auto" w:fill="auto"/>
            <w:noWrap/>
            <w:vAlign w:val="center"/>
            <w:hideMark/>
          </w:tcPr>
          <w:p w14:paraId="746B49DB"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nil"/>
              <w:left w:val="single" w:sz="4" w:space="0" w:color="auto"/>
              <w:bottom w:val="nil"/>
              <w:right w:val="single" w:sz="4" w:space="0" w:color="auto"/>
            </w:tcBorders>
            <w:shd w:val="clear" w:color="auto" w:fill="auto"/>
            <w:noWrap/>
            <w:vAlign w:val="center"/>
            <w:hideMark/>
          </w:tcPr>
          <w:p w14:paraId="52FD4CCB"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r>
      <w:tr w:rsidR="00AE2808" w:rsidRPr="00E723E1" w14:paraId="212B1AD4" w14:textId="77777777" w:rsidTr="00CB5635">
        <w:trPr>
          <w:trHeight w:val="255"/>
        </w:trPr>
        <w:tc>
          <w:tcPr>
            <w:tcW w:w="3258" w:type="dxa"/>
            <w:tcBorders>
              <w:top w:val="single" w:sz="4" w:space="0" w:color="auto"/>
              <w:left w:val="single" w:sz="4" w:space="0" w:color="auto"/>
              <w:bottom w:val="single" w:sz="4" w:space="0" w:color="auto"/>
              <w:right w:val="nil"/>
            </w:tcBorders>
            <w:shd w:val="clear" w:color="auto" w:fill="auto"/>
            <w:noWrap/>
            <w:hideMark/>
          </w:tcPr>
          <w:p w14:paraId="47B95F43" w14:textId="0D9F1356" w:rsidR="00AE2808" w:rsidRPr="00E723E1" w:rsidRDefault="00AE2808" w:rsidP="00AE2808">
            <w:pPr>
              <w:ind w:left="0" w:firstLine="0"/>
              <w:rPr>
                <w:rFonts w:eastAsia="Times New Roman" w:cs="Calibri"/>
                <w:noProof/>
                <w:sz w:val="20"/>
                <w:szCs w:val="20"/>
                <w:lang w:val="es-ES" w:eastAsia="en-GB"/>
              </w:rPr>
            </w:pPr>
            <w:r w:rsidRPr="00E723E1">
              <w:rPr>
                <w:rFonts w:asciiTheme="minorHAnsi" w:eastAsiaTheme="minorHAnsi" w:hAnsiTheme="minorHAnsi" w:cstheme="minorHAnsi"/>
                <w:noProof/>
                <w:color w:val="000000"/>
                <w:sz w:val="20"/>
                <w:szCs w:val="20"/>
                <w:lang w:val="es-ES"/>
              </w:rPr>
              <w:t>Actividad 2: Cuenca del río Amazonas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86E39"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5F95539"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94767B7"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76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362A28F"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A0321F0"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539D3CD"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111</w:t>
            </w:r>
          </w:p>
        </w:tc>
        <w:tc>
          <w:tcPr>
            <w:tcW w:w="1276" w:type="dxa"/>
            <w:tcBorders>
              <w:top w:val="single" w:sz="4" w:space="0" w:color="auto"/>
              <w:left w:val="nil"/>
              <w:bottom w:val="single" w:sz="4" w:space="0" w:color="auto"/>
              <w:right w:val="nil"/>
            </w:tcBorders>
            <w:shd w:val="clear" w:color="auto" w:fill="auto"/>
            <w:noWrap/>
            <w:vAlign w:val="center"/>
            <w:hideMark/>
          </w:tcPr>
          <w:p w14:paraId="667F0A41"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35</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32B954F4"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CD95A"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76</w:t>
            </w:r>
          </w:p>
        </w:tc>
      </w:tr>
      <w:tr w:rsidR="00AE2808" w:rsidRPr="00E723E1" w14:paraId="427B2367" w14:textId="77777777" w:rsidTr="00CB5635">
        <w:trPr>
          <w:trHeight w:val="255"/>
        </w:trPr>
        <w:tc>
          <w:tcPr>
            <w:tcW w:w="3258" w:type="dxa"/>
            <w:tcBorders>
              <w:top w:val="nil"/>
              <w:left w:val="single" w:sz="4" w:space="0" w:color="auto"/>
              <w:bottom w:val="nil"/>
              <w:right w:val="nil"/>
            </w:tcBorders>
            <w:shd w:val="clear" w:color="auto" w:fill="auto"/>
            <w:noWrap/>
            <w:hideMark/>
          </w:tcPr>
          <w:p w14:paraId="0DB0F549" w14:textId="0EECD5CC" w:rsidR="00AE2808" w:rsidRPr="00E723E1" w:rsidRDefault="00AE2808" w:rsidP="00AE2808">
            <w:pPr>
              <w:ind w:left="0" w:firstLine="0"/>
              <w:rPr>
                <w:rFonts w:eastAsia="Times New Roman" w:cs="Calibri"/>
                <w:noProof/>
                <w:sz w:val="20"/>
                <w:szCs w:val="20"/>
                <w:lang w:val="es-ES" w:eastAsia="en-GB"/>
              </w:rPr>
            </w:pPr>
            <w:r w:rsidRPr="00E723E1">
              <w:rPr>
                <w:rFonts w:asciiTheme="minorHAnsi" w:eastAsiaTheme="minorHAnsi" w:hAnsiTheme="minorHAnsi" w:cstheme="minorHAnsi"/>
                <w:noProof/>
                <w:color w:val="000000"/>
                <w:sz w:val="20"/>
                <w:szCs w:val="20"/>
                <w:lang w:val="es-ES"/>
              </w:rPr>
              <w:t>Actividad 3: Asia Central</w:t>
            </w:r>
          </w:p>
        </w:tc>
        <w:tc>
          <w:tcPr>
            <w:tcW w:w="1417" w:type="dxa"/>
            <w:tcBorders>
              <w:top w:val="nil"/>
              <w:left w:val="single" w:sz="4" w:space="0" w:color="auto"/>
              <w:bottom w:val="nil"/>
              <w:right w:val="single" w:sz="4" w:space="0" w:color="auto"/>
            </w:tcBorders>
            <w:shd w:val="clear" w:color="auto" w:fill="auto"/>
            <w:noWrap/>
            <w:vAlign w:val="center"/>
            <w:hideMark/>
          </w:tcPr>
          <w:p w14:paraId="58BEA2D2"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25</w:t>
            </w:r>
          </w:p>
        </w:tc>
        <w:tc>
          <w:tcPr>
            <w:tcW w:w="1276" w:type="dxa"/>
            <w:tcBorders>
              <w:top w:val="nil"/>
              <w:left w:val="nil"/>
              <w:bottom w:val="nil"/>
              <w:right w:val="single" w:sz="4" w:space="0" w:color="auto"/>
            </w:tcBorders>
            <w:shd w:val="clear" w:color="auto" w:fill="auto"/>
            <w:noWrap/>
            <w:vAlign w:val="center"/>
            <w:hideMark/>
          </w:tcPr>
          <w:p w14:paraId="24794010"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nil"/>
              <w:left w:val="nil"/>
              <w:bottom w:val="nil"/>
              <w:right w:val="single" w:sz="4" w:space="0" w:color="auto"/>
            </w:tcBorders>
            <w:shd w:val="clear" w:color="auto" w:fill="auto"/>
            <w:noWrap/>
            <w:vAlign w:val="center"/>
            <w:hideMark/>
          </w:tcPr>
          <w:p w14:paraId="5A9B5D42"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nil"/>
              <w:right w:val="single" w:sz="4" w:space="0" w:color="auto"/>
            </w:tcBorders>
            <w:shd w:val="clear" w:color="auto" w:fill="auto"/>
            <w:noWrap/>
            <w:vAlign w:val="center"/>
            <w:hideMark/>
          </w:tcPr>
          <w:p w14:paraId="155596B4"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nil"/>
              <w:left w:val="nil"/>
              <w:bottom w:val="single" w:sz="4" w:space="0" w:color="auto"/>
              <w:right w:val="single" w:sz="4" w:space="0" w:color="auto"/>
            </w:tcBorders>
            <w:shd w:val="clear" w:color="auto" w:fill="auto"/>
            <w:noWrap/>
            <w:vAlign w:val="center"/>
            <w:hideMark/>
          </w:tcPr>
          <w:p w14:paraId="0F83362F"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nil"/>
              <w:right w:val="single" w:sz="4" w:space="0" w:color="auto"/>
            </w:tcBorders>
            <w:shd w:val="clear" w:color="auto" w:fill="auto"/>
            <w:noWrap/>
            <w:vAlign w:val="center"/>
            <w:hideMark/>
          </w:tcPr>
          <w:p w14:paraId="37C264CB"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25</w:t>
            </w:r>
          </w:p>
        </w:tc>
        <w:tc>
          <w:tcPr>
            <w:tcW w:w="1276" w:type="dxa"/>
            <w:tcBorders>
              <w:top w:val="nil"/>
              <w:left w:val="nil"/>
              <w:bottom w:val="nil"/>
              <w:right w:val="nil"/>
            </w:tcBorders>
            <w:shd w:val="clear" w:color="auto" w:fill="auto"/>
            <w:noWrap/>
            <w:vAlign w:val="center"/>
            <w:hideMark/>
          </w:tcPr>
          <w:p w14:paraId="37A190AB"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25</w:t>
            </w:r>
          </w:p>
        </w:tc>
        <w:tc>
          <w:tcPr>
            <w:tcW w:w="1417" w:type="dxa"/>
            <w:tcBorders>
              <w:top w:val="nil"/>
              <w:left w:val="single" w:sz="4" w:space="0" w:color="auto"/>
              <w:bottom w:val="nil"/>
              <w:right w:val="nil"/>
            </w:tcBorders>
            <w:shd w:val="clear" w:color="auto" w:fill="auto"/>
            <w:noWrap/>
            <w:vAlign w:val="center"/>
            <w:hideMark/>
          </w:tcPr>
          <w:p w14:paraId="4C37D08E"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nil"/>
              <w:left w:val="single" w:sz="4" w:space="0" w:color="auto"/>
              <w:bottom w:val="nil"/>
              <w:right w:val="single" w:sz="4" w:space="0" w:color="auto"/>
            </w:tcBorders>
            <w:shd w:val="clear" w:color="auto" w:fill="auto"/>
            <w:noWrap/>
            <w:vAlign w:val="center"/>
            <w:hideMark/>
          </w:tcPr>
          <w:p w14:paraId="1448A8A9"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r>
      <w:tr w:rsidR="00AE2808" w:rsidRPr="00E723E1" w14:paraId="1BE04672" w14:textId="77777777" w:rsidTr="00CB5635">
        <w:trPr>
          <w:trHeight w:val="255"/>
        </w:trPr>
        <w:tc>
          <w:tcPr>
            <w:tcW w:w="3258" w:type="dxa"/>
            <w:tcBorders>
              <w:top w:val="single" w:sz="4" w:space="0" w:color="auto"/>
              <w:left w:val="single" w:sz="4" w:space="0" w:color="auto"/>
              <w:bottom w:val="single" w:sz="4" w:space="0" w:color="auto"/>
              <w:right w:val="nil"/>
            </w:tcBorders>
            <w:shd w:val="clear" w:color="auto" w:fill="auto"/>
            <w:noWrap/>
            <w:hideMark/>
          </w:tcPr>
          <w:p w14:paraId="0909EF40" w14:textId="61846337" w:rsidR="00AE2808" w:rsidRPr="00E723E1" w:rsidRDefault="00AE2808" w:rsidP="00AE2808">
            <w:pPr>
              <w:ind w:left="0" w:firstLine="0"/>
              <w:rPr>
                <w:rFonts w:eastAsia="Times New Roman" w:cs="Calibri"/>
                <w:noProof/>
                <w:sz w:val="20"/>
                <w:szCs w:val="20"/>
                <w:lang w:val="es-ES" w:eastAsia="en-GB"/>
              </w:rPr>
            </w:pPr>
            <w:r w:rsidRPr="00E723E1">
              <w:rPr>
                <w:rFonts w:asciiTheme="minorHAnsi" w:eastAsiaTheme="minorHAnsi" w:hAnsiTheme="minorHAnsi" w:cstheme="minorHAnsi"/>
                <w:noProof/>
                <w:color w:val="000000"/>
                <w:sz w:val="20"/>
                <w:szCs w:val="20"/>
                <w:lang w:val="es-ES"/>
              </w:rPr>
              <w:t>Actividad 4: Indo-Birmana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C3301"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3AD9585"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54DAEDD"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03A19D3"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nil"/>
              <w:left w:val="nil"/>
              <w:bottom w:val="single" w:sz="4" w:space="0" w:color="auto"/>
              <w:right w:val="single" w:sz="4" w:space="0" w:color="auto"/>
            </w:tcBorders>
            <w:shd w:val="clear" w:color="auto" w:fill="auto"/>
            <w:noWrap/>
            <w:vAlign w:val="center"/>
            <w:hideMark/>
          </w:tcPr>
          <w:p w14:paraId="4FFD5658"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4E64BA1"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25</w:t>
            </w:r>
          </w:p>
        </w:tc>
        <w:tc>
          <w:tcPr>
            <w:tcW w:w="1276" w:type="dxa"/>
            <w:tcBorders>
              <w:top w:val="single" w:sz="4" w:space="0" w:color="auto"/>
              <w:left w:val="nil"/>
              <w:bottom w:val="single" w:sz="4" w:space="0" w:color="auto"/>
              <w:right w:val="nil"/>
            </w:tcBorders>
            <w:shd w:val="clear" w:color="auto" w:fill="auto"/>
            <w:noWrap/>
            <w:vAlign w:val="center"/>
            <w:hideMark/>
          </w:tcPr>
          <w:p w14:paraId="51F049A9"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25</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0A46C0FF"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6BFFE"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r>
      <w:tr w:rsidR="00F270A8" w:rsidRPr="00E723E1" w14:paraId="677C9E16" w14:textId="77777777" w:rsidTr="00CB5635">
        <w:trPr>
          <w:trHeight w:val="255"/>
        </w:trPr>
        <w:tc>
          <w:tcPr>
            <w:tcW w:w="3258" w:type="dxa"/>
            <w:tcBorders>
              <w:top w:val="nil"/>
              <w:left w:val="single" w:sz="4" w:space="0" w:color="auto"/>
              <w:bottom w:val="single" w:sz="4" w:space="0" w:color="auto"/>
              <w:right w:val="single" w:sz="4" w:space="0" w:color="auto"/>
            </w:tcBorders>
            <w:shd w:val="clear" w:color="000000" w:fill="EAF1DD"/>
            <w:noWrap/>
            <w:vAlign w:val="center"/>
            <w:hideMark/>
          </w:tcPr>
          <w:p w14:paraId="05FB4EB9" w14:textId="0723B3A1" w:rsidR="00F270A8" w:rsidRPr="00E723E1" w:rsidRDefault="00F270A8" w:rsidP="00F270A8">
            <w:pPr>
              <w:ind w:left="0" w:firstLine="0"/>
              <w:rPr>
                <w:rFonts w:eastAsia="Times New Roman" w:cs="Calibri"/>
                <w:noProof/>
                <w:sz w:val="20"/>
                <w:szCs w:val="20"/>
                <w:lang w:val="es-ES" w:eastAsia="en-GB"/>
              </w:rPr>
            </w:pPr>
            <w:r w:rsidRPr="00E723E1">
              <w:rPr>
                <w:rFonts w:eastAsia="Times New Roman" w:cs="Calibri"/>
                <w:noProof/>
                <w:sz w:val="20"/>
                <w:szCs w:val="20"/>
                <w:lang w:val="es-ES" w:eastAsia="en-GB"/>
              </w:rPr>
              <w:t xml:space="preserve">E.  </w:t>
            </w:r>
            <w:r w:rsidR="00B07108">
              <w:rPr>
                <w:rFonts w:eastAsia="Times New Roman" w:cs="Calibri"/>
                <w:noProof/>
                <w:sz w:val="20"/>
                <w:szCs w:val="20"/>
                <w:lang w:val="es-ES" w:eastAsia="en-GB"/>
              </w:rPr>
              <w:t>Servicios Científicos y Técnicos</w:t>
            </w:r>
          </w:p>
        </w:tc>
        <w:tc>
          <w:tcPr>
            <w:tcW w:w="1417" w:type="dxa"/>
            <w:tcBorders>
              <w:top w:val="nil"/>
              <w:left w:val="nil"/>
              <w:bottom w:val="single" w:sz="4" w:space="0" w:color="auto"/>
              <w:right w:val="single" w:sz="4" w:space="0" w:color="auto"/>
            </w:tcBorders>
            <w:shd w:val="clear" w:color="000000" w:fill="EAF1DD"/>
            <w:noWrap/>
            <w:vAlign w:val="center"/>
            <w:hideMark/>
          </w:tcPr>
          <w:p w14:paraId="1507B161"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774</w:t>
            </w:r>
          </w:p>
        </w:tc>
        <w:tc>
          <w:tcPr>
            <w:tcW w:w="1276" w:type="dxa"/>
            <w:tcBorders>
              <w:top w:val="nil"/>
              <w:left w:val="nil"/>
              <w:bottom w:val="single" w:sz="4" w:space="0" w:color="auto"/>
              <w:right w:val="single" w:sz="4" w:space="0" w:color="auto"/>
            </w:tcBorders>
            <w:shd w:val="clear" w:color="000000" w:fill="EAF1DD"/>
            <w:noWrap/>
            <w:vAlign w:val="center"/>
            <w:hideMark/>
          </w:tcPr>
          <w:p w14:paraId="632C831E"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5</w:t>
            </w:r>
          </w:p>
        </w:tc>
        <w:tc>
          <w:tcPr>
            <w:tcW w:w="1134" w:type="dxa"/>
            <w:tcBorders>
              <w:top w:val="nil"/>
              <w:left w:val="nil"/>
              <w:bottom w:val="single" w:sz="4" w:space="0" w:color="auto"/>
              <w:right w:val="single" w:sz="4" w:space="0" w:color="auto"/>
            </w:tcBorders>
            <w:shd w:val="clear" w:color="000000" w:fill="EAF1DD"/>
            <w:noWrap/>
            <w:vAlign w:val="center"/>
            <w:hideMark/>
          </w:tcPr>
          <w:p w14:paraId="3DAF0E89"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114</w:t>
            </w:r>
          </w:p>
        </w:tc>
        <w:tc>
          <w:tcPr>
            <w:tcW w:w="1276" w:type="dxa"/>
            <w:tcBorders>
              <w:top w:val="nil"/>
              <w:left w:val="nil"/>
              <w:bottom w:val="single" w:sz="4" w:space="0" w:color="auto"/>
              <w:right w:val="single" w:sz="4" w:space="0" w:color="auto"/>
            </w:tcBorders>
            <w:shd w:val="clear" w:color="000000" w:fill="EAF1DD"/>
            <w:noWrap/>
            <w:vAlign w:val="center"/>
            <w:hideMark/>
          </w:tcPr>
          <w:p w14:paraId="7FCD622D"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90</w:t>
            </w:r>
          </w:p>
        </w:tc>
        <w:tc>
          <w:tcPr>
            <w:tcW w:w="1417" w:type="dxa"/>
            <w:tcBorders>
              <w:top w:val="nil"/>
              <w:left w:val="nil"/>
              <w:bottom w:val="single" w:sz="4" w:space="0" w:color="auto"/>
              <w:right w:val="single" w:sz="4" w:space="0" w:color="auto"/>
            </w:tcBorders>
            <w:shd w:val="clear" w:color="000000" w:fill="EAF1DD"/>
            <w:noWrap/>
            <w:vAlign w:val="center"/>
            <w:hideMark/>
          </w:tcPr>
          <w:p w14:paraId="053C5256"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328</w:t>
            </w:r>
          </w:p>
        </w:tc>
        <w:tc>
          <w:tcPr>
            <w:tcW w:w="1276" w:type="dxa"/>
            <w:tcBorders>
              <w:top w:val="nil"/>
              <w:left w:val="nil"/>
              <w:bottom w:val="single" w:sz="4" w:space="0" w:color="auto"/>
              <w:right w:val="single" w:sz="4" w:space="0" w:color="auto"/>
            </w:tcBorders>
            <w:shd w:val="clear" w:color="000000" w:fill="EAF1DD"/>
            <w:noWrap/>
            <w:vAlign w:val="center"/>
            <w:hideMark/>
          </w:tcPr>
          <w:p w14:paraId="762F55A0" w14:textId="1D7F79E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w:t>
            </w:r>
            <w:r w:rsidR="004B6B6E">
              <w:rPr>
                <w:rFonts w:eastAsia="Times New Roman" w:cs="Calibri"/>
                <w:noProof/>
                <w:sz w:val="20"/>
                <w:szCs w:val="20"/>
                <w:lang w:val="es-ES" w:eastAsia="en-GB"/>
              </w:rPr>
              <w:t xml:space="preserve"> </w:t>
            </w:r>
            <w:r w:rsidRPr="00E723E1">
              <w:rPr>
                <w:rFonts w:eastAsia="Times New Roman" w:cs="Calibri"/>
                <w:noProof/>
                <w:sz w:val="20"/>
                <w:szCs w:val="20"/>
                <w:lang w:val="es-ES" w:eastAsia="en-GB"/>
              </w:rPr>
              <w:t>311</w:t>
            </w:r>
          </w:p>
        </w:tc>
        <w:tc>
          <w:tcPr>
            <w:tcW w:w="1276" w:type="dxa"/>
            <w:tcBorders>
              <w:top w:val="nil"/>
              <w:left w:val="nil"/>
              <w:bottom w:val="single" w:sz="4" w:space="0" w:color="auto"/>
              <w:right w:val="nil"/>
            </w:tcBorders>
            <w:shd w:val="clear" w:color="000000" w:fill="EAF1DD"/>
            <w:noWrap/>
            <w:vAlign w:val="center"/>
            <w:hideMark/>
          </w:tcPr>
          <w:p w14:paraId="10F4D7A9"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633</w:t>
            </w:r>
          </w:p>
        </w:tc>
        <w:tc>
          <w:tcPr>
            <w:tcW w:w="1417" w:type="dxa"/>
            <w:tcBorders>
              <w:top w:val="nil"/>
              <w:left w:val="single" w:sz="4" w:space="0" w:color="auto"/>
              <w:bottom w:val="single" w:sz="4" w:space="0" w:color="auto"/>
              <w:right w:val="nil"/>
            </w:tcBorders>
            <w:shd w:val="clear" w:color="000000" w:fill="EAF1DD"/>
            <w:noWrap/>
            <w:vAlign w:val="center"/>
            <w:hideMark/>
          </w:tcPr>
          <w:p w14:paraId="1C021DAD"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nil"/>
              <w:left w:val="single" w:sz="4" w:space="0" w:color="auto"/>
              <w:bottom w:val="nil"/>
              <w:right w:val="single" w:sz="4" w:space="0" w:color="auto"/>
            </w:tcBorders>
            <w:shd w:val="clear" w:color="000000" w:fill="EAF1DD"/>
            <w:noWrap/>
            <w:vAlign w:val="center"/>
            <w:hideMark/>
          </w:tcPr>
          <w:p w14:paraId="183940EE"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677</w:t>
            </w:r>
          </w:p>
        </w:tc>
      </w:tr>
      <w:tr w:rsidR="00AE2808" w:rsidRPr="00E723E1" w14:paraId="2B11F385" w14:textId="77777777" w:rsidTr="00CB5635">
        <w:trPr>
          <w:trHeight w:val="255"/>
        </w:trPr>
        <w:tc>
          <w:tcPr>
            <w:tcW w:w="3258" w:type="dxa"/>
            <w:tcBorders>
              <w:top w:val="single" w:sz="4" w:space="0" w:color="auto"/>
              <w:left w:val="single" w:sz="4" w:space="0" w:color="auto"/>
              <w:bottom w:val="single" w:sz="4" w:space="0" w:color="auto"/>
              <w:right w:val="nil"/>
            </w:tcBorders>
            <w:shd w:val="clear" w:color="auto" w:fill="auto"/>
            <w:noWrap/>
            <w:vAlign w:val="center"/>
            <w:hideMark/>
          </w:tcPr>
          <w:p w14:paraId="32C9919A" w14:textId="7381B9DF" w:rsidR="00AE2808" w:rsidRPr="00E723E1" w:rsidRDefault="00AE2808" w:rsidP="00AE2808">
            <w:pPr>
              <w:ind w:left="0" w:firstLine="0"/>
              <w:rPr>
                <w:rFonts w:eastAsia="Times New Roman" w:cs="Calibri"/>
                <w:noProof/>
                <w:sz w:val="20"/>
                <w:szCs w:val="20"/>
                <w:lang w:val="es-ES" w:eastAsia="en-GB"/>
              </w:rPr>
            </w:pPr>
            <w:r w:rsidRPr="00E723E1">
              <w:rPr>
                <w:rFonts w:eastAsia="Times New Roman" w:cs="Calibri"/>
                <w:noProof/>
                <w:sz w:val="20"/>
                <w:szCs w:val="20"/>
                <w:lang w:val="es-ES" w:eastAsia="en-GB"/>
              </w:rPr>
              <w:t>Salarios, gastos sociales y otras prestaciones laborales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39217"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621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A6871B2"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3DE7E87"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9A8B1C0"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7B7C8C6"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226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09E2C58"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854</w:t>
            </w:r>
          </w:p>
        </w:tc>
        <w:tc>
          <w:tcPr>
            <w:tcW w:w="1276" w:type="dxa"/>
            <w:tcBorders>
              <w:top w:val="single" w:sz="4" w:space="0" w:color="auto"/>
              <w:left w:val="nil"/>
              <w:bottom w:val="single" w:sz="4" w:space="0" w:color="auto"/>
              <w:right w:val="nil"/>
            </w:tcBorders>
            <w:shd w:val="clear" w:color="auto" w:fill="auto"/>
            <w:noWrap/>
            <w:vAlign w:val="center"/>
            <w:hideMark/>
          </w:tcPr>
          <w:p w14:paraId="5F1812B2"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558</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399211A1"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B1499"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296</w:t>
            </w:r>
          </w:p>
        </w:tc>
      </w:tr>
      <w:tr w:rsidR="00AE2808" w:rsidRPr="00E723E1" w14:paraId="4DEBF79F" w14:textId="77777777" w:rsidTr="00CB5635">
        <w:trPr>
          <w:trHeight w:val="255"/>
        </w:trPr>
        <w:tc>
          <w:tcPr>
            <w:tcW w:w="3258" w:type="dxa"/>
            <w:tcBorders>
              <w:top w:val="single" w:sz="4" w:space="0" w:color="auto"/>
              <w:left w:val="single" w:sz="4" w:space="0" w:color="auto"/>
              <w:bottom w:val="single" w:sz="4" w:space="0" w:color="auto"/>
              <w:right w:val="nil"/>
            </w:tcBorders>
            <w:shd w:val="clear" w:color="auto" w:fill="auto"/>
            <w:noWrap/>
            <w:hideMark/>
          </w:tcPr>
          <w:p w14:paraId="0E80A2DD" w14:textId="72C62F33" w:rsidR="00AE2808" w:rsidRPr="00E723E1" w:rsidRDefault="00AE2808" w:rsidP="00AE2808">
            <w:pPr>
              <w:ind w:left="0" w:firstLine="0"/>
              <w:rPr>
                <w:rFonts w:eastAsia="Times New Roman" w:cs="Calibri"/>
                <w:noProof/>
                <w:sz w:val="20"/>
                <w:szCs w:val="20"/>
                <w:lang w:val="es-ES" w:eastAsia="en-GB"/>
              </w:rPr>
            </w:pPr>
            <w:r w:rsidRPr="00E723E1">
              <w:rPr>
                <w:rFonts w:asciiTheme="minorHAnsi" w:eastAsiaTheme="minorHAnsi" w:hAnsiTheme="minorHAnsi" w:cstheme="minorHAnsi"/>
                <w:noProof/>
                <w:color w:val="000000"/>
                <w:sz w:val="20"/>
                <w:szCs w:val="20"/>
                <w:lang w:val="es-ES"/>
              </w:rPr>
              <w:t>Viajes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4AD55"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0AA86CD"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9020FC3"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F23628A"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B881E0A"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FF535F5"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24</w:t>
            </w:r>
          </w:p>
        </w:tc>
        <w:tc>
          <w:tcPr>
            <w:tcW w:w="1276" w:type="dxa"/>
            <w:tcBorders>
              <w:top w:val="single" w:sz="4" w:space="0" w:color="auto"/>
              <w:left w:val="nil"/>
              <w:bottom w:val="single" w:sz="4" w:space="0" w:color="auto"/>
              <w:right w:val="nil"/>
            </w:tcBorders>
            <w:shd w:val="clear" w:color="auto" w:fill="auto"/>
            <w:noWrap/>
            <w:vAlign w:val="center"/>
            <w:hideMark/>
          </w:tcPr>
          <w:p w14:paraId="0D23C70F"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5</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30982FC4"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D3736"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19</w:t>
            </w:r>
          </w:p>
        </w:tc>
      </w:tr>
      <w:tr w:rsidR="00AE2808" w:rsidRPr="00E723E1" w14:paraId="418C3F70" w14:textId="77777777" w:rsidTr="00CB5635">
        <w:trPr>
          <w:trHeight w:val="255"/>
        </w:trPr>
        <w:tc>
          <w:tcPr>
            <w:tcW w:w="3258" w:type="dxa"/>
            <w:tcBorders>
              <w:top w:val="nil"/>
              <w:left w:val="single" w:sz="4" w:space="0" w:color="auto"/>
              <w:bottom w:val="single" w:sz="4" w:space="0" w:color="auto"/>
              <w:right w:val="nil"/>
            </w:tcBorders>
            <w:shd w:val="clear" w:color="auto" w:fill="auto"/>
            <w:noWrap/>
            <w:hideMark/>
          </w:tcPr>
          <w:p w14:paraId="708762E7" w14:textId="00685D08" w:rsidR="00AE2808" w:rsidRPr="00E723E1" w:rsidRDefault="00AE2808" w:rsidP="00AE2808">
            <w:pPr>
              <w:ind w:left="0" w:firstLine="0"/>
              <w:rPr>
                <w:rFonts w:eastAsia="Times New Roman" w:cs="Calibri"/>
                <w:noProof/>
                <w:sz w:val="20"/>
                <w:szCs w:val="20"/>
                <w:lang w:val="es-ES" w:eastAsia="en-GB"/>
              </w:rPr>
            </w:pPr>
            <w:r w:rsidRPr="00E723E1">
              <w:rPr>
                <w:rFonts w:asciiTheme="minorHAnsi" w:eastAsiaTheme="minorHAnsi" w:hAnsiTheme="minorHAnsi" w:cstheme="minorHAnsi"/>
                <w:noProof/>
                <w:color w:val="000000"/>
                <w:sz w:val="20"/>
                <w:szCs w:val="20"/>
                <w:lang w:val="es-ES"/>
              </w:rPr>
              <w:lastRenderedPageBreak/>
              <w:t>Viajes de la Presidencia del GECT</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14EA3773"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5</w:t>
            </w:r>
          </w:p>
        </w:tc>
        <w:tc>
          <w:tcPr>
            <w:tcW w:w="1276" w:type="dxa"/>
            <w:tcBorders>
              <w:top w:val="nil"/>
              <w:left w:val="nil"/>
              <w:bottom w:val="single" w:sz="4" w:space="0" w:color="auto"/>
              <w:right w:val="single" w:sz="4" w:space="0" w:color="auto"/>
            </w:tcBorders>
            <w:shd w:val="clear" w:color="auto" w:fill="auto"/>
            <w:noWrap/>
            <w:vAlign w:val="center"/>
            <w:hideMark/>
          </w:tcPr>
          <w:p w14:paraId="785DF03F"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14:paraId="46D686F0"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2F038E50"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nil"/>
              <w:left w:val="nil"/>
              <w:bottom w:val="single" w:sz="4" w:space="0" w:color="auto"/>
              <w:right w:val="single" w:sz="4" w:space="0" w:color="auto"/>
            </w:tcBorders>
            <w:shd w:val="clear" w:color="auto" w:fill="auto"/>
            <w:noWrap/>
            <w:vAlign w:val="center"/>
            <w:hideMark/>
          </w:tcPr>
          <w:p w14:paraId="367766D5"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7</w:t>
            </w:r>
          </w:p>
        </w:tc>
        <w:tc>
          <w:tcPr>
            <w:tcW w:w="1276" w:type="dxa"/>
            <w:tcBorders>
              <w:top w:val="nil"/>
              <w:left w:val="nil"/>
              <w:bottom w:val="single" w:sz="4" w:space="0" w:color="auto"/>
              <w:right w:val="single" w:sz="4" w:space="0" w:color="auto"/>
            </w:tcBorders>
            <w:shd w:val="clear" w:color="auto" w:fill="auto"/>
            <w:noWrap/>
            <w:vAlign w:val="center"/>
            <w:hideMark/>
          </w:tcPr>
          <w:p w14:paraId="1DB0D611"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12</w:t>
            </w:r>
          </w:p>
        </w:tc>
        <w:tc>
          <w:tcPr>
            <w:tcW w:w="1276" w:type="dxa"/>
            <w:tcBorders>
              <w:top w:val="nil"/>
              <w:left w:val="nil"/>
              <w:bottom w:val="single" w:sz="4" w:space="0" w:color="auto"/>
              <w:right w:val="nil"/>
            </w:tcBorders>
            <w:shd w:val="clear" w:color="auto" w:fill="auto"/>
            <w:noWrap/>
            <w:vAlign w:val="center"/>
            <w:hideMark/>
          </w:tcPr>
          <w:p w14:paraId="2411181A"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nil"/>
              <w:left w:val="single" w:sz="4" w:space="0" w:color="auto"/>
              <w:bottom w:val="single" w:sz="4" w:space="0" w:color="auto"/>
              <w:right w:val="nil"/>
            </w:tcBorders>
            <w:shd w:val="clear" w:color="auto" w:fill="auto"/>
            <w:noWrap/>
            <w:vAlign w:val="center"/>
            <w:hideMark/>
          </w:tcPr>
          <w:p w14:paraId="3ED673B0"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4210366"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12</w:t>
            </w:r>
          </w:p>
        </w:tc>
      </w:tr>
      <w:tr w:rsidR="00AE2808" w:rsidRPr="00E723E1" w14:paraId="7B53B94B" w14:textId="77777777" w:rsidTr="00CB5635">
        <w:trPr>
          <w:trHeight w:val="255"/>
        </w:trPr>
        <w:tc>
          <w:tcPr>
            <w:tcW w:w="3258" w:type="dxa"/>
            <w:tcBorders>
              <w:top w:val="nil"/>
              <w:left w:val="single" w:sz="4" w:space="0" w:color="auto"/>
              <w:bottom w:val="nil"/>
              <w:right w:val="nil"/>
            </w:tcBorders>
            <w:shd w:val="clear" w:color="auto" w:fill="auto"/>
            <w:noWrap/>
            <w:hideMark/>
          </w:tcPr>
          <w:p w14:paraId="3C6A8E4B" w14:textId="3F8A43EC" w:rsidR="00AE2808" w:rsidRPr="00E723E1" w:rsidRDefault="00AE2808" w:rsidP="00AE2808">
            <w:pPr>
              <w:ind w:left="0" w:firstLine="0"/>
              <w:rPr>
                <w:rFonts w:eastAsia="Times New Roman" w:cs="Calibri"/>
                <w:noProof/>
                <w:sz w:val="20"/>
                <w:szCs w:val="20"/>
                <w:lang w:val="es-ES" w:eastAsia="en-GB"/>
              </w:rPr>
            </w:pPr>
            <w:r w:rsidRPr="00E723E1">
              <w:rPr>
                <w:rFonts w:asciiTheme="minorHAnsi" w:eastAsiaTheme="minorHAnsi" w:hAnsiTheme="minorHAnsi" w:cstheme="minorHAnsi"/>
                <w:noProof/>
                <w:color w:val="000000" w:themeColor="text1"/>
                <w:sz w:val="20"/>
                <w:szCs w:val="20"/>
                <w:lang w:val="es-ES"/>
              </w:rPr>
              <w:t>Trabajo del GECT</w:t>
            </w:r>
          </w:p>
        </w:tc>
        <w:tc>
          <w:tcPr>
            <w:tcW w:w="1417" w:type="dxa"/>
            <w:tcBorders>
              <w:top w:val="nil"/>
              <w:left w:val="single" w:sz="4" w:space="0" w:color="auto"/>
              <w:bottom w:val="nil"/>
              <w:right w:val="single" w:sz="4" w:space="0" w:color="auto"/>
            </w:tcBorders>
            <w:shd w:val="clear" w:color="auto" w:fill="auto"/>
            <w:noWrap/>
            <w:vAlign w:val="center"/>
            <w:hideMark/>
          </w:tcPr>
          <w:p w14:paraId="5EE1AE95"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35</w:t>
            </w:r>
          </w:p>
        </w:tc>
        <w:tc>
          <w:tcPr>
            <w:tcW w:w="1276" w:type="dxa"/>
            <w:tcBorders>
              <w:top w:val="nil"/>
              <w:left w:val="nil"/>
              <w:bottom w:val="nil"/>
              <w:right w:val="single" w:sz="4" w:space="0" w:color="auto"/>
            </w:tcBorders>
            <w:shd w:val="clear" w:color="auto" w:fill="auto"/>
            <w:noWrap/>
            <w:vAlign w:val="center"/>
            <w:hideMark/>
          </w:tcPr>
          <w:p w14:paraId="12F37415"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5</w:t>
            </w:r>
          </w:p>
        </w:tc>
        <w:tc>
          <w:tcPr>
            <w:tcW w:w="1134" w:type="dxa"/>
            <w:tcBorders>
              <w:top w:val="nil"/>
              <w:left w:val="nil"/>
              <w:bottom w:val="nil"/>
              <w:right w:val="single" w:sz="4" w:space="0" w:color="auto"/>
            </w:tcBorders>
            <w:shd w:val="clear" w:color="auto" w:fill="auto"/>
            <w:noWrap/>
            <w:vAlign w:val="center"/>
            <w:hideMark/>
          </w:tcPr>
          <w:p w14:paraId="20B8F6F6"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35</w:t>
            </w:r>
          </w:p>
        </w:tc>
        <w:tc>
          <w:tcPr>
            <w:tcW w:w="1276" w:type="dxa"/>
            <w:tcBorders>
              <w:top w:val="nil"/>
              <w:left w:val="nil"/>
              <w:bottom w:val="single" w:sz="4" w:space="0" w:color="auto"/>
              <w:right w:val="single" w:sz="4" w:space="0" w:color="auto"/>
            </w:tcBorders>
            <w:shd w:val="clear" w:color="auto" w:fill="auto"/>
            <w:noWrap/>
            <w:vAlign w:val="center"/>
            <w:hideMark/>
          </w:tcPr>
          <w:p w14:paraId="72E71115"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nil"/>
              <w:left w:val="nil"/>
              <w:bottom w:val="nil"/>
              <w:right w:val="single" w:sz="4" w:space="0" w:color="auto"/>
            </w:tcBorders>
            <w:shd w:val="clear" w:color="auto" w:fill="auto"/>
            <w:noWrap/>
            <w:vAlign w:val="center"/>
            <w:hideMark/>
          </w:tcPr>
          <w:p w14:paraId="25874B0A"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24</w:t>
            </w:r>
          </w:p>
        </w:tc>
        <w:tc>
          <w:tcPr>
            <w:tcW w:w="1276" w:type="dxa"/>
            <w:tcBorders>
              <w:top w:val="nil"/>
              <w:left w:val="nil"/>
              <w:bottom w:val="nil"/>
              <w:right w:val="single" w:sz="4" w:space="0" w:color="auto"/>
            </w:tcBorders>
            <w:shd w:val="clear" w:color="auto" w:fill="auto"/>
            <w:noWrap/>
            <w:vAlign w:val="center"/>
            <w:hideMark/>
          </w:tcPr>
          <w:p w14:paraId="52569493"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99</w:t>
            </w:r>
          </w:p>
        </w:tc>
        <w:tc>
          <w:tcPr>
            <w:tcW w:w="1276" w:type="dxa"/>
            <w:tcBorders>
              <w:top w:val="nil"/>
              <w:left w:val="nil"/>
              <w:bottom w:val="nil"/>
              <w:right w:val="nil"/>
            </w:tcBorders>
            <w:shd w:val="clear" w:color="auto" w:fill="auto"/>
            <w:noWrap/>
            <w:vAlign w:val="center"/>
            <w:hideMark/>
          </w:tcPr>
          <w:p w14:paraId="5E8EB25A"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34</w:t>
            </w:r>
          </w:p>
        </w:tc>
        <w:tc>
          <w:tcPr>
            <w:tcW w:w="1417" w:type="dxa"/>
            <w:tcBorders>
              <w:top w:val="nil"/>
              <w:left w:val="single" w:sz="4" w:space="0" w:color="auto"/>
              <w:bottom w:val="nil"/>
              <w:right w:val="nil"/>
            </w:tcBorders>
            <w:shd w:val="clear" w:color="auto" w:fill="auto"/>
            <w:noWrap/>
            <w:vAlign w:val="center"/>
            <w:hideMark/>
          </w:tcPr>
          <w:p w14:paraId="235D1691"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nil"/>
              <w:left w:val="single" w:sz="4" w:space="0" w:color="auto"/>
              <w:bottom w:val="nil"/>
              <w:right w:val="single" w:sz="4" w:space="0" w:color="auto"/>
            </w:tcBorders>
            <w:shd w:val="clear" w:color="auto" w:fill="auto"/>
            <w:noWrap/>
            <w:vAlign w:val="center"/>
            <w:hideMark/>
          </w:tcPr>
          <w:p w14:paraId="4537736B"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65</w:t>
            </w:r>
          </w:p>
        </w:tc>
      </w:tr>
      <w:tr w:rsidR="00AE2808" w:rsidRPr="00E723E1" w14:paraId="1471C802" w14:textId="77777777" w:rsidTr="00CB5635">
        <w:trPr>
          <w:trHeight w:val="255"/>
        </w:trPr>
        <w:tc>
          <w:tcPr>
            <w:tcW w:w="3258" w:type="dxa"/>
            <w:tcBorders>
              <w:top w:val="single" w:sz="4" w:space="0" w:color="auto"/>
              <w:left w:val="single" w:sz="4" w:space="0" w:color="auto"/>
              <w:bottom w:val="single" w:sz="4" w:space="0" w:color="auto"/>
              <w:right w:val="nil"/>
            </w:tcBorders>
            <w:shd w:val="clear" w:color="auto" w:fill="auto"/>
            <w:noWrap/>
            <w:hideMark/>
          </w:tcPr>
          <w:p w14:paraId="55F861E3" w14:textId="19EA3727" w:rsidR="00AE2808" w:rsidRPr="00E723E1" w:rsidRDefault="00AE2808" w:rsidP="00AE2808">
            <w:pPr>
              <w:ind w:left="0" w:firstLine="0"/>
              <w:rPr>
                <w:rFonts w:eastAsia="Times New Roman" w:cs="Calibri"/>
                <w:noProof/>
                <w:sz w:val="20"/>
                <w:szCs w:val="20"/>
                <w:lang w:val="es-ES" w:eastAsia="en-GB"/>
              </w:rPr>
            </w:pPr>
            <w:r w:rsidRPr="00E723E1">
              <w:rPr>
                <w:rFonts w:asciiTheme="minorHAnsi" w:eastAsiaTheme="minorHAnsi" w:hAnsiTheme="minorHAnsi" w:cstheme="minorHAnsi"/>
                <w:noProof/>
                <w:color w:val="000000"/>
                <w:sz w:val="20"/>
                <w:szCs w:val="20"/>
                <w:lang w:val="es-ES"/>
              </w:rPr>
              <w:t>Reuniones del GECT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0342E"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26EA613"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9E5E6D1"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63D4B771"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28E49E2"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44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7B54927"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94</w:t>
            </w:r>
          </w:p>
        </w:tc>
        <w:tc>
          <w:tcPr>
            <w:tcW w:w="1276" w:type="dxa"/>
            <w:tcBorders>
              <w:top w:val="single" w:sz="4" w:space="0" w:color="auto"/>
              <w:left w:val="nil"/>
              <w:bottom w:val="single" w:sz="4" w:space="0" w:color="auto"/>
              <w:right w:val="nil"/>
            </w:tcBorders>
            <w:shd w:val="clear" w:color="auto" w:fill="auto"/>
            <w:noWrap/>
            <w:vAlign w:val="center"/>
            <w:hideMark/>
          </w:tcPr>
          <w:p w14:paraId="60C4464A"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64C97F04"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A9924"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94</w:t>
            </w:r>
          </w:p>
        </w:tc>
      </w:tr>
      <w:tr w:rsidR="00F270A8" w:rsidRPr="00E723E1" w14:paraId="16F3D9BE" w14:textId="77777777" w:rsidTr="00CB5635">
        <w:trPr>
          <w:trHeight w:val="255"/>
        </w:trPr>
        <w:tc>
          <w:tcPr>
            <w:tcW w:w="3258" w:type="dxa"/>
            <w:tcBorders>
              <w:top w:val="nil"/>
              <w:left w:val="single" w:sz="4" w:space="0" w:color="auto"/>
              <w:bottom w:val="single" w:sz="4" w:space="0" w:color="auto"/>
              <w:right w:val="single" w:sz="4" w:space="0" w:color="auto"/>
            </w:tcBorders>
            <w:shd w:val="clear" w:color="auto" w:fill="auto"/>
            <w:noWrap/>
            <w:vAlign w:val="center"/>
            <w:hideMark/>
          </w:tcPr>
          <w:p w14:paraId="6C12A49A" w14:textId="4284AC3C" w:rsidR="00F270A8" w:rsidRPr="00E723E1" w:rsidRDefault="00AE2808" w:rsidP="00F270A8">
            <w:pPr>
              <w:ind w:left="0" w:firstLine="0"/>
              <w:rPr>
                <w:rFonts w:eastAsia="Times New Roman" w:cs="Calibri"/>
                <w:noProof/>
                <w:sz w:val="20"/>
                <w:szCs w:val="20"/>
                <w:lang w:val="es-ES" w:eastAsia="en-GB"/>
              </w:rPr>
            </w:pPr>
            <w:r w:rsidRPr="00E723E1">
              <w:rPr>
                <w:rFonts w:eastAsia="Times New Roman" w:cs="Calibri"/>
                <w:noProof/>
                <w:sz w:val="20"/>
                <w:szCs w:val="20"/>
                <w:lang w:val="es-ES" w:eastAsia="en-GB"/>
              </w:rPr>
              <w:t>Plan Estratégico</w:t>
            </w:r>
            <w:r w:rsidR="00F270A8" w:rsidRPr="00E723E1">
              <w:rPr>
                <w:rFonts w:eastAsia="Times New Roman" w:cs="Calibri"/>
                <w:noProof/>
                <w:sz w:val="20"/>
                <w:szCs w:val="20"/>
                <w:lang w:val="es-ES" w:eastAsia="en-GB"/>
              </w:rPr>
              <w:t xml:space="preserve"> </w:t>
            </w:r>
            <w:r w:rsidRPr="00E723E1">
              <w:rPr>
                <w:rFonts w:eastAsia="Times New Roman" w:cs="Calibri"/>
                <w:noProof/>
                <w:sz w:val="20"/>
                <w:szCs w:val="20"/>
                <w:lang w:val="es-ES" w:eastAsia="en-GB"/>
              </w:rPr>
              <w:t>5</w:t>
            </w:r>
            <w:r w:rsidR="00F270A8" w:rsidRPr="00E723E1">
              <w:rPr>
                <w:rFonts w:eastAsia="Times New Roman" w:cs="Calibri"/>
                <w:noProof/>
                <w:sz w:val="20"/>
                <w:szCs w:val="20"/>
                <w:lang w:val="es-ES" w:eastAsia="en-GB"/>
              </w:rPr>
              <w:t xml:space="preserve"> (2022 - 2024)</w:t>
            </w:r>
          </w:p>
        </w:tc>
        <w:tc>
          <w:tcPr>
            <w:tcW w:w="1417" w:type="dxa"/>
            <w:tcBorders>
              <w:top w:val="nil"/>
              <w:left w:val="nil"/>
              <w:bottom w:val="single" w:sz="4" w:space="0" w:color="auto"/>
              <w:right w:val="single" w:sz="4" w:space="0" w:color="auto"/>
            </w:tcBorders>
            <w:shd w:val="clear" w:color="auto" w:fill="auto"/>
            <w:noWrap/>
            <w:vAlign w:val="center"/>
            <w:hideMark/>
          </w:tcPr>
          <w:p w14:paraId="2241AAC6"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4C412719"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14:paraId="7A85DA9F"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7C20FF38"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90</w:t>
            </w:r>
          </w:p>
        </w:tc>
        <w:tc>
          <w:tcPr>
            <w:tcW w:w="1417" w:type="dxa"/>
            <w:tcBorders>
              <w:top w:val="nil"/>
              <w:left w:val="nil"/>
              <w:bottom w:val="single" w:sz="4" w:space="0" w:color="auto"/>
              <w:right w:val="single" w:sz="4" w:space="0" w:color="auto"/>
            </w:tcBorders>
            <w:shd w:val="clear" w:color="auto" w:fill="auto"/>
            <w:noWrap/>
            <w:vAlign w:val="center"/>
            <w:hideMark/>
          </w:tcPr>
          <w:p w14:paraId="18EBF21F"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2EB43C98"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90</w:t>
            </w:r>
          </w:p>
        </w:tc>
        <w:tc>
          <w:tcPr>
            <w:tcW w:w="1276" w:type="dxa"/>
            <w:tcBorders>
              <w:top w:val="nil"/>
              <w:left w:val="nil"/>
              <w:bottom w:val="single" w:sz="4" w:space="0" w:color="auto"/>
              <w:right w:val="nil"/>
            </w:tcBorders>
            <w:shd w:val="clear" w:color="auto" w:fill="auto"/>
            <w:noWrap/>
            <w:vAlign w:val="center"/>
            <w:hideMark/>
          </w:tcPr>
          <w:p w14:paraId="538568F0"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nil"/>
              <w:left w:val="single" w:sz="4" w:space="0" w:color="auto"/>
              <w:bottom w:val="single" w:sz="4" w:space="0" w:color="auto"/>
              <w:right w:val="nil"/>
            </w:tcBorders>
            <w:shd w:val="clear" w:color="auto" w:fill="auto"/>
            <w:noWrap/>
            <w:vAlign w:val="center"/>
            <w:hideMark/>
          </w:tcPr>
          <w:p w14:paraId="4017913C"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32B80AA"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90</w:t>
            </w:r>
          </w:p>
        </w:tc>
      </w:tr>
      <w:tr w:rsidR="00F270A8" w:rsidRPr="00E723E1" w14:paraId="018DBF7C" w14:textId="77777777" w:rsidTr="00CB5635">
        <w:trPr>
          <w:trHeight w:val="255"/>
        </w:trPr>
        <w:tc>
          <w:tcPr>
            <w:tcW w:w="3258" w:type="dxa"/>
            <w:tcBorders>
              <w:top w:val="nil"/>
              <w:left w:val="single" w:sz="4" w:space="0" w:color="auto"/>
              <w:bottom w:val="nil"/>
              <w:right w:val="nil"/>
            </w:tcBorders>
            <w:shd w:val="clear" w:color="auto" w:fill="auto"/>
            <w:noWrap/>
            <w:vAlign w:val="center"/>
            <w:hideMark/>
          </w:tcPr>
          <w:p w14:paraId="23F51BA7" w14:textId="3A4D8935" w:rsidR="00F270A8" w:rsidRPr="00E723E1" w:rsidRDefault="00AE2808" w:rsidP="00F270A8">
            <w:pPr>
              <w:ind w:left="0" w:firstLine="0"/>
              <w:rPr>
                <w:rFonts w:eastAsia="Times New Roman" w:cs="Calibri"/>
                <w:noProof/>
                <w:sz w:val="20"/>
                <w:szCs w:val="20"/>
                <w:lang w:val="es-ES" w:eastAsia="en-GB"/>
              </w:rPr>
            </w:pPr>
            <w:r w:rsidRPr="00E723E1">
              <w:rPr>
                <w:rFonts w:eastAsia="Times New Roman" w:cs="Calibri"/>
                <w:noProof/>
                <w:sz w:val="20"/>
                <w:szCs w:val="20"/>
                <w:lang w:val="es-ES" w:eastAsia="en-GB"/>
              </w:rPr>
              <w:t>ODS</w:t>
            </w:r>
            <w:r w:rsidR="00F270A8" w:rsidRPr="00E723E1">
              <w:rPr>
                <w:rFonts w:eastAsia="Times New Roman" w:cs="Calibri"/>
                <w:noProof/>
                <w:sz w:val="20"/>
                <w:szCs w:val="20"/>
                <w:lang w:val="es-ES" w:eastAsia="en-GB"/>
              </w:rPr>
              <w:t xml:space="preserve"> 6.61 (Invent</w:t>
            </w:r>
            <w:r w:rsidRPr="00E723E1">
              <w:rPr>
                <w:rFonts w:eastAsia="Times New Roman" w:cs="Calibri"/>
                <w:noProof/>
                <w:sz w:val="20"/>
                <w:szCs w:val="20"/>
                <w:lang w:val="es-ES" w:eastAsia="en-GB"/>
              </w:rPr>
              <w:t>ario</w:t>
            </w:r>
            <w:r w:rsidR="00F270A8" w:rsidRPr="00E723E1">
              <w:rPr>
                <w:rFonts w:eastAsia="Times New Roman" w:cs="Calibri"/>
                <w:noProof/>
                <w:sz w:val="20"/>
                <w:szCs w:val="20"/>
                <w:lang w:val="es-ES" w:eastAsia="en-GB"/>
              </w:rPr>
              <w:t>s)</w:t>
            </w:r>
          </w:p>
        </w:tc>
        <w:tc>
          <w:tcPr>
            <w:tcW w:w="1417" w:type="dxa"/>
            <w:tcBorders>
              <w:top w:val="nil"/>
              <w:left w:val="single" w:sz="4" w:space="0" w:color="auto"/>
              <w:bottom w:val="nil"/>
              <w:right w:val="single" w:sz="4" w:space="0" w:color="auto"/>
            </w:tcBorders>
            <w:shd w:val="clear" w:color="auto" w:fill="auto"/>
            <w:noWrap/>
            <w:vAlign w:val="center"/>
            <w:hideMark/>
          </w:tcPr>
          <w:p w14:paraId="0D32900A"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nil"/>
              <w:right w:val="single" w:sz="4" w:space="0" w:color="auto"/>
            </w:tcBorders>
            <w:shd w:val="clear" w:color="auto" w:fill="auto"/>
            <w:noWrap/>
            <w:vAlign w:val="center"/>
            <w:hideMark/>
          </w:tcPr>
          <w:p w14:paraId="67CC9637"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nil"/>
              <w:left w:val="nil"/>
              <w:bottom w:val="nil"/>
              <w:right w:val="single" w:sz="4" w:space="0" w:color="auto"/>
            </w:tcBorders>
            <w:shd w:val="clear" w:color="auto" w:fill="auto"/>
            <w:noWrap/>
            <w:vAlign w:val="center"/>
            <w:hideMark/>
          </w:tcPr>
          <w:p w14:paraId="2EAB99DE"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72</w:t>
            </w:r>
          </w:p>
        </w:tc>
        <w:tc>
          <w:tcPr>
            <w:tcW w:w="1276" w:type="dxa"/>
            <w:tcBorders>
              <w:top w:val="nil"/>
              <w:left w:val="nil"/>
              <w:bottom w:val="nil"/>
              <w:right w:val="single" w:sz="4" w:space="0" w:color="auto"/>
            </w:tcBorders>
            <w:shd w:val="clear" w:color="auto" w:fill="auto"/>
            <w:noWrap/>
            <w:vAlign w:val="center"/>
            <w:hideMark/>
          </w:tcPr>
          <w:p w14:paraId="083AA3FB"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nil"/>
              <w:left w:val="nil"/>
              <w:bottom w:val="nil"/>
              <w:right w:val="single" w:sz="4" w:space="0" w:color="auto"/>
            </w:tcBorders>
            <w:shd w:val="clear" w:color="auto" w:fill="auto"/>
            <w:noWrap/>
            <w:vAlign w:val="center"/>
            <w:hideMark/>
          </w:tcPr>
          <w:p w14:paraId="4CB18EDA"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nil"/>
              <w:right w:val="single" w:sz="4" w:space="0" w:color="auto"/>
            </w:tcBorders>
            <w:shd w:val="clear" w:color="auto" w:fill="auto"/>
            <w:noWrap/>
            <w:vAlign w:val="center"/>
            <w:hideMark/>
          </w:tcPr>
          <w:p w14:paraId="52C223A6"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72</w:t>
            </w:r>
          </w:p>
        </w:tc>
        <w:tc>
          <w:tcPr>
            <w:tcW w:w="1276" w:type="dxa"/>
            <w:tcBorders>
              <w:top w:val="nil"/>
              <w:left w:val="nil"/>
              <w:bottom w:val="single" w:sz="4" w:space="0" w:color="auto"/>
              <w:right w:val="nil"/>
            </w:tcBorders>
            <w:shd w:val="clear" w:color="auto" w:fill="auto"/>
            <w:noWrap/>
            <w:vAlign w:val="center"/>
            <w:hideMark/>
          </w:tcPr>
          <w:p w14:paraId="7CDE8B11"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nil"/>
              <w:left w:val="single" w:sz="4" w:space="0" w:color="auto"/>
              <w:bottom w:val="nil"/>
              <w:right w:val="nil"/>
            </w:tcBorders>
            <w:shd w:val="clear" w:color="auto" w:fill="auto"/>
            <w:noWrap/>
            <w:vAlign w:val="center"/>
            <w:hideMark/>
          </w:tcPr>
          <w:p w14:paraId="0089FD5F"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nil"/>
              <w:left w:val="single" w:sz="4" w:space="0" w:color="auto"/>
              <w:bottom w:val="nil"/>
              <w:right w:val="single" w:sz="4" w:space="0" w:color="auto"/>
            </w:tcBorders>
            <w:shd w:val="clear" w:color="auto" w:fill="auto"/>
            <w:noWrap/>
            <w:vAlign w:val="center"/>
            <w:hideMark/>
          </w:tcPr>
          <w:p w14:paraId="48C9D218"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72</w:t>
            </w:r>
          </w:p>
        </w:tc>
      </w:tr>
      <w:tr w:rsidR="00AE2808" w:rsidRPr="00E723E1" w14:paraId="65A11A52" w14:textId="77777777" w:rsidTr="00CB5635">
        <w:trPr>
          <w:trHeight w:val="255"/>
        </w:trPr>
        <w:tc>
          <w:tcPr>
            <w:tcW w:w="3258" w:type="dxa"/>
            <w:tcBorders>
              <w:top w:val="single" w:sz="4" w:space="0" w:color="auto"/>
              <w:left w:val="single" w:sz="4" w:space="0" w:color="auto"/>
              <w:bottom w:val="single" w:sz="4" w:space="0" w:color="auto"/>
              <w:right w:val="nil"/>
            </w:tcBorders>
            <w:shd w:val="clear" w:color="auto" w:fill="auto"/>
            <w:noWrap/>
            <w:hideMark/>
          </w:tcPr>
          <w:p w14:paraId="35F7B20B" w14:textId="05710A4F" w:rsidR="00AE2808" w:rsidRPr="00E723E1" w:rsidRDefault="00AE2808" w:rsidP="00AE2808">
            <w:pPr>
              <w:ind w:left="0" w:firstLine="0"/>
              <w:rPr>
                <w:rFonts w:eastAsia="Times New Roman" w:cs="Calibri"/>
                <w:noProof/>
                <w:sz w:val="20"/>
                <w:szCs w:val="20"/>
                <w:lang w:val="es-ES" w:eastAsia="en-GB"/>
              </w:rPr>
            </w:pPr>
            <w:r w:rsidRPr="00E723E1">
              <w:rPr>
                <w:rFonts w:asciiTheme="minorHAnsi" w:hAnsiTheme="minorHAnsi"/>
                <w:bCs/>
                <w:noProof/>
                <w:sz w:val="20"/>
                <w:szCs w:val="20"/>
                <w:lang w:val="es-ES"/>
              </w:rPr>
              <w:t>Servicio de Información sobre Sitios Ramsar (mantenimiento y desarrollo)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61A19"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43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FD42F0A"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A1D5326"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20B9B57"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2533DD5"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E77FD6D"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66</w:t>
            </w:r>
          </w:p>
        </w:tc>
        <w:tc>
          <w:tcPr>
            <w:tcW w:w="1276" w:type="dxa"/>
            <w:tcBorders>
              <w:top w:val="nil"/>
              <w:left w:val="nil"/>
              <w:bottom w:val="single" w:sz="4" w:space="0" w:color="auto"/>
              <w:right w:val="nil"/>
            </w:tcBorders>
            <w:shd w:val="clear" w:color="auto" w:fill="auto"/>
            <w:noWrap/>
            <w:vAlign w:val="center"/>
            <w:hideMark/>
          </w:tcPr>
          <w:p w14:paraId="3C4231C3"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36</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527BE6A5"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C3BDA"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30</w:t>
            </w:r>
          </w:p>
        </w:tc>
      </w:tr>
      <w:tr w:rsidR="00AE2808" w:rsidRPr="00E723E1" w14:paraId="7CA80549" w14:textId="77777777" w:rsidTr="00CB5635">
        <w:trPr>
          <w:trHeight w:val="255"/>
        </w:trPr>
        <w:tc>
          <w:tcPr>
            <w:tcW w:w="3258" w:type="dxa"/>
            <w:tcBorders>
              <w:top w:val="nil"/>
              <w:left w:val="single" w:sz="4" w:space="0" w:color="auto"/>
              <w:bottom w:val="single" w:sz="4" w:space="0" w:color="auto"/>
              <w:right w:val="single" w:sz="4" w:space="0" w:color="auto"/>
            </w:tcBorders>
            <w:shd w:val="clear" w:color="000000" w:fill="EAF1DD"/>
            <w:noWrap/>
            <w:hideMark/>
          </w:tcPr>
          <w:p w14:paraId="707BAD01" w14:textId="2B9FC01A" w:rsidR="00AE2808" w:rsidRPr="00E723E1" w:rsidRDefault="00AE2808" w:rsidP="00AE2808">
            <w:pPr>
              <w:ind w:left="0" w:firstLine="0"/>
              <w:rPr>
                <w:rFonts w:eastAsia="Times New Roman" w:cs="Calibri"/>
                <w:noProof/>
                <w:sz w:val="20"/>
                <w:szCs w:val="20"/>
                <w:lang w:val="es-ES" w:eastAsia="en-GB"/>
              </w:rPr>
            </w:pPr>
            <w:r w:rsidRPr="00E723E1">
              <w:rPr>
                <w:rFonts w:asciiTheme="minorHAnsi" w:eastAsiaTheme="minorHAnsi" w:hAnsiTheme="minorHAnsi" w:cstheme="minorHAnsi"/>
                <w:noProof/>
                <w:color w:val="000000"/>
                <w:sz w:val="20"/>
                <w:szCs w:val="20"/>
                <w:lang w:val="es-ES"/>
              </w:rPr>
              <w:t xml:space="preserve">G.  </w:t>
            </w:r>
            <w:r w:rsidRPr="00E723E1">
              <w:rPr>
                <w:rFonts w:asciiTheme="minorHAnsi" w:hAnsiTheme="minorHAnsi"/>
                <w:bCs/>
                <w:noProof/>
                <w:sz w:val="20"/>
                <w:szCs w:val="20"/>
                <w:lang w:val="es-ES"/>
              </w:rPr>
              <w:t>Administración/SISR/sitio web</w:t>
            </w:r>
          </w:p>
        </w:tc>
        <w:tc>
          <w:tcPr>
            <w:tcW w:w="1417" w:type="dxa"/>
            <w:tcBorders>
              <w:top w:val="nil"/>
              <w:left w:val="nil"/>
              <w:bottom w:val="single" w:sz="4" w:space="0" w:color="auto"/>
              <w:right w:val="single" w:sz="4" w:space="0" w:color="auto"/>
            </w:tcBorders>
            <w:shd w:val="clear" w:color="000000" w:fill="EAF1DD"/>
            <w:noWrap/>
            <w:vAlign w:val="center"/>
            <w:hideMark/>
          </w:tcPr>
          <w:p w14:paraId="53A8EACF"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489</w:t>
            </w:r>
          </w:p>
        </w:tc>
        <w:tc>
          <w:tcPr>
            <w:tcW w:w="1276" w:type="dxa"/>
            <w:tcBorders>
              <w:top w:val="nil"/>
              <w:left w:val="nil"/>
              <w:bottom w:val="single" w:sz="4" w:space="0" w:color="auto"/>
              <w:right w:val="single" w:sz="4" w:space="0" w:color="auto"/>
            </w:tcBorders>
            <w:shd w:val="clear" w:color="000000" w:fill="EAF1DD"/>
            <w:noWrap/>
            <w:vAlign w:val="center"/>
            <w:hideMark/>
          </w:tcPr>
          <w:p w14:paraId="1244F353"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11</w:t>
            </w:r>
          </w:p>
        </w:tc>
        <w:tc>
          <w:tcPr>
            <w:tcW w:w="1134" w:type="dxa"/>
            <w:tcBorders>
              <w:top w:val="nil"/>
              <w:left w:val="nil"/>
              <w:bottom w:val="single" w:sz="4" w:space="0" w:color="auto"/>
              <w:right w:val="single" w:sz="4" w:space="0" w:color="auto"/>
            </w:tcBorders>
            <w:shd w:val="clear" w:color="000000" w:fill="EAF1DD"/>
            <w:noWrap/>
            <w:vAlign w:val="center"/>
            <w:hideMark/>
          </w:tcPr>
          <w:p w14:paraId="7A376EBF"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95</w:t>
            </w:r>
          </w:p>
        </w:tc>
        <w:tc>
          <w:tcPr>
            <w:tcW w:w="1276" w:type="dxa"/>
            <w:tcBorders>
              <w:top w:val="nil"/>
              <w:left w:val="nil"/>
              <w:bottom w:val="single" w:sz="4" w:space="0" w:color="auto"/>
              <w:right w:val="single" w:sz="4" w:space="0" w:color="auto"/>
            </w:tcBorders>
            <w:shd w:val="clear" w:color="000000" w:fill="EAF1DD"/>
            <w:noWrap/>
            <w:vAlign w:val="center"/>
            <w:hideMark/>
          </w:tcPr>
          <w:p w14:paraId="3BA08D0C"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nil"/>
              <w:left w:val="nil"/>
              <w:bottom w:val="single" w:sz="4" w:space="0" w:color="auto"/>
              <w:right w:val="single" w:sz="4" w:space="0" w:color="auto"/>
            </w:tcBorders>
            <w:shd w:val="clear" w:color="000000" w:fill="EAF1DD"/>
            <w:noWrap/>
            <w:vAlign w:val="center"/>
            <w:hideMark/>
          </w:tcPr>
          <w:p w14:paraId="194FE259"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16</w:t>
            </w:r>
          </w:p>
        </w:tc>
        <w:tc>
          <w:tcPr>
            <w:tcW w:w="1276" w:type="dxa"/>
            <w:tcBorders>
              <w:top w:val="nil"/>
              <w:left w:val="nil"/>
              <w:bottom w:val="single" w:sz="4" w:space="0" w:color="auto"/>
              <w:right w:val="single" w:sz="4" w:space="0" w:color="auto"/>
            </w:tcBorders>
            <w:shd w:val="clear" w:color="000000" w:fill="EAF1DD"/>
            <w:noWrap/>
            <w:vAlign w:val="center"/>
            <w:hideMark/>
          </w:tcPr>
          <w:p w14:paraId="28AB33C5"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611</w:t>
            </w:r>
          </w:p>
        </w:tc>
        <w:tc>
          <w:tcPr>
            <w:tcW w:w="1276" w:type="dxa"/>
            <w:tcBorders>
              <w:top w:val="nil"/>
              <w:left w:val="nil"/>
              <w:bottom w:val="single" w:sz="4" w:space="0" w:color="auto"/>
              <w:right w:val="nil"/>
            </w:tcBorders>
            <w:shd w:val="clear" w:color="000000" w:fill="EAF1DD"/>
            <w:noWrap/>
            <w:vAlign w:val="center"/>
            <w:hideMark/>
          </w:tcPr>
          <w:p w14:paraId="4AEDD253"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505</w:t>
            </w:r>
          </w:p>
        </w:tc>
        <w:tc>
          <w:tcPr>
            <w:tcW w:w="1417" w:type="dxa"/>
            <w:tcBorders>
              <w:top w:val="nil"/>
              <w:left w:val="single" w:sz="4" w:space="0" w:color="auto"/>
              <w:bottom w:val="single" w:sz="4" w:space="0" w:color="auto"/>
              <w:right w:val="single" w:sz="4" w:space="0" w:color="auto"/>
            </w:tcBorders>
            <w:shd w:val="clear" w:color="000000" w:fill="EAF1DD"/>
            <w:noWrap/>
            <w:vAlign w:val="center"/>
            <w:hideMark/>
          </w:tcPr>
          <w:p w14:paraId="20AA981D"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11</w:t>
            </w:r>
          </w:p>
        </w:tc>
        <w:tc>
          <w:tcPr>
            <w:tcW w:w="1276" w:type="dxa"/>
            <w:tcBorders>
              <w:top w:val="nil"/>
              <w:left w:val="nil"/>
              <w:bottom w:val="single" w:sz="4" w:space="0" w:color="auto"/>
              <w:right w:val="single" w:sz="4" w:space="0" w:color="auto"/>
            </w:tcBorders>
            <w:shd w:val="clear" w:color="000000" w:fill="EAF1DD"/>
            <w:noWrap/>
            <w:vAlign w:val="center"/>
            <w:hideMark/>
          </w:tcPr>
          <w:p w14:paraId="4B9A61D5"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118</w:t>
            </w:r>
          </w:p>
        </w:tc>
      </w:tr>
      <w:tr w:rsidR="00AE2808" w:rsidRPr="00E723E1" w14:paraId="39F5CAF2" w14:textId="77777777" w:rsidTr="00CB5635">
        <w:trPr>
          <w:trHeight w:val="255"/>
        </w:trPr>
        <w:tc>
          <w:tcPr>
            <w:tcW w:w="3258" w:type="dxa"/>
            <w:tcBorders>
              <w:top w:val="single" w:sz="4" w:space="0" w:color="auto"/>
              <w:left w:val="single" w:sz="4" w:space="0" w:color="auto"/>
              <w:bottom w:val="single" w:sz="4" w:space="0" w:color="auto"/>
              <w:right w:val="nil"/>
            </w:tcBorders>
            <w:shd w:val="clear" w:color="auto" w:fill="auto"/>
            <w:noWrap/>
            <w:vAlign w:val="center"/>
            <w:hideMark/>
          </w:tcPr>
          <w:p w14:paraId="54DFCAB6" w14:textId="6E74E127" w:rsidR="00AE2808" w:rsidRPr="00E723E1" w:rsidRDefault="00AE2808" w:rsidP="00AE2808">
            <w:pPr>
              <w:ind w:left="0" w:firstLine="0"/>
              <w:rPr>
                <w:rFonts w:eastAsia="Times New Roman" w:cs="Calibri"/>
                <w:noProof/>
                <w:sz w:val="20"/>
                <w:szCs w:val="20"/>
                <w:lang w:val="es-ES" w:eastAsia="en-GB"/>
              </w:rPr>
            </w:pPr>
            <w:r w:rsidRPr="00E723E1">
              <w:rPr>
                <w:rFonts w:eastAsia="Times New Roman" w:cs="Calibri"/>
                <w:noProof/>
                <w:sz w:val="20"/>
                <w:szCs w:val="20"/>
                <w:lang w:val="es-ES" w:eastAsia="en-GB"/>
              </w:rPr>
              <w:t>Salarios, gastos sociales y otras prestaciones laborales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09870"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334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294BEE2"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F6B8E70"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C442A37"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E14746B"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1C31133"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337</w:t>
            </w:r>
          </w:p>
        </w:tc>
        <w:tc>
          <w:tcPr>
            <w:tcW w:w="1276" w:type="dxa"/>
            <w:tcBorders>
              <w:top w:val="single" w:sz="4" w:space="0" w:color="auto"/>
              <w:left w:val="nil"/>
              <w:bottom w:val="single" w:sz="4" w:space="0" w:color="auto"/>
              <w:right w:val="nil"/>
            </w:tcBorders>
            <w:shd w:val="clear" w:color="auto" w:fill="auto"/>
            <w:noWrap/>
            <w:vAlign w:val="center"/>
            <w:hideMark/>
          </w:tcPr>
          <w:p w14:paraId="4377B3AF"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335</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62351877"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8698B"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w:t>
            </w:r>
          </w:p>
        </w:tc>
      </w:tr>
      <w:tr w:rsidR="00AE2808" w:rsidRPr="00E723E1" w14:paraId="42038734" w14:textId="77777777" w:rsidTr="00CB5635">
        <w:trPr>
          <w:trHeight w:val="255"/>
        </w:trPr>
        <w:tc>
          <w:tcPr>
            <w:tcW w:w="3258" w:type="dxa"/>
            <w:tcBorders>
              <w:top w:val="single" w:sz="4" w:space="0" w:color="auto"/>
              <w:left w:val="single" w:sz="4" w:space="0" w:color="auto"/>
              <w:bottom w:val="single" w:sz="4" w:space="0" w:color="auto"/>
              <w:right w:val="nil"/>
            </w:tcBorders>
            <w:shd w:val="clear" w:color="auto" w:fill="auto"/>
            <w:noWrap/>
            <w:hideMark/>
          </w:tcPr>
          <w:p w14:paraId="27C9A5B2" w14:textId="05655784" w:rsidR="00AE2808" w:rsidRPr="00E723E1" w:rsidRDefault="00AE2808" w:rsidP="00AE2808">
            <w:pPr>
              <w:ind w:left="0" w:firstLine="0"/>
              <w:rPr>
                <w:rFonts w:eastAsia="Times New Roman" w:cs="Calibri"/>
                <w:noProof/>
                <w:sz w:val="20"/>
                <w:szCs w:val="20"/>
                <w:lang w:val="es-ES" w:eastAsia="en-GB"/>
              </w:rPr>
            </w:pPr>
            <w:r w:rsidRPr="00E723E1">
              <w:rPr>
                <w:rFonts w:asciiTheme="minorHAnsi" w:hAnsiTheme="minorHAnsi"/>
                <w:bCs/>
                <w:noProof/>
                <w:sz w:val="20"/>
                <w:szCs w:val="20"/>
                <w:lang w:val="es-ES"/>
              </w:rPr>
              <w:t>Costos de contratación y separación del personal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66E82"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C2A710F"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33FFB6E"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89D8087"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D58A584"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CD29710"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70</w:t>
            </w:r>
          </w:p>
        </w:tc>
        <w:tc>
          <w:tcPr>
            <w:tcW w:w="1276" w:type="dxa"/>
            <w:tcBorders>
              <w:top w:val="single" w:sz="4" w:space="0" w:color="auto"/>
              <w:left w:val="nil"/>
              <w:bottom w:val="single" w:sz="4" w:space="0" w:color="auto"/>
              <w:right w:val="nil"/>
            </w:tcBorders>
            <w:shd w:val="clear" w:color="auto" w:fill="auto"/>
            <w:noWrap/>
            <w:vAlign w:val="center"/>
            <w:hideMark/>
          </w:tcPr>
          <w:p w14:paraId="75FA200B"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81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AC4108"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6478D46"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r>
      <w:tr w:rsidR="00AE2808" w:rsidRPr="00E723E1" w14:paraId="1FAD3B4D" w14:textId="77777777" w:rsidTr="00CB5635">
        <w:trPr>
          <w:trHeight w:val="255"/>
        </w:trPr>
        <w:tc>
          <w:tcPr>
            <w:tcW w:w="3258" w:type="dxa"/>
            <w:tcBorders>
              <w:top w:val="nil"/>
              <w:left w:val="single" w:sz="4" w:space="0" w:color="auto"/>
              <w:bottom w:val="nil"/>
              <w:right w:val="nil"/>
            </w:tcBorders>
            <w:shd w:val="clear" w:color="auto" w:fill="auto"/>
            <w:noWrap/>
            <w:hideMark/>
          </w:tcPr>
          <w:p w14:paraId="1C66A864" w14:textId="3D549E84" w:rsidR="00AE2808" w:rsidRPr="00E723E1" w:rsidRDefault="00AE2808" w:rsidP="00AE2808">
            <w:pPr>
              <w:ind w:left="0" w:firstLine="0"/>
              <w:rPr>
                <w:rFonts w:eastAsia="Times New Roman" w:cs="Calibri"/>
                <w:noProof/>
                <w:sz w:val="20"/>
                <w:szCs w:val="20"/>
                <w:lang w:val="es-ES" w:eastAsia="en-GB"/>
              </w:rPr>
            </w:pPr>
            <w:r w:rsidRPr="00E723E1">
              <w:rPr>
                <w:rFonts w:asciiTheme="minorHAnsi" w:eastAsiaTheme="minorHAnsi" w:hAnsiTheme="minorHAnsi" w:cstheme="minorHAnsi"/>
                <w:noProof/>
                <w:color w:val="000000"/>
                <w:sz w:val="20"/>
                <w:szCs w:val="20"/>
                <w:lang w:val="es-ES"/>
              </w:rPr>
              <w:t>Viajes</w:t>
            </w:r>
          </w:p>
        </w:tc>
        <w:tc>
          <w:tcPr>
            <w:tcW w:w="1417" w:type="dxa"/>
            <w:tcBorders>
              <w:top w:val="nil"/>
              <w:left w:val="single" w:sz="4" w:space="0" w:color="auto"/>
              <w:bottom w:val="nil"/>
              <w:right w:val="single" w:sz="4" w:space="0" w:color="auto"/>
            </w:tcBorders>
            <w:shd w:val="clear" w:color="auto" w:fill="auto"/>
            <w:noWrap/>
            <w:vAlign w:val="center"/>
            <w:hideMark/>
          </w:tcPr>
          <w:p w14:paraId="2956B748"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nil"/>
              <w:right w:val="single" w:sz="4" w:space="0" w:color="auto"/>
            </w:tcBorders>
            <w:shd w:val="clear" w:color="auto" w:fill="auto"/>
            <w:noWrap/>
            <w:vAlign w:val="center"/>
            <w:hideMark/>
          </w:tcPr>
          <w:p w14:paraId="7EC20C69"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nil"/>
              <w:left w:val="nil"/>
              <w:bottom w:val="nil"/>
              <w:right w:val="single" w:sz="4" w:space="0" w:color="auto"/>
            </w:tcBorders>
            <w:shd w:val="clear" w:color="auto" w:fill="auto"/>
            <w:noWrap/>
            <w:vAlign w:val="center"/>
            <w:hideMark/>
          </w:tcPr>
          <w:p w14:paraId="75630E61"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nil"/>
              <w:right w:val="single" w:sz="4" w:space="0" w:color="auto"/>
            </w:tcBorders>
            <w:shd w:val="clear" w:color="auto" w:fill="auto"/>
            <w:noWrap/>
            <w:vAlign w:val="center"/>
            <w:hideMark/>
          </w:tcPr>
          <w:p w14:paraId="742B915A"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nil"/>
              <w:left w:val="nil"/>
              <w:bottom w:val="nil"/>
              <w:right w:val="single" w:sz="4" w:space="0" w:color="auto"/>
            </w:tcBorders>
            <w:shd w:val="clear" w:color="auto" w:fill="auto"/>
            <w:noWrap/>
            <w:vAlign w:val="center"/>
            <w:hideMark/>
          </w:tcPr>
          <w:p w14:paraId="46741C1C"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nil"/>
              <w:right w:val="single" w:sz="4" w:space="0" w:color="auto"/>
            </w:tcBorders>
            <w:shd w:val="clear" w:color="auto" w:fill="auto"/>
            <w:noWrap/>
            <w:vAlign w:val="center"/>
            <w:hideMark/>
          </w:tcPr>
          <w:p w14:paraId="6F674618"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nil"/>
              <w:right w:val="nil"/>
            </w:tcBorders>
            <w:shd w:val="clear" w:color="auto" w:fill="auto"/>
            <w:noWrap/>
            <w:vAlign w:val="center"/>
            <w:hideMark/>
          </w:tcPr>
          <w:p w14:paraId="67F90472"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nil"/>
              <w:left w:val="single" w:sz="4" w:space="0" w:color="auto"/>
              <w:bottom w:val="nil"/>
              <w:right w:val="nil"/>
            </w:tcBorders>
            <w:shd w:val="clear" w:color="auto" w:fill="auto"/>
            <w:noWrap/>
            <w:vAlign w:val="center"/>
            <w:hideMark/>
          </w:tcPr>
          <w:p w14:paraId="572C81D3"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nil"/>
              <w:left w:val="single" w:sz="4" w:space="0" w:color="auto"/>
              <w:bottom w:val="nil"/>
              <w:right w:val="single" w:sz="4" w:space="0" w:color="auto"/>
            </w:tcBorders>
            <w:shd w:val="clear" w:color="auto" w:fill="auto"/>
            <w:noWrap/>
            <w:vAlign w:val="center"/>
            <w:hideMark/>
          </w:tcPr>
          <w:p w14:paraId="617D5185"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r>
      <w:tr w:rsidR="00AE2808" w:rsidRPr="00E723E1" w14:paraId="2E31F00A" w14:textId="77777777" w:rsidTr="00CB5635">
        <w:trPr>
          <w:trHeight w:val="255"/>
        </w:trPr>
        <w:tc>
          <w:tcPr>
            <w:tcW w:w="3258" w:type="dxa"/>
            <w:tcBorders>
              <w:top w:val="single" w:sz="4" w:space="0" w:color="auto"/>
              <w:left w:val="single" w:sz="4" w:space="0" w:color="auto"/>
              <w:bottom w:val="single" w:sz="4" w:space="0" w:color="auto"/>
              <w:right w:val="nil"/>
            </w:tcBorders>
            <w:shd w:val="clear" w:color="auto" w:fill="auto"/>
            <w:noWrap/>
            <w:hideMark/>
          </w:tcPr>
          <w:p w14:paraId="53C8C699" w14:textId="4E1EDE25" w:rsidR="00AE2808" w:rsidRPr="00E723E1" w:rsidRDefault="00AE2808" w:rsidP="00AE2808">
            <w:pPr>
              <w:ind w:left="0" w:firstLine="0"/>
              <w:rPr>
                <w:rFonts w:eastAsia="Times New Roman" w:cs="Calibri"/>
                <w:noProof/>
                <w:sz w:val="20"/>
                <w:szCs w:val="20"/>
                <w:lang w:val="es-ES" w:eastAsia="en-GB"/>
              </w:rPr>
            </w:pPr>
            <w:r w:rsidRPr="00E723E1">
              <w:rPr>
                <w:rFonts w:asciiTheme="minorHAnsi" w:eastAsiaTheme="minorHAnsi" w:hAnsiTheme="minorHAnsi" w:cstheme="minorHAnsi"/>
                <w:noProof/>
                <w:color w:val="000000"/>
                <w:sz w:val="20"/>
                <w:szCs w:val="20"/>
                <w:lang w:val="es-ES"/>
              </w:rPr>
              <w:t>Equipo/material de oficina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7BC50"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95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4803603"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5A4C89D"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DB0F95D"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95B45D1"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D924561"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108</w:t>
            </w:r>
          </w:p>
        </w:tc>
        <w:tc>
          <w:tcPr>
            <w:tcW w:w="1276" w:type="dxa"/>
            <w:tcBorders>
              <w:top w:val="single" w:sz="4" w:space="0" w:color="auto"/>
              <w:left w:val="nil"/>
              <w:bottom w:val="single" w:sz="4" w:space="0" w:color="auto"/>
              <w:right w:val="nil"/>
            </w:tcBorders>
            <w:shd w:val="clear" w:color="auto" w:fill="auto"/>
            <w:noWrap/>
            <w:vAlign w:val="center"/>
            <w:hideMark/>
          </w:tcPr>
          <w:p w14:paraId="1F7C8E01"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65</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08608845"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8729D"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43</w:t>
            </w:r>
          </w:p>
        </w:tc>
      </w:tr>
      <w:tr w:rsidR="00AE2808" w:rsidRPr="00E723E1" w14:paraId="264AAC19" w14:textId="77777777" w:rsidTr="00CB5635">
        <w:trPr>
          <w:trHeight w:val="255"/>
        </w:trPr>
        <w:tc>
          <w:tcPr>
            <w:tcW w:w="3258" w:type="dxa"/>
            <w:tcBorders>
              <w:top w:val="nil"/>
              <w:left w:val="single" w:sz="4" w:space="0" w:color="auto"/>
              <w:bottom w:val="nil"/>
              <w:right w:val="nil"/>
            </w:tcBorders>
            <w:shd w:val="clear" w:color="auto" w:fill="auto"/>
            <w:noWrap/>
            <w:hideMark/>
          </w:tcPr>
          <w:p w14:paraId="4CD284FA" w14:textId="6E20183D" w:rsidR="00AE2808" w:rsidRPr="00E723E1" w:rsidRDefault="00AE2808" w:rsidP="00AE2808">
            <w:pPr>
              <w:ind w:left="0" w:firstLine="0"/>
              <w:rPr>
                <w:rFonts w:eastAsia="Times New Roman" w:cs="Calibri"/>
                <w:noProof/>
                <w:sz w:val="20"/>
                <w:szCs w:val="20"/>
                <w:lang w:val="es-ES" w:eastAsia="en-GB"/>
              </w:rPr>
            </w:pPr>
            <w:r w:rsidRPr="00E723E1">
              <w:rPr>
                <w:rFonts w:asciiTheme="minorHAnsi" w:hAnsiTheme="minorHAnsi"/>
                <w:bCs/>
                <w:noProof/>
                <w:sz w:val="20"/>
                <w:szCs w:val="20"/>
                <w:lang w:val="es-ES"/>
              </w:rPr>
              <w:t>Planificación y creación de capacidad</w:t>
            </w:r>
          </w:p>
        </w:tc>
        <w:tc>
          <w:tcPr>
            <w:tcW w:w="1417" w:type="dxa"/>
            <w:tcBorders>
              <w:top w:val="nil"/>
              <w:left w:val="single" w:sz="4" w:space="0" w:color="auto"/>
              <w:bottom w:val="nil"/>
              <w:right w:val="single" w:sz="4" w:space="0" w:color="auto"/>
            </w:tcBorders>
            <w:shd w:val="clear" w:color="auto" w:fill="auto"/>
            <w:noWrap/>
            <w:vAlign w:val="center"/>
            <w:hideMark/>
          </w:tcPr>
          <w:p w14:paraId="43444063"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nil"/>
              <w:right w:val="single" w:sz="4" w:space="0" w:color="auto"/>
            </w:tcBorders>
            <w:shd w:val="clear" w:color="auto" w:fill="auto"/>
            <w:noWrap/>
            <w:vAlign w:val="center"/>
            <w:hideMark/>
          </w:tcPr>
          <w:p w14:paraId="2C670071"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11</w:t>
            </w:r>
          </w:p>
        </w:tc>
        <w:tc>
          <w:tcPr>
            <w:tcW w:w="1134" w:type="dxa"/>
            <w:tcBorders>
              <w:top w:val="nil"/>
              <w:left w:val="nil"/>
              <w:bottom w:val="nil"/>
              <w:right w:val="single" w:sz="4" w:space="0" w:color="auto"/>
            </w:tcBorders>
            <w:shd w:val="clear" w:color="auto" w:fill="auto"/>
            <w:noWrap/>
            <w:vAlign w:val="center"/>
            <w:hideMark/>
          </w:tcPr>
          <w:p w14:paraId="0688A6CD"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85</w:t>
            </w:r>
          </w:p>
        </w:tc>
        <w:tc>
          <w:tcPr>
            <w:tcW w:w="1276" w:type="dxa"/>
            <w:tcBorders>
              <w:top w:val="nil"/>
              <w:left w:val="nil"/>
              <w:bottom w:val="nil"/>
              <w:right w:val="single" w:sz="4" w:space="0" w:color="auto"/>
            </w:tcBorders>
            <w:shd w:val="clear" w:color="auto" w:fill="auto"/>
            <w:noWrap/>
            <w:vAlign w:val="center"/>
            <w:hideMark/>
          </w:tcPr>
          <w:p w14:paraId="4373BF58"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nil"/>
              <w:left w:val="nil"/>
              <w:bottom w:val="nil"/>
              <w:right w:val="single" w:sz="4" w:space="0" w:color="auto"/>
            </w:tcBorders>
            <w:shd w:val="clear" w:color="auto" w:fill="auto"/>
            <w:noWrap/>
            <w:vAlign w:val="center"/>
            <w:hideMark/>
          </w:tcPr>
          <w:p w14:paraId="4A8067A3"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nil"/>
              <w:right w:val="single" w:sz="4" w:space="0" w:color="auto"/>
            </w:tcBorders>
            <w:shd w:val="clear" w:color="auto" w:fill="auto"/>
            <w:noWrap/>
            <w:vAlign w:val="center"/>
            <w:hideMark/>
          </w:tcPr>
          <w:p w14:paraId="3B14BBCC"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96</w:t>
            </w:r>
          </w:p>
        </w:tc>
        <w:tc>
          <w:tcPr>
            <w:tcW w:w="1276" w:type="dxa"/>
            <w:tcBorders>
              <w:top w:val="nil"/>
              <w:left w:val="nil"/>
              <w:bottom w:val="nil"/>
              <w:right w:val="nil"/>
            </w:tcBorders>
            <w:shd w:val="clear" w:color="auto" w:fill="auto"/>
            <w:noWrap/>
            <w:vAlign w:val="center"/>
            <w:hideMark/>
          </w:tcPr>
          <w:p w14:paraId="257543F3"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23</w:t>
            </w:r>
          </w:p>
        </w:tc>
        <w:tc>
          <w:tcPr>
            <w:tcW w:w="1417" w:type="dxa"/>
            <w:tcBorders>
              <w:top w:val="nil"/>
              <w:left w:val="single" w:sz="4" w:space="0" w:color="auto"/>
              <w:bottom w:val="nil"/>
              <w:right w:val="nil"/>
            </w:tcBorders>
            <w:shd w:val="clear" w:color="auto" w:fill="auto"/>
            <w:noWrap/>
            <w:vAlign w:val="center"/>
            <w:hideMark/>
          </w:tcPr>
          <w:p w14:paraId="1EBC75A8"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nil"/>
              <w:left w:val="single" w:sz="4" w:space="0" w:color="auto"/>
              <w:bottom w:val="nil"/>
              <w:right w:val="single" w:sz="4" w:space="0" w:color="auto"/>
            </w:tcBorders>
            <w:shd w:val="clear" w:color="auto" w:fill="auto"/>
            <w:noWrap/>
            <w:vAlign w:val="center"/>
            <w:hideMark/>
          </w:tcPr>
          <w:p w14:paraId="3EFA603C"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73</w:t>
            </w:r>
          </w:p>
        </w:tc>
      </w:tr>
      <w:tr w:rsidR="00AE2808" w:rsidRPr="00E723E1" w14:paraId="3DAEF60D" w14:textId="77777777" w:rsidTr="00CB5635">
        <w:trPr>
          <w:trHeight w:val="255"/>
        </w:trPr>
        <w:tc>
          <w:tcPr>
            <w:tcW w:w="3258" w:type="dxa"/>
            <w:tcBorders>
              <w:top w:val="single" w:sz="4" w:space="0" w:color="auto"/>
              <w:left w:val="single" w:sz="4" w:space="0" w:color="auto"/>
              <w:bottom w:val="single" w:sz="4" w:space="0" w:color="auto"/>
              <w:right w:val="nil"/>
            </w:tcBorders>
            <w:shd w:val="clear" w:color="000000" w:fill="EAF1DD"/>
            <w:noWrap/>
            <w:hideMark/>
          </w:tcPr>
          <w:p w14:paraId="19B90DCE" w14:textId="5511E89D" w:rsidR="00AE2808" w:rsidRPr="00E723E1" w:rsidRDefault="00AE2808" w:rsidP="00AE2808">
            <w:pPr>
              <w:ind w:left="0" w:firstLine="0"/>
              <w:rPr>
                <w:rFonts w:eastAsia="Times New Roman" w:cs="Calibri"/>
                <w:noProof/>
                <w:sz w:val="20"/>
                <w:szCs w:val="20"/>
                <w:lang w:val="es-ES" w:eastAsia="en-GB"/>
              </w:rPr>
            </w:pPr>
            <w:r w:rsidRPr="00E723E1">
              <w:rPr>
                <w:rFonts w:asciiTheme="minorHAnsi" w:eastAsiaTheme="minorHAnsi" w:hAnsiTheme="minorHAnsi" w:cstheme="minorHAnsi"/>
                <w:noProof/>
                <w:color w:val="000000"/>
                <w:sz w:val="20"/>
                <w:szCs w:val="20"/>
                <w:lang w:val="es-ES"/>
              </w:rPr>
              <w:t xml:space="preserve">H. </w:t>
            </w:r>
            <w:r w:rsidRPr="00E723E1">
              <w:rPr>
                <w:rFonts w:asciiTheme="minorHAnsi" w:hAnsiTheme="minorHAnsi"/>
                <w:bCs/>
                <w:noProof/>
                <w:sz w:val="20"/>
                <w:szCs w:val="20"/>
                <w:lang w:val="es-ES"/>
              </w:rPr>
              <w:t>Servicios para el Comité Permanente</w:t>
            </w:r>
          </w:p>
        </w:tc>
        <w:tc>
          <w:tcPr>
            <w:tcW w:w="141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6B535FB1"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150</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14:paraId="788AEA8E"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single" w:sz="4" w:space="0" w:color="auto"/>
              <w:left w:val="nil"/>
              <w:bottom w:val="single" w:sz="4" w:space="0" w:color="auto"/>
              <w:right w:val="single" w:sz="4" w:space="0" w:color="auto"/>
            </w:tcBorders>
            <w:shd w:val="clear" w:color="000000" w:fill="EAF1DD"/>
            <w:noWrap/>
            <w:vAlign w:val="center"/>
            <w:hideMark/>
          </w:tcPr>
          <w:p w14:paraId="0455411A"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17</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14:paraId="55AF2B21"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single" w:sz="4" w:space="0" w:color="auto"/>
              <w:left w:val="nil"/>
              <w:bottom w:val="single" w:sz="4" w:space="0" w:color="auto"/>
              <w:right w:val="single" w:sz="4" w:space="0" w:color="auto"/>
            </w:tcBorders>
            <w:shd w:val="clear" w:color="000000" w:fill="EAF1DD"/>
            <w:noWrap/>
            <w:vAlign w:val="center"/>
            <w:hideMark/>
          </w:tcPr>
          <w:p w14:paraId="3C168308"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83</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14:paraId="46AD8EEA"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250</w:t>
            </w:r>
          </w:p>
        </w:tc>
        <w:tc>
          <w:tcPr>
            <w:tcW w:w="1276" w:type="dxa"/>
            <w:tcBorders>
              <w:top w:val="single" w:sz="4" w:space="0" w:color="auto"/>
              <w:left w:val="nil"/>
              <w:bottom w:val="single" w:sz="4" w:space="0" w:color="auto"/>
              <w:right w:val="nil"/>
            </w:tcBorders>
            <w:shd w:val="clear" w:color="000000" w:fill="EAF1DD"/>
            <w:noWrap/>
            <w:vAlign w:val="center"/>
            <w:hideMark/>
          </w:tcPr>
          <w:p w14:paraId="0B508C04"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168</w:t>
            </w:r>
          </w:p>
        </w:tc>
        <w:tc>
          <w:tcPr>
            <w:tcW w:w="1417" w:type="dxa"/>
            <w:tcBorders>
              <w:top w:val="single" w:sz="4" w:space="0" w:color="auto"/>
              <w:left w:val="single" w:sz="4" w:space="0" w:color="auto"/>
              <w:bottom w:val="single" w:sz="4" w:space="0" w:color="auto"/>
              <w:right w:val="nil"/>
            </w:tcBorders>
            <w:shd w:val="clear" w:color="000000" w:fill="EAF1DD"/>
            <w:noWrap/>
            <w:vAlign w:val="center"/>
            <w:hideMark/>
          </w:tcPr>
          <w:p w14:paraId="2C18233C"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350C8DF6"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82</w:t>
            </w:r>
          </w:p>
        </w:tc>
      </w:tr>
      <w:tr w:rsidR="00AE2808" w:rsidRPr="00E723E1" w14:paraId="45B39976" w14:textId="77777777" w:rsidTr="00CB5635">
        <w:trPr>
          <w:trHeight w:val="255"/>
        </w:trPr>
        <w:tc>
          <w:tcPr>
            <w:tcW w:w="3258" w:type="dxa"/>
            <w:tcBorders>
              <w:top w:val="nil"/>
              <w:left w:val="single" w:sz="4" w:space="0" w:color="auto"/>
              <w:bottom w:val="nil"/>
              <w:right w:val="nil"/>
            </w:tcBorders>
            <w:shd w:val="clear" w:color="auto" w:fill="auto"/>
            <w:noWrap/>
            <w:hideMark/>
          </w:tcPr>
          <w:p w14:paraId="7C2228D6" w14:textId="7D211B52" w:rsidR="00AE2808" w:rsidRPr="00E723E1" w:rsidRDefault="00AE2808" w:rsidP="00AE2808">
            <w:pPr>
              <w:ind w:left="0" w:firstLine="0"/>
              <w:rPr>
                <w:rFonts w:eastAsia="Times New Roman" w:cs="Calibri"/>
                <w:noProof/>
                <w:sz w:val="20"/>
                <w:szCs w:val="20"/>
                <w:lang w:val="es-ES" w:eastAsia="en-GB"/>
              </w:rPr>
            </w:pPr>
            <w:r w:rsidRPr="00E723E1">
              <w:rPr>
                <w:rFonts w:asciiTheme="minorHAnsi" w:hAnsiTheme="minorHAnsi"/>
                <w:bCs/>
                <w:noProof/>
                <w:sz w:val="20"/>
                <w:szCs w:val="20"/>
                <w:lang w:val="es-ES"/>
              </w:rPr>
              <w:t>Apoyo a los delegados del Comité Permanente</w:t>
            </w:r>
          </w:p>
        </w:tc>
        <w:tc>
          <w:tcPr>
            <w:tcW w:w="1417" w:type="dxa"/>
            <w:tcBorders>
              <w:top w:val="nil"/>
              <w:left w:val="single" w:sz="4" w:space="0" w:color="auto"/>
              <w:bottom w:val="nil"/>
              <w:right w:val="single" w:sz="4" w:space="0" w:color="auto"/>
            </w:tcBorders>
            <w:shd w:val="clear" w:color="auto" w:fill="auto"/>
            <w:noWrap/>
            <w:vAlign w:val="center"/>
            <w:hideMark/>
          </w:tcPr>
          <w:p w14:paraId="45858AF5"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45</w:t>
            </w:r>
          </w:p>
        </w:tc>
        <w:tc>
          <w:tcPr>
            <w:tcW w:w="1276" w:type="dxa"/>
            <w:tcBorders>
              <w:top w:val="nil"/>
              <w:left w:val="nil"/>
              <w:bottom w:val="nil"/>
              <w:right w:val="single" w:sz="4" w:space="0" w:color="auto"/>
            </w:tcBorders>
            <w:shd w:val="clear" w:color="auto" w:fill="auto"/>
            <w:noWrap/>
            <w:vAlign w:val="center"/>
            <w:hideMark/>
          </w:tcPr>
          <w:p w14:paraId="2F30C487"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nil"/>
              <w:left w:val="nil"/>
              <w:bottom w:val="nil"/>
              <w:right w:val="single" w:sz="4" w:space="0" w:color="auto"/>
            </w:tcBorders>
            <w:shd w:val="clear" w:color="auto" w:fill="auto"/>
            <w:noWrap/>
            <w:vAlign w:val="center"/>
            <w:hideMark/>
          </w:tcPr>
          <w:p w14:paraId="7CF03B9E"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nil"/>
              <w:right w:val="single" w:sz="4" w:space="0" w:color="auto"/>
            </w:tcBorders>
            <w:shd w:val="clear" w:color="auto" w:fill="auto"/>
            <w:noWrap/>
            <w:vAlign w:val="center"/>
            <w:hideMark/>
          </w:tcPr>
          <w:p w14:paraId="272C0EAA"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nil"/>
              <w:left w:val="nil"/>
              <w:bottom w:val="nil"/>
              <w:right w:val="single" w:sz="4" w:space="0" w:color="auto"/>
            </w:tcBorders>
            <w:shd w:val="clear" w:color="auto" w:fill="auto"/>
            <w:noWrap/>
            <w:vAlign w:val="center"/>
            <w:hideMark/>
          </w:tcPr>
          <w:p w14:paraId="603B69BF"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51</w:t>
            </w:r>
          </w:p>
        </w:tc>
        <w:tc>
          <w:tcPr>
            <w:tcW w:w="1276" w:type="dxa"/>
            <w:tcBorders>
              <w:top w:val="nil"/>
              <w:left w:val="nil"/>
              <w:bottom w:val="nil"/>
              <w:right w:val="single" w:sz="4" w:space="0" w:color="auto"/>
            </w:tcBorders>
            <w:shd w:val="clear" w:color="auto" w:fill="auto"/>
            <w:noWrap/>
            <w:vAlign w:val="center"/>
            <w:hideMark/>
          </w:tcPr>
          <w:p w14:paraId="6254A3FE"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96</w:t>
            </w:r>
          </w:p>
        </w:tc>
        <w:tc>
          <w:tcPr>
            <w:tcW w:w="1276" w:type="dxa"/>
            <w:tcBorders>
              <w:top w:val="nil"/>
              <w:left w:val="nil"/>
              <w:bottom w:val="nil"/>
              <w:right w:val="nil"/>
            </w:tcBorders>
            <w:shd w:val="clear" w:color="auto" w:fill="auto"/>
            <w:noWrap/>
            <w:vAlign w:val="center"/>
            <w:hideMark/>
          </w:tcPr>
          <w:p w14:paraId="64243EC8"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nil"/>
              <w:left w:val="single" w:sz="4" w:space="0" w:color="auto"/>
              <w:bottom w:val="nil"/>
              <w:right w:val="nil"/>
            </w:tcBorders>
            <w:shd w:val="clear" w:color="auto" w:fill="FFFFFF" w:themeFill="background1"/>
            <w:noWrap/>
            <w:vAlign w:val="center"/>
            <w:hideMark/>
          </w:tcPr>
          <w:p w14:paraId="5D8973FE"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(38)</w:t>
            </w:r>
          </w:p>
        </w:tc>
        <w:tc>
          <w:tcPr>
            <w:tcW w:w="1276" w:type="dxa"/>
            <w:tcBorders>
              <w:top w:val="nil"/>
              <w:left w:val="single" w:sz="4" w:space="0" w:color="auto"/>
              <w:bottom w:val="nil"/>
              <w:right w:val="single" w:sz="4" w:space="0" w:color="auto"/>
            </w:tcBorders>
            <w:shd w:val="clear" w:color="auto" w:fill="auto"/>
            <w:noWrap/>
            <w:vAlign w:val="center"/>
            <w:hideMark/>
          </w:tcPr>
          <w:p w14:paraId="7D33C258"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58</w:t>
            </w:r>
          </w:p>
        </w:tc>
      </w:tr>
      <w:tr w:rsidR="00AE2808" w:rsidRPr="00E723E1" w14:paraId="2FA3CAAA" w14:textId="77777777" w:rsidTr="00CB5635">
        <w:trPr>
          <w:trHeight w:val="255"/>
        </w:trPr>
        <w:tc>
          <w:tcPr>
            <w:tcW w:w="3258" w:type="dxa"/>
            <w:tcBorders>
              <w:top w:val="single" w:sz="4" w:space="0" w:color="auto"/>
              <w:left w:val="single" w:sz="4" w:space="0" w:color="auto"/>
              <w:bottom w:val="single" w:sz="4" w:space="0" w:color="auto"/>
              <w:right w:val="nil"/>
            </w:tcBorders>
            <w:shd w:val="clear" w:color="auto" w:fill="auto"/>
            <w:noWrap/>
            <w:hideMark/>
          </w:tcPr>
          <w:p w14:paraId="16132880" w14:textId="0B2822F3" w:rsidR="00AE2808" w:rsidRPr="00E723E1" w:rsidRDefault="00AE2808" w:rsidP="00AE2808">
            <w:pPr>
              <w:ind w:left="0" w:firstLine="0"/>
              <w:rPr>
                <w:rFonts w:eastAsia="Times New Roman" w:cs="Calibri"/>
                <w:noProof/>
                <w:sz w:val="20"/>
                <w:szCs w:val="20"/>
                <w:lang w:val="es-ES" w:eastAsia="en-GB"/>
              </w:rPr>
            </w:pPr>
            <w:r w:rsidRPr="00E723E1">
              <w:rPr>
                <w:rFonts w:asciiTheme="minorHAnsi" w:hAnsiTheme="minorHAnsi"/>
                <w:bCs/>
                <w:noProof/>
                <w:sz w:val="20"/>
                <w:szCs w:val="20"/>
                <w:lang w:val="es-ES"/>
              </w:rPr>
              <w:t>Reuniones del Comité Permanente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567CD"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26C113F"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6DE556A"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A7F677A"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4B184FC"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94781B0"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16</w:t>
            </w:r>
          </w:p>
        </w:tc>
        <w:tc>
          <w:tcPr>
            <w:tcW w:w="1276" w:type="dxa"/>
            <w:tcBorders>
              <w:top w:val="single" w:sz="4" w:space="0" w:color="auto"/>
              <w:left w:val="nil"/>
              <w:bottom w:val="single" w:sz="4" w:space="0" w:color="auto"/>
              <w:right w:val="nil"/>
            </w:tcBorders>
            <w:shd w:val="clear" w:color="auto" w:fill="auto"/>
            <w:noWrap/>
            <w:vAlign w:val="center"/>
            <w:hideMark/>
          </w:tcPr>
          <w:p w14:paraId="57471FBB"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7</w:t>
            </w:r>
          </w:p>
        </w:tc>
        <w:tc>
          <w:tcPr>
            <w:tcW w:w="1417"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5E99228C"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F37FE"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9</w:t>
            </w:r>
          </w:p>
        </w:tc>
      </w:tr>
      <w:tr w:rsidR="00AE2808" w:rsidRPr="00E723E1" w14:paraId="12A86702" w14:textId="77777777" w:rsidTr="00CB5635">
        <w:trPr>
          <w:trHeight w:val="255"/>
        </w:trPr>
        <w:tc>
          <w:tcPr>
            <w:tcW w:w="3258" w:type="dxa"/>
            <w:tcBorders>
              <w:top w:val="nil"/>
              <w:left w:val="single" w:sz="4" w:space="0" w:color="auto"/>
              <w:bottom w:val="nil"/>
              <w:right w:val="nil"/>
            </w:tcBorders>
            <w:shd w:val="clear" w:color="auto" w:fill="auto"/>
            <w:noWrap/>
            <w:hideMark/>
          </w:tcPr>
          <w:p w14:paraId="39A2A8DC" w14:textId="08A3F083" w:rsidR="00AE2808" w:rsidRPr="00E723E1" w:rsidRDefault="00AE2808" w:rsidP="00AE2808">
            <w:pPr>
              <w:ind w:left="0" w:firstLine="0"/>
              <w:rPr>
                <w:rFonts w:eastAsia="Times New Roman" w:cs="Calibri"/>
                <w:noProof/>
                <w:sz w:val="20"/>
                <w:szCs w:val="20"/>
                <w:lang w:val="es-ES" w:eastAsia="en-GB"/>
              </w:rPr>
            </w:pPr>
            <w:r w:rsidRPr="00E723E1">
              <w:rPr>
                <w:rFonts w:asciiTheme="minorHAnsi" w:hAnsiTheme="minorHAnsi"/>
                <w:bCs/>
                <w:noProof/>
                <w:sz w:val="20"/>
                <w:szCs w:val="20"/>
                <w:lang w:val="es-ES"/>
              </w:rPr>
              <w:t>Traducción para las reuniones del CP</w:t>
            </w:r>
          </w:p>
        </w:tc>
        <w:tc>
          <w:tcPr>
            <w:tcW w:w="1417" w:type="dxa"/>
            <w:tcBorders>
              <w:top w:val="nil"/>
              <w:left w:val="single" w:sz="4" w:space="0" w:color="auto"/>
              <w:bottom w:val="nil"/>
              <w:right w:val="single" w:sz="4" w:space="0" w:color="auto"/>
            </w:tcBorders>
            <w:shd w:val="clear" w:color="auto" w:fill="auto"/>
            <w:noWrap/>
            <w:vAlign w:val="center"/>
            <w:hideMark/>
          </w:tcPr>
          <w:p w14:paraId="3034D63E"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60</w:t>
            </w:r>
          </w:p>
        </w:tc>
        <w:tc>
          <w:tcPr>
            <w:tcW w:w="1276" w:type="dxa"/>
            <w:tcBorders>
              <w:top w:val="nil"/>
              <w:left w:val="nil"/>
              <w:bottom w:val="nil"/>
              <w:right w:val="single" w:sz="4" w:space="0" w:color="auto"/>
            </w:tcBorders>
            <w:shd w:val="clear" w:color="auto" w:fill="auto"/>
            <w:noWrap/>
            <w:vAlign w:val="center"/>
            <w:hideMark/>
          </w:tcPr>
          <w:p w14:paraId="760BC596"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nil"/>
              <w:left w:val="nil"/>
              <w:bottom w:val="nil"/>
              <w:right w:val="single" w:sz="4" w:space="0" w:color="auto"/>
            </w:tcBorders>
            <w:shd w:val="clear" w:color="auto" w:fill="auto"/>
            <w:noWrap/>
            <w:vAlign w:val="center"/>
            <w:hideMark/>
          </w:tcPr>
          <w:p w14:paraId="3CA80D1E"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nil"/>
              <w:right w:val="single" w:sz="4" w:space="0" w:color="auto"/>
            </w:tcBorders>
            <w:shd w:val="clear" w:color="auto" w:fill="auto"/>
            <w:noWrap/>
            <w:vAlign w:val="center"/>
            <w:hideMark/>
          </w:tcPr>
          <w:p w14:paraId="160C1B08"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nil"/>
              <w:left w:val="nil"/>
              <w:bottom w:val="nil"/>
              <w:right w:val="single" w:sz="4" w:space="0" w:color="auto"/>
            </w:tcBorders>
            <w:shd w:val="clear" w:color="auto" w:fill="auto"/>
            <w:noWrap/>
            <w:vAlign w:val="center"/>
            <w:hideMark/>
          </w:tcPr>
          <w:p w14:paraId="6975C14B"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4</w:t>
            </w:r>
          </w:p>
        </w:tc>
        <w:tc>
          <w:tcPr>
            <w:tcW w:w="1276" w:type="dxa"/>
            <w:tcBorders>
              <w:top w:val="nil"/>
              <w:left w:val="nil"/>
              <w:bottom w:val="nil"/>
              <w:right w:val="single" w:sz="4" w:space="0" w:color="auto"/>
            </w:tcBorders>
            <w:shd w:val="clear" w:color="auto" w:fill="auto"/>
            <w:noWrap/>
            <w:vAlign w:val="center"/>
            <w:hideMark/>
          </w:tcPr>
          <w:p w14:paraId="65854DB5"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64</w:t>
            </w:r>
          </w:p>
        </w:tc>
        <w:tc>
          <w:tcPr>
            <w:tcW w:w="1276" w:type="dxa"/>
            <w:tcBorders>
              <w:top w:val="nil"/>
              <w:left w:val="nil"/>
              <w:bottom w:val="nil"/>
              <w:right w:val="nil"/>
            </w:tcBorders>
            <w:shd w:val="clear" w:color="auto" w:fill="auto"/>
            <w:noWrap/>
            <w:vAlign w:val="center"/>
            <w:hideMark/>
          </w:tcPr>
          <w:p w14:paraId="4603156F"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79</w:t>
            </w:r>
          </w:p>
        </w:tc>
        <w:tc>
          <w:tcPr>
            <w:tcW w:w="1417" w:type="dxa"/>
            <w:tcBorders>
              <w:top w:val="nil"/>
              <w:left w:val="single" w:sz="4" w:space="0" w:color="auto"/>
              <w:bottom w:val="nil"/>
              <w:right w:val="nil"/>
            </w:tcBorders>
            <w:shd w:val="clear" w:color="auto" w:fill="FFFFFF" w:themeFill="background1"/>
            <w:noWrap/>
            <w:vAlign w:val="center"/>
            <w:hideMark/>
          </w:tcPr>
          <w:p w14:paraId="7F5A26C0"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15</w:t>
            </w:r>
          </w:p>
        </w:tc>
        <w:tc>
          <w:tcPr>
            <w:tcW w:w="1276" w:type="dxa"/>
            <w:tcBorders>
              <w:top w:val="nil"/>
              <w:left w:val="single" w:sz="4" w:space="0" w:color="auto"/>
              <w:bottom w:val="nil"/>
              <w:right w:val="single" w:sz="4" w:space="0" w:color="auto"/>
            </w:tcBorders>
            <w:shd w:val="clear" w:color="auto" w:fill="auto"/>
            <w:noWrap/>
            <w:vAlign w:val="center"/>
            <w:hideMark/>
          </w:tcPr>
          <w:p w14:paraId="408D9560"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r>
      <w:tr w:rsidR="00AE2808" w:rsidRPr="00E723E1" w14:paraId="314A6598" w14:textId="77777777" w:rsidTr="00CB5635">
        <w:trPr>
          <w:trHeight w:val="255"/>
        </w:trPr>
        <w:tc>
          <w:tcPr>
            <w:tcW w:w="3258" w:type="dxa"/>
            <w:tcBorders>
              <w:top w:val="single" w:sz="4" w:space="0" w:color="auto"/>
              <w:left w:val="single" w:sz="4" w:space="0" w:color="auto"/>
              <w:bottom w:val="single" w:sz="4" w:space="0" w:color="auto"/>
              <w:right w:val="nil"/>
            </w:tcBorders>
            <w:shd w:val="clear" w:color="auto" w:fill="auto"/>
            <w:noWrap/>
            <w:hideMark/>
          </w:tcPr>
          <w:p w14:paraId="6184771D" w14:textId="23FA6759" w:rsidR="00AE2808" w:rsidRPr="00E723E1" w:rsidRDefault="00AE2808" w:rsidP="00AE2808">
            <w:pPr>
              <w:ind w:left="0" w:firstLine="0"/>
              <w:rPr>
                <w:rFonts w:eastAsia="Times New Roman" w:cs="Calibri"/>
                <w:noProof/>
                <w:sz w:val="20"/>
                <w:szCs w:val="20"/>
                <w:lang w:val="es-ES" w:eastAsia="en-GB"/>
              </w:rPr>
            </w:pPr>
            <w:r w:rsidRPr="00E723E1">
              <w:rPr>
                <w:rFonts w:asciiTheme="minorHAnsi" w:hAnsiTheme="minorHAnsi"/>
                <w:bCs/>
                <w:noProof/>
                <w:sz w:val="20"/>
                <w:szCs w:val="20"/>
                <w:lang w:val="es-ES"/>
              </w:rPr>
              <w:t>Interpretación simultánea en las reuniones del CP</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A8700"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779E152"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9C5C3DC"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2F783D3"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C88F244"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CC318E2"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57</w:t>
            </w:r>
          </w:p>
        </w:tc>
        <w:tc>
          <w:tcPr>
            <w:tcW w:w="1276" w:type="dxa"/>
            <w:tcBorders>
              <w:top w:val="single" w:sz="4" w:space="0" w:color="auto"/>
              <w:left w:val="nil"/>
              <w:bottom w:val="single" w:sz="4" w:space="0" w:color="auto"/>
              <w:right w:val="nil"/>
            </w:tcBorders>
            <w:shd w:val="clear" w:color="auto" w:fill="auto"/>
            <w:noWrap/>
            <w:vAlign w:val="center"/>
            <w:hideMark/>
          </w:tcPr>
          <w:p w14:paraId="439E8286"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80</w:t>
            </w:r>
          </w:p>
        </w:tc>
        <w:tc>
          <w:tcPr>
            <w:tcW w:w="1417"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33022227"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4F2FA"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r>
      <w:tr w:rsidR="00AE2808" w:rsidRPr="00E723E1" w14:paraId="7CA1DBC5" w14:textId="77777777" w:rsidTr="00CB5635">
        <w:trPr>
          <w:trHeight w:val="255"/>
        </w:trPr>
        <w:tc>
          <w:tcPr>
            <w:tcW w:w="3258" w:type="dxa"/>
            <w:tcBorders>
              <w:top w:val="nil"/>
              <w:left w:val="single" w:sz="4" w:space="0" w:color="auto"/>
              <w:bottom w:val="nil"/>
              <w:right w:val="nil"/>
            </w:tcBorders>
            <w:shd w:val="clear" w:color="auto" w:fill="auto"/>
            <w:noWrap/>
            <w:hideMark/>
          </w:tcPr>
          <w:p w14:paraId="0E284CF7" w14:textId="4BF848B1" w:rsidR="00AE2808" w:rsidRPr="00E723E1" w:rsidRDefault="00AE2808" w:rsidP="00AE2808">
            <w:pPr>
              <w:ind w:left="0" w:firstLine="0"/>
              <w:rPr>
                <w:rFonts w:eastAsia="Times New Roman" w:cs="Calibri"/>
                <w:noProof/>
                <w:sz w:val="20"/>
                <w:szCs w:val="20"/>
                <w:lang w:val="es-ES" w:eastAsia="en-GB"/>
              </w:rPr>
            </w:pPr>
            <w:r w:rsidRPr="00E723E1">
              <w:rPr>
                <w:rFonts w:asciiTheme="minorHAnsi" w:hAnsiTheme="minorHAnsi"/>
                <w:bCs/>
                <w:noProof/>
                <w:sz w:val="20"/>
                <w:szCs w:val="20"/>
                <w:lang w:val="es-ES"/>
              </w:rPr>
              <w:t>Grupo de trabajo sobre la eficacia</w:t>
            </w:r>
          </w:p>
        </w:tc>
        <w:tc>
          <w:tcPr>
            <w:tcW w:w="1417" w:type="dxa"/>
            <w:tcBorders>
              <w:top w:val="nil"/>
              <w:left w:val="single" w:sz="4" w:space="0" w:color="auto"/>
              <w:bottom w:val="nil"/>
              <w:right w:val="single" w:sz="4" w:space="0" w:color="auto"/>
            </w:tcBorders>
            <w:shd w:val="clear" w:color="auto" w:fill="auto"/>
            <w:noWrap/>
            <w:vAlign w:val="center"/>
            <w:hideMark/>
          </w:tcPr>
          <w:p w14:paraId="3B1D63EA"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nil"/>
              <w:right w:val="single" w:sz="4" w:space="0" w:color="auto"/>
            </w:tcBorders>
            <w:shd w:val="clear" w:color="auto" w:fill="auto"/>
            <w:noWrap/>
            <w:vAlign w:val="center"/>
            <w:hideMark/>
          </w:tcPr>
          <w:p w14:paraId="718EED15"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nil"/>
              <w:left w:val="nil"/>
              <w:bottom w:val="nil"/>
              <w:right w:val="single" w:sz="4" w:space="0" w:color="auto"/>
            </w:tcBorders>
            <w:shd w:val="clear" w:color="auto" w:fill="auto"/>
            <w:noWrap/>
            <w:vAlign w:val="center"/>
            <w:hideMark/>
          </w:tcPr>
          <w:p w14:paraId="132A401C"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14</w:t>
            </w:r>
          </w:p>
        </w:tc>
        <w:tc>
          <w:tcPr>
            <w:tcW w:w="1276" w:type="dxa"/>
            <w:tcBorders>
              <w:top w:val="nil"/>
              <w:left w:val="nil"/>
              <w:bottom w:val="nil"/>
              <w:right w:val="single" w:sz="4" w:space="0" w:color="auto"/>
            </w:tcBorders>
            <w:shd w:val="clear" w:color="auto" w:fill="auto"/>
            <w:noWrap/>
            <w:vAlign w:val="center"/>
            <w:hideMark/>
          </w:tcPr>
          <w:p w14:paraId="56EA20DA"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nil"/>
              <w:left w:val="nil"/>
              <w:bottom w:val="nil"/>
              <w:right w:val="single" w:sz="4" w:space="0" w:color="auto"/>
            </w:tcBorders>
            <w:shd w:val="clear" w:color="auto" w:fill="auto"/>
            <w:noWrap/>
            <w:vAlign w:val="center"/>
            <w:hideMark/>
          </w:tcPr>
          <w:p w14:paraId="6EFB2B40"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nil"/>
              <w:right w:val="single" w:sz="4" w:space="0" w:color="auto"/>
            </w:tcBorders>
            <w:shd w:val="clear" w:color="auto" w:fill="auto"/>
            <w:noWrap/>
            <w:vAlign w:val="center"/>
            <w:hideMark/>
          </w:tcPr>
          <w:p w14:paraId="34B73135"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14</w:t>
            </w:r>
          </w:p>
        </w:tc>
        <w:tc>
          <w:tcPr>
            <w:tcW w:w="1276" w:type="dxa"/>
            <w:tcBorders>
              <w:top w:val="nil"/>
              <w:left w:val="nil"/>
              <w:bottom w:val="nil"/>
              <w:right w:val="nil"/>
            </w:tcBorders>
            <w:shd w:val="clear" w:color="auto" w:fill="auto"/>
            <w:noWrap/>
            <w:vAlign w:val="center"/>
            <w:hideMark/>
          </w:tcPr>
          <w:p w14:paraId="72E79AF0"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nil"/>
              <w:left w:val="single" w:sz="4" w:space="0" w:color="auto"/>
              <w:bottom w:val="nil"/>
              <w:right w:val="nil"/>
            </w:tcBorders>
            <w:shd w:val="clear" w:color="auto" w:fill="auto"/>
            <w:noWrap/>
            <w:vAlign w:val="center"/>
            <w:hideMark/>
          </w:tcPr>
          <w:p w14:paraId="3A2FDD7A"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nil"/>
              <w:left w:val="single" w:sz="4" w:space="0" w:color="auto"/>
              <w:bottom w:val="nil"/>
              <w:right w:val="single" w:sz="4" w:space="0" w:color="auto"/>
            </w:tcBorders>
            <w:shd w:val="clear" w:color="auto" w:fill="auto"/>
            <w:noWrap/>
            <w:vAlign w:val="center"/>
            <w:hideMark/>
          </w:tcPr>
          <w:p w14:paraId="59506790"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14</w:t>
            </w:r>
          </w:p>
        </w:tc>
      </w:tr>
      <w:tr w:rsidR="00AE2808" w:rsidRPr="00E723E1" w14:paraId="40C415B9" w14:textId="77777777" w:rsidTr="00CB5635">
        <w:trPr>
          <w:trHeight w:val="255"/>
        </w:trPr>
        <w:tc>
          <w:tcPr>
            <w:tcW w:w="3258" w:type="dxa"/>
            <w:tcBorders>
              <w:top w:val="single" w:sz="4" w:space="0" w:color="auto"/>
              <w:left w:val="single" w:sz="4" w:space="0" w:color="auto"/>
              <w:bottom w:val="single" w:sz="4" w:space="0" w:color="auto"/>
              <w:right w:val="nil"/>
            </w:tcBorders>
            <w:shd w:val="clear" w:color="auto" w:fill="auto"/>
            <w:noWrap/>
            <w:hideMark/>
          </w:tcPr>
          <w:p w14:paraId="68791A50" w14:textId="7D7ECA50" w:rsidR="00AE2808" w:rsidRPr="00E723E1" w:rsidRDefault="00AE2808" w:rsidP="00AE2808">
            <w:pPr>
              <w:ind w:left="0" w:firstLine="0"/>
              <w:rPr>
                <w:rFonts w:eastAsia="Times New Roman" w:cs="Calibri"/>
                <w:noProof/>
                <w:sz w:val="20"/>
                <w:szCs w:val="20"/>
                <w:lang w:val="es-ES" w:eastAsia="en-GB"/>
              </w:rPr>
            </w:pPr>
            <w:r w:rsidRPr="00E723E1">
              <w:rPr>
                <w:rFonts w:asciiTheme="minorHAnsi" w:hAnsiTheme="minorHAnsi"/>
                <w:bCs/>
                <w:noProof/>
                <w:sz w:val="20"/>
                <w:szCs w:val="20"/>
                <w:lang w:val="es-ES"/>
              </w:rPr>
              <w:lastRenderedPageBreak/>
              <w:t>Examen de las resoluciones (Res. XIII.4)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351BF"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993C853"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5792458"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374181E"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7CDE9B4"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18B57B6"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3</w:t>
            </w:r>
          </w:p>
        </w:tc>
        <w:tc>
          <w:tcPr>
            <w:tcW w:w="1276" w:type="dxa"/>
            <w:tcBorders>
              <w:top w:val="single" w:sz="4" w:space="0" w:color="auto"/>
              <w:left w:val="nil"/>
              <w:bottom w:val="single" w:sz="4" w:space="0" w:color="auto"/>
              <w:right w:val="nil"/>
            </w:tcBorders>
            <w:shd w:val="clear" w:color="auto" w:fill="auto"/>
            <w:noWrap/>
            <w:vAlign w:val="center"/>
            <w:hideMark/>
          </w:tcPr>
          <w:p w14:paraId="69B0B93B"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3BBEFDA7"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5B4C1" w14:textId="77777777" w:rsidR="00AE2808" w:rsidRPr="00E723E1" w:rsidRDefault="00AE2808" w:rsidP="00AE280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w:t>
            </w:r>
          </w:p>
        </w:tc>
      </w:tr>
      <w:tr w:rsidR="00E723E1" w:rsidRPr="00E723E1" w14:paraId="20EC5353" w14:textId="77777777" w:rsidTr="00CB5635">
        <w:trPr>
          <w:trHeight w:val="270"/>
        </w:trPr>
        <w:tc>
          <w:tcPr>
            <w:tcW w:w="3258" w:type="dxa"/>
            <w:tcBorders>
              <w:top w:val="nil"/>
              <w:left w:val="single" w:sz="4" w:space="0" w:color="auto"/>
              <w:bottom w:val="nil"/>
              <w:right w:val="nil"/>
            </w:tcBorders>
            <w:shd w:val="clear" w:color="000000" w:fill="EAF1DD"/>
            <w:hideMark/>
          </w:tcPr>
          <w:p w14:paraId="3D822A3B" w14:textId="1A0ED350" w:rsidR="00E723E1" w:rsidRPr="00E723E1" w:rsidRDefault="00E723E1" w:rsidP="00E723E1">
            <w:pPr>
              <w:ind w:left="0" w:firstLine="0"/>
              <w:rPr>
                <w:rFonts w:eastAsia="Times New Roman" w:cs="Calibri"/>
                <w:noProof/>
                <w:sz w:val="20"/>
                <w:szCs w:val="20"/>
                <w:lang w:val="es-ES" w:eastAsia="en-GB"/>
              </w:rPr>
            </w:pPr>
            <w:r w:rsidRPr="00E723E1">
              <w:rPr>
                <w:rFonts w:asciiTheme="minorHAnsi" w:eastAsiaTheme="minorHAnsi" w:hAnsiTheme="minorHAnsi" w:cstheme="minorHAnsi"/>
                <w:noProof/>
                <w:color w:val="000000"/>
                <w:sz w:val="20"/>
                <w:szCs w:val="20"/>
                <w:lang w:val="es-ES"/>
              </w:rPr>
              <w:t xml:space="preserve">J.  </w:t>
            </w:r>
            <w:r w:rsidRPr="00E723E1">
              <w:rPr>
                <w:rFonts w:asciiTheme="minorHAnsi" w:hAnsiTheme="minorHAnsi"/>
                <w:bCs/>
                <w:noProof/>
                <w:sz w:val="20"/>
                <w:szCs w:val="20"/>
                <w:lang w:val="es-ES"/>
              </w:rPr>
              <w:t>Gastos por servicios administrativos de la UICN (máximo)</w:t>
            </w:r>
          </w:p>
        </w:tc>
        <w:tc>
          <w:tcPr>
            <w:tcW w:w="1417" w:type="dxa"/>
            <w:tcBorders>
              <w:top w:val="nil"/>
              <w:left w:val="single" w:sz="4" w:space="0" w:color="auto"/>
              <w:bottom w:val="nil"/>
              <w:right w:val="single" w:sz="4" w:space="0" w:color="auto"/>
            </w:tcBorders>
            <w:shd w:val="clear" w:color="000000" w:fill="EAF1DD"/>
            <w:noWrap/>
            <w:vAlign w:val="center"/>
            <w:hideMark/>
          </w:tcPr>
          <w:p w14:paraId="459AF2F9"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560</w:t>
            </w:r>
          </w:p>
        </w:tc>
        <w:tc>
          <w:tcPr>
            <w:tcW w:w="1276" w:type="dxa"/>
            <w:tcBorders>
              <w:top w:val="nil"/>
              <w:left w:val="nil"/>
              <w:bottom w:val="nil"/>
              <w:right w:val="single" w:sz="4" w:space="0" w:color="auto"/>
            </w:tcBorders>
            <w:shd w:val="clear" w:color="000000" w:fill="EAF1DD"/>
            <w:noWrap/>
            <w:vAlign w:val="center"/>
            <w:hideMark/>
          </w:tcPr>
          <w:p w14:paraId="6468169E"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nil"/>
              <w:left w:val="nil"/>
              <w:bottom w:val="nil"/>
              <w:right w:val="single" w:sz="4" w:space="0" w:color="auto"/>
            </w:tcBorders>
            <w:shd w:val="clear" w:color="000000" w:fill="EAF1DD"/>
            <w:noWrap/>
            <w:vAlign w:val="center"/>
            <w:hideMark/>
          </w:tcPr>
          <w:p w14:paraId="08389547"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nil"/>
              <w:right w:val="single" w:sz="4" w:space="0" w:color="auto"/>
            </w:tcBorders>
            <w:shd w:val="clear" w:color="000000" w:fill="EAF1DD"/>
            <w:noWrap/>
            <w:vAlign w:val="center"/>
            <w:hideMark/>
          </w:tcPr>
          <w:p w14:paraId="7DC36B27"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nil"/>
              <w:left w:val="nil"/>
              <w:bottom w:val="nil"/>
              <w:right w:val="single" w:sz="4" w:space="0" w:color="auto"/>
            </w:tcBorders>
            <w:shd w:val="clear" w:color="000000" w:fill="EAF1DD"/>
            <w:noWrap/>
            <w:vAlign w:val="center"/>
            <w:hideMark/>
          </w:tcPr>
          <w:p w14:paraId="4CF2B75F"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nil"/>
              <w:right w:val="single" w:sz="4" w:space="0" w:color="auto"/>
            </w:tcBorders>
            <w:shd w:val="clear" w:color="000000" w:fill="EAF1DD"/>
            <w:noWrap/>
            <w:vAlign w:val="center"/>
            <w:hideMark/>
          </w:tcPr>
          <w:p w14:paraId="16718943"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560</w:t>
            </w:r>
          </w:p>
        </w:tc>
        <w:tc>
          <w:tcPr>
            <w:tcW w:w="1276" w:type="dxa"/>
            <w:tcBorders>
              <w:top w:val="nil"/>
              <w:left w:val="nil"/>
              <w:bottom w:val="nil"/>
              <w:right w:val="nil"/>
            </w:tcBorders>
            <w:shd w:val="clear" w:color="000000" w:fill="EAF1DD"/>
            <w:noWrap/>
            <w:vAlign w:val="center"/>
            <w:hideMark/>
          </w:tcPr>
          <w:p w14:paraId="1CAB8956"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513</w:t>
            </w:r>
          </w:p>
        </w:tc>
        <w:tc>
          <w:tcPr>
            <w:tcW w:w="1417" w:type="dxa"/>
            <w:tcBorders>
              <w:top w:val="nil"/>
              <w:left w:val="single" w:sz="4" w:space="0" w:color="auto"/>
              <w:bottom w:val="nil"/>
              <w:right w:val="nil"/>
            </w:tcBorders>
            <w:shd w:val="clear" w:color="000000" w:fill="EAF1DD"/>
            <w:noWrap/>
            <w:vAlign w:val="center"/>
            <w:hideMark/>
          </w:tcPr>
          <w:p w14:paraId="7BC07258"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nil"/>
              <w:left w:val="single" w:sz="4" w:space="0" w:color="auto"/>
              <w:bottom w:val="nil"/>
              <w:right w:val="single" w:sz="4" w:space="0" w:color="auto"/>
            </w:tcBorders>
            <w:shd w:val="clear" w:color="000000" w:fill="EAF1DD"/>
            <w:noWrap/>
            <w:vAlign w:val="center"/>
            <w:hideMark/>
          </w:tcPr>
          <w:p w14:paraId="20EF8C76"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47</w:t>
            </w:r>
          </w:p>
        </w:tc>
      </w:tr>
      <w:tr w:rsidR="00E723E1" w:rsidRPr="00E723E1" w14:paraId="01E78EA6" w14:textId="77777777" w:rsidTr="00CB5635">
        <w:trPr>
          <w:trHeight w:val="255"/>
        </w:trPr>
        <w:tc>
          <w:tcPr>
            <w:tcW w:w="3258" w:type="dxa"/>
            <w:tcBorders>
              <w:top w:val="single" w:sz="4" w:space="0" w:color="auto"/>
              <w:left w:val="single" w:sz="4" w:space="0" w:color="auto"/>
              <w:bottom w:val="single" w:sz="4" w:space="0" w:color="auto"/>
              <w:right w:val="nil"/>
            </w:tcBorders>
            <w:shd w:val="clear" w:color="auto" w:fill="auto"/>
            <w:noWrap/>
            <w:hideMark/>
          </w:tcPr>
          <w:p w14:paraId="2545636E" w14:textId="75CE8AD2" w:rsidR="00E723E1" w:rsidRPr="00E723E1" w:rsidRDefault="00E723E1" w:rsidP="00E723E1">
            <w:pPr>
              <w:ind w:left="0" w:firstLine="0"/>
              <w:rPr>
                <w:rFonts w:eastAsia="Times New Roman" w:cs="Calibri"/>
                <w:noProof/>
                <w:sz w:val="20"/>
                <w:szCs w:val="20"/>
                <w:lang w:val="es-ES" w:eastAsia="en-GB"/>
              </w:rPr>
            </w:pPr>
            <w:r w:rsidRPr="00E723E1">
              <w:rPr>
                <w:rFonts w:asciiTheme="minorHAnsi" w:hAnsiTheme="minorHAnsi"/>
                <w:bCs/>
                <w:noProof/>
                <w:sz w:val="20"/>
                <w:szCs w:val="20"/>
                <w:lang w:val="es-ES"/>
              </w:rPr>
              <w:t>Administración, RR.HH., finanzas y servicios informáticos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4495A"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560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97EEC18"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5342BDD"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D837A47"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7F6CA16"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1B39518"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560</w:t>
            </w:r>
          </w:p>
        </w:tc>
        <w:tc>
          <w:tcPr>
            <w:tcW w:w="1276" w:type="dxa"/>
            <w:tcBorders>
              <w:top w:val="single" w:sz="4" w:space="0" w:color="auto"/>
              <w:left w:val="nil"/>
              <w:bottom w:val="single" w:sz="4" w:space="0" w:color="auto"/>
              <w:right w:val="nil"/>
            </w:tcBorders>
            <w:shd w:val="clear" w:color="auto" w:fill="auto"/>
            <w:noWrap/>
            <w:vAlign w:val="center"/>
            <w:hideMark/>
          </w:tcPr>
          <w:p w14:paraId="716B9128"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513</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46ACAAC2"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FBECC"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47</w:t>
            </w:r>
          </w:p>
        </w:tc>
      </w:tr>
      <w:tr w:rsidR="00E723E1" w:rsidRPr="00E723E1" w14:paraId="41523AEB" w14:textId="77777777" w:rsidTr="00CB5635">
        <w:trPr>
          <w:trHeight w:val="255"/>
        </w:trPr>
        <w:tc>
          <w:tcPr>
            <w:tcW w:w="3258" w:type="dxa"/>
            <w:tcBorders>
              <w:top w:val="nil"/>
              <w:left w:val="single" w:sz="4" w:space="0" w:color="auto"/>
              <w:bottom w:val="nil"/>
              <w:right w:val="nil"/>
            </w:tcBorders>
            <w:shd w:val="clear" w:color="000000" w:fill="EAF1DD"/>
            <w:noWrap/>
            <w:hideMark/>
          </w:tcPr>
          <w:p w14:paraId="2B58376B" w14:textId="05E9FC87" w:rsidR="00E723E1" w:rsidRPr="00E723E1" w:rsidRDefault="00E723E1" w:rsidP="00E723E1">
            <w:pPr>
              <w:ind w:left="0" w:firstLine="0"/>
              <w:rPr>
                <w:rFonts w:eastAsia="Times New Roman" w:cs="Calibri"/>
                <w:noProof/>
                <w:sz w:val="20"/>
                <w:szCs w:val="20"/>
                <w:lang w:val="es-ES" w:eastAsia="en-GB"/>
              </w:rPr>
            </w:pPr>
            <w:r w:rsidRPr="00E723E1">
              <w:rPr>
                <w:rFonts w:asciiTheme="minorHAnsi" w:eastAsiaTheme="minorHAnsi" w:hAnsiTheme="minorHAnsi" w:cstheme="minorHAnsi"/>
                <w:noProof/>
                <w:color w:val="000000"/>
                <w:sz w:val="20"/>
                <w:szCs w:val="20"/>
                <w:lang w:val="es-ES"/>
              </w:rPr>
              <w:t xml:space="preserve">K.  </w:t>
            </w:r>
            <w:r w:rsidRPr="00E723E1">
              <w:rPr>
                <w:rFonts w:asciiTheme="minorHAnsi" w:hAnsiTheme="minorHAnsi"/>
                <w:bCs/>
                <w:noProof/>
                <w:sz w:val="20"/>
                <w:szCs w:val="20"/>
                <w:lang w:val="es-ES"/>
              </w:rPr>
              <w:t>Varios – Fondo de reserva</w:t>
            </w:r>
          </w:p>
        </w:tc>
        <w:tc>
          <w:tcPr>
            <w:tcW w:w="1417" w:type="dxa"/>
            <w:tcBorders>
              <w:top w:val="nil"/>
              <w:left w:val="single" w:sz="4" w:space="0" w:color="auto"/>
              <w:bottom w:val="nil"/>
              <w:right w:val="single" w:sz="4" w:space="0" w:color="auto"/>
            </w:tcBorders>
            <w:shd w:val="clear" w:color="000000" w:fill="EAF1DD"/>
            <w:noWrap/>
            <w:vAlign w:val="center"/>
            <w:hideMark/>
          </w:tcPr>
          <w:p w14:paraId="7252D7CA"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109</w:t>
            </w:r>
          </w:p>
        </w:tc>
        <w:tc>
          <w:tcPr>
            <w:tcW w:w="1276" w:type="dxa"/>
            <w:tcBorders>
              <w:top w:val="nil"/>
              <w:left w:val="nil"/>
              <w:bottom w:val="nil"/>
              <w:right w:val="single" w:sz="4" w:space="0" w:color="auto"/>
            </w:tcBorders>
            <w:shd w:val="clear" w:color="000000" w:fill="EAF1DD"/>
            <w:noWrap/>
            <w:vAlign w:val="center"/>
            <w:hideMark/>
          </w:tcPr>
          <w:p w14:paraId="6F2D6202"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nil"/>
              <w:left w:val="nil"/>
              <w:bottom w:val="nil"/>
              <w:right w:val="single" w:sz="4" w:space="0" w:color="auto"/>
            </w:tcBorders>
            <w:shd w:val="clear" w:color="000000" w:fill="EAF1DD"/>
            <w:noWrap/>
            <w:vAlign w:val="center"/>
            <w:hideMark/>
          </w:tcPr>
          <w:p w14:paraId="3B15C9DB"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129</w:t>
            </w:r>
          </w:p>
        </w:tc>
        <w:tc>
          <w:tcPr>
            <w:tcW w:w="1276" w:type="dxa"/>
            <w:tcBorders>
              <w:top w:val="nil"/>
              <w:left w:val="nil"/>
              <w:bottom w:val="nil"/>
              <w:right w:val="single" w:sz="4" w:space="0" w:color="auto"/>
            </w:tcBorders>
            <w:shd w:val="clear" w:color="000000" w:fill="EAF1DD"/>
            <w:noWrap/>
            <w:vAlign w:val="center"/>
            <w:hideMark/>
          </w:tcPr>
          <w:p w14:paraId="4DEDBC63"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72</w:t>
            </w:r>
          </w:p>
        </w:tc>
        <w:tc>
          <w:tcPr>
            <w:tcW w:w="1417" w:type="dxa"/>
            <w:tcBorders>
              <w:top w:val="nil"/>
              <w:left w:val="nil"/>
              <w:bottom w:val="nil"/>
              <w:right w:val="single" w:sz="4" w:space="0" w:color="auto"/>
            </w:tcBorders>
            <w:shd w:val="clear" w:color="000000" w:fill="EAF1DD"/>
            <w:noWrap/>
            <w:vAlign w:val="center"/>
            <w:hideMark/>
          </w:tcPr>
          <w:p w14:paraId="3460F609"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420</w:t>
            </w:r>
          </w:p>
        </w:tc>
        <w:tc>
          <w:tcPr>
            <w:tcW w:w="1276" w:type="dxa"/>
            <w:tcBorders>
              <w:top w:val="nil"/>
              <w:left w:val="nil"/>
              <w:bottom w:val="nil"/>
              <w:right w:val="single" w:sz="4" w:space="0" w:color="auto"/>
            </w:tcBorders>
            <w:shd w:val="clear" w:color="000000" w:fill="EAF1DD"/>
            <w:noWrap/>
            <w:vAlign w:val="center"/>
            <w:hideMark/>
          </w:tcPr>
          <w:p w14:paraId="06CB8978"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730</w:t>
            </w:r>
          </w:p>
        </w:tc>
        <w:tc>
          <w:tcPr>
            <w:tcW w:w="1276" w:type="dxa"/>
            <w:tcBorders>
              <w:top w:val="nil"/>
              <w:left w:val="nil"/>
              <w:bottom w:val="nil"/>
              <w:right w:val="nil"/>
            </w:tcBorders>
            <w:shd w:val="clear" w:color="000000" w:fill="EAF1DD"/>
            <w:noWrap/>
            <w:vAlign w:val="center"/>
            <w:hideMark/>
          </w:tcPr>
          <w:p w14:paraId="49657E09"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109</w:t>
            </w:r>
          </w:p>
        </w:tc>
        <w:tc>
          <w:tcPr>
            <w:tcW w:w="1417" w:type="dxa"/>
            <w:tcBorders>
              <w:top w:val="nil"/>
              <w:left w:val="single" w:sz="4" w:space="0" w:color="auto"/>
              <w:bottom w:val="nil"/>
              <w:right w:val="nil"/>
            </w:tcBorders>
            <w:shd w:val="clear" w:color="000000" w:fill="EAF1DD"/>
            <w:noWrap/>
            <w:vAlign w:val="center"/>
            <w:hideMark/>
          </w:tcPr>
          <w:p w14:paraId="55A0F702"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single" w:sz="4" w:space="0" w:color="auto"/>
              <w:bottom w:val="nil"/>
              <w:right w:val="single" w:sz="4" w:space="0" w:color="auto"/>
            </w:tcBorders>
            <w:shd w:val="clear" w:color="000000" w:fill="EAF1DD"/>
            <w:noWrap/>
            <w:vAlign w:val="center"/>
            <w:hideMark/>
          </w:tcPr>
          <w:p w14:paraId="1B30FC78"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622</w:t>
            </w:r>
          </w:p>
        </w:tc>
      </w:tr>
      <w:tr w:rsidR="00E723E1" w:rsidRPr="00E723E1" w14:paraId="60B95A8F" w14:textId="77777777" w:rsidTr="00CB5635">
        <w:trPr>
          <w:trHeight w:val="255"/>
        </w:trPr>
        <w:tc>
          <w:tcPr>
            <w:tcW w:w="3258" w:type="dxa"/>
            <w:tcBorders>
              <w:top w:val="single" w:sz="4" w:space="0" w:color="auto"/>
              <w:left w:val="single" w:sz="4" w:space="0" w:color="auto"/>
              <w:bottom w:val="single" w:sz="4" w:space="0" w:color="auto"/>
              <w:right w:val="nil"/>
            </w:tcBorders>
            <w:shd w:val="clear" w:color="auto" w:fill="auto"/>
            <w:noWrap/>
            <w:hideMark/>
          </w:tcPr>
          <w:p w14:paraId="0AAB3379" w14:textId="3EBE4E0D" w:rsidR="00E723E1" w:rsidRPr="00E723E1" w:rsidRDefault="00E723E1" w:rsidP="00E723E1">
            <w:pPr>
              <w:ind w:left="0" w:firstLine="0"/>
              <w:rPr>
                <w:rFonts w:eastAsia="Times New Roman" w:cs="Calibri"/>
                <w:noProof/>
                <w:sz w:val="20"/>
                <w:szCs w:val="20"/>
                <w:lang w:val="es-ES" w:eastAsia="en-GB"/>
              </w:rPr>
            </w:pPr>
            <w:r w:rsidRPr="00E723E1">
              <w:rPr>
                <w:rFonts w:asciiTheme="minorHAnsi" w:eastAsiaTheme="minorHAnsi" w:hAnsiTheme="minorHAnsi" w:cstheme="minorHAnsi"/>
                <w:noProof/>
                <w:color w:val="000000" w:themeColor="text1"/>
                <w:sz w:val="20"/>
                <w:szCs w:val="20"/>
                <w:lang w:val="es-ES"/>
              </w:rPr>
              <w:t>Provisiones correspondientes al personal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26439"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C2BD28B"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83917A8"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14D56DB"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F09ECB1"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73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ACA3A09"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123</w:t>
            </w:r>
          </w:p>
        </w:tc>
        <w:tc>
          <w:tcPr>
            <w:tcW w:w="1276" w:type="dxa"/>
            <w:tcBorders>
              <w:top w:val="single" w:sz="4" w:space="0" w:color="auto"/>
              <w:left w:val="nil"/>
              <w:bottom w:val="single" w:sz="4" w:space="0" w:color="auto"/>
              <w:right w:val="nil"/>
            </w:tcBorders>
            <w:shd w:val="clear" w:color="auto" w:fill="auto"/>
            <w:noWrap/>
            <w:vAlign w:val="center"/>
            <w:hideMark/>
          </w:tcPr>
          <w:p w14:paraId="6B214F4C"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38</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77EC0354"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89CEF"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85</w:t>
            </w:r>
          </w:p>
        </w:tc>
      </w:tr>
      <w:tr w:rsidR="00E723E1" w:rsidRPr="00E723E1" w14:paraId="017DDC6C" w14:textId="77777777" w:rsidTr="00CB5635">
        <w:trPr>
          <w:trHeight w:val="255"/>
        </w:trPr>
        <w:tc>
          <w:tcPr>
            <w:tcW w:w="3258" w:type="dxa"/>
            <w:tcBorders>
              <w:top w:val="nil"/>
              <w:left w:val="single" w:sz="4" w:space="0" w:color="auto"/>
              <w:bottom w:val="single" w:sz="4" w:space="0" w:color="auto"/>
              <w:right w:val="nil"/>
            </w:tcBorders>
            <w:shd w:val="clear" w:color="auto" w:fill="auto"/>
            <w:noWrap/>
            <w:hideMark/>
          </w:tcPr>
          <w:p w14:paraId="41D402B4" w14:textId="2D62EC98" w:rsidR="00E723E1" w:rsidRPr="00E723E1" w:rsidRDefault="00E723E1" w:rsidP="00E723E1">
            <w:pPr>
              <w:ind w:left="0" w:firstLine="0"/>
              <w:rPr>
                <w:rFonts w:eastAsia="Times New Roman" w:cs="Calibri"/>
                <w:noProof/>
                <w:sz w:val="20"/>
                <w:szCs w:val="20"/>
                <w:lang w:val="es-ES" w:eastAsia="en-GB"/>
              </w:rPr>
            </w:pPr>
            <w:r w:rsidRPr="00E723E1">
              <w:rPr>
                <w:rFonts w:asciiTheme="minorHAnsi" w:eastAsiaTheme="minorHAnsi" w:hAnsiTheme="minorHAnsi" w:cstheme="minorHAnsi"/>
                <w:noProof/>
                <w:color w:val="000000" w:themeColor="text1"/>
                <w:sz w:val="20"/>
                <w:szCs w:val="20"/>
                <w:lang w:val="es-ES"/>
              </w:rPr>
              <w:t>Provisiones correspondientes a las contribuciones pendientes</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7D789CA9"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171F0778"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14:paraId="1C6E34AD"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68</w:t>
            </w:r>
          </w:p>
        </w:tc>
        <w:tc>
          <w:tcPr>
            <w:tcW w:w="1276" w:type="dxa"/>
            <w:tcBorders>
              <w:top w:val="nil"/>
              <w:left w:val="nil"/>
              <w:bottom w:val="single" w:sz="4" w:space="0" w:color="auto"/>
              <w:right w:val="single" w:sz="4" w:space="0" w:color="auto"/>
            </w:tcBorders>
            <w:shd w:val="clear" w:color="auto" w:fill="auto"/>
            <w:noWrap/>
            <w:vAlign w:val="center"/>
            <w:hideMark/>
          </w:tcPr>
          <w:p w14:paraId="4AE79F86"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72</w:t>
            </w:r>
          </w:p>
        </w:tc>
        <w:tc>
          <w:tcPr>
            <w:tcW w:w="1417" w:type="dxa"/>
            <w:tcBorders>
              <w:top w:val="nil"/>
              <w:left w:val="nil"/>
              <w:bottom w:val="single" w:sz="4" w:space="0" w:color="auto"/>
              <w:right w:val="single" w:sz="4" w:space="0" w:color="auto"/>
            </w:tcBorders>
            <w:shd w:val="clear" w:color="auto" w:fill="auto"/>
            <w:noWrap/>
            <w:vAlign w:val="center"/>
            <w:hideMark/>
          </w:tcPr>
          <w:p w14:paraId="32DFA6E1"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4911DF5A"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140</w:t>
            </w:r>
          </w:p>
        </w:tc>
        <w:tc>
          <w:tcPr>
            <w:tcW w:w="1276" w:type="dxa"/>
            <w:tcBorders>
              <w:top w:val="nil"/>
              <w:left w:val="nil"/>
              <w:bottom w:val="single" w:sz="4" w:space="0" w:color="auto"/>
              <w:right w:val="nil"/>
            </w:tcBorders>
            <w:shd w:val="clear" w:color="auto" w:fill="auto"/>
            <w:noWrap/>
            <w:vAlign w:val="center"/>
            <w:hideMark/>
          </w:tcPr>
          <w:p w14:paraId="4DB262D3"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59</w:t>
            </w:r>
          </w:p>
        </w:tc>
        <w:tc>
          <w:tcPr>
            <w:tcW w:w="1417" w:type="dxa"/>
            <w:tcBorders>
              <w:top w:val="nil"/>
              <w:left w:val="single" w:sz="4" w:space="0" w:color="auto"/>
              <w:bottom w:val="single" w:sz="4" w:space="0" w:color="auto"/>
              <w:right w:val="nil"/>
            </w:tcBorders>
            <w:shd w:val="clear" w:color="auto" w:fill="FFFFFF" w:themeFill="background1"/>
            <w:noWrap/>
            <w:vAlign w:val="center"/>
            <w:hideMark/>
          </w:tcPr>
          <w:p w14:paraId="4F861E68"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(81)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74948E1"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r>
      <w:tr w:rsidR="00E723E1" w:rsidRPr="00E723E1" w14:paraId="7FECA748" w14:textId="77777777" w:rsidTr="00CB5635">
        <w:trPr>
          <w:trHeight w:val="255"/>
        </w:trPr>
        <w:tc>
          <w:tcPr>
            <w:tcW w:w="3258" w:type="dxa"/>
            <w:tcBorders>
              <w:top w:val="nil"/>
              <w:left w:val="single" w:sz="4" w:space="0" w:color="auto"/>
              <w:bottom w:val="single" w:sz="4" w:space="0" w:color="auto"/>
              <w:right w:val="nil"/>
            </w:tcBorders>
            <w:shd w:val="clear" w:color="auto" w:fill="auto"/>
            <w:noWrap/>
            <w:hideMark/>
          </w:tcPr>
          <w:p w14:paraId="547DD84D" w14:textId="6AC221F4" w:rsidR="00E723E1" w:rsidRPr="00E723E1" w:rsidRDefault="00E723E1" w:rsidP="00E723E1">
            <w:pPr>
              <w:ind w:left="0" w:firstLine="0"/>
              <w:rPr>
                <w:rFonts w:eastAsia="Times New Roman" w:cs="Calibri"/>
                <w:noProof/>
                <w:sz w:val="20"/>
                <w:szCs w:val="20"/>
                <w:lang w:val="es-ES" w:eastAsia="en-GB"/>
              </w:rPr>
            </w:pPr>
            <w:r w:rsidRPr="00E723E1">
              <w:rPr>
                <w:rFonts w:asciiTheme="minorHAnsi" w:hAnsiTheme="minorHAnsi"/>
                <w:noProof/>
                <w:sz w:val="20"/>
                <w:szCs w:val="20"/>
                <w:lang w:val="es-ES"/>
              </w:rPr>
              <w:t xml:space="preserve">Presupuesto aprobado por la reunión SC58 y </w:t>
            </w:r>
            <w:r w:rsidRPr="00E723E1">
              <w:rPr>
                <w:rFonts w:asciiTheme="minorHAnsi" w:hAnsiTheme="minorHAnsi"/>
                <w:noProof/>
                <w:color w:val="000000" w:themeColor="text1"/>
                <w:sz w:val="20"/>
                <w:szCs w:val="20"/>
                <w:lang w:val="es-ES"/>
              </w:rPr>
              <w:t>ahorros no comprometidos traspasados al año siguiente</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7ADFDD3C"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7937353D"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14:paraId="56025B79"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337C039B"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nil"/>
              <w:left w:val="nil"/>
              <w:bottom w:val="single" w:sz="4" w:space="0" w:color="auto"/>
              <w:right w:val="single" w:sz="4" w:space="0" w:color="auto"/>
            </w:tcBorders>
            <w:shd w:val="clear" w:color="auto" w:fill="auto"/>
            <w:noWrap/>
            <w:vAlign w:val="center"/>
            <w:hideMark/>
          </w:tcPr>
          <w:p w14:paraId="37A31233"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416</w:t>
            </w:r>
          </w:p>
        </w:tc>
        <w:tc>
          <w:tcPr>
            <w:tcW w:w="1276" w:type="dxa"/>
            <w:tcBorders>
              <w:top w:val="nil"/>
              <w:left w:val="nil"/>
              <w:bottom w:val="single" w:sz="4" w:space="0" w:color="auto"/>
              <w:right w:val="single" w:sz="4" w:space="0" w:color="auto"/>
            </w:tcBorders>
            <w:shd w:val="clear" w:color="auto" w:fill="auto"/>
            <w:noWrap/>
            <w:vAlign w:val="center"/>
            <w:hideMark/>
          </w:tcPr>
          <w:p w14:paraId="05FDED8C"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416</w:t>
            </w:r>
          </w:p>
        </w:tc>
        <w:tc>
          <w:tcPr>
            <w:tcW w:w="1276" w:type="dxa"/>
            <w:tcBorders>
              <w:top w:val="nil"/>
              <w:left w:val="nil"/>
              <w:bottom w:val="single" w:sz="4" w:space="0" w:color="auto"/>
              <w:right w:val="nil"/>
            </w:tcBorders>
            <w:shd w:val="clear" w:color="auto" w:fill="auto"/>
            <w:noWrap/>
            <w:vAlign w:val="center"/>
            <w:hideMark/>
          </w:tcPr>
          <w:p w14:paraId="798EBE1E"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nil"/>
              <w:left w:val="single" w:sz="4" w:space="0" w:color="auto"/>
              <w:bottom w:val="single" w:sz="4" w:space="0" w:color="auto"/>
              <w:right w:val="nil"/>
            </w:tcBorders>
            <w:shd w:val="clear" w:color="auto" w:fill="FFFFFF" w:themeFill="background1"/>
            <w:noWrap/>
            <w:vAlign w:val="center"/>
            <w:hideMark/>
          </w:tcPr>
          <w:p w14:paraId="74206FD1"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81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B6EACEC"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496</w:t>
            </w:r>
          </w:p>
        </w:tc>
      </w:tr>
      <w:tr w:rsidR="00E723E1" w:rsidRPr="00E723E1" w14:paraId="7AC80196" w14:textId="77777777" w:rsidTr="00CB5635">
        <w:trPr>
          <w:trHeight w:val="255"/>
        </w:trPr>
        <w:tc>
          <w:tcPr>
            <w:tcW w:w="3258" w:type="dxa"/>
            <w:tcBorders>
              <w:top w:val="nil"/>
              <w:left w:val="single" w:sz="4" w:space="0" w:color="auto"/>
              <w:bottom w:val="nil"/>
              <w:right w:val="nil"/>
            </w:tcBorders>
            <w:shd w:val="clear" w:color="auto" w:fill="auto"/>
            <w:noWrap/>
            <w:hideMark/>
          </w:tcPr>
          <w:p w14:paraId="34DA7549" w14:textId="1929C23C" w:rsidR="00E723E1" w:rsidRPr="00E723E1" w:rsidRDefault="00E723E1" w:rsidP="00E723E1">
            <w:pPr>
              <w:ind w:left="0" w:firstLine="0"/>
              <w:rPr>
                <w:rFonts w:eastAsia="Times New Roman" w:cs="Calibri"/>
                <w:noProof/>
                <w:sz w:val="20"/>
                <w:szCs w:val="20"/>
                <w:lang w:val="es-ES" w:eastAsia="en-GB"/>
              </w:rPr>
            </w:pPr>
            <w:r w:rsidRPr="00E723E1">
              <w:rPr>
                <w:rFonts w:asciiTheme="minorHAnsi" w:hAnsiTheme="minorHAnsi"/>
                <w:bCs/>
                <w:noProof/>
                <w:sz w:val="20"/>
                <w:szCs w:val="20"/>
                <w:lang w:val="es-ES"/>
              </w:rPr>
              <w:t>Ganancias/pérdidas por fluctuaciones del tipo de cambio</w:t>
            </w:r>
          </w:p>
        </w:tc>
        <w:tc>
          <w:tcPr>
            <w:tcW w:w="1417" w:type="dxa"/>
            <w:tcBorders>
              <w:top w:val="nil"/>
              <w:left w:val="single" w:sz="4" w:space="0" w:color="auto"/>
              <w:bottom w:val="nil"/>
              <w:right w:val="single" w:sz="4" w:space="0" w:color="auto"/>
            </w:tcBorders>
            <w:shd w:val="clear" w:color="auto" w:fill="auto"/>
            <w:noWrap/>
            <w:vAlign w:val="center"/>
            <w:hideMark/>
          </w:tcPr>
          <w:p w14:paraId="3BD23C60"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nil"/>
              <w:right w:val="single" w:sz="4" w:space="0" w:color="auto"/>
            </w:tcBorders>
            <w:shd w:val="clear" w:color="auto" w:fill="auto"/>
            <w:noWrap/>
            <w:vAlign w:val="center"/>
            <w:hideMark/>
          </w:tcPr>
          <w:p w14:paraId="0B62F3F6"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nil"/>
              <w:left w:val="nil"/>
              <w:bottom w:val="nil"/>
              <w:right w:val="single" w:sz="4" w:space="0" w:color="auto"/>
            </w:tcBorders>
            <w:shd w:val="clear" w:color="auto" w:fill="auto"/>
            <w:noWrap/>
            <w:vAlign w:val="center"/>
            <w:hideMark/>
          </w:tcPr>
          <w:p w14:paraId="6E35E9F9"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nil"/>
              <w:right w:val="single" w:sz="4" w:space="0" w:color="auto"/>
            </w:tcBorders>
            <w:shd w:val="clear" w:color="auto" w:fill="auto"/>
            <w:noWrap/>
            <w:vAlign w:val="center"/>
            <w:hideMark/>
          </w:tcPr>
          <w:p w14:paraId="255DEBD8"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nil"/>
              <w:left w:val="nil"/>
              <w:bottom w:val="nil"/>
              <w:right w:val="single" w:sz="4" w:space="0" w:color="auto"/>
            </w:tcBorders>
            <w:shd w:val="clear" w:color="auto" w:fill="auto"/>
            <w:noWrap/>
            <w:vAlign w:val="center"/>
            <w:hideMark/>
          </w:tcPr>
          <w:p w14:paraId="1F2D9703"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(94)</w:t>
            </w:r>
          </w:p>
        </w:tc>
        <w:tc>
          <w:tcPr>
            <w:tcW w:w="1276" w:type="dxa"/>
            <w:tcBorders>
              <w:top w:val="nil"/>
              <w:left w:val="nil"/>
              <w:bottom w:val="nil"/>
              <w:right w:val="single" w:sz="4" w:space="0" w:color="auto"/>
            </w:tcBorders>
            <w:shd w:val="clear" w:color="auto" w:fill="auto"/>
            <w:noWrap/>
            <w:vAlign w:val="center"/>
            <w:hideMark/>
          </w:tcPr>
          <w:p w14:paraId="330703E4"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(94)</w:t>
            </w:r>
          </w:p>
        </w:tc>
        <w:tc>
          <w:tcPr>
            <w:tcW w:w="1276" w:type="dxa"/>
            <w:tcBorders>
              <w:top w:val="nil"/>
              <w:left w:val="nil"/>
              <w:bottom w:val="nil"/>
              <w:right w:val="nil"/>
            </w:tcBorders>
            <w:shd w:val="clear" w:color="auto" w:fill="auto"/>
            <w:noWrap/>
            <w:vAlign w:val="center"/>
            <w:hideMark/>
          </w:tcPr>
          <w:p w14:paraId="2F2D0557"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(14)</w:t>
            </w:r>
          </w:p>
        </w:tc>
        <w:tc>
          <w:tcPr>
            <w:tcW w:w="1417" w:type="dxa"/>
            <w:tcBorders>
              <w:top w:val="nil"/>
              <w:left w:val="single" w:sz="4" w:space="0" w:color="auto"/>
              <w:bottom w:val="nil"/>
              <w:right w:val="nil"/>
            </w:tcBorders>
            <w:shd w:val="clear" w:color="auto" w:fill="auto"/>
            <w:noWrap/>
            <w:vAlign w:val="center"/>
            <w:hideMark/>
          </w:tcPr>
          <w:p w14:paraId="6D32A754"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nil"/>
              <w:left w:val="single" w:sz="4" w:space="0" w:color="auto"/>
              <w:bottom w:val="nil"/>
              <w:right w:val="single" w:sz="4" w:space="0" w:color="auto"/>
            </w:tcBorders>
            <w:shd w:val="clear" w:color="auto" w:fill="auto"/>
            <w:noWrap/>
            <w:vAlign w:val="center"/>
            <w:hideMark/>
          </w:tcPr>
          <w:p w14:paraId="4B4A41B8"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(80)</w:t>
            </w:r>
          </w:p>
        </w:tc>
      </w:tr>
      <w:tr w:rsidR="00E723E1" w:rsidRPr="00E723E1" w14:paraId="099B3CA2" w14:textId="77777777" w:rsidTr="00CB5635">
        <w:trPr>
          <w:trHeight w:val="255"/>
        </w:trPr>
        <w:tc>
          <w:tcPr>
            <w:tcW w:w="3258" w:type="dxa"/>
            <w:tcBorders>
              <w:top w:val="single" w:sz="4" w:space="0" w:color="auto"/>
              <w:left w:val="single" w:sz="4" w:space="0" w:color="auto"/>
              <w:bottom w:val="single" w:sz="4" w:space="0" w:color="auto"/>
              <w:right w:val="nil"/>
            </w:tcBorders>
            <w:shd w:val="clear" w:color="auto" w:fill="auto"/>
            <w:noWrap/>
            <w:hideMark/>
          </w:tcPr>
          <w:p w14:paraId="65F1DE36" w14:textId="7D44F97B" w:rsidR="00E723E1" w:rsidRPr="00E723E1" w:rsidRDefault="00E723E1" w:rsidP="00E723E1">
            <w:pPr>
              <w:ind w:left="0" w:firstLine="0"/>
              <w:rPr>
                <w:rFonts w:eastAsia="Times New Roman" w:cs="Calibri"/>
                <w:noProof/>
                <w:sz w:val="20"/>
                <w:szCs w:val="20"/>
                <w:lang w:val="es-ES" w:eastAsia="en-GB"/>
              </w:rPr>
            </w:pPr>
            <w:r w:rsidRPr="00E723E1">
              <w:rPr>
                <w:rFonts w:asciiTheme="minorHAnsi" w:hAnsiTheme="minorHAnsi"/>
                <w:bCs/>
                <w:noProof/>
                <w:sz w:val="20"/>
                <w:szCs w:val="20"/>
                <w:lang w:val="es-ES"/>
              </w:rPr>
              <w:t>Servicios jurídicos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6AE3D"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59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EB70DDC"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F9B977F"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61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F0FD686"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DA5C864"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C058BF4"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145</w:t>
            </w:r>
          </w:p>
        </w:tc>
        <w:tc>
          <w:tcPr>
            <w:tcW w:w="1276" w:type="dxa"/>
            <w:tcBorders>
              <w:top w:val="single" w:sz="4" w:space="0" w:color="auto"/>
              <w:left w:val="nil"/>
              <w:bottom w:val="single" w:sz="4" w:space="0" w:color="auto"/>
              <w:right w:val="nil"/>
            </w:tcBorders>
            <w:shd w:val="clear" w:color="auto" w:fill="auto"/>
            <w:noWrap/>
            <w:vAlign w:val="center"/>
            <w:hideMark/>
          </w:tcPr>
          <w:p w14:paraId="2BD6F180"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25</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6FFB77AA"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AAF7E" w14:textId="77777777" w:rsidR="00E723E1" w:rsidRPr="00E723E1" w:rsidRDefault="00E723E1" w:rsidP="00E723E1">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121</w:t>
            </w:r>
          </w:p>
        </w:tc>
      </w:tr>
      <w:tr w:rsidR="00F270A8" w:rsidRPr="00E723E1" w14:paraId="575F8B0D" w14:textId="77777777" w:rsidTr="00CB5635">
        <w:trPr>
          <w:trHeight w:val="255"/>
        </w:trPr>
        <w:tc>
          <w:tcPr>
            <w:tcW w:w="3258" w:type="dxa"/>
            <w:tcBorders>
              <w:top w:val="nil"/>
              <w:left w:val="single" w:sz="4" w:space="0" w:color="auto"/>
              <w:bottom w:val="nil"/>
              <w:right w:val="nil"/>
            </w:tcBorders>
            <w:shd w:val="clear" w:color="000000" w:fill="D6E3BC"/>
            <w:noWrap/>
            <w:vAlign w:val="center"/>
            <w:hideMark/>
          </w:tcPr>
          <w:p w14:paraId="2371CDBF" w14:textId="79928F0F" w:rsidR="00F270A8" w:rsidRPr="00E723E1" w:rsidRDefault="00F270A8" w:rsidP="00F270A8">
            <w:pPr>
              <w:ind w:left="0" w:firstLine="0"/>
              <w:rPr>
                <w:rFonts w:eastAsia="Times New Roman" w:cs="Calibri"/>
                <w:noProof/>
                <w:sz w:val="20"/>
                <w:szCs w:val="20"/>
                <w:lang w:val="es-ES" w:eastAsia="en-GB"/>
              </w:rPr>
            </w:pPr>
            <w:r w:rsidRPr="00E723E1">
              <w:rPr>
                <w:rFonts w:eastAsia="Times New Roman" w:cs="Calibri"/>
                <w:noProof/>
                <w:sz w:val="20"/>
                <w:szCs w:val="20"/>
                <w:lang w:val="es-ES" w:eastAsia="en-GB"/>
              </w:rPr>
              <w:t>TOTAL</w:t>
            </w:r>
            <w:r w:rsidR="00E723E1" w:rsidRPr="00E723E1">
              <w:rPr>
                <w:rFonts w:eastAsia="Times New Roman" w:cs="Calibri"/>
                <w:noProof/>
                <w:sz w:val="20"/>
                <w:szCs w:val="20"/>
                <w:lang w:val="es-ES" w:eastAsia="en-GB"/>
              </w:rPr>
              <w:t>,</w:t>
            </w:r>
            <w:r w:rsidRPr="00E723E1">
              <w:rPr>
                <w:rFonts w:eastAsia="Times New Roman" w:cs="Calibri"/>
                <w:noProof/>
                <w:sz w:val="20"/>
                <w:szCs w:val="20"/>
                <w:lang w:val="es-ES" w:eastAsia="en-GB"/>
              </w:rPr>
              <w:t xml:space="preserve"> </w:t>
            </w:r>
            <w:r w:rsidR="00E723E1" w:rsidRPr="00E723E1">
              <w:rPr>
                <w:rFonts w:eastAsia="Times New Roman" w:cs="Calibri"/>
                <w:noProof/>
                <w:sz w:val="20"/>
                <w:szCs w:val="20"/>
                <w:lang w:val="es-ES" w:eastAsia="en-GB"/>
              </w:rPr>
              <w:t>GASTOS</w:t>
            </w:r>
          </w:p>
        </w:tc>
        <w:tc>
          <w:tcPr>
            <w:tcW w:w="1417" w:type="dxa"/>
            <w:tcBorders>
              <w:top w:val="nil"/>
              <w:left w:val="single" w:sz="4" w:space="0" w:color="auto"/>
              <w:bottom w:val="single" w:sz="4" w:space="0" w:color="auto"/>
              <w:right w:val="single" w:sz="4" w:space="0" w:color="auto"/>
            </w:tcBorders>
            <w:shd w:val="clear" w:color="000000" w:fill="D6E3BC"/>
            <w:noWrap/>
            <w:vAlign w:val="center"/>
            <w:hideMark/>
          </w:tcPr>
          <w:p w14:paraId="5FEEE962" w14:textId="0FBA2B7A"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5</w:t>
            </w:r>
            <w:r w:rsidR="004B6B6E">
              <w:rPr>
                <w:rFonts w:eastAsia="Times New Roman" w:cs="Calibri"/>
                <w:noProof/>
                <w:sz w:val="20"/>
                <w:szCs w:val="20"/>
                <w:lang w:val="es-ES" w:eastAsia="en-GB"/>
              </w:rPr>
              <w:t xml:space="preserve"> </w:t>
            </w:r>
            <w:r w:rsidRPr="00E723E1">
              <w:rPr>
                <w:rFonts w:eastAsia="Times New Roman" w:cs="Calibri"/>
                <w:noProof/>
                <w:sz w:val="20"/>
                <w:szCs w:val="20"/>
                <w:lang w:val="es-ES" w:eastAsia="en-GB"/>
              </w:rPr>
              <w:t>081</w:t>
            </w:r>
          </w:p>
        </w:tc>
        <w:tc>
          <w:tcPr>
            <w:tcW w:w="1276" w:type="dxa"/>
            <w:tcBorders>
              <w:top w:val="nil"/>
              <w:left w:val="nil"/>
              <w:bottom w:val="single" w:sz="4" w:space="0" w:color="auto"/>
              <w:right w:val="single" w:sz="4" w:space="0" w:color="auto"/>
            </w:tcBorders>
            <w:shd w:val="clear" w:color="000000" w:fill="D6E3BC"/>
            <w:noWrap/>
            <w:vAlign w:val="center"/>
            <w:hideMark/>
          </w:tcPr>
          <w:p w14:paraId="6B7C3C00"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76</w:t>
            </w:r>
          </w:p>
        </w:tc>
        <w:tc>
          <w:tcPr>
            <w:tcW w:w="1134" w:type="dxa"/>
            <w:tcBorders>
              <w:top w:val="nil"/>
              <w:left w:val="nil"/>
              <w:bottom w:val="single" w:sz="4" w:space="0" w:color="auto"/>
              <w:right w:val="single" w:sz="4" w:space="0" w:color="auto"/>
            </w:tcBorders>
            <w:shd w:val="clear" w:color="000000" w:fill="D6E3BC"/>
            <w:noWrap/>
            <w:vAlign w:val="center"/>
            <w:hideMark/>
          </w:tcPr>
          <w:p w14:paraId="1816BF51"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712</w:t>
            </w:r>
          </w:p>
        </w:tc>
        <w:tc>
          <w:tcPr>
            <w:tcW w:w="1276" w:type="dxa"/>
            <w:tcBorders>
              <w:top w:val="nil"/>
              <w:left w:val="nil"/>
              <w:bottom w:val="single" w:sz="4" w:space="0" w:color="auto"/>
              <w:right w:val="single" w:sz="4" w:space="0" w:color="auto"/>
            </w:tcBorders>
            <w:shd w:val="clear" w:color="000000" w:fill="D6E3BC"/>
            <w:noWrap/>
            <w:vAlign w:val="center"/>
            <w:hideMark/>
          </w:tcPr>
          <w:p w14:paraId="3BB64EE2"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293</w:t>
            </w:r>
          </w:p>
        </w:tc>
        <w:tc>
          <w:tcPr>
            <w:tcW w:w="1417" w:type="dxa"/>
            <w:tcBorders>
              <w:top w:val="nil"/>
              <w:left w:val="nil"/>
              <w:bottom w:val="single" w:sz="4" w:space="0" w:color="auto"/>
              <w:right w:val="single" w:sz="4" w:space="0" w:color="auto"/>
            </w:tcBorders>
            <w:shd w:val="clear" w:color="000000" w:fill="D6E3BC"/>
            <w:noWrap/>
            <w:vAlign w:val="center"/>
            <w:hideMark/>
          </w:tcPr>
          <w:p w14:paraId="5BFD0061" w14:textId="6E73F776"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1</w:t>
            </w:r>
            <w:r w:rsidR="004B6B6E">
              <w:rPr>
                <w:rFonts w:eastAsia="Times New Roman" w:cs="Calibri"/>
                <w:noProof/>
                <w:sz w:val="20"/>
                <w:szCs w:val="20"/>
                <w:lang w:val="es-ES" w:eastAsia="en-GB"/>
              </w:rPr>
              <w:t xml:space="preserve"> </w:t>
            </w:r>
            <w:r w:rsidRPr="00E723E1">
              <w:rPr>
                <w:rFonts w:eastAsia="Times New Roman" w:cs="Calibri"/>
                <w:noProof/>
                <w:sz w:val="20"/>
                <w:szCs w:val="20"/>
                <w:lang w:val="es-ES" w:eastAsia="en-GB"/>
              </w:rPr>
              <w:t>297</w:t>
            </w:r>
          </w:p>
        </w:tc>
        <w:tc>
          <w:tcPr>
            <w:tcW w:w="1276" w:type="dxa"/>
            <w:tcBorders>
              <w:top w:val="nil"/>
              <w:left w:val="nil"/>
              <w:bottom w:val="single" w:sz="4" w:space="0" w:color="auto"/>
              <w:right w:val="single" w:sz="4" w:space="0" w:color="auto"/>
            </w:tcBorders>
            <w:shd w:val="clear" w:color="000000" w:fill="D6E3BC"/>
            <w:noWrap/>
            <w:vAlign w:val="center"/>
            <w:hideMark/>
          </w:tcPr>
          <w:p w14:paraId="14045FA2" w14:textId="1F106EE6"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7</w:t>
            </w:r>
            <w:r w:rsidR="004B6B6E">
              <w:rPr>
                <w:rFonts w:eastAsia="Times New Roman" w:cs="Calibri"/>
                <w:noProof/>
                <w:sz w:val="20"/>
                <w:szCs w:val="20"/>
                <w:lang w:val="es-ES" w:eastAsia="en-GB"/>
              </w:rPr>
              <w:t xml:space="preserve"> </w:t>
            </w:r>
            <w:r w:rsidRPr="00E723E1">
              <w:rPr>
                <w:rFonts w:eastAsia="Times New Roman" w:cs="Calibri"/>
                <w:noProof/>
                <w:sz w:val="20"/>
                <w:szCs w:val="20"/>
                <w:lang w:val="es-ES" w:eastAsia="en-GB"/>
              </w:rPr>
              <w:t>459</w:t>
            </w:r>
          </w:p>
        </w:tc>
        <w:tc>
          <w:tcPr>
            <w:tcW w:w="1276" w:type="dxa"/>
            <w:tcBorders>
              <w:top w:val="nil"/>
              <w:left w:val="nil"/>
              <w:bottom w:val="nil"/>
              <w:right w:val="nil"/>
            </w:tcBorders>
            <w:shd w:val="clear" w:color="000000" w:fill="D6E3BC"/>
            <w:noWrap/>
            <w:vAlign w:val="center"/>
            <w:hideMark/>
          </w:tcPr>
          <w:p w14:paraId="06D58DE4" w14:textId="121F480C"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4</w:t>
            </w:r>
            <w:r w:rsidR="004B6B6E">
              <w:rPr>
                <w:rFonts w:eastAsia="Times New Roman" w:cs="Calibri"/>
                <w:noProof/>
                <w:sz w:val="20"/>
                <w:szCs w:val="20"/>
                <w:lang w:val="es-ES" w:eastAsia="en-GB"/>
              </w:rPr>
              <w:t xml:space="preserve"> </w:t>
            </w:r>
            <w:r w:rsidRPr="00E723E1">
              <w:rPr>
                <w:rFonts w:eastAsia="Times New Roman" w:cs="Calibri"/>
                <w:noProof/>
                <w:sz w:val="20"/>
                <w:szCs w:val="20"/>
                <w:lang w:val="es-ES" w:eastAsia="en-GB"/>
              </w:rPr>
              <w:t>651</w:t>
            </w:r>
          </w:p>
        </w:tc>
        <w:tc>
          <w:tcPr>
            <w:tcW w:w="1417" w:type="dxa"/>
            <w:tcBorders>
              <w:top w:val="nil"/>
              <w:left w:val="nil"/>
              <w:bottom w:val="nil"/>
              <w:right w:val="nil"/>
            </w:tcBorders>
            <w:shd w:val="clear" w:color="000000" w:fill="D6E3BC"/>
            <w:noWrap/>
            <w:vAlign w:val="center"/>
            <w:hideMark/>
          </w:tcPr>
          <w:p w14:paraId="49B1149B"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0</w:t>
            </w:r>
          </w:p>
        </w:tc>
        <w:tc>
          <w:tcPr>
            <w:tcW w:w="1276" w:type="dxa"/>
            <w:tcBorders>
              <w:top w:val="nil"/>
              <w:left w:val="nil"/>
              <w:bottom w:val="nil"/>
              <w:right w:val="nil"/>
            </w:tcBorders>
            <w:shd w:val="clear" w:color="000000" w:fill="D6E3BC"/>
            <w:noWrap/>
            <w:vAlign w:val="center"/>
            <w:hideMark/>
          </w:tcPr>
          <w:p w14:paraId="297061AA" w14:textId="2313769F"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2</w:t>
            </w:r>
            <w:r w:rsidR="004B6B6E">
              <w:rPr>
                <w:rFonts w:eastAsia="Times New Roman" w:cs="Calibri"/>
                <w:noProof/>
                <w:sz w:val="20"/>
                <w:szCs w:val="20"/>
                <w:lang w:val="es-ES" w:eastAsia="en-GB"/>
              </w:rPr>
              <w:t xml:space="preserve"> </w:t>
            </w:r>
            <w:r w:rsidRPr="00E723E1">
              <w:rPr>
                <w:rFonts w:eastAsia="Times New Roman" w:cs="Calibri"/>
                <w:noProof/>
                <w:sz w:val="20"/>
                <w:szCs w:val="20"/>
                <w:lang w:val="es-ES" w:eastAsia="en-GB"/>
              </w:rPr>
              <w:t>808</w:t>
            </w:r>
          </w:p>
        </w:tc>
      </w:tr>
      <w:tr w:rsidR="00F270A8" w:rsidRPr="00E723E1" w14:paraId="7D71DCD5" w14:textId="77777777" w:rsidTr="00CB5635">
        <w:trPr>
          <w:trHeight w:val="255"/>
        </w:trPr>
        <w:tc>
          <w:tcPr>
            <w:tcW w:w="3258" w:type="dxa"/>
            <w:tcBorders>
              <w:top w:val="single" w:sz="4" w:space="0" w:color="auto"/>
              <w:left w:val="single" w:sz="4" w:space="0" w:color="auto"/>
              <w:bottom w:val="single" w:sz="4" w:space="0" w:color="auto"/>
              <w:right w:val="nil"/>
            </w:tcBorders>
            <w:shd w:val="clear" w:color="auto" w:fill="auto"/>
            <w:noWrap/>
            <w:vAlign w:val="center"/>
            <w:hideMark/>
          </w:tcPr>
          <w:p w14:paraId="076658D4" w14:textId="77777777" w:rsidR="00F270A8" w:rsidRPr="00E723E1" w:rsidRDefault="00F270A8" w:rsidP="00F270A8">
            <w:pPr>
              <w:ind w:left="0" w:firstLine="0"/>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417" w:type="dxa"/>
            <w:tcBorders>
              <w:top w:val="nil"/>
              <w:left w:val="nil"/>
              <w:bottom w:val="single" w:sz="4" w:space="0" w:color="auto"/>
              <w:right w:val="nil"/>
            </w:tcBorders>
            <w:shd w:val="clear" w:color="auto" w:fill="auto"/>
            <w:noWrap/>
            <w:vAlign w:val="center"/>
            <w:hideMark/>
          </w:tcPr>
          <w:p w14:paraId="7C6A6E17"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nil"/>
              <w:left w:val="nil"/>
              <w:bottom w:val="single" w:sz="4" w:space="0" w:color="auto"/>
              <w:right w:val="nil"/>
            </w:tcBorders>
            <w:shd w:val="clear" w:color="auto" w:fill="auto"/>
            <w:noWrap/>
            <w:vAlign w:val="center"/>
            <w:hideMark/>
          </w:tcPr>
          <w:p w14:paraId="1A0E6796"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134" w:type="dxa"/>
            <w:tcBorders>
              <w:top w:val="nil"/>
              <w:left w:val="nil"/>
              <w:bottom w:val="single" w:sz="4" w:space="0" w:color="auto"/>
              <w:right w:val="nil"/>
            </w:tcBorders>
            <w:shd w:val="clear" w:color="auto" w:fill="auto"/>
            <w:noWrap/>
            <w:vAlign w:val="center"/>
            <w:hideMark/>
          </w:tcPr>
          <w:p w14:paraId="35A8A974"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nil"/>
              <w:left w:val="nil"/>
              <w:bottom w:val="single" w:sz="4" w:space="0" w:color="auto"/>
              <w:right w:val="nil"/>
            </w:tcBorders>
            <w:shd w:val="clear" w:color="auto" w:fill="auto"/>
            <w:noWrap/>
            <w:vAlign w:val="center"/>
            <w:hideMark/>
          </w:tcPr>
          <w:p w14:paraId="22799751"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417" w:type="dxa"/>
            <w:tcBorders>
              <w:top w:val="nil"/>
              <w:left w:val="nil"/>
              <w:bottom w:val="single" w:sz="4" w:space="0" w:color="auto"/>
              <w:right w:val="nil"/>
            </w:tcBorders>
            <w:shd w:val="clear" w:color="auto" w:fill="auto"/>
            <w:noWrap/>
            <w:vAlign w:val="center"/>
            <w:hideMark/>
          </w:tcPr>
          <w:p w14:paraId="2DAEBF8A"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nil"/>
              <w:left w:val="nil"/>
              <w:bottom w:val="single" w:sz="4" w:space="0" w:color="auto"/>
              <w:right w:val="nil"/>
            </w:tcBorders>
            <w:shd w:val="clear" w:color="auto" w:fill="auto"/>
            <w:noWrap/>
            <w:vAlign w:val="center"/>
            <w:hideMark/>
          </w:tcPr>
          <w:p w14:paraId="23F6E50E"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single" w:sz="4" w:space="0" w:color="auto"/>
              <w:left w:val="nil"/>
              <w:bottom w:val="single" w:sz="4" w:space="0" w:color="auto"/>
              <w:right w:val="nil"/>
            </w:tcBorders>
            <w:shd w:val="clear" w:color="auto" w:fill="auto"/>
            <w:noWrap/>
            <w:vAlign w:val="center"/>
            <w:hideMark/>
          </w:tcPr>
          <w:p w14:paraId="51BE0E58"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417" w:type="dxa"/>
            <w:tcBorders>
              <w:top w:val="single" w:sz="4" w:space="0" w:color="auto"/>
              <w:left w:val="nil"/>
              <w:bottom w:val="single" w:sz="4" w:space="0" w:color="auto"/>
              <w:right w:val="nil"/>
            </w:tcBorders>
            <w:shd w:val="clear" w:color="auto" w:fill="auto"/>
            <w:noWrap/>
            <w:vAlign w:val="center"/>
            <w:hideMark/>
          </w:tcPr>
          <w:p w14:paraId="03393205"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09A72" w14:textId="77777777" w:rsidR="00F270A8" w:rsidRPr="00E723E1" w:rsidRDefault="00F270A8" w:rsidP="00F270A8">
            <w:pPr>
              <w:ind w:left="0" w:firstLine="0"/>
              <w:jc w:val="right"/>
              <w:rPr>
                <w:rFonts w:eastAsia="Times New Roman" w:cs="Calibri"/>
                <w:noProof/>
                <w:sz w:val="20"/>
                <w:szCs w:val="20"/>
                <w:lang w:val="es-ES" w:eastAsia="en-GB"/>
              </w:rPr>
            </w:pPr>
            <w:r w:rsidRPr="00E723E1">
              <w:rPr>
                <w:rFonts w:eastAsia="Times New Roman" w:cs="Calibri"/>
                <w:noProof/>
                <w:sz w:val="20"/>
                <w:szCs w:val="20"/>
                <w:lang w:val="es-ES" w:eastAsia="en-GB"/>
              </w:rPr>
              <w:t> </w:t>
            </w:r>
          </w:p>
        </w:tc>
      </w:tr>
      <w:tr w:rsidR="00F270A8" w:rsidRPr="00E723E1" w14:paraId="5A189CE3" w14:textId="77777777" w:rsidTr="00CB5635">
        <w:trPr>
          <w:trHeight w:val="255"/>
        </w:trPr>
        <w:tc>
          <w:tcPr>
            <w:tcW w:w="3258" w:type="dxa"/>
            <w:tcBorders>
              <w:top w:val="single" w:sz="4" w:space="0" w:color="auto"/>
              <w:left w:val="single" w:sz="4" w:space="0" w:color="auto"/>
              <w:bottom w:val="single" w:sz="4" w:space="0" w:color="auto"/>
              <w:right w:val="nil"/>
            </w:tcBorders>
            <w:shd w:val="clear" w:color="000000" w:fill="D6E3BC"/>
            <w:vAlign w:val="center"/>
            <w:hideMark/>
          </w:tcPr>
          <w:p w14:paraId="1431CAEC" w14:textId="4FAE48B0" w:rsidR="00F270A8" w:rsidRPr="00CB5635" w:rsidRDefault="00E723E1" w:rsidP="00F270A8">
            <w:pPr>
              <w:ind w:left="0" w:firstLine="0"/>
              <w:rPr>
                <w:rFonts w:eastAsia="Times New Roman" w:cs="Calibri"/>
                <w:b/>
                <w:bCs/>
                <w:noProof/>
                <w:sz w:val="20"/>
                <w:szCs w:val="20"/>
                <w:lang w:val="es-ES" w:eastAsia="en-GB"/>
              </w:rPr>
            </w:pPr>
            <w:r w:rsidRPr="00CB5635">
              <w:rPr>
                <w:rFonts w:eastAsia="Times New Roman" w:cs="Calibri"/>
                <w:b/>
                <w:bCs/>
                <w:noProof/>
                <w:sz w:val="20"/>
                <w:szCs w:val="20"/>
                <w:lang w:val="es-ES" w:eastAsia="en-GB"/>
              </w:rPr>
              <w:t>EXCEDENTE</w:t>
            </w:r>
            <w:r w:rsidR="00F270A8" w:rsidRPr="00CB5635">
              <w:rPr>
                <w:rFonts w:eastAsia="Times New Roman" w:cs="Calibri"/>
                <w:b/>
                <w:bCs/>
                <w:noProof/>
                <w:sz w:val="20"/>
                <w:szCs w:val="20"/>
                <w:lang w:val="es-ES" w:eastAsia="en-GB"/>
              </w:rPr>
              <w:t>/(D</w:t>
            </w:r>
            <w:r w:rsidRPr="00CB5635">
              <w:rPr>
                <w:rFonts w:eastAsia="Times New Roman" w:cs="Calibri"/>
                <w:b/>
                <w:bCs/>
                <w:noProof/>
                <w:sz w:val="20"/>
                <w:szCs w:val="20"/>
                <w:lang w:val="es-ES" w:eastAsia="en-GB"/>
              </w:rPr>
              <w:t>É</w:t>
            </w:r>
            <w:r w:rsidR="00F270A8" w:rsidRPr="00CB5635">
              <w:rPr>
                <w:rFonts w:eastAsia="Times New Roman" w:cs="Calibri"/>
                <w:b/>
                <w:bCs/>
                <w:noProof/>
                <w:sz w:val="20"/>
                <w:szCs w:val="20"/>
                <w:lang w:val="es-ES" w:eastAsia="en-GB"/>
              </w:rPr>
              <w:t>FICIT)</w:t>
            </w:r>
          </w:p>
        </w:tc>
        <w:tc>
          <w:tcPr>
            <w:tcW w:w="1417" w:type="dxa"/>
            <w:tcBorders>
              <w:top w:val="single" w:sz="4" w:space="0" w:color="auto"/>
              <w:left w:val="single" w:sz="4" w:space="0" w:color="auto"/>
              <w:bottom w:val="single" w:sz="4" w:space="0" w:color="auto"/>
              <w:right w:val="nil"/>
            </w:tcBorders>
            <w:shd w:val="clear" w:color="000000" w:fill="D6E3BC"/>
            <w:noWrap/>
            <w:vAlign w:val="center"/>
            <w:hideMark/>
          </w:tcPr>
          <w:p w14:paraId="554276CE" w14:textId="77777777" w:rsidR="00F270A8" w:rsidRPr="00E723E1" w:rsidRDefault="00F270A8" w:rsidP="00F270A8">
            <w:pPr>
              <w:ind w:left="0" w:firstLine="0"/>
              <w:jc w:val="right"/>
              <w:rPr>
                <w:rFonts w:eastAsia="Times New Roman" w:cs="Calibri"/>
                <w:b/>
                <w:bCs/>
                <w:noProof/>
                <w:sz w:val="20"/>
                <w:szCs w:val="20"/>
                <w:lang w:val="es-ES" w:eastAsia="en-GB"/>
              </w:rPr>
            </w:pPr>
            <w:r w:rsidRPr="00E723E1">
              <w:rPr>
                <w:rFonts w:eastAsia="Times New Roman" w:cs="Calibri"/>
                <w:b/>
                <w:bCs/>
                <w:noProof/>
                <w:sz w:val="20"/>
                <w:szCs w:val="20"/>
                <w:lang w:val="es-ES" w:eastAsia="en-GB"/>
              </w:rPr>
              <w:t> </w:t>
            </w:r>
          </w:p>
        </w:tc>
        <w:tc>
          <w:tcPr>
            <w:tcW w:w="1276" w:type="dxa"/>
            <w:tcBorders>
              <w:top w:val="single" w:sz="4" w:space="0" w:color="auto"/>
              <w:left w:val="nil"/>
              <w:bottom w:val="single" w:sz="4" w:space="0" w:color="auto"/>
              <w:right w:val="nil"/>
            </w:tcBorders>
            <w:shd w:val="clear" w:color="000000" w:fill="D6E3BC"/>
            <w:noWrap/>
            <w:vAlign w:val="center"/>
            <w:hideMark/>
          </w:tcPr>
          <w:p w14:paraId="71D4AA14" w14:textId="77777777" w:rsidR="00F270A8" w:rsidRPr="00E723E1" w:rsidRDefault="00F270A8" w:rsidP="00F270A8">
            <w:pPr>
              <w:ind w:left="0" w:firstLine="0"/>
              <w:jc w:val="right"/>
              <w:rPr>
                <w:rFonts w:eastAsia="Times New Roman" w:cs="Calibri"/>
                <w:b/>
                <w:bCs/>
                <w:noProof/>
                <w:sz w:val="20"/>
                <w:szCs w:val="20"/>
                <w:lang w:val="es-ES" w:eastAsia="en-GB"/>
              </w:rPr>
            </w:pPr>
            <w:r w:rsidRPr="00E723E1">
              <w:rPr>
                <w:rFonts w:eastAsia="Times New Roman" w:cs="Calibri"/>
                <w:b/>
                <w:bCs/>
                <w:noProof/>
                <w:sz w:val="20"/>
                <w:szCs w:val="20"/>
                <w:lang w:val="es-ES" w:eastAsia="en-GB"/>
              </w:rPr>
              <w:t> </w:t>
            </w:r>
          </w:p>
        </w:tc>
        <w:tc>
          <w:tcPr>
            <w:tcW w:w="1134" w:type="dxa"/>
            <w:tcBorders>
              <w:top w:val="single" w:sz="4" w:space="0" w:color="auto"/>
              <w:left w:val="nil"/>
              <w:bottom w:val="single" w:sz="4" w:space="0" w:color="auto"/>
              <w:right w:val="nil"/>
            </w:tcBorders>
            <w:shd w:val="clear" w:color="000000" w:fill="D6E3BC"/>
            <w:noWrap/>
            <w:vAlign w:val="center"/>
            <w:hideMark/>
          </w:tcPr>
          <w:p w14:paraId="068DBB07" w14:textId="77777777" w:rsidR="00F270A8" w:rsidRPr="00E723E1" w:rsidRDefault="00F270A8" w:rsidP="00F270A8">
            <w:pPr>
              <w:ind w:left="0" w:firstLine="0"/>
              <w:jc w:val="right"/>
              <w:rPr>
                <w:rFonts w:eastAsia="Times New Roman" w:cs="Calibri"/>
                <w:b/>
                <w:bCs/>
                <w:noProof/>
                <w:sz w:val="20"/>
                <w:szCs w:val="20"/>
                <w:lang w:val="es-ES" w:eastAsia="en-GB"/>
              </w:rPr>
            </w:pPr>
            <w:r w:rsidRPr="00E723E1">
              <w:rPr>
                <w:rFonts w:eastAsia="Times New Roman" w:cs="Calibri"/>
                <w:b/>
                <w:bCs/>
                <w:noProof/>
                <w:sz w:val="20"/>
                <w:szCs w:val="20"/>
                <w:lang w:val="es-ES" w:eastAsia="en-GB"/>
              </w:rPr>
              <w:t> </w:t>
            </w:r>
          </w:p>
        </w:tc>
        <w:tc>
          <w:tcPr>
            <w:tcW w:w="1276" w:type="dxa"/>
            <w:tcBorders>
              <w:top w:val="single" w:sz="4" w:space="0" w:color="auto"/>
              <w:left w:val="nil"/>
              <w:bottom w:val="single" w:sz="4" w:space="0" w:color="auto"/>
              <w:right w:val="nil"/>
            </w:tcBorders>
            <w:shd w:val="clear" w:color="000000" w:fill="D6E3BC"/>
            <w:noWrap/>
            <w:vAlign w:val="center"/>
            <w:hideMark/>
          </w:tcPr>
          <w:p w14:paraId="064CB577" w14:textId="77777777" w:rsidR="00F270A8" w:rsidRPr="00E723E1" w:rsidRDefault="00F270A8" w:rsidP="00F270A8">
            <w:pPr>
              <w:ind w:left="0" w:firstLine="0"/>
              <w:jc w:val="right"/>
              <w:rPr>
                <w:rFonts w:eastAsia="Times New Roman" w:cs="Calibri"/>
                <w:b/>
                <w:bCs/>
                <w:noProof/>
                <w:sz w:val="20"/>
                <w:szCs w:val="20"/>
                <w:lang w:val="es-ES" w:eastAsia="en-GB"/>
              </w:rPr>
            </w:pPr>
            <w:r w:rsidRPr="00E723E1">
              <w:rPr>
                <w:rFonts w:eastAsia="Times New Roman" w:cs="Calibri"/>
                <w:b/>
                <w:bCs/>
                <w:noProof/>
                <w:sz w:val="20"/>
                <w:szCs w:val="20"/>
                <w:lang w:val="es-ES" w:eastAsia="en-GB"/>
              </w:rPr>
              <w:t> </w:t>
            </w:r>
          </w:p>
        </w:tc>
        <w:tc>
          <w:tcPr>
            <w:tcW w:w="1417" w:type="dxa"/>
            <w:tcBorders>
              <w:top w:val="single" w:sz="4" w:space="0" w:color="auto"/>
              <w:left w:val="nil"/>
              <w:bottom w:val="single" w:sz="4" w:space="0" w:color="auto"/>
              <w:right w:val="nil"/>
            </w:tcBorders>
            <w:shd w:val="clear" w:color="000000" w:fill="D6E3BC"/>
            <w:noWrap/>
            <w:vAlign w:val="center"/>
            <w:hideMark/>
          </w:tcPr>
          <w:p w14:paraId="47DA595E" w14:textId="77777777" w:rsidR="00F270A8" w:rsidRPr="00E723E1" w:rsidRDefault="00F270A8" w:rsidP="00F270A8">
            <w:pPr>
              <w:ind w:left="0" w:firstLine="0"/>
              <w:jc w:val="right"/>
              <w:rPr>
                <w:rFonts w:eastAsia="Times New Roman" w:cs="Calibri"/>
                <w:b/>
                <w:bCs/>
                <w:noProof/>
                <w:sz w:val="20"/>
                <w:szCs w:val="20"/>
                <w:lang w:val="es-ES" w:eastAsia="en-GB"/>
              </w:rPr>
            </w:pPr>
            <w:r w:rsidRPr="00E723E1">
              <w:rPr>
                <w:rFonts w:eastAsia="Times New Roman" w:cs="Calibri"/>
                <w:b/>
                <w:bCs/>
                <w:noProof/>
                <w:sz w:val="20"/>
                <w:szCs w:val="20"/>
                <w:lang w:val="es-ES" w:eastAsia="en-GB"/>
              </w:rPr>
              <w:t> </w:t>
            </w:r>
          </w:p>
        </w:tc>
        <w:tc>
          <w:tcPr>
            <w:tcW w:w="1276" w:type="dxa"/>
            <w:tcBorders>
              <w:top w:val="single" w:sz="4" w:space="0" w:color="auto"/>
              <w:left w:val="nil"/>
              <w:bottom w:val="single" w:sz="4" w:space="0" w:color="auto"/>
              <w:right w:val="nil"/>
            </w:tcBorders>
            <w:shd w:val="clear" w:color="000000" w:fill="D6E3BC"/>
            <w:noWrap/>
            <w:vAlign w:val="center"/>
            <w:hideMark/>
          </w:tcPr>
          <w:p w14:paraId="1EA33B66" w14:textId="77777777" w:rsidR="00F270A8" w:rsidRPr="00E723E1" w:rsidRDefault="00F270A8" w:rsidP="00F270A8">
            <w:pPr>
              <w:ind w:left="0" w:firstLine="0"/>
              <w:jc w:val="right"/>
              <w:rPr>
                <w:rFonts w:eastAsia="Times New Roman" w:cs="Calibri"/>
                <w:b/>
                <w:bCs/>
                <w:noProof/>
                <w:sz w:val="20"/>
                <w:szCs w:val="20"/>
                <w:lang w:val="es-ES" w:eastAsia="en-GB"/>
              </w:rPr>
            </w:pPr>
            <w:r w:rsidRPr="00E723E1">
              <w:rPr>
                <w:rFonts w:eastAsia="Times New Roman" w:cs="Calibri"/>
                <w:b/>
                <w:bCs/>
                <w:noProof/>
                <w:sz w:val="20"/>
                <w:szCs w:val="20"/>
                <w:lang w:val="es-ES" w:eastAsia="en-GB"/>
              </w:rPr>
              <w:t> </w:t>
            </w:r>
          </w:p>
        </w:tc>
        <w:tc>
          <w:tcPr>
            <w:tcW w:w="1276" w:type="dxa"/>
            <w:tcBorders>
              <w:top w:val="single" w:sz="4" w:space="0" w:color="auto"/>
              <w:left w:val="single" w:sz="4" w:space="0" w:color="auto"/>
              <w:bottom w:val="single" w:sz="4" w:space="0" w:color="auto"/>
              <w:right w:val="single" w:sz="4" w:space="0" w:color="auto"/>
            </w:tcBorders>
            <w:shd w:val="clear" w:color="000000" w:fill="D6E3BC"/>
            <w:noWrap/>
            <w:vAlign w:val="center"/>
            <w:hideMark/>
          </w:tcPr>
          <w:p w14:paraId="772A8022" w14:textId="77777777" w:rsidR="00F270A8" w:rsidRPr="00E723E1" w:rsidRDefault="00F270A8" w:rsidP="00F270A8">
            <w:pPr>
              <w:ind w:left="0" w:firstLine="0"/>
              <w:jc w:val="right"/>
              <w:rPr>
                <w:rFonts w:eastAsia="Times New Roman" w:cs="Calibri"/>
                <w:b/>
                <w:bCs/>
                <w:noProof/>
                <w:sz w:val="20"/>
                <w:szCs w:val="20"/>
                <w:lang w:val="es-ES" w:eastAsia="en-GB"/>
              </w:rPr>
            </w:pPr>
            <w:r w:rsidRPr="00E723E1">
              <w:rPr>
                <w:rFonts w:eastAsia="Times New Roman" w:cs="Calibri"/>
                <w:b/>
                <w:bCs/>
                <w:noProof/>
                <w:sz w:val="20"/>
                <w:szCs w:val="20"/>
                <w:lang w:val="es-ES" w:eastAsia="en-GB"/>
              </w:rPr>
              <w:t>420</w:t>
            </w:r>
          </w:p>
        </w:tc>
        <w:tc>
          <w:tcPr>
            <w:tcW w:w="1417" w:type="dxa"/>
            <w:tcBorders>
              <w:top w:val="single" w:sz="4" w:space="0" w:color="auto"/>
              <w:left w:val="nil"/>
              <w:bottom w:val="single" w:sz="4" w:space="0" w:color="auto"/>
              <w:right w:val="single" w:sz="4" w:space="0" w:color="auto"/>
            </w:tcBorders>
            <w:shd w:val="clear" w:color="000000" w:fill="D6E3BC"/>
            <w:noWrap/>
            <w:vAlign w:val="center"/>
            <w:hideMark/>
          </w:tcPr>
          <w:p w14:paraId="34828E84" w14:textId="77777777" w:rsidR="00F270A8" w:rsidRPr="00E723E1" w:rsidRDefault="00F270A8" w:rsidP="00F270A8">
            <w:pPr>
              <w:ind w:left="0" w:firstLine="0"/>
              <w:jc w:val="right"/>
              <w:rPr>
                <w:rFonts w:eastAsia="Times New Roman" w:cs="Calibri"/>
                <w:b/>
                <w:bCs/>
                <w:noProof/>
                <w:sz w:val="20"/>
                <w:szCs w:val="20"/>
                <w:lang w:val="es-ES" w:eastAsia="en-GB"/>
              </w:rPr>
            </w:pPr>
            <w:r w:rsidRPr="00E723E1">
              <w:rPr>
                <w:rFonts w:eastAsia="Times New Roman" w:cs="Calibri"/>
                <w:b/>
                <w:bCs/>
                <w:noProof/>
                <w:sz w:val="20"/>
                <w:szCs w:val="20"/>
                <w:lang w:val="es-ES" w:eastAsia="en-GB"/>
              </w:rPr>
              <w:t> </w:t>
            </w:r>
          </w:p>
        </w:tc>
        <w:tc>
          <w:tcPr>
            <w:tcW w:w="1276" w:type="dxa"/>
            <w:tcBorders>
              <w:top w:val="single" w:sz="4" w:space="0" w:color="auto"/>
              <w:left w:val="nil"/>
              <w:bottom w:val="single" w:sz="4" w:space="0" w:color="auto"/>
              <w:right w:val="single" w:sz="4" w:space="0" w:color="auto"/>
            </w:tcBorders>
            <w:shd w:val="clear" w:color="000000" w:fill="D6E3BC"/>
            <w:noWrap/>
            <w:vAlign w:val="center"/>
            <w:hideMark/>
          </w:tcPr>
          <w:p w14:paraId="0FA222AA" w14:textId="4B02468D" w:rsidR="00F270A8" w:rsidRPr="00E723E1" w:rsidRDefault="00F270A8" w:rsidP="00F270A8">
            <w:pPr>
              <w:ind w:left="0" w:firstLine="0"/>
              <w:jc w:val="right"/>
              <w:rPr>
                <w:rFonts w:eastAsia="Times New Roman" w:cs="Calibri"/>
                <w:b/>
                <w:bCs/>
                <w:noProof/>
                <w:sz w:val="20"/>
                <w:szCs w:val="20"/>
                <w:lang w:val="es-ES" w:eastAsia="en-GB"/>
              </w:rPr>
            </w:pPr>
            <w:r w:rsidRPr="00E723E1">
              <w:rPr>
                <w:rFonts w:eastAsia="Times New Roman" w:cs="Calibri"/>
                <w:b/>
                <w:bCs/>
                <w:noProof/>
                <w:sz w:val="20"/>
                <w:szCs w:val="20"/>
                <w:lang w:val="es-ES" w:eastAsia="en-GB"/>
              </w:rPr>
              <w:t>2</w:t>
            </w:r>
            <w:r w:rsidR="00922AC8">
              <w:rPr>
                <w:rFonts w:eastAsia="Times New Roman" w:cs="Calibri"/>
                <w:b/>
                <w:bCs/>
                <w:noProof/>
                <w:sz w:val="20"/>
                <w:szCs w:val="20"/>
                <w:lang w:val="es-ES" w:eastAsia="en-GB"/>
              </w:rPr>
              <w:t xml:space="preserve"> </w:t>
            </w:r>
            <w:r w:rsidRPr="00E723E1">
              <w:rPr>
                <w:rFonts w:eastAsia="Times New Roman" w:cs="Calibri"/>
                <w:b/>
                <w:bCs/>
                <w:noProof/>
                <w:sz w:val="20"/>
                <w:szCs w:val="20"/>
                <w:lang w:val="es-ES" w:eastAsia="en-GB"/>
              </w:rPr>
              <w:t>798</w:t>
            </w:r>
          </w:p>
        </w:tc>
      </w:tr>
      <w:tr w:rsidR="00F270A8" w:rsidRPr="00E723E1" w14:paraId="0C6355FC" w14:textId="77777777" w:rsidTr="00CB5635">
        <w:trPr>
          <w:trHeight w:val="255"/>
        </w:trPr>
        <w:tc>
          <w:tcPr>
            <w:tcW w:w="3258" w:type="dxa"/>
            <w:tcBorders>
              <w:top w:val="single" w:sz="4" w:space="0" w:color="auto"/>
              <w:left w:val="nil"/>
              <w:bottom w:val="nil"/>
              <w:right w:val="nil"/>
            </w:tcBorders>
            <w:shd w:val="clear" w:color="auto" w:fill="auto"/>
            <w:noWrap/>
            <w:vAlign w:val="center"/>
            <w:hideMark/>
          </w:tcPr>
          <w:p w14:paraId="0C717012" w14:textId="3ECD763B" w:rsidR="00F270A8" w:rsidRPr="00CB5635" w:rsidRDefault="00F270A8" w:rsidP="00F270A8">
            <w:pPr>
              <w:ind w:left="0" w:firstLine="0"/>
              <w:rPr>
                <w:rFonts w:eastAsia="Times New Roman" w:cs="Calibri"/>
                <w:noProof/>
                <w:sz w:val="20"/>
                <w:szCs w:val="20"/>
                <w:lang w:val="es-ES" w:eastAsia="en-GB"/>
              </w:rPr>
            </w:pPr>
            <w:r w:rsidRPr="00CB5635">
              <w:rPr>
                <w:rFonts w:eastAsia="Times New Roman" w:cs="Calibri"/>
                <w:noProof/>
                <w:sz w:val="20"/>
                <w:szCs w:val="20"/>
                <w:lang w:val="es-ES" w:eastAsia="en-GB"/>
              </w:rPr>
              <w:t>Not</w:t>
            </w:r>
            <w:r w:rsidR="00E723E1" w:rsidRPr="00CB5635">
              <w:rPr>
                <w:rFonts w:eastAsia="Times New Roman" w:cs="Calibri"/>
                <w:noProof/>
                <w:sz w:val="20"/>
                <w:szCs w:val="20"/>
                <w:lang w:val="es-ES" w:eastAsia="en-GB"/>
              </w:rPr>
              <w:t>a</w:t>
            </w:r>
            <w:r w:rsidRPr="00CB5635">
              <w:rPr>
                <w:rFonts w:eastAsia="Times New Roman" w:cs="Calibri"/>
                <w:noProof/>
                <w:sz w:val="20"/>
                <w:szCs w:val="20"/>
                <w:lang w:val="es-ES" w:eastAsia="en-GB"/>
              </w:rPr>
              <w:t xml:space="preserve">s: </w:t>
            </w:r>
          </w:p>
        </w:tc>
        <w:tc>
          <w:tcPr>
            <w:tcW w:w="1417" w:type="dxa"/>
            <w:tcBorders>
              <w:top w:val="single" w:sz="4" w:space="0" w:color="auto"/>
              <w:left w:val="nil"/>
              <w:bottom w:val="nil"/>
              <w:right w:val="nil"/>
            </w:tcBorders>
            <w:shd w:val="clear" w:color="auto" w:fill="auto"/>
            <w:noWrap/>
            <w:vAlign w:val="bottom"/>
            <w:hideMark/>
          </w:tcPr>
          <w:p w14:paraId="76E51A22" w14:textId="77777777" w:rsidR="00F270A8" w:rsidRPr="00E723E1" w:rsidRDefault="00F270A8" w:rsidP="00F270A8">
            <w:pPr>
              <w:ind w:left="0" w:firstLine="0"/>
              <w:rPr>
                <w:rFonts w:eastAsia="Times New Roman" w:cs="Calibri"/>
                <w:noProof/>
                <w:color w:val="000000"/>
                <w:sz w:val="20"/>
                <w:szCs w:val="20"/>
                <w:lang w:val="es-ES" w:eastAsia="en-GB"/>
              </w:rPr>
            </w:pPr>
          </w:p>
        </w:tc>
        <w:tc>
          <w:tcPr>
            <w:tcW w:w="1276" w:type="dxa"/>
            <w:tcBorders>
              <w:top w:val="single" w:sz="4" w:space="0" w:color="auto"/>
              <w:left w:val="nil"/>
              <w:bottom w:val="nil"/>
              <w:right w:val="nil"/>
            </w:tcBorders>
            <w:shd w:val="clear" w:color="auto" w:fill="auto"/>
            <w:noWrap/>
            <w:vAlign w:val="bottom"/>
            <w:hideMark/>
          </w:tcPr>
          <w:p w14:paraId="4E288203" w14:textId="77777777" w:rsidR="00F270A8" w:rsidRPr="00E723E1" w:rsidRDefault="00F270A8" w:rsidP="00F270A8">
            <w:pPr>
              <w:ind w:left="0" w:firstLine="0"/>
              <w:rPr>
                <w:rFonts w:ascii="Times New Roman" w:eastAsia="Times New Roman" w:hAnsi="Times New Roman"/>
                <w:noProof/>
                <w:sz w:val="20"/>
                <w:szCs w:val="20"/>
                <w:lang w:val="es-ES" w:eastAsia="en-GB"/>
              </w:rPr>
            </w:pPr>
          </w:p>
        </w:tc>
        <w:tc>
          <w:tcPr>
            <w:tcW w:w="1134" w:type="dxa"/>
            <w:tcBorders>
              <w:top w:val="single" w:sz="4" w:space="0" w:color="auto"/>
              <w:left w:val="nil"/>
              <w:bottom w:val="nil"/>
              <w:right w:val="nil"/>
            </w:tcBorders>
            <w:shd w:val="clear" w:color="auto" w:fill="auto"/>
            <w:noWrap/>
            <w:vAlign w:val="bottom"/>
            <w:hideMark/>
          </w:tcPr>
          <w:p w14:paraId="03108A14" w14:textId="77777777" w:rsidR="00F270A8" w:rsidRPr="00E723E1" w:rsidRDefault="00F270A8" w:rsidP="00F270A8">
            <w:pPr>
              <w:ind w:left="0" w:firstLine="0"/>
              <w:rPr>
                <w:rFonts w:ascii="Times New Roman" w:eastAsia="Times New Roman" w:hAnsi="Times New Roman"/>
                <w:noProof/>
                <w:sz w:val="20"/>
                <w:szCs w:val="20"/>
                <w:lang w:val="es-ES" w:eastAsia="en-GB"/>
              </w:rPr>
            </w:pPr>
          </w:p>
        </w:tc>
        <w:tc>
          <w:tcPr>
            <w:tcW w:w="1276" w:type="dxa"/>
            <w:tcBorders>
              <w:top w:val="single" w:sz="4" w:space="0" w:color="auto"/>
              <w:left w:val="nil"/>
              <w:bottom w:val="nil"/>
              <w:right w:val="nil"/>
            </w:tcBorders>
            <w:shd w:val="clear" w:color="auto" w:fill="auto"/>
            <w:noWrap/>
            <w:vAlign w:val="bottom"/>
            <w:hideMark/>
          </w:tcPr>
          <w:p w14:paraId="2C8DE4B4" w14:textId="77777777" w:rsidR="00F270A8" w:rsidRPr="00E723E1" w:rsidRDefault="00F270A8" w:rsidP="00F270A8">
            <w:pPr>
              <w:ind w:left="0" w:firstLine="0"/>
              <w:rPr>
                <w:rFonts w:ascii="Times New Roman" w:eastAsia="Times New Roman" w:hAnsi="Times New Roman"/>
                <w:noProof/>
                <w:sz w:val="20"/>
                <w:szCs w:val="20"/>
                <w:lang w:val="es-ES" w:eastAsia="en-GB"/>
              </w:rPr>
            </w:pPr>
          </w:p>
        </w:tc>
        <w:tc>
          <w:tcPr>
            <w:tcW w:w="1417" w:type="dxa"/>
            <w:tcBorders>
              <w:top w:val="single" w:sz="4" w:space="0" w:color="auto"/>
              <w:left w:val="nil"/>
              <w:bottom w:val="nil"/>
              <w:right w:val="nil"/>
            </w:tcBorders>
            <w:shd w:val="clear" w:color="auto" w:fill="auto"/>
            <w:noWrap/>
            <w:vAlign w:val="bottom"/>
            <w:hideMark/>
          </w:tcPr>
          <w:p w14:paraId="5A8B9326" w14:textId="77777777" w:rsidR="00F270A8" w:rsidRPr="00E723E1" w:rsidRDefault="00F270A8" w:rsidP="00F270A8">
            <w:pPr>
              <w:ind w:left="0" w:firstLine="0"/>
              <w:rPr>
                <w:rFonts w:ascii="Times New Roman" w:eastAsia="Times New Roman" w:hAnsi="Times New Roman"/>
                <w:noProof/>
                <w:sz w:val="20"/>
                <w:szCs w:val="20"/>
                <w:lang w:val="es-ES" w:eastAsia="en-GB"/>
              </w:rPr>
            </w:pPr>
          </w:p>
        </w:tc>
        <w:tc>
          <w:tcPr>
            <w:tcW w:w="1276" w:type="dxa"/>
            <w:tcBorders>
              <w:top w:val="single" w:sz="4" w:space="0" w:color="auto"/>
              <w:left w:val="nil"/>
              <w:bottom w:val="nil"/>
              <w:right w:val="nil"/>
            </w:tcBorders>
            <w:shd w:val="clear" w:color="auto" w:fill="auto"/>
            <w:noWrap/>
            <w:vAlign w:val="bottom"/>
            <w:hideMark/>
          </w:tcPr>
          <w:p w14:paraId="37990DC5" w14:textId="77777777" w:rsidR="00F270A8" w:rsidRPr="00E723E1" w:rsidRDefault="00F270A8" w:rsidP="00F270A8">
            <w:pPr>
              <w:ind w:left="0" w:firstLine="0"/>
              <w:rPr>
                <w:rFonts w:ascii="Times New Roman" w:eastAsia="Times New Roman" w:hAnsi="Times New Roman"/>
                <w:noProof/>
                <w:sz w:val="20"/>
                <w:szCs w:val="20"/>
                <w:lang w:val="es-ES" w:eastAsia="en-GB"/>
              </w:rPr>
            </w:pPr>
          </w:p>
        </w:tc>
        <w:tc>
          <w:tcPr>
            <w:tcW w:w="1276" w:type="dxa"/>
            <w:tcBorders>
              <w:top w:val="single" w:sz="4" w:space="0" w:color="auto"/>
              <w:left w:val="nil"/>
              <w:bottom w:val="nil"/>
              <w:right w:val="nil"/>
            </w:tcBorders>
            <w:shd w:val="clear" w:color="auto" w:fill="auto"/>
            <w:noWrap/>
            <w:vAlign w:val="bottom"/>
            <w:hideMark/>
          </w:tcPr>
          <w:p w14:paraId="05B206CD" w14:textId="77777777" w:rsidR="00F270A8" w:rsidRPr="00E723E1" w:rsidRDefault="00F270A8" w:rsidP="00F270A8">
            <w:pPr>
              <w:ind w:left="0" w:firstLine="0"/>
              <w:rPr>
                <w:rFonts w:ascii="Times New Roman" w:eastAsia="Times New Roman" w:hAnsi="Times New Roman"/>
                <w:noProof/>
                <w:sz w:val="20"/>
                <w:szCs w:val="20"/>
                <w:lang w:val="es-ES" w:eastAsia="en-GB"/>
              </w:rPr>
            </w:pPr>
          </w:p>
        </w:tc>
        <w:tc>
          <w:tcPr>
            <w:tcW w:w="1417" w:type="dxa"/>
            <w:tcBorders>
              <w:top w:val="single" w:sz="4" w:space="0" w:color="auto"/>
              <w:left w:val="nil"/>
              <w:bottom w:val="nil"/>
              <w:right w:val="nil"/>
            </w:tcBorders>
            <w:shd w:val="clear" w:color="auto" w:fill="auto"/>
            <w:noWrap/>
            <w:vAlign w:val="bottom"/>
            <w:hideMark/>
          </w:tcPr>
          <w:p w14:paraId="19BB9DD9" w14:textId="77777777" w:rsidR="00F270A8" w:rsidRPr="00E723E1" w:rsidRDefault="00F270A8" w:rsidP="00F270A8">
            <w:pPr>
              <w:ind w:left="0" w:firstLine="0"/>
              <w:rPr>
                <w:rFonts w:ascii="Times New Roman" w:eastAsia="Times New Roman" w:hAnsi="Times New Roman"/>
                <w:noProof/>
                <w:sz w:val="20"/>
                <w:szCs w:val="20"/>
                <w:lang w:val="es-ES" w:eastAsia="en-GB"/>
              </w:rPr>
            </w:pPr>
          </w:p>
        </w:tc>
        <w:tc>
          <w:tcPr>
            <w:tcW w:w="1276" w:type="dxa"/>
            <w:tcBorders>
              <w:top w:val="single" w:sz="4" w:space="0" w:color="auto"/>
              <w:left w:val="nil"/>
              <w:bottom w:val="nil"/>
              <w:right w:val="nil"/>
            </w:tcBorders>
            <w:shd w:val="clear" w:color="auto" w:fill="auto"/>
            <w:noWrap/>
            <w:vAlign w:val="bottom"/>
            <w:hideMark/>
          </w:tcPr>
          <w:p w14:paraId="4DA34A39" w14:textId="77777777" w:rsidR="00F270A8" w:rsidRPr="00E723E1" w:rsidRDefault="00F270A8" w:rsidP="00F270A8">
            <w:pPr>
              <w:ind w:left="0" w:firstLine="0"/>
              <w:rPr>
                <w:rFonts w:ascii="Times New Roman" w:eastAsia="Times New Roman" w:hAnsi="Times New Roman"/>
                <w:noProof/>
                <w:sz w:val="20"/>
                <w:szCs w:val="20"/>
                <w:lang w:val="es-ES" w:eastAsia="en-GB"/>
              </w:rPr>
            </w:pPr>
          </w:p>
        </w:tc>
      </w:tr>
      <w:tr w:rsidR="009A2FB6" w:rsidRPr="001441B9" w14:paraId="18BE5B22" w14:textId="77777777" w:rsidTr="00CB5635">
        <w:trPr>
          <w:trHeight w:val="255"/>
        </w:trPr>
        <w:tc>
          <w:tcPr>
            <w:tcW w:w="15023" w:type="dxa"/>
            <w:gridSpan w:val="10"/>
            <w:tcBorders>
              <w:top w:val="nil"/>
              <w:left w:val="nil"/>
              <w:bottom w:val="nil"/>
              <w:right w:val="nil"/>
            </w:tcBorders>
            <w:shd w:val="clear" w:color="auto" w:fill="auto"/>
            <w:noWrap/>
            <w:vAlign w:val="center"/>
            <w:hideMark/>
          </w:tcPr>
          <w:p w14:paraId="5F92AB31" w14:textId="68BA593E" w:rsidR="009A2FB6" w:rsidRPr="00CB5635" w:rsidRDefault="00E95D43" w:rsidP="00CB5635">
            <w:pPr>
              <w:ind w:left="0" w:firstLine="0"/>
              <w:rPr>
                <w:rFonts w:ascii="Times New Roman" w:eastAsia="Times New Roman" w:hAnsi="Times New Roman"/>
                <w:noProof/>
                <w:sz w:val="20"/>
                <w:szCs w:val="20"/>
                <w:lang w:val="es-ES" w:eastAsia="en-GB"/>
              </w:rPr>
            </w:pPr>
            <w:r w:rsidRPr="00CB5635">
              <w:rPr>
                <w:rFonts w:eastAsia="Times New Roman" w:cs="Calibri"/>
                <w:noProof/>
                <w:sz w:val="20"/>
                <w:szCs w:val="20"/>
                <w:lang w:val="es-ES" w:eastAsia="en-GB"/>
              </w:rPr>
              <w:t>1)</w:t>
            </w:r>
            <w:r w:rsidR="00CB5635">
              <w:rPr>
                <w:rFonts w:ascii="Times New Roman" w:eastAsia="Times New Roman" w:hAnsi="Times New Roman"/>
                <w:noProof/>
                <w:sz w:val="14"/>
                <w:szCs w:val="14"/>
                <w:lang w:val="es-ES" w:eastAsia="en-GB"/>
              </w:rPr>
              <w:t xml:space="preserve">  </w:t>
            </w:r>
            <w:r w:rsidR="00E723E1" w:rsidRPr="00CB5635">
              <w:rPr>
                <w:rFonts w:eastAsia="Times New Roman" w:cs="Calibri"/>
                <w:noProof/>
                <w:sz w:val="20"/>
                <w:szCs w:val="20"/>
                <w:lang w:val="es-ES" w:eastAsia="en-GB"/>
              </w:rPr>
              <w:t xml:space="preserve">Véase el Cuadro 1 para obtener detalles </w:t>
            </w:r>
            <w:r w:rsidR="00B07108" w:rsidRPr="00CB5635">
              <w:rPr>
                <w:rFonts w:eastAsia="Times New Roman" w:cs="Calibri"/>
                <w:noProof/>
                <w:sz w:val="20"/>
                <w:szCs w:val="20"/>
                <w:lang w:val="es-ES" w:eastAsia="en-GB"/>
              </w:rPr>
              <w:t>sobre</w:t>
            </w:r>
            <w:r w:rsidR="00E723E1" w:rsidRPr="00CB5635">
              <w:rPr>
                <w:rFonts w:eastAsia="Times New Roman" w:cs="Calibri"/>
                <w:noProof/>
                <w:sz w:val="20"/>
                <w:szCs w:val="20"/>
                <w:lang w:val="es-ES" w:eastAsia="en-GB"/>
              </w:rPr>
              <w:t xml:space="preserve"> las </w:t>
            </w:r>
            <w:r w:rsidR="00B07108" w:rsidRPr="00CB5635">
              <w:rPr>
                <w:rFonts w:eastAsia="Times New Roman" w:cs="Calibri"/>
                <w:noProof/>
                <w:sz w:val="20"/>
                <w:szCs w:val="20"/>
                <w:lang w:val="es-ES" w:eastAsia="en-GB"/>
              </w:rPr>
              <w:t>sumas</w:t>
            </w:r>
            <w:r w:rsidR="00E723E1" w:rsidRPr="00CB5635">
              <w:rPr>
                <w:rFonts w:eastAsia="Times New Roman" w:cs="Calibri"/>
                <w:noProof/>
                <w:sz w:val="20"/>
                <w:szCs w:val="20"/>
                <w:lang w:val="es-ES" w:eastAsia="en-GB"/>
              </w:rPr>
              <w:t xml:space="preserve"> previamente comprometidas para</w:t>
            </w:r>
            <w:r w:rsidRPr="00CB5635">
              <w:rPr>
                <w:rFonts w:eastAsia="Times New Roman" w:cs="Calibri"/>
                <w:noProof/>
                <w:sz w:val="20"/>
                <w:szCs w:val="20"/>
                <w:lang w:val="es-ES" w:eastAsia="en-GB"/>
              </w:rPr>
              <w:t xml:space="preserve"> 2021 </w:t>
            </w:r>
            <w:r w:rsidR="00E723E1" w:rsidRPr="00CB5635">
              <w:rPr>
                <w:rFonts w:eastAsia="Times New Roman" w:cs="Calibri"/>
                <w:noProof/>
                <w:sz w:val="20"/>
                <w:szCs w:val="20"/>
                <w:lang w:val="es-ES" w:eastAsia="en-GB"/>
              </w:rPr>
              <w:t>a gastar en</w:t>
            </w:r>
            <w:r w:rsidRPr="00CB5635">
              <w:rPr>
                <w:rFonts w:eastAsia="Times New Roman" w:cs="Calibri"/>
                <w:noProof/>
                <w:sz w:val="20"/>
                <w:szCs w:val="20"/>
                <w:lang w:val="es-ES" w:eastAsia="en-GB"/>
              </w:rPr>
              <w:t xml:space="preserve"> 2022</w:t>
            </w:r>
          </w:p>
        </w:tc>
      </w:tr>
      <w:tr w:rsidR="009A2FB6" w:rsidRPr="001441B9" w14:paraId="5BCDBEAE" w14:textId="77777777" w:rsidTr="00CB5635">
        <w:trPr>
          <w:trHeight w:val="255"/>
        </w:trPr>
        <w:tc>
          <w:tcPr>
            <w:tcW w:w="15023" w:type="dxa"/>
            <w:gridSpan w:val="10"/>
            <w:tcBorders>
              <w:top w:val="nil"/>
              <w:left w:val="nil"/>
              <w:bottom w:val="nil"/>
              <w:right w:val="nil"/>
            </w:tcBorders>
            <w:shd w:val="clear" w:color="auto" w:fill="auto"/>
            <w:noWrap/>
            <w:vAlign w:val="center"/>
            <w:hideMark/>
          </w:tcPr>
          <w:p w14:paraId="4CE3D777" w14:textId="20DFE684" w:rsidR="009A2FB6" w:rsidRPr="00CB5635" w:rsidRDefault="00E95D43" w:rsidP="00CB5635">
            <w:pPr>
              <w:ind w:left="0" w:firstLine="0"/>
              <w:rPr>
                <w:rFonts w:ascii="Times New Roman" w:eastAsia="Times New Roman" w:hAnsi="Times New Roman"/>
                <w:noProof/>
                <w:sz w:val="20"/>
                <w:szCs w:val="20"/>
                <w:lang w:val="es-ES" w:eastAsia="en-GB"/>
              </w:rPr>
            </w:pPr>
            <w:r w:rsidRPr="00CB5635">
              <w:rPr>
                <w:rFonts w:eastAsia="Times New Roman" w:cs="Calibri"/>
                <w:noProof/>
                <w:sz w:val="20"/>
                <w:szCs w:val="20"/>
                <w:lang w:val="es-ES" w:eastAsia="en-GB"/>
              </w:rPr>
              <w:t>2)</w:t>
            </w:r>
            <w:r w:rsidR="00CB5635">
              <w:rPr>
                <w:rFonts w:eastAsia="Times New Roman" w:cs="Calibri"/>
                <w:noProof/>
                <w:sz w:val="14"/>
                <w:szCs w:val="14"/>
                <w:lang w:val="es-ES" w:eastAsia="en-GB"/>
              </w:rPr>
              <w:t xml:space="preserve">  </w:t>
            </w:r>
            <w:r w:rsidRPr="00CB5635">
              <w:rPr>
                <w:rFonts w:eastAsia="Times New Roman" w:cs="Calibri"/>
                <w:noProof/>
                <w:sz w:val="20"/>
                <w:szCs w:val="20"/>
                <w:lang w:val="es-ES" w:eastAsia="en-GB"/>
              </w:rPr>
              <w:t>Ap</w:t>
            </w:r>
            <w:r w:rsidR="00E723E1" w:rsidRPr="00CB5635">
              <w:rPr>
                <w:rFonts w:eastAsia="Times New Roman" w:cs="Calibri"/>
                <w:noProof/>
                <w:sz w:val="20"/>
                <w:szCs w:val="20"/>
                <w:lang w:val="es-ES" w:eastAsia="en-GB"/>
              </w:rPr>
              <w:t>robado mediante decisiones de la reunión SC59</w:t>
            </w:r>
          </w:p>
        </w:tc>
      </w:tr>
    </w:tbl>
    <w:p w14:paraId="7F18F9DD" w14:textId="77777777" w:rsidR="00F270A8" w:rsidRPr="00E723E1" w:rsidRDefault="00F270A8" w:rsidP="007114B2">
      <w:pPr>
        <w:ind w:left="0" w:firstLine="0"/>
        <w:rPr>
          <w:rFonts w:eastAsia="Times New Roman" w:cs="Calibri"/>
          <w:noProof/>
          <w:color w:val="000000"/>
          <w:sz w:val="20"/>
          <w:szCs w:val="20"/>
          <w:lang w:val="es-ES" w:eastAsia="en-GB"/>
        </w:rPr>
      </w:pPr>
    </w:p>
    <w:p w14:paraId="5712CFA6" w14:textId="63F38AC8" w:rsidR="007A4B88" w:rsidRPr="00E723E1" w:rsidRDefault="007A4B88" w:rsidP="007A4B88">
      <w:pPr>
        <w:ind w:left="426" w:hanging="426"/>
        <w:rPr>
          <w:rFonts w:eastAsia="Times New Roman" w:cs="Calibri"/>
          <w:noProof/>
          <w:color w:val="000000"/>
          <w:sz w:val="20"/>
          <w:szCs w:val="20"/>
          <w:lang w:val="es-ES" w:eastAsia="en-GB"/>
        </w:rPr>
      </w:pPr>
      <w:r w:rsidRPr="00E723E1">
        <w:rPr>
          <w:rFonts w:eastAsia="Times New Roman" w:cs="Calibri"/>
          <w:noProof/>
          <w:color w:val="000000"/>
          <w:sz w:val="20"/>
          <w:szCs w:val="20"/>
          <w:lang w:val="es-ES" w:eastAsia="en-GB"/>
        </w:rPr>
        <w:br w:type="page"/>
      </w:r>
    </w:p>
    <w:p w14:paraId="07B506A0" w14:textId="77777777" w:rsidR="00C26079" w:rsidRPr="00E723E1" w:rsidRDefault="00C26079" w:rsidP="007A4B88">
      <w:pPr>
        <w:ind w:left="426" w:hanging="426"/>
        <w:rPr>
          <w:rFonts w:eastAsia="Times New Roman" w:cs="Calibri"/>
          <w:noProof/>
          <w:color w:val="000000"/>
          <w:sz w:val="20"/>
          <w:szCs w:val="20"/>
          <w:lang w:val="es-ES" w:eastAsia="en-GB"/>
        </w:rPr>
        <w:sectPr w:rsidR="00C26079" w:rsidRPr="00E723E1" w:rsidSect="00800F14">
          <w:footerReference w:type="default" r:id="rId12"/>
          <w:pgSz w:w="16838" w:h="11906" w:orient="landscape" w:code="9"/>
          <w:pgMar w:top="1440" w:right="1440" w:bottom="1440" w:left="1440" w:header="709" w:footer="709" w:gutter="0"/>
          <w:cols w:space="708"/>
          <w:docGrid w:linePitch="360"/>
        </w:sectPr>
      </w:pPr>
    </w:p>
    <w:p w14:paraId="46CBCA24" w14:textId="0ECDB6D8" w:rsidR="00BA0F3C" w:rsidRPr="002C44DE" w:rsidRDefault="00765AD3" w:rsidP="007114B2">
      <w:pPr>
        <w:ind w:left="0" w:firstLine="0"/>
        <w:rPr>
          <w:rFonts w:asciiTheme="minorHAnsi" w:eastAsia="Times New Roman" w:hAnsiTheme="minorHAnsi" w:cs="Arial"/>
          <w:b/>
          <w:bCs/>
          <w:noProof/>
          <w:sz w:val="24"/>
          <w:szCs w:val="24"/>
          <w:lang w:val="es-ES" w:eastAsia="en-GB"/>
        </w:rPr>
      </w:pPr>
      <w:r w:rsidRPr="002C44DE">
        <w:rPr>
          <w:rFonts w:asciiTheme="minorHAnsi" w:eastAsia="Times New Roman" w:hAnsiTheme="minorHAnsi" w:cs="Arial"/>
          <w:b/>
          <w:bCs/>
          <w:noProof/>
          <w:sz w:val="24"/>
          <w:szCs w:val="24"/>
          <w:lang w:val="es-ES" w:eastAsia="en-GB"/>
        </w:rPr>
        <w:lastRenderedPageBreak/>
        <w:t>Anexo</w:t>
      </w:r>
      <w:r w:rsidR="001458BE" w:rsidRPr="002C44DE">
        <w:rPr>
          <w:rFonts w:asciiTheme="minorHAnsi" w:eastAsia="Times New Roman" w:hAnsiTheme="minorHAnsi" w:cs="Arial"/>
          <w:b/>
          <w:bCs/>
          <w:noProof/>
          <w:sz w:val="24"/>
          <w:szCs w:val="24"/>
          <w:lang w:val="es-ES" w:eastAsia="en-GB"/>
        </w:rPr>
        <w:t xml:space="preserve"> 3</w:t>
      </w:r>
    </w:p>
    <w:p w14:paraId="1316B2C1" w14:textId="11DD01E4" w:rsidR="00330040" w:rsidRPr="00F17207" w:rsidRDefault="00765AD3" w:rsidP="007114B2">
      <w:pPr>
        <w:ind w:left="0" w:firstLine="0"/>
        <w:rPr>
          <w:rFonts w:asciiTheme="minorHAnsi" w:eastAsia="Times New Roman" w:hAnsiTheme="minorHAnsi" w:cs="Arial"/>
          <w:b/>
          <w:bCs/>
          <w:noProof/>
          <w:lang w:val="es-ES" w:eastAsia="en-GB"/>
        </w:rPr>
      </w:pPr>
      <w:r w:rsidRPr="00F17207">
        <w:rPr>
          <w:rFonts w:asciiTheme="minorHAnsi" w:eastAsia="Times New Roman" w:hAnsiTheme="minorHAnsi" w:cs="Arial"/>
          <w:b/>
          <w:bCs/>
          <w:noProof/>
          <w:lang w:val="es-ES" w:eastAsia="en-GB"/>
        </w:rPr>
        <w:t>Proyectos financiados por fondos de uso restringido para el período comprendido entre el 1 de enero de 2021 y el 31 de diciembre de</w:t>
      </w:r>
      <w:r w:rsidR="001458BE" w:rsidRPr="00F17207">
        <w:rPr>
          <w:rFonts w:asciiTheme="minorHAnsi" w:eastAsia="Times New Roman" w:hAnsiTheme="minorHAnsi" w:cs="Arial"/>
          <w:b/>
          <w:bCs/>
          <w:noProof/>
          <w:lang w:val="es-ES" w:eastAsia="en-GB"/>
        </w:rPr>
        <w:t xml:space="preserve"> </w:t>
      </w:r>
      <w:r w:rsidR="007C6B16" w:rsidRPr="00F17207">
        <w:rPr>
          <w:rFonts w:asciiTheme="minorHAnsi" w:eastAsia="Times New Roman" w:hAnsiTheme="minorHAnsi" w:cs="Arial"/>
          <w:b/>
          <w:bCs/>
          <w:noProof/>
          <w:lang w:val="es-ES" w:eastAsia="en-GB"/>
        </w:rPr>
        <w:t>2021</w:t>
      </w:r>
    </w:p>
    <w:p w14:paraId="76779FA2" w14:textId="77777777" w:rsidR="002C44DE" w:rsidRPr="00F17207" w:rsidRDefault="002C44DE" w:rsidP="002C44DE">
      <w:pPr>
        <w:ind w:left="0" w:firstLine="0"/>
        <w:rPr>
          <w:rFonts w:asciiTheme="minorHAnsi" w:eastAsia="Times New Roman" w:hAnsiTheme="minorHAnsi" w:cs="Arial"/>
          <w:bCs/>
          <w:i/>
          <w:noProof/>
          <w:sz w:val="20"/>
          <w:szCs w:val="20"/>
          <w:lang w:val="es-ES"/>
        </w:rPr>
      </w:pPr>
      <w:r w:rsidRPr="00F17207">
        <w:rPr>
          <w:rFonts w:asciiTheme="minorHAnsi" w:hAnsiTheme="minorHAnsi"/>
          <w:bCs/>
          <w:i/>
          <w:noProof/>
          <w:sz w:val="20"/>
          <w:szCs w:val="20"/>
          <w:lang w:val="es-ES"/>
        </w:rPr>
        <w:t>(en miles de francos suizos, con posibles diferencias por redondeo)</w:t>
      </w:r>
    </w:p>
    <w:p w14:paraId="3331D65D" w14:textId="6B61F79C" w:rsidR="00666EE5" w:rsidRPr="002C44DE" w:rsidRDefault="00666EE5" w:rsidP="00BC15DE">
      <w:pPr>
        <w:rPr>
          <w:rFonts w:asciiTheme="minorHAnsi" w:eastAsia="Times New Roman" w:hAnsiTheme="minorHAnsi" w:cs="Arial"/>
          <w:bCs/>
          <w:noProof/>
          <w:lang w:val="es-ES" w:eastAsia="en-GB"/>
        </w:rPr>
      </w:pPr>
    </w:p>
    <w:tbl>
      <w:tblPr>
        <w:tblW w:w="9576" w:type="dxa"/>
        <w:tblInd w:w="-30" w:type="dxa"/>
        <w:tblLayout w:type="fixed"/>
        <w:tblCellMar>
          <w:left w:w="57" w:type="dxa"/>
          <w:right w:w="57" w:type="dxa"/>
        </w:tblCellMar>
        <w:tblLook w:val="0000" w:firstRow="0" w:lastRow="0" w:firstColumn="0" w:lastColumn="0" w:noHBand="0" w:noVBand="0"/>
      </w:tblPr>
      <w:tblGrid>
        <w:gridCol w:w="1306"/>
        <w:gridCol w:w="709"/>
        <w:gridCol w:w="2375"/>
        <w:gridCol w:w="1072"/>
        <w:gridCol w:w="68"/>
        <w:gridCol w:w="1005"/>
        <w:gridCol w:w="1006"/>
        <w:gridCol w:w="7"/>
        <w:gridCol w:w="998"/>
        <w:gridCol w:w="16"/>
        <w:gridCol w:w="1014"/>
      </w:tblGrid>
      <w:tr w:rsidR="0012707B" w:rsidRPr="001441B9" w14:paraId="4786A962" w14:textId="77777777" w:rsidTr="00CB5635">
        <w:tc>
          <w:tcPr>
            <w:tcW w:w="1306" w:type="dxa"/>
            <w:tcBorders>
              <w:top w:val="single" w:sz="12" w:space="0" w:color="auto"/>
              <w:left w:val="nil"/>
              <w:bottom w:val="nil"/>
              <w:right w:val="nil"/>
            </w:tcBorders>
            <w:shd w:val="clear" w:color="auto" w:fill="D6E3BC" w:themeFill="accent3" w:themeFillTint="66"/>
            <w:vAlign w:val="center"/>
          </w:tcPr>
          <w:p w14:paraId="19F98873" w14:textId="6BE2B9BB" w:rsidR="0012707B" w:rsidRPr="002C44DE" w:rsidRDefault="00765AD3" w:rsidP="00CB5635">
            <w:pPr>
              <w:ind w:left="0" w:firstLine="0"/>
              <w:jc w:val="center"/>
              <w:rPr>
                <w:rFonts w:eastAsiaTheme="minorHAnsi" w:cs="Calibri"/>
                <w:b/>
                <w:bCs/>
                <w:noProof/>
                <w:color w:val="000000"/>
                <w:sz w:val="20"/>
                <w:szCs w:val="20"/>
                <w:lang w:val="es-ES"/>
              </w:rPr>
            </w:pPr>
            <w:r w:rsidRPr="002C44DE">
              <w:rPr>
                <w:rFonts w:eastAsiaTheme="minorHAnsi" w:cs="Calibri"/>
                <w:b/>
                <w:bCs/>
                <w:noProof/>
                <w:color w:val="000000"/>
                <w:sz w:val="20"/>
                <w:szCs w:val="20"/>
                <w:lang w:val="es-ES"/>
              </w:rPr>
              <w:t>Número de proyecto</w:t>
            </w:r>
          </w:p>
        </w:tc>
        <w:tc>
          <w:tcPr>
            <w:tcW w:w="3084" w:type="dxa"/>
            <w:gridSpan w:val="2"/>
            <w:tcBorders>
              <w:top w:val="single" w:sz="12" w:space="0" w:color="auto"/>
              <w:left w:val="nil"/>
              <w:bottom w:val="nil"/>
              <w:right w:val="nil"/>
            </w:tcBorders>
            <w:shd w:val="clear" w:color="auto" w:fill="D6E3BC" w:themeFill="accent3" w:themeFillTint="66"/>
            <w:vAlign w:val="center"/>
          </w:tcPr>
          <w:p w14:paraId="14F47561" w14:textId="740C2B5F" w:rsidR="0012707B" w:rsidRPr="002C44DE" w:rsidRDefault="00765AD3" w:rsidP="00CB5635">
            <w:pPr>
              <w:ind w:left="0" w:firstLine="0"/>
              <w:jc w:val="center"/>
              <w:rPr>
                <w:rFonts w:eastAsiaTheme="minorHAnsi" w:cs="Calibri"/>
                <w:b/>
                <w:bCs/>
                <w:noProof/>
                <w:color w:val="000000"/>
                <w:sz w:val="20"/>
                <w:szCs w:val="20"/>
                <w:lang w:val="es-ES"/>
              </w:rPr>
            </w:pPr>
            <w:r w:rsidRPr="002C44DE">
              <w:rPr>
                <w:rFonts w:eastAsiaTheme="minorHAnsi" w:cs="Calibri"/>
                <w:b/>
                <w:bCs/>
                <w:noProof/>
                <w:color w:val="000000"/>
                <w:sz w:val="20"/>
                <w:szCs w:val="20"/>
                <w:lang w:val="es-ES"/>
              </w:rPr>
              <w:t>Nombre del proyecto</w:t>
            </w:r>
          </w:p>
        </w:tc>
        <w:tc>
          <w:tcPr>
            <w:tcW w:w="1072" w:type="dxa"/>
            <w:tcBorders>
              <w:top w:val="single" w:sz="12" w:space="0" w:color="auto"/>
              <w:left w:val="nil"/>
              <w:bottom w:val="nil"/>
              <w:right w:val="nil"/>
            </w:tcBorders>
            <w:shd w:val="clear" w:color="auto" w:fill="D6E3BC" w:themeFill="accent3" w:themeFillTint="66"/>
            <w:vAlign w:val="center"/>
          </w:tcPr>
          <w:p w14:paraId="75441390" w14:textId="1051B56F" w:rsidR="0012707B" w:rsidRPr="002C44DE" w:rsidRDefault="00765AD3" w:rsidP="00CB5635">
            <w:pPr>
              <w:ind w:left="0" w:firstLine="0"/>
              <w:jc w:val="center"/>
              <w:rPr>
                <w:rFonts w:eastAsiaTheme="minorHAnsi" w:cs="Calibri"/>
                <w:b/>
                <w:bCs/>
                <w:noProof/>
                <w:color w:val="000000"/>
                <w:sz w:val="20"/>
                <w:szCs w:val="20"/>
                <w:lang w:val="es-ES"/>
              </w:rPr>
            </w:pPr>
            <w:r w:rsidRPr="002C44DE">
              <w:rPr>
                <w:rFonts w:eastAsiaTheme="minorHAnsi" w:cs="Calibri"/>
                <w:b/>
                <w:bCs/>
                <w:noProof/>
                <w:color w:val="000000"/>
                <w:sz w:val="20"/>
                <w:szCs w:val="20"/>
                <w:lang w:val="es-ES"/>
              </w:rPr>
              <w:t xml:space="preserve">Saldo (déficit) al 31 de diciembre </w:t>
            </w:r>
            <w:r w:rsidRPr="002C44DE">
              <w:rPr>
                <w:rFonts w:eastAsiaTheme="minorHAnsi" w:cs="Calibri"/>
                <w:b/>
                <w:bCs/>
                <w:noProof/>
                <w:color w:val="000000" w:themeColor="text1"/>
                <w:sz w:val="20"/>
                <w:szCs w:val="20"/>
                <w:lang w:val="es-ES"/>
              </w:rPr>
              <w:t>de</w:t>
            </w:r>
            <w:r w:rsidRPr="002C44DE">
              <w:rPr>
                <w:rFonts w:eastAsiaTheme="minorHAnsi" w:cs="Calibri"/>
                <w:b/>
                <w:bCs/>
                <w:noProof/>
                <w:color w:val="000000"/>
                <w:sz w:val="20"/>
                <w:szCs w:val="20"/>
                <w:lang w:val="es-ES"/>
              </w:rPr>
              <w:t xml:space="preserve"> </w:t>
            </w:r>
            <w:r w:rsidR="0012707B" w:rsidRPr="002C44DE">
              <w:rPr>
                <w:rFonts w:eastAsiaTheme="minorHAnsi" w:cs="Calibri"/>
                <w:b/>
                <w:bCs/>
                <w:noProof/>
                <w:color w:val="000000"/>
                <w:sz w:val="20"/>
                <w:szCs w:val="20"/>
                <w:lang w:val="es-ES"/>
              </w:rPr>
              <w:t>2020</w:t>
            </w:r>
          </w:p>
        </w:tc>
        <w:tc>
          <w:tcPr>
            <w:tcW w:w="1073" w:type="dxa"/>
            <w:gridSpan w:val="2"/>
            <w:tcBorders>
              <w:top w:val="single" w:sz="12" w:space="0" w:color="auto"/>
              <w:left w:val="nil"/>
              <w:bottom w:val="nil"/>
              <w:right w:val="nil"/>
            </w:tcBorders>
            <w:shd w:val="clear" w:color="auto" w:fill="D6E3BC" w:themeFill="accent3" w:themeFillTint="66"/>
            <w:vAlign w:val="center"/>
          </w:tcPr>
          <w:p w14:paraId="0147B64D" w14:textId="7A228D77" w:rsidR="0012707B" w:rsidRPr="002C44DE" w:rsidRDefault="00765AD3" w:rsidP="00CB5635">
            <w:pPr>
              <w:ind w:left="0" w:firstLine="0"/>
              <w:jc w:val="center"/>
              <w:rPr>
                <w:rFonts w:eastAsiaTheme="minorHAnsi" w:cs="Calibri"/>
                <w:b/>
                <w:bCs/>
                <w:noProof/>
                <w:color w:val="000000"/>
                <w:sz w:val="20"/>
                <w:szCs w:val="20"/>
                <w:lang w:val="es-ES"/>
              </w:rPr>
            </w:pPr>
            <w:r w:rsidRPr="002C44DE">
              <w:rPr>
                <w:rFonts w:eastAsiaTheme="minorHAnsi" w:cs="Calibri"/>
                <w:b/>
                <w:bCs/>
                <w:noProof/>
                <w:color w:val="000000"/>
                <w:sz w:val="20"/>
                <w:szCs w:val="20"/>
                <w:lang w:val="es-ES"/>
              </w:rPr>
              <w:t>Ingresos</w:t>
            </w:r>
            <w:r w:rsidR="0012707B" w:rsidRPr="002C44DE">
              <w:rPr>
                <w:rFonts w:eastAsiaTheme="minorHAnsi" w:cs="Calibri"/>
                <w:b/>
                <w:bCs/>
                <w:noProof/>
                <w:color w:val="000000"/>
                <w:sz w:val="20"/>
                <w:szCs w:val="20"/>
                <w:lang w:val="es-ES"/>
              </w:rPr>
              <w:t xml:space="preserve"> </w:t>
            </w:r>
            <w:r w:rsidRPr="002C44DE">
              <w:rPr>
                <w:rFonts w:eastAsiaTheme="minorHAnsi" w:cs="Calibri"/>
                <w:b/>
                <w:bCs/>
                <w:noProof/>
                <w:color w:val="000000"/>
                <w:sz w:val="20"/>
                <w:szCs w:val="20"/>
                <w:lang w:val="es-ES"/>
              </w:rPr>
              <w:t>durante</w:t>
            </w:r>
            <w:r w:rsidR="0012707B" w:rsidRPr="002C44DE">
              <w:rPr>
                <w:rFonts w:eastAsiaTheme="minorHAnsi" w:cs="Calibri"/>
                <w:b/>
                <w:bCs/>
                <w:noProof/>
                <w:color w:val="000000"/>
                <w:sz w:val="20"/>
                <w:szCs w:val="20"/>
                <w:lang w:val="es-ES"/>
              </w:rPr>
              <w:t xml:space="preserve"> 2021</w:t>
            </w:r>
          </w:p>
        </w:tc>
        <w:tc>
          <w:tcPr>
            <w:tcW w:w="1013" w:type="dxa"/>
            <w:gridSpan w:val="2"/>
            <w:tcBorders>
              <w:top w:val="single" w:sz="12" w:space="0" w:color="auto"/>
              <w:left w:val="nil"/>
              <w:bottom w:val="nil"/>
              <w:right w:val="nil"/>
            </w:tcBorders>
            <w:shd w:val="clear" w:color="auto" w:fill="D6E3BC" w:themeFill="accent3" w:themeFillTint="66"/>
            <w:vAlign w:val="center"/>
          </w:tcPr>
          <w:p w14:paraId="2B5A16DB" w14:textId="126D1863" w:rsidR="0012707B" w:rsidRPr="002C44DE" w:rsidRDefault="00765AD3" w:rsidP="00CB5635">
            <w:pPr>
              <w:ind w:left="0" w:firstLine="0"/>
              <w:jc w:val="center"/>
              <w:rPr>
                <w:rFonts w:eastAsiaTheme="minorHAnsi" w:cs="Calibri"/>
                <w:b/>
                <w:bCs/>
                <w:noProof/>
                <w:color w:val="000000"/>
                <w:sz w:val="20"/>
                <w:szCs w:val="20"/>
                <w:lang w:val="es-ES"/>
              </w:rPr>
            </w:pPr>
            <w:r w:rsidRPr="002C44DE">
              <w:rPr>
                <w:rFonts w:eastAsiaTheme="minorHAnsi" w:cs="Calibri"/>
                <w:b/>
                <w:bCs/>
                <w:noProof/>
                <w:color w:val="000000"/>
                <w:sz w:val="20"/>
                <w:szCs w:val="20"/>
                <w:lang w:val="es-ES"/>
              </w:rPr>
              <w:t xml:space="preserve">Gastos durante </w:t>
            </w:r>
            <w:r w:rsidR="0012707B" w:rsidRPr="002C44DE">
              <w:rPr>
                <w:rFonts w:eastAsiaTheme="minorHAnsi" w:cs="Calibri"/>
                <w:b/>
                <w:bCs/>
                <w:noProof/>
                <w:color w:val="000000"/>
                <w:sz w:val="20"/>
                <w:szCs w:val="20"/>
                <w:lang w:val="es-ES"/>
              </w:rPr>
              <w:t>2021</w:t>
            </w:r>
          </w:p>
        </w:tc>
        <w:tc>
          <w:tcPr>
            <w:tcW w:w="1014" w:type="dxa"/>
            <w:gridSpan w:val="2"/>
            <w:tcBorders>
              <w:top w:val="single" w:sz="12" w:space="0" w:color="auto"/>
              <w:left w:val="nil"/>
              <w:bottom w:val="nil"/>
              <w:right w:val="nil"/>
            </w:tcBorders>
            <w:shd w:val="clear" w:color="auto" w:fill="D6E3BC" w:themeFill="accent3" w:themeFillTint="66"/>
            <w:vAlign w:val="center"/>
          </w:tcPr>
          <w:p w14:paraId="3A2BA068" w14:textId="50938472" w:rsidR="0012707B" w:rsidRPr="002C44DE" w:rsidRDefault="0051619C" w:rsidP="00CB5635">
            <w:pPr>
              <w:ind w:left="0" w:firstLine="0"/>
              <w:jc w:val="center"/>
              <w:rPr>
                <w:rFonts w:eastAsiaTheme="minorHAnsi" w:cs="Calibri"/>
                <w:b/>
                <w:bCs/>
                <w:noProof/>
                <w:color w:val="000000"/>
                <w:sz w:val="20"/>
                <w:szCs w:val="20"/>
                <w:lang w:val="es-ES"/>
              </w:rPr>
            </w:pPr>
            <w:r w:rsidRPr="002C44DE">
              <w:rPr>
                <w:rFonts w:eastAsiaTheme="minorHAnsi" w:cs="Calibri"/>
                <w:b/>
                <w:bCs/>
                <w:noProof/>
                <w:color w:val="000000"/>
                <w:sz w:val="20"/>
                <w:szCs w:val="20"/>
                <w:lang w:val="es-ES"/>
              </w:rPr>
              <w:t>Transferencias de proyectos y cargos cruzados</w:t>
            </w:r>
          </w:p>
        </w:tc>
        <w:tc>
          <w:tcPr>
            <w:tcW w:w="1014" w:type="dxa"/>
            <w:tcBorders>
              <w:top w:val="single" w:sz="12" w:space="0" w:color="auto"/>
              <w:left w:val="nil"/>
              <w:bottom w:val="nil"/>
              <w:right w:val="nil"/>
            </w:tcBorders>
            <w:shd w:val="clear" w:color="auto" w:fill="D6E3BC" w:themeFill="accent3" w:themeFillTint="66"/>
            <w:vAlign w:val="center"/>
          </w:tcPr>
          <w:p w14:paraId="372953F5" w14:textId="3A744939" w:rsidR="0012707B" w:rsidRPr="002C44DE" w:rsidRDefault="0051619C" w:rsidP="00CB5635">
            <w:pPr>
              <w:ind w:left="0" w:firstLine="0"/>
              <w:jc w:val="center"/>
              <w:rPr>
                <w:rFonts w:eastAsiaTheme="minorHAnsi" w:cs="Calibri"/>
                <w:b/>
                <w:bCs/>
                <w:noProof/>
                <w:color w:val="000000"/>
                <w:sz w:val="20"/>
                <w:szCs w:val="20"/>
                <w:lang w:val="es-ES"/>
              </w:rPr>
            </w:pPr>
            <w:r w:rsidRPr="002C44DE">
              <w:rPr>
                <w:rFonts w:eastAsiaTheme="minorHAnsi" w:cs="Calibri"/>
                <w:b/>
                <w:bCs/>
                <w:noProof/>
                <w:color w:val="000000"/>
                <w:sz w:val="20"/>
                <w:szCs w:val="20"/>
                <w:lang w:val="es-ES"/>
              </w:rPr>
              <w:t>Saldo</w:t>
            </w:r>
            <w:r w:rsidR="0012707B" w:rsidRPr="002C44DE">
              <w:rPr>
                <w:rFonts w:eastAsiaTheme="minorHAnsi" w:cs="Calibri"/>
                <w:b/>
                <w:bCs/>
                <w:noProof/>
                <w:color w:val="000000"/>
                <w:sz w:val="20"/>
                <w:szCs w:val="20"/>
                <w:lang w:val="es-ES"/>
              </w:rPr>
              <w:t xml:space="preserve"> (d</w:t>
            </w:r>
            <w:r w:rsidRPr="002C44DE">
              <w:rPr>
                <w:rFonts w:eastAsiaTheme="minorHAnsi" w:cs="Calibri"/>
                <w:b/>
                <w:bCs/>
                <w:noProof/>
                <w:color w:val="000000"/>
                <w:sz w:val="20"/>
                <w:szCs w:val="20"/>
                <w:lang w:val="es-ES"/>
              </w:rPr>
              <w:t>é</w:t>
            </w:r>
            <w:r w:rsidR="0012707B" w:rsidRPr="002C44DE">
              <w:rPr>
                <w:rFonts w:eastAsiaTheme="minorHAnsi" w:cs="Calibri"/>
                <w:b/>
                <w:bCs/>
                <w:noProof/>
                <w:color w:val="000000"/>
                <w:sz w:val="20"/>
                <w:szCs w:val="20"/>
                <w:lang w:val="es-ES"/>
              </w:rPr>
              <w:t xml:space="preserve">ficit) </w:t>
            </w:r>
            <w:r w:rsidRPr="002C44DE">
              <w:rPr>
                <w:rFonts w:eastAsiaTheme="minorHAnsi" w:cs="Calibri"/>
                <w:b/>
                <w:bCs/>
                <w:noProof/>
                <w:color w:val="000000"/>
                <w:sz w:val="20"/>
                <w:szCs w:val="20"/>
                <w:lang w:val="es-ES"/>
              </w:rPr>
              <w:t>a</w:t>
            </w:r>
            <w:r w:rsidR="0012707B" w:rsidRPr="002C44DE">
              <w:rPr>
                <w:rFonts w:eastAsiaTheme="minorHAnsi" w:cs="Calibri"/>
                <w:b/>
                <w:bCs/>
                <w:noProof/>
                <w:color w:val="000000"/>
                <w:sz w:val="20"/>
                <w:szCs w:val="20"/>
                <w:lang w:val="es-ES"/>
              </w:rPr>
              <w:t xml:space="preserve"> 31 </w:t>
            </w:r>
            <w:r w:rsidRPr="002C44DE">
              <w:rPr>
                <w:rFonts w:eastAsiaTheme="minorHAnsi" w:cs="Calibri"/>
                <w:b/>
                <w:bCs/>
                <w:noProof/>
                <w:color w:val="000000"/>
                <w:sz w:val="20"/>
                <w:szCs w:val="20"/>
                <w:lang w:val="es-ES"/>
              </w:rPr>
              <w:t>de diciembre de</w:t>
            </w:r>
            <w:r w:rsidR="0012707B" w:rsidRPr="002C44DE">
              <w:rPr>
                <w:rFonts w:eastAsiaTheme="minorHAnsi" w:cs="Calibri"/>
                <w:b/>
                <w:bCs/>
                <w:noProof/>
                <w:color w:val="000000"/>
                <w:sz w:val="20"/>
                <w:szCs w:val="20"/>
                <w:lang w:val="es-ES"/>
              </w:rPr>
              <w:t xml:space="preserve"> 2021</w:t>
            </w:r>
          </w:p>
        </w:tc>
      </w:tr>
      <w:tr w:rsidR="00740865" w:rsidRPr="002C44DE" w14:paraId="254FBD86" w14:textId="77777777" w:rsidTr="00CB5635">
        <w:tc>
          <w:tcPr>
            <w:tcW w:w="1306" w:type="dxa"/>
            <w:tcBorders>
              <w:top w:val="nil"/>
              <w:left w:val="nil"/>
              <w:bottom w:val="single" w:sz="12" w:space="0" w:color="auto"/>
              <w:right w:val="nil"/>
            </w:tcBorders>
            <w:shd w:val="clear" w:color="auto" w:fill="D6E3BC" w:themeFill="accent3" w:themeFillTint="66"/>
          </w:tcPr>
          <w:p w14:paraId="141CEF91" w14:textId="77777777" w:rsidR="00740865" w:rsidRPr="002C44DE" w:rsidRDefault="00740865" w:rsidP="00CB5635">
            <w:pPr>
              <w:jc w:val="center"/>
              <w:rPr>
                <w:rFonts w:eastAsiaTheme="minorHAnsi" w:cs="Calibri"/>
                <w:noProof/>
                <w:color w:val="000000"/>
                <w:lang w:val="es-ES"/>
              </w:rPr>
            </w:pPr>
          </w:p>
        </w:tc>
        <w:tc>
          <w:tcPr>
            <w:tcW w:w="3084" w:type="dxa"/>
            <w:gridSpan w:val="2"/>
            <w:tcBorders>
              <w:top w:val="nil"/>
              <w:left w:val="nil"/>
              <w:bottom w:val="single" w:sz="12" w:space="0" w:color="auto"/>
              <w:right w:val="nil"/>
            </w:tcBorders>
            <w:shd w:val="clear" w:color="auto" w:fill="D6E3BC" w:themeFill="accent3" w:themeFillTint="66"/>
          </w:tcPr>
          <w:p w14:paraId="351F54C9" w14:textId="77777777" w:rsidR="00740865" w:rsidRPr="002C44DE" w:rsidRDefault="00740865" w:rsidP="00CB5635">
            <w:pPr>
              <w:jc w:val="center"/>
              <w:rPr>
                <w:rFonts w:eastAsiaTheme="minorHAnsi" w:cs="Calibri"/>
                <w:noProof/>
                <w:color w:val="000000"/>
                <w:lang w:val="es-ES"/>
              </w:rPr>
            </w:pPr>
          </w:p>
        </w:tc>
        <w:tc>
          <w:tcPr>
            <w:tcW w:w="1140" w:type="dxa"/>
            <w:gridSpan w:val="2"/>
            <w:tcBorders>
              <w:top w:val="nil"/>
              <w:left w:val="nil"/>
              <w:bottom w:val="single" w:sz="12" w:space="0" w:color="auto"/>
              <w:right w:val="nil"/>
            </w:tcBorders>
            <w:shd w:val="clear" w:color="auto" w:fill="D6E3BC" w:themeFill="accent3" w:themeFillTint="66"/>
          </w:tcPr>
          <w:p w14:paraId="0E0464F6" w14:textId="77777777" w:rsidR="00740865" w:rsidRPr="002C44DE" w:rsidRDefault="00740865" w:rsidP="00CB5635">
            <w:pPr>
              <w:jc w:val="center"/>
              <w:rPr>
                <w:rFonts w:eastAsiaTheme="minorHAnsi" w:cs="Calibri"/>
                <w:noProof/>
                <w:color w:val="000000"/>
                <w:sz w:val="20"/>
                <w:szCs w:val="20"/>
                <w:lang w:val="es-ES"/>
              </w:rPr>
            </w:pPr>
            <w:r w:rsidRPr="002C44DE">
              <w:rPr>
                <w:rFonts w:eastAsiaTheme="minorHAnsi" w:cs="Calibri"/>
                <w:noProof/>
                <w:color w:val="000000"/>
                <w:sz w:val="20"/>
                <w:szCs w:val="20"/>
                <w:lang w:val="es-ES"/>
              </w:rPr>
              <w:t>(DR)/CR</w:t>
            </w:r>
          </w:p>
        </w:tc>
        <w:tc>
          <w:tcPr>
            <w:tcW w:w="1005" w:type="dxa"/>
            <w:tcBorders>
              <w:top w:val="nil"/>
              <w:left w:val="nil"/>
              <w:bottom w:val="single" w:sz="12" w:space="0" w:color="auto"/>
              <w:right w:val="nil"/>
            </w:tcBorders>
            <w:shd w:val="clear" w:color="auto" w:fill="D6E3BC" w:themeFill="accent3" w:themeFillTint="66"/>
          </w:tcPr>
          <w:p w14:paraId="59A1DED9" w14:textId="77777777" w:rsidR="00740865" w:rsidRPr="002C44DE" w:rsidRDefault="00740865" w:rsidP="00CB5635">
            <w:pPr>
              <w:jc w:val="center"/>
              <w:rPr>
                <w:rFonts w:eastAsiaTheme="minorHAnsi" w:cs="Calibri"/>
                <w:noProof/>
                <w:color w:val="000000"/>
                <w:sz w:val="20"/>
                <w:szCs w:val="20"/>
                <w:lang w:val="es-ES"/>
              </w:rPr>
            </w:pPr>
            <w:r w:rsidRPr="002C44DE">
              <w:rPr>
                <w:rFonts w:eastAsiaTheme="minorHAnsi" w:cs="Calibri"/>
                <w:noProof/>
                <w:color w:val="000000"/>
                <w:sz w:val="20"/>
                <w:szCs w:val="20"/>
                <w:lang w:val="es-ES"/>
              </w:rPr>
              <w:t>(DR)/CR</w:t>
            </w:r>
          </w:p>
        </w:tc>
        <w:tc>
          <w:tcPr>
            <w:tcW w:w="1006" w:type="dxa"/>
            <w:tcBorders>
              <w:top w:val="nil"/>
              <w:left w:val="nil"/>
              <w:bottom w:val="single" w:sz="12" w:space="0" w:color="auto"/>
              <w:right w:val="nil"/>
            </w:tcBorders>
            <w:shd w:val="clear" w:color="auto" w:fill="D6E3BC" w:themeFill="accent3" w:themeFillTint="66"/>
          </w:tcPr>
          <w:p w14:paraId="31EF0E7D" w14:textId="77777777" w:rsidR="00740865" w:rsidRPr="002C44DE" w:rsidRDefault="00740865" w:rsidP="00CB5635">
            <w:pPr>
              <w:jc w:val="center"/>
              <w:rPr>
                <w:rFonts w:eastAsiaTheme="minorHAnsi" w:cs="Calibri"/>
                <w:noProof/>
                <w:color w:val="000000"/>
                <w:sz w:val="20"/>
                <w:szCs w:val="20"/>
                <w:lang w:val="es-ES"/>
              </w:rPr>
            </w:pPr>
            <w:r w:rsidRPr="002C44DE">
              <w:rPr>
                <w:rFonts w:eastAsiaTheme="minorHAnsi" w:cs="Calibri"/>
                <w:noProof/>
                <w:color w:val="000000"/>
                <w:sz w:val="20"/>
                <w:szCs w:val="20"/>
                <w:lang w:val="es-ES"/>
              </w:rPr>
              <w:t>(DR)/CR</w:t>
            </w:r>
          </w:p>
        </w:tc>
        <w:tc>
          <w:tcPr>
            <w:tcW w:w="1005" w:type="dxa"/>
            <w:gridSpan w:val="2"/>
            <w:tcBorders>
              <w:top w:val="nil"/>
              <w:left w:val="nil"/>
              <w:bottom w:val="single" w:sz="12" w:space="0" w:color="auto"/>
              <w:right w:val="nil"/>
            </w:tcBorders>
            <w:shd w:val="clear" w:color="auto" w:fill="D6E3BC" w:themeFill="accent3" w:themeFillTint="66"/>
          </w:tcPr>
          <w:p w14:paraId="3B0B9B37" w14:textId="77777777" w:rsidR="00740865" w:rsidRPr="002C44DE" w:rsidRDefault="00740865" w:rsidP="00CB5635">
            <w:pPr>
              <w:jc w:val="center"/>
              <w:rPr>
                <w:rFonts w:eastAsiaTheme="minorHAnsi" w:cs="Calibri"/>
                <w:noProof/>
                <w:color w:val="000000"/>
                <w:sz w:val="20"/>
                <w:szCs w:val="20"/>
                <w:lang w:val="es-ES"/>
              </w:rPr>
            </w:pPr>
            <w:r w:rsidRPr="002C44DE">
              <w:rPr>
                <w:rFonts w:eastAsiaTheme="minorHAnsi" w:cs="Calibri"/>
                <w:noProof/>
                <w:color w:val="000000"/>
                <w:sz w:val="20"/>
                <w:szCs w:val="20"/>
                <w:lang w:val="es-ES"/>
              </w:rPr>
              <w:t>(DR)/CR</w:t>
            </w:r>
          </w:p>
        </w:tc>
        <w:tc>
          <w:tcPr>
            <w:tcW w:w="1030" w:type="dxa"/>
            <w:gridSpan w:val="2"/>
            <w:tcBorders>
              <w:top w:val="nil"/>
              <w:left w:val="nil"/>
              <w:bottom w:val="single" w:sz="12" w:space="0" w:color="auto"/>
              <w:right w:val="nil"/>
            </w:tcBorders>
            <w:shd w:val="clear" w:color="auto" w:fill="D6E3BC" w:themeFill="accent3" w:themeFillTint="66"/>
          </w:tcPr>
          <w:p w14:paraId="474E6399" w14:textId="77777777" w:rsidR="00740865" w:rsidRPr="002C44DE" w:rsidRDefault="00740865" w:rsidP="00CB5635">
            <w:pPr>
              <w:jc w:val="center"/>
              <w:rPr>
                <w:rFonts w:eastAsiaTheme="minorHAnsi" w:cs="Calibri"/>
                <w:noProof/>
                <w:color w:val="000000"/>
                <w:sz w:val="20"/>
                <w:szCs w:val="20"/>
                <w:lang w:val="es-ES"/>
              </w:rPr>
            </w:pPr>
            <w:r w:rsidRPr="002C44DE">
              <w:rPr>
                <w:rFonts w:eastAsiaTheme="minorHAnsi" w:cs="Calibri"/>
                <w:noProof/>
                <w:color w:val="000000"/>
                <w:sz w:val="20"/>
                <w:szCs w:val="20"/>
                <w:lang w:val="es-ES"/>
              </w:rPr>
              <w:t>(DR)/CR</w:t>
            </w:r>
          </w:p>
        </w:tc>
      </w:tr>
      <w:tr w:rsidR="00740865" w:rsidRPr="002C44DE" w14:paraId="1B87EBC2" w14:textId="77777777" w:rsidTr="00CB5635">
        <w:tc>
          <w:tcPr>
            <w:tcW w:w="1306" w:type="dxa"/>
            <w:tcBorders>
              <w:top w:val="single" w:sz="12" w:space="0" w:color="auto"/>
              <w:left w:val="nil"/>
              <w:bottom w:val="nil"/>
              <w:right w:val="nil"/>
            </w:tcBorders>
          </w:tcPr>
          <w:p w14:paraId="7F268874" w14:textId="77777777" w:rsidR="00740865" w:rsidRPr="002C44DE" w:rsidRDefault="00740865" w:rsidP="00BC15DE">
            <w:pPr>
              <w:rPr>
                <w:rFonts w:eastAsiaTheme="minorHAnsi" w:cs="Calibri"/>
                <w:b/>
                <w:bCs/>
                <w:noProof/>
                <w:color w:val="000000"/>
                <w:sz w:val="20"/>
                <w:szCs w:val="20"/>
                <w:lang w:val="es-ES"/>
              </w:rPr>
            </w:pPr>
          </w:p>
        </w:tc>
        <w:tc>
          <w:tcPr>
            <w:tcW w:w="3084" w:type="dxa"/>
            <w:gridSpan w:val="2"/>
            <w:tcBorders>
              <w:top w:val="single" w:sz="12" w:space="0" w:color="auto"/>
              <w:left w:val="nil"/>
              <w:bottom w:val="nil"/>
              <w:right w:val="nil"/>
            </w:tcBorders>
          </w:tcPr>
          <w:p w14:paraId="044DD4FD" w14:textId="77777777" w:rsidR="00740865" w:rsidRPr="002C44DE" w:rsidRDefault="00740865" w:rsidP="00BC15DE">
            <w:pPr>
              <w:rPr>
                <w:rFonts w:eastAsiaTheme="minorHAnsi" w:cs="Calibri"/>
                <w:b/>
                <w:bCs/>
                <w:noProof/>
                <w:color w:val="000000"/>
                <w:sz w:val="20"/>
                <w:szCs w:val="20"/>
                <w:lang w:val="es-ES"/>
              </w:rPr>
            </w:pPr>
          </w:p>
        </w:tc>
        <w:tc>
          <w:tcPr>
            <w:tcW w:w="1140" w:type="dxa"/>
            <w:gridSpan w:val="2"/>
            <w:tcBorders>
              <w:top w:val="single" w:sz="12" w:space="0" w:color="auto"/>
              <w:left w:val="nil"/>
              <w:bottom w:val="nil"/>
              <w:right w:val="nil"/>
            </w:tcBorders>
          </w:tcPr>
          <w:p w14:paraId="38F0915A" w14:textId="77777777" w:rsidR="00740865" w:rsidRPr="002C44DE" w:rsidRDefault="00740865" w:rsidP="00BC15DE">
            <w:pPr>
              <w:rPr>
                <w:rFonts w:eastAsiaTheme="minorHAnsi" w:cs="Calibri"/>
                <w:noProof/>
                <w:color w:val="000000"/>
                <w:lang w:val="es-ES"/>
              </w:rPr>
            </w:pPr>
          </w:p>
        </w:tc>
        <w:tc>
          <w:tcPr>
            <w:tcW w:w="1005" w:type="dxa"/>
            <w:tcBorders>
              <w:top w:val="single" w:sz="12" w:space="0" w:color="auto"/>
              <w:left w:val="nil"/>
              <w:bottom w:val="nil"/>
              <w:right w:val="nil"/>
            </w:tcBorders>
          </w:tcPr>
          <w:p w14:paraId="00050051" w14:textId="77777777" w:rsidR="00740865" w:rsidRPr="002C44DE" w:rsidRDefault="00740865" w:rsidP="00BC15DE">
            <w:pPr>
              <w:rPr>
                <w:rFonts w:eastAsiaTheme="minorHAnsi" w:cs="Calibri"/>
                <w:noProof/>
                <w:color w:val="000000"/>
                <w:lang w:val="es-ES"/>
              </w:rPr>
            </w:pPr>
          </w:p>
        </w:tc>
        <w:tc>
          <w:tcPr>
            <w:tcW w:w="1006" w:type="dxa"/>
            <w:tcBorders>
              <w:top w:val="single" w:sz="12" w:space="0" w:color="auto"/>
              <w:left w:val="nil"/>
              <w:bottom w:val="nil"/>
              <w:right w:val="nil"/>
            </w:tcBorders>
          </w:tcPr>
          <w:p w14:paraId="5AE9D600" w14:textId="77777777" w:rsidR="00740865" w:rsidRPr="002C44DE" w:rsidRDefault="00740865" w:rsidP="00BC15DE">
            <w:pPr>
              <w:rPr>
                <w:rFonts w:eastAsiaTheme="minorHAnsi" w:cs="Calibri"/>
                <w:noProof/>
                <w:color w:val="000000"/>
                <w:lang w:val="es-ES"/>
              </w:rPr>
            </w:pPr>
          </w:p>
        </w:tc>
        <w:tc>
          <w:tcPr>
            <w:tcW w:w="1005" w:type="dxa"/>
            <w:gridSpan w:val="2"/>
            <w:tcBorders>
              <w:top w:val="single" w:sz="12" w:space="0" w:color="auto"/>
              <w:left w:val="nil"/>
              <w:bottom w:val="nil"/>
              <w:right w:val="nil"/>
            </w:tcBorders>
          </w:tcPr>
          <w:p w14:paraId="57C3AF24" w14:textId="77777777" w:rsidR="00740865" w:rsidRPr="002C44DE" w:rsidRDefault="00740865" w:rsidP="00BC15DE">
            <w:pPr>
              <w:rPr>
                <w:rFonts w:eastAsiaTheme="minorHAnsi" w:cs="Calibri"/>
                <w:noProof/>
                <w:color w:val="000000"/>
                <w:lang w:val="es-ES"/>
              </w:rPr>
            </w:pPr>
          </w:p>
        </w:tc>
        <w:tc>
          <w:tcPr>
            <w:tcW w:w="1030" w:type="dxa"/>
            <w:gridSpan w:val="2"/>
            <w:tcBorders>
              <w:top w:val="single" w:sz="12" w:space="0" w:color="auto"/>
              <w:left w:val="nil"/>
              <w:bottom w:val="nil"/>
              <w:right w:val="nil"/>
            </w:tcBorders>
          </w:tcPr>
          <w:p w14:paraId="0922EA6C" w14:textId="77777777" w:rsidR="00740865" w:rsidRPr="002C44DE" w:rsidRDefault="00740865" w:rsidP="00BC15DE">
            <w:pPr>
              <w:rPr>
                <w:rFonts w:eastAsiaTheme="minorHAnsi" w:cs="Calibri"/>
                <w:noProof/>
                <w:color w:val="000000"/>
                <w:lang w:val="es-ES"/>
              </w:rPr>
            </w:pPr>
          </w:p>
        </w:tc>
      </w:tr>
      <w:tr w:rsidR="00740865" w:rsidRPr="002C44DE" w14:paraId="23043984" w14:textId="77777777" w:rsidTr="00CB5635">
        <w:tc>
          <w:tcPr>
            <w:tcW w:w="4390" w:type="dxa"/>
            <w:gridSpan w:val="3"/>
            <w:tcBorders>
              <w:top w:val="nil"/>
              <w:left w:val="nil"/>
              <w:bottom w:val="nil"/>
              <w:right w:val="nil"/>
            </w:tcBorders>
          </w:tcPr>
          <w:p w14:paraId="486C1FA2" w14:textId="25C9A3EF" w:rsidR="00740865" w:rsidRPr="002C44DE" w:rsidRDefault="0051619C" w:rsidP="00BC15DE">
            <w:pPr>
              <w:rPr>
                <w:rFonts w:eastAsiaTheme="minorHAnsi" w:cs="Calibri"/>
                <w:b/>
                <w:bCs/>
                <w:noProof/>
                <w:color w:val="000000"/>
                <w:sz w:val="20"/>
                <w:szCs w:val="20"/>
                <w:u w:val="single"/>
                <w:lang w:val="es-ES"/>
              </w:rPr>
            </w:pPr>
            <w:r w:rsidRPr="002C44DE">
              <w:rPr>
                <w:rFonts w:eastAsiaTheme="minorHAnsi" w:cs="Calibri"/>
                <w:b/>
                <w:bCs/>
                <w:noProof/>
                <w:color w:val="000000"/>
                <w:sz w:val="20"/>
                <w:szCs w:val="20"/>
                <w:u w:val="single"/>
                <w:lang w:val="es-ES"/>
              </w:rPr>
              <w:t>Cooperación Internacional</w:t>
            </w:r>
          </w:p>
        </w:tc>
        <w:tc>
          <w:tcPr>
            <w:tcW w:w="1140" w:type="dxa"/>
            <w:gridSpan w:val="2"/>
            <w:tcBorders>
              <w:top w:val="nil"/>
              <w:left w:val="nil"/>
              <w:bottom w:val="nil"/>
              <w:right w:val="nil"/>
            </w:tcBorders>
          </w:tcPr>
          <w:p w14:paraId="77065F7E" w14:textId="77777777" w:rsidR="00740865" w:rsidRPr="002C44DE" w:rsidRDefault="00740865" w:rsidP="00BC15DE">
            <w:pPr>
              <w:rPr>
                <w:rFonts w:eastAsiaTheme="minorHAnsi" w:cs="Calibri"/>
                <w:noProof/>
                <w:color w:val="000000"/>
                <w:lang w:val="es-ES"/>
              </w:rPr>
            </w:pPr>
          </w:p>
        </w:tc>
        <w:tc>
          <w:tcPr>
            <w:tcW w:w="1005" w:type="dxa"/>
            <w:tcBorders>
              <w:top w:val="nil"/>
              <w:left w:val="nil"/>
              <w:bottom w:val="nil"/>
              <w:right w:val="nil"/>
            </w:tcBorders>
          </w:tcPr>
          <w:p w14:paraId="4A8A5637" w14:textId="77777777" w:rsidR="00740865" w:rsidRPr="002C44DE" w:rsidRDefault="00740865" w:rsidP="00BC15DE">
            <w:pPr>
              <w:rPr>
                <w:rFonts w:eastAsiaTheme="minorHAnsi" w:cs="Calibri"/>
                <w:noProof/>
                <w:color w:val="000000"/>
                <w:lang w:val="es-ES"/>
              </w:rPr>
            </w:pPr>
          </w:p>
        </w:tc>
        <w:tc>
          <w:tcPr>
            <w:tcW w:w="1006" w:type="dxa"/>
            <w:tcBorders>
              <w:top w:val="nil"/>
              <w:left w:val="nil"/>
              <w:bottom w:val="nil"/>
              <w:right w:val="nil"/>
            </w:tcBorders>
          </w:tcPr>
          <w:p w14:paraId="381A561F" w14:textId="77777777" w:rsidR="00740865" w:rsidRPr="002C44DE" w:rsidRDefault="00740865" w:rsidP="00BC15DE">
            <w:pPr>
              <w:rPr>
                <w:rFonts w:eastAsiaTheme="minorHAnsi" w:cs="Calibri"/>
                <w:noProof/>
                <w:color w:val="000000"/>
                <w:lang w:val="es-ES"/>
              </w:rPr>
            </w:pPr>
          </w:p>
        </w:tc>
        <w:tc>
          <w:tcPr>
            <w:tcW w:w="1005" w:type="dxa"/>
            <w:gridSpan w:val="2"/>
            <w:tcBorders>
              <w:top w:val="nil"/>
              <w:left w:val="nil"/>
              <w:bottom w:val="nil"/>
              <w:right w:val="nil"/>
            </w:tcBorders>
          </w:tcPr>
          <w:p w14:paraId="6566AA71" w14:textId="77777777" w:rsidR="00740865" w:rsidRPr="002C44DE" w:rsidRDefault="00740865" w:rsidP="00BC15DE">
            <w:pPr>
              <w:rPr>
                <w:rFonts w:eastAsiaTheme="minorHAnsi" w:cs="Calibri"/>
                <w:noProof/>
                <w:color w:val="000000"/>
                <w:lang w:val="es-ES"/>
              </w:rPr>
            </w:pPr>
          </w:p>
        </w:tc>
        <w:tc>
          <w:tcPr>
            <w:tcW w:w="1030" w:type="dxa"/>
            <w:gridSpan w:val="2"/>
            <w:tcBorders>
              <w:top w:val="nil"/>
              <w:left w:val="nil"/>
              <w:bottom w:val="nil"/>
              <w:right w:val="nil"/>
            </w:tcBorders>
          </w:tcPr>
          <w:p w14:paraId="2EA5A052" w14:textId="77777777" w:rsidR="00740865" w:rsidRPr="002C44DE" w:rsidRDefault="00740865" w:rsidP="00BC15DE">
            <w:pPr>
              <w:rPr>
                <w:rFonts w:eastAsiaTheme="minorHAnsi" w:cs="Calibri"/>
                <w:noProof/>
                <w:color w:val="000000"/>
                <w:lang w:val="es-ES"/>
              </w:rPr>
            </w:pPr>
          </w:p>
        </w:tc>
      </w:tr>
      <w:tr w:rsidR="00740865" w:rsidRPr="002C44DE" w14:paraId="4D353306" w14:textId="77777777" w:rsidTr="00CB5635">
        <w:tc>
          <w:tcPr>
            <w:tcW w:w="1306" w:type="dxa"/>
            <w:tcBorders>
              <w:top w:val="nil"/>
              <w:left w:val="nil"/>
              <w:bottom w:val="nil"/>
              <w:right w:val="nil"/>
            </w:tcBorders>
          </w:tcPr>
          <w:p w14:paraId="741F3A9E" w14:textId="77777777" w:rsidR="00740865" w:rsidRPr="002C44DE" w:rsidRDefault="00740865"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R100163</w:t>
            </w:r>
          </w:p>
        </w:tc>
        <w:tc>
          <w:tcPr>
            <w:tcW w:w="3084" w:type="dxa"/>
            <w:gridSpan w:val="2"/>
            <w:tcBorders>
              <w:top w:val="nil"/>
              <w:left w:val="nil"/>
              <w:bottom w:val="nil"/>
              <w:right w:val="nil"/>
            </w:tcBorders>
          </w:tcPr>
          <w:p w14:paraId="6D18AC0B" w14:textId="77777777" w:rsidR="00740865" w:rsidRPr="002C44DE" w:rsidRDefault="00740865" w:rsidP="001441B9">
            <w:pPr>
              <w:ind w:left="0" w:firstLine="0"/>
              <w:rPr>
                <w:rFonts w:eastAsiaTheme="minorHAnsi" w:cs="Calibri"/>
                <w:noProof/>
                <w:color w:val="000000"/>
                <w:sz w:val="20"/>
                <w:szCs w:val="20"/>
                <w:lang w:val="es-ES"/>
              </w:rPr>
            </w:pPr>
            <w:r w:rsidRPr="002C44DE">
              <w:rPr>
                <w:rFonts w:eastAsiaTheme="minorHAnsi" w:cs="Calibri"/>
                <w:noProof/>
                <w:color w:val="000000"/>
                <w:sz w:val="20"/>
                <w:szCs w:val="20"/>
                <w:lang w:val="es-ES"/>
              </w:rPr>
              <w:t>SGF-2009-2020</w:t>
            </w:r>
          </w:p>
        </w:tc>
        <w:tc>
          <w:tcPr>
            <w:tcW w:w="1140" w:type="dxa"/>
            <w:gridSpan w:val="2"/>
            <w:tcBorders>
              <w:top w:val="nil"/>
              <w:left w:val="nil"/>
              <w:bottom w:val="nil"/>
              <w:right w:val="nil"/>
            </w:tcBorders>
          </w:tcPr>
          <w:p w14:paraId="668D0A85" w14:textId="43468075" w:rsidR="00740865" w:rsidRPr="002C44DE" w:rsidRDefault="0012707B"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54</w:t>
            </w:r>
          </w:p>
        </w:tc>
        <w:tc>
          <w:tcPr>
            <w:tcW w:w="1005" w:type="dxa"/>
            <w:tcBorders>
              <w:top w:val="nil"/>
              <w:left w:val="nil"/>
              <w:bottom w:val="nil"/>
              <w:right w:val="nil"/>
            </w:tcBorders>
          </w:tcPr>
          <w:p w14:paraId="4BD97924" w14:textId="77777777" w:rsidR="00740865" w:rsidRPr="002C44DE" w:rsidRDefault="00740865"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06" w:type="dxa"/>
            <w:tcBorders>
              <w:top w:val="nil"/>
              <w:left w:val="nil"/>
              <w:bottom w:val="nil"/>
              <w:right w:val="nil"/>
            </w:tcBorders>
          </w:tcPr>
          <w:p w14:paraId="71093856" w14:textId="02BAECFD" w:rsidR="00740865" w:rsidRPr="002C44DE" w:rsidRDefault="00740865"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r w:rsidR="0012707B" w:rsidRPr="002C44DE">
              <w:rPr>
                <w:rFonts w:eastAsiaTheme="minorHAnsi" w:cs="Calibri"/>
                <w:noProof/>
                <w:color w:val="000000"/>
                <w:sz w:val="20"/>
                <w:szCs w:val="20"/>
                <w:lang w:val="es-ES"/>
              </w:rPr>
              <w:t>36</w:t>
            </w:r>
            <w:r w:rsidRPr="002C44DE">
              <w:rPr>
                <w:rFonts w:eastAsiaTheme="minorHAnsi" w:cs="Calibri"/>
                <w:noProof/>
                <w:color w:val="000000"/>
                <w:sz w:val="20"/>
                <w:szCs w:val="20"/>
                <w:lang w:val="es-ES"/>
              </w:rPr>
              <w:t>)</w:t>
            </w:r>
          </w:p>
        </w:tc>
        <w:tc>
          <w:tcPr>
            <w:tcW w:w="1005" w:type="dxa"/>
            <w:gridSpan w:val="2"/>
            <w:tcBorders>
              <w:top w:val="nil"/>
              <w:left w:val="nil"/>
              <w:bottom w:val="nil"/>
              <w:right w:val="nil"/>
            </w:tcBorders>
          </w:tcPr>
          <w:p w14:paraId="09C3286B" w14:textId="77777777" w:rsidR="00740865" w:rsidRPr="002C44DE" w:rsidRDefault="00740865"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1EF23703" w14:textId="58224946" w:rsidR="00740865" w:rsidRPr="002C44DE" w:rsidRDefault="0012707B"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18</w:t>
            </w:r>
          </w:p>
        </w:tc>
      </w:tr>
      <w:tr w:rsidR="00740865" w:rsidRPr="002C44DE" w14:paraId="3E5E36E1" w14:textId="77777777" w:rsidTr="00CB5635">
        <w:tc>
          <w:tcPr>
            <w:tcW w:w="1306" w:type="dxa"/>
            <w:tcBorders>
              <w:top w:val="nil"/>
              <w:left w:val="nil"/>
              <w:bottom w:val="nil"/>
              <w:right w:val="nil"/>
            </w:tcBorders>
          </w:tcPr>
          <w:p w14:paraId="0CF34B38" w14:textId="77777777" w:rsidR="00740865" w:rsidRPr="002C44DE" w:rsidRDefault="00740865"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R100265</w:t>
            </w:r>
          </w:p>
        </w:tc>
        <w:tc>
          <w:tcPr>
            <w:tcW w:w="3084" w:type="dxa"/>
            <w:gridSpan w:val="2"/>
            <w:tcBorders>
              <w:top w:val="nil"/>
              <w:left w:val="nil"/>
              <w:bottom w:val="nil"/>
              <w:right w:val="nil"/>
            </w:tcBorders>
          </w:tcPr>
          <w:p w14:paraId="6C99553E" w14:textId="77777777" w:rsidR="00740865" w:rsidRPr="002C44DE" w:rsidRDefault="00740865" w:rsidP="001441B9">
            <w:pPr>
              <w:ind w:left="0" w:firstLine="0"/>
              <w:rPr>
                <w:rFonts w:eastAsiaTheme="minorHAnsi" w:cs="Calibri"/>
                <w:noProof/>
                <w:color w:val="000000"/>
                <w:sz w:val="20"/>
                <w:szCs w:val="20"/>
                <w:lang w:val="es-ES"/>
              </w:rPr>
            </w:pPr>
            <w:r w:rsidRPr="002C44DE">
              <w:rPr>
                <w:rFonts w:eastAsiaTheme="minorHAnsi" w:cs="Calibri"/>
                <w:noProof/>
                <w:color w:val="000000"/>
                <w:sz w:val="20"/>
                <w:szCs w:val="20"/>
                <w:lang w:val="es-ES"/>
              </w:rPr>
              <w:t>SGA-Pre-2016</w:t>
            </w:r>
          </w:p>
        </w:tc>
        <w:tc>
          <w:tcPr>
            <w:tcW w:w="1140" w:type="dxa"/>
            <w:gridSpan w:val="2"/>
            <w:tcBorders>
              <w:top w:val="nil"/>
              <w:left w:val="nil"/>
              <w:bottom w:val="nil"/>
              <w:right w:val="nil"/>
            </w:tcBorders>
          </w:tcPr>
          <w:p w14:paraId="51682AAD" w14:textId="77777777" w:rsidR="00740865" w:rsidRPr="002C44DE" w:rsidRDefault="00740865"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231</w:t>
            </w:r>
          </w:p>
        </w:tc>
        <w:tc>
          <w:tcPr>
            <w:tcW w:w="1005" w:type="dxa"/>
            <w:tcBorders>
              <w:top w:val="nil"/>
              <w:left w:val="nil"/>
              <w:bottom w:val="nil"/>
              <w:right w:val="nil"/>
            </w:tcBorders>
          </w:tcPr>
          <w:p w14:paraId="243A1221" w14:textId="77777777" w:rsidR="00740865" w:rsidRPr="002C44DE" w:rsidRDefault="00740865"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06" w:type="dxa"/>
            <w:tcBorders>
              <w:top w:val="nil"/>
              <w:left w:val="nil"/>
              <w:bottom w:val="nil"/>
              <w:right w:val="nil"/>
            </w:tcBorders>
          </w:tcPr>
          <w:p w14:paraId="62D64950" w14:textId="77777777" w:rsidR="00740865" w:rsidRPr="002C44DE" w:rsidRDefault="00740865"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05" w:type="dxa"/>
            <w:gridSpan w:val="2"/>
            <w:tcBorders>
              <w:top w:val="nil"/>
              <w:left w:val="nil"/>
              <w:bottom w:val="nil"/>
              <w:right w:val="nil"/>
            </w:tcBorders>
          </w:tcPr>
          <w:p w14:paraId="51C76D49" w14:textId="77777777" w:rsidR="00740865" w:rsidRPr="002C44DE" w:rsidRDefault="00740865"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6AB86095" w14:textId="77777777" w:rsidR="00740865" w:rsidRPr="002C44DE" w:rsidRDefault="00740865"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231</w:t>
            </w:r>
          </w:p>
        </w:tc>
      </w:tr>
      <w:tr w:rsidR="00740865" w:rsidRPr="002C44DE" w14:paraId="5E0E2728" w14:textId="77777777" w:rsidTr="00CB5635">
        <w:tc>
          <w:tcPr>
            <w:tcW w:w="1306" w:type="dxa"/>
            <w:tcBorders>
              <w:top w:val="nil"/>
              <w:left w:val="nil"/>
              <w:bottom w:val="nil"/>
              <w:right w:val="nil"/>
            </w:tcBorders>
          </w:tcPr>
          <w:p w14:paraId="3F6C2E27" w14:textId="77777777" w:rsidR="00740865" w:rsidRPr="002C44DE" w:rsidRDefault="00740865"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R100266</w:t>
            </w:r>
          </w:p>
        </w:tc>
        <w:tc>
          <w:tcPr>
            <w:tcW w:w="3084" w:type="dxa"/>
            <w:gridSpan w:val="2"/>
            <w:tcBorders>
              <w:top w:val="nil"/>
              <w:left w:val="nil"/>
              <w:bottom w:val="nil"/>
              <w:right w:val="nil"/>
            </w:tcBorders>
          </w:tcPr>
          <w:p w14:paraId="343374E5" w14:textId="77777777" w:rsidR="00740865" w:rsidRPr="002C44DE" w:rsidRDefault="00740865" w:rsidP="001441B9">
            <w:pPr>
              <w:ind w:left="0" w:firstLine="0"/>
              <w:rPr>
                <w:rFonts w:eastAsiaTheme="minorHAnsi" w:cs="Calibri"/>
                <w:noProof/>
                <w:color w:val="000000"/>
                <w:sz w:val="20"/>
                <w:szCs w:val="20"/>
                <w:lang w:val="es-ES"/>
              </w:rPr>
            </w:pPr>
            <w:r w:rsidRPr="002C44DE">
              <w:rPr>
                <w:rFonts w:eastAsiaTheme="minorHAnsi" w:cs="Calibri"/>
                <w:noProof/>
                <w:color w:val="000000"/>
                <w:sz w:val="20"/>
                <w:szCs w:val="20"/>
                <w:lang w:val="es-ES"/>
              </w:rPr>
              <w:t>SGA-2016</w:t>
            </w:r>
          </w:p>
        </w:tc>
        <w:tc>
          <w:tcPr>
            <w:tcW w:w="1140" w:type="dxa"/>
            <w:gridSpan w:val="2"/>
            <w:tcBorders>
              <w:top w:val="nil"/>
              <w:left w:val="nil"/>
              <w:bottom w:val="nil"/>
              <w:right w:val="nil"/>
            </w:tcBorders>
          </w:tcPr>
          <w:p w14:paraId="35185028" w14:textId="77777777" w:rsidR="00740865" w:rsidRPr="002C44DE" w:rsidRDefault="00740865"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22</w:t>
            </w:r>
          </w:p>
        </w:tc>
        <w:tc>
          <w:tcPr>
            <w:tcW w:w="1005" w:type="dxa"/>
            <w:tcBorders>
              <w:top w:val="nil"/>
              <w:left w:val="nil"/>
              <w:bottom w:val="nil"/>
              <w:right w:val="nil"/>
            </w:tcBorders>
          </w:tcPr>
          <w:p w14:paraId="00C7D5A4" w14:textId="77777777" w:rsidR="00740865" w:rsidRPr="002C44DE" w:rsidRDefault="00740865"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06" w:type="dxa"/>
            <w:tcBorders>
              <w:top w:val="nil"/>
              <w:left w:val="nil"/>
              <w:bottom w:val="nil"/>
              <w:right w:val="nil"/>
            </w:tcBorders>
          </w:tcPr>
          <w:p w14:paraId="0D5BB685" w14:textId="77777777" w:rsidR="00740865" w:rsidRPr="002C44DE" w:rsidRDefault="00740865"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05" w:type="dxa"/>
            <w:gridSpan w:val="2"/>
            <w:tcBorders>
              <w:top w:val="nil"/>
              <w:left w:val="nil"/>
              <w:bottom w:val="nil"/>
              <w:right w:val="nil"/>
            </w:tcBorders>
          </w:tcPr>
          <w:p w14:paraId="1275B9CD" w14:textId="77777777" w:rsidR="00740865" w:rsidRPr="002C44DE" w:rsidRDefault="00740865"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4965B644" w14:textId="77777777" w:rsidR="00740865" w:rsidRPr="002C44DE" w:rsidRDefault="00740865"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22</w:t>
            </w:r>
          </w:p>
        </w:tc>
      </w:tr>
      <w:tr w:rsidR="00740865" w:rsidRPr="002C44DE" w14:paraId="174EA6FE" w14:textId="77777777" w:rsidTr="00CB5635">
        <w:tc>
          <w:tcPr>
            <w:tcW w:w="1306" w:type="dxa"/>
            <w:tcBorders>
              <w:top w:val="nil"/>
              <w:left w:val="nil"/>
              <w:bottom w:val="nil"/>
              <w:right w:val="nil"/>
            </w:tcBorders>
          </w:tcPr>
          <w:p w14:paraId="60010099" w14:textId="77777777" w:rsidR="00740865" w:rsidRPr="002C44DE" w:rsidRDefault="00740865"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R100364</w:t>
            </w:r>
          </w:p>
        </w:tc>
        <w:tc>
          <w:tcPr>
            <w:tcW w:w="3084" w:type="dxa"/>
            <w:gridSpan w:val="2"/>
            <w:tcBorders>
              <w:top w:val="nil"/>
              <w:left w:val="nil"/>
              <w:bottom w:val="nil"/>
              <w:right w:val="nil"/>
            </w:tcBorders>
          </w:tcPr>
          <w:p w14:paraId="2180C9F9" w14:textId="77777777" w:rsidR="00740865" w:rsidRPr="002C44DE" w:rsidRDefault="00740865" w:rsidP="001441B9">
            <w:pPr>
              <w:ind w:left="0" w:firstLine="0"/>
              <w:rPr>
                <w:rFonts w:eastAsiaTheme="minorHAnsi" w:cs="Calibri"/>
                <w:noProof/>
                <w:color w:val="000000"/>
                <w:sz w:val="20"/>
                <w:szCs w:val="20"/>
                <w:lang w:val="es-ES"/>
              </w:rPr>
            </w:pPr>
            <w:r w:rsidRPr="002C44DE">
              <w:rPr>
                <w:rFonts w:eastAsiaTheme="minorHAnsi" w:cs="Calibri"/>
                <w:noProof/>
                <w:color w:val="000000"/>
                <w:sz w:val="20"/>
                <w:szCs w:val="20"/>
                <w:lang w:val="es-ES"/>
              </w:rPr>
              <w:t>WFF-2014</w:t>
            </w:r>
          </w:p>
        </w:tc>
        <w:tc>
          <w:tcPr>
            <w:tcW w:w="1140" w:type="dxa"/>
            <w:gridSpan w:val="2"/>
            <w:tcBorders>
              <w:top w:val="nil"/>
              <w:left w:val="nil"/>
              <w:bottom w:val="nil"/>
              <w:right w:val="nil"/>
            </w:tcBorders>
          </w:tcPr>
          <w:p w14:paraId="64D10782" w14:textId="3661F872" w:rsidR="00740865" w:rsidRPr="002C44DE" w:rsidRDefault="0012707B"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26</w:t>
            </w:r>
          </w:p>
        </w:tc>
        <w:tc>
          <w:tcPr>
            <w:tcW w:w="1005" w:type="dxa"/>
            <w:tcBorders>
              <w:top w:val="nil"/>
              <w:left w:val="nil"/>
              <w:bottom w:val="nil"/>
              <w:right w:val="nil"/>
            </w:tcBorders>
          </w:tcPr>
          <w:p w14:paraId="4219ECF4" w14:textId="77777777" w:rsidR="00740865" w:rsidRPr="002C44DE" w:rsidRDefault="00740865"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06" w:type="dxa"/>
            <w:tcBorders>
              <w:top w:val="nil"/>
              <w:left w:val="nil"/>
              <w:bottom w:val="nil"/>
              <w:right w:val="nil"/>
            </w:tcBorders>
          </w:tcPr>
          <w:p w14:paraId="77A4279A" w14:textId="6784FB1D" w:rsidR="00740865" w:rsidRPr="002C44DE" w:rsidRDefault="0012707B"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05" w:type="dxa"/>
            <w:gridSpan w:val="2"/>
            <w:tcBorders>
              <w:top w:val="nil"/>
              <w:left w:val="nil"/>
              <w:bottom w:val="nil"/>
              <w:right w:val="nil"/>
            </w:tcBorders>
          </w:tcPr>
          <w:p w14:paraId="6F902C6A" w14:textId="77777777" w:rsidR="00740865" w:rsidRPr="002C44DE" w:rsidRDefault="00740865"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0904C6E3" w14:textId="77777777" w:rsidR="00740865" w:rsidRPr="002C44DE" w:rsidRDefault="00740865"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26</w:t>
            </w:r>
          </w:p>
        </w:tc>
      </w:tr>
      <w:tr w:rsidR="00740865" w:rsidRPr="002C44DE" w14:paraId="18F4C442" w14:textId="77777777" w:rsidTr="00CB5635">
        <w:tc>
          <w:tcPr>
            <w:tcW w:w="1306" w:type="dxa"/>
            <w:tcBorders>
              <w:top w:val="nil"/>
              <w:left w:val="nil"/>
              <w:bottom w:val="nil"/>
              <w:right w:val="nil"/>
            </w:tcBorders>
          </w:tcPr>
          <w:p w14:paraId="3F691E6A" w14:textId="77777777" w:rsidR="00740865" w:rsidRPr="002C44DE" w:rsidRDefault="00740865"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R100365</w:t>
            </w:r>
          </w:p>
        </w:tc>
        <w:tc>
          <w:tcPr>
            <w:tcW w:w="3084" w:type="dxa"/>
            <w:gridSpan w:val="2"/>
            <w:tcBorders>
              <w:top w:val="nil"/>
              <w:left w:val="nil"/>
              <w:bottom w:val="nil"/>
              <w:right w:val="nil"/>
            </w:tcBorders>
          </w:tcPr>
          <w:p w14:paraId="3EC08E91" w14:textId="73A26F3C" w:rsidR="00740865" w:rsidRPr="002C44DE" w:rsidRDefault="00740865" w:rsidP="001441B9">
            <w:pPr>
              <w:ind w:left="0" w:firstLine="0"/>
              <w:rPr>
                <w:rFonts w:eastAsiaTheme="minorHAnsi" w:cs="Calibri"/>
                <w:noProof/>
                <w:color w:val="000000"/>
                <w:sz w:val="20"/>
                <w:szCs w:val="20"/>
                <w:lang w:val="es-ES"/>
              </w:rPr>
            </w:pPr>
            <w:r w:rsidRPr="002C44DE">
              <w:rPr>
                <w:rFonts w:eastAsiaTheme="minorHAnsi" w:cs="Calibri"/>
                <w:noProof/>
                <w:color w:val="000000"/>
                <w:sz w:val="20"/>
                <w:szCs w:val="20"/>
                <w:lang w:val="es-ES"/>
              </w:rPr>
              <w:t>WFF - 2015-</w:t>
            </w:r>
            <w:r w:rsidR="004356A8" w:rsidRPr="002C44DE">
              <w:rPr>
                <w:rFonts w:eastAsiaTheme="minorHAnsi" w:cs="Calibri"/>
                <w:noProof/>
                <w:color w:val="000000"/>
                <w:sz w:val="20"/>
                <w:szCs w:val="20"/>
                <w:lang w:val="es-ES"/>
              </w:rPr>
              <w:t>2021</w:t>
            </w:r>
          </w:p>
        </w:tc>
        <w:tc>
          <w:tcPr>
            <w:tcW w:w="1140" w:type="dxa"/>
            <w:gridSpan w:val="2"/>
            <w:tcBorders>
              <w:top w:val="nil"/>
              <w:left w:val="nil"/>
              <w:bottom w:val="nil"/>
              <w:right w:val="nil"/>
            </w:tcBorders>
          </w:tcPr>
          <w:p w14:paraId="7C2A2424" w14:textId="3992399F" w:rsidR="00740865" w:rsidRPr="002C44DE" w:rsidRDefault="0012707B"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188</w:t>
            </w:r>
          </w:p>
        </w:tc>
        <w:tc>
          <w:tcPr>
            <w:tcW w:w="1005" w:type="dxa"/>
            <w:tcBorders>
              <w:top w:val="nil"/>
              <w:left w:val="nil"/>
              <w:bottom w:val="nil"/>
              <w:right w:val="nil"/>
            </w:tcBorders>
          </w:tcPr>
          <w:p w14:paraId="77B9869D" w14:textId="39B96719" w:rsidR="00740865" w:rsidRPr="002C44DE" w:rsidRDefault="0012707B"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19</w:t>
            </w:r>
          </w:p>
        </w:tc>
        <w:tc>
          <w:tcPr>
            <w:tcW w:w="1006" w:type="dxa"/>
            <w:tcBorders>
              <w:top w:val="nil"/>
              <w:left w:val="nil"/>
              <w:bottom w:val="nil"/>
              <w:right w:val="nil"/>
            </w:tcBorders>
          </w:tcPr>
          <w:p w14:paraId="236E39E3" w14:textId="18B4F7DC" w:rsidR="00740865" w:rsidRPr="002C44DE" w:rsidRDefault="00740865"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r w:rsidR="0012707B" w:rsidRPr="002C44DE">
              <w:rPr>
                <w:rFonts w:eastAsiaTheme="minorHAnsi" w:cs="Calibri"/>
                <w:noProof/>
                <w:color w:val="000000"/>
                <w:sz w:val="20"/>
                <w:szCs w:val="20"/>
                <w:lang w:val="es-ES"/>
              </w:rPr>
              <w:t>56</w:t>
            </w:r>
            <w:r w:rsidRPr="002C44DE">
              <w:rPr>
                <w:rFonts w:eastAsiaTheme="minorHAnsi" w:cs="Calibri"/>
                <w:noProof/>
                <w:color w:val="000000"/>
                <w:sz w:val="20"/>
                <w:szCs w:val="20"/>
                <w:lang w:val="es-ES"/>
              </w:rPr>
              <w:t>)</w:t>
            </w:r>
          </w:p>
        </w:tc>
        <w:tc>
          <w:tcPr>
            <w:tcW w:w="1005" w:type="dxa"/>
            <w:gridSpan w:val="2"/>
            <w:tcBorders>
              <w:top w:val="nil"/>
              <w:left w:val="nil"/>
              <w:bottom w:val="nil"/>
              <w:right w:val="nil"/>
            </w:tcBorders>
          </w:tcPr>
          <w:p w14:paraId="56AF6EE3" w14:textId="71957B3A" w:rsidR="00740865" w:rsidRPr="002C44DE" w:rsidRDefault="0012707B"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233DE7DD" w14:textId="0EA544C7" w:rsidR="00740865" w:rsidRPr="002C44DE" w:rsidRDefault="0012707B"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150</w:t>
            </w:r>
          </w:p>
        </w:tc>
      </w:tr>
      <w:tr w:rsidR="00740865" w:rsidRPr="002C44DE" w14:paraId="566F7E4D" w14:textId="77777777" w:rsidTr="00CB5635">
        <w:tc>
          <w:tcPr>
            <w:tcW w:w="1306" w:type="dxa"/>
            <w:tcBorders>
              <w:top w:val="nil"/>
              <w:left w:val="nil"/>
              <w:bottom w:val="nil"/>
              <w:right w:val="nil"/>
            </w:tcBorders>
          </w:tcPr>
          <w:p w14:paraId="0119C995" w14:textId="77777777" w:rsidR="00740865" w:rsidRPr="002C44DE" w:rsidRDefault="00740865"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R100407</w:t>
            </w:r>
          </w:p>
        </w:tc>
        <w:tc>
          <w:tcPr>
            <w:tcW w:w="3084" w:type="dxa"/>
            <w:gridSpan w:val="2"/>
            <w:tcBorders>
              <w:top w:val="nil"/>
              <w:left w:val="nil"/>
              <w:bottom w:val="nil"/>
              <w:right w:val="nil"/>
            </w:tcBorders>
          </w:tcPr>
          <w:p w14:paraId="5557160B" w14:textId="4433416B" w:rsidR="00740865" w:rsidRPr="002C44DE" w:rsidRDefault="00740865" w:rsidP="001441B9">
            <w:pPr>
              <w:ind w:left="0" w:firstLine="0"/>
              <w:rPr>
                <w:rFonts w:eastAsiaTheme="minorHAnsi" w:cs="Calibri"/>
                <w:noProof/>
                <w:color w:val="000000"/>
                <w:sz w:val="20"/>
                <w:szCs w:val="20"/>
                <w:lang w:val="es-ES"/>
              </w:rPr>
            </w:pPr>
            <w:r w:rsidRPr="002C44DE">
              <w:rPr>
                <w:rFonts w:eastAsiaTheme="minorHAnsi" w:cs="Calibri"/>
                <w:noProof/>
                <w:color w:val="000000"/>
                <w:sz w:val="20"/>
                <w:szCs w:val="20"/>
                <w:lang w:val="es-ES"/>
              </w:rPr>
              <w:t>RI Central Asia (</w:t>
            </w:r>
            <w:r w:rsidR="0051619C" w:rsidRPr="002C44DE">
              <w:rPr>
                <w:rFonts w:eastAsiaTheme="minorHAnsi" w:cs="Calibri"/>
                <w:noProof/>
                <w:color w:val="000000"/>
                <w:sz w:val="20"/>
                <w:szCs w:val="20"/>
                <w:lang w:val="es-ES"/>
              </w:rPr>
              <w:t>Noruega</w:t>
            </w:r>
            <w:r w:rsidRPr="002C44DE">
              <w:rPr>
                <w:rFonts w:eastAsiaTheme="minorHAnsi" w:cs="Calibri"/>
                <w:noProof/>
                <w:color w:val="000000"/>
                <w:sz w:val="20"/>
                <w:szCs w:val="20"/>
                <w:lang w:val="es-ES"/>
              </w:rPr>
              <w:t>)</w:t>
            </w:r>
          </w:p>
        </w:tc>
        <w:tc>
          <w:tcPr>
            <w:tcW w:w="1140" w:type="dxa"/>
            <w:gridSpan w:val="2"/>
            <w:tcBorders>
              <w:top w:val="nil"/>
              <w:left w:val="nil"/>
              <w:bottom w:val="nil"/>
              <w:right w:val="nil"/>
            </w:tcBorders>
          </w:tcPr>
          <w:p w14:paraId="08F597B1" w14:textId="77777777" w:rsidR="00740865" w:rsidRPr="002C44DE" w:rsidRDefault="00740865"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3</w:t>
            </w:r>
          </w:p>
        </w:tc>
        <w:tc>
          <w:tcPr>
            <w:tcW w:w="1005" w:type="dxa"/>
            <w:tcBorders>
              <w:top w:val="nil"/>
              <w:left w:val="nil"/>
              <w:bottom w:val="nil"/>
              <w:right w:val="nil"/>
            </w:tcBorders>
          </w:tcPr>
          <w:p w14:paraId="50C90B43" w14:textId="77777777" w:rsidR="00740865" w:rsidRPr="002C44DE" w:rsidRDefault="00740865"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06" w:type="dxa"/>
            <w:tcBorders>
              <w:top w:val="nil"/>
              <w:left w:val="nil"/>
              <w:bottom w:val="nil"/>
              <w:right w:val="nil"/>
            </w:tcBorders>
          </w:tcPr>
          <w:p w14:paraId="4BC1D864" w14:textId="754C3E90" w:rsidR="00740865" w:rsidRPr="002C44DE" w:rsidRDefault="0012707B"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(2)</w:t>
            </w:r>
          </w:p>
        </w:tc>
        <w:tc>
          <w:tcPr>
            <w:tcW w:w="1005" w:type="dxa"/>
            <w:gridSpan w:val="2"/>
            <w:tcBorders>
              <w:top w:val="nil"/>
              <w:left w:val="nil"/>
              <w:bottom w:val="nil"/>
              <w:right w:val="nil"/>
            </w:tcBorders>
          </w:tcPr>
          <w:p w14:paraId="66974001" w14:textId="77777777" w:rsidR="00740865" w:rsidRPr="002C44DE" w:rsidRDefault="00740865"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537F51BC" w14:textId="090903F7" w:rsidR="00740865" w:rsidRPr="002C44DE" w:rsidRDefault="0012707B"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0</w:t>
            </w:r>
          </w:p>
        </w:tc>
      </w:tr>
      <w:tr w:rsidR="00740865" w:rsidRPr="002C44DE" w14:paraId="45847551" w14:textId="77777777" w:rsidTr="00CB5635">
        <w:tc>
          <w:tcPr>
            <w:tcW w:w="1306" w:type="dxa"/>
            <w:tcBorders>
              <w:top w:val="nil"/>
              <w:left w:val="nil"/>
              <w:bottom w:val="nil"/>
              <w:right w:val="nil"/>
            </w:tcBorders>
          </w:tcPr>
          <w:p w14:paraId="0E4D241F" w14:textId="77777777" w:rsidR="00740865" w:rsidRPr="002C44DE" w:rsidRDefault="00740865"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R100408</w:t>
            </w:r>
          </w:p>
        </w:tc>
        <w:tc>
          <w:tcPr>
            <w:tcW w:w="3084" w:type="dxa"/>
            <w:gridSpan w:val="2"/>
            <w:tcBorders>
              <w:top w:val="nil"/>
              <w:left w:val="nil"/>
              <w:bottom w:val="nil"/>
              <w:right w:val="nil"/>
            </w:tcBorders>
          </w:tcPr>
          <w:p w14:paraId="406F6C10" w14:textId="453ADA7C" w:rsidR="00740865" w:rsidRPr="002C44DE" w:rsidRDefault="00740865" w:rsidP="001441B9">
            <w:pPr>
              <w:ind w:left="0" w:firstLine="0"/>
              <w:rPr>
                <w:rFonts w:eastAsiaTheme="minorHAnsi" w:cs="Calibri"/>
                <w:noProof/>
                <w:color w:val="000000"/>
                <w:sz w:val="20"/>
                <w:szCs w:val="20"/>
                <w:lang w:val="es-ES"/>
              </w:rPr>
            </w:pPr>
            <w:r w:rsidRPr="002C44DE">
              <w:rPr>
                <w:rFonts w:eastAsiaTheme="minorHAnsi" w:cs="Calibri"/>
                <w:noProof/>
                <w:color w:val="000000"/>
                <w:sz w:val="20"/>
                <w:szCs w:val="20"/>
                <w:lang w:val="es-ES"/>
              </w:rPr>
              <w:t>Nagao Wetland Fund (NEF Jap</w:t>
            </w:r>
            <w:r w:rsidR="0051619C" w:rsidRPr="002C44DE">
              <w:rPr>
                <w:rFonts w:eastAsiaTheme="minorHAnsi" w:cs="Calibri"/>
                <w:noProof/>
                <w:color w:val="000000"/>
                <w:sz w:val="20"/>
                <w:szCs w:val="20"/>
                <w:lang w:val="es-ES"/>
              </w:rPr>
              <w:t>ó</w:t>
            </w:r>
            <w:r w:rsidRPr="002C44DE">
              <w:rPr>
                <w:rFonts w:eastAsiaTheme="minorHAnsi" w:cs="Calibri"/>
                <w:noProof/>
                <w:color w:val="000000"/>
                <w:sz w:val="20"/>
                <w:szCs w:val="20"/>
                <w:lang w:val="es-ES"/>
              </w:rPr>
              <w:t>n)</w:t>
            </w:r>
          </w:p>
        </w:tc>
        <w:tc>
          <w:tcPr>
            <w:tcW w:w="1140" w:type="dxa"/>
            <w:gridSpan w:val="2"/>
            <w:tcBorders>
              <w:top w:val="nil"/>
              <w:left w:val="nil"/>
              <w:bottom w:val="nil"/>
              <w:right w:val="nil"/>
            </w:tcBorders>
          </w:tcPr>
          <w:p w14:paraId="0D918180" w14:textId="39E9D2B4" w:rsidR="00740865" w:rsidRPr="002C44DE" w:rsidRDefault="0012707B"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159</w:t>
            </w:r>
          </w:p>
        </w:tc>
        <w:tc>
          <w:tcPr>
            <w:tcW w:w="1005" w:type="dxa"/>
            <w:tcBorders>
              <w:top w:val="nil"/>
              <w:left w:val="nil"/>
              <w:bottom w:val="nil"/>
              <w:right w:val="nil"/>
            </w:tcBorders>
          </w:tcPr>
          <w:p w14:paraId="2221BD41" w14:textId="77777777" w:rsidR="00740865" w:rsidRPr="002C44DE" w:rsidRDefault="00740865"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06" w:type="dxa"/>
            <w:tcBorders>
              <w:top w:val="nil"/>
              <w:left w:val="nil"/>
              <w:bottom w:val="nil"/>
              <w:right w:val="nil"/>
            </w:tcBorders>
          </w:tcPr>
          <w:p w14:paraId="03663178" w14:textId="77777777" w:rsidR="00740865" w:rsidRPr="002C44DE" w:rsidRDefault="00740865"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(19)</w:t>
            </w:r>
          </w:p>
        </w:tc>
        <w:tc>
          <w:tcPr>
            <w:tcW w:w="1005" w:type="dxa"/>
            <w:gridSpan w:val="2"/>
            <w:tcBorders>
              <w:top w:val="nil"/>
              <w:left w:val="nil"/>
              <w:bottom w:val="nil"/>
              <w:right w:val="nil"/>
            </w:tcBorders>
          </w:tcPr>
          <w:p w14:paraId="02848DAF" w14:textId="77777777" w:rsidR="00740865" w:rsidRPr="002C44DE" w:rsidRDefault="00740865"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323C11D2" w14:textId="5A45112A" w:rsidR="00740865" w:rsidRPr="002C44DE" w:rsidRDefault="0012707B"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140</w:t>
            </w:r>
          </w:p>
        </w:tc>
      </w:tr>
      <w:tr w:rsidR="00740865" w:rsidRPr="002C44DE" w14:paraId="2F5E580F" w14:textId="77777777" w:rsidTr="00CB5635">
        <w:tc>
          <w:tcPr>
            <w:tcW w:w="1306" w:type="dxa"/>
            <w:tcBorders>
              <w:top w:val="nil"/>
              <w:left w:val="nil"/>
              <w:bottom w:val="single" w:sz="12" w:space="0" w:color="auto"/>
              <w:right w:val="nil"/>
            </w:tcBorders>
          </w:tcPr>
          <w:p w14:paraId="05956E9C" w14:textId="77777777" w:rsidR="00740865" w:rsidRPr="002C44DE" w:rsidRDefault="00740865" w:rsidP="00BC15DE">
            <w:pPr>
              <w:rPr>
                <w:rFonts w:eastAsiaTheme="minorHAnsi" w:cs="Calibri"/>
                <w:noProof/>
                <w:color w:val="000000"/>
                <w:lang w:val="es-ES"/>
              </w:rPr>
            </w:pPr>
          </w:p>
        </w:tc>
        <w:tc>
          <w:tcPr>
            <w:tcW w:w="3084" w:type="dxa"/>
            <w:gridSpan w:val="2"/>
            <w:tcBorders>
              <w:top w:val="nil"/>
              <w:left w:val="nil"/>
              <w:bottom w:val="single" w:sz="12" w:space="0" w:color="auto"/>
              <w:right w:val="nil"/>
            </w:tcBorders>
          </w:tcPr>
          <w:p w14:paraId="50C10367" w14:textId="77777777" w:rsidR="00740865" w:rsidRPr="002C44DE" w:rsidRDefault="00740865" w:rsidP="00BC15DE">
            <w:pPr>
              <w:rPr>
                <w:rFonts w:eastAsiaTheme="minorHAnsi" w:cs="Calibri"/>
                <w:noProof/>
                <w:color w:val="000000"/>
                <w:lang w:val="es-ES"/>
              </w:rPr>
            </w:pPr>
          </w:p>
        </w:tc>
        <w:tc>
          <w:tcPr>
            <w:tcW w:w="1140" w:type="dxa"/>
            <w:gridSpan w:val="2"/>
            <w:tcBorders>
              <w:top w:val="nil"/>
              <w:left w:val="nil"/>
              <w:bottom w:val="single" w:sz="12" w:space="0" w:color="auto"/>
              <w:right w:val="nil"/>
            </w:tcBorders>
          </w:tcPr>
          <w:p w14:paraId="17AC711E" w14:textId="77777777" w:rsidR="00740865" w:rsidRPr="002C44DE" w:rsidRDefault="00740865" w:rsidP="00BC15DE">
            <w:pPr>
              <w:rPr>
                <w:rFonts w:eastAsiaTheme="minorHAnsi" w:cs="Calibri"/>
                <w:noProof/>
                <w:color w:val="000000"/>
                <w:lang w:val="es-ES"/>
              </w:rPr>
            </w:pPr>
          </w:p>
        </w:tc>
        <w:tc>
          <w:tcPr>
            <w:tcW w:w="1005" w:type="dxa"/>
            <w:tcBorders>
              <w:top w:val="nil"/>
              <w:left w:val="nil"/>
              <w:bottom w:val="single" w:sz="12" w:space="0" w:color="auto"/>
              <w:right w:val="nil"/>
            </w:tcBorders>
          </w:tcPr>
          <w:p w14:paraId="4D7C588D" w14:textId="77777777" w:rsidR="00740865" w:rsidRPr="002C44DE" w:rsidRDefault="00740865" w:rsidP="00BC15DE">
            <w:pPr>
              <w:rPr>
                <w:rFonts w:eastAsiaTheme="minorHAnsi" w:cs="Calibri"/>
                <w:noProof/>
                <w:color w:val="000000"/>
                <w:lang w:val="es-ES"/>
              </w:rPr>
            </w:pPr>
          </w:p>
        </w:tc>
        <w:tc>
          <w:tcPr>
            <w:tcW w:w="1006" w:type="dxa"/>
            <w:tcBorders>
              <w:top w:val="nil"/>
              <w:left w:val="nil"/>
              <w:bottom w:val="single" w:sz="12" w:space="0" w:color="auto"/>
              <w:right w:val="nil"/>
            </w:tcBorders>
          </w:tcPr>
          <w:p w14:paraId="365DEC18" w14:textId="77777777" w:rsidR="00740865" w:rsidRPr="002C44DE" w:rsidRDefault="00740865" w:rsidP="00BC15DE">
            <w:pPr>
              <w:rPr>
                <w:rFonts w:eastAsiaTheme="minorHAnsi" w:cs="Calibri"/>
                <w:noProof/>
                <w:color w:val="000000"/>
                <w:lang w:val="es-ES"/>
              </w:rPr>
            </w:pPr>
          </w:p>
        </w:tc>
        <w:tc>
          <w:tcPr>
            <w:tcW w:w="1005" w:type="dxa"/>
            <w:gridSpan w:val="2"/>
            <w:tcBorders>
              <w:top w:val="nil"/>
              <w:left w:val="nil"/>
              <w:bottom w:val="single" w:sz="12" w:space="0" w:color="auto"/>
              <w:right w:val="nil"/>
            </w:tcBorders>
          </w:tcPr>
          <w:p w14:paraId="4C372A83" w14:textId="77777777" w:rsidR="00740865" w:rsidRPr="002C44DE" w:rsidRDefault="00740865" w:rsidP="00BC15DE">
            <w:pPr>
              <w:rPr>
                <w:rFonts w:eastAsiaTheme="minorHAnsi" w:cs="Calibri"/>
                <w:noProof/>
                <w:color w:val="000000"/>
                <w:lang w:val="es-ES"/>
              </w:rPr>
            </w:pPr>
          </w:p>
        </w:tc>
        <w:tc>
          <w:tcPr>
            <w:tcW w:w="1030" w:type="dxa"/>
            <w:gridSpan w:val="2"/>
            <w:tcBorders>
              <w:top w:val="nil"/>
              <w:left w:val="nil"/>
              <w:bottom w:val="single" w:sz="12" w:space="0" w:color="auto"/>
              <w:right w:val="nil"/>
            </w:tcBorders>
          </w:tcPr>
          <w:p w14:paraId="7B66BC9A" w14:textId="77777777" w:rsidR="00740865" w:rsidRPr="002C44DE" w:rsidRDefault="00740865" w:rsidP="00BC15DE">
            <w:pPr>
              <w:rPr>
                <w:rFonts w:eastAsiaTheme="minorHAnsi" w:cs="Calibri"/>
                <w:noProof/>
                <w:color w:val="000000"/>
                <w:lang w:val="es-ES"/>
              </w:rPr>
            </w:pPr>
          </w:p>
        </w:tc>
      </w:tr>
      <w:tr w:rsidR="00740865" w:rsidRPr="002C44DE" w14:paraId="55D196FC" w14:textId="77777777" w:rsidTr="00CB5635">
        <w:tc>
          <w:tcPr>
            <w:tcW w:w="4390" w:type="dxa"/>
            <w:gridSpan w:val="3"/>
            <w:tcBorders>
              <w:top w:val="single" w:sz="12" w:space="0" w:color="auto"/>
              <w:left w:val="nil"/>
              <w:bottom w:val="single" w:sz="12" w:space="0" w:color="auto"/>
              <w:right w:val="nil"/>
            </w:tcBorders>
            <w:shd w:val="clear" w:color="auto" w:fill="EAF1DD" w:themeFill="accent3" w:themeFillTint="33"/>
          </w:tcPr>
          <w:p w14:paraId="5164F185" w14:textId="77C59755" w:rsidR="00740865" w:rsidRPr="002C44DE" w:rsidRDefault="00740865" w:rsidP="00BC15DE">
            <w:pPr>
              <w:rPr>
                <w:rFonts w:eastAsiaTheme="minorHAnsi" w:cs="Calibri"/>
                <w:b/>
                <w:bCs/>
                <w:noProof/>
                <w:color w:val="000000"/>
                <w:sz w:val="20"/>
                <w:szCs w:val="20"/>
                <w:lang w:val="es-ES"/>
              </w:rPr>
            </w:pPr>
            <w:r w:rsidRPr="002C44DE">
              <w:rPr>
                <w:rFonts w:eastAsiaTheme="minorHAnsi" w:cs="Calibri"/>
                <w:b/>
                <w:bCs/>
                <w:noProof/>
                <w:color w:val="000000"/>
                <w:sz w:val="20"/>
                <w:szCs w:val="20"/>
                <w:lang w:val="es-ES"/>
              </w:rPr>
              <w:t>Total</w:t>
            </w:r>
            <w:r w:rsidR="0051619C" w:rsidRPr="002C44DE">
              <w:rPr>
                <w:rFonts w:eastAsiaTheme="minorHAnsi" w:cs="Calibri"/>
                <w:b/>
                <w:bCs/>
                <w:noProof/>
                <w:color w:val="000000"/>
                <w:sz w:val="20"/>
                <w:szCs w:val="20"/>
                <w:lang w:val="es-ES"/>
              </w:rPr>
              <w:t>, Cooperación Internacional</w:t>
            </w:r>
          </w:p>
        </w:tc>
        <w:tc>
          <w:tcPr>
            <w:tcW w:w="1140" w:type="dxa"/>
            <w:gridSpan w:val="2"/>
            <w:tcBorders>
              <w:top w:val="nil"/>
              <w:left w:val="nil"/>
              <w:bottom w:val="single" w:sz="12" w:space="0" w:color="auto"/>
              <w:right w:val="nil"/>
            </w:tcBorders>
            <w:shd w:val="clear" w:color="auto" w:fill="EAF1DD" w:themeFill="accent3" w:themeFillTint="33"/>
          </w:tcPr>
          <w:p w14:paraId="28924C64" w14:textId="26B066EE" w:rsidR="00740865" w:rsidRPr="002C44DE" w:rsidRDefault="0012707B" w:rsidP="00BC15DE">
            <w:pPr>
              <w:rPr>
                <w:rFonts w:eastAsiaTheme="minorHAnsi" w:cs="Calibri"/>
                <w:b/>
                <w:bCs/>
                <w:noProof/>
                <w:color w:val="000000"/>
                <w:sz w:val="20"/>
                <w:szCs w:val="20"/>
                <w:lang w:val="es-ES"/>
              </w:rPr>
            </w:pPr>
            <w:r w:rsidRPr="002C44DE">
              <w:rPr>
                <w:rFonts w:eastAsiaTheme="minorHAnsi" w:cs="Calibri"/>
                <w:b/>
                <w:bCs/>
                <w:noProof/>
                <w:color w:val="000000"/>
                <w:sz w:val="20"/>
                <w:szCs w:val="20"/>
                <w:lang w:val="es-ES"/>
              </w:rPr>
              <w:t>681</w:t>
            </w:r>
          </w:p>
        </w:tc>
        <w:tc>
          <w:tcPr>
            <w:tcW w:w="1005" w:type="dxa"/>
            <w:tcBorders>
              <w:top w:val="nil"/>
              <w:left w:val="nil"/>
              <w:bottom w:val="single" w:sz="12" w:space="0" w:color="auto"/>
              <w:right w:val="nil"/>
            </w:tcBorders>
            <w:shd w:val="clear" w:color="auto" w:fill="EAF1DD" w:themeFill="accent3" w:themeFillTint="33"/>
          </w:tcPr>
          <w:p w14:paraId="0F896056" w14:textId="586976CD" w:rsidR="00740865" w:rsidRPr="002C44DE" w:rsidRDefault="0012707B" w:rsidP="00BC15DE">
            <w:pPr>
              <w:rPr>
                <w:rFonts w:eastAsiaTheme="minorHAnsi" w:cs="Calibri"/>
                <w:b/>
                <w:bCs/>
                <w:noProof/>
                <w:color w:val="000000"/>
                <w:sz w:val="20"/>
                <w:szCs w:val="20"/>
                <w:lang w:val="es-ES"/>
              </w:rPr>
            </w:pPr>
            <w:r w:rsidRPr="002C44DE">
              <w:rPr>
                <w:rFonts w:eastAsiaTheme="minorHAnsi" w:cs="Calibri"/>
                <w:b/>
                <w:bCs/>
                <w:noProof/>
                <w:color w:val="000000"/>
                <w:sz w:val="20"/>
                <w:szCs w:val="20"/>
                <w:lang w:val="es-ES"/>
              </w:rPr>
              <w:t>19</w:t>
            </w:r>
          </w:p>
        </w:tc>
        <w:tc>
          <w:tcPr>
            <w:tcW w:w="1006" w:type="dxa"/>
            <w:tcBorders>
              <w:top w:val="single" w:sz="12" w:space="0" w:color="auto"/>
              <w:left w:val="nil"/>
              <w:bottom w:val="single" w:sz="12" w:space="0" w:color="auto"/>
              <w:right w:val="nil"/>
            </w:tcBorders>
            <w:shd w:val="clear" w:color="auto" w:fill="EAF1DD" w:themeFill="accent3" w:themeFillTint="33"/>
          </w:tcPr>
          <w:p w14:paraId="24418C13" w14:textId="60FF751B" w:rsidR="00740865" w:rsidRPr="002C44DE" w:rsidRDefault="00740865" w:rsidP="00BC15DE">
            <w:pPr>
              <w:rPr>
                <w:rFonts w:eastAsiaTheme="minorHAnsi" w:cs="Calibri"/>
                <w:b/>
                <w:bCs/>
                <w:noProof/>
                <w:color w:val="000000"/>
                <w:sz w:val="20"/>
                <w:szCs w:val="20"/>
                <w:lang w:val="es-ES"/>
              </w:rPr>
            </w:pPr>
            <w:r w:rsidRPr="002C44DE">
              <w:rPr>
                <w:rFonts w:eastAsiaTheme="minorHAnsi" w:cs="Calibri"/>
                <w:b/>
                <w:bCs/>
                <w:noProof/>
                <w:color w:val="000000"/>
                <w:sz w:val="20"/>
                <w:szCs w:val="20"/>
                <w:lang w:val="es-ES"/>
              </w:rPr>
              <w:t>(</w:t>
            </w:r>
            <w:r w:rsidR="0012707B" w:rsidRPr="002C44DE">
              <w:rPr>
                <w:rFonts w:eastAsiaTheme="minorHAnsi" w:cs="Calibri"/>
                <w:b/>
                <w:bCs/>
                <w:noProof/>
                <w:color w:val="000000"/>
                <w:sz w:val="20"/>
                <w:szCs w:val="20"/>
                <w:lang w:val="es-ES"/>
              </w:rPr>
              <w:t>114</w:t>
            </w:r>
            <w:r w:rsidRPr="002C44DE">
              <w:rPr>
                <w:rFonts w:eastAsiaTheme="minorHAnsi" w:cs="Calibri"/>
                <w:b/>
                <w:bCs/>
                <w:noProof/>
                <w:color w:val="000000"/>
                <w:sz w:val="20"/>
                <w:szCs w:val="20"/>
                <w:lang w:val="es-ES"/>
              </w:rPr>
              <w:t>)</w:t>
            </w:r>
          </w:p>
        </w:tc>
        <w:tc>
          <w:tcPr>
            <w:tcW w:w="1005" w:type="dxa"/>
            <w:gridSpan w:val="2"/>
            <w:tcBorders>
              <w:top w:val="single" w:sz="12" w:space="0" w:color="auto"/>
              <w:left w:val="nil"/>
              <w:bottom w:val="single" w:sz="12" w:space="0" w:color="auto"/>
              <w:right w:val="nil"/>
            </w:tcBorders>
            <w:shd w:val="clear" w:color="auto" w:fill="EAF1DD" w:themeFill="accent3" w:themeFillTint="33"/>
          </w:tcPr>
          <w:p w14:paraId="01A77DA9" w14:textId="433C7675" w:rsidR="00740865" w:rsidRPr="002C44DE" w:rsidRDefault="0012707B" w:rsidP="00BC15DE">
            <w:pPr>
              <w:rPr>
                <w:rFonts w:eastAsiaTheme="minorHAnsi" w:cs="Calibri"/>
                <w:b/>
                <w:bCs/>
                <w:noProof/>
                <w:color w:val="000000"/>
                <w:sz w:val="20"/>
                <w:szCs w:val="20"/>
                <w:lang w:val="es-ES"/>
              </w:rPr>
            </w:pPr>
            <w:r w:rsidRPr="002C44DE">
              <w:rPr>
                <w:rFonts w:eastAsiaTheme="minorHAnsi" w:cs="Calibri"/>
                <w:b/>
                <w:bCs/>
                <w:noProof/>
                <w:color w:val="000000"/>
                <w:sz w:val="20"/>
                <w:szCs w:val="20"/>
                <w:lang w:val="es-ES"/>
              </w:rPr>
              <w:t>-</w:t>
            </w:r>
          </w:p>
        </w:tc>
        <w:tc>
          <w:tcPr>
            <w:tcW w:w="1030" w:type="dxa"/>
            <w:gridSpan w:val="2"/>
            <w:tcBorders>
              <w:top w:val="single" w:sz="12" w:space="0" w:color="auto"/>
              <w:left w:val="nil"/>
              <w:bottom w:val="single" w:sz="12" w:space="0" w:color="auto"/>
              <w:right w:val="nil"/>
            </w:tcBorders>
            <w:shd w:val="clear" w:color="auto" w:fill="EAF1DD" w:themeFill="accent3" w:themeFillTint="33"/>
          </w:tcPr>
          <w:p w14:paraId="118C7E2F" w14:textId="019944B1" w:rsidR="00740865" w:rsidRPr="002C44DE" w:rsidRDefault="0012707B" w:rsidP="00BC15DE">
            <w:pPr>
              <w:rPr>
                <w:rFonts w:eastAsiaTheme="minorHAnsi" w:cs="Calibri"/>
                <w:b/>
                <w:bCs/>
                <w:noProof/>
                <w:color w:val="000000"/>
                <w:sz w:val="20"/>
                <w:szCs w:val="20"/>
                <w:lang w:val="es-ES"/>
              </w:rPr>
            </w:pPr>
            <w:r w:rsidRPr="002C44DE">
              <w:rPr>
                <w:rFonts w:eastAsiaTheme="minorHAnsi" w:cs="Calibri"/>
                <w:b/>
                <w:bCs/>
                <w:noProof/>
                <w:color w:val="000000"/>
                <w:sz w:val="20"/>
                <w:szCs w:val="20"/>
                <w:lang w:val="es-ES"/>
              </w:rPr>
              <w:t>586</w:t>
            </w:r>
          </w:p>
        </w:tc>
      </w:tr>
      <w:tr w:rsidR="00740865" w:rsidRPr="002C44DE" w14:paraId="329224E0" w14:textId="77777777" w:rsidTr="00CB5635">
        <w:tc>
          <w:tcPr>
            <w:tcW w:w="1306" w:type="dxa"/>
            <w:tcBorders>
              <w:top w:val="nil"/>
              <w:left w:val="nil"/>
              <w:bottom w:val="nil"/>
              <w:right w:val="nil"/>
            </w:tcBorders>
          </w:tcPr>
          <w:p w14:paraId="649A1294" w14:textId="77777777" w:rsidR="00740865" w:rsidRPr="002C44DE" w:rsidRDefault="00740865" w:rsidP="00BC15DE">
            <w:pPr>
              <w:rPr>
                <w:rFonts w:eastAsiaTheme="minorHAnsi" w:cs="Calibri"/>
                <w:noProof/>
                <w:color w:val="000000"/>
                <w:lang w:val="es-ES"/>
              </w:rPr>
            </w:pPr>
          </w:p>
        </w:tc>
        <w:tc>
          <w:tcPr>
            <w:tcW w:w="3084" w:type="dxa"/>
            <w:gridSpan w:val="2"/>
            <w:tcBorders>
              <w:top w:val="nil"/>
              <w:left w:val="nil"/>
              <w:bottom w:val="nil"/>
              <w:right w:val="nil"/>
            </w:tcBorders>
          </w:tcPr>
          <w:p w14:paraId="05C7B5CD" w14:textId="77777777" w:rsidR="00740865" w:rsidRPr="002C44DE" w:rsidRDefault="00740865" w:rsidP="00BC15DE">
            <w:pPr>
              <w:rPr>
                <w:rFonts w:eastAsiaTheme="minorHAnsi" w:cs="Calibri"/>
                <w:noProof/>
                <w:color w:val="000000"/>
                <w:lang w:val="es-ES"/>
              </w:rPr>
            </w:pPr>
          </w:p>
        </w:tc>
        <w:tc>
          <w:tcPr>
            <w:tcW w:w="1140" w:type="dxa"/>
            <w:gridSpan w:val="2"/>
            <w:tcBorders>
              <w:top w:val="nil"/>
              <w:left w:val="nil"/>
              <w:bottom w:val="nil"/>
              <w:right w:val="nil"/>
            </w:tcBorders>
          </w:tcPr>
          <w:p w14:paraId="59961A84" w14:textId="77777777" w:rsidR="00740865" w:rsidRPr="002C44DE" w:rsidRDefault="00740865" w:rsidP="00BC15DE">
            <w:pPr>
              <w:rPr>
                <w:rFonts w:eastAsiaTheme="minorHAnsi" w:cs="Calibri"/>
                <w:noProof/>
                <w:color w:val="000000"/>
                <w:lang w:val="es-ES"/>
              </w:rPr>
            </w:pPr>
          </w:p>
        </w:tc>
        <w:tc>
          <w:tcPr>
            <w:tcW w:w="1005" w:type="dxa"/>
            <w:tcBorders>
              <w:top w:val="nil"/>
              <w:left w:val="nil"/>
              <w:bottom w:val="nil"/>
              <w:right w:val="nil"/>
            </w:tcBorders>
          </w:tcPr>
          <w:p w14:paraId="6E8417C3" w14:textId="77777777" w:rsidR="00740865" w:rsidRPr="002C44DE" w:rsidRDefault="00740865" w:rsidP="00BC15DE">
            <w:pPr>
              <w:rPr>
                <w:rFonts w:eastAsiaTheme="minorHAnsi" w:cs="Calibri"/>
                <w:noProof/>
                <w:color w:val="000000"/>
                <w:lang w:val="es-ES"/>
              </w:rPr>
            </w:pPr>
          </w:p>
        </w:tc>
        <w:tc>
          <w:tcPr>
            <w:tcW w:w="1006" w:type="dxa"/>
            <w:tcBorders>
              <w:top w:val="single" w:sz="12" w:space="0" w:color="auto"/>
              <w:left w:val="nil"/>
              <w:bottom w:val="nil"/>
              <w:right w:val="nil"/>
            </w:tcBorders>
          </w:tcPr>
          <w:p w14:paraId="5C907D90" w14:textId="77777777" w:rsidR="00740865" w:rsidRPr="002C44DE" w:rsidRDefault="00740865" w:rsidP="00BC15DE">
            <w:pPr>
              <w:rPr>
                <w:rFonts w:eastAsiaTheme="minorHAnsi" w:cs="Calibri"/>
                <w:noProof/>
                <w:color w:val="000000"/>
                <w:lang w:val="es-ES"/>
              </w:rPr>
            </w:pPr>
          </w:p>
        </w:tc>
        <w:tc>
          <w:tcPr>
            <w:tcW w:w="1005" w:type="dxa"/>
            <w:gridSpan w:val="2"/>
            <w:tcBorders>
              <w:top w:val="single" w:sz="12" w:space="0" w:color="auto"/>
              <w:left w:val="nil"/>
              <w:bottom w:val="nil"/>
              <w:right w:val="nil"/>
            </w:tcBorders>
          </w:tcPr>
          <w:p w14:paraId="2E2DE28B" w14:textId="77777777" w:rsidR="00740865" w:rsidRPr="002C44DE" w:rsidRDefault="00740865" w:rsidP="00BC15DE">
            <w:pPr>
              <w:rPr>
                <w:rFonts w:eastAsiaTheme="minorHAnsi" w:cs="Calibri"/>
                <w:noProof/>
                <w:color w:val="000000"/>
                <w:lang w:val="es-ES"/>
              </w:rPr>
            </w:pPr>
          </w:p>
        </w:tc>
        <w:tc>
          <w:tcPr>
            <w:tcW w:w="1030" w:type="dxa"/>
            <w:gridSpan w:val="2"/>
            <w:tcBorders>
              <w:top w:val="single" w:sz="12" w:space="0" w:color="auto"/>
              <w:left w:val="nil"/>
              <w:bottom w:val="nil"/>
              <w:right w:val="nil"/>
            </w:tcBorders>
          </w:tcPr>
          <w:p w14:paraId="3158B12F" w14:textId="77777777" w:rsidR="00740865" w:rsidRPr="002C44DE" w:rsidRDefault="00740865" w:rsidP="00BC15DE">
            <w:pPr>
              <w:rPr>
                <w:rFonts w:eastAsiaTheme="minorHAnsi" w:cs="Calibri"/>
                <w:noProof/>
                <w:color w:val="000000"/>
                <w:lang w:val="es-ES"/>
              </w:rPr>
            </w:pPr>
          </w:p>
        </w:tc>
      </w:tr>
      <w:tr w:rsidR="001441B9" w:rsidRPr="002C44DE" w14:paraId="374F67C4" w14:textId="77777777" w:rsidTr="0082099C">
        <w:tc>
          <w:tcPr>
            <w:tcW w:w="4390" w:type="dxa"/>
            <w:gridSpan w:val="3"/>
            <w:tcBorders>
              <w:top w:val="nil"/>
              <w:left w:val="nil"/>
              <w:bottom w:val="nil"/>
              <w:right w:val="nil"/>
            </w:tcBorders>
          </w:tcPr>
          <w:p w14:paraId="553186A0" w14:textId="5D98C267" w:rsidR="001441B9" w:rsidRPr="002C44DE" w:rsidRDefault="001441B9" w:rsidP="00BC15DE">
            <w:pPr>
              <w:rPr>
                <w:rFonts w:eastAsiaTheme="minorHAnsi" w:cs="Calibri"/>
                <w:b/>
                <w:bCs/>
                <w:noProof/>
                <w:color w:val="000000"/>
                <w:sz w:val="20"/>
                <w:szCs w:val="20"/>
                <w:u w:val="single"/>
                <w:lang w:val="es-ES"/>
              </w:rPr>
            </w:pPr>
            <w:r w:rsidRPr="002C44DE">
              <w:rPr>
                <w:rFonts w:eastAsiaTheme="minorHAnsi" w:cs="Calibri"/>
                <w:b/>
                <w:bCs/>
                <w:noProof/>
                <w:color w:val="000000"/>
                <w:sz w:val="20"/>
                <w:szCs w:val="20"/>
                <w:u w:val="single"/>
                <w:lang w:val="es-ES"/>
              </w:rPr>
              <w:t>Sitios de la Lista</w:t>
            </w:r>
          </w:p>
        </w:tc>
        <w:tc>
          <w:tcPr>
            <w:tcW w:w="1140" w:type="dxa"/>
            <w:gridSpan w:val="2"/>
            <w:tcBorders>
              <w:top w:val="nil"/>
              <w:left w:val="nil"/>
              <w:bottom w:val="nil"/>
              <w:right w:val="nil"/>
            </w:tcBorders>
          </w:tcPr>
          <w:p w14:paraId="680681E3" w14:textId="77777777" w:rsidR="001441B9" w:rsidRPr="002C44DE" w:rsidRDefault="001441B9" w:rsidP="00BC15DE">
            <w:pPr>
              <w:rPr>
                <w:rFonts w:eastAsiaTheme="minorHAnsi" w:cs="Calibri"/>
                <w:noProof/>
                <w:color w:val="000000"/>
                <w:lang w:val="es-ES"/>
              </w:rPr>
            </w:pPr>
          </w:p>
        </w:tc>
        <w:tc>
          <w:tcPr>
            <w:tcW w:w="1005" w:type="dxa"/>
            <w:tcBorders>
              <w:top w:val="nil"/>
              <w:left w:val="nil"/>
              <w:bottom w:val="nil"/>
              <w:right w:val="nil"/>
            </w:tcBorders>
          </w:tcPr>
          <w:p w14:paraId="5CB1D288" w14:textId="77777777" w:rsidR="001441B9" w:rsidRPr="002C44DE" w:rsidRDefault="001441B9" w:rsidP="00BC15DE">
            <w:pPr>
              <w:rPr>
                <w:rFonts w:eastAsiaTheme="minorHAnsi" w:cs="Calibri"/>
                <w:noProof/>
                <w:color w:val="000000"/>
                <w:lang w:val="es-ES"/>
              </w:rPr>
            </w:pPr>
          </w:p>
        </w:tc>
        <w:tc>
          <w:tcPr>
            <w:tcW w:w="1006" w:type="dxa"/>
            <w:tcBorders>
              <w:top w:val="nil"/>
              <w:left w:val="nil"/>
              <w:bottom w:val="nil"/>
              <w:right w:val="nil"/>
            </w:tcBorders>
          </w:tcPr>
          <w:p w14:paraId="2CE688EB" w14:textId="77777777" w:rsidR="001441B9" w:rsidRPr="002C44DE" w:rsidRDefault="001441B9" w:rsidP="00BC15DE">
            <w:pPr>
              <w:rPr>
                <w:rFonts w:eastAsiaTheme="minorHAnsi" w:cs="Calibri"/>
                <w:noProof/>
                <w:color w:val="000000"/>
                <w:lang w:val="es-ES"/>
              </w:rPr>
            </w:pPr>
          </w:p>
        </w:tc>
        <w:tc>
          <w:tcPr>
            <w:tcW w:w="1005" w:type="dxa"/>
            <w:gridSpan w:val="2"/>
            <w:tcBorders>
              <w:top w:val="nil"/>
              <w:left w:val="nil"/>
              <w:bottom w:val="nil"/>
              <w:right w:val="nil"/>
            </w:tcBorders>
          </w:tcPr>
          <w:p w14:paraId="231F6D39" w14:textId="77777777" w:rsidR="001441B9" w:rsidRPr="002C44DE" w:rsidRDefault="001441B9" w:rsidP="00BC15DE">
            <w:pPr>
              <w:rPr>
                <w:rFonts w:eastAsiaTheme="minorHAnsi" w:cs="Calibri"/>
                <w:noProof/>
                <w:color w:val="000000"/>
                <w:lang w:val="es-ES"/>
              </w:rPr>
            </w:pPr>
          </w:p>
        </w:tc>
        <w:tc>
          <w:tcPr>
            <w:tcW w:w="1030" w:type="dxa"/>
            <w:gridSpan w:val="2"/>
            <w:tcBorders>
              <w:top w:val="nil"/>
              <w:left w:val="nil"/>
              <w:bottom w:val="nil"/>
              <w:right w:val="nil"/>
            </w:tcBorders>
          </w:tcPr>
          <w:p w14:paraId="07ADF2FC" w14:textId="77777777" w:rsidR="001441B9" w:rsidRPr="002C44DE" w:rsidRDefault="001441B9" w:rsidP="00BC15DE">
            <w:pPr>
              <w:rPr>
                <w:rFonts w:eastAsiaTheme="minorHAnsi" w:cs="Calibri"/>
                <w:noProof/>
                <w:color w:val="000000"/>
                <w:lang w:val="es-ES"/>
              </w:rPr>
            </w:pPr>
          </w:p>
        </w:tc>
      </w:tr>
      <w:tr w:rsidR="00740865" w:rsidRPr="002C44DE" w14:paraId="7EF8E5E8" w14:textId="77777777" w:rsidTr="00CB5635">
        <w:tc>
          <w:tcPr>
            <w:tcW w:w="1306" w:type="dxa"/>
            <w:tcBorders>
              <w:top w:val="nil"/>
              <w:left w:val="nil"/>
              <w:bottom w:val="nil"/>
              <w:right w:val="nil"/>
            </w:tcBorders>
          </w:tcPr>
          <w:p w14:paraId="7C4CA935" w14:textId="77777777" w:rsidR="00740865" w:rsidRPr="002C44DE" w:rsidRDefault="00740865"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R100110</w:t>
            </w:r>
          </w:p>
        </w:tc>
        <w:tc>
          <w:tcPr>
            <w:tcW w:w="3084" w:type="dxa"/>
            <w:gridSpan w:val="2"/>
            <w:tcBorders>
              <w:top w:val="nil"/>
              <w:left w:val="nil"/>
              <w:bottom w:val="nil"/>
              <w:right w:val="nil"/>
            </w:tcBorders>
          </w:tcPr>
          <w:p w14:paraId="240462BF" w14:textId="214B67B3" w:rsidR="00740865" w:rsidRPr="002C44DE" w:rsidRDefault="0051619C" w:rsidP="001441B9">
            <w:pPr>
              <w:ind w:left="0" w:firstLine="0"/>
              <w:rPr>
                <w:rFonts w:eastAsiaTheme="minorHAnsi" w:cs="Calibri"/>
                <w:noProof/>
                <w:color w:val="000000"/>
                <w:sz w:val="20"/>
                <w:szCs w:val="20"/>
                <w:lang w:val="es-ES"/>
              </w:rPr>
            </w:pPr>
            <w:r w:rsidRPr="002C44DE">
              <w:rPr>
                <w:rFonts w:eastAsiaTheme="minorHAnsi" w:cs="Calibri"/>
                <w:noProof/>
                <w:color w:val="000000"/>
                <w:sz w:val="20"/>
                <w:szCs w:val="20"/>
                <w:lang w:val="es-ES"/>
              </w:rPr>
              <w:t>MRA (Misión Ramsar de Ases.)</w:t>
            </w:r>
          </w:p>
        </w:tc>
        <w:tc>
          <w:tcPr>
            <w:tcW w:w="1140" w:type="dxa"/>
            <w:gridSpan w:val="2"/>
            <w:tcBorders>
              <w:top w:val="nil"/>
              <w:left w:val="nil"/>
              <w:bottom w:val="nil"/>
              <w:right w:val="nil"/>
            </w:tcBorders>
          </w:tcPr>
          <w:p w14:paraId="574D030A" w14:textId="6FECFA23" w:rsidR="00740865" w:rsidRPr="002C44DE" w:rsidRDefault="0012707B"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53</w:t>
            </w:r>
          </w:p>
        </w:tc>
        <w:tc>
          <w:tcPr>
            <w:tcW w:w="1005" w:type="dxa"/>
            <w:tcBorders>
              <w:top w:val="nil"/>
              <w:left w:val="nil"/>
              <w:bottom w:val="nil"/>
              <w:right w:val="nil"/>
            </w:tcBorders>
          </w:tcPr>
          <w:p w14:paraId="407A85AD" w14:textId="714507A0" w:rsidR="00740865" w:rsidRPr="002C44DE" w:rsidRDefault="0012707B"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12</w:t>
            </w:r>
          </w:p>
        </w:tc>
        <w:tc>
          <w:tcPr>
            <w:tcW w:w="1006" w:type="dxa"/>
            <w:tcBorders>
              <w:top w:val="nil"/>
              <w:left w:val="nil"/>
              <w:bottom w:val="nil"/>
              <w:right w:val="nil"/>
            </w:tcBorders>
          </w:tcPr>
          <w:p w14:paraId="37671F08" w14:textId="108395FA" w:rsidR="00740865" w:rsidRPr="002C44DE" w:rsidRDefault="00740865"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1</w:t>
            </w:r>
            <w:r w:rsidR="0012707B" w:rsidRPr="002C44DE">
              <w:rPr>
                <w:rFonts w:eastAsiaTheme="minorHAnsi" w:cs="Calibri"/>
                <w:noProof/>
                <w:color w:val="000000"/>
                <w:sz w:val="20"/>
                <w:szCs w:val="20"/>
                <w:lang w:val="es-ES"/>
              </w:rPr>
              <w:t>0</w:t>
            </w:r>
          </w:p>
        </w:tc>
        <w:tc>
          <w:tcPr>
            <w:tcW w:w="1005" w:type="dxa"/>
            <w:gridSpan w:val="2"/>
            <w:tcBorders>
              <w:top w:val="nil"/>
              <w:left w:val="nil"/>
              <w:bottom w:val="nil"/>
              <w:right w:val="nil"/>
            </w:tcBorders>
          </w:tcPr>
          <w:p w14:paraId="0A1E3FF0" w14:textId="231D4BF9" w:rsidR="00740865" w:rsidRPr="002C44DE" w:rsidRDefault="00740865"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r w:rsidR="0012707B" w:rsidRPr="002C44DE">
              <w:rPr>
                <w:rFonts w:eastAsiaTheme="minorHAnsi" w:cs="Calibri"/>
                <w:noProof/>
                <w:color w:val="000000"/>
                <w:sz w:val="20"/>
                <w:szCs w:val="20"/>
                <w:lang w:val="es-ES"/>
              </w:rPr>
              <w:t>16</w:t>
            </w:r>
            <w:r w:rsidRPr="002C44DE">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45879F59" w14:textId="35F8617C" w:rsidR="00740865" w:rsidRPr="002C44DE" w:rsidRDefault="0012707B"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60</w:t>
            </w:r>
          </w:p>
        </w:tc>
      </w:tr>
      <w:tr w:rsidR="00740865" w:rsidRPr="002C44DE" w14:paraId="56EEB109" w14:textId="77777777" w:rsidTr="00CB5635">
        <w:tc>
          <w:tcPr>
            <w:tcW w:w="1306" w:type="dxa"/>
            <w:tcBorders>
              <w:top w:val="nil"/>
              <w:left w:val="nil"/>
              <w:bottom w:val="single" w:sz="12" w:space="0" w:color="auto"/>
              <w:right w:val="nil"/>
            </w:tcBorders>
          </w:tcPr>
          <w:p w14:paraId="2D98E78C" w14:textId="77777777" w:rsidR="00740865" w:rsidRPr="002C44DE" w:rsidRDefault="00740865" w:rsidP="00BC15DE">
            <w:pPr>
              <w:rPr>
                <w:rFonts w:eastAsiaTheme="minorHAnsi" w:cs="Calibri"/>
                <w:noProof/>
                <w:color w:val="000000"/>
                <w:lang w:val="es-ES"/>
              </w:rPr>
            </w:pPr>
          </w:p>
        </w:tc>
        <w:tc>
          <w:tcPr>
            <w:tcW w:w="3084" w:type="dxa"/>
            <w:gridSpan w:val="2"/>
            <w:tcBorders>
              <w:top w:val="nil"/>
              <w:left w:val="nil"/>
              <w:bottom w:val="single" w:sz="12" w:space="0" w:color="auto"/>
              <w:right w:val="nil"/>
            </w:tcBorders>
          </w:tcPr>
          <w:p w14:paraId="5DF7BFD9" w14:textId="77777777" w:rsidR="00740865" w:rsidRPr="002C44DE" w:rsidRDefault="00740865" w:rsidP="00BC15DE">
            <w:pPr>
              <w:rPr>
                <w:rFonts w:eastAsiaTheme="minorHAnsi" w:cs="Calibri"/>
                <w:noProof/>
                <w:color w:val="000000"/>
                <w:lang w:val="es-ES"/>
              </w:rPr>
            </w:pPr>
          </w:p>
        </w:tc>
        <w:tc>
          <w:tcPr>
            <w:tcW w:w="1140" w:type="dxa"/>
            <w:gridSpan w:val="2"/>
            <w:tcBorders>
              <w:top w:val="nil"/>
              <w:left w:val="nil"/>
              <w:bottom w:val="single" w:sz="12" w:space="0" w:color="auto"/>
              <w:right w:val="nil"/>
            </w:tcBorders>
          </w:tcPr>
          <w:p w14:paraId="0487C772" w14:textId="77777777" w:rsidR="00740865" w:rsidRPr="002C44DE" w:rsidRDefault="00740865" w:rsidP="00BC15DE">
            <w:pPr>
              <w:rPr>
                <w:rFonts w:eastAsiaTheme="minorHAnsi" w:cs="Calibri"/>
                <w:noProof/>
                <w:color w:val="000000"/>
                <w:lang w:val="es-ES"/>
              </w:rPr>
            </w:pPr>
          </w:p>
        </w:tc>
        <w:tc>
          <w:tcPr>
            <w:tcW w:w="1005" w:type="dxa"/>
            <w:tcBorders>
              <w:top w:val="nil"/>
              <w:left w:val="nil"/>
              <w:bottom w:val="single" w:sz="12" w:space="0" w:color="auto"/>
              <w:right w:val="nil"/>
            </w:tcBorders>
          </w:tcPr>
          <w:p w14:paraId="67FB0B32" w14:textId="77777777" w:rsidR="00740865" w:rsidRPr="002C44DE" w:rsidRDefault="00740865" w:rsidP="00BC15DE">
            <w:pPr>
              <w:rPr>
                <w:rFonts w:eastAsiaTheme="minorHAnsi" w:cs="Calibri"/>
                <w:noProof/>
                <w:color w:val="000000"/>
                <w:lang w:val="es-ES"/>
              </w:rPr>
            </w:pPr>
          </w:p>
        </w:tc>
        <w:tc>
          <w:tcPr>
            <w:tcW w:w="1006" w:type="dxa"/>
            <w:tcBorders>
              <w:top w:val="nil"/>
              <w:left w:val="nil"/>
              <w:bottom w:val="single" w:sz="12" w:space="0" w:color="auto"/>
              <w:right w:val="nil"/>
            </w:tcBorders>
          </w:tcPr>
          <w:p w14:paraId="24E97281" w14:textId="77777777" w:rsidR="00740865" w:rsidRPr="002C44DE" w:rsidRDefault="00740865" w:rsidP="00BC15DE">
            <w:pPr>
              <w:rPr>
                <w:rFonts w:eastAsiaTheme="minorHAnsi" w:cs="Calibri"/>
                <w:noProof/>
                <w:color w:val="000000"/>
                <w:lang w:val="es-ES"/>
              </w:rPr>
            </w:pPr>
          </w:p>
        </w:tc>
        <w:tc>
          <w:tcPr>
            <w:tcW w:w="1005" w:type="dxa"/>
            <w:gridSpan w:val="2"/>
            <w:tcBorders>
              <w:top w:val="nil"/>
              <w:left w:val="nil"/>
              <w:bottom w:val="single" w:sz="12" w:space="0" w:color="auto"/>
              <w:right w:val="nil"/>
            </w:tcBorders>
          </w:tcPr>
          <w:p w14:paraId="2ADA8393" w14:textId="77777777" w:rsidR="00740865" w:rsidRPr="002C44DE" w:rsidRDefault="00740865" w:rsidP="00BC15DE">
            <w:pPr>
              <w:rPr>
                <w:rFonts w:eastAsiaTheme="minorHAnsi" w:cs="Calibri"/>
                <w:noProof/>
                <w:color w:val="000000"/>
                <w:lang w:val="es-ES"/>
              </w:rPr>
            </w:pPr>
          </w:p>
        </w:tc>
        <w:tc>
          <w:tcPr>
            <w:tcW w:w="1030" w:type="dxa"/>
            <w:gridSpan w:val="2"/>
            <w:tcBorders>
              <w:top w:val="nil"/>
              <w:left w:val="nil"/>
              <w:bottom w:val="single" w:sz="12" w:space="0" w:color="auto"/>
              <w:right w:val="nil"/>
            </w:tcBorders>
          </w:tcPr>
          <w:p w14:paraId="1BF66789" w14:textId="77777777" w:rsidR="00740865" w:rsidRPr="002C44DE" w:rsidRDefault="00740865" w:rsidP="00BC15DE">
            <w:pPr>
              <w:rPr>
                <w:rFonts w:eastAsiaTheme="minorHAnsi" w:cs="Calibri"/>
                <w:noProof/>
                <w:color w:val="000000"/>
                <w:lang w:val="es-ES"/>
              </w:rPr>
            </w:pPr>
          </w:p>
        </w:tc>
      </w:tr>
      <w:tr w:rsidR="007E27A5" w:rsidRPr="002C44DE" w14:paraId="178EBCEF" w14:textId="77777777" w:rsidTr="00CB5635">
        <w:tc>
          <w:tcPr>
            <w:tcW w:w="4390" w:type="dxa"/>
            <w:gridSpan w:val="3"/>
            <w:tcBorders>
              <w:top w:val="single" w:sz="12" w:space="0" w:color="auto"/>
              <w:left w:val="nil"/>
              <w:bottom w:val="single" w:sz="12" w:space="0" w:color="auto"/>
              <w:right w:val="nil"/>
            </w:tcBorders>
            <w:shd w:val="clear" w:color="auto" w:fill="EAF1DD" w:themeFill="accent3" w:themeFillTint="33"/>
          </w:tcPr>
          <w:p w14:paraId="138E2799" w14:textId="1DE51C7A" w:rsidR="007E27A5" w:rsidRPr="002C44DE" w:rsidRDefault="007E27A5" w:rsidP="00BC15DE">
            <w:pPr>
              <w:rPr>
                <w:rFonts w:eastAsiaTheme="minorHAnsi" w:cs="Calibri"/>
                <w:b/>
                <w:bCs/>
                <w:noProof/>
                <w:color w:val="000000"/>
                <w:sz w:val="20"/>
                <w:szCs w:val="20"/>
                <w:lang w:val="es-ES"/>
              </w:rPr>
            </w:pPr>
            <w:r w:rsidRPr="002C44DE">
              <w:rPr>
                <w:rFonts w:eastAsiaTheme="minorHAnsi" w:cs="Calibri"/>
                <w:b/>
                <w:bCs/>
                <w:noProof/>
                <w:color w:val="000000"/>
                <w:sz w:val="20"/>
                <w:szCs w:val="20"/>
                <w:lang w:val="es-ES"/>
              </w:rPr>
              <w:t>Total</w:t>
            </w:r>
            <w:r w:rsidR="0051619C" w:rsidRPr="002C44DE">
              <w:rPr>
                <w:rFonts w:eastAsiaTheme="minorHAnsi" w:cs="Calibri"/>
                <w:b/>
                <w:bCs/>
                <w:noProof/>
                <w:color w:val="000000"/>
                <w:sz w:val="20"/>
                <w:szCs w:val="20"/>
                <w:lang w:val="es-ES"/>
              </w:rPr>
              <w:t xml:space="preserve">, </w:t>
            </w:r>
            <w:r w:rsidR="006369FD">
              <w:rPr>
                <w:rFonts w:eastAsiaTheme="minorHAnsi" w:cs="Calibri"/>
                <w:b/>
                <w:bCs/>
                <w:noProof/>
                <w:color w:val="000000"/>
                <w:sz w:val="20"/>
                <w:szCs w:val="20"/>
                <w:lang w:val="es-ES"/>
              </w:rPr>
              <w:t>Humedales</w:t>
            </w:r>
            <w:r w:rsidR="0051619C" w:rsidRPr="002C44DE">
              <w:rPr>
                <w:rFonts w:eastAsiaTheme="minorHAnsi" w:cs="Calibri"/>
                <w:b/>
                <w:bCs/>
                <w:noProof/>
                <w:color w:val="000000"/>
                <w:sz w:val="20"/>
                <w:szCs w:val="20"/>
                <w:lang w:val="es-ES"/>
              </w:rPr>
              <w:t xml:space="preserve"> de la Lista</w:t>
            </w:r>
          </w:p>
        </w:tc>
        <w:tc>
          <w:tcPr>
            <w:tcW w:w="1140" w:type="dxa"/>
            <w:gridSpan w:val="2"/>
            <w:tcBorders>
              <w:top w:val="nil"/>
              <w:left w:val="nil"/>
              <w:bottom w:val="single" w:sz="12" w:space="0" w:color="auto"/>
              <w:right w:val="nil"/>
            </w:tcBorders>
            <w:shd w:val="clear" w:color="auto" w:fill="EAF1DD" w:themeFill="accent3" w:themeFillTint="33"/>
          </w:tcPr>
          <w:p w14:paraId="4F91D007" w14:textId="14C0AFC9" w:rsidR="007E27A5" w:rsidRPr="002C44DE" w:rsidRDefault="007E27A5" w:rsidP="00BC15DE">
            <w:pPr>
              <w:rPr>
                <w:rFonts w:eastAsiaTheme="minorHAnsi" w:cs="Calibri"/>
                <w:b/>
                <w:bCs/>
                <w:noProof/>
                <w:color w:val="000000"/>
                <w:sz w:val="20"/>
                <w:szCs w:val="20"/>
                <w:lang w:val="es-ES"/>
              </w:rPr>
            </w:pPr>
            <w:r w:rsidRPr="002C44DE">
              <w:rPr>
                <w:rFonts w:eastAsiaTheme="minorHAnsi" w:cs="Calibri"/>
                <w:b/>
                <w:bCs/>
                <w:noProof/>
                <w:color w:val="000000"/>
                <w:sz w:val="20"/>
                <w:szCs w:val="20"/>
                <w:lang w:val="es-ES"/>
              </w:rPr>
              <w:t>53</w:t>
            </w:r>
          </w:p>
        </w:tc>
        <w:tc>
          <w:tcPr>
            <w:tcW w:w="1005" w:type="dxa"/>
            <w:tcBorders>
              <w:top w:val="nil"/>
              <w:left w:val="nil"/>
              <w:bottom w:val="single" w:sz="12" w:space="0" w:color="auto"/>
              <w:right w:val="nil"/>
            </w:tcBorders>
            <w:shd w:val="clear" w:color="auto" w:fill="EAF1DD" w:themeFill="accent3" w:themeFillTint="33"/>
          </w:tcPr>
          <w:p w14:paraId="27E68645" w14:textId="3F246E6A" w:rsidR="007E27A5" w:rsidRPr="002C44DE" w:rsidRDefault="007E27A5" w:rsidP="00BC15DE">
            <w:pPr>
              <w:rPr>
                <w:rFonts w:eastAsiaTheme="minorHAnsi" w:cs="Calibri"/>
                <w:b/>
                <w:bCs/>
                <w:noProof/>
                <w:color w:val="000000"/>
                <w:sz w:val="20"/>
                <w:szCs w:val="20"/>
                <w:lang w:val="es-ES"/>
              </w:rPr>
            </w:pPr>
            <w:r w:rsidRPr="002C44DE">
              <w:rPr>
                <w:rFonts w:eastAsiaTheme="minorHAnsi" w:cs="Calibri"/>
                <w:b/>
                <w:bCs/>
                <w:noProof/>
                <w:color w:val="000000"/>
                <w:sz w:val="20"/>
                <w:szCs w:val="20"/>
                <w:lang w:val="es-ES"/>
              </w:rPr>
              <w:t>12</w:t>
            </w:r>
          </w:p>
        </w:tc>
        <w:tc>
          <w:tcPr>
            <w:tcW w:w="1006" w:type="dxa"/>
            <w:tcBorders>
              <w:top w:val="single" w:sz="12" w:space="0" w:color="auto"/>
              <w:left w:val="nil"/>
              <w:bottom w:val="single" w:sz="12" w:space="0" w:color="auto"/>
              <w:right w:val="nil"/>
            </w:tcBorders>
            <w:shd w:val="clear" w:color="auto" w:fill="EAF1DD" w:themeFill="accent3" w:themeFillTint="33"/>
          </w:tcPr>
          <w:p w14:paraId="51B9C3DB" w14:textId="2554B736" w:rsidR="007E27A5" w:rsidRPr="002C44DE" w:rsidRDefault="007E27A5" w:rsidP="00BC15DE">
            <w:pPr>
              <w:rPr>
                <w:rFonts w:eastAsiaTheme="minorHAnsi" w:cs="Calibri"/>
                <w:b/>
                <w:bCs/>
                <w:noProof/>
                <w:color w:val="000000"/>
                <w:sz w:val="20"/>
                <w:szCs w:val="20"/>
                <w:lang w:val="es-ES"/>
              </w:rPr>
            </w:pPr>
            <w:r w:rsidRPr="002C44DE">
              <w:rPr>
                <w:rFonts w:eastAsiaTheme="minorHAnsi" w:cs="Calibri"/>
                <w:b/>
                <w:bCs/>
                <w:noProof/>
                <w:color w:val="000000"/>
                <w:sz w:val="20"/>
                <w:szCs w:val="20"/>
                <w:lang w:val="es-ES"/>
              </w:rPr>
              <w:t>10</w:t>
            </w:r>
          </w:p>
        </w:tc>
        <w:tc>
          <w:tcPr>
            <w:tcW w:w="1005" w:type="dxa"/>
            <w:gridSpan w:val="2"/>
            <w:tcBorders>
              <w:top w:val="nil"/>
              <w:left w:val="nil"/>
              <w:bottom w:val="single" w:sz="12" w:space="0" w:color="auto"/>
              <w:right w:val="nil"/>
            </w:tcBorders>
            <w:shd w:val="clear" w:color="auto" w:fill="EAF1DD" w:themeFill="accent3" w:themeFillTint="33"/>
          </w:tcPr>
          <w:p w14:paraId="5E9B8AA3" w14:textId="3E05614B" w:rsidR="007E27A5" w:rsidRPr="002C44DE" w:rsidRDefault="007E27A5" w:rsidP="00BC15DE">
            <w:pPr>
              <w:rPr>
                <w:rFonts w:eastAsiaTheme="minorHAnsi" w:cs="Calibri"/>
                <w:b/>
                <w:bCs/>
                <w:noProof/>
                <w:color w:val="000000"/>
                <w:sz w:val="20"/>
                <w:szCs w:val="20"/>
                <w:lang w:val="es-ES"/>
              </w:rPr>
            </w:pPr>
            <w:r w:rsidRPr="002C44DE">
              <w:rPr>
                <w:rFonts w:eastAsiaTheme="minorHAnsi" w:cs="Calibri"/>
                <w:b/>
                <w:bCs/>
                <w:noProof/>
                <w:color w:val="000000"/>
                <w:sz w:val="20"/>
                <w:szCs w:val="20"/>
                <w:lang w:val="es-ES"/>
              </w:rPr>
              <w:t>(16)</w:t>
            </w:r>
          </w:p>
        </w:tc>
        <w:tc>
          <w:tcPr>
            <w:tcW w:w="1030" w:type="dxa"/>
            <w:gridSpan w:val="2"/>
            <w:tcBorders>
              <w:top w:val="single" w:sz="12" w:space="0" w:color="auto"/>
              <w:left w:val="nil"/>
              <w:bottom w:val="single" w:sz="12" w:space="0" w:color="auto"/>
              <w:right w:val="nil"/>
            </w:tcBorders>
            <w:shd w:val="clear" w:color="auto" w:fill="EAF1DD" w:themeFill="accent3" w:themeFillTint="33"/>
          </w:tcPr>
          <w:p w14:paraId="10228681" w14:textId="6F724971" w:rsidR="007E27A5" w:rsidRPr="002C44DE" w:rsidRDefault="007E27A5" w:rsidP="00BC15DE">
            <w:pPr>
              <w:rPr>
                <w:rFonts w:eastAsiaTheme="minorHAnsi" w:cs="Calibri"/>
                <w:b/>
                <w:bCs/>
                <w:noProof/>
                <w:color w:val="000000"/>
                <w:sz w:val="20"/>
                <w:szCs w:val="20"/>
                <w:lang w:val="es-ES"/>
              </w:rPr>
            </w:pPr>
            <w:r w:rsidRPr="002C44DE">
              <w:rPr>
                <w:rFonts w:eastAsiaTheme="minorHAnsi" w:cs="Calibri"/>
                <w:b/>
                <w:bCs/>
                <w:noProof/>
                <w:color w:val="000000"/>
                <w:sz w:val="20"/>
                <w:szCs w:val="20"/>
                <w:lang w:val="es-ES"/>
              </w:rPr>
              <w:t>60</w:t>
            </w:r>
          </w:p>
        </w:tc>
      </w:tr>
      <w:tr w:rsidR="00740865" w:rsidRPr="002C44DE" w14:paraId="75D2D758" w14:textId="77777777" w:rsidTr="00CB5635">
        <w:tc>
          <w:tcPr>
            <w:tcW w:w="1306" w:type="dxa"/>
            <w:tcBorders>
              <w:top w:val="nil"/>
              <w:left w:val="nil"/>
              <w:bottom w:val="nil"/>
              <w:right w:val="nil"/>
            </w:tcBorders>
          </w:tcPr>
          <w:p w14:paraId="59F2EDE5" w14:textId="216B0F49" w:rsidR="00740865" w:rsidRPr="002C44DE" w:rsidRDefault="0051619C" w:rsidP="00BC15DE">
            <w:pPr>
              <w:rPr>
                <w:rFonts w:eastAsiaTheme="minorHAnsi" w:cs="Calibri"/>
                <w:b/>
                <w:bCs/>
                <w:noProof/>
                <w:color w:val="000000"/>
                <w:sz w:val="20"/>
                <w:szCs w:val="20"/>
                <w:u w:val="single"/>
                <w:lang w:val="es-ES"/>
              </w:rPr>
            </w:pPr>
            <w:r w:rsidRPr="002C44DE">
              <w:rPr>
                <w:rFonts w:eastAsiaTheme="minorHAnsi" w:cs="Calibri"/>
                <w:b/>
                <w:bCs/>
                <w:noProof/>
                <w:color w:val="000000"/>
                <w:sz w:val="20"/>
                <w:szCs w:val="20"/>
                <w:u w:val="single"/>
                <w:lang w:val="es-ES"/>
              </w:rPr>
              <w:t>Otros</w:t>
            </w:r>
          </w:p>
        </w:tc>
        <w:tc>
          <w:tcPr>
            <w:tcW w:w="3084" w:type="dxa"/>
            <w:gridSpan w:val="2"/>
            <w:tcBorders>
              <w:top w:val="nil"/>
              <w:left w:val="nil"/>
              <w:bottom w:val="nil"/>
              <w:right w:val="nil"/>
            </w:tcBorders>
          </w:tcPr>
          <w:p w14:paraId="579D588F" w14:textId="77777777" w:rsidR="00740865" w:rsidRPr="002C44DE" w:rsidRDefault="00740865" w:rsidP="00BC15DE">
            <w:pPr>
              <w:rPr>
                <w:rFonts w:eastAsiaTheme="minorHAnsi" w:cs="Calibri"/>
                <w:noProof/>
                <w:color w:val="000000"/>
                <w:lang w:val="es-ES"/>
              </w:rPr>
            </w:pPr>
          </w:p>
        </w:tc>
        <w:tc>
          <w:tcPr>
            <w:tcW w:w="1140" w:type="dxa"/>
            <w:gridSpan w:val="2"/>
            <w:tcBorders>
              <w:top w:val="nil"/>
              <w:left w:val="nil"/>
              <w:bottom w:val="nil"/>
              <w:right w:val="nil"/>
            </w:tcBorders>
          </w:tcPr>
          <w:p w14:paraId="4A5B5524" w14:textId="77777777" w:rsidR="00740865" w:rsidRPr="002C44DE" w:rsidRDefault="00740865" w:rsidP="00BC15DE">
            <w:pPr>
              <w:rPr>
                <w:rFonts w:eastAsiaTheme="minorHAnsi" w:cs="Calibri"/>
                <w:noProof/>
                <w:color w:val="000000"/>
                <w:lang w:val="es-ES"/>
              </w:rPr>
            </w:pPr>
          </w:p>
        </w:tc>
        <w:tc>
          <w:tcPr>
            <w:tcW w:w="1005" w:type="dxa"/>
            <w:tcBorders>
              <w:top w:val="nil"/>
              <w:left w:val="nil"/>
              <w:bottom w:val="nil"/>
              <w:right w:val="nil"/>
            </w:tcBorders>
          </w:tcPr>
          <w:p w14:paraId="2CDE3533" w14:textId="77777777" w:rsidR="00740865" w:rsidRPr="002C44DE" w:rsidRDefault="00740865" w:rsidP="00BC15DE">
            <w:pPr>
              <w:rPr>
                <w:rFonts w:eastAsiaTheme="minorHAnsi" w:cs="Calibri"/>
                <w:noProof/>
                <w:color w:val="000000"/>
                <w:lang w:val="es-ES"/>
              </w:rPr>
            </w:pPr>
          </w:p>
        </w:tc>
        <w:tc>
          <w:tcPr>
            <w:tcW w:w="1006" w:type="dxa"/>
            <w:tcBorders>
              <w:top w:val="nil"/>
              <w:left w:val="nil"/>
              <w:bottom w:val="nil"/>
              <w:right w:val="nil"/>
            </w:tcBorders>
          </w:tcPr>
          <w:p w14:paraId="63ABA750" w14:textId="77777777" w:rsidR="00740865" w:rsidRPr="002C44DE" w:rsidRDefault="00740865" w:rsidP="00BC15DE">
            <w:pPr>
              <w:rPr>
                <w:rFonts w:eastAsiaTheme="minorHAnsi" w:cs="Calibri"/>
                <w:noProof/>
                <w:color w:val="000000"/>
                <w:lang w:val="es-ES"/>
              </w:rPr>
            </w:pPr>
          </w:p>
        </w:tc>
        <w:tc>
          <w:tcPr>
            <w:tcW w:w="1005" w:type="dxa"/>
            <w:gridSpan w:val="2"/>
            <w:tcBorders>
              <w:top w:val="nil"/>
              <w:left w:val="nil"/>
              <w:bottom w:val="nil"/>
              <w:right w:val="nil"/>
            </w:tcBorders>
          </w:tcPr>
          <w:p w14:paraId="4B3E9455" w14:textId="77777777" w:rsidR="00740865" w:rsidRPr="002C44DE" w:rsidRDefault="00740865" w:rsidP="00BC15DE">
            <w:pPr>
              <w:rPr>
                <w:rFonts w:eastAsiaTheme="minorHAnsi" w:cs="Calibri"/>
                <w:noProof/>
                <w:color w:val="000000"/>
                <w:lang w:val="es-ES"/>
              </w:rPr>
            </w:pPr>
          </w:p>
        </w:tc>
        <w:tc>
          <w:tcPr>
            <w:tcW w:w="1030" w:type="dxa"/>
            <w:gridSpan w:val="2"/>
            <w:tcBorders>
              <w:top w:val="nil"/>
              <w:left w:val="nil"/>
              <w:bottom w:val="nil"/>
              <w:right w:val="nil"/>
            </w:tcBorders>
          </w:tcPr>
          <w:p w14:paraId="3ACD6CC7" w14:textId="77777777" w:rsidR="00740865" w:rsidRPr="002C44DE" w:rsidRDefault="00740865" w:rsidP="00BC15DE">
            <w:pPr>
              <w:rPr>
                <w:rFonts w:eastAsiaTheme="minorHAnsi" w:cs="Calibri"/>
                <w:noProof/>
                <w:color w:val="000000"/>
                <w:lang w:val="es-ES"/>
              </w:rPr>
            </w:pPr>
          </w:p>
        </w:tc>
      </w:tr>
      <w:tr w:rsidR="00740865" w:rsidRPr="002C44DE" w14:paraId="063E56A5" w14:textId="77777777" w:rsidTr="00CB5635">
        <w:tc>
          <w:tcPr>
            <w:tcW w:w="1306" w:type="dxa"/>
            <w:tcBorders>
              <w:top w:val="nil"/>
              <w:left w:val="nil"/>
              <w:bottom w:val="nil"/>
              <w:right w:val="nil"/>
            </w:tcBorders>
          </w:tcPr>
          <w:p w14:paraId="349C4EFE" w14:textId="77777777" w:rsidR="00740865" w:rsidRPr="002C44DE" w:rsidRDefault="00740865"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R100100</w:t>
            </w:r>
          </w:p>
        </w:tc>
        <w:tc>
          <w:tcPr>
            <w:tcW w:w="3084" w:type="dxa"/>
            <w:gridSpan w:val="2"/>
            <w:tcBorders>
              <w:top w:val="nil"/>
              <w:left w:val="nil"/>
              <w:bottom w:val="nil"/>
              <w:right w:val="nil"/>
            </w:tcBorders>
          </w:tcPr>
          <w:p w14:paraId="6B8F4235" w14:textId="77777777" w:rsidR="00740865" w:rsidRPr="002C44DE" w:rsidRDefault="00740865" w:rsidP="001441B9">
            <w:pPr>
              <w:ind w:left="0" w:firstLine="0"/>
              <w:rPr>
                <w:rFonts w:eastAsiaTheme="minorHAnsi" w:cs="Calibri"/>
                <w:noProof/>
                <w:color w:val="000000"/>
                <w:sz w:val="20"/>
                <w:szCs w:val="20"/>
                <w:lang w:val="es-ES"/>
              </w:rPr>
            </w:pPr>
            <w:r w:rsidRPr="002C44DE">
              <w:rPr>
                <w:rFonts w:eastAsiaTheme="minorHAnsi" w:cs="Calibri"/>
                <w:noProof/>
                <w:color w:val="000000"/>
                <w:sz w:val="20"/>
                <w:szCs w:val="20"/>
                <w:lang w:val="es-ES"/>
              </w:rPr>
              <w:t>Admin</w:t>
            </w:r>
          </w:p>
        </w:tc>
        <w:tc>
          <w:tcPr>
            <w:tcW w:w="1140" w:type="dxa"/>
            <w:gridSpan w:val="2"/>
            <w:tcBorders>
              <w:top w:val="nil"/>
              <w:left w:val="nil"/>
              <w:bottom w:val="nil"/>
              <w:right w:val="nil"/>
            </w:tcBorders>
          </w:tcPr>
          <w:p w14:paraId="71EBE695" w14:textId="0E787408" w:rsidR="00740865" w:rsidRPr="002C44DE" w:rsidRDefault="0012707B"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396</w:t>
            </w:r>
          </w:p>
        </w:tc>
        <w:tc>
          <w:tcPr>
            <w:tcW w:w="1005" w:type="dxa"/>
            <w:tcBorders>
              <w:top w:val="nil"/>
              <w:left w:val="nil"/>
              <w:bottom w:val="nil"/>
              <w:right w:val="nil"/>
            </w:tcBorders>
          </w:tcPr>
          <w:p w14:paraId="01F9E1BC" w14:textId="3E0813AC" w:rsidR="00740865" w:rsidRPr="002C44DE" w:rsidRDefault="0012707B"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19</w:t>
            </w:r>
          </w:p>
        </w:tc>
        <w:tc>
          <w:tcPr>
            <w:tcW w:w="1006" w:type="dxa"/>
            <w:tcBorders>
              <w:top w:val="nil"/>
              <w:left w:val="nil"/>
              <w:bottom w:val="nil"/>
              <w:right w:val="nil"/>
            </w:tcBorders>
          </w:tcPr>
          <w:p w14:paraId="6A55A9A8" w14:textId="56E7933C" w:rsidR="00740865" w:rsidRPr="002C44DE" w:rsidRDefault="0012707B"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(59)</w:t>
            </w:r>
          </w:p>
        </w:tc>
        <w:tc>
          <w:tcPr>
            <w:tcW w:w="1005" w:type="dxa"/>
            <w:gridSpan w:val="2"/>
            <w:tcBorders>
              <w:top w:val="nil"/>
              <w:left w:val="nil"/>
              <w:bottom w:val="nil"/>
              <w:right w:val="nil"/>
            </w:tcBorders>
          </w:tcPr>
          <w:p w14:paraId="735A935B" w14:textId="0D085844" w:rsidR="00740865" w:rsidRPr="002C44DE" w:rsidRDefault="0012707B"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74D40E87" w14:textId="142ED8A9" w:rsidR="00740865" w:rsidRPr="002C44DE" w:rsidRDefault="0012707B"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359</w:t>
            </w:r>
          </w:p>
        </w:tc>
      </w:tr>
      <w:tr w:rsidR="002C44DE" w:rsidRPr="002C44DE" w14:paraId="74E05369" w14:textId="77777777" w:rsidTr="00CB5635">
        <w:tc>
          <w:tcPr>
            <w:tcW w:w="1306" w:type="dxa"/>
            <w:tcBorders>
              <w:top w:val="nil"/>
              <w:left w:val="nil"/>
              <w:bottom w:val="nil"/>
              <w:right w:val="nil"/>
            </w:tcBorders>
          </w:tcPr>
          <w:p w14:paraId="208EA653"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R100102</w:t>
            </w:r>
          </w:p>
        </w:tc>
        <w:tc>
          <w:tcPr>
            <w:tcW w:w="3084" w:type="dxa"/>
            <w:gridSpan w:val="2"/>
            <w:tcBorders>
              <w:top w:val="nil"/>
              <w:left w:val="nil"/>
              <w:bottom w:val="nil"/>
              <w:right w:val="nil"/>
            </w:tcBorders>
          </w:tcPr>
          <w:p w14:paraId="1B8F8257" w14:textId="354BE57F" w:rsidR="002C44DE" w:rsidRPr="002C44DE" w:rsidRDefault="002C44DE" w:rsidP="001441B9">
            <w:pPr>
              <w:ind w:left="0" w:firstLine="0"/>
              <w:rPr>
                <w:rFonts w:eastAsiaTheme="minorHAnsi" w:cs="Calibri"/>
                <w:noProof/>
                <w:color w:val="000000"/>
                <w:sz w:val="20"/>
                <w:szCs w:val="20"/>
                <w:lang w:val="es-ES"/>
              </w:rPr>
            </w:pPr>
            <w:r w:rsidRPr="002C44DE">
              <w:rPr>
                <w:rFonts w:eastAsiaTheme="minorHAnsi" w:cs="Calibri"/>
                <w:noProof/>
                <w:color w:val="000000"/>
                <w:sz w:val="20"/>
                <w:szCs w:val="20"/>
                <w:lang w:val="es-ES"/>
              </w:rPr>
              <w:t>Remodelación del SISR</w:t>
            </w:r>
          </w:p>
        </w:tc>
        <w:tc>
          <w:tcPr>
            <w:tcW w:w="1140" w:type="dxa"/>
            <w:gridSpan w:val="2"/>
            <w:tcBorders>
              <w:top w:val="nil"/>
              <w:left w:val="nil"/>
              <w:bottom w:val="nil"/>
              <w:right w:val="nil"/>
            </w:tcBorders>
          </w:tcPr>
          <w:p w14:paraId="6B880251"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39</w:t>
            </w:r>
          </w:p>
        </w:tc>
        <w:tc>
          <w:tcPr>
            <w:tcW w:w="1005" w:type="dxa"/>
            <w:tcBorders>
              <w:top w:val="nil"/>
              <w:left w:val="nil"/>
              <w:bottom w:val="nil"/>
              <w:right w:val="nil"/>
            </w:tcBorders>
          </w:tcPr>
          <w:p w14:paraId="5BCDDEE7"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06" w:type="dxa"/>
            <w:tcBorders>
              <w:top w:val="nil"/>
              <w:left w:val="nil"/>
              <w:bottom w:val="nil"/>
              <w:right w:val="nil"/>
            </w:tcBorders>
          </w:tcPr>
          <w:p w14:paraId="03ED18F7"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(1)</w:t>
            </w:r>
          </w:p>
        </w:tc>
        <w:tc>
          <w:tcPr>
            <w:tcW w:w="1005" w:type="dxa"/>
            <w:gridSpan w:val="2"/>
            <w:tcBorders>
              <w:top w:val="nil"/>
              <w:left w:val="nil"/>
              <w:bottom w:val="nil"/>
              <w:right w:val="nil"/>
            </w:tcBorders>
          </w:tcPr>
          <w:p w14:paraId="39E3756D"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661CAB31"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38</w:t>
            </w:r>
          </w:p>
        </w:tc>
      </w:tr>
      <w:tr w:rsidR="002C44DE" w:rsidRPr="002C44DE" w14:paraId="0A408C56" w14:textId="77777777" w:rsidTr="00CB5635">
        <w:tc>
          <w:tcPr>
            <w:tcW w:w="1306" w:type="dxa"/>
            <w:tcBorders>
              <w:top w:val="nil"/>
              <w:left w:val="nil"/>
              <w:bottom w:val="nil"/>
              <w:right w:val="nil"/>
            </w:tcBorders>
          </w:tcPr>
          <w:p w14:paraId="5CECD077"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R100103</w:t>
            </w:r>
          </w:p>
        </w:tc>
        <w:tc>
          <w:tcPr>
            <w:tcW w:w="3084" w:type="dxa"/>
            <w:gridSpan w:val="2"/>
            <w:tcBorders>
              <w:top w:val="nil"/>
              <w:left w:val="nil"/>
              <w:bottom w:val="nil"/>
              <w:right w:val="nil"/>
            </w:tcBorders>
          </w:tcPr>
          <w:p w14:paraId="04063FAC" w14:textId="6BAF9FAE" w:rsidR="002C44DE" w:rsidRPr="002C44DE" w:rsidRDefault="002C44DE" w:rsidP="001441B9">
            <w:pPr>
              <w:ind w:left="0" w:firstLine="0"/>
              <w:rPr>
                <w:rFonts w:eastAsiaTheme="minorHAnsi" w:cs="Calibri"/>
                <w:noProof/>
                <w:color w:val="000000"/>
                <w:sz w:val="20"/>
                <w:szCs w:val="20"/>
                <w:lang w:val="es-ES"/>
              </w:rPr>
            </w:pPr>
            <w:r w:rsidRPr="002C44DE">
              <w:rPr>
                <w:rFonts w:eastAsiaTheme="minorHAnsi" w:cs="Calibri"/>
                <w:noProof/>
                <w:color w:val="000000"/>
                <w:sz w:val="20"/>
                <w:szCs w:val="20"/>
                <w:lang w:val="es-ES"/>
              </w:rPr>
              <w:t>Remodelación del sitio web</w:t>
            </w:r>
          </w:p>
        </w:tc>
        <w:tc>
          <w:tcPr>
            <w:tcW w:w="1140" w:type="dxa"/>
            <w:gridSpan w:val="2"/>
            <w:tcBorders>
              <w:top w:val="nil"/>
              <w:left w:val="nil"/>
              <w:bottom w:val="nil"/>
              <w:right w:val="nil"/>
            </w:tcBorders>
          </w:tcPr>
          <w:p w14:paraId="7EC5662C"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64</w:t>
            </w:r>
          </w:p>
        </w:tc>
        <w:tc>
          <w:tcPr>
            <w:tcW w:w="1005" w:type="dxa"/>
            <w:tcBorders>
              <w:top w:val="nil"/>
              <w:left w:val="nil"/>
              <w:bottom w:val="nil"/>
              <w:right w:val="nil"/>
            </w:tcBorders>
          </w:tcPr>
          <w:p w14:paraId="75EDAB21"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06" w:type="dxa"/>
            <w:tcBorders>
              <w:top w:val="nil"/>
              <w:left w:val="nil"/>
              <w:bottom w:val="nil"/>
              <w:right w:val="nil"/>
            </w:tcBorders>
          </w:tcPr>
          <w:p w14:paraId="39CB08A6"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05" w:type="dxa"/>
            <w:gridSpan w:val="2"/>
            <w:tcBorders>
              <w:top w:val="nil"/>
              <w:left w:val="nil"/>
              <w:bottom w:val="nil"/>
              <w:right w:val="nil"/>
            </w:tcBorders>
          </w:tcPr>
          <w:p w14:paraId="3D17A54B"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4F2CF1AE"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64</w:t>
            </w:r>
          </w:p>
        </w:tc>
      </w:tr>
      <w:tr w:rsidR="002C44DE" w:rsidRPr="002C44DE" w14:paraId="01A56525" w14:textId="77777777" w:rsidTr="00CB5635">
        <w:tc>
          <w:tcPr>
            <w:tcW w:w="1306" w:type="dxa"/>
            <w:tcBorders>
              <w:top w:val="nil"/>
              <w:left w:val="nil"/>
              <w:bottom w:val="nil"/>
              <w:right w:val="nil"/>
            </w:tcBorders>
          </w:tcPr>
          <w:p w14:paraId="695476D6"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R100104</w:t>
            </w:r>
          </w:p>
        </w:tc>
        <w:tc>
          <w:tcPr>
            <w:tcW w:w="3084" w:type="dxa"/>
            <w:gridSpan w:val="2"/>
            <w:tcBorders>
              <w:top w:val="nil"/>
              <w:left w:val="nil"/>
              <w:bottom w:val="nil"/>
              <w:right w:val="nil"/>
            </w:tcBorders>
          </w:tcPr>
          <w:p w14:paraId="685FE767" w14:textId="1B16F5E1" w:rsidR="002C44DE" w:rsidRPr="002C44DE" w:rsidRDefault="002C44DE" w:rsidP="001441B9">
            <w:pPr>
              <w:ind w:left="0" w:firstLine="0"/>
              <w:rPr>
                <w:rFonts w:eastAsiaTheme="minorHAnsi" w:cs="Calibri"/>
                <w:noProof/>
                <w:color w:val="000000"/>
                <w:sz w:val="20"/>
                <w:szCs w:val="20"/>
                <w:lang w:val="es-ES"/>
              </w:rPr>
            </w:pPr>
            <w:r w:rsidRPr="002C44DE">
              <w:rPr>
                <w:rFonts w:eastAsiaTheme="minorHAnsi" w:cs="Calibri"/>
                <w:noProof/>
                <w:color w:val="000000"/>
                <w:sz w:val="20"/>
                <w:szCs w:val="20"/>
                <w:lang w:val="es-ES"/>
              </w:rPr>
              <w:t>Desarrollo</w:t>
            </w:r>
          </w:p>
        </w:tc>
        <w:tc>
          <w:tcPr>
            <w:tcW w:w="1140" w:type="dxa"/>
            <w:gridSpan w:val="2"/>
            <w:tcBorders>
              <w:top w:val="nil"/>
              <w:left w:val="nil"/>
              <w:bottom w:val="nil"/>
              <w:right w:val="nil"/>
            </w:tcBorders>
          </w:tcPr>
          <w:p w14:paraId="423D3754"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27</w:t>
            </w:r>
          </w:p>
        </w:tc>
        <w:tc>
          <w:tcPr>
            <w:tcW w:w="1005" w:type="dxa"/>
            <w:tcBorders>
              <w:top w:val="nil"/>
              <w:left w:val="nil"/>
              <w:bottom w:val="nil"/>
              <w:right w:val="nil"/>
            </w:tcBorders>
          </w:tcPr>
          <w:p w14:paraId="41807459"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06" w:type="dxa"/>
            <w:tcBorders>
              <w:top w:val="nil"/>
              <w:left w:val="nil"/>
              <w:bottom w:val="nil"/>
              <w:right w:val="nil"/>
            </w:tcBorders>
          </w:tcPr>
          <w:p w14:paraId="77FC4435"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05" w:type="dxa"/>
            <w:gridSpan w:val="2"/>
            <w:tcBorders>
              <w:top w:val="nil"/>
              <w:left w:val="nil"/>
              <w:bottom w:val="nil"/>
              <w:right w:val="nil"/>
            </w:tcBorders>
          </w:tcPr>
          <w:p w14:paraId="23D1A934"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3D5504C9"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27</w:t>
            </w:r>
          </w:p>
        </w:tc>
      </w:tr>
      <w:tr w:rsidR="002C44DE" w:rsidRPr="002C44DE" w14:paraId="7F2A4229" w14:textId="77777777" w:rsidTr="00CB5635">
        <w:tc>
          <w:tcPr>
            <w:tcW w:w="1306" w:type="dxa"/>
            <w:tcBorders>
              <w:top w:val="nil"/>
              <w:left w:val="nil"/>
              <w:bottom w:val="nil"/>
              <w:right w:val="nil"/>
            </w:tcBorders>
          </w:tcPr>
          <w:p w14:paraId="4125F2EA"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R100105</w:t>
            </w:r>
          </w:p>
        </w:tc>
        <w:tc>
          <w:tcPr>
            <w:tcW w:w="3084" w:type="dxa"/>
            <w:gridSpan w:val="2"/>
            <w:tcBorders>
              <w:top w:val="nil"/>
              <w:left w:val="nil"/>
              <w:bottom w:val="nil"/>
              <w:right w:val="nil"/>
            </w:tcBorders>
          </w:tcPr>
          <w:p w14:paraId="67E4D6DE" w14:textId="62C0DFE2" w:rsidR="002C44DE" w:rsidRPr="002C44DE" w:rsidRDefault="002C44DE" w:rsidP="001441B9">
            <w:pPr>
              <w:ind w:left="0" w:firstLine="0"/>
              <w:rPr>
                <w:rFonts w:eastAsiaTheme="minorHAnsi" w:cs="Calibri"/>
                <w:noProof/>
                <w:color w:val="000000"/>
                <w:sz w:val="20"/>
                <w:szCs w:val="20"/>
                <w:lang w:val="es-ES"/>
              </w:rPr>
            </w:pPr>
            <w:r w:rsidRPr="002C44DE">
              <w:rPr>
                <w:rFonts w:eastAsiaTheme="minorHAnsi" w:cs="Calibri"/>
                <w:noProof/>
                <w:color w:val="000000"/>
                <w:sz w:val="20"/>
                <w:szCs w:val="20"/>
                <w:lang w:val="es-ES"/>
              </w:rPr>
              <w:t>Examen científico</w:t>
            </w:r>
          </w:p>
        </w:tc>
        <w:tc>
          <w:tcPr>
            <w:tcW w:w="1140" w:type="dxa"/>
            <w:gridSpan w:val="2"/>
            <w:tcBorders>
              <w:top w:val="nil"/>
              <w:left w:val="nil"/>
              <w:bottom w:val="nil"/>
              <w:right w:val="nil"/>
            </w:tcBorders>
          </w:tcPr>
          <w:p w14:paraId="5114027A"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33</w:t>
            </w:r>
          </w:p>
        </w:tc>
        <w:tc>
          <w:tcPr>
            <w:tcW w:w="1005" w:type="dxa"/>
            <w:tcBorders>
              <w:top w:val="nil"/>
              <w:left w:val="nil"/>
              <w:bottom w:val="nil"/>
              <w:right w:val="nil"/>
            </w:tcBorders>
          </w:tcPr>
          <w:p w14:paraId="07AFD784"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06" w:type="dxa"/>
            <w:tcBorders>
              <w:top w:val="nil"/>
              <w:left w:val="nil"/>
              <w:bottom w:val="nil"/>
              <w:right w:val="nil"/>
            </w:tcBorders>
          </w:tcPr>
          <w:p w14:paraId="7FEBAA95"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05" w:type="dxa"/>
            <w:gridSpan w:val="2"/>
            <w:tcBorders>
              <w:top w:val="nil"/>
              <w:left w:val="nil"/>
              <w:bottom w:val="nil"/>
              <w:right w:val="nil"/>
            </w:tcBorders>
          </w:tcPr>
          <w:p w14:paraId="0EFC08D9"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75EC23E7"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33</w:t>
            </w:r>
          </w:p>
        </w:tc>
      </w:tr>
      <w:tr w:rsidR="002C44DE" w:rsidRPr="002C44DE" w14:paraId="75AB53F0" w14:textId="77777777" w:rsidTr="00CB5635">
        <w:tc>
          <w:tcPr>
            <w:tcW w:w="1306" w:type="dxa"/>
            <w:tcBorders>
              <w:top w:val="nil"/>
              <w:left w:val="nil"/>
              <w:bottom w:val="nil"/>
              <w:right w:val="nil"/>
            </w:tcBorders>
          </w:tcPr>
          <w:p w14:paraId="133918CE"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R100106</w:t>
            </w:r>
          </w:p>
        </w:tc>
        <w:tc>
          <w:tcPr>
            <w:tcW w:w="3084" w:type="dxa"/>
            <w:gridSpan w:val="2"/>
            <w:tcBorders>
              <w:top w:val="nil"/>
              <w:left w:val="nil"/>
              <w:bottom w:val="nil"/>
              <w:right w:val="nil"/>
            </w:tcBorders>
          </w:tcPr>
          <w:p w14:paraId="10795EB2" w14:textId="3A9ED320" w:rsidR="002C44DE" w:rsidRPr="002C44DE" w:rsidRDefault="002C44DE" w:rsidP="001441B9">
            <w:pPr>
              <w:ind w:left="0" w:firstLine="0"/>
              <w:rPr>
                <w:rFonts w:eastAsiaTheme="minorHAnsi" w:cs="Calibri"/>
                <w:noProof/>
                <w:color w:val="000000"/>
                <w:sz w:val="20"/>
                <w:szCs w:val="20"/>
                <w:lang w:val="es-ES"/>
              </w:rPr>
            </w:pPr>
            <w:r w:rsidRPr="002C44DE">
              <w:rPr>
                <w:rFonts w:eastAsiaTheme="minorHAnsi" w:cs="Calibri"/>
                <w:noProof/>
                <w:color w:val="000000"/>
                <w:sz w:val="20"/>
                <w:szCs w:val="20"/>
                <w:lang w:val="es-ES"/>
              </w:rPr>
              <w:t>Plan Estratégico 2016</w:t>
            </w:r>
          </w:p>
        </w:tc>
        <w:tc>
          <w:tcPr>
            <w:tcW w:w="1140" w:type="dxa"/>
            <w:gridSpan w:val="2"/>
            <w:tcBorders>
              <w:top w:val="nil"/>
              <w:left w:val="nil"/>
              <w:bottom w:val="nil"/>
              <w:right w:val="nil"/>
            </w:tcBorders>
          </w:tcPr>
          <w:p w14:paraId="1B328D8F"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18</w:t>
            </w:r>
          </w:p>
        </w:tc>
        <w:tc>
          <w:tcPr>
            <w:tcW w:w="1005" w:type="dxa"/>
            <w:tcBorders>
              <w:top w:val="nil"/>
              <w:left w:val="nil"/>
              <w:bottom w:val="nil"/>
              <w:right w:val="nil"/>
            </w:tcBorders>
          </w:tcPr>
          <w:p w14:paraId="7D6D77F1"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06" w:type="dxa"/>
            <w:tcBorders>
              <w:top w:val="nil"/>
              <w:left w:val="nil"/>
              <w:bottom w:val="nil"/>
              <w:right w:val="nil"/>
            </w:tcBorders>
          </w:tcPr>
          <w:p w14:paraId="6B9F6650"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05" w:type="dxa"/>
            <w:gridSpan w:val="2"/>
            <w:tcBorders>
              <w:top w:val="nil"/>
              <w:left w:val="nil"/>
              <w:bottom w:val="nil"/>
              <w:right w:val="nil"/>
            </w:tcBorders>
          </w:tcPr>
          <w:p w14:paraId="5D24FE60"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6F3F97B1"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18</w:t>
            </w:r>
          </w:p>
        </w:tc>
      </w:tr>
      <w:tr w:rsidR="002C44DE" w:rsidRPr="002C44DE" w14:paraId="5709493D" w14:textId="77777777" w:rsidTr="00CB5635">
        <w:tc>
          <w:tcPr>
            <w:tcW w:w="1306" w:type="dxa"/>
            <w:tcBorders>
              <w:top w:val="nil"/>
              <w:left w:val="nil"/>
              <w:bottom w:val="nil"/>
              <w:right w:val="nil"/>
            </w:tcBorders>
          </w:tcPr>
          <w:p w14:paraId="48C01B18"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R100108</w:t>
            </w:r>
          </w:p>
        </w:tc>
        <w:tc>
          <w:tcPr>
            <w:tcW w:w="3084" w:type="dxa"/>
            <w:gridSpan w:val="2"/>
            <w:tcBorders>
              <w:top w:val="nil"/>
              <w:left w:val="nil"/>
              <w:bottom w:val="nil"/>
              <w:right w:val="nil"/>
            </w:tcBorders>
          </w:tcPr>
          <w:p w14:paraId="0CDC39C5" w14:textId="461B5069" w:rsidR="002C44DE" w:rsidRPr="002C44DE" w:rsidRDefault="002C44DE" w:rsidP="001441B9">
            <w:pPr>
              <w:ind w:left="0" w:firstLine="0"/>
              <w:rPr>
                <w:rFonts w:eastAsiaTheme="minorHAnsi" w:cs="Calibri"/>
                <w:noProof/>
                <w:color w:val="000000"/>
                <w:sz w:val="20"/>
                <w:szCs w:val="20"/>
                <w:lang w:val="es-ES"/>
              </w:rPr>
            </w:pPr>
            <w:r w:rsidRPr="002C44DE">
              <w:rPr>
                <w:rFonts w:eastAsiaTheme="minorHAnsi" w:cs="Calibri"/>
                <w:noProof/>
                <w:color w:val="000000"/>
                <w:sz w:val="20"/>
                <w:szCs w:val="20"/>
                <w:lang w:val="es-ES"/>
              </w:rPr>
              <w:t>Traducciones para la COP12 (FOEN-CH)</w:t>
            </w:r>
          </w:p>
        </w:tc>
        <w:tc>
          <w:tcPr>
            <w:tcW w:w="1140" w:type="dxa"/>
            <w:gridSpan w:val="2"/>
            <w:tcBorders>
              <w:top w:val="nil"/>
              <w:left w:val="nil"/>
              <w:bottom w:val="nil"/>
              <w:right w:val="nil"/>
            </w:tcBorders>
          </w:tcPr>
          <w:p w14:paraId="77A0EA11"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45</w:t>
            </w:r>
          </w:p>
        </w:tc>
        <w:tc>
          <w:tcPr>
            <w:tcW w:w="1005" w:type="dxa"/>
            <w:tcBorders>
              <w:top w:val="nil"/>
              <w:left w:val="nil"/>
              <w:bottom w:val="nil"/>
              <w:right w:val="nil"/>
            </w:tcBorders>
          </w:tcPr>
          <w:p w14:paraId="73409485"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06" w:type="dxa"/>
            <w:tcBorders>
              <w:top w:val="nil"/>
              <w:left w:val="nil"/>
              <w:bottom w:val="nil"/>
              <w:right w:val="nil"/>
            </w:tcBorders>
          </w:tcPr>
          <w:p w14:paraId="0F8EA662"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05" w:type="dxa"/>
            <w:gridSpan w:val="2"/>
            <w:tcBorders>
              <w:top w:val="nil"/>
              <w:left w:val="nil"/>
              <w:bottom w:val="nil"/>
              <w:right w:val="nil"/>
            </w:tcBorders>
          </w:tcPr>
          <w:p w14:paraId="6E91BF03"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6859C5E1"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45</w:t>
            </w:r>
          </w:p>
        </w:tc>
      </w:tr>
      <w:tr w:rsidR="002C44DE" w:rsidRPr="002C44DE" w14:paraId="6CA9932E" w14:textId="77777777" w:rsidTr="00CB5635">
        <w:tc>
          <w:tcPr>
            <w:tcW w:w="1306" w:type="dxa"/>
            <w:tcBorders>
              <w:top w:val="nil"/>
              <w:left w:val="nil"/>
              <w:bottom w:val="nil"/>
              <w:right w:val="nil"/>
            </w:tcBorders>
          </w:tcPr>
          <w:p w14:paraId="1A4B96B5"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R100190</w:t>
            </w:r>
          </w:p>
        </w:tc>
        <w:tc>
          <w:tcPr>
            <w:tcW w:w="3084" w:type="dxa"/>
            <w:gridSpan w:val="2"/>
            <w:tcBorders>
              <w:top w:val="nil"/>
              <w:left w:val="nil"/>
              <w:bottom w:val="nil"/>
              <w:right w:val="nil"/>
            </w:tcBorders>
          </w:tcPr>
          <w:p w14:paraId="60E166A8" w14:textId="16125ECB" w:rsidR="002C44DE" w:rsidRPr="002C44DE" w:rsidRDefault="002C44DE" w:rsidP="001441B9">
            <w:pPr>
              <w:ind w:left="0" w:firstLine="0"/>
              <w:rPr>
                <w:rFonts w:eastAsiaTheme="minorHAnsi" w:cs="Calibri"/>
                <w:noProof/>
                <w:color w:val="000000"/>
                <w:sz w:val="20"/>
                <w:szCs w:val="20"/>
                <w:lang w:val="es-ES"/>
              </w:rPr>
            </w:pPr>
            <w:r w:rsidRPr="002C44DE">
              <w:rPr>
                <w:rFonts w:eastAsiaTheme="minorHAnsi" w:cs="Calibri"/>
                <w:noProof/>
                <w:color w:val="000000"/>
                <w:sz w:val="20"/>
                <w:szCs w:val="20"/>
                <w:lang w:val="es-ES"/>
              </w:rPr>
              <w:t>Ciclo hidrológico</w:t>
            </w:r>
          </w:p>
        </w:tc>
        <w:tc>
          <w:tcPr>
            <w:tcW w:w="1140" w:type="dxa"/>
            <w:gridSpan w:val="2"/>
            <w:tcBorders>
              <w:top w:val="nil"/>
              <w:left w:val="nil"/>
              <w:bottom w:val="nil"/>
              <w:right w:val="nil"/>
            </w:tcBorders>
          </w:tcPr>
          <w:p w14:paraId="422C311E"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11</w:t>
            </w:r>
          </w:p>
        </w:tc>
        <w:tc>
          <w:tcPr>
            <w:tcW w:w="1005" w:type="dxa"/>
            <w:tcBorders>
              <w:top w:val="nil"/>
              <w:left w:val="nil"/>
              <w:bottom w:val="nil"/>
              <w:right w:val="nil"/>
            </w:tcBorders>
          </w:tcPr>
          <w:p w14:paraId="34652FEE"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06" w:type="dxa"/>
            <w:tcBorders>
              <w:top w:val="nil"/>
              <w:left w:val="nil"/>
              <w:bottom w:val="nil"/>
              <w:right w:val="nil"/>
            </w:tcBorders>
          </w:tcPr>
          <w:p w14:paraId="28EC83BF"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05" w:type="dxa"/>
            <w:gridSpan w:val="2"/>
            <w:tcBorders>
              <w:top w:val="nil"/>
              <w:left w:val="nil"/>
              <w:bottom w:val="nil"/>
              <w:right w:val="nil"/>
            </w:tcBorders>
          </w:tcPr>
          <w:p w14:paraId="1486F867"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18F43BDF"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11</w:t>
            </w:r>
          </w:p>
        </w:tc>
      </w:tr>
      <w:tr w:rsidR="002C44DE" w:rsidRPr="002C44DE" w14:paraId="5940F0FB" w14:textId="77777777" w:rsidTr="00CB5635">
        <w:tc>
          <w:tcPr>
            <w:tcW w:w="1306" w:type="dxa"/>
            <w:tcBorders>
              <w:top w:val="nil"/>
              <w:left w:val="nil"/>
              <w:bottom w:val="nil"/>
              <w:right w:val="nil"/>
            </w:tcBorders>
          </w:tcPr>
          <w:p w14:paraId="40803C41"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R100311</w:t>
            </w:r>
          </w:p>
        </w:tc>
        <w:tc>
          <w:tcPr>
            <w:tcW w:w="3084" w:type="dxa"/>
            <w:gridSpan w:val="2"/>
            <w:tcBorders>
              <w:top w:val="nil"/>
              <w:left w:val="nil"/>
              <w:bottom w:val="nil"/>
              <w:right w:val="nil"/>
            </w:tcBorders>
          </w:tcPr>
          <w:p w14:paraId="12945CDD" w14:textId="6875D2FF" w:rsidR="002C44DE" w:rsidRPr="002C44DE" w:rsidRDefault="002C44DE" w:rsidP="001441B9">
            <w:pPr>
              <w:ind w:left="0" w:firstLine="0"/>
              <w:rPr>
                <w:rFonts w:eastAsiaTheme="minorHAnsi" w:cs="Calibri"/>
                <w:noProof/>
                <w:color w:val="000000"/>
                <w:sz w:val="20"/>
                <w:szCs w:val="20"/>
                <w:lang w:val="es-ES"/>
              </w:rPr>
            </w:pPr>
            <w:r w:rsidRPr="002C44DE">
              <w:rPr>
                <w:rFonts w:eastAsiaTheme="minorHAnsi" w:cs="Calibri"/>
                <w:noProof/>
                <w:color w:val="000000" w:themeColor="text1"/>
                <w:sz w:val="20"/>
                <w:szCs w:val="20"/>
                <w:lang w:val="es-ES"/>
              </w:rPr>
              <w:t xml:space="preserve">Río </w:t>
            </w:r>
            <w:r w:rsidRPr="002C44DE">
              <w:rPr>
                <w:rFonts w:eastAsiaTheme="minorHAnsi" w:cs="Calibri"/>
                <w:noProof/>
                <w:color w:val="000000"/>
                <w:sz w:val="20"/>
                <w:szCs w:val="20"/>
                <w:lang w:val="es-ES"/>
              </w:rPr>
              <w:t>Cruces</w:t>
            </w:r>
          </w:p>
        </w:tc>
        <w:tc>
          <w:tcPr>
            <w:tcW w:w="1140" w:type="dxa"/>
            <w:gridSpan w:val="2"/>
            <w:tcBorders>
              <w:top w:val="nil"/>
              <w:left w:val="nil"/>
              <w:bottom w:val="nil"/>
              <w:right w:val="nil"/>
            </w:tcBorders>
          </w:tcPr>
          <w:p w14:paraId="60BB3631"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52</w:t>
            </w:r>
          </w:p>
        </w:tc>
        <w:tc>
          <w:tcPr>
            <w:tcW w:w="1005" w:type="dxa"/>
            <w:tcBorders>
              <w:top w:val="nil"/>
              <w:left w:val="nil"/>
              <w:bottom w:val="nil"/>
              <w:right w:val="nil"/>
            </w:tcBorders>
          </w:tcPr>
          <w:p w14:paraId="091AE094"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06" w:type="dxa"/>
            <w:tcBorders>
              <w:top w:val="nil"/>
              <w:left w:val="nil"/>
              <w:bottom w:val="nil"/>
              <w:right w:val="nil"/>
            </w:tcBorders>
          </w:tcPr>
          <w:p w14:paraId="67263B05"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05" w:type="dxa"/>
            <w:gridSpan w:val="2"/>
            <w:tcBorders>
              <w:top w:val="nil"/>
              <w:left w:val="nil"/>
              <w:bottom w:val="nil"/>
              <w:right w:val="nil"/>
            </w:tcBorders>
          </w:tcPr>
          <w:p w14:paraId="40B323EE"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337637A1"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52</w:t>
            </w:r>
          </w:p>
        </w:tc>
      </w:tr>
      <w:tr w:rsidR="002C44DE" w:rsidRPr="002C44DE" w14:paraId="500BDDFA" w14:textId="77777777" w:rsidTr="00CB5635">
        <w:tc>
          <w:tcPr>
            <w:tcW w:w="1306" w:type="dxa"/>
            <w:tcBorders>
              <w:top w:val="nil"/>
              <w:left w:val="nil"/>
              <w:bottom w:val="nil"/>
              <w:right w:val="nil"/>
            </w:tcBorders>
          </w:tcPr>
          <w:p w14:paraId="2B69B0B1"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R100640</w:t>
            </w:r>
          </w:p>
        </w:tc>
        <w:tc>
          <w:tcPr>
            <w:tcW w:w="3084" w:type="dxa"/>
            <w:gridSpan w:val="2"/>
            <w:tcBorders>
              <w:top w:val="nil"/>
              <w:left w:val="nil"/>
              <w:bottom w:val="nil"/>
              <w:right w:val="nil"/>
            </w:tcBorders>
          </w:tcPr>
          <w:p w14:paraId="10AC322C" w14:textId="40050714" w:rsidR="002C44DE" w:rsidRPr="002C44DE" w:rsidRDefault="002C44DE" w:rsidP="001441B9">
            <w:pPr>
              <w:ind w:left="0" w:firstLine="0"/>
              <w:rPr>
                <w:rFonts w:eastAsiaTheme="minorHAnsi" w:cs="Calibri"/>
                <w:noProof/>
                <w:color w:val="000000"/>
                <w:sz w:val="20"/>
                <w:szCs w:val="20"/>
                <w:lang w:val="es-ES"/>
              </w:rPr>
            </w:pPr>
            <w:r w:rsidRPr="002C44DE">
              <w:rPr>
                <w:rFonts w:eastAsiaTheme="minorHAnsi" w:cs="Calibri"/>
                <w:noProof/>
                <w:color w:val="000000"/>
                <w:sz w:val="20"/>
                <w:szCs w:val="20"/>
                <w:lang w:val="es-ES"/>
              </w:rPr>
              <w:t>COP14 - China</w:t>
            </w:r>
          </w:p>
        </w:tc>
        <w:tc>
          <w:tcPr>
            <w:tcW w:w="1140" w:type="dxa"/>
            <w:gridSpan w:val="2"/>
            <w:tcBorders>
              <w:top w:val="nil"/>
              <w:left w:val="nil"/>
              <w:bottom w:val="nil"/>
              <w:right w:val="nil"/>
            </w:tcBorders>
          </w:tcPr>
          <w:p w14:paraId="390D7A7B"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(4)</w:t>
            </w:r>
          </w:p>
        </w:tc>
        <w:tc>
          <w:tcPr>
            <w:tcW w:w="1005" w:type="dxa"/>
            <w:tcBorders>
              <w:top w:val="nil"/>
              <w:left w:val="nil"/>
              <w:bottom w:val="nil"/>
              <w:right w:val="nil"/>
            </w:tcBorders>
          </w:tcPr>
          <w:p w14:paraId="552098E0"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06" w:type="dxa"/>
            <w:tcBorders>
              <w:top w:val="nil"/>
              <w:left w:val="nil"/>
              <w:bottom w:val="nil"/>
              <w:right w:val="nil"/>
            </w:tcBorders>
          </w:tcPr>
          <w:p w14:paraId="5E959B32"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05" w:type="dxa"/>
            <w:gridSpan w:val="2"/>
            <w:tcBorders>
              <w:top w:val="nil"/>
              <w:left w:val="nil"/>
              <w:bottom w:val="nil"/>
              <w:right w:val="nil"/>
            </w:tcBorders>
          </w:tcPr>
          <w:p w14:paraId="2C6FB47E"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546C0BC1"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(4)</w:t>
            </w:r>
          </w:p>
        </w:tc>
      </w:tr>
      <w:tr w:rsidR="002C44DE" w:rsidRPr="002C44DE" w14:paraId="50AE6CA0" w14:textId="77777777" w:rsidTr="00CB5635">
        <w:tc>
          <w:tcPr>
            <w:tcW w:w="1306" w:type="dxa"/>
            <w:tcBorders>
              <w:top w:val="nil"/>
              <w:left w:val="nil"/>
              <w:bottom w:val="nil"/>
              <w:right w:val="nil"/>
            </w:tcBorders>
          </w:tcPr>
          <w:p w14:paraId="724FAB1D"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R100700</w:t>
            </w:r>
          </w:p>
        </w:tc>
        <w:tc>
          <w:tcPr>
            <w:tcW w:w="3084" w:type="dxa"/>
            <w:gridSpan w:val="2"/>
            <w:tcBorders>
              <w:top w:val="nil"/>
              <w:left w:val="nil"/>
              <w:bottom w:val="nil"/>
              <w:right w:val="nil"/>
            </w:tcBorders>
          </w:tcPr>
          <w:p w14:paraId="75647BEE" w14:textId="7C9C37AF" w:rsidR="002C44DE" w:rsidRPr="002C44DE" w:rsidRDefault="002C44DE" w:rsidP="001441B9">
            <w:pPr>
              <w:ind w:left="0" w:firstLine="0"/>
              <w:rPr>
                <w:rFonts w:eastAsiaTheme="minorHAnsi" w:cs="Calibri"/>
                <w:noProof/>
                <w:color w:val="000000"/>
                <w:sz w:val="20"/>
                <w:szCs w:val="20"/>
                <w:lang w:val="es-ES"/>
              </w:rPr>
            </w:pPr>
            <w:r w:rsidRPr="002C44DE">
              <w:rPr>
                <w:rFonts w:eastAsiaTheme="minorHAnsi" w:cs="Calibri"/>
                <w:noProof/>
                <w:color w:val="000000"/>
                <w:sz w:val="20"/>
                <w:szCs w:val="20"/>
                <w:lang w:val="es-ES"/>
              </w:rPr>
              <w:t>CECoP</w:t>
            </w:r>
          </w:p>
        </w:tc>
        <w:tc>
          <w:tcPr>
            <w:tcW w:w="1140" w:type="dxa"/>
            <w:gridSpan w:val="2"/>
            <w:tcBorders>
              <w:top w:val="nil"/>
              <w:left w:val="nil"/>
              <w:bottom w:val="nil"/>
              <w:right w:val="nil"/>
            </w:tcBorders>
          </w:tcPr>
          <w:p w14:paraId="2AF3582B" w14:textId="643A8876"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11</w:t>
            </w:r>
          </w:p>
        </w:tc>
        <w:tc>
          <w:tcPr>
            <w:tcW w:w="1005" w:type="dxa"/>
            <w:tcBorders>
              <w:top w:val="nil"/>
              <w:left w:val="nil"/>
              <w:bottom w:val="nil"/>
              <w:right w:val="nil"/>
            </w:tcBorders>
          </w:tcPr>
          <w:p w14:paraId="548A2317"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06" w:type="dxa"/>
            <w:tcBorders>
              <w:top w:val="nil"/>
              <w:left w:val="nil"/>
              <w:bottom w:val="nil"/>
              <w:right w:val="nil"/>
            </w:tcBorders>
          </w:tcPr>
          <w:p w14:paraId="52710F68" w14:textId="3491F222"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05" w:type="dxa"/>
            <w:gridSpan w:val="2"/>
            <w:tcBorders>
              <w:top w:val="nil"/>
              <w:left w:val="nil"/>
              <w:bottom w:val="nil"/>
              <w:right w:val="nil"/>
            </w:tcBorders>
          </w:tcPr>
          <w:p w14:paraId="5668F1C1"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130F6550"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11</w:t>
            </w:r>
          </w:p>
        </w:tc>
      </w:tr>
      <w:tr w:rsidR="002C44DE" w:rsidRPr="002C44DE" w14:paraId="02B1664C" w14:textId="77777777" w:rsidTr="00CB5635">
        <w:tc>
          <w:tcPr>
            <w:tcW w:w="1306" w:type="dxa"/>
            <w:tcBorders>
              <w:top w:val="nil"/>
              <w:left w:val="nil"/>
              <w:bottom w:val="nil"/>
              <w:right w:val="nil"/>
            </w:tcBorders>
          </w:tcPr>
          <w:p w14:paraId="4E8A29AA"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R100816</w:t>
            </w:r>
          </w:p>
        </w:tc>
        <w:tc>
          <w:tcPr>
            <w:tcW w:w="3084" w:type="dxa"/>
            <w:gridSpan w:val="2"/>
            <w:tcBorders>
              <w:top w:val="nil"/>
              <w:left w:val="nil"/>
              <w:bottom w:val="nil"/>
              <w:right w:val="nil"/>
            </w:tcBorders>
          </w:tcPr>
          <w:p w14:paraId="256D3C0C" w14:textId="7FF73E77" w:rsidR="002C44DE" w:rsidRPr="002C44DE" w:rsidRDefault="002C44DE" w:rsidP="001441B9">
            <w:pPr>
              <w:ind w:left="0" w:firstLine="0"/>
              <w:rPr>
                <w:rFonts w:eastAsiaTheme="minorHAnsi" w:cs="Calibri"/>
                <w:noProof/>
                <w:color w:val="000000"/>
                <w:sz w:val="20"/>
                <w:szCs w:val="20"/>
                <w:lang w:val="es-ES"/>
              </w:rPr>
            </w:pPr>
            <w:r w:rsidRPr="002C44DE">
              <w:rPr>
                <w:rFonts w:eastAsiaTheme="minorHAnsi" w:cs="Calibri"/>
                <w:noProof/>
                <w:color w:val="000000"/>
                <w:sz w:val="20"/>
                <w:szCs w:val="20"/>
                <w:lang w:val="es-ES"/>
              </w:rPr>
              <w:t>Danone 2016-2020</w:t>
            </w:r>
          </w:p>
        </w:tc>
        <w:tc>
          <w:tcPr>
            <w:tcW w:w="1140" w:type="dxa"/>
            <w:gridSpan w:val="2"/>
            <w:tcBorders>
              <w:top w:val="nil"/>
              <w:left w:val="nil"/>
              <w:bottom w:val="nil"/>
              <w:right w:val="nil"/>
            </w:tcBorders>
          </w:tcPr>
          <w:p w14:paraId="6AA5514D" w14:textId="2A6507E9"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131</w:t>
            </w:r>
          </w:p>
        </w:tc>
        <w:tc>
          <w:tcPr>
            <w:tcW w:w="1005" w:type="dxa"/>
            <w:tcBorders>
              <w:top w:val="nil"/>
              <w:left w:val="nil"/>
              <w:bottom w:val="nil"/>
              <w:right w:val="nil"/>
            </w:tcBorders>
          </w:tcPr>
          <w:p w14:paraId="632CF8F9" w14:textId="00ED4AFE"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2</w:t>
            </w:r>
          </w:p>
        </w:tc>
        <w:tc>
          <w:tcPr>
            <w:tcW w:w="1006" w:type="dxa"/>
            <w:tcBorders>
              <w:top w:val="nil"/>
              <w:left w:val="nil"/>
              <w:bottom w:val="nil"/>
              <w:right w:val="nil"/>
            </w:tcBorders>
          </w:tcPr>
          <w:p w14:paraId="4F5847EA" w14:textId="2A62A17B"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(75)</w:t>
            </w:r>
          </w:p>
        </w:tc>
        <w:tc>
          <w:tcPr>
            <w:tcW w:w="1005" w:type="dxa"/>
            <w:gridSpan w:val="2"/>
            <w:tcBorders>
              <w:top w:val="nil"/>
              <w:left w:val="nil"/>
              <w:bottom w:val="nil"/>
              <w:right w:val="nil"/>
            </w:tcBorders>
          </w:tcPr>
          <w:p w14:paraId="08CBC596" w14:textId="24D9AFCC"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0C67BC59" w14:textId="4E39E85B"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57</w:t>
            </w:r>
          </w:p>
        </w:tc>
      </w:tr>
      <w:tr w:rsidR="002C44DE" w:rsidRPr="002C44DE" w14:paraId="56B0652B" w14:textId="77777777" w:rsidTr="00CB5635">
        <w:tc>
          <w:tcPr>
            <w:tcW w:w="1306" w:type="dxa"/>
            <w:tcBorders>
              <w:top w:val="nil"/>
              <w:left w:val="nil"/>
              <w:bottom w:val="nil"/>
              <w:right w:val="nil"/>
            </w:tcBorders>
          </w:tcPr>
          <w:p w14:paraId="6AAE1B6B"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R100904</w:t>
            </w:r>
          </w:p>
        </w:tc>
        <w:tc>
          <w:tcPr>
            <w:tcW w:w="3084" w:type="dxa"/>
            <w:gridSpan w:val="2"/>
            <w:tcBorders>
              <w:top w:val="nil"/>
              <w:left w:val="nil"/>
              <w:bottom w:val="nil"/>
              <w:right w:val="nil"/>
            </w:tcBorders>
          </w:tcPr>
          <w:p w14:paraId="345EBF5A" w14:textId="4E195462" w:rsidR="002C44DE" w:rsidRPr="002C44DE" w:rsidRDefault="002C44DE" w:rsidP="001441B9">
            <w:pPr>
              <w:ind w:left="0" w:firstLine="0"/>
              <w:rPr>
                <w:rFonts w:eastAsiaTheme="minorHAnsi" w:cs="Calibri"/>
                <w:noProof/>
                <w:color w:val="000000"/>
                <w:sz w:val="20"/>
                <w:szCs w:val="20"/>
                <w:lang w:val="es-ES"/>
              </w:rPr>
            </w:pPr>
            <w:r w:rsidRPr="002C44DE">
              <w:rPr>
                <w:rFonts w:eastAsiaTheme="minorHAnsi" w:cs="Calibri"/>
                <w:noProof/>
                <w:color w:val="000000"/>
                <w:sz w:val="20"/>
                <w:szCs w:val="20"/>
                <w:lang w:val="es-ES"/>
              </w:rPr>
              <w:t>GECT, NO BÁSICO</w:t>
            </w:r>
          </w:p>
        </w:tc>
        <w:tc>
          <w:tcPr>
            <w:tcW w:w="1140" w:type="dxa"/>
            <w:gridSpan w:val="2"/>
            <w:tcBorders>
              <w:top w:val="nil"/>
              <w:left w:val="nil"/>
              <w:bottom w:val="nil"/>
              <w:right w:val="nil"/>
            </w:tcBorders>
          </w:tcPr>
          <w:p w14:paraId="31DFA442"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145</w:t>
            </w:r>
          </w:p>
        </w:tc>
        <w:tc>
          <w:tcPr>
            <w:tcW w:w="1005" w:type="dxa"/>
            <w:tcBorders>
              <w:top w:val="nil"/>
              <w:left w:val="nil"/>
              <w:bottom w:val="nil"/>
              <w:right w:val="nil"/>
            </w:tcBorders>
          </w:tcPr>
          <w:p w14:paraId="6BAD332B"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06" w:type="dxa"/>
            <w:tcBorders>
              <w:top w:val="nil"/>
              <w:left w:val="nil"/>
              <w:bottom w:val="nil"/>
              <w:right w:val="nil"/>
            </w:tcBorders>
          </w:tcPr>
          <w:p w14:paraId="6E90E57D"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05" w:type="dxa"/>
            <w:gridSpan w:val="2"/>
            <w:tcBorders>
              <w:top w:val="nil"/>
              <w:left w:val="nil"/>
              <w:bottom w:val="nil"/>
              <w:right w:val="nil"/>
            </w:tcBorders>
          </w:tcPr>
          <w:p w14:paraId="47C0E9C4"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4ED4D9B2"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145</w:t>
            </w:r>
          </w:p>
        </w:tc>
      </w:tr>
      <w:tr w:rsidR="002C44DE" w:rsidRPr="002C44DE" w14:paraId="6E0585EF" w14:textId="77777777" w:rsidTr="00CB5635">
        <w:tc>
          <w:tcPr>
            <w:tcW w:w="1306" w:type="dxa"/>
            <w:tcBorders>
              <w:top w:val="nil"/>
              <w:left w:val="nil"/>
              <w:bottom w:val="nil"/>
              <w:right w:val="nil"/>
            </w:tcBorders>
          </w:tcPr>
          <w:p w14:paraId="482604DA"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R100915</w:t>
            </w:r>
          </w:p>
        </w:tc>
        <w:tc>
          <w:tcPr>
            <w:tcW w:w="3084" w:type="dxa"/>
            <w:gridSpan w:val="2"/>
            <w:tcBorders>
              <w:top w:val="nil"/>
              <w:left w:val="nil"/>
              <w:bottom w:val="nil"/>
              <w:right w:val="nil"/>
            </w:tcBorders>
          </w:tcPr>
          <w:p w14:paraId="7594FE0D" w14:textId="3A7E23AE" w:rsidR="002C44DE" w:rsidRPr="002C44DE" w:rsidRDefault="002C44DE" w:rsidP="001441B9">
            <w:pPr>
              <w:ind w:left="0" w:firstLine="0"/>
              <w:rPr>
                <w:rFonts w:eastAsiaTheme="minorHAnsi" w:cs="Calibri"/>
                <w:noProof/>
                <w:color w:val="000000"/>
                <w:sz w:val="20"/>
                <w:szCs w:val="20"/>
                <w:lang w:val="es-ES"/>
              </w:rPr>
            </w:pPr>
            <w:r w:rsidRPr="002C44DE">
              <w:rPr>
                <w:rFonts w:eastAsiaTheme="minorHAnsi" w:cs="Calibri"/>
                <w:noProof/>
                <w:color w:val="000000"/>
                <w:sz w:val="20"/>
                <w:szCs w:val="20"/>
                <w:lang w:val="es-ES"/>
              </w:rPr>
              <w:t>TRABAJO SOBRE GÉNERO</w:t>
            </w:r>
          </w:p>
        </w:tc>
        <w:tc>
          <w:tcPr>
            <w:tcW w:w="1140" w:type="dxa"/>
            <w:gridSpan w:val="2"/>
            <w:tcBorders>
              <w:top w:val="nil"/>
              <w:left w:val="nil"/>
              <w:bottom w:val="nil"/>
              <w:right w:val="nil"/>
            </w:tcBorders>
          </w:tcPr>
          <w:p w14:paraId="6FE33746" w14:textId="1E93D8F1"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11</w:t>
            </w:r>
          </w:p>
        </w:tc>
        <w:tc>
          <w:tcPr>
            <w:tcW w:w="1005" w:type="dxa"/>
            <w:tcBorders>
              <w:top w:val="nil"/>
              <w:left w:val="nil"/>
              <w:bottom w:val="nil"/>
              <w:right w:val="nil"/>
            </w:tcBorders>
          </w:tcPr>
          <w:p w14:paraId="7ACC70B0"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06" w:type="dxa"/>
            <w:tcBorders>
              <w:top w:val="nil"/>
              <w:left w:val="nil"/>
              <w:bottom w:val="nil"/>
              <w:right w:val="nil"/>
            </w:tcBorders>
          </w:tcPr>
          <w:p w14:paraId="100BFE4F" w14:textId="28F66AAC"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(18)</w:t>
            </w:r>
          </w:p>
        </w:tc>
        <w:tc>
          <w:tcPr>
            <w:tcW w:w="1005" w:type="dxa"/>
            <w:gridSpan w:val="2"/>
            <w:tcBorders>
              <w:top w:val="nil"/>
              <w:left w:val="nil"/>
              <w:bottom w:val="nil"/>
              <w:right w:val="nil"/>
            </w:tcBorders>
          </w:tcPr>
          <w:p w14:paraId="3727E59B" w14:textId="1067092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11</w:t>
            </w:r>
          </w:p>
        </w:tc>
        <w:tc>
          <w:tcPr>
            <w:tcW w:w="1030" w:type="dxa"/>
            <w:gridSpan w:val="2"/>
            <w:tcBorders>
              <w:top w:val="nil"/>
              <w:left w:val="nil"/>
              <w:bottom w:val="nil"/>
              <w:right w:val="nil"/>
            </w:tcBorders>
          </w:tcPr>
          <w:p w14:paraId="10A03B09" w14:textId="5BD6C74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5</w:t>
            </w:r>
          </w:p>
        </w:tc>
      </w:tr>
      <w:tr w:rsidR="002C44DE" w:rsidRPr="002C44DE" w14:paraId="511DA490" w14:textId="77777777" w:rsidTr="00CB5635">
        <w:tc>
          <w:tcPr>
            <w:tcW w:w="1306" w:type="dxa"/>
            <w:tcBorders>
              <w:top w:val="nil"/>
              <w:left w:val="nil"/>
              <w:bottom w:val="nil"/>
              <w:right w:val="nil"/>
            </w:tcBorders>
          </w:tcPr>
          <w:p w14:paraId="64F00E78" w14:textId="59A7CBC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R100916</w:t>
            </w:r>
          </w:p>
        </w:tc>
        <w:tc>
          <w:tcPr>
            <w:tcW w:w="3084" w:type="dxa"/>
            <w:gridSpan w:val="2"/>
            <w:tcBorders>
              <w:top w:val="nil"/>
              <w:left w:val="nil"/>
              <w:bottom w:val="nil"/>
              <w:right w:val="nil"/>
            </w:tcBorders>
          </w:tcPr>
          <w:p w14:paraId="6867FA1E" w14:textId="4A5006E0" w:rsidR="002C44DE" w:rsidRPr="002C44DE" w:rsidRDefault="002C44DE" w:rsidP="001441B9">
            <w:pPr>
              <w:ind w:left="0" w:firstLine="0"/>
              <w:rPr>
                <w:rFonts w:eastAsiaTheme="minorHAnsi" w:cs="Calibri"/>
                <w:noProof/>
                <w:color w:val="000000"/>
                <w:sz w:val="20"/>
                <w:szCs w:val="20"/>
                <w:lang w:val="es-ES"/>
              </w:rPr>
            </w:pPr>
            <w:r w:rsidRPr="002C44DE">
              <w:rPr>
                <w:rFonts w:eastAsiaTheme="minorHAnsi" w:cs="Calibri"/>
                <w:noProof/>
                <w:color w:val="000000"/>
                <w:sz w:val="20"/>
                <w:szCs w:val="20"/>
                <w:lang w:val="es-ES"/>
              </w:rPr>
              <w:t xml:space="preserve">Creación de capacidad con cargo a fondos </w:t>
            </w:r>
            <w:r w:rsidR="00F17207">
              <w:rPr>
                <w:rFonts w:eastAsiaTheme="minorHAnsi" w:cs="Calibri"/>
                <w:noProof/>
                <w:color w:val="000000"/>
                <w:sz w:val="20"/>
                <w:szCs w:val="20"/>
                <w:lang w:val="es-ES"/>
              </w:rPr>
              <w:t>complementarios</w:t>
            </w:r>
          </w:p>
        </w:tc>
        <w:tc>
          <w:tcPr>
            <w:tcW w:w="1140" w:type="dxa"/>
            <w:gridSpan w:val="2"/>
            <w:tcBorders>
              <w:top w:val="nil"/>
              <w:left w:val="nil"/>
              <w:bottom w:val="nil"/>
              <w:right w:val="nil"/>
            </w:tcBorders>
          </w:tcPr>
          <w:p w14:paraId="77F339A5" w14:textId="0C1C0D7B"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05" w:type="dxa"/>
            <w:tcBorders>
              <w:top w:val="nil"/>
              <w:left w:val="nil"/>
              <w:bottom w:val="nil"/>
              <w:right w:val="nil"/>
            </w:tcBorders>
          </w:tcPr>
          <w:p w14:paraId="48F76C99" w14:textId="2B3DDF48"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37</w:t>
            </w:r>
          </w:p>
        </w:tc>
        <w:tc>
          <w:tcPr>
            <w:tcW w:w="1006" w:type="dxa"/>
            <w:tcBorders>
              <w:top w:val="nil"/>
              <w:left w:val="nil"/>
              <w:bottom w:val="nil"/>
              <w:right w:val="nil"/>
            </w:tcBorders>
          </w:tcPr>
          <w:p w14:paraId="570DF496" w14:textId="7FAB9E73"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05" w:type="dxa"/>
            <w:gridSpan w:val="2"/>
            <w:tcBorders>
              <w:top w:val="nil"/>
              <w:left w:val="nil"/>
              <w:bottom w:val="nil"/>
              <w:right w:val="nil"/>
            </w:tcBorders>
          </w:tcPr>
          <w:p w14:paraId="4D6CF183"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677A1251" w14:textId="75EAA50C"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37</w:t>
            </w:r>
          </w:p>
        </w:tc>
      </w:tr>
      <w:tr w:rsidR="002C44DE" w:rsidRPr="002C44DE" w14:paraId="4D815812" w14:textId="77777777" w:rsidTr="00CB5635">
        <w:tc>
          <w:tcPr>
            <w:tcW w:w="1306" w:type="dxa"/>
            <w:tcBorders>
              <w:top w:val="nil"/>
              <w:left w:val="nil"/>
              <w:bottom w:val="nil"/>
              <w:right w:val="nil"/>
            </w:tcBorders>
          </w:tcPr>
          <w:p w14:paraId="793EFACE" w14:textId="45CAC68E"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R100917</w:t>
            </w:r>
          </w:p>
        </w:tc>
        <w:tc>
          <w:tcPr>
            <w:tcW w:w="3084" w:type="dxa"/>
            <w:gridSpan w:val="2"/>
            <w:tcBorders>
              <w:top w:val="nil"/>
              <w:left w:val="nil"/>
              <w:bottom w:val="nil"/>
              <w:right w:val="nil"/>
            </w:tcBorders>
          </w:tcPr>
          <w:p w14:paraId="0028B085" w14:textId="5C8E42D2" w:rsidR="002C44DE" w:rsidRPr="002C44DE" w:rsidRDefault="002C44DE" w:rsidP="001441B9">
            <w:pPr>
              <w:ind w:left="0" w:firstLine="0"/>
              <w:rPr>
                <w:rFonts w:eastAsiaTheme="minorHAnsi" w:cs="Calibri"/>
                <w:noProof/>
                <w:color w:val="000000"/>
                <w:sz w:val="20"/>
                <w:szCs w:val="20"/>
                <w:lang w:val="es-ES"/>
              </w:rPr>
            </w:pPr>
            <w:r w:rsidRPr="002C44DE">
              <w:rPr>
                <w:rFonts w:eastAsiaTheme="minorHAnsi" w:cs="Calibri"/>
                <w:noProof/>
                <w:color w:val="000000"/>
                <w:sz w:val="20"/>
                <w:szCs w:val="20"/>
                <w:lang w:val="es-ES"/>
              </w:rPr>
              <w:t>Inventarios nacionales de humedales</w:t>
            </w:r>
          </w:p>
        </w:tc>
        <w:tc>
          <w:tcPr>
            <w:tcW w:w="1140" w:type="dxa"/>
            <w:gridSpan w:val="2"/>
            <w:tcBorders>
              <w:top w:val="nil"/>
              <w:left w:val="nil"/>
              <w:bottom w:val="nil"/>
              <w:right w:val="nil"/>
            </w:tcBorders>
          </w:tcPr>
          <w:p w14:paraId="34087F36" w14:textId="3F6B35B0"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05" w:type="dxa"/>
            <w:tcBorders>
              <w:top w:val="nil"/>
              <w:left w:val="nil"/>
              <w:bottom w:val="nil"/>
              <w:right w:val="nil"/>
            </w:tcBorders>
          </w:tcPr>
          <w:p w14:paraId="45050A7E" w14:textId="0EF771A3"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143</w:t>
            </w:r>
          </w:p>
        </w:tc>
        <w:tc>
          <w:tcPr>
            <w:tcW w:w="1006" w:type="dxa"/>
            <w:tcBorders>
              <w:top w:val="nil"/>
              <w:left w:val="nil"/>
              <w:bottom w:val="nil"/>
              <w:right w:val="nil"/>
            </w:tcBorders>
          </w:tcPr>
          <w:p w14:paraId="6D705DC3" w14:textId="45CF45BE"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05" w:type="dxa"/>
            <w:gridSpan w:val="2"/>
            <w:tcBorders>
              <w:top w:val="nil"/>
              <w:left w:val="nil"/>
              <w:bottom w:val="nil"/>
              <w:right w:val="nil"/>
            </w:tcBorders>
          </w:tcPr>
          <w:p w14:paraId="0AC9E174"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7DDAC9EC" w14:textId="3BB36776"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143</w:t>
            </w:r>
          </w:p>
        </w:tc>
      </w:tr>
      <w:tr w:rsidR="002C44DE" w:rsidRPr="002C44DE" w14:paraId="27A23456" w14:textId="77777777" w:rsidTr="00CB5635">
        <w:tc>
          <w:tcPr>
            <w:tcW w:w="1306" w:type="dxa"/>
            <w:tcBorders>
              <w:top w:val="nil"/>
              <w:left w:val="nil"/>
              <w:bottom w:val="nil"/>
              <w:right w:val="nil"/>
            </w:tcBorders>
          </w:tcPr>
          <w:p w14:paraId="761C95C2"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R101006</w:t>
            </w:r>
          </w:p>
        </w:tc>
        <w:tc>
          <w:tcPr>
            <w:tcW w:w="3084" w:type="dxa"/>
            <w:gridSpan w:val="2"/>
            <w:tcBorders>
              <w:top w:val="nil"/>
              <w:left w:val="nil"/>
              <w:bottom w:val="nil"/>
              <w:right w:val="nil"/>
            </w:tcBorders>
          </w:tcPr>
          <w:p w14:paraId="41AA30E8" w14:textId="0133239A" w:rsidR="002C44DE" w:rsidRPr="002C44DE" w:rsidRDefault="002C44DE" w:rsidP="001441B9">
            <w:pPr>
              <w:ind w:left="0" w:firstLine="0"/>
              <w:rPr>
                <w:rFonts w:eastAsiaTheme="minorHAnsi" w:cs="Calibri"/>
                <w:noProof/>
                <w:color w:val="000000"/>
                <w:sz w:val="20"/>
                <w:szCs w:val="20"/>
                <w:lang w:val="es-ES"/>
              </w:rPr>
            </w:pPr>
            <w:r w:rsidRPr="002C44DE">
              <w:rPr>
                <w:rFonts w:eastAsiaTheme="minorHAnsi" w:cs="Calibri"/>
                <w:noProof/>
                <w:color w:val="000000"/>
                <w:sz w:val="20"/>
                <w:szCs w:val="20"/>
                <w:lang w:val="es-ES"/>
              </w:rPr>
              <w:t>Cambio climático</w:t>
            </w:r>
          </w:p>
        </w:tc>
        <w:tc>
          <w:tcPr>
            <w:tcW w:w="1140" w:type="dxa"/>
            <w:gridSpan w:val="2"/>
            <w:tcBorders>
              <w:top w:val="nil"/>
              <w:left w:val="nil"/>
              <w:bottom w:val="nil"/>
              <w:right w:val="nil"/>
            </w:tcBorders>
          </w:tcPr>
          <w:p w14:paraId="392310D2" w14:textId="6C94E0BF"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28</w:t>
            </w:r>
          </w:p>
        </w:tc>
        <w:tc>
          <w:tcPr>
            <w:tcW w:w="1005" w:type="dxa"/>
            <w:tcBorders>
              <w:top w:val="nil"/>
              <w:left w:val="nil"/>
              <w:bottom w:val="nil"/>
              <w:right w:val="nil"/>
            </w:tcBorders>
          </w:tcPr>
          <w:p w14:paraId="11490848" w14:textId="267EF926"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15</w:t>
            </w:r>
          </w:p>
        </w:tc>
        <w:tc>
          <w:tcPr>
            <w:tcW w:w="1006" w:type="dxa"/>
            <w:tcBorders>
              <w:top w:val="nil"/>
              <w:left w:val="nil"/>
              <w:bottom w:val="nil"/>
              <w:right w:val="nil"/>
            </w:tcBorders>
          </w:tcPr>
          <w:p w14:paraId="39CF6A47" w14:textId="7028E0B9"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(3)</w:t>
            </w:r>
          </w:p>
        </w:tc>
        <w:tc>
          <w:tcPr>
            <w:tcW w:w="1005" w:type="dxa"/>
            <w:gridSpan w:val="2"/>
            <w:tcBorders>
              <w:top w:val="nil"/>
              <w:left w:val="nil"/>
              <w:bottom w:val="nil"/>
              <w:right w:val="nil"/>
            </w:tcBorders>
          </w:tcPr>
          <w:p w14:paraId="652D0181"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0A9F984B" w14:textId="6B4202B4"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40</w:t>
            </w:r>
          </w:p>
        </w:tc>
      </w:tr>
      <w:tr w:rsidR="002C44DE" w:rsidRPr="002C44DE" w14:paraId="039372CF" w14:textId="77777777" w:rsidTr="00CB5635">
        <w:tc>
          <w:tcPr>
            <w:tcW w:w="1306" w:type="dxa"/>
            <w:tcBorders>
              <w:top w:val="nil"/>
              <w:left w:val="nil"/>
              <w:bottom w:val="nil"/>
              <w:right w:val="nil"/>
            </w:tcBorders>
          </w:tcPr>
          <w:p w14:paraId="14BE9ED6"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R101007</w:t>
            </w:r>
          </w:p>
        </w:tc>
        <w:tc>
          <w:tcPr>
            <w:tcW w:w="3084" w:type="dxa"/>
            <w:gridSpan w:val="2"/>
            <w:tcBorders>
              <w:top w:val="nil"/>
              <w:left w:val="nil"/>
              <w:bottom w:val="nil"/>
              <w:right w:val="nil"/>
            </w:tcBorders>
          </w:tcPr>
          <w:p w14:paraId="6FE0382E" w14:textId="13C97C40" w:rsidR="002C44DE" w:rsidRPr="002C44DE" w:rsidRDefault="002C44DE" w:rsidP="001441B9">
            <w:pPr>
              <w:ind w:left="0" w:firstLine="0"/>
              <w:rPr>
                <w:rFonts w:eastAsiaTheme="minorHAnsi" w:cs="Calibri"/>
                <w:noProof/>
                <w:color w:val="000000"/>
                <w:sz w:val="20"/>
                <w:szCs w:val="20"/>
                <w:lang w:val="es-ES"/>
              </w:rPr>
            </w:pPr>
            <w:r w:rsidRPr="002C44DE">
              <w:rPr>
                <w:rFonts w:eastAsiaTheme="minorHAnsi" w:cs="Calibri"/>
                <w:noProof/>
                <w:color w:val="000000"/>
                <w:sz w:val="20"/>
                <w:szCs w:val="20"/>
                <w:lang w:val="es-ES"/>
              </w:rPr>
              <w:t>Turberas tropicales</w:t>
            </w:r>
          </w:p>
        </w:tc>
        <w:tc>
          <w:tcPr>
            <w:tcW w:w="1140" w:type="dxa"/>
            <w:gridSpan w:val="2"/>
            <w:tcBorders>
              <w:top w:val="nil"/>
              <w:left w:val="nil"/>
              <w:bottom w:val="nil"/>
              <w:right w:val="nil"/>
            </w:tcBorders>
          </w:tcPr>
          <w:p w14:paraId="07D81EA5" w14:textId="5E6EAA00"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53</w:t>
            </w:r>
          </w:p>
        </w:tc>
        <w:tc>
          <w:tcPr>
            <w:tcW w:w="1005" w:type="dxa"/>
            <w:tcBorders>
              <w:top w:val="nil"/>
              <w:left w:val="nil"/>
              <w:bottom w:val="nil"/>
              <w:right w:val="nil"/>
            </w:tcBorders>
          </w:tcPr>
          <w:p w14:paraId="091C6302"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06" w:type="dxa"/>
            <w:tcBorders>
              <w:top w:val="nil"/>
              <w:left w:val="nil"/>
              <w:bottom w:val="nil"/>
              <w:right w:val="nil"/>
            </w:tcBorders>
          </w:tcPr>
          <w:p w14:paraId="210EE6A5" w14:textId="567CB085"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(27)</w:t>
            </w:r>
          </w:p>
        </w:tc>
        <w:tc>
          <w:tcPr>
            <w:tcW w:w="1005" w:type="dxa"/>
            <w:gridSpan w:val="2"/>
            <w:tcBorders>
              <w:top w:val="nil"/>
              <w:left w:val="nil"/>
              <w:bottom w:val="nil"/>
              <w:right w:val="nil"/>
            </w:tcBorders>
          </w:tcPr>
          <w:p w14:paraId="53B31425"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18189EDE" w14:textId="088CB516"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27</w:t>
            </w:r>
          </w:p>
        </w:tc>
      </w:tr>
      <w:tr w:rsidR="00740865" w:rsidRPr="002C44DE" w14:paraId="626BB6C0" w14:textId="77777777" w:rsidTr="00CB5635">
        <w:tc>
          <w:tcPr>
            <w:tcW w:w="1306" w:type="dxa"/>
            <w:tcBorders>
              <w:top w:val="nil"/>
              <w:left w:val="nil"/>
              <w:bottom w:val="nil"/>
              <w:right w:val="nil"/>
            </w:tcBorders>
          </w:tcPr>
          <w:p w14:paraId="4AA81F9A" w14:textId="77777777" w:rsidR="00740865" w:rsidRPr="002C44DE" w:rsidRDefault="00740865"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R101108</w:t>
            </w:r>
          </w:p>
        </w:tc>
        <w:tc>
          <w:tcPr>
            <w:tcW w:w="3084" w:type="dxa"/>
            <w:gridSpan w:val="2"/>
            <w:tcBorders>
              <w:top w:val="nil"/>
              <w:left w:val="nil"/>
              <w:bottom w:val="nil"/>
              <w:right w:val="nil"/>
            </w:tcBorders>
          </w:tcPr>
          <w:p w14:paraId="2ED13DD3" w14:textId="68A3548C" w:rsidR="00740865" w:rsidRPr="002C44DE" w:rsidRDefault="002C44DE" w:rsidP="001441B9">
            <w:pPr>
              <w:ind w:left="0" w:firstLine="0"/>
              <w:rPr>
                <w:rFonts w:eastAsiaTheme="minorHAnsi" w:cs="Calibri"/>
                <w:noProof/>
                <w:color w:val="000000"/>
                <w:sz w:val="20"/>
                <w:szCs w:val="20"/>
                <w:lang w:val="es-ES"/>
              </w:rPr>
            </w:pPr>
            <w:r w:rsidRPr="002C44DE">
              <w:rPr>
                <w:rFonts w:eastAsiaTheme="minorHAnsi" w:cs="Calibri"/>
                <w:noProof/>
                <w:color w:val="000000"/>
                <w:sz w:val="20"/>
                <w:szCs w:val="20"/>
                <w:lang w:val="es-ES"/>
              </w:rPr>
              <w:t xml:space="preserve">50º Aniversario de la Convención y DMH </w:t>
            </w:r>
            <w:r w:rsidR="00740865" w:rsidRPr="002C44DE">
              <w:rPr>
                <w:rFonts w:eastAsiaTheme="minorHAnsi" w:cs="Calibri"/>
                <w:noProof/>
                <w:color w:val="000000"/>
                <w:sz w:val="20"/>
                <w:szCs w:val="20"/>
                <w:lang w:val="es-ES"/>
              </w:rPr>
              <w:t>2021</w:t>
            </w:r>
          </w:p>
        </w:tc>
        <w:tc>
          <w:tcPr>
            <w:tcW w:w="1140" w:type="dxa"/>
            <w:gridSpan w:val="2"/>
            <w:tcBorders>
              <w:top w:val="nil"/>
              <w:left w:val="nil"/>
              <w:bottom w:val="single" w:sz="12" w:space="0" w:color="auto"/>
              <w:right w:val="nil"/>
            </w:tcBorders>
          </w:tcPr>
          <w:p w14:paraId="2C3D8A31" w14:textId="74D7B6C3" w:rsidR="00740865" w:rsidRPr="002C44DE" w:rsidRDefault="007E27A5"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16</w:t>
            </w:r>
          </w:p>
        </w:tc>
        <w:tc>
          <w:tcPr>
            <w:tcW w:w="1005" w:type="dxa"/>
            <w:tcBorders>
              <w:top w:val="nil"/>
              <w:left w:val="nil"/>
              <w:bottom w:val="single" w:sz="12" w:space="0" w:color="auto"/>
              <w:right w:val="nil"/>
            </w:tcBorders>
          </w:tcPr>
          <w:p w14:paraId="4FEB38AA" w14:textId="128B3C12" w:rsidR="00740865" w:rsidRPr="002C44DE" w:rsidRDefault="007E27A5"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06" w:type="dxa"/>
            <w:tcBorders>
              <w:top w:val="nil"/>
              <w:left w:val="nil"/>
              <w:bottom w:val="single" w:sz="12" w:space="0" w:color="auto"/>
              <w:right w:val="nil"/>
            </w:tcBorders>
          </w:tcPr>
          <w:p w14:paraId="0DE9BAD0" w14:textId="028C414E" w:rsidR="00740865" w:rsidRPr="002C44DE" w:rsidRDefault="007E27A5"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(16)</w:t>
            </w:r>
          </w:p>
        </w:tc>
        <w:tc>
          <w:tcPr>
            <w:tcW w:w="1005" w:type="dxa"/>
            <w:gridSpan w:val="2"/>
            <w:tcBorders>
              <w:top w:val="nil"/>
              <w:left w:val="nil"/>
              <w:bottom w:val="single" w:sz="12" w:space="0" w:color="auto"/>
              <w:right w:val="nil"/>
            </w:tcBorders>
          </w:tcPr>
          <w:p w14:paraId="5AB06400" w14:textId="77777777" w:rsidR="00740865" w:rsidRPr="002C44DE" w:rsidRDefault="00740865"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30" w:type="dxa"/>
            <w:gridSpan w:val="2"/>
            <w:tcBorders>
              <w:top w:val="nil"/>
              <w:left w:val="nil"/>
              <w:bottom w:val="single" w:sz="12" w:space="0" w:color="auto"/>
              <w:right w:val="nil"/>
            </w:tcBorders>
          </w:tcPr>
          <w:p w14:paraId="3BF934CF" w14:textId="59B1FABE" w:rsidR="00740865" w:rsidRPr="002C44DE" w:rsidRDefault="007E27A5" w:rsidP="00BC15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r>
      <w:tr w:rsidR="007E27A5" w:rsidRPr="002C44DE" w14:paraId="05E47AA8" w14:textId="77777777" w:rsidTr="00CB5635">
        <w:tc>
          <w:tcPr>
            <w:tcW w:w="4390" w:type="dxa"/>
            <w:gridSpan w:val="3"/>
            <w:tcBorders>
              <w:top w:val="single" w:sz="12" w:space="0" w:color="auto"/>
              <w:left w:val="nil"/>
              <w:bottom w:val="single" w:sz="12" w:space="0" w:color="auto"/>
              <w:right w:val="nil"/>
            </w:tcBorders>
            <w:shd w:val="clear" w:color="auto" w:fill="EAF1DD" w:themeFill="accent3" w:themeFillTint="33"/>
          </w:tcPr>
          <w:p w14:paraId="3CC93BA8" w14:textId="1768F424" w:rsidR="007E27A5" w:rsidRPr="002C44DE" w:rsidRDefault="007E27A5" w:rsidP="001441B9">
            <w:pPr>
              <w:ind w:left="0" w:firstLine="0"/>
              <w:rPr>
                <w:rFonts w:eastAsiaTheme="minorHAnsi" w:cs="Calibri"/>
                <w:b/>
                <w:bCs/>
                <w:noProof/>
                <w:color w:val="000000"/>
                <w:sz w:val="20"/>
                <w:szCs w:val="20"/>
                <w:lang w:val="es-ES"/>
              </w:rPr>
            </w:pPr>
            <w:r w:rsidRPr="002C44DE">
              <w:rPr>
                <w:rFonts w:eastAsiaTheme="minorHAnsi" w:cs="Calibri"/>
                <w:b/>
                <w:bCs/>
                <w:noProof/>
                <w:color w:val="000000"/>
                <w:sz w:val="20"/>
                <w:szCs w:val="20"/>
                <w:lang w:val="es-ES"/>
              </w:rPr>
              <w:t>Total</w:t>
            </w:r>
            <w:r w:rsidR="002C44DE" w:rsidRPr="002C44DE">
              <w:rPr>
                <w:rFonts w:eastAsiaTheme="minorHAnsi" w:cs="Calibri"/>
                <w:b/>
                <w:bCs/>
                <w:noProof/>
                <w:color w:val="000000"/>
                <w:sz w:val="20"/>
                <w:szCs w:val="20"/>
                <w:lang w:val="es-ES"/>
              </w:rPr>
              <w:t>, Otros</w:t>
            </w:r>
          </w:p>
        </w:tc>
        <w:tc>
          <w:tcPr>
            <w:tcW w:w="1140" w:type="dxa"/>
            <w:gridSpan w:val="2"/>
            <w:tcBorders>
              <w:top w:val="nil"/>
              <w:left w:val="nil"/>
              <w:bottom w:val="single" w:sz="12" w:space="0" w:color="auto"/>
              <w:right w:val="nil"/>
            </w:tcBorders>
            <w:shd w:val="clear" w:color="auto" w:fill="EAF1DD" w:themeFill="accent3" w:themeFillTint="33"/>
          </w:tcPr>
          <w:p w14:paraId="0F02798C" w14:textId="150D2F4E" w:rsidR="007E27A5" w:rsidRPr="002C44DE" w:rsidRDefault="007E27A5" w:rsidP="00BC15DE">
            <w:pPr>
              <w:rPr>
                <w:rFonts w:eastAsiaTheme="minorHAnsi" w:cs="Calibri"/>
                <w:b/>
                <w:bCs/>
                <w:noProof/>
                <w:color w:val="000000"/>
                <w:sz w:val="20"/>
                <w:szCs w:val="20"/>
                <w:lang w:val="es-ES"/>
              </w:rPr>
            </w:pPr>
            <w:r w:rsidRPr="002C44DE">
              <w:rPr>
                <w:rFonts w:eastAsiaTheme="minorHAnsi" w:cs="Calibri"/>
                <w:b/>
                <w:bCs/>
                <w:noProof/>
                <w:color w:val="000000"/>
                <w:sz w:val="20"/>
                <w:szCs w:val="20"/>
                <w:lang w:val="es-ES"/>
              </w:rPr>
              <w:t>1</w:t>
            </w:r>
            <w:r w:rsidR="006369FD">
              <w:rPr>
                <w:rFonts w:eastAsiaTheme="minorHAnsi" w:cs="Calibri"/>
                <w:b/>
                <w:bCs/>
                <w:noProof/>
                <w:color w:val="000000"/>
                <w:sz w:val="20"/>
                <w:szCs w:val="20"/>
                <w:lang w:val="es-ES"/>
              </w:rPr>
              <w:t xml:space="preserve"> </w:t>
            </w:r>
            <w:r w:rsidRPr="002C44DE">
              <w:rPr>
                <w:rFonts w:eastAsiaTheme="minorHAnsi" w:cs="Calibri"/>
                <w:b/>
                <w:bCs/>
                <w:noProof/>
                <w:color w:val="000000"/>
                <w:sz w:val="20"/>
                <w:szCs w:val="20"/>
                <w:lang w:val="es-ES"/>
              </w:rPr>
              <w:t>076</w:t>
            </w:r>
          </w:p>
        </w:tc>
        <w:tc>
          <w:tcPr>
            <w:tcW w:w="1005" w:type="dxa"/>
            <w:tcBorders>
              <w:top w:val="nil"/>
              <w:left w:val="nil"/>
              <w:bottom w:val="single" w:sz="12" w:space="0" w:color="auto"/>
              <w:right w:val="nil"/>
            </w:tcBorders>
            <w:shd w:val="clear" w:color="auto" w:fill="EAF1DD" w:themeFill="accent3" w:themeFillTint="33"/>
          </w:tcPr>
          <w:p w14:paraId="6CFD9758" w14:textId="7419560B" w:rsidR="007E27A5" w:rsidRPr="002C44DE" w:rsidRDefault="007E27A5" w:rsidP="00BC15DE">
            <w:pPr>
              <w:rPr>
                <w:rFonts w:eastAsiaTheme="minorHAnsi" w:cs="Calibri"/>
                <w:b/>
                <w:bCs/>
                <w:noProof/>
                <w:color w:val="000000"/>
                <w:sz w:val="20"/>
                <w:szCs w:val="20"/>
                <w:lang w:val="es-ES"/>
              </w:rPr>
            </w:pPr>
            <w:r w:rsidRPr="002C44DE">
              <w:rPr>
                <w:rFonts w:eastAsiaTheme="minorHAnsi" w:cs="Calibri"/>
                <w:b/>
                <w:bCs/>
                <w:noProof/>
                <w:color w:val="000000"/>
                <w:sz w:val="20"/>
                <w:szCs w:val="20"/>
                <w:lang w:val="es-ES"/>
              </w:rPr>
              <w:t>215</w:t>
            </w:r>
          </w:p>
        </w:tc>
        <w:tc>
          <w:tcPr>
            <w:tcW w:w="1006" w:type="dxa"/>
            <w:tcBorders>
              <w:top w:val="single" w:sz="12" w:space="0" w:color="auto"/>
              <w:left w:val="nil"/>
              <w:bottom w:val="single" w:sz="12" w:space="0" w:color="auto"/>
              <w:right w:val="nil"/>
            </w:tcBorders>
            <w:shd w:val="clear" w:color="auto" w:fill="EAF1DD" w:themeFill="accent3" w:themeFillTint="33"/>
          </w:tcPr>
          <w:p w14:paraId="57A4009B" w14:textId="0B06D78A" w:rsidR="007E27A5" w:rsidRPr="002C44DE" w:rsidRDefault="007E27A5" w:rsidP="00BC15DE">
            <w:pPr>
              <w:rPr>
                <w:rFonts w:eastAsiaTheme="minorHAnsi" w:cs="Calibri"/>
                <w:b/>
                <w:bCs/>
                <w:noProof/>
                <w:color w:val="000000"/>
                <w:sz w:val="20"/>
                <w:szCs w:val="20"/>
                <w:lang w:val="es-ES"/>
              </w:rPr>
            </w:pPr>
            <w:r w:rsidRPr="002C44DE">
              <w:rPr>
                <w:rFonts w:eastAsiaTheme="minorHAnsi" w:cs="Calibri"/>
                <w:b/>
                <w:bCs/>
                <w:noProof/>
                <w:color w:val="000000"/>
                <w:sz w:val="20"/>
                <w:szCs w:val="20"/>
                <w:lang w:val="es-ES"/>
              </w:rPr>
              <w:t>(199)</w:t>
            </w:r>
          </w:p>
        </w:tc>
        <w:tc>
          <w:tcPr>
            <w:tcW w:w="1005" w:type="dxa"/>
            <w:gridSpan w:val="2"/>
            <w:tcBorders>
              <w:top w:val="single" w:sz="12" w:space="0" w:color="auto"/>
              <w:left w:val="nil"/>
              <w:bottom w:val="single" w:sz="12" w:space="0" w:color="auto"/>
              <w:right w:val="nil"/>
            </w:tcBorders>
            <w:shd w:val="clear" w:color="auto" w:fill="EAF1DD" w:themeFill="accent3" w:themeFillTint="33"/>
          </w:tcPr>
          <w:p w14:paraId="49B81B0A" w14:textId="20878035" w:rsidR="007E27A5" w:rsidRPr="002C44DE" w:rsidRDefault="007E27A5" w:rsidP="00BC15DE">
            <w:pPr>
              <w:rPr>
                <w:rFonts w:eastAsiaTheme="minorHAnsi" w:cs="Calibri"/>
                <w:b/>
                <w:bCs/>
                <w:noProof/>
                <w:color w:val="000000"/>
                <w:sz w:val="20"/>
                <w:szCs w:val="20"/>
                <w:lang w:val="es-ES"/>
              </w:rPr>
            </w:pPr>
            <w:r w:rsidRPr="002C44DE">
              <w:rPr>
                <w:rFonts w:eastAsiaTheme="minorHAnsi" w:cs="Calibri"/>
                <w:b/>
                <w:bCs/>
                <w:noProof/>
                <w:color w:val="000000"/>
                <w:sz w:val="20"/>
                <w:szCs w:val="20"/>
                <w:lang w:val="es-ES"/>
              </w:rPr>
              <w:t>16</w:t>
            </w:r>
          </w:p>
        </w:tc>
        <w:tc>
          <w:tcPr>
            <w:tcW w:w="1030" w:type="dxa"/>
            <w:gridSpan w:val="2"/>
            <w:tcBorders>
              <w:top w:val="single" w:sz="12" w:space="0" w:color="auto"/>
              <w:left w:val="nil"/>
              <w:bottom w:val="single" w:sz="12" w:space="0" w:color="auto"/>
              <w:right w:val="nil"/>
            </w:tcBorders>
            <w:shd w:val="clear" w:color="auto" w:fill="EAF1DD" w:themeFill="accent3" w:themeFillTint="33"/>
          </w:tcPr>
          <w:p w14:paraId="36F23B94" w14:textId="11F58682" w:rsidR="007E27A5" w:rsidRPr="002C44DE" w:rsidRDefault="007E27A5" w:rsidP="00BC15DE">
            <w:pPr>
              <w:rPr>
                <w:rFonts w:eastAsiaTheme="minorHAnsi" w:cs="Calibri"/>
                <w:b/>
                <w:bCs/>
                <w:noProof/>
                <w:color w:val="000000"/>
                <w:sz w:val="20"/>
                <w:szCs w:val="20"/>
                <w:lang w:val="es-ES"/>
              </w:rPr>
            </w:pPr>
            <w:r w:rsidRPr="002C44DE">
              <w:rPr>
                <w:rFonts w:eastAsiaTheme="minorHAnsi" w:cs="Calibri"/>
                <w:b/>
                <w:bCs/>
                <w:noProof/>
                <w:color w:val="000000"/>
                <w:sz w:val="20"/>
                <w:szCs w:val="20"/>
                <w:lang w:val="es-ES"/>
              </w:rPr>
              <w:t>1</w:t>
            </w:r>
            <w:r w:rsidR="006369FD">
              <w:rPr>
                <w:rFonts w:eastAsiaTheme="minorHAnsi" w:cs="Calibri"/>
                <w:b/>
                <w:bCs/>
                <w:noProof/>
                <w:color w:val="000000"/>
                <w:sz w:val="20"/>
                <w:szCs w:val="20"/>
                <w:lang w:val="es-ES"/>
              </w:rPr>
              <w:t xml:space="preserve"> </w:t>
            </w:r>
            <w:r w:rsidRPr="002C44DE">
              <w:rPr>
                <w:rFonts w:eastAsiaTheme="minorHAnsi" w:cs="Calibri"/>
                <w:b/>
                <w:bCs/>
                <w:noProof/>
                <w:color w:val="000000"/>
                <w:sz w:val="20"/>
                <w:szCs w:val="20"/>
                <w:lang w:val="es-ES"/>
              </w:rPr>
              <w:t>108</w:t>
            </w:r>
          </w:p>
        </w:tc>
      </w:tr>
      <w:tr w:rsidR="00740865" w:rsidRPr="002C44DE" w14:paraId="0B479D24" w14:textId="77777777" w:rsidTr="00CB5635">
        <w:tc>
          <w:tcPr>
            <w:tcW w:w="1306" w:type="dxa"/>
            <w:tcBorders>
              <w:top w:val="nil"/>
              <w:left w:val="nil"/>
              <w:bottom w:val="nil"/>
              <w:right w:val="nil"/>
            </w:tcBorders>
          </w:tcPr>
          <w:p w14:paraId="15477237" w14:textId="77777777" w:rsidR="00740865" w:rsidRDefault="00740865" w:rsidP="00BC15DE">
            <w:pPr>
              <w:rPr>
                <w:rFonts w:eastAsiaTheme="minorHAnsi" w:cs="Calibri"/>
                <w:noProof/>
                <w:color w:val="000000"/>
                <w:lang w:val="es-ES"/>
              </w:rPr>
            </w:pPr>
          </w:p>
          <w:p w14:paraId="29422300" w14:textId="503ED392" w:rsidR="001441B9" w:rsidRPr="002C44DE" w:rsidRDefault="001441B9" w:rsidP="00BC15DE">
            <w:pPr>
              <w:rPr>
                <w:rFonts w:eastAsiaTheme="minorHAnsi" w:cs="Calibri"/>
                <w:noProof/>
                <w:color w:val="000000"/>
                <w:lang w:val="es-ES"/>
              </w:rPr>
            </w:pPr>
          </w:p>
        </w:tc>
        <w:tc>
          <w:tcPr>
            <w:tcW w:w="3084" w:type="dxa"/>
            <w:gridSpan w:val="2"/>
            <w:tcBorders>
              <w:top w:val="nil"/>
              <w:left w:val="nil"/>
              <w:bottom w:val="nil"/>
              <w:right w:val="nil"/>
            </w:tcBorders>
          </w:tcPr>
          <w:p w14:paraId="694571AB" w14:textId="77777777" w:rsidR="00740865" w:rsidRPr="002C44DE" w:rsidRDefault="00740865" w:rsidP="001441B9">
            <w:pPr>
              <w:ind w:left="0" w:firstLine="0"/>
              <w:rPr>
                <w:rFonts w:eastAsiaTheme="minorHAnsi" w:cs="Calibri"/>
                <w:noProof/>
                <w:color w:val="000000"/>
                <w:lang w:val="es-ES"/>
              </w:rPr>
            </w:pPr>
          </w:p>
        </w:tc>
        <w:tc>
          <w:tcPr>
            <w:tcW w:w="1140" w:type="dxa"/>
            <w:gridSpan w:val="2"/>
            <w:tcBorders>
              <w:top w:val="nil"/>
              <w:left w:val="nil"/>
              <w:bottom w:val="nil"/>
              <w:right w:val="nil"/>
            </w:tcBorders>
          </w:tcPr>
          <w:p w14:paraId="28268F94" w14:textId="77777777" w:rsidR="00740865" w:rsidRPr="002C44DE" w:rsidRDefault="00740865" w:rsidP="00BC15DE">
            <w:pPr>
              <w:rPr>
                <w:rFonts w:eastAsiaTheme="minorHAnsi" w:cs="Calibri"/>
                <w:noProof/>
                <w:color w:val="000000"/>
                <w:lang w:val="es-ES"/>
              </w:rPr>
            </w:pPr>
          </w:p>
        </w:tc>
        <w:tc>
          <w:tcPr>
            <w:tcW w:w="1005" w:type="dxa"/>
            <w:tcBorders>
              <w:top w:val="nil"/>
              <w:left w:val="nil"/>
              <w:bottom w:val="nil"/>
              <w:right w:val="nil"/>
            </w:tcBorders>
          </w:tcPr>
          <w:p w14:paraId="6A5EEE2A" w14:textId="77777777" w:rsidR="00740865" w:rsidRPr="002C44DE" w:rsidRDefault="00740865" w:rsidP="00BC15DE">
            <w:pPr>
              <w:rPr>
                <w:rFonts w:eastAsiaTheme="minorHAnsi" w:cs="Calibri"/>
                <w:noProof/>
                <w:color w:val="000000"/>
                <w:lang w:val="es-ES"/>
              </w:rPr>
            </w:pPr>
          </w:p>
        </w:tc>
        <w:tc>
          <w:tcPr>
            <w:tcW w:w="1006" w:type="dxa"/>
            <w:tcBorders>
              <w:top w:val="single" w:sz="12" w:space="0" w:color="auto"/>
              <w:left w:val="nil"/>
              <w:bottom w:val="nil"/>
              <w:right w:val="nil"/>
            </w:tcBorders>
          </w:tcPr>
          <w:p w14:paraId="56E3B373" w14:textId="77777777" w:rsidR="00740865" w:rsidRPr="002C44DE" w:rsidRDefault="00740865" w:rsidP="00BC15DE">
            <w:pPr>
              <w:rPr>
                <w:rFonts w:ascii="Arial" w:eastAsiaTheme="minorHAnsi" w:hAnsi="Arial" w:cs="Arial"/>
                <w:noProof/>
                <w:color w:val="000000"/>
                <w:sz w:val="20"/>
                <w:szCs w:val="20"/>
                <w:lang w:val="es-ES"/>
              </w:rPr>
            </w:pPr>
          </w:p>
        </w:tc>
        <w:tc>
          <w:tcPr>
            <w:tcW w:w="1005" w:type="dxa"/>
            <w:gridSpan w:val="2"/>
            <w:tcBorders>
              <w:top w:val="single" w:sz="12" w:space="0" w:color="auto"/>
              <w:left w:val="nil"/>
              <w:bottom w:val="nil"/>
              <w:right w:val="nil"/>
            </w:tcBorders>
          </w:tcPr>
          <w:p w14:paraId="786815B8" w14:textId="77777777" w:rsidR="00740865" w:rsidRPr="002C44DE" w:rsidRDefault="00740865" w:rsidP="00BC15DE">
            <w:pPr>
              <w:rPr>
                <w:rFonts w:eastAsiaTheme="minorHAnsi" w:cs="Calibri"/>
                <w:noProof/>
                <w:color w:val="000000"/>
                <w:lang w:val="es-ES"/>
              </w:rPr>
            </w:pPr>
          </w:p>
        </w:tc>
        <w:tc>
          <w:tcPr>
            <w:tcW w:w="1030" w:type="dxa"/>
            <w:gridSpan w:val="2"/>
            <w:tcBorders>
              <w:top w:val="single" w:sz="12" w:space="0" w:color="auto"/>
              <w:left w:val="nil"/>
              <w:bottom w:val="nil"/>
              <w:right w:val="nil"/>
            </w:tcBorders>
          </w:tcPr>
          <w:p w14:paraId="4C1636F8" w14:textId="77777777" w:rsidR="00740865" w:rsidRPr="002C44DE" w:rsidRDefault="00740865" w:rsidP="00BC15DE">
            <w:pPr>
              <w:rPr>
                <w:rFonts w:ascii="Arial" w:eastAsiaTheme="minorHAnsi" w:hAnsi="Arial" w:cs="Arial"/>
                <w:noProof/>
                <w:color w:val="000000"/>
                <w:sz w:val="20"/>
                <w:szCs w:val="20"/>
                <w:lang w:val="es-ES"/>
              </w:rPr>
            </w:pPr>
          </w:p>
        </w:tc>
      </w:tr>
      <w:tr w:rsidR="00740865" w:rsidRPr="002C44DE" w14:paraId="1C96D0AD" w14:textId="77777777" w:rsidTr="00CB5635">
        <w:tc>
          <w:tcPr>
            <w:tcW w:w="2015" w:type="dxa"/>
            <w:gridSpan w:val="2"/>
            <w:tcBorders>
              <w:top w:val="nil"/>
              <w:left w:val="nil"/>
              <w:bottom w:val="nil"/>
              <w:right w:val="nil"/>
            </w:tcBorders>
          </w:tcPr>
          <w:p w14:paraId="556427C6" w14:textId="052DBCAA" w:rsidR="00740865" w:rsidRPr="002C44DE" w:rsidRDefault="002C44DE" w:rsidP="001441B9">
            <w:pPr>
              <w:ind w:left="0" w:firstLine="0"/>
              <w:rPr>
                <w:rFonts w:eastAsiaTheme="minorHAnsi" w:cs="Calibri"/>
                <w:b/>
                <w:bCs/>
                <w:noProof/>
                <w:color w:val="000000"/>
                <w:sz w:val="20"/>
                <w:szCs w:val="20"/>
                <w:u w:val="single"/>
                <w:lang w:val="es-ES"/>
              </w:rPr>
            </w:pPr>
            <w:r w:rsidRPr="002C44DE">
              <w:rPr>
                <w:rFonts w:eastAsiaTheme="minorHAnsi" w:cs="Calibri"/>
                <w:b/>
                <w:bCs/>
                <w:noProof/>
                <w:color w:val="000000"/>
                <w:sz w:val="20"/>
                <w:szCs w:val="20"/>
                <w:u w:val="single"/>
                <w:lang w:val="es-ES"/>
              </w:rPr>
              <w:lastRenderedPageBreak/>
              <w:t>Iniciativas regionales</w:t>
            </w:r>
          </w:p>
        </w:tc>
        <w:tc>
          <w:tcPr>
            <w:tcW w:w="2375" w:type="dxa"/>
            <w:tcBorders>
              <w:top w:val="nil"/>
              <w:left w:val="nil"/>
              <w:bottom w:val="nil"/>
              <w:right w:val="nil"/>
            </w:tcBorders>
          </w:tcPr>
          <w:p w14:paraId="7E56AB85" w14:textId="77777777" w:rsidR="00740865" w:rsidRPr="002C44DE" w:rsidRDefault="00740865" w:rsidP="001441B9">
            <w:pPr>
              <w:ind w:left="0" w:firstLine="0"/>
              <w:rPr>
                <w:rFonts w:eastAsiaTheme="minorHAnsi" w:cs="Calibri"/>
                <w:b/>
                <w:bCs/>
                <w:noProof/>
                <w:color w:val="000000"/>
                <w:sz w:val="20"/>
                <w:szCs w:val="20"/>
                <w:u w:val="single"/>
                <w:lang w:val="es-ES"/>
              </w:rPr>
            </w:pPr>
          </w:p>
        </w:tc>
        <w:tc>
          <w:tcPr>
            <w:tcW w:w="1140" w:type="dxa"/>
            <w:gridSpan w:val="2"/>
            <w:tcBorders>
              <w:top w:val="nil"/>
              <w:left w:val="nil"/>
              <w:bottom w:val="nil"/>
              <w:right w:val="nil"/>
            </w:tcBorders>
          </w:tcPr>
          <w:p w14:paraId="5DFF104A" w14:textId="77777777" w:rsidR="00740865" w:rsidRPr="002C44DE" w:rsidRDefault="00740865" w:rsidP="00BC15DE">
            <w:pPr>
              <w:rPr>
                <w:rFonts w:eastAsiaTheme="minorHAnsi" w:cs="Calibri"/>
                <w:noProof/>
                <w:color w:val="000000"/>
                <w:lang w:val="es-ES"/>
              </w:rPr>
            </w:pPr>
          </w:p>
        </w:tc>
        <w:tc>
          <w:tcPr>
            <w:tcW w:w="1005" w:type="dxa"/>
            <w:tcBorders>
              <w:top w:val="nil"/>
              <w:left w:val="nil"/>
              <w:bottom w:val="nil"/>
              <w:right w:val="nil"/>
            </w:tcBorders>
          </w:tcPr>
          <w:p w14:paraId="1D20D435" w14:textId="77777777" w:rsidR="00740865" w:rsidRPr="002C44DE" w:rsidRDefault="00740865" w:rsidP="00BC15DE">
            <w:pPr>
              <w:rPr>
                <w:rFonts w:eastAsiaTheme="minorHAnsi" w:cs="Calibri"/>
                <w:noProof/>
                <w:color w:val="000000"/>
                <w:lang w:val="es-ES"/>
              </w:rPr>
            </w:pPr>
          </w:p>
        </w:tc>
        <w:tc>
          <w:tcPr>
            <w:tcW w:w="1006" w:type="dxa"/>
            <w:tcBorders>
              <w:top w:val="nil"/>
              <w:left w:val="nil"/>
              <w:bottom w:val="nil"/>
              <w:right w:val="nil"/>
            </w:tcBorders>
          </w:tcPr>
          <w:p w14:paraId="0F79A942" w14:textId="77777777" w:rsidR="00740865" w:rsidRPr="002C44DE" w:rsidRDefault="00740865" w:rsidP="00BC15DE">
            <w:pPr>
              <w:rPr>
                <w:rFonts w:eastAsiaTheme="minorHAnsi" w:cs="Calibri"/>
                <w:noProof/>
                <w:color w:val="000000"/>
                <w:lang w:val="es-ES"/>
              </w:rPr>
            </w:pPr>
          </w:p>
        </w:tc>
        <w:tc>
          <w:tcPr>
            <w:tcW w:w="1005" w:type="dxa"/>
            <w:gridSpan w:val="2"/>
            <w:tcBorders>
              <w:top w:val="nil"/>
              <w:left w:val="nil"/>
              <w:bottom w:val="nil"/>
              <w:right w:val="nil"/>
            </w:tcBorders>
          </w:tcPr>
          <w:p w14:paraId="495EFEB3" w14:textId="77777777" w:rsidR="00740865" w:rsidRPr="002C44DE" w:rsidRDefault="00740865" w:rsidP="00BC15DE">
            <w:pPr>
              <w:rPr>
                <w:rFonts w:eastAsiaTheme="minorHAnsi" w:cs="Calibri"/>
                <w:noProof/>
                <w:color w:val="000000"/>
                <w:lang w:val="es-ES"/>
              </w:rPr>
            </w:pPr>
          </w:p>
        </w:tc>
        <w:tc>
          <w:tcPr>
            <w:tcW w:w="1030" w:type="dxa"/>
            <w:gridSpan w:val="2"/>
            <w:tcBorders>
              <w:top w:val="nil"/>
              <w:left w:val="nil"/>
              <w:bottom w:val="nil"/>
              <w:right w:val="nil"/>
            </w:tcBorders>
          </w:tcPr>
          <w:p w14:paraId="5C5DFBEE" w14:textId="77777777" w:rsidR="00740865" w:rsidRPr="002C44DE" w:rsidRDefault="00740865" w:rsidP="00BC15DE">
            <w:pPr>
              <w:rPr>
                <w:rFonts w:eastAsiaTheme="minorHAnsi" w:cs="Calibri"/>
                <w:noProof/>
                <w:color w:val="000000"/>
                <w:lang w:val="es-ES"/>
              </w:rPr>
            </w:pPr>
          </w:p>
        </w:tc>
      </w:tr>
      <w:tr w:rsidR="002C44DE" w:rsidRPr="002C44DE" w14:paraId="071F609A" w14:textId="77777777" w:rsidTr="00CB5635">
        <w:tc>
          <w:tcPr>
            <w:tcW w:w="1306" w:type="dxa"/>
            <w:tcBorders>
              <w:top w:val="nil"/>
              <w:left w:val="nil"/>
              <w:bottom w:val="nil"/>
              <w:right w:val="nil"/>
            </w:tcBorders>
          </w:tcPr>
          <w:p w14:paraId="60D02FF2"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R100146</w:t>
            </w:r>
          </w:p>
        </w:tc>
        <w:tc>
          <w:tcPr>
            <w:tcW w:w="3084" w:type="dxa"/>
            <w:gridSpan w:val="2"/>
            <w:tcBorders>
              <w:top w:val="nil"/>
              <w:left w:val="nil"/>
              <w:bottom w:val="nil"/>
              <w:right w:val="nil"/>
            </w:tcBorders>
          </w:tcPr>
          <w:p w14:paraId="2DCC5279" w14:textId="41724435" w:rsidR="002C44DE" w:rsidRPr="002C44DE" w:rsidRDefault="002C44DE" w:rsidP="001441B9">
            <w:pPr>
              <w:ind w:left="0" w:firstLine="0"/>
              <w:rPr>
                <w:rFonts w:eastAsiaTheme="minorHAnsi" w:cs="Calibri"/>
                <w:noProof/>
                <w:color w:val="000000"/>
                <w:sz w:val="20"/>
                <w:szCs w:val="20"/>
                <w:lang w:val="es-ES"/>
              </w:rPr>
            </w:pPr>
            <w:r w:rsidRPr="002C44DE">
              <w:rPr>
                <w:rFonts w:eastAsiaTheme="minorHAnsi" w:cs="Calibri"/>
                <w:noProof/>
                <w:color w:val="000000" w:themeColor="text1"/>
                <w:sz w:val="20"/>
                <w:szCs w:val="20"/>
                <w:lang w:val="es-ES"/>
              </w:rPr>
              <w:t>Humedales del Caribe</w:t>
            </w:r>
          </w:p>
        </w:tc>
        <w:tc>
          <w:tcPr>
            <w:tcW w:w="1140" w:type="dxa"/>
            <w:gridSpan w:val="2"/>
            <w:tcBorders>
              <w:top w:val="nil"/>
              <w:left w:val="nil"/>
              <w:bottom w:val="nil"/>
              <w:right w:val="nil"/>
            </w:tcBorders>
          </w:tcPr>
          <w:p w14:paraId="1284B397" w14:textId="18CC6A1D"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(2)</w:t>
            </w:r>
          </w:p>
        </w:tc>
        <w:tc>
          <w:tcPr>
            <w:tcW w:w="1005" w:type="dxa"/>
            <w:tcBorders>
              <w:top w:val="nil"/>
              <w:left w:val="nil"/>
              <w:bottom w:val="nil"/>
              <w:right w:val="nil"/>
            </w:tcBorders>
          </w:tcPr>
          <w:p w14:paraId="07EA7436" w14:textId="750F9460"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212</w:t>
            </w:r>
          </w:p>
        </w:tc>
        <w:tc>
          <w:tcPr>
            <w:tcW w:w="1006" w:type="dxa"/>
            <w:tcBorders>
              <w:top w:val="nil"/>
              <w:left w:val="nil"/>
              <w:bottom w:val="nil"/>
              <w:right w:val="nil"/>
            </w:tcBorders>
          </w:tcPr>
          <w:p w14:paraId="4878F29D" w14:textId="71BC2FC4"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(11)</w:t>
            </w:r>
          </w:p>
        </w:tc>
        <w:tc>
          <w:tcPr>
            <w:tcW w:w="1005" w:type="dxa"/>
            <w:gridSpan w:val="2"/>
            <w:tcBorders>
              <w:top w:val="nil"/>
              <w:left w:val="nil"/>
              <w:bottom w:val="nil"/>
              <w:right w:val="nil"/>
            </w:tcBorders>
          </w:tcPr>
          <w:p w14:paraId="6300574F"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1F226F95" w14:textId="5B816D02"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(200)</w:t>
            </w:r>
          </w:p>
        </w:tc>
      </w:tr>
      <w:tr w:rsidR="002C44DE" w:rsidRPr="002C44DE" w14:paraId="426CA7EF" w14:textId="77777777" w:rsidTr="00CB5635">
        <w:tc>
          <w:tcPr>
            <w:tcW w:w="1306" w:type="dxa"/>
            <w:tcBorders>
              <w:top w:val="nil"/>
              <w:left w:val="nil"/>
              <w:bottom w:val="nil"/>
              <w:right w:val="nil"/>
            </w:tcBorders>
          </w:tcPr>
          <w:p w14:paraId="59C9B3A2" w14:textId="1BD5EEF1"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R100200</w:t>
            </w:r>
          </w:p>
        </w:tc>
        <w:tc>
          <w:tcPr>
            <w:tcW w:w="3084" w:type="dxa"/>
            <w:gridSpan w:val="2"/>
            <w:tcBorders>
              <w:top w:val="nil"/>
              <w:left w:val="nil"/>
              <w:bottom w:val="nil"/>
              <w:right w:val="nil"/>
            </w:tcBorders>
          </w:tcPr>
          <w:p w14:paraId="29FD36D4" w14:textId="18106E22" w:rsidR="002C44DE" w:rsidRPr="002C44DE" w:rsidRDefault="002C44DE" w:rsidP="001441B9">
            <w:pPr>
              <w:ind w:left="0" w:firstLine="0"/>
              <w:rPr>
                <w:rFonts w:eastAsiaTheme="minorHAnsi" w:cs="Calibri"/>
                <w:noProof/>
                <w:color w:val="000000"/>
                <w:sz w:val="20"/>
                <w:szCs w:val="20"/>
                <w:lang w:val="es-ES"/>
              </w:rPr>
            </w:pPr>
            <w:r w:rsidRPr="002C44DE">
              <w:rPr>
                <w:rFonts w:eastAsiaTheme="minorHAnsi" w:cs="Calibri"/>
                <w:noProof/>
                <w:color w:val="000000" w:themeColor="text1"/>
                <w:sz w:val="20"/>
                <w:szCs w:val="20"/>
                <w:lang w:val="es-ES"/>
              </w:rPr>
              <w:t>Contribuciones voluntarias de países africanos, iniciativas regionales de África</w:t>
            </w:r>
          </w:p>
        </w:tc>
        <w:tc>
          <w:tcPr>
            <w:tcW w:w="1140" w:type="dxa"/>
            <w:gridSpan w:val="2"/>
            <w:tcBorders>
              <w:top w:val="nil"/>
              <w:left w:val="nil"/>
              <w:bottom w:val="single" w:sz="12" w:space="0" w:color="auto"/>
              <w:right w:val="nil"/>
            </w:tcBorders>
          </w:tcPr>
          <w:p w14:paraId="722D28D9" w14:textId="0F3FDAD8"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68</w:t>
            </w:r>
          </w:p>
        </w:tc>
        <w:tc>
          <w:tcPr>
            <w:tcW w:w="1005" w:type="dxa"/>
            <w:tcBorders>
              <w:top w:val="nil"/>
              <w:left w:val="nil"/>
              <w:bottom w:val="single" w:sz="12" w:space="0" w:color="auto"/>
              <w:right w:val="nil"/>
            </w:tcBorders>
          </w:tcPr>
          <w:p w14:paraId="4984F1C3" w14:textId="1FBB4046"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11</w:t>
            </w:r>
          </w:p>
        </w:tc>
        <w:tc>
          <w:tcPr>
            <w:tcW w:w="1006" w:type="dxa"/>
            <w:tcBorders>
              <w:top w:val="nil"/>
              <w:left w:val="nil"/>
              <w:bottom w:val="single" w:sz="12" w:space="0" w:color="auto"/>
              <w:right w:val="nil"/>
            </w:tcBorders>
          </w:tcPr>
          <w:p w14:paraId="0C3B9318" w14:textId="6D9D92EC"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(42)</w:t>
            </w:r>
          </w:p>
        </w:tc>
        <w:tc>
          <w:tcPr>
            <w:tcW w:w="1005" w:type="dxa"/>
            <w:gridSpan w:val="2"/>
            <w:tcBorders>
              <w:top w:val="nil"/>
              <w:left w:val="nil"/>
              <w:bottom w:val="single" w:sz="12" w:space="0" w:color="auto"/>
              <w:right w:val="nil"/>
            </w:tcBorders>
          </w:tcPr>
          <w:p w14:paraId="6486BD9C" w14:textId="77777777"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w:t>
            </w:r>
          </w:p>
        </w:tc>
        <w:tc>
          <w:tcPr>
            <w:tcW w:w="1030" w:type="dxa"/>
            <w:gridSpan w:val="2"/>
            <w:tcBorders>
              <w:top w:val="nil"/>
              <w:left w:val="nil"/>
              <w:bottom w:val="nil"/>
              <w:right w:val="nil"/>
            </w:tcBorders>
          </w:tcPr>
          <w:p w14:paraId="2024E4DD" w14:textId="511A4B3D" w:rsidR="002C44DE" w:rsidRPr="002C44DE" w:rsidRDefault="002C44DE" w:rsidP="002C44DE">
            <w:pPr>
              <w:rPr>
                <w:rFonts w:eastAsiaTheme="minorHAnsi" w:cs="Calibri"/>
                <w:noProof/>
                <w:color w:val="000000"/>
                <w:sz w:val="20"/>
                <w:szCs w:val="20"/>
                <w:lang w:val="es-ES"/>
              </w:rPr>
            </w:pPr>
            <w:r w:rsidRPr="002C44DE">
              <w:rPr>
                <w:rFonts w:eastAsiaTheme="minorHAnsi" w:cs="Calibri"/>
                <w:noProof/>
                <w:color w:val="000000"/>
                <w:sz w:val="20"/>
                <w:szCs w:val="20"/>
                <w:lang w:val="es-ES"/>
              </w:rPr>
              <w:t>37</w:t>
            </w:r>
          </w:p>
        </w:tc>
      </w:tr>
      <w:tr w:rsidR="002C44DE" w:rsidRPr="002C44DE" w14:paraId="71478A2B" w14:textId="77777777" w:rsidTr="00CB5635">
        <w:tc>
          <w:tcPr>
            <w:tcW w:w="4390" w:type="dxa"/>
            <w:gridSpan w:val="3"/>
            <w:tcBorders>
              <w:top w:val="single" w:sz="12" w:space="0" w:color="auto"/>
              <w:left w:val="nil"/>
              <w:bottom w:val="single" w:sz="12" w:space="0" w:color="auto"/>
              <w:right w:val="nil"/>
            </w:tcBorders>
            <w:shd w:val="clear" w:color="auto" w:fill="EAF1DD" w:themeFill="accent3" w:themeFillTint="33"/>
          </w:tcPr>
          <w:p w14:paraId="5D7357C2" w14:textId="2D492F08" w:rsidR="002C44DE" w:rsidRPr="002C44DE" w:rsidRDefault="002C44DE" w:rsidP="002C44DE">
            <w:pPr>
              <w:rPr>
                <w:rFonts w:eastAsiaTheme="minorHAnsi" w:cs="Calibri"/>
                <w:b/>
                <w:bCs/>
                <w:noProof/>
                <w:color w:val="000000"/>
                <w:sz w:val="20"/>
                <w:szCs w:val="20"/>
                <w:lang w:val="es-ES"/>
              </w:rPr>
            </w:pPr>
            <w:r w:rsidRPr="002C44DE">
              <w:rPr>
                <w:rFonts w:eastAsiaTheme="minorHAnsi" w:cs="Calibri"/>
                <w:b/>
                <w:bCs/>
                <w:noProof/>
                <w:color w:val="000000"/>
                <w:sz w:val="20"/>
                <w:szCs w:val="20"/>
                <w:lang w:val="es-ES"/>
              </w:rPr>
              <w:t>Total, Iniciativas regionales</w:t>
            </w:r>
          </w:p>
        </w:tc>
        <w:tc>
          <w:tcPr>
            <w:tcW w:w="1140" w:type="dxa"/>
            <w:gridSpan w:val="2"/>
            <w:tcBorders>
              <w:top w:val="nil"/>
              <w:left w:val="nil"/>
              <w:bottom w:val="single" w:sz="12" w:space="0" w:color="auto"/>
              <w:right w:val="nil"/>
            </w:tcBorders>
            <w:shd w:val="clear" w:color="auto" w:fill="EAF1DD" w:themeFill="accent3" w:themeFillTint="33"/>
          </w:tcPr>
          <w:p w14:paraId="2CFAA8CF" w14:textId="6B9E2463" w:rsidR="002C44DE" w:rsidRPr="002C44DE" w:rsidRDefault="002C44DE" w:rsidP="002C44DE">
            <w:pPr>
              <w:rPr>
                <w:rFonts w:eastAsiaTheme="minorHAnsi" w:cs="Calibri"/>
                <w:b/>
                <w:bCs/>
                <w:noProof/>
                <w:color w:val="000000"/>
                <w:sz w:val="20"/>
                <w:szCs w:val="20"/>
                <w:lang w:val="es-ES"/>
              </w:rPr>
            </w:pPr>
          </w:p>
        </w:tc>
        <w:tc>
          <w:tcPr>
            <w:tcW w:w="1005" w:type="dxa"/>
            <w:tcBorders>
              <w:top w:val="nil"/>
              <w:left w:val="nil"/>
              <w:bottom w:val="single" w:sz="12" w:space="0" w:color="auto"/>
              <w:right w:val="nil"/>
            </w:tcBorders>
            <w:shd w:val="clear" w:color="auto" w:fill="EAF1DD" w:themeFill="accent3" w:themeFillTint="33"/>
          </w:tcPr>
          <w:p w14:paraId="272AE64A" w14:textId="4303EC30" w:rsidR="002C44DE" w:rsidRPr="002C44DE" w:rsidRDefault="002C44DE" w:rsidP="002C44DE">
            <w:pPr>
              <w:rPr>
                <w:rFonts w:eastAsiaTheme="minorHAnsi" w:cs="Calibri"/>
                <w:b/>
                <w:bCs/>
                <w:noProof/>
                <w:color w:val="000000"/>
                <w:sz w:val="20"/>
                <w:szCs w:val="20"/>
                <w:lang w:val="es-ES"/>
              </w:rPr>
            </w:pPr>
            <w:r w:rsidRPr="002C44DE">
              <w:rPr>
                <w:rFonts w:eastAsiaTheme="minorHAnsi" w:cs="Calibri"/>
                <w:b/>
                <w:bCs/>
                <w:noProof/>
                <w:color w:val="000000"/>
                <w:sz w:val="20"/>
                <w:szCs w:val="20"/>
                <w:lang w:val="es-ES"/>
              </w:rPr>
              <w:t>224</w:t>
            </w:r>
          </w:p>
        </w:tc>
        <w:tc>
          <w:tcPr>
            <w:tcW w:w="1006" w:type="dxa"/>
            <w:tcBorders>
              <w:top w:val="nil"/>
              <w:left w:val="nil"/>
              <w:bottom w:val="single" w:sz="12" w:space="0" w:color="auto"/>
              <w:right w:val="nil"/>
            </w:tcBorders>
            <w:shd w:val="clear" w:color="auto" w:fill="EAF1DD" w:themeFill="accent3" w:themeFillTint="33"/>
          </w:tcPr>
          <w:p w14:paraId="33D17D99" w14:textId="0888C5C8" w:rsidR="002C44DE" w:rsidRPr="002C44DE" w:rsidRDefault="002C44DE" w:rsidP="002C44DE">
            <w:pPr>
              <w:rPr>
                <w:rFonts w:eastAsiaTheme="minorHAnsi" w:cs="Calibri"/>
                <w:b/>
                <w:bCs/>
                <w:noProof/>
                <w:color w:val="000000"/>
                <w:sz w:val="20"/>
                <w:szCs w:val="20"/>
                <w:lang w:val="es-ES"/>
              </w:rPr>
            </w:pPr>
            <w:r w:rsidRPr="002C44DE">
              <w:rPr>
                <w:rFonts w:eastAsiaTheme="minorHAnsi" w:cs="Calibri"/>
                <w:b/>
                <w:bCs/>
                <w:noProof/>
                <w:color w:val="000000"/>
                <w:sz w:val="20"/>
                <w:szCs w:val="20"/>
                <w:lang w:val="es-ES"/>
              </w:rPr>
              <w:t>(53)</w:t>
            </w:r>
          </w:p>
        </w:tc>
        <w:tc>
          <w:tcPr>
            <w:tcW w:w="1005" w:type="dxa"/>
            <w:gridSpan w:val="2"/>
            <w:tcBorders>
              <w:top w:val="nil"/>
              <w:left w:val="nil"/>
              <w:bottom w:val="single" w:sz="12" w:space="0" w:color="auto"/>
              <w:right w:val="nil"/>
            </w:tcBorders>
            <w:shd w:val="clear" w:color="auto" w:fill="EAF1DD" w:themeFill="accent3" w:themeFillTint="33"/>
          </w:tcPr>
          <w:p w14:paraId="06CC32D3" w14:textId="77777777" w:rsidR="002C44DE" w:rsidRPr="002C44DE" w:rsidRDefault="002C44DE" w:rsidP="002C44DE">
            <w:pPr>
              <w:rPr>
                <w:rFonts w:eastAsiaTheme="minorHAnsi" w:cs="Calibri"/>
                <w:b/>
                <w:bCs/>
                <w:noProof/>
                <w:color w:val="000000"/>
                <w:sz w:val="20"/>
                <w:szCs w:val="20"/>
                <w:lang w:val="es-ES"/>
              </w:rPr>
            </w:pPr>
            <w:r w:rsidRPr="002C44DE">
              <w:rPr>
                <w:rFonts w:eastAsiaTheme="minorHAnsi" w:cs="Calibri"/>
                <w:b/>
                <w:bCs/>
                <w:noProof/>
                <w:color w:val="000000"/>
                <w:sz w:val="20"/>
                <w:szCs w:val="20"/>
                <w:lang w:val="es-ES"/>
              </w:rPr>
              <w:t>-</w:t>
            </w:r>
          </w:p>
        </w:tc>
        <w:tc>
          <w:tcPr>
            <w:tcW w:w="1030" w:type="dxa"/>
            <w:gridSpan w:val="2"/>
            <w:tcBorders>
              <w:top w:val="single" w:sz="12" w:space="0" w:color="auto"/>
              <w:left w:val="nil"/>
              <w:bottom w:val="single" w:sz="12" w:space="0" w:color="auto"/>
              <w:right w:val="nil"/>
            </w:tcBorders>
            <w:shd w:val="clear" w:color="auto" w:fill="EAF1DD" w:themeFill="accent3" w:themeFillTint="33"/>
          </w:tcPr>
          <w:p w14:paraId="62C66CC4" w14:textId="0218430E" w:rsidR="002C44DE" w:rsidRPr="002C44DE" w:rsidRDefault="002C44DE" w:rsidP="002C44DE">
            <w:pPr>
              <w:rPr>
                <w:rFonts w:eastAsiaTheme="minorHAnsi" w:cs="Calibri"/>
                <w:b/>
                <w:bCs/>
                <w:noProof/>
                <w:color w:val="000000"/>
                <w:sz w:val="20"/>
                <w:szCs w:val="20"/>
                <w:lang w:val="es-ES"/>
              </w:rPr>
            </w:pPr>
            <w:r w:rsidRPr="002C44DE">
              <w:rPr>
                <w:rFonts w:eastAsiaTheme="minorHAnsi" w:cs="Calibri"/>
                <w:b/>
                <w:bCs/>
                <w:noProof/>
                <w:color w:val="000000"/>
                <w:sz w:val="20"/>
                <w:szCs w:val="20"/>
                <w:lang w:val="es-ES"/>
              </w:rPr>
              <w:t>236</w:t>
            </w:r>
          </w:p>
        </w:tc>
      </w:tr>
      <w:tr w:rsidR="00740865" w:rsidRPr="002C44DE" w14:paraId="56311B9B" w14:textId="77777777" w:rsidTr="00CB5635">
        <w:tc>
          <w:tcPr>
            <w:tcW w:w="1306" w:type="dxa"/>
            <w:tcBorders>
              <w:top w:val="nil"/>
              <w:left w:val="nil"/>
              <w:bottom w:val="nil"/>
              <w:right w:val="nil"/>
            </w:tcBorders>
          </w:tcPr>
          <w:p w14:paraId="608C9432" w14:textId="77777777" w:rsidR="00740865" w:rsidRPr="002C44DE" w:rsidRDefault="00740865" w:rsidP="00BC15DE">
            <w:pPr>
              <w:rPr>
                <w:rFonts w:eastAsiaTheme="minorHAnsi" w:cs="Calibri"/>
                <w:noProof/>
                <w:color w:val="000000"/>
                <w:lang w:val="es-ES"/>
              </w:rPr>
            </w:pPr>
          </w:p>
        </w:tc>
        <w:tc>
          <w:tcPr>
            <w:tcW w:w="3084" w:type="dxa"/>
            <w:gridSpan w:val="2"/>
            <w:tcBorders>
              <w:top w:val="nil"/>
              <w:left w:val="nil"/>
              <w:bottom w:val="nil"/>
              <w:right w:val="nil"/>
            </w:tcBorders>
          </w:tcPr>
          <w:p w14:paraId="0C1E36AE" w14:textId="77777777" w:rsidR="00740865" w:rsidRPr="002C44DE" w:rsidRDefault="00740865" w:rsidP="00BC15DE">
            <w:pPr>
              <w:rPr>
                <w:rFonts w:eastAsiaTheme="minorHAnsi" w:cs="Calibri"/>
                <w:noProof/>
                <w:color w:val="000000"/>
                <w:lang w:val="es-ES"/>
              </w:rPr>
            </w:pPr>
          </w:p>
        </w:tc>
        <w:tc>
          <w:tcPr>
            <w:tcW w:w="1140" w:type="dxa"/>
            <w:gridSpan w:val="2"/>
            <w:tcBorders>
              <w:top w:val="nil"/>
              <w:left w:val="nil"/>
              <w:bottom w:val="nil"/>
              <w:right w:val="nil"/>
            </w:tcBorders>
          </w:tcPr>
          <w:p w14:paraId="7E2475FE" w14:textId="77777777" w:rsidR="00740865" w:rsidRPr="002C44DE" w:rsidRDefault="00740865" w:rsidP="00BC15DE">
            <w:pPr>
              <w:rPr>
                <w:rFonts w:eastAsiaTheme="minorHAnsi" w:cs="Calibri"/>
                <w:noProof/>
                <w:color w:val="000000"/>
                <w:lang w:val="es-ES"/>
              </w:rPr>
            </w:pPr>
          </w:p>
        </w:tc>
        <w:tc>
          <w:tcPr>
            <w:tcW w:w="1005" w:type="dxa"/>
            <w:tcBorders>
              <w:top w:val="nil"/>
              <w:left w:val="nil"/>
              <w:bottom w:val="nil"/>
              <w:right w:val="nil"/>
            </w:tcBorders>
          </w:tcPr>
          <w:p w14:paraId="57CF87BC" w14:textId="77777777" w:rsidR="00740865" w:rsidRPr="002C44DE" w:rsidRDefault="00740865" w:rsidP="00BC15DE">
            <w:pPr>
              <w:rPr>
                <w:rFonts w:eastAsiaTheme="minorHAnsi" w:cs="Calibri"/>
                <w:noProof/>
                <w:color w:val="000000"/>
                <w:lang w:val="es-ES"/>
              </w:rPr>
            </w:pPr>
          </w:p>
        </w:tc>
        <w:tc>
          <w:tcPr>
            <w:tcW w:w="1006" w:type="dxa"/>
            <w:tcBorders>
              <w:top w:val="single" w:sz="12" w:space="0" w:color="auto"/>
              <w:left w:val="nil"/>
              <w:bottom w:val="double" w:sz="6" w:space="0" w:color="auto"/>
              <w:right w:val="nil"/>
            </w:tcBorders>
          </w:tcPr>
          <w:p w14:paraId="4F9717E1" w14:textId="77777777" w:rsidR="00740865" w:rsidRPr="002C44DE" w:rsidRDefault="00740865" w:rsidP="00BC15DE">
            <w:pPr>
              <w:rPr>
                <w:rFonts w:eastAsiaTheme="minorHAnsi" w:cs="Calibri"/>
                <w:noProof/>
                <w:color w:val="000000"/>
                <w:lang w:val="es-ES"/>
              </w:rPr>
            </w:pPr>
          </w:p>
        </w:tc>
        <w:tc>
          <w:tcPr>
            <w:tcW w:w="1005" w:type="dxa"/>
            <w:gridSpan w:val="2"/>
            <w:tcBorders>
              <w:top w:val="nil"/>
              <w:left w:val="nil"/>
              <w:bottom w:val="nil"/>
              <w:right w:val="nil"/>
            </w:tcBorders>
          </w:tcPr>
          <w:p w14:paraId="727BF1BF" w14:textId="77777777" w:rsidR="00740865" w:rsidRPr="002C44DE" w:rsidRDefault="00740865" w:rsidP="00BC15DE">
            <w:pPr>
              <w:rPr>
                <w:rFonts w:eastAsiaTheme="minorHAnsi" w:cs="Calibri"/>
                <w:noProof/>
                <w:color w:val="000000"/>
                <w:lang w:val="es-ES"/>
              </w:rPr>
            </w:pPr>
          </w:p>
        </w:tc>
        <w:tc>
          <w:tcPr>
            <w:tcW w:w="1030" w:type="dxa"/>
            <w:gridSpan w:val="2"/>
            <w:tcBorders>
              <w:top w:val="single" w:sz="12" w:space="0" w:color="auto"/>
              <w:left w:val="nil"/>
              <w:bottom w:val="nil"/>
              <w:right w:val="nil"/>
            </w:tcBorders>
          </w:tcPr>
          <w:p w14:paraId="17F61284" w14:textId="77777777" w:rsidR="00740865" w:rsidRPr="002C44DE" w:rsidRDefault="00740865" w:rsidP="00BC15DE">
            <w:pPr>
              <w:rPr>
                <w:rFonts w:eastAsiaTheme="minorHAnsi" w:cs="Calibri"/>
                <w:noProof/>
                <w:color w:val="000000"/>
                <w:lang w:val="es-ES"/>
              </w:rPr>
            </w:pPr>
          </w:p>
        </w:tc>
      </w:tr>
      <w:tr w:rsidR="00740865" w:rsidRPr="00064323" w14:paraId="601E92A1" w14:textId="77777777" w:rsidTr="00CB5635">
        <w:tc>
          <w:tcPr>
            <w:tcW w:w="1306" w:type="dxa"/>
            <w:tcBorders>
              <w:top w:val="double" w:sz="6" w:space="0" w:color="auto"/>
              <w:left w:val="nil"/>
              <w:bottom w:val="double" w:sz="6" w:space="0" w:color="auto"/>
              <w:right w:val="nil"/>
            </w:tcBorders>
            <w:shd w:val="clear" w:color="auto" w:fill="D6E3BC" w:themeFill="accent3" w:themeFillTint="66"/>
          </w:tcPr>
          <w:p w14:paraId="34FCF85A" w14:textId="77777777" w:rsidR="00740865" w:rsidRPr="00064323" w:rsidRDefault="00740865" w:rsidP="00BC15DE">
            <w:pPr>
              <w:rPr>
                <w:rFonts w:eastAsiaTheme="minorHAnsi" w:cs="Calibri"/>
                <w:b/>
                <w:bCs/>
                <w:noProof/>
                <w:color w:val="000000"/>
                <w:sz w:val="20"/>
                <w:szCs w:val="20"/>
                <w:lang w:val="es-ES"/>
              </w:rPr>
            </w:pPr>
            <w:r w:rsidRPr="00064323">
              <w:rPr>
                <w:rFonts w:eastAsiaTheme="minorHAnsi" w:cs="Calibri"/>
                <w:b/>
                <w:bCs/>
                <w:noProof/>
                <w:color w:val="000000"/>
                <w:sz w:val="20"/>
                <w:szCs w:val="20"/>
                <w:lang w:val="es-ES"/>
              </w:rPr>
              <w:t>Grand Total</w:t>
            </w:r>
          </w:p>
        </w:tc>
        <w:tc>
          <w:tcPr>
            <w:tcW w:w="3084" w:type="dxa"/>
            <w:gridSpan w:val="2"/>
            <w:tcBorders>
              <w:top w:val="double" w:sz="6" w:space="0" w:color="auto"/>
              <w:left w:val="nil"/>
              <w:bottom w:val="double" w:sz="6" w:space="0" w:color="auto"/>
              <w:right w:val="nil"/>
            </w:tcBorders>
            <w:shd w:val="clear" w:color="auto" w:fill="D6E3BC" w:themeFill="accent3" w:themeFillTint="66"/>
          </w:tcPr>
          <w:p w14:paraId="67D075E0" w14:textId="77777777" w:rsidR="00740865" w:rsidRPr="00064323" w:rsidRDefault="00740865" w:rsidP="00BC15DE">
            <w:pPr>
              <w:rPr>
                <w:rFonts w:eastAsiaTheme="minorHAnsi" w:cs="Calibri"/>
                <w:b/>
                <w:bCs/>
                <w:noProof/>
                <w:color w:val="000000"/>
                <w:sz w:val="20"/>
                <w:szCs w:val="20"/>
                <w:lang w:val="es-ES"/>
              </w:rPr>
            </w:pPr>
          </w:p>
        </w:tc>
        <w:tc>
          <w:tcPr>
            <w:tcW w:w="1140" w:type="dxa"/>
            <w:gridSpan w:val="2"/>
            <w:tcBorders>
              <w:top w:val="double" w:sz="6" w:space="0" w:color="auto"/>
              <w:left w:val="nil"/>
              <w:bottom w:val="double" w:sz="6" w:space="0" w:color="auto"/>
              <w:right w:val="nil"/>
            </w:tcBorders>
            <w:shd w:val="clear" w:color="auto" w:fill="D6E3BC" w:themeFill="accent3" w:themeFillTint="66"/>
          </w:tcPr>
          <w:p w14:paraId="434702C4" w14:textId="68E5F748" w:rsidR="00740865" w:rsidRPr="00064323" w:rsidRDefault="007E27A5" w:rsidP="00BC15DE">
            <w:pPr>
              <w:rPr>
                <w:rFonts w:eastAsiaTheme="minorHAnsi" w:cs="Calibri"/>
                <w:b/>
                <w:bCs/>
                <w:noProof/>
                <w:color w:val="000000"/>
                <w:sz w:val="20"/>
                <w:szCs w:val="20"/>
                <w:lang w:val="es-ES"/>
              </w:rPr>
            </w:pPr>
            <w:r w:rsidRPr="00064323">
              <w:rPr>
                <w:rFonts w:eastAsiaTheme="minorHAnsi" w:cs="Calibri"/>
                <w:b/>
                <w:bCs/>
                <w:noProof/>
                <w:color w:val="000000"/>
                <w:sz w:val="20"/>
                <w:szCs w:val="20"/>
                <w:lang w:val="es-ES"/>
              </w:rPr>
              <w:t>1</w:t>
            </w:r>
            <w:r w:rsidR="006369FD">
              <w:rPr>
                <w:rFonts w:eastAsiaTheme="minorHAnsi" w:cs="Calibri"/>
                <w:b/>
                <w:bCs/>
                <w:noProof/>
                <w:color w:val="000000"/>
                <w:sz w:val="20"/>
                <w:szCs w:val="20"/>
                <w:lang w:val="es-ES"/>
              </w:rPr>
              <w:t xml:space="preserve"> </w:t>
            </w:r>
            <w:r w:rsidRPr="00064323">
              <w:rPr>
                <w:rFonts w:eastAsiaTheme="minorHAnsi" w:cs="Calibri"/>
                <w:b/>
                <w:bCs/>
                <w:noProof/>
                <w:color w:val="000000"/>
                <w:sz w:val="20"/>
                <w:szCs w:val="20"/>
                <w:lang w:val="es-ES"/>
              </w:rPr>
              <w:t>876</w:t>
            </w:r>
          </w:p>
        </w:tc>
        <w:tc>
          <w:tcPr>
            <w:tcW w:w="1005" w:type="dxa"/>
            <w:tcBorders>
              <w:top w:val="double" w:sz="6" w:space="0" w:color="auto"/>
              <w:left w:val="nil"/>
              <w:bottom w:val="double" w:sz="6" w:space="0" w:color="auto"/>
              <w:right w:val="nil"/>
            </w:tcBorders>
            <w:shd w:val="clear" w:color="auto" w:fill="D6E3BC" w:themeFill="accent3" w:themeFillTint="66"/>
          </w:tcPr>
          <w:p w14:paraId="164204BA" w14:textId="2E1753EF" w:rsidR="00740865" w:rsidRPr="00064323" w:rsidRDefault="007E27A5" w:rsidP="00BC15DE">
            <w:pPr>
              <w:rPr>
                <w:rFonts w:eastAsiaTheme="minorHAnsi" w:cs="Calibri"/>
                <w:b/>
                <w:bCs/>
                <w:noProof/>
                <w:color w:val="000000"/>
                <w:sz w:val="20"/>
                <w:szCs w:val="20"/>
                <w:lang w:val="es-ES"/>
              </w:rPr>
            </w:pPr>
            <w:r w:rsidRPr="00064323">
              <w:rPr>
                <w:rFonts w:eastAsiaTheme="minorHAnsi" w:cs="Calibri"/>
                <w:b/>
                <w:bCs/>
                <w:noProof/>
                <w:color w:val="000000"/>
                <w:sz w:val="20"/>
                <w:szCs w:val="20"/>
                <w:lang w:val="es-ES"/>
              </w:rPr>
              <w:t>470</w:t>
            </w:r>
          </w:p>
        </w:tc>
        <w:tc>
          <w:tcPr>
            <w:tcW w:w="1006" w:type="dxa"/>
            <w:tcBorders>
              <w:top w:val="double" w:sz="6" w:space="0" w:color="auto"/>
              <w:left w:val="nil"/>
              <w:bottom w:val="double" w:sz="6" w:space="0" w:color="auto"/>
              <w:right w:val="nil"/>
            </w:tcBorders>
            <w:shd w:val="clear" w:color="auto" w:fill="D6E3BC" w:themeFill="accent3" w:themeFillTint="66"/>
          </w:tcPr>
          <w:p w14:paraId="7DBC2025" w14:textId="4FFBD45C" w:rsidR="00740865" w:rsidRPr="00064323" w:rsidRDefault="00740865" w:rsidP="00BC15DE">
            <w:pPr>
              <w:rPr>
                <w:rFonts w:eastAsiaTheme="minorHAnsi" w:cs="Calibri"/>
                <w:b/>
                <w:bCs/>
                <w:noProof/>
                <w:color w:val="000000"/>
                <w:sz w:val="20"/>
                <w:szCs w:val="20"/>
                <w:lang w:val="es-ES"/>
              </w:rPr>
            </w:pPr>
            <w:r w:rsidRPr="00064323">
              <w:rPr>
                <w:rFonts w:eastAsiaTheme="minorHAnsi" w:cs="Calibri"/>
                <w:b/>
                <w:bCs/>
                <w:noProof/>
                <w:color w:val="000000"/>
                <w:sz w:val="20"/>
                <w:szCs w:val="20"/>
                <w:lang w:val="es-ES"/>
              </w:rPr>
              <w:t>(</w:t>
            </w:r>
            <w:r w:rsidR="007E27A5" w:rsidRPr="00064323">
              <w:rPr>
                <w:rFonts w:eastAsiaTheme="minorHAnsi" w:cs="Calibri"/>
                <w:b/>
                <w:bCs/>
                <w:noProof/>
                <w:color w:val="000000"/>
                <w:sz w:val="20"/>
                <w:szCs w:val="20"/>
                <w:lang w:val="es-ES"/>
              </w:rPr>
              <w:t>356</w:t>
            </w:r>
            <w:r w:rsidRPr="00064323">
              <w:rPr>
                <w:rFonts w:eastAsiaTheme="minorHAnsi" w:cs="Calibri"/>
                <w:b/>
                <w:bCs/>
                <w:noProof/>
                <w:color w:val="000000"/>
                <w:sz w:val="20"/>
                <w:szCs w:val="20"/>
                <w:lang w:val="es-ES"/>
              </w:rPr>
              <w:t>)</w:t>
            </w:r>
          </w:p>
        </w:tc>
        <w:tc>
          <w:tcPr>
            <w:tcW w:w="1005" w:type="dxa"/>
            <w:gridSpan w:val="2"/>
            <w:tcBorders>
              <w:top w:val="double" w:sz="6" w:space="0" w:color="auto"/>
              <w:left w:val="nil"/>
              <w:bottom w:val="double" w:sz="6" w:space="0" w:color="auto"/>
              <w:right w:val="nil"/>
            </w:tcBorders>
            <w:shd w:val="clear" w:color="auto" w:fill="D6E3BC" w:themeFill="accent3" w:themeFillTint="66"/>
          </w:tcPr>
          <w:p w14:paraId="352A1DB5" w14:textId="77777777" w:rsidR="00740865" w:rsidRPr="00064323" w:rsidRDefault="00740865" w:rsidP="00BC15DE">
            <w:pPr>
              <w:rPr>
                <w:rFonts w:eastAsiaTheme="minorHAnsi" w:cs="Calibri"/>
                <w:b/>
                <w:bCs/>
                <w:noProof/>
                <w:color w:val="000000"/>
                <w:sz w:val="20"/>
                <w:szCs w:val="20"/>
                <w:lang w:val="es-ES"/>
              </w:rPr>
            </w:pPr>
            <w:r w:rsidRPr="00064323">
              <w:rPr>
                <w:rFonts w:eastAsiaTheme="minorHAnsi" w:cs="Calibri"/>
                <w:b/>
                <w:bCs/>
                <w:noProof/>
                <w:color w:val="000000"/>
                <w:sz w:val="20"/>
                <w:szCs w:val="20"/>
                <w:lang w:val="es-ES"/>
              </w:rPr>
              <w:t>-</w:t>
            </w:r>
          </w:p>
        </w:tc>
        <w:tc>
          <w:tcPr>
            <w:tcW w:w="1030" w:type="dxa"/>
            <w:gridSpan w:val="2"/>
            <w:tcBorders>
              <w:top w:val="double" w:sz="6" w:space="0" w:color="auto"/>
              <w:left w:val="nil"/>
              <w:bottom w:val="double" w:sz="6" w:space="0" w:color="auto"/>
              <w:right w:val="nil"/>
            </w:tcBorders>
            <w:shd w:val="clear" w:color="auto" w:fill="D6E3BC" w:themeFill="accent3" w:themeFillTint="66"/>
          </w:tcPr>
          <w:p w14:paraId="2BC282BF" w14:textId="629D2608" w:rsidR="00740865" w:rsidRPr="00064323" w:rsidRDefault="00740865" w:rsidP="00BC15DE">
            <w:pPr>
              <w:rPr>
                <w:rFonts w:eastAsiaTheme="minorHAnsi" w:cs="Calibri"/>
                <w:b/>
                <w:bCs/>
                <w:noProof/>
                <w:color w:val="000000"/>
                <w:sz w:val="20"/>
                <w:szCs w:val="20"/>
                <w:lang w:val="es-ES"/>
              </w:rPr>
            </w:pPr>
            <w:r w:rsidRPr="00064323">
              <w:rPr>
                <w:rFonts w:eastAsiaTheme="minorHAnsi" w:cs="Calibri"/>
                <w:b/>
                <w:bCs/>
                <w:noProof/>
                <w:color w:val="000000"/>
                <w:sz w:val="20"/>
                <w:szCs w:val="20"/>
                <w:lang w:val="es-ES"/>
              </w:rPr>
              <w:t>1</w:t>
            </w:r>
            <w:r w:rsidR="006369FD">
              <w:rPr>
                <w:rFonts w:eastAsiaTheme="minorHAnsi" w:cs="Calibri"/>
                <w:b/>
                <w:bCs/>
                <w:noProof/>
                <w:color w:val="000000"/>
                <w:sz w:val="20"/>
                <w:szCs w:val="20"/>
                <w:lang w:val="es-ES"/>
              </w:rPr>
              <w:t xml:space="preserve"> </w:t>
            </w:r>
            <w:r w:rsidR="007E27A5" w:rsidRPr="00064323">
              <w:rPr>
                <w:rFonts w:eastAsiaTheme="minorHAnsi" w:cs="Calibri"/>
                <w:b/>
                <w:bCs/>
                <w:noProof/>
                <w:color w:val="000000"/>
                <w:sz w:val="20"/>
                <w:szCs w:val="20"/>
                <w:lang w:val="es-ES"/>
              </w:rPr>
              <w:t>990</w:t>
            </w:r>
          </w:p>
        </w:tc>
      </w:tr>
    </w:tbl>
    <w:p w14:paraId="0FEC2201" w14:textId="77777777" w:rsidR="00740865" w:rsidRPr="002B17BF" w:rsidRDefault="00740865" w:rsidP="00BC15DE">
      <w:pPr>
        <w:rPr>
          <w:rFonts w:asciiTheme="minorHAnsi" w:eastAsia="Times New Roman" w:hAnsiTheme="minorHAnsi" w:cs="Arial"/>
          <w:bCs/>
          <w:noProof/>
          <w:lang w:val="es-ES" w:eastAsia="en-GB"/>
        </w:rPr>
        <w:sectPr w:rsidR="00740865" w:rsidRPr="002B17BF" w:rsidSect="00800F14">
          <w:footerReference w:type="default" r:id="rId13"/>
          <w:pgSz w:w="11906" w:h="16838" w:code="9"/>
          <w:pgMar w:top="1440" w:right="1440" w:bottom="1440" w:left="1440" w:header="709" w:footer="709" w:gutter="0"/>
          <w:cols w:space="708"/>
          <w:docGrid w:linePitch="360"/>
        </w:sectPr>
      </w:pPr>
    </w:p>
    <w:p w14:paraId="70E128F9" w14:textId="58EFE467" w:rsidR="0074567B" w:rsidRPr="002B17BF" w:rsidRDefault="006369FD" w:rsidP="00666EE5">
      <w:pPr>
        <w:rPr>
          <w:rFonts w:asciiTheme="minorHAnsi" w:eastAsia="Times New Roman" w:hAnsiTheme="minorHAnsi" w:cs="Arial"/>
          <w:b/>
          <w:bCs/>
          <w:noProof/>
          <w:sz w:val="24"/>
          <w:szCs w:val="24"/>
          <w:lang w:val="es-ES" w:eastAsia="en-GB"/>
        </w:rPr>
      </w:pPr>
      <w:r w:rsidRPr="002B17BF">
        <w:rPr>
          <w:rFonts w:asciiTheme="minorHAnsi" w:eastAsia="Times New Roman" w:hAnsiTheme="minorHAnsi" w:cs="Arial"/>
          <w:b/>
          <w:bCs/>
          <w:noProof/>
          <w:sz w:val="24"/>
          <w:szCs w:val="24"/>
          <w:lang w:val="es-ES" w:eastAsia="en-GB"/>
        </w:rPr>
        <w:lastRenderedPageBreak/>
        <w:t>Anexo</w:t>
      </w:r>
      <w:r w:rsidR="004D23F7" w:rsidRPr="002B17BF">
        <w:rPr>
          <w:rFonts w:asciiTheme="minorHAnsi" w:eastAsia="Times New Roman" w:hAnsiTheme="minorHAnsi" w:cs="Arial"/>
          <w:b/>
          <w:bCs/>
          <w:noProof/>
          <w:sz w:val="24"/>
          <w:szCs w:val="24"/>
          <w:lang w:val="es-ES" w:eastAsia="en-GB"/>
        </w:rPr>
        <w:t xml:space="preserve"> </w:t>
      </w:r>
      <w:r w:rsidR="007E0A1A" w:rsidRPr="002B17BF">
        <w:rPr>
          <w:rFonts w:asciiTheme="minorHAnsi" w:eastAsia="Times New Roman" w:hAnsiTheme="minorHAnsi" w:cs="Arial"/>
          <w:b/>
          <w:bCs/>
          <w:noProof/>
          <w:sz w:val="24"/>
          <w:szCs w:val="24"/>
          <w:lang w:val="es-ES" w:eastAsia="en-GB"/>
        </w:rPr>
        <w:t>4</w:t>
      </w:r>
    </w:p>
    <w:p w14:paraId="08EDC389" w14:textId="78608ED1" w:rsidR="001404C4" w:rsidRPr="002B17BF" w:rsidRDefault="006369FD" w:rsidP="00E42F5B">
      <w:pPr>
        <w:ind w:left="0" w:firstLine="0"/>
        <w:rPr>
          <w:rFonts w:asciiTheme="minorHAnsi" w:eastAsia="Times New Roman" w:hAnsiTheme="minorHAnsi" w:cs="Arial"/>
          <w:b/>
          <w:bCs/>
          <w:noProof/>
          <w:sz w:val="24"/>
          <w:szCs w:val="24"/>
          <w:lang w:val="es-ES" w:eastAsia="en-GB"/>
        </w:rPr>
      </w:pPr>
      <w:r w:rsidRPr="002B17BF">
        <w:rPr>
          <w:rFonts w:asciiTheme="minorHAnsi" w:hAnsiTheme="minorHAnsi"/>
          <w:b/>
          <w:bCs/>
          <w:noProof/>
          <w:sz w:val="24"/>
          <w:szCs w:val="24"/>
          <w:lang w:val="es-ES"/>
        </w:rPr>
        <w:t xml:space="preserve">Presupuesto básico propuesto para </w:t>
      </w:r>
      <w:r w:rsidR="005946B6" w:rsidRPr="002B17BF">
        <w:rPr>
          <w:rFonts w:asciiTheme="minorHAnsi" w:eastAsia="Times New Roman" w:hAnsiTheme="minorHAnsi" w:cs="Arial"/>
          <w:b/>
          <w:bCs/>
          <w:noProof/>
          <w:sz w:val="24"/>
          <w:szCs w:val="24"/>
          <w:lang w:val="es-ES" w:eastAsia="en-GB"/>
        </w:rPr>
        <w:t xml:space="preserve">2022 </w:t>
      </w:r>
    </w:p>
    <w:p w14:paraId="671B85AB" w14:textId="77777777" w:rsidR="006369FD" w:rsidRPr="002B17BF" w:rsidRDefault="006369FD" w:rsidP="006369FD">
      <w:pPr>
        <w:ind w:left="0" w:firstLine="0"/>
        <w:rPr>
          <w:rFonts w:asciiTheme="minorHAnsi" w:eastAsia="Times New Roman" w:hAnsiTheme="minorHAnsi" w:cs="Arial"/>
          <w:bCs/>
          <w:i/>
          <w:noProof/>
          <w:sz w:val="20"/>
          <w:szCs w:val="20"/>
          <w:lang w:val="es-ES"/>
        </w:rPr>
      </w:pPr>
      <w:r w:rsidRPr="002B17BF">
        <w:rPr>
          <w:rFonts w:asciiTheme="minorHAnsi" w:hAnsiTheme="minorHAnsi"/>
          <w:bCs/>
          <w:i/>
          <w:noProof/>
          <w:sz w:val="20"/>
          <w:szCs w:val="20"/>
          <w:lang w:val="es-ES"/>
        </w:rPr>
        <w:t>(en miles de francos suizos, con posibles diferencias por redondeo)</w:t>
      </w:r>
    </w:p>
    <w:tbl>
      <w:tblPr>
        <w:tblW w:w="12397" w:type="dxa"/>
        <w:tblLayout w:type="fixed"/>
        <w:tblLook w:val="04A0" w:firstRow="1" w:lastRow="0" w:firstColumn="1" w:lastColumn="0" w:noHBand="0" w:noVBand="1"/>
      </w:tblPr>
      <w:tblGrid>
        <w:gridCol w:w="4792"/>
        <w:gridCol w:w="1521"/>
        <w:gridCol w:w="1521"/>
        <w:gridCol w:w="1521"/>
        <w:gridCol w:w="1521"/>
        <w:gridCol w:w="1521"/>
      </w:tblGrid>
      <w:tr w:rsidR="008A236E" w:rsidRPr="002B17BF" w14:paraId="6927F712" w14:textId="77777777" w:rsidTr="00223E58">
        <w:trPr>
          <w:trHeight w:val="1260"/>
          <w:tblHeader/>
        </w:trPr>
        <w:tc>
          <w:tcPr>
            <w:tcW w:w="4792" w:type="dxa"/>
            <w:tcBorders>
              <w:top w:val="single" w:sz="4" w:space="0" w:color="auto"/>
              <w:left w:val="single" w:sz="4" w:space="0" w:color="auto"/>
              <w:bottom w:val="nil"/>
              <w:right w:val="nil"/>
            </w:tcBorders>
            <w:shd w:val="clear" w:color="000000" w:fill="D6E3BC"/>
            <w:vAlign w:val="center"/>
            <w:hideMark/>
          </w:tcPr>
          <w:p w14:paraId="4D83C9F3" w14:textId="14711B26" w:rsidR="003360DC" w:rsidRPr="002B17BF" w:rsidRDefault="006369FD" w:rsidP="003360DC">
            <w:pPr>
              <w:ind w:left="0" w:firstLine="0"/>
              <w:jc w:val="center"/>
              <w:rPr>
                <w:rFonts w:eastAsia="Times New Roman" w:cs="Calibri"/>
                <w:b/>
                <w:bCs/>
                <w:noProof/>
                <w:sz w:val="20"/>
                <w:szCs w:val="20"/>
                <w:lang w:val="es-ES" w:eastAsia="en-GB"/>
              </w:rPr>
            </w:pPr>
            <w:r w:rsidRPr="002B17BF">
              <w:rPr>
                <w:b/>
                <w:bCs/>
                <w:noProof/>
                <w:color w:val="000000"/>
                <w:sz w:val="20"/>
                <w:szCs w:val="20"/>
                <w:lang w:val="es-ES"/>
              </w:rPr>
              <w:t xml:space="preserve">Presupuesto de Ramsar para </w:t>
            </w:r>
            <w:r w:rsidR="003360DC" w:rsidRPr="002B17BF">
              <w:rPr>
                <w:rFonts w:eastAsia="Times New Roman" w:cs="Calibri"/>
                <w:b/>
                <w:bCs/>
                <w:noProof/>
                <w:sz w:val="20"/>
                <w:szCs w:val="20"/>
                <w:lang w:val="es-ES" w:eastAsia="en-GB"/>
              </w:rPr>
              <w:t>2022</w:t>
            </w:r>
            <w:r w:rsidR="003360DC" w:rsidRPr="002B17BF">
              <w:rPr>
                <w:rFonts w:eastAsia="Times New Roman" w:cs="Calibri"/>
                <w:b/>
                <w:bCs/>
                <w:noProof/>
                <w:sz w:val="20"/>
                <w:szCs w:val="20"/>
                <w:lang w:val="es-ES" w:eastAsia="en-GB"/>
              </w:rPr>
              <w:br/>
            </w:r>
            <w:r w:rsidR="003360DC" w:rsidRPr="002B17BF">
              <w:rPr>
                <w:rFonts w:eastAsia="Times New Roman" w:cs="Calibri"/>
                <w:b/>
                <w:bCs/>
                <w:noProof/>
                <w:sz w:val="20"/>
                <w:szCs w:val="20"/>
                <w:lang w:val="es-ES" w:eastAsia="en-GB"/>
              </w:rPr>
              <w:br/>
            </w:r>
            <w:r w:rsidRPr="002B17BF">
              <w:rPr>
                <w:b/>
                <w:bCs/>
                <w:noProof/>
                <w:color w:val="000000"/>
                <w:sz w:val="20"/>
                <w:szCs w:val="20"/>
                <w:lang w:val="es-ES"/>
              </w:rPr>
              <w:t xml:space="preserve">aprobado por la </w:t>
            </w:r>
            <w:r w:rsidR="003360DC" w:rsidRPr="002B17BF">
              <w:rPr>
                <w:rFonts w:eastAsia="Times New Roman" w:cs="Calibri"/>
                <w:b/>
                <w:bCs/>
                <w:noProof/>
                <w:sz w:val="20"/>
                <w:szCs w:val="20"/>
                <w:lang w:val="es-ES" w:eastAsia="en-GB"/>
              </w:rPr>
              <w:t xml:space="preserve">ExCOP3 </w:t>
            </w:r>
          </w:p>
        </w:tc>
        <w:tc>
          <w:tcPr>
            <w:tcW w:w="1521" w:type="dxa"/>
            <w:tcBorders>
              <w:top w:val="single" w:sz="4" w:space="0" w:color="auto"/>
              <w:left w:val="single" w:sz="4" w:space="0" w:color="auto"/>
              <w:bottom w:val="nil"/>
              <w:right w:val="single" w:sz="4" w:space="0" w:color="auto"/>
            </w:tcBorders>
            <w:shd w:val="clear" w:color="000000" w:fill="D6E3BC"/>
            <w:vAlign w:val="center"/>
            <w:hideMark/>
          </w:tcPr>
          <w:p w14:paraId="53E7564E" w14:textId="07890EEE" w:rsidR="003360DC" w:rsidRPr="002B17BF" w:rsidRDefault="006369FD" w:rsidP="00223E58">
            <w:pPr>
              <w:ind w:left="0" w:firstLine="0"/>
              <w:jc w:val="center"/>
              <w:rPr>
                <w:rFonts w:eastAsia="Times New Roman" w:cs="Calibri"/>
                <w:b/>
                <w:bCs/>
                <w:noProof/>
                <w:sz w:val="20"/>
                <w:szCs w:val="20"/>
                <w:lang w:val="es-ES" w:eastAsia="en-GB"/>
              </w:rPr>
            </w:pPr>
            <w:r w:rsidRPr="002B17BF">
              <w:rPr>
                <w:rFonts w:eastAsia="Times New Roman" w:cs="Calibri"/>
                <w:b/>
                <w:bCs/>
                <w:noProof/>
                <w:sz w:val="20"/>
                <w:szCs w:val="20"/>
                <w:lang w:val="es-ES" w:eastAsia="en-GB"/>
              </w:rPr>
              <w:t xml:space="preserve">Presupuesto </w:t>
            </w:r>
            <w:r w:rsidR="00F17207">
              <w:rPr>
                <w:rFonts w:eastAsia="Times New Roman" w:cs="Calibri"/>
                <w:b/>
                <w:bCs/>
                <w:noProof/>
                <w:sz w:val="20"/>
                <w:szCs w:val="20"/>
                <w:lang w:val="es-ES" w:eastAsia="en-GB"/>
              </w:rPr>
              <w:t>(</w:t>
            </w:r>
            <w:r w:rsidRPr="002B17BF">
              <w:rPr>
                <w:rFonts w:eastAsia="Times New Roman" w:cs="Calibri"/>
                <w:b/>
                <w:bCs/>
                <w:noProof/>
                <w:sz w:val="20"/>
                <w:szCs w:val="20"/>
                <w:lang w:val="es-ES" w:eastAsia="en-GB"/>
              </w:rPr>
              <w:t>aprobado</w:t>
            </w:r>
            <w:r w:rsidR="003360DC" w:rsidRPr="002B17BF">
              <w:rPr>
                <w:rFonts w:eastAsia="Times New Roman" w:cs="Calibri"/>
                <w:b/>
                <w:bCs/>
                <w:noProof/>
                <w:sz w:val="20"/>
                <w:szCs w:val="20"/>
                <w:lang w:val="es-ES" w:eastAsia="en-GB"/>
              </w:rPr>
              <w:t xml:space="preserve"> </w:t>
            </w:r>
            <w:r w:rsidRPr="002B17BF">
              <w:rPr>
                <w:rFonts w:eastAsia="Times New Roman" w:cs="Calibri"/>
                <w:b/>
                <w:bCs/>
                <w:noProof/>
                <w:sz w:val="20"/>
                <w:szCs w:val="20"/>
                <w:lang w:val="es-ES" w:eastAsia="en-GB"/>
              </w:rPr>
              <w:t xml:space="preserve">por la </w:t>
            </w:r>
            <w:r w:rsidR="003360DC" w:rsidRPr="002B17BF">
              <w:rPr>
                <w:rFonts w:eastAsia="Times New Roman" w:cs="Calibri"/>
                <w:b/>
                <w:bCs/>
                <w:noProof/>
                <w:sz w:val="20"/>
                <w:szCs w:val="20"/>
                <w:lang w:val="es-ES" w:eastAsia="en-GB"/>
              </w:rPr>
              <w:t>ExCOP3)</w:t>
            </w:r>
          </w:p>
        </w:tc>
        <w:tc>
          <w:tcPr>
            <w:tcW w:w="1521" w:type="dxa"/>
            <w:tcBorders>
              <w:top w:val="single" w:sz="4" w:space="0" w:color="auto"/>
              <w:left w:val="nil"/>
              <w:bottom w:val="nil"/>
              <w:right w:val="single" w:sz="4" w:space="0" w:color="auto"/>
            </w:tcBorders>
            <w:shd w:val="clear" w:color="000000" w:fill="D6E3BC"/>
            <w:vAlign w:val="center"/>
            <w:hideMark/>
          </w:tcPr>
          <w:p w14:paraId="6CE6BECE" w14:textId="45889823" w:rsidR="003360DC" w:rsidRPr="002B17BF" w:rsidRDefault="008A236E" w:rsidP="00223E58">
            <w:pPr>
              <w:ind w:left="0" w:firstLine="0"/>
              <w:jc w:val="center"/>
              <w:rPr>
                <w:rFonts w:eastAsia="Times New Roman" w:cs="Calibri"/>
                <w:b/>
                <w:bCs/>
                <w:noProof/>
                <w:sz w:val="20"/>
                <w:szCs w:val="20"/>
                <w:lang w:val="es-ES" w:eastAsia="en-GB"/>
              </w:rPr>
            </w:pPr>
            <w:r w:rsidRPr="002B17BF">
              <w:rPr>
                <w:b/>
                <w:bCs/>
                <w:noProof/>
                <w:color w:val="000000"/>
                <w:sz w:val="20"/>
                <w:szCs w:val="20"/>
                <w:lang w:val="es-ES"/>
              </w:rPr>
              <w:t xml:space="preserve">Uso del excedente del presupuesto de 2020 autorizado por la reunión </w:t>
            </w:r>
            <w:r w:rsidR="003360DC" w:rsidRPr="002B17BF">
              <w:rPr>
                <w:rFonts w:eastAsia="Times New Roman" w:cs="Calibri"/>
                <w:b/>
                <w:bCs/>
                <w:noProof/>
                <w:sz w:val="20"/>
                <w:szCs w:val="20"/>
                <w:lang w:val="es-ES" w:eastAsia="en-GB"/>
              </w:rPr>
              <w:t>SC59 (</w:t>
            </w:r>
            <w:r w:rsidRPr="002B17BF">
              <w:rPr>
                <w:rFonts w:eastAsia="Times New Roman" w:cs="Calibri"/>
                <w:b/>
                <w:bCs/>
                <w:noProof/>
                <w:sz w:val="20"/>
                <w:szCs w:val="20"/>
                <w:lang w:val="es-ES" w:eastAsia="en-GB"/>
              </w:rPr>
              <w:t xml:space="preserve">aprobado por la </w:t>
            </w:r>
            <w:r w:rsidR="003360DC" w:rsidRPr="002B17BF">
              <w:rPr>
                <w:rFonts w:eastAsia="Times New Roman" w:cs="Calibri"/>
                <w:b/>
                <w:bCs/>
                <w:noProof/>
                <w:sz w:val="20"/>
                <w:szCs w:val="20"/>
                <w:lang w:val="es-ES" w:eastAsia="en-GB"/>
              </w:rPr>
              <w:t>ExCOP3)</w:t>
            </w:r>
          </w:p>
        </w:tc>
        <w:tc>
          <w:tcPr>
            <w:tcW w:w="1521" w:type="dxa"/>
            <w:tcBorders>
              <w:top w:val="single" w:sz="4" w:space="0" w:color="auto"/>
              <w:left w:val="single" w:sz="4" w:space="0" w:color="auto"/>
              <w:bottom w:val="nil"/>
              <w:right w:val="single" w:sz="4" w:space="0" w:color="auto"/>
            </w:tcBorders>
            <w:shd w:val="clear" w:color="000000" w:fill="D6E3BC"/>
            <w:vAlign w:val="center"/>
            <w:hideMark/>
          </w:tcPr>
          <w:p w14:paraId="6B32E82F" w14:textId="0E1AE708" w:rsidR="003360DC" w:rsidRPr="002B17BF" w:rsidRDefault="008A236E" w:rsidP="00223E58">
            <w:pPr>
              <w:ind w:left="0" w:firstLine="0"/>
              <w:jc w:val="center"/>
              <w:rPr>
                <w:rFonts w:eastAsia="Times New Roman" w:cs="Calibri"/>
                <w:b/>
                <w:bCs/>
                <w:noProof/>
                <w:sz w:val="20"/>
                <w:szCs w:val="20"/>
                <w:lang w:val="es-ES" w:eastAsia="en-GB"/>
              </w:rPr>
            </w:pPr>
            <w:r w:rsidRPr="002B17BF">
              <w:rPr>
                <w:rFonts w:eastAsia="Times New Roman" w:cs="Calibri"/>
                <w:b/>
                <w:bCs/>
                <w:noProof/>
                <w:sz w:val="20"/>
                <w:szCs w:val="20"/>
                <w:lang w:val="es-ES" w:eastAsia="en-GB"/>
              </w:rPr>
              <w:t>Fondos previamente comprometidos en</w:t>
            </w:r>
            <w:r w:rsidR="003360DC" w:rsidRPr="002B17BF">
              <w:rPr>
                <w:rFonts w:eastAsia="Times New Roman" w:cs="Calibri"/>
                <w:b/>
                <w:bCs/>
                <w:noProof/>
                <w:sz w:val="20"/>
                <w:szCs w:val="20"/>
                <w:lang w:val="es-ES" w:eastAsia="en-GB"/>
              </w:rPr>
              <w:t xml:space="preserve"> 2021 </w:t>
            </w:r>
            <w:r w:rsidRPr="002B17BF">
              <w:rPr>
                <w:rFonts w:eastAsia="Times New Roman" w:cs="Calibri"/>
                <w:b/>
                <w:bCs/>
                <w:noProof/>
                <w:sz w:val="20"/>
                <w:szCs w:val="20"/>
                <w:lang w:val="es-ES" w:eastAsia="en-GB"/>
              </w:rPr>
              <w:t>a gastar</w:t>
            </w:r>
            <w:r w:rsidR="003360DC" w:rsidRPr="002B17BF">
              <w:rPr>
                <w:rFonts w:eastAsia="Times New Roman" w:cs="Calibri"/>
                <w:b/>
                <w:bCs/>
                <w:noProof/>
                <w:sz w:val="20"/>
                <w:szCs w:val="20"/>
                <w:lang w:val="es-ES" w:eastAsia="en-GB"/>
              </w:rPr>
              <w:t xml:space="preserve"> </w:t>
            </w:r>
            <w:r w:rsidRPr="002B17BF">
              <w:rPr>
                <w:rFonts w:eastAsia="Times New Roman" w:cs="Calibri"/>
                <w:b/>
                <w:bCs/>
                <w:noProof/>
                <w:sz w:val="20"/>
                <w:szCs w:val="20"/>
                <w:lang w:val="es-ES" w:eastAsia="en-GB"/>
              </w:rPr>
              <w:t>en</w:t>
            </w:r>
            <w:r w:rsidR="003360DC" w:rsidRPr="002B17BF">
              <w:rPr>
                <w:rFonts w:eastAsia="Times New Roman" w:cs="Calibri"/>
                <w:b/>
                <w:bCs/>
                <w:noProof/>
                <w:sz w:val="20"/>
                <w:szCs w:val="20"/>
                <w:lang w:val="es-ES" w:eastAsia="en-GB"/>
              </w:rPr>
              <w:t xml:space="preserve"> 2022</w:t>
            </w:r>
          </w:p>
        </w:tc>
        <w:tc>
          <w:tcPr>
            <w:tcW w:w="1521" w:type="dxa"/>
            <w:tcBorders>
              <w:top w:val="single" w:sz="4" w:space="0" w:color="auto"/>
              <w:left w:val="nil"/>
              <w:bottom w:val="nil"/>
              <w:right w:val="single" w:sz="4" w:space="0" w:color="auto"/>
            </w:tcBorders>
            <w:shd w:val="clear" w:color="auto" w:fill="D6E3BC" w:themeFill="accent3" w:themeFillTint="66"/>
            <w:vAlign w:val="center"/>
            <w:hideMark/>
          </w:tcPr>
          <w:p w14:paraId="1B023CF3" w14:textId="00CC228F" w:rsidR="003360DC" w:rsidRPr="002B17BF" w:rsidRDefault="008A236E" w:rsidP="00223E58">
            <w:pPr>
              <w:ind w:left="0" w:firstLine="0"/>
              <w:jc w:val="center"/>
              <w:rPr>
                <w:rFonts w:eastAsia="Times New Roman" w:cs="Calibri"/>
                <w:b/>
                <w:bCs/>
                <w:noProof/>
                <w:sz w:val="20"/>
                <w:szCs w:val="20"/>
                <w:lang w:val="es-ES" w:eastAsia="en-GB"/>
              </w:rPr>
            </w:pPr>
            <w:r w:rsidRPr="002B17BF">
              <w:rPr>
                <w:rFonts w:eastAsia="Times New Roman" w:cs="Calibri"/>
                <w:b/>
                <w:bCs/>
                <w:noProof/>
                <w:sz w:val="20"/>
                <w:szCs w:val="20"/>
                <w:lang w:val="es-ES" w:eastAsia="en-GB"/>
              </w:rPr>
              <w:t xml:space="preserve">Ajustes al presupuesto de 2022 aprobados por la </w:t>
            </w:r>
            <w:r w:rsidR="003360DC" w:rsidRPr="002B17BF">
              <w:rPr>
                <w:rFonts w:eastAsia="Times New Roman" w:cs="Calibri"/>
                <w:b/>
                <w:bCs/>
                <w:noProof/>
                <w:sz w:val="20"/>
                <w:szCs w:val="20"/>
                <w:lang w:val="es-ES" w:eastAsia="en-GB"/>
              </w:rPr>
              <w:t>ExCOP3*</w:t>
            </w:r>
          </w:p>
        </w:tc>
        <w:tc>
          <w:tcPr>
            <w:tcW w:w="1521" w:type="dxa"/>
            <w:tcBorders>
              <w:top w:val="single" w:sz="4" w:space="0" w:color="auto"/>
              <w:left w:val="nil"/>
              <w:bottom w:val="nil"/>
              <w:right w:val="single" w:sz="4" w:space="0" w:color="auto"/>
            </w:tcBorders>
            <w:shd w:val="clear" w:color="auto" w:fill="D6E3BC" w:themeFill="accent3" w:themeFillTint="66"/>
            <w:vAlign w:val="center"/>
            <w:hideMark/>
          </w:tcPr>
          <w:p w14:paraId="3FE90314" w14:textId="703936E8" w:rsidR="003360DC" w:rsidRPr="002B17BF" w:rsidRDefault="003360DC" w:rsidP="00223E58">
            <w:pPr>
              <w:ind w:left="0" w:firstLine="0"/>
              <w:jc w:val="center"/>
              <w:rPr>
                <w:rFonts w:eastAsia="Times New Roman" w:cs="Calibri"/>
                <w:b/>
                <w:bCs/>
                <w:noProof/>
                <w:sz w:val="20"/>
                <w:szCs w:val="20"/>
                <w:lang w:val="es-ES" w:eastAsia="en-GB"/>
              </w:rPr>
            </w:pPr>
            <w:r w:rsidRPr="002B17BF">
              <w:rPr>
                <w:rFonts w:eastAsia="Times New Roman" w:cs="Calibri"/>
                <w:b/>
                <w:bCs/>
                <w:noProof/>
                <w:sz w:val="20"/>
                <w:szCs w:val="20"/>
                <w:lang w:val="es-ES" w:eastAsia="en-GB"/>
              </w:rPr>
              <w:t>Total</w:t>
            </w:r>
            <w:r w:rsidR="008A236E" w:rsidRPr="002B17BF">
              <w:rPr>
                <w:rFonts w:eastAsia="Times New Roman" w:cs="Calibri"/>
                <w:b/>
                <w:bCs/>
                <w:noProof/>
                <w:sz w:val="20"/>
                <w:szCs w:val="20"/>
                <w:lang w:val="es-ES" w:eastAsia="en-GB"/>
              </w:rPr>
              <w:t>, presupuesto de</w:t>
            </w:r>
            <w:r w:rsidRPr="002B17BF">
              <w:rPr>
                <w:rFonts w:eastAsia="Times New Roman" w:cs="Calibri"/>
                <w:b/>
                <w:bCs/>
                <w:noProof/>
                <w:sz w:val="20"/>
                <w:szCs w:val="20"/>
                <w:lang w:val="es-ES" w:eastAsia="en-GB"/>
              </w:rPr>
              <w:t xml:space="preserve"> 2022</w:t>
            </w:r>
          </w:p>
        </w:tc>
      </w:tr>
      <w:tr w:rsidR="008A236E" w:rsidRPr="002B17BF" w14:paraId="19AB94E5" w14:textId="77777777" w:rsidTr="00223E58">
        <w:trPr>
          <w:trHeight w:val="360"/>
          <w:tblHeader/>
        </w:trPr>
        <w:tc>
          <w:tcPr>
            <w:tcW w:w="4792" w:type="dxa"/>
            <w:tcBorders>
              <w:top w:val="nil"/>
              <w:left w:val="single" w:sz="4" w:space="0" w:color="auto"/>
              <w:bottom w:val="nil"/>
              <w:right w:val="nil"/>
            </w:tcBorders>
            <w:shd w:val="clear" w:color="000000" w:fill="D6E3BC"/>
            <w:vAlign w:val="center"/>
            <w:hideMark/>
          </w:tcPr>
          <w:p w14:paraId="5AE2089A" w14:textId="07160689" w:rsidR="003360DC" w:rsidRPr="002B17BF" w:rsidRDefault="006369FD" w:rsidP="003360DC">
            <w:pPr>
              <w:ind w:left="0" w:firstLine="0"/>
              <w:jc w:val="center"/>
              <w:rPr>
                <w:rFonts w:eastAsia="Times New Roman" w:cs="Calibri"/>
                <w:b/>
                <w:bCs/>
                <w:noProof/>
                <w:color w:val="000000"/>
                <w:sz w:val="20"/>
                <w:szCs w:val="20"/>
                <w:lang w:val="es-ES" w:eastAsia="en-GB"/>
              </w:rPr>
            </w:pPr>
            <w:r w:rsidRPr="002B17BF">
              <w:rPr>
                <w:b/>
                <w:bCs/>
                <w:noProof/>
                <w:color w:val="000000"/>
                <w:sz w:val="20"/>
                <w:szCs w:val="20"/>
                <w:lang w:val="es-ES"/>
              </w:rPr>
              <w:t>en miles de francos suizos</w:t>
            </w:r>
          </w:p>
        </w:tc>
        <w:tc>
          <w:tcPr>
            <w:tcW w:w="1521" w:type="dxa"/>
            <w:vMerge w:val="restart"/>
            <w:tcBorders>
              <w:top w:val="nil"/>
              <w:left w:val="single" w:sz="4" w:space="0" w:color="auto"/>
              <w:bottom w:val="single" w:sz="4" w:space="0" w:color="000000"/>
              <w:right w:val="single" w:sz="4" w:space="0" w:color="auto"/>
            </w:tcBorders>
            <w:shd w:val="clear" w:color="000000" w:fill="D6E3BC"/>
            <w:vAlign w:val="center"/>
            <w:hideMark/>
          </w:tcPr>
          <w:p w14:paraId="2C70E213" w14:textId="77777777" w:rsidR="003360DC" w:rsidRPr="002B17BF" w:rsidRDefault="003360DC" w:rsidP="003360DC">
            <w:pPr>
              <w:ind w:left="0" w:firstLine="0"/>
              <w:jc w:val="center"/>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(A)</w:t>
            </w:r>
          </w:p>
        </w:tc>
        <w:tc>
          <w:tcPr>
            <w:tcW w:w="1521" w:type="dxa"/>
            <w:vMerge w:val="restart"/>
            <w:tcBorders>
              <w:top w:val="nil"/>
              <w:left w:val="single" w:sz="4" w:space="0" w:color="auto"/>
              <w:bottom w:val="single" w:sz="4" w:space="0" w:color="000000"/>
              <w:right w:val="single" w:sz="4" w:space="0" w:color="auto"/>
            </w:tcBorders>
            <w:shd w:val="clear" w:color="000000" w:fill="D6E3BC"/>
            <w:vAlign w:val="center"/>
            <w:hideMark/>
          </w:tcPr>
          <w:p w14:paraId="019DBC7C" w14:textId="77777777" w:rsidR="003360DC" w:rsidRPr="002B17BF" w:rsidRDefault="003360DC" w:rsidP="003360DC">
            <w:pPr>
              <w:ind w:left="0" w:firstLine="0"/>
              <w:jc w:val="center"/>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(B)</w:t>
            </w:r>
          </w:p>
        </w:tc>
        <w:tc>
          <w:tcPr>
            <w:tcW w:w="1521" w:type="dxa"/>
            <w:vMerge w:val="restart"/>
            <w:tcBorders>
              <w:top w:val="nil"/>
              <w:left w:val="single" w:sz="4" w:space="0" w:color="auto"/>
              <w:bottom w:val="single" w:sz="4" w:space="0" w:color="000000"/>
              <w:right w:val="single" w:sz="4" w:space="0" w:color="auto"/>
            </w:tcBorders>
            <w:shd w:val="clear" w:color="000000" w:fill="D6E3BC"/>
            <w:vAlign w:val="center"/>
            <w:hideMark/>
          </w:tcPr>
          <w:p w14:paraId="1B54A2C3" w14:textId="77777777" w:rsidR="003360DC" w:rsidRPr="002B17BF" w:rsidRDefault="003360DC" w:rsidP="003360DC">
            <w:pPr>
              <w:ind w:left="0" w:firstLine="0"/>
              <w:jc w:val="center"/>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(C)</w:t>
            </w:r>
          </w:p>
        </w:tc>
        <w:tc>
          <w:tcPr>
            <w:tcW w:w="1521" w:type="dxa"/>
            <w:vMerge w:val="restart"/>
            <w:tcBorders>
              <w:top w:val="nil"/>
              <w:left w:val="nil"/>
              <w:bottom w:val="single" w:sz="4" w:space="0" w:color="000000"/>
              <w:right w:val="single" w:sz="4" w:space="0" w:color="auto"/>
            </w:tcBorders>
            <w:shd w:val="clear" w:color="auto" w:fill="D6E3BC" w:themeFill="accent3" w:themeFillTint="66"/>
            <w:vAlign w:val="center"/>
            <w:hideMark/>
          </w:tcPr>
          <w:p w14:paraId="18F4D1C9" w14:textId="6BB930D8" w:rsidR="003360DC" w:rsidRPr="002B17BF" w:rsidRDefault="003360DC" w:rsidP="003360DC">
            <w:pPr>
              <w:ind w:left="0" w:firstLine="0"/>
              <w:jc w:val="center"/>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w:t>
            </w:r>
            <w:r w:rsidR="007E27A5" w:rsidRPr="002B17BF">
              <w:rPr>
                <w:rFonts w:eastAsia="Times New Roman" w:cs="Calibri"/>
                <w:b/>
                <w:bCs/>
                <w:noProof/>
                <w:color w:val="000000"/>
                <w:sz w:val="20"/>
                <w:szCs w:val="20"/>
                <w:lang w:val="es-ES" w:eastAsia="en-GB"/>
              </w:rPr>
              <w:t>D</w:t>
            </w:r>
            <w:r w:rsidRPr="002B17BF">
              <w:rPr>
                <w:rFonts w:eastAsia="Times New Roman" w:cs="Calibri"/>
                <w:b/>
                <w:bCs/>
                <w:noProof/>
                <w:color w:val="000000"/>
                <w:sz w:val="20"/>
                <w:szCs w:val="20"/>
                <w:lang w:val="es-ES" w:eastAsia="en-GB"/>
              </w:rPr>
              <w:t>)</w:t>
            </w:r>
          </w:p>
        </w:tc>
        <w:tc>
          <w:tcPr>
            <w:tcW w:w="1521" w:type="dxa"/>
            <w:vMerge w:val="restart"/>
            <w:tcBorders>
              <w:top w:val="nil"/>
              <w:left w:val="nil"/>
              <w:bottom w:val="single" w:sz="4" w:space="0" w:color="000000"/>
              <w:right w:val="single" w:sz="4" w:space="0" w:color="auto"/>
            </w:tcBorders>
            <w:shd w:val="clear" w:color="auto" w:fill="D6E3BC" w:themeFill="accent3" w:themeFillTint="66"/>
            <w:vAlign w:val="center"/>
            <w:hideMark/>
          </w:tcPr>
          <w:p w14:paraId="0320BAD1" w14:textId="6E59D24E" w:rsidR="003360DC" w:rsidRPr="002B17BF" w:rsidRDefault="007E27A5" w:rsidP="003360DC">
            <w:pPr>
              <w:ind w:left="0" w:firstLine="0"/>
              <w:jc w:val="center"/>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(E)=</w:t>
            </w:r>
            <w:r w:rsidR="003B5498" w:rsidRPr="002B17BF">
              <w:rPr>
                <w:rFonts w:eastAsia="Times New Roman" w:cs="Calibri"/>
                <w:b/>
                <w:bCs/>
                <w:noProof/>
                <w:color w:val="000000"/>
                <w:sz w:val="20"/>
                <w:szCs w:val="20"/>
                <w:lang w:val="es-ES" w:eastAsia="en-GB"/>
              </w:rPr>
              <w:t>(</w:t>
            </w:r>
            <w:r w:rsidR="003360DC" w:rsidRPr="002B17BF">
              <w:rPr>
                <w:rFonts w:eastAsia="Times New Roman" w:cs="Calibri"/>
                <w:b/>
                <w:bCs/>
                <w:noProof/>
                <w:color w:val="000000"/>
                <w:sz w:val="20"/>
                <w:szCs w:val="20"/>
                <w:lang w:val="es-ES" w:eastAsia="en-GB"/>
              </w:rPr>
              <w:t>A</w:t>
            </w:r>
            <w:r w:rsidR="003B5498" w:rsidRPr="002B17BF">
              <w:rPr>
                <w:rFonts w:eastAsia="Times New Roman" w:cs="Calibri"/>
                <w:b/>
                <w:bCs/>
                <w:noProof/>
                <w:color w:val="000000"/>
                <w:sz w:val="20"/>
                <w:szCs w:val="20"/>
                <w:lang w:val="es-ES" w:eastAsia="en-GB"/>
              </w:rPr>
              <w:t>)</w:t>
            </w:r>
            <w:r w:rsidR="003360DC" w:rsidRPr="002B17BF">
              <w:rPr>
                <w:rFonts w:eastAsia="Times New Roman" w:cs="Calibri"/>
                <w:b/>
                <w:bCs/>
                <w:noProof/>
                <w:color w:val="000000"/>
                <w:sz w:val="20"/>
                <w:szCs w:val="20"/>
                <w:lang w:val="es-ES" w:eastAsia="en-GB"/>
              </w:rPr>
              <w:t>+</w:t>
            </w:r>
            <w:r w:rsidR="003B5498" w:rsidRPr="002B17BF">
              <w:rPr>
                <w:rFonts w:eastAsia="Times New Roman" w:cs="Calibri"/>
                <w:b/>
                <w:bCs/>
                <w:noProof/>
                <w:color w:val="000000"/>
                <w:sz w:val="20"/>
                <w:szCs w:val="20"/>
                <w:lang w:val="es-ES" w:eastAsia="en-GB"/>
              </w:rPr>
              <w:t>(</w:t>
            </w:r>
            <w:r w:rsidR="003360DC" w:rsidRPr="002B17BF">
              <w:rPr>
                <w:rFonts w:eastAsia="Times New Roman" w:cs="Calibri"/>
                <w:b/>
                <w:bCs/>
                <w:noProof/>
                <w:color w:val="000000"/>
                <w:sz w:val="20"/>
                <w:szCs w:val="20"/>
                <w:lang w:val="es-ES" w:eastAsia="en-GB"/>
              </w:rPr>
              <w:t>B</w:t>
            </w:r>
            <w:r w:rsidR="003B5498" w:rsidRPr="002B17BF">
              <w:rPr>
                <w:rFonts w:eastAsia="Times New Roman" w:cs="Calibri"/>
                <w:b/>
                <w:bCs/>
                <w:noProof/>
                <w:color w:val="000000"/>
                <w:sz w:val="20"/>
                <w:szCs w:val="20"/>
                <w:lang w:val="es-ES" w:eastAsia="en-GB"/>
              </w:rPr>
              <w:t>)</w:t>
            </w:r>
            <w:r w:rsidR="003360DC" w:rsidRPr="002B17BF">
              <w:rPr>
                <w:rFonts w:eastAsia="Times New Roman" w:cs="Calibri"/>
                <w:b/>
                <w:bCs/>
                <w:noProof/>
                <w:color w:val="000000"/>
                <w:sz w:val="20"/>
                <w:szCs w:val="20"/>
                <w:lang w:val="es-ES" w:eastAsia="en-GB"/>
              </w:rPr>
              <w:t>+</w:t>
            </w:r>
            <w:r w:rsidR="003B5498" w:rsidRPr="002B17BF">
              <w:rPr>
                <w:rFonts w:eastAsia="Times New Roman" w:cs="Calibri"/>
                <w:b/>
                <w:bCs/>
                <w:noProof/>
                <w:color w:val="000000"/>
                <w:sz w:val="20"/>
                <w:szCs w:val="20"/>
                <w:lang w:val="es-ES" w:eastAsia="en-GB"/>
              </w:rPr>
              <w:t>(</w:t>
            </w:r>
            <w:r w:rsidR="003360DC" w:rsidRPr="002B17BF">
              <w:rPr>
                <w:rFonts w:eastAsia="Times New Roman" w:cs="Calibri"/>
                <w:b/>
                <w:bCs/>
                <w:noProof/>
                <w:color w:val="000000"/>
                <w:sz w:val="20"/>
                <w:szCs w:val="20"/>
                <w:lang w:val="es-ES" w:eastAsia="en-GB"/>
              </w:rPr>
              <w:t>C</w:t>
            </w:r>
            <w:r w:rsidR="003B5498" w:rsidRPr="002B17BF">
              <w:rPr>
                <w:rFonts w:eastAsia="Times New Roman" w:cs="Calibri"/>
                <w:b/>
                <w:bCs/>
                <w:noProof/>
                <w:color w:val="000000"/>
                <w:sz w:val="20"/>
                <w:szCs w:val="20"/>
                <w:lang w:val="es-ES" w:eastAsia="en-GB"/>
              </w:rPr>
              <w:t>)</w:t>
            </w:r>
            <w:r w:rsidR="003360DC" w:rsidRPr="002B17BF">
              <w:rPr>
                <w:rFonts w:eastAsia="Times New Roman" w:cs="Calibri"/>
                <w:b/>
                <w:bCs/>
                <w:noProof/>
                <w:color w:val="000000"/>
                <w:sz w:val="20"/>
                <w:szCs w:val="20"/>
                <w:lang w:val="es-ES" w:eastAsia="en-GB"/>
              </w:rPr>
              <w:t>+</w:t>
            </w:r>
            <w:r w:rsidR="003B5498" w:rsidRPr="002B17BF">
              <w:rPr>
                <w:rFonts w:eastAsia="Times New Roman" w:cs="Calibri"/>
                <w:b/>
                <w:bCs/>
                <w:noProof/>
                <w:color w:val="000000"/>
                <w:sz w:val="20"/>
                <w:szCs w:val="20"/>
                <w:lang w:val="es-ES" w:eastAsia="en-GB"/>
              </w:rPr>
              <w:t>(</w:t>
            </w:r>
            <w:r w:rsidRPr="002B17BF">
              <w:rPr>
                <w:rFonts w:eastAsia="Times New Roman" w:cs="Calibri"/>
                <w:b/>
                <w:bCs/>
                <w:noProof/>
                <w:color w:val="000000"/>
                <w:sz w:val="20"/>
                <w:szCs w:val="20"/>
                <w:lang w:val="es-ES" w:eastAsia="en-GB"/>
              </w:rPr>
              <w:t>D</w:t>
            </w:r>
            <w:r w:rsidR="003B5498" w:rsidRPr="002B17BF">
              <w:rPr>
                <w:rFonts w:eastAsia="Times New Roman" w:cs="Calibri"/>
                <w:b/>
                <w:bCs/>
                <w:noProof/>
                <w:color w:val="000000"/>
                <w:sz w:val="20"/>
                <w:szCs w:val="20"/>
                <w:lang w:val="es-ES" w:eastAsia="en-GB"/>
              </w:rPr>
              <w:t>)</w:t>
            </w:r>
          </w:p>
        </w:tc>
      </w:tr>
      <w:tr w:rsidR="003360DC" w:rsidRPr="002B17BF" w14:paraId="5EA1E8E4" w14:textId="77777777" w:rsidTr="00223E58">
        <w:trPr>
          <w:trHeight w:val="70"/>
          <w:tblHeader/>
        </w:trPr>
        <w:tc>
          <w:tcPr>
            <w:tcW w:w="4792" w:type="dxa"/>
            <w:tcBorders>
              <w:top w:val="nil"/>
              <w:left w:val="single" w:sz="4" w:space="0" w:color="auto"/>
              <w:bottom w:val="single" w:sz="4" w:space="0" w:color="auto"/>
              <w:right w:val="nil"/>
            </w:tcBorders>
            <w:shd w:val="clear" w:color="000000" w:fill="D6E3BC"/>
            <w:vAlign w:val="center"/>
            <w:hideMark/>
          </w:tcPr>
          <w:p w14:paraId="667BD06C" w14:textId="77777777" w:rsidR="003360DC" w:rsidRPr="002B17BF" w:rsidRDefault="003360DC" w:rsidP="003360DC">
            <w:pPr>
              <w:ind w:left="0" w:firstLine="0"/>
              <w:rPr>
                <w:rFonts w:ascii="Arial" w:eastAsia="Times New Roman" w:hAnsi="Arial" w:cs="Arial"/>
                <w:noProof/>
                <w:color w:val="000000"/>
                <w:sz w:val="20"/>
                <w:szCs w:val="20"/>
                <w:lang w:val="es-ES" w:eastAsia="en-GB"/>
              </w:rPr>
            </w:pPr>
            <w:r w:rsidRPr="002B17BF">
              <w:rPr>
                <w:rFonts w:ascii="Arial" w:eastAsia="Times New Roman" w:hAnsi="Arial" w:cs="Arial"/>
                <w:noProof/>
                <w:color w:val="000000"/>
                <w:sz w:val="20"/>
                <w:szCs w:val="20"/>
                <w:lang w:val="es-ES" w:eastAsia="en-GB"/>
              </w:rPr>
              <w:t> </w:t>
            </w:r>
          </w:p>
        </w:tc>
        <w:tc>
          <w:tcPr>
            <w:tcW w:w="1521" w:type="dxa"/>
            <w:vMerge/>
            <w:tcBorders>
              <w:top w:val="nil"/>
              <w:left w:val="single" w:sz="4" w:space="0" w:color="auto"/>
              <w:bottom w:val="single" w:sz="4" w:space="0" w:color="000000"/>
              <w:right w:val="single" w:sz="4" w:space="0" w:color="auto"/>
            </w:tcBorders>
            <w:vAlign w:val="center"/>
            <w:hideMark/>
          </w:tcPr>
          <w:p w14:paraId="36F7B369" w14:textId="77777777" w:rsidR="003360DC" w:rsidRPr="002B17BF" w:rsidRDefault="003360DC" w:rsidP="003360DC">
            <w:pPr>
              <w:ind w:left="0" w:firstLine="0"/>
              <w:rPr>
                <w:rFonts w:eastAsia="Times New Roman" w:cs="Calibri"/>
                <w:b/>
                <w:bCs/>
                <w:noProof/>
                <w:color w:val="000000"/>
                <w:sz w:val="20"/>
                <w:szCs w:val="20"/>
                <w:lang w:val="es-ES" w:eastAsia="en-GB"/>
              </w:rPr>
            </w:pPr>
          </w:p>
        </w:tc>
        <w:tc>
          <w:tcPr>
            <w:tcW w:w="1521" w:type="dxa"/>
            <w:vMerge/>
            <w:tcBorders>
              <w:top w:val="nil"/>
              <w:left w:val="single" w:sz="4" w:space="0" w:color="auto"/>
              <w:bottom w:val="single" w:sz="4" w:space="0" w:color="000000"/>
              <w:right w:val="single" w:sz="4" w:space="0" w:color="auto"/>
            </w:tcBorders>
            <w:vAlign w:val="center"/>
            <w:hideMark/>
          </w:tcPr>
          <w:p w14:paraId="57AAA227" w14:textId="77777777" w:rsidR="003360DC" w:rsidRPr="002B17BF" w:rsidRDefault="003360DC" w:rsidP="003360DC">
            <w:pPr>
              <w:ind w:left="0" w:firstLine="0"/>
              <w:rPr>
                <w:rFonts w:eastAsia="Times New Roman" w:cs="Calibri"/>
                <w:b/>
                <w:bCs/>
                <w:noProof/>
                <w:color w:val="000000"/>
                <w:sz w:val="20"/>
                <w:szCs w:val="20"/>
                <w:lang w:val="es-ES" w:eastAsia="en-GB"/>
              </w:rPr>
            </w:pPr>
          </w:p>
        </w:tc>
        <w:tc>
          <w:tcPr>
            <w:tcW w:w="1521" w:type="dxa"/>
            <w:vMerge/>
            <w:tcBorders>
              <w:top w:val="nil"/>
              <w:left w:val="single" w:sz="4" w:space="0" w:color="auto"/>
              <w:bottom w:val="single" w:sz="4" w:space="0" w:color="000000"/>
              <w:right w:val="single" w:sz="4" w:space="0" w:color="auto"/>
            </w:tcBorders>
            <w:vAlign w:val="center"/>
            <w:hideMark/>
          </w:tcPr>
          <w:p w14:paraId="481B984C" w14:textId="77777777" w:rsidR="003360DC" w:rsidRPr="002B17BF" w:rsidRDefault="003360DC" w:rsidP="003360DC">
            <w:pPr>
              <w:ind w:left="0" w:firstLine="0"/>
              <w:rPr>
                <w:rFonts w:eastAsia="Times New Roman" w:cs="Calibri"/>
                <w:b/>
                <w:bCs/>
                <w:noProof/>
                <w:color w:val="000000"/>
                <w:sz w:val="20"/>
                <w:szCs w:val="20"/>
                <w:lang w:val="es-ES" w:eastAsia="en-GB"/>
              </w:rPr>
            </w:pPr>
          </w:p>
        </w:tc>
        <w:tc>
          <w:tcPr>
            <w:tcW w:w="1521" w:type="dxa"/>
            <w:vMerge/>
            <w:tcBorders>
              <w:top w:val="nil"/>
              <w:left w:val="nil"/>
              <w:bottom w:val="single" w:sz="4" w:space="0" w:color="000000"/>
              <w:right w:val="single" w:sz="4" w:space="0" w:color="auto"/>
            </w:tcBorders>
            <w:shd w:val="clear" w:color="auto" w:fill="D6E3BC" w:themeFill="accent3" w:themeFillTint="66"/>
            <w:vAlign w:val="center"/>
            <w:hideMark/>
          </w:tcPr>
          <w:p w14:paraId="65AE6530" w14:textId="77777777" w:rsidR="003360DC" w:rsidRPr="002B17BF" w:rsidRDefault="003360DC" w:rsidP="003360DC">
            <w:pPr>
              <w:ind w:left="0" w:firstLine="0"/>
              <w:rPr>
                <w:rFonts w:eastAsia="Times New Roman" w:cs="Calibri"/>
                <w:b/>
                <w:bCs/>
                <w:noProof/>
                <w:color w:val="000000"/>
                <w:sz w:val="20"/>
                <w:szCs w:val="20"/>
                <w:lang w:val="es-ES" w:eastAsia="en-GB"/>
              </w:rPr>
            </w:pPr>
          </w:p>
        </w:tc>
        <w:tc>
          <w:tcPr>
            <w:tcW w:w="1521" w:type="dxa"/>
            <w:vMerge/>
            <w:tcBorders>
              <w:top w:val="nil"/>
              <w:left w:val="nil"/>
              <w:bottom w:val="single" w:sz="4" w:space="0" w:color="000000"/>
              <w:right w:val="single" w:sz="4" w:space="0" w:color="auto"/>
            </w:tcBorders>
            <w:shd w:val="clear" w:color="auto" w:fill="D6E3BC" w:themeFill="accent3" w:themeFillTint="66"/>
            <w:vAlign w:val="center"/>
            <w:hideMark/>
          </w:tcPr>
          <w:p w14:paraId="6E6CCA83" w14:textId="77777777" w:rsidR="003360DC" w:rsidRPr="002B17BF" w:rsidRDefault="003360DC" w:rsidP="003360DC">
            <w:pPr>
              <w:ind w:left="0" w:firstLine="0"/>
              <w:rPr>
                <w:rFonts w:eastAsia="Times New Roman" w:cs="Calibri"/>
                <w:b/>
                <w:bCs/>
                <w:noProof/>
                <w:color w:val="000000"/>
                <w:sz w:val="20"/>
                <w:szCs w:val="20"/>
                <w:lang w:val="es-ES" w:eastAsia="en-GB"/>
              </w:rPr>
            </w:pPr>
          </w:p>
        </w:tc>
      </w:tr>
      <w:tr w:rsidR="008A236E" w:rsidRPr="002B17BF" w14:paraId="41EAA2AA" w14:textId="77777777" w:rsidTr="00223E58">
        <w:trPr>
          <w:trHeight w:val="270"/>
        </w:trPr>
        <w:tc>
          <w:tcPr>
            <w:tcW w:w="4792" w:type="dxa"/>
            <w:tcBorders>
              <w:top w:val="single" w:sz="4" w:space="0" w:color="auto"/>
              <w:left w:val="single" w:sz="4" w:space="0" w:color="auto"/>
              <w:bottom w:val="single" w:sz="4" w:space="0" w:color="auto"/>
              <w:right w:val="nil"/>
            </w:tcBorders>
            <w:shd w:val="clear" w:color="auto" w:fill="auto"/>
            <w:noWrap/>
            <w:vAlign w:val="center"/>
            <w:hideMark/>
          </w:tcPr>
          <w:p w14:paraId="047062DA" w14:textId="670A0A6E" w:rsidR="008A236E" w:rsidRPr="002B17BF" w:rsidRDefault="008A236E" w:rsidP="008A236E">
            <w:pPr>
              <w:ind w:left="0" w:firstLine="0"/>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INGRESOS</w:t>
            </w:r>
          </w:p>
        </w:tc>
        <w:tc>
          <w:tcPr>
            <w:tcW w:w="1521" w:type="dxa"/>
            <w:tcBorders>
              <w:top w:val="nil"/>
              <w:left w:val="nil"/>
              <w:bottom w:val="nil"/>
              <w:right w:val="nil"/>
            </w:tcBorders>
            <w:shd w:val="clear" w:color="auto" w:fill="auto"/>
            <w:noWrap/>
            <w:vAlign w:val="center"/>
            <w:hideMark/>
          </w:tcPr>
          <w:p w14:paraId="668CE783" w14:textId="77777777" w:rsidR="008A236E" w:rsidRPr="002B17BF" w:rsidRDefault="008A236E" w:rsidP="008A236E">
            <w:pPr>
              <w:ind w:left="0" w:firstLine="0"/>
              <w:rPr>
                <w:rFonts w:eastAsia="Times New Roman" w:cs="Calibri"/>
                <w:b/>
                <w:bCs/>
                <w:noProof/>
                <w:color w:val="000000"/>
                <w:sz w:val="20"/>
                <w:szCs w:val="20"/>
                <w:lang w:val="es-ES" w:eastAsia="en-GB"/>
              </w:rPr>
            </w:pPr>
          </w:p>
        </w:tc>
        <w:tc>
          <w:tcPr>
            <w:tcW w:w="1521" w:type="dxa"/>
            <w:tcBorders>
              <w:top w:val="nil"/>
              <w:left w:val="nil"/>
              <w:bottom w:val="nil"/>
              <w:right w:val="nil"/>
            </w:tcBorders>
            <w:shd w:val="clear" w:color="auto" w:fill="auto"/>
            <w:noWrap/>
            <w:vAlign w:val="center"/>
            <w:hideMark/>
          </w:tcPr>
          <w:p w14:paraId="469A6DC6" w14:textId="77777777" w:rsidR="008A236E" w:rsidRPr="002B17BF" w:rsidRDefault="008A236E" w:rsidP="008A236E">
            <w:pPr>
              <w:ind w:left="0" w:firstLine="0"/>
              <w:rPr>
                <w:rFonts w:ascii="Times New Roman" w:eastAsia="Times New Roman" w:hAnsi="Times New Roman"/>
                <w:noProof/>
                <w:sz w:val="20"/>
                <w:szCs w:val="20"/>
                <w:lang w:val="es-ES" w:eastAsia="en-GB"/>
              </w:rPr>
            </w:pPr>
          </w:p>
        </w:tc>
        <w:tc>
          <w:tcPr>
            <w:tcW w:w="1521" w:type="dxa"/>
            <w:tcBorders>
              <w:top w:val="nil"/>
              <w:left w:val="single" w:sz="4" w:space="0" w:color="auto"/>
              <w:bottom w:val="nil"/>
              <w:right w:val="nil"/>
            </w:tcBorders>
            <w:shd w:val="clear" w:color="auto" w:fill="auto"/>
            <w:noWrap/>
            <w:vAlign w:val="bottom"/>
            <w:hideMark/>
          </w:tcPr>
          <w:p w14:paraId="2D720EF6" w14:textId="77777777" w:rsidR="008A236E" w:rsidRPr="002B17BF" w:rsidRDefault="008A236E" w:rsidP="008A236E">
            <w:pPr>
              <w:ind w:left="0" w:firstLine="0"/>
              <w:rPr>
                <w:rFonts w:ascii="Arial" w:eastAsia="Times New Roman" w:hAnsi="Arial" w:cs="Arial"/>
                <w:noProof/>
                <w:color w:val="000000"/>
                <w:sz w:val="20"/>
                <w:szCs w:val="20"/>
                <w:lang w:val="es-ES" w:eastAsia="en-GB"/>
              </w:rPr>
            </w:pPr>
            <w:r w:rsidRPr="002B17BF">
              <w:rPr>
                <w:rFonts w:ascii="Arial" w:eastAsia="Times New Roman" w:hAnsi="Arial" w:cs="Arial"/>
                <w:noProof/>
                <w:color w:val="000000"/>
                <w:sz w:val="20"/>
                <w:szCs w:val="20"/>
                <w:lang w:val="es-ES" w:eastAsia="en-GB"/>
              </w:rPr>
              <w:t> </w:t>
            </w:r>
          </w:p>
        </w:tc>
        <w:tc>
          <w:tcPr>
            <w:tcW w:w="1521" w:type="dxa"/>
            <w:tcBorders>
              <w:top w:val="nil"/>
              <w:left w:val="nil"/>
              <w:bottom w:val="nil"/>
              <w:right w:val="nil"/>
            </w:tcBorders>
            <w:shd w:val="clear" w:color="auto" w:fill="auto"/>
            <w:noWrap/>
            <w:vAlign w:val="bottom"/>
            <w:hideMark/>
          </w:tcPr>
          <w:p w14:paraId="0BB4B888" w14:textId="77777777" w:rsidR="008A236E" w:rsidRPr="002B17BF" w:rsidRDefault="008A236E" w:rsidP="008A236E">
            <w:pPr>
              <w:ind w:left="0" w:firstLine="0"/>
              <w:rPr>
                <w:rFonts w:ascii="Arial" w:eastAsia="Times New Roman" w:hAnsi="Arial" w:cs="Arial"/>
                <w:noProof/>
                <w:color w:val="000000"/>
                <w:sz w:val="20"/>
                <w:szCs w:val="20"/>
                <w:lang w:val="es-ES" w:eastAsia="en-GB"/>
              </w:rPr>
            </w:pPr>
          </w:p>
        </w:tc>
        <w:tc>
          <w:tcPr>
            <w:tcW w:w="1521" w:type="dxa"/>
            <w:tcBorders>
              <w:top w:val="nil"/>
              <w:left w:val="nil"/>
              <w:bottom w:val="nil"/>
              <w:right w:val="nil"/>
            </w:tcBorders>
            <w:shd w:val="clear" w:color="auto" w:fill="auto"/>
            <w:noWrap/>
            <w:vAlign w:val="bottom"/>
            <w:hideMark/>
          </w:tcPr>
          <w:p w14:paraId="2F17DF9F" w14:textId="77777777" w:rsidR="008A236E" w:rsidRPr="002B17BF" w:rsidRDefault="008A236E" w:rsidP="008A236E">
            <w:pPr>
              <w:ind w:left="0" w:firstLine="0"/>
              <w:rPr>
                <w:rFonts w:ascii="Times New Roman" w:eastAsia="Times New Roman" w:hAnsi="Times New Roman"/>
                <w:noProof/>
                <w:sz w:val="20"/>
                <w:szCs w:val="20"/>
                <w:lang w:val="es-ES" w:eastAsia="en-GB"/>
              </w:rPr>
            </w:pPr>
          </w:p>
        </w:tc>
      </w:tr>
      <w:tr w:rsidR="008A236E" w:rsidRPr="002B17BF" w14:paraId="0461D59E" w14:textId="77777777" w:rsidTr="00223E5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616F2DAC" w14:textId="175EB202" w:rsidR="008A236E" w:rsidRPr="002B17BF" w:rsidRDefault="008A236E" w:rsidP="008A236E">
            <w:pPr>
              <w:ind w:left="0" w:firstLine="0"/>
              <w:rPr>
                <w:rFonts w:eastAsia="Times New Roman" w:cs="Calibri"/>
                <w:noProof/>
                <w:color w:val="000000"/>
                <w:sz w:val="20"/>
                <w:szCs w:val="20"/>
                <w:lang w:val="es-ES" w:eastAsia="en-GB"/>
              </w:rPr>
            </w:pPr>
            <w:r w:rsidRPr="002B17BF">
              <w:rPr>
                <w:noProof/>
                <w:color w:val="000000"/>
                <w:sz w:val="20"/>
                <w:lang w:val="es-ES"/>
              </w:rPr>
              <w:t>Contribuciones de las Partes</w:t>
            </w:r>
          </w:p>
        </w:tc>
        <w:tc>
          <w:tcPr>
            <w:tcW w:w="1521" w:type="dxa"/>
            <w:tcBorders>
              <w:top w:val="single" w:sz="4" w:space="0" w:color="auto"/>
              <w:left w:val="nil"/>
              <w:bottom w:val="single" w:sz="4" w:space="0" w:color="auto"/>
              <w:right w:val="single" w:sz="4" w:space="0" w:color="auto"/>
            </w:tcBorders>
            <w:shd w:val="clear" w:color="auto" w:fill="auto"/>
            <w:noWrap/>
            <w:vAlign w:val="center"/>
            <w:hideMark/>
          </w:tcPr>
          <w:p w14:paraId="0137F821" w14:textId="74859D2D" w:rsidR="008A236E" w:rsidRPr="002B17BF" w:rsidRDefault="008A236E" w:rsidP="008A236E">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3</w:t>
            </w:r>
            <w:r w:rsidR="003520F6">
              <w:rPr>
                <w:rFonts w:eastAsia="Times New Roman" w:cs="Calibri"/>
                <w:noProof/>
                <w:color w:val="000000"/>
                <w:sz w:val="20"/>
                <w:szCs w:val="20"/>
                <w:lang w:val="es-ES" w:eastAsia="en-GB"/>
              </w:rPr>
              <w:t xml:space="preserve"> </w:t>
            </w:r>
            <w:r w:rsidRPr="002B17BF">
              <w:rPr>
                <w:rFonts w:eastAsia="Times New Roman" w:cs="Calibri"/>
                <w:noProof/>
                <w:color w:val="000000"/>
                <w:sz w:val="20"/>
                <w:szCs w:val="20"/>
                <w:lang w:val="es-ES" w:eastAsia="en-GB"/>
              </w:rPr>
              <w:t>779</w:t>
            </w:r>
          </w:p>
        </w:tc>
        <w:tc>
          <w:tcPr>
            <w:tcW w:w="1521" w:type="dxa"/>
            <w:tcBorders>
              <w:top w:val="single" w:sz="4" w:space="0" w:color="auto"/>
              <w:left w:val="nil"/>
              <w:bottom w:val="single" w:sz="4" w:space="0" w:color="auto"/>
              <w:right w:val="single" w:sz="4" w:space="0" w:color="auto"/>
            </w:tcBorders>
            <w:shd w:val="clear" w:color="auto" w:fill="auto"/>
            <w:noWrap/>
            <w:vAlign w:val="center"/>
            <w:hideMark/>
          </w:tcPr>
          <w:p w14:paraId="5B36B8E4" w14:textId="77777777" w:rsidR="008A236E" w:rsidRPr="002B17BF" w:rsidRDefault="008A236E" w:rsidP="008A236E">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0</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FF7CA" w14:textId="77777777" w:rsidR="008A236E" w:rsidRPr="002B17BF" w:rsidRDefault="008A236E" w:rsidP="008A236E">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0</w:t>
            </w:r>
          </w:p>
        </w:tc>
        <w:tc>
          <w:tcPr>
            <w:tcW w:w="1521" w:type="dxa"/>
            <w:tcBorders>
              <w:top w:val="single" w:sz="4" w:space="0" w:color="auto"/>
              <w:left w:val="nil"/>
              <w:bottom w:val="single" w:sz="4" w:space="0" w:color="auto"/>
              <w:right w:val="single" w:sz="4" w:space="0" w:color="auto"/>
            </w:tcBorders>
            <w:shd w:val="clear" w:color="auto" w:fill="auto"/>
            <w:noWrap/>
            <w:vAlign w:val="center"/>
            <w:hideMark/>
          </w:tcPr>
          <w:p w14:paraId="45B1FA71" w14:textId="0DCA3DBA" w:rsidR="008A236E" w:rsidRPr="002B17BF" w:rsidRDefault="008A236E" w:rsidP="008A236E">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0</w:t>
            </w:r>
          </w:p>
        </w:tc>
        <w:tc>
          <w:tcPr>
            <w:tcW w:w="1521" w:type="dxa"/>
            <w:tcBorders>
              <w:top w:val="single" w:sz="4" w:space="0" w:color="auto"/>
              <w:left w:val="nil"/>
              <w:bottom w:val="single" w:sz="4" w:space="0" w:color="auto"/>
              <w:right w:val="single" w:sz="4" w:space="0" w:color="auto"/>
            </w:tcBorders>
            <w:shd w:val="clear" w:color="auto" w:fill="auto"/>
            <w:noWrap/>
            <w:vAlign w:val="center"/>
            <w:hideMark/>
          </w:tcPr>
          <w:p w14:paraId="57E196C5" w14:textId="2267B403" w:rsidR="008A236E" w:rsidRPr="002B17BF" w:rsidRDefault="008A236E" w:rsidP="008A236E">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3</w:t>
            </w:r>
            <w:r w:rsidR="003520F6">
              <w:rPr>
                <w:rFonts w:eastAsia="Times New Roman" w:cs="Calibri"/>
                <w:noProof/>
                <w:color w:val="000000"/>
                <w:sz w:val="20"/>
                <w:szCs w:val="20"/>
                <w:lang w:val="es-ES" w:eastAsia="en-GB"/>
              </w:rPr>
              <w:t xml:space="preserve"> </w:t>
            </w:r>
            <w:r w:rsidRPr="002B17BF">
              <w:rPr>
                <w:rFonts w:eastAsia="Times New Roman" w:cs="Calibri"/>
                <w:noProof/>
                <w:color w:val="000000"/>
                <w:sz w:val="20"/>
                <w:szCs w:val="20"/>
                <w:lang w:val="es-ES" w:eastAsia="en-GB"/>
              </w:rPr>
              <w:t>779</w:t>
            </w:r>
          </w:p>
        </w:tc>
      </w:tr>
      <w:tr w:rsidR="008A236E" w:rsidRPr="002B17BF" w14:paraId="46EC2EEF" w14:textId="77777777" w:rsidTr="00223E5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384CBDE7" w14:textId="6E15989C" w:rsidR="008A236E" w:rsidRPr="002B17BF" w:rsidRDefault="008A236E" w:rsidP="008A236E">
            <w:pPr>
              <w:ind w:left="0" w:firstLine="0"/>
              <w:rPr>
                <w:rFonts w:eastAsia="Times New Roman" w:cs="Calibri"/>
                <w:noProof/>
                <w:color w:val="000000"/>
                <w:sz w:val="20"/>
                <w:szCs w:val="20"/>
                <w:lang w:val="es-ES" w:eastAsia="en-GB"/>
              </w:rPr>
            </w:pPr>
            <w:r w:rsidRPr="002B17BF">
              <w:rPr>
                <w:noProof/>
                <w:color w:val="000000"/>
                <w:sz w:val="20"/>
                <w:lang w:val="es-ES"/>
              </w:rPr>
              <w:t>Contribuciones voluntarias</w:t>
            </w:r>
          </w:p>
        </w:tc>
        <w:tc>
          <w:tcPr>
            <w:tcW w:w="1521" w:type="dxa"/>
            <w:tcBorders>
              <w:top w:val="nil"/>
              <w:left w:val="nil"/>
              <w:bottom w:val="single" w:sz="4" w:space="0" w:color="auto"/>
              <w:right w:val="single" w:sz="4" w:space="0" w:color="auto"/>
            </w:tcBorders>
            <w:shd w:val="clear" w:color="auto" w:fill="auto"/>
            <w:noWrap/>
            <w:vAlign w:val="center"/>
            <w:hideMark/>
          </w:tcPr>
          <w:p w14:paraId="731E26E6" w14:textId="43EBB6AE" w:rsidR="008A236E" w:rsidRPr="002B17BF" w:rsidRDefault="008A236E" w:rsidP="008A236E">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1</w:t>
            </w:r>
            <w:r w:rsidR="003520F6">
              <w:rPr>
                <w:rFonts w:eastAsia="Times New Roman" w:cs="Calibri"/>
                <w:noProof/>
                <w:color w:val="000000"/>
                <w:sz w:val="20"/>
                <w:szCs w:val="20"/>
                <w:lang w:val="es-ES" w:eastAsia="en-GB"/>
              </w:rPr>
              <w:t xml:space="preserve"> </w:t>
            </w:r>
            <w:r w:rsidRPr="002B17BF">
              <w:rPr>
                <w:rFonts w:eastAsia="Times New Roman" w:cs="Calibri"/>
                <w:noProof/>
                <w:color w:val="000000"/>
                <w:sz w:val="20"/>
                <w:szCs w:val="20"/>
                <w:lang w:val="es-ES" w:eastAsia="en-GB"/>
              </w:rPr>
              <w:t>065</w:t>
            </w:r>
          </w:p>
        </w:tc>
        <w:tc>
          <w:tcPr>
            <w:tcW w:w="1521" w:type="dxa"/>
            <w:tcBorders>
              <w:top w:val="nil"/>
              <w:left w:val="nil"/>
              <w:bottom w:val="single" w:sz="4" w:space="0" w:color="auto"/>
              <w:right w:val="single" w:sz="4" w:space="0" w:color="auto"/>
            </w:tcBorders>
            <w:shd w:val="clear" w:color="auto" w:fill="auto"/>
            <w:noWrap/>
            <w:vAlign w:val="center"/>
            <w:hideMark/>
          </w:tcPr>
          <w:p w14:paraId="66C7398B" w14:textId="77777777" w:rsidR="008A236E" w:rsidRPr="002B17BF" w:rsidRDefault="008A236E" w:rsidP="008A236E">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0</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03F76A3C" w14:textId="77777777" w:rsidR="008A236E" w:rsidRPr="002B17BF" w:rsidRDefault="008A236E" w:rsidP="008A236E">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0</w:t>
            </w:r>
          </w:p>
        </w:tc>
        <w:tc>
          <w:tcPr>
            <w:tcW w:w="1521" w:type="dxa"/>
            <w:tcBorders>
              <w:top w:val="nil"/>
              <w:left w:val="nil"/>
              <w:bottom w:val="single" w:sz="4" w:space="0" w:color="auto"/>
              <w:right w:val="single" w:sz="4" w:space="0" w:color="auto"/>
            </w:tcBorders>
            <w:shd w:val="clear" w:color="auto" w:fill="auto"/>
            <w:noWrap/>
            <w:vAlign w:val="center"/>
            <w:hideMark/>
          </w:tcPr>
          <w:p w14:paraId="45B32004" w14:textId="275C4869" w:rsidR="008A236E" w:rsidRPr="002B17BF" w:rsidRDefault="008A236E" w:rsidP="008A236E">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0</w:t>
            </w:r>
          </w:p>
        </w:tc>
        <w:tc>
          <w:tcPr>
            <w:tcW w:w="1521" w:type="dxa"/>
            <w:tcBorders>
              <w:top w:val="nil"/>
              <w:left w:val="nil"/>
              <w:bottom w:val="single" w:sz="4" w:space="0" w:color="auto"/>
              <w:right w:val="single" w:sz="4" w:space="0" w:color="auto"/>
            </w:tcBorders>
            <w:shd w:val="clear" w:color="auto" w:fill="auto"/>
            <w:noWrap/>
            <w:vAlign w:val="center"/>
            <w:hideMark/>
          </w:tcPr>
          <w:p w14:paraId="03E01758" w14:textId="64B96D68" w:rsidR="008A236E" w:rsidRPr="002B17BF" w:rsidRDefault="008A236E" w:rsidP="008A236E">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1</w:t>
            </w:r>
            <w:r w:rsidR="003520F6">
              <w:rPr>
                <w:rFonts w:eastAsia="Times New Roman" w:cs="Calibri"/>
                <w:noProof/>
                <w:color w:val="000000"/>
                <w:sz w:val="20"/>
                <w:szCs w:val="20"/>
                <w:lang w:val="es-ES" w:eastAsia="en-GB"/>
              </w:rPr>
              <w:t xml:space="preserve"> </w:t>
            </w:r>
            <w:r w:rsidRPr="002B17BF">
              <w:rPr>
                <w:rFonts w:eastAsia="Times New Roman" w:cs="Calibri"/>
                <w:noProof/>
                <w:color w:val="000000"/>
                <w:sz w:val="20"/>
                <w:szCs w:val="20"/>
                <w:lang w:val="es-ES" w:eastAsia="en-GB"/>
              </w:rPr>
              <w:t>065</w:t>
            </w:r>
          </w:p>
        </w:tc>
      </w:tr>
      <w:tr w:rsidR="008A236E" w:rsidRPr="002B17BF" w14:paraId="45BB0A11" w14:textId="77777777" w:rsidTr="00223E5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6DD167DB" w14:textId="26169805" w:rsidR="008A236E" w:rsidRPr="002B17BF" w:rsidRDefault="008A236E" w:rsidP="008A236E">
            <w:pPr>
              <w:ind w:left="0" w:firstLine="0"/>
              <w:rPr>
                <w:rFonts w:eastAsia="Times New Roman" w:cs="Calibri"/>
                <w:noProof/>
                <w:color w:val="000000"/>
                <w:sz w:val="20"/>
                <w:szCs w:val="20"/>
                <w:lang w:val="es-ES" w:eastAsia="en-GB"/>
              </w:rPr>
            </w:pPr>
            <w:r w:rsidRPr="002B17BF">
              <w:rPr>
                <w:noProof/>
                <w:color w:val="000000"/>
                <w:sz w:val="20"/>
                <w:lang w:val="es-ES"/>
              </w:rPr>
              <w:t>Impuesto sobre la renta</w:t>
            </w:r>
          </w:p>
        </w:tc>
        <w:tc>
          <w:tcPr>
            <w:tcW w:w="1521" w:type="dxa"/>
            <w:tcBorders>
              <w:top w:val="nil"/>
              <w:left w:val="nil"/>
              <w:bottom w:val="single" w:sz="4" w:space="0" w:color="auto"/>
              <w:right w:val="single" w:sz="4" w:space="0" w:color="auto"/>
            </w:tcBorders>
            <w:shd w:val="clear" w:color="auto" w:fill="auto"/>
            <w:noWrap/>
            <w:vAlign w:val="center"/>
            <w:hideMark/>
          </w:tcPr>
          <w:p w14:paraId="158A1F04" w14:textId="77777777" w:rsidR="008A236E" w:rsidRPr="002B17BF" w:rsidRDefault="008A236E" w:rsidP="008A236E">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225</w:t>
            </w:r>
          </w:p>
        </w:tc>
        <w:tc>
          <w:tcPr>
            <w:tcW w:w="1521" w:type="dxa"/>
            <w:tcBorders>
              <w:top w:val="nil"/>
              <w:left w:val="nil"/>
              <w:bottom w:val="single" w:sz="4" w:space="0" w:color="auto"/>
              <w:right w:val="single" w:sz="4" w:space="0" w:color="auto"/>
            </w:tcBorders>
            <w:shd w:val="clear" w:color="auto" w:fill="auto"/>
            <w:noWrap/>
            <w:vAlign w:val="center"/>
            <w:hideMark/>
          </w:tcPr>
          <w:p w14:paraId="6ED4AA00" w14:textId="77777777" w:rsidR="008A236E" w:rsidRPr="002B17BF" w:rsidRDefault="008A236E" w:rsidP="008A236E">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0</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6F8AC220" w14:textId="77777777" w:rsidR="008A236E" w:rsidRPr="002B17BF" w:rsidRDefault="008A236E" w:rsidP="008A236E">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0</w:t>
            </w:r>
          </w:p>
        </w:tc>
        <w:tc>
          <w:tcPr>
            <w:tcW w:w="1521" w:type="dxa"/>
            <w:tcBorders>
              <w:top w:val="nil"/>
              <w:left w:val="nil"/>
              <w:bottom w:val="single" w:sz="4" w:space="0" w:color="auto"/>
              <w:right w:val="single" w:sz="4" w:space="0" w:color="auto"/>
            </w:tcBorders>
            <w:shd w:val="clear" w:color="auto" w:fill="auto"/>
            <w:noWrap/>
            <w:vAlign w:val="center"/>
            <w:hideMark/>
          </w:tcPr>
          <w:p w14:paraId="394636D8" w14:textId="6DE5BC8D" w:rsidR="008A236E" w:rsidRPr="002B17BF" w:rsidRDefault="008A236E" w:rsidP="008A236E">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0</w:t>
            </w:r>
          </w:p>
        </w:tc>
        <w:tc>
          <w:tcPr>
            <w:tcW w:w="1521" w:type="dxa"/>
            <w:tcBorders>
              <w:top w:val="nil"/>
              <w:left w:val="nil"/>
              <w:bottom w:val="single" w:sz="4" w:space="0" w:color="auto"/>
              <w:right w:val="single" w:sz="4" w:space="0" w:color="auto"/>
            </w:tcBorders>
            <w:shd w:val="clear" w:color="auto" w:fill="auto"/>
            <w:noWrap/>
            <w:vAlign w:val="center"/>
            <w:hideMark/>
          </w:tcPr>
          <w:p w14:paraId="55B2C1A0" w14:textId="454B9280" w:rsidR="008A236E" w:rsidRPr="002B17BF" w:rsidRDefault="008A236E" w:rsidP="008A236E">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225</w:t>
            </w:r>
          </w:p>
        </w:tc>
      </w:tr>
      <w:tr w:rsidR="008A236E" w:rsidRPr="002B17BF" w14:paraId="4516706A" w14:textId="77777777" w:rsidTr="00223E5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337DFA14" w14:textId="6F6926BB" w:rsidR="008A236E" w:rsidRPr="002B17BF" w:rsidRDefault="008A236E" w:rsidP="008A236E">
            <w:pPr>
              <w:ind w:left="0" w:firstLine="0"/>
              <w:rPr>
                <w:rFonts w:eastAsia="Times New Roman" w:cs="Calibri"/>
                <w:noProof/>
                <w:color w:val="000000"/>
                <w:sz w:val="20"/>
                <w:szCs w:val="20"/>
                <w:lang w:val="es-ES" w:eastAsia="en-GB"/>
              </w:rPr>
            </w:pPr>
            <w:r w:rsidRPr="002B17BF">
              <w:rPr>
                <w:noProof/>
                <w:color w:val="000000"/>
                <w:sz w:val="20"/>
                <w:lang w:val="es-ES"/>
              </w:rPr>
              <w:t>Otros ingresos (incluyendo ingresos por intereses)</w:t>
            </w:r>
          </w:p>
        </w:tc>
        <w:tc>
          <w:tcPr>
            <w:tcW w:w="1521" w:type="dxa"/>
            <w:tcBorders>
              <w:top w:val="nil"/>
              <w:left w:val="nil"/>
              <w:bottom w:val="single" w:sz="4" w:space="0" w:color="auto"/>
              <w:right w:val="single" w:sz="4" w:space="0" w:color="auto"/>
            </w:tcBorders>
            <w:shd w:val="clear" w:color="auto" w:fill="auto"/>
            <w:noWrap/>
            <w:vAlign w:val="center"/>
            <w:hideMark/>
          </w:tcPr>
          <w:p w14:paraId="02EFAB2F" w14:textId="77777777" w:rsidR="008A236E" w:rsidRPr="002B17BF" w:rsidRDefault="008A236E" w:rsidP="008A236E">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12</w:t>
            </w:r>
          </w:p>
        </w:tc>
        <w:tc>
          <w:tcPr>
            <w:tcW w:w="1521" w:type="dxa"/>
            <w:tcBorders>
              <w:top w:val="nil"/>
              <w:left w:val="nil"/>
              <w:bottom w:val="single" w:sz="4" w:space="0" w:color="auto"/>
              <w:right w:val="single" w:sz="4" w:space="0" w:color="auto"/>
            </w:tcBorders>
            <w:shd w:val="clear" w:color="auto" w:fill="auto"/>
            <w:noWrap/>
            <w:vAlign w:val="center"/>
            <w:hideMark/>
          </w:tcPr>
          <w:p w14:paraId="3F86DC5A" w14:textId="77777777" w:rsidR="008A236E" w:rsidRPr="002B17BF" w:rsidRDefault="008A236E" w:rsidP="008A236E">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0</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33C03DF8" w14:textId="77777777" w:rsidR="008A236E" w:rsidRPr="002B17BF" w:rsidRDefault="008A236E" w:rsidP="008A236E">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0</w:t>
            </w:r>
          </w:p>
        </w:tc>
        <w:tc>
          <w:tcPr>
            <w:tcW w:w="1521" w:type="dxa"/>
            <w:tcBorders>
              <w:top w:val="nil"/>
              <w:left w:val="nil"/>
              <w:bottom w:val="single" w:sz="4" w:space="0" w:color="auto"/>
              <w:right w:val="single" w:sz="4" w:space="0" w:color="auto"/>
            </w:tcBorders>
            <w:shd w:val="clear" w:color="auto" w:fill="auto"/>
            <w:noWrap/>
            <w:vAlign w:val="center"/>
            <w:hideMark/>
          </w:tcPr>
          <w:p w14:paraId="71161255" w14:textId="2F3CCFDD" w:rsidR="008A236E" w:rsidRPr="002B17BF" w:rsidRDefault="008A236E" w:rsidP="008A236E">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0</w:t>
            </w:r>
          </w:p>
        </w:tc>
        <w:tc>
          <w:tcPr>
            <w:tcW w:w="1521" w:type="dxa"/>
            <w:tcBorders>
              <w:top w:val="nil"/>
              <w:left w:val="nil"/>
              <w:bottom w:val="single" w:sz="4" w:space="0" w:color="auto"/>
              <w:right w:val="single" w:sz="4" w:space="0" w:color="auto"/>
            </w:tcBorders>
            <w:shd w:val="clear" w:color="auto" w:fill="auto"/>
            <w:noWrap/>
            <w:vAlign w:val="center"/>
            <w:hideMark/>
          </w:tcPr>
          <w:p w14:paraId="76CA2C67" w14:textId="55FE6868" w:rsidR="008A236E" w:rsidRPr="002B17BF" w:rsidRDefault="008A236E" w:rsidP="008A236E">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12</w:t>
            </w:r>
          </w:p>
        </w:tc>
      </w:tr>
      <w:tr w:rsidR="008A236E" w:rsidRPr="002B17BF" w14:paraId="757D0DD4" w14:textId="77777777" w:rsidTr="00223E58">
        <w:trPr>
          <w:trHeight w:val="270"/>
        </w:trPr>
        <w:tc>
          <w:tcPr>
            <w:tcW w:w="4792"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08E37C3C" w14:textId="1F5F1E1F" w:rsidR="008A236E" w:rsidRPr="002B17BF" w:rsidRDefault="008A236E" w:rsidP="008A236E">
            <w:pPr>
              <w:ind w:left="0" w:firstLine="0"/>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TOTAL, INGRESOS</w:t>
            </w:r>
          </w:p>
        </w:tc>
        <w:tc>
          <w:tcPr>
            <w:tcW w:w="1521" w:type="dxa"/>
            <w:tcBorders>
              <w:top w:val="nil"/>
              <w:left w:val="nil"/>
              <w:bottom w:val="single" w:sz="4" w:space="0" w:color="auto"/>
              <w:right w:val="single" w:sz="4" w:space="0" w:color="auto"/>
            </w:tcBorders>
            <w:shd w:val="clear" w:color="000000" w:fill="EAF1DD"/>
            <w:noWrap/>
            <w:vAlign w:val="center"/>
            <w:hideMark/>
          </w:tcPr>
          <w:p w14:paraId="1A21C897" w14:textId="7F2FDD52" w:rsidR="008A236E" w:rsidRPr="002B17BF" w:rsidRDefault="008A236E" w:rsidP="008A236E">
            <w:pPr>
              <w:ind w:left="0" w:firstLine="0"/>
              <w:jc w:val="right"/>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5</w:t>
            </w:r>
            <w:r w:rsidR="003520F6">
              <w:rPr>
                <w:rFonts w:eastAsia="Times New Roman" w:cs="Calibri"/>
                <w:b/>
                <w:bCs/>
                <w:noProof/>
                <w:color w:val="000000"/>
                <w:sz w:val="20"/>
                <w:szCs w:val="20"/>
                <w:lang w:val="es-ES" w:eastAsia="en-GB"/>
              </w:rPr>
              <w:t xml:space="preserve"> </w:t>
            </w:r>
            <w:r w:rsidRPr="002B17BF">
              <w:rPr>
                <w:rFonts w:eastAsia="Times New Roman" w:cs="Calibri"/>
                <w:b/>
                <w:bCs/>
                <w:noProof/>
                <w:color w:val="000000"/>
                <w:sz w:val="20"/>
                <w:szCs w:val="20"/>
                <w:lang w:val="es-ES" w:eastAsia="en-GB"/>
              </w:rPr>
              <w:t>081</w:t>
            </w:r>
          </w:p>
        </w:tc>
        <w:tc>
          <w:tcPr>
            <w:tcW w:w="1521" w:type="dxa"/>
            <w:tcBorders>
              <w:top w:val="nil"/>
              <w:left w:val="nil"/>
              <w:bottom w:val="single" w:sz="4" w:space="0" w:color="auto"/>
              <w:right w:val="single" w:sz="4" w:space="0" w:color="auto"/>
            </w:tcBorders>
            <w:shd w:val="clear" w:color="000000" w:fill="EAF1DD"/>
            <w:noWrap/>
            <w:vAlign w:val="center"/>
            <w:hideMark/>
          </w:tcPr>
          <w:p w14:paraId="1D190493" w14:textId="77777777" w:rsidR="008A236E" w:rsidRPr="002B17BF" w:rsidRDefault="008A236E" w:rsidP="008A236E">
            <w:pPr>
              <w:ind w:left="0" w:firstLine="0"/>
              <w:jc w:val="right"/>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0</w:t>
            </w:r>
          </w:p>
        </w:tc>
        <w:tc>
          <w:tcPr>
            <w:tcW w:w="1521" w:type="dxa"/>
            <w:tcBorders>
              <w:top w:val="nil"/>
              <w:left w:val="single" w:sz="4" w:space="0" w:color="auto"/>
              <w:bottom w:val="single" w:sz="4" w:space="0" w:color="auto"/>
              <w:right w:val="single" w:sz="4" w:space="0" w:color="auto"/>
            </w:tcBorders>
            <w:shd w:val="clear" w:color="000000" w:fill="EAF1DD"/>
            <w:noWrap/>
            <w:vAlign w:val="center"/>
            <w:hideMark/>
          </w:tcPr>
          <w:p w14:paraId="63D14C53" w14:textId="77777777" w:rsidR="008A236E" w:rsidRPr="002B17BF" w:rsidRDefault="008A236E" w:rsidP="008A236E">
            <w:pPr>
              <w:ind w:left="0" w:firstLine="0"/>
              <w:jc w:val="right"/>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0</w:t>
            </w:r>
          </w:p>
        </w:tc>
        <w:tc>
          <w:tcPr>
            <w:tcW w:w="1521" w:type="dxa"/>
            <w:tcBorders>
              <w:top w:val="nil"/>
              <w:left w:val="nil"/>
              <w:bottom w:val="single" w:sz="4" w:space="0" w:color="auto"/>
              <w:right w:val="single" w:sz="4" w:space="0" w:color="auto"/>
            </w:tcBorders>
            <w:shd w:val="clear" w:color="000000" w:fill="EAF1DD"/>
            <w:noWrap/>
            <w:vAlign w:val="center"/>
            <w:hideMark/>
          </w:tcPr>
          <w:p w14:paraId="6F69EC95" w14:textId="3A7F584A" w:rsidR="008A236E" w:rsidRPr="002B17BF" w:rsidRDefault="008A236E" w:rsidP="008A236E">
            <w:pPr>
              <w:ind w:left="0" w:firstLine="0"/>
              <w:jc w:val="right"/>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0</w:t>
            </w:r>
          </w:p>
        </w:tc>
        <w:tc>
          <w:tcPr>
            <w:tcW w:w="1521" w:type="dxa"/>
            <w:tcBorders>
              <w:top w:val="nil"/>
              <w:left w:val="nil"/>
              <w:bottom w:val="single" w:sz="4" w:space="0" w:color="auto"/>
              <w:right w:val="single" w:sz="4" w:space="0" w:color="auto"/>
            </w:tcBorders>
            <w:shd w:val="clear" w:color="000000" w:fill="EAF1DD"/>
            <w:noWrap/>
            <w:vAlign w:val="center"/>
            <w:hideMark/>
          </w:tcPr>
          <w:p w14:paraId="4DA60790" w14:textId="4A1E2A36" w:rsidR="008A236E" w:rsidRPr="002B17BF" w:rsidRDefault="008A236E" w:rsidP="008A236E">
            <w:pPr>
              <w:ind w:left="0" w:firstLine="0"/>
              <w:jc w:val="right"/>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5</w:t>
            </w:r>
            <w:r w:rsidR="003520F6">
              <w:rPr>
                <w:rFonts w:eastAsia="Times New Roman" w:cs="Calibri"/>
                <w:b/>
                <w:bCs/>
                <w:noProof/>
                <w:color w:val="000000"/>
                <w:sz w:val="20"/>
                <w:szCs w:val="20"/>
                <w:lang w:val="es-ES" w:eastAsia="en-GB"/>
              </w:rPr>
              <w:t xml:space="preserve"> </w:t>
            </w:r>
            <w:r w:rsidRPr="002B17BF">
              <w:rPr>
                <w:rFonts w:eastAsia="Times New Roman" w:cs="Calibri"/>
                <w:b/>
                <w:bCs/>
                <w:noProof/>
                <w:color w:val="000000"/>
                <w:sz w:val="20"/>
                <w:szCs w:val="20"/>
                <w:lang w:val="es-ES" w:eastAsia="en-GB"/>
              </w:rPr>
              <w:t>081</w:t>
            </w:r>
          </w:p>
        </w:tc>
      </w:tr>
      <w:tr w:rsidR="003360DC" w:rsidRPr="002B17BF" w14:paraId="61B9137D" w14:textId="77777777" w:rsidTr="00223E58">
        <w:trPr>
          <w:trHeight w:val="270"/>
        </w:trPr>
        <w:tc>
          <w:tcPr>
            <w:tcW w:w="4792" w:type="dxa"/>
            <w:tcBorders>
              <w:top w:val="single" w:sz="4" w:space="0" w:color="auto"/>
              <w:left w:val="single" w:sz="4" w:space="0" w:color="auto"/>
            </w:tcBorders>
            <w:shd w:val="clear" w:color="auto" w:fill="auto"/>
            <w:noWrap/>
            <w:vAlign w:val="center"/>
            <w:hideMark/>
          </w:tcPr>
          <w:p w14:paraId="59887B25" w14:textId="77777777" w:rsidR="003360DC" w:rsidRPr="002B17BF" w:rsidRDefault="003360DC" w:rsidP="003360DC">
            <w:pPr>
              <w:ind w:left="0" w:firstLine="0"/>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 </w:t>
            </w:r>
          </w:p>
        </w:tc>
        <w:tc>
          <w:tcPr>
            <w:tcW w:w="1521" w:type="dxa"/>
            <w:tcBorders>
              <w:top w:val="nil"/>
              <w:left w:val="nil"/>
              <w:bottom w:val="nil"/>
              <w:right w:val="nil"/>
            </w:tcBorders>
            <w:shd w:val="clear" w:color="auto" w:fill="auto"/>
            <w:noWrap/>
            <w:vAlign w:val="bottom"/>
            <w:hideMark/>
          </w:tcPr>
          <w:p w14:paraId="63E92177" w14:textId="77777777" w:rsidR="003360DC" w:rsidRPr="002B17BF" w:rsidRDefault="003360DC" w:rsidP="003360DC">
            <w:pPr>
              <w:ind w:left="0" w:firstLine="0"/>
              <w:rPr>
                <w:rFonts w:eastAsia="Times New Roman" w:cs="Calibri"/>
                <w:b/>
                <w:bCs/>
                <w:noProof/>
                <w:color w:val="000000"/>
                <w:sz w:val="20"/>
                <w:szCs w:val="20"/>
                <w:lang w:val="es-ES" w:eastAsia="en-GB"/>
              </w:rPr>
            </w:pPr>
          </w:p>
        </w:tc>
        <w:tc>
          <w:tcPr>
            <w:tcW w:w="1521" w:type="dxa"/>
            <w:tcBorders>
              <w:top w:val="nil"/>
              <w:left w:val="nil"/>
              <w:right w:val="nil"/>
            </w:tcBorders>
            <w:shd w:val="clear" w:color="auto" w:fill="auto"/>
            <w:noWrap/>
            <w:vAlign w:val="bottom"/>
            <w:hideMark/>
          </w:tcPr>
          <w:p w14:paraId="01B5C912" w14:textId="77777777" w:rsidR="003360DC" w:rsidRPr="002B17BF" w:rsidRDefault="003360DC" w:rsidP="003360DC">
            <w:pPr>
              <w:ind w:left="0" w:firstLine="0"/>
              <w:rPr>
                <w:rFonts w:ascii="Times New Roman" w:eastAsia="Times New Roman" w:hAnsi="Times New Roman"/>
                <w:noProof/>
                <w:sz w:val="20"/>
                <w:szCs w:val="20"/>
                <w:lang w:val="es-ES" w:eastAsia="en-GB"/>
              </w:rPr>
            </w:pPr>
          </w:p>
        </w:tc>
        <w:tc>
          <w:tcPr>
            <w:tcW w:w="1521" w:type="dxa"/>
            <w:tcBorders>
              <w:top w:val="nil"/>
              <w:left w:val="nil"/>
              <w:bottom w:val="nil"/>
              <w:right w:val="nil"/>
            </w:tcBorders>
            <w:shd w:val="clear" w:color="auto" w:fill="auto"/>
            <w:noWrap/>
            <w:vAlign w:val="bottom"/>
            <w:hideMark/>
          </w:tcPr>
          <w:p w14:paraId="35EF6E2A" w14:textId="77777777" w:rsidR="003360DC" w:rsidRPr="002B17BF" w:rsidRDefault="003360DC" w:rsidP="003360DC">
            <w:pPr>
              <w:ind w:left="0" w:firstLine="0"/>
              <w:rPr>
                <w:rFonts w:ascii="Times New Roman" w:eastAsia="Times New Roman" w:hAnsi="Times New Roman"/>
                <w:noProof/>
                <w:sz w:val="20"/>
                <w:szCs w:val="20"/>
                <w:lang w:val="es-ES" w:eastAsia="en-GB"/>
              </w:rPr>
            </w:pPr>
          </w:p>
        </w:tc>
        <w:tc>
          <w:tcPr>
            <w:tcW w:w="1521" w:type="dxa"/>
            <w:tcBorders>
              <w:top w:val="nil"/>
              <w:left w:val="nil"/>
              <w:bottom w:val="nil"/>
              <w:right w:val="nil"/>
            </w:tcBorders>
            <w:shd w:val="clear" w:color="auto" w:fill="auto"/>
            <w:noWrap/>
            <w:vAlign w:val="bottom"/>
            <w:hideMark/>
          </w:tcPr>
          <w:p w14:paraId="3D6204B2" w14:textId="77777777" w:rsidR="003360DC" w:rsidRPr="002B17BF" w:rsidRDefault="003360DC" w:rsidP="003360DC">
            <w:pPr>
              <w:ind w:left="0" w:firstLine="0"/>
              <w:rPr>
                <w:rFonts w:ascii="Times New Roman" w:eastAsia="Times New Roman" w:hAnsi="Times New Roman"/>
                <w:noProof/>
                <w:sz w:val="20"/>
                <w:szCs w:val="20"/>
                <w:lang w:val="es-ES" w:eastAsia="en-GB"/>
              </w:rPr>
            </w:pPr>
          </w:p>
        </w:tc>
        <w:tc>
          <w:tcPr>
            <w:tcW w:w="1521" w:type="dxa"/>
            <w:tcBorders>
              <w:top w:val="single" w:sz="4" w:space="0" w:color="auto"/>
              <w:left w:val="nil"/>
              <w:bottom w:val="nil"/>
              <w:right w:val="single" w:sz="4" w:space="0" w:color="auto"/>
            </w:tcBorders>
            <w:shd w:val="clear" w:color="auto" w:fill="auto"/>
            <w:noWrap/>
            <w:vAlign w:val="bottom"/>
            <w:hideMark/>
          </w:tcPr>
          <w:p w14:paraId="745AFD6C" w14:textId="77777777" w:rsidR="003360DC" w:rsidRPr="002B17BF" w:rsidRDefault="003360DC" w:rsidP="003360DC">
            <w:pPr>
              <w:ind w:left="0" w:firstLine="0"/>
              <w:rPr>
                <w:rFonts w:ascii="Times New Roman" w:eastAsia="Times New Roman" w:hAnsi="Times New Roman"/>
                <w:noProof/>
                <w:sz w:val="20"/>
                <w:szCs w:val="20"/>
                <w:lang w:val="es-ES" w:eastAsia="en-GB"/>
              </w:rPr>
            </w:pPr>
          </w:p>
        </w:tc>
      </w:tr>
      <w:tr w:rsidR="003360DC" w:rsidRPr="002B17BF" w14:paraId="45B6C9B2" w14:textId="77777777" w:rsidTr="00223E58">
        <w:trPr>
          <w:trHeight w:val="270"/>
        </w:trPr>
        <w:tc>
          <w:tcPr>
            <w:tcW w:w="4792" w:type="dxa"/>
            <w:tcBorders>
              <w:left w:val="single" w:sz="4" w:space="0" w:color="auto"/>
              <w:bottom w:val="single" w:sz="4" w:space="0" w:color="auto"/>
              <w:right w:val="nil"/>
            </w:tcBorders>
            <w:shd w:val="clear" w:color="auto" w:fill="auto"/>
            <w:noWrap/>
            <w:vAlign w:val="center"/>
            <w:hideMark/>
          </w:tcPr>
          <w:p w14:paraId="142D9AF9" w14:textId="77777777" w:rsidR="003360DC" w:rsidRPr="002B17BF" w:rsidRDefault="003360DC" w:rsidP="003360DC">
            <w:pPr>
              <w:ind w:left="0" w:firstLine="0"/>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EXPENDITURES</w:t>
            </w:r>
          </w:p>
        </w:tc>
        <w:tc>
          <w:tcPr>
            <w:tcW w:w="1521" w:type="dxa"/>
            <w:tcBorders>
              <w:top w:val="nil"/>
              <w:left w:val="nil"/>
              <w:bottom w:val="nil"/>
              <w:right w:val="nil"/>
            </w:tcBorders>
            <w:shd w:val="clear" w:color="auto" w:fill="auto"/>
            <w:noWrap/>
            <w:vAlign w:val="bottom"/>
            <w:hideMark/>
          </w:tcPr>
          <w:p w14:paraId="349EFFE6" w14:textId="77777777" w:rsidR="003360DC" w:rsidRPr="002B17BF" w:rsidRDefault="003360DC" w:rsidP="003360DC">
            <w:pPr>
              <w:ind w:left="0" w:firstLine="0"/>
              <w:rPr>
                <w:rFonts w:eastAsia="Times New Roman" w:cs="Calibri"/>
                <w:b/>
                <w:bCs/>
                <w:noProof/>
                <w:color w:val="000000"/>
                <w:sz w:val="20"/>
                <w:szCs w:val="20"/>
                <w:lang w:val="es-ES" w:eastAsia="en-GB"/>
              </w:rPr>
            </w:pPr>
          </w:p>
        </w:tc>
        <w:tc>
          <w:tcPr>
            <w:tcW w:w="1521" w:type="dxa"/>
            <w:tcBorders>
              <w:top w:val="nil"/>
              <w:left w:val="nil"/>
              <w:bottom w:val="nil"/>
            </w:tcBorders>
            <w:shd w:val="clear" w:color="auto" w:fill="auto"/>
            <w:noWrap/>
            <w:vAlign w:val="bottom"/>
            <w:hideMark/>
          </w:tcPr>
          <w:p w14:paraId="52CBF24B" w14:textId="77777777" w:rsidR="003360DC" w:rsidRPr="002B17BF" w:rsidRDefault="003360DC" w:rsidP="003360DC">
            <w:pPr>
              <w:ind w:left="0" w:firstLine="0"/>
              <w:rPr>
                <w:rFonts w:ascii="Times New Roman" w:eastAsia="Times New Roman" w:hAnsi="Times New Roman"/>
                <w:noProof/>
                <w:sz w:val="20"/>
                <w:szCs w:val="20"/>
                <w:lang w:val="es-ES" w:eastAsia="en-GB"/>
              </w:rPr>
            </w:pPr>
          </w:p>
        </w:tc>
        <w:tc>
          <w:tcPr>
            <w:tcW w:w="1521" w:type="dxa"/>
            <w:tcBorders>
              <w:top w:val="nil"/>
              <w:left w:val="nil"/>
              <w:bottom w:val="nil"/>
              <w:right w:val="nil"/>
            </w:tcBorders>
            <w:shd w:val="clear" w:color="auto" w:fill="auto"/>
            <w:noWrap/>
            <w:vAlign w:val="bottom"/>
            <w:hideMark/>
          </w:tcPr>
          <w:p w14:paraId="751B1BFB" w14:textId="77777777" w:rsidR="003360DC" w:rsidRPr="002B17BF" w:rsidRDefault="003360DC" w:rsidP="003360DC">
            <w:pPr>
              <w:ind w:left="0" w:firstLine="0"/>
              <w:rPr>
                <w:rFonts w:ascii="Arial" w:eastAsia="Times New Roman" w:hAnsi="Arial" w:cs="Arial"/>
                <w:noProof/>
                <w:color w:val="000000"/>
                <w:sz w:val="20"/>
                <w:szCs w:val="20"/>
                <w:lang w:val="es-ES" w:eastAsia="en-GB"/>
              </w:rPr>
            </w:pPr>
            <w:r w:rsidRPr="002B17BF">
              <w:rPr>
                <w:rFonts w:ascii="Arial" w:eastAsia="Times New Roman" w:hAnsi="Arial" w:cs="Arial"/>
                <w:noProof/>
                <w:color w:val="000000"/>
                <w:sz w:val="20"/>
                <w:szCs w:val="20"/>
                <w:lang w:val="es-ES" w:eastAsia="en-GB"/>
              </w:rPr>
              <w:t> </w:t>
            </w:r>
          </w:p>
        </w:tc>
        <w:tc>
          <w:tcPr>
            <w:tcW w:w="1521" w:type="dxa"/>
            <w:tcBorders>
              <w:top w:val="nil"/>
              <w:left w:val="nil"/>
              <w:bottom w:val="nil"/>
              <w:right w:val="nil"/>
            </w:tcBorders>
            <w:shd w:val="clear" w:color="auto" w:fill="auto"/>
            <w:noWrap/>
            <w:vAlign w:val="bottom"/>
            <w:hideMark/>
          </w:tcPr>
          <w:p w14:paraId="2C0D6C3D" w14:textId="77777777" w:rsidR="003360DC" w:rsidRPr="002B17BF" w:rsidRDefault="003360DC" w:rsidP="003360DC">
            <w:pPr>
              <w:ind w:left="0" w:firstLine="0"/>
              <w:rPr>
                <w:rFonts w:ascii="Arial" w:eastAsia="Times New Roman" w:hAnsi="Arial" w:cs="Arial"/>
                <w:noProof/>
                <w:color w:val="000000"/>
                <w:sz w:val="20"/>
                <w:szCs w:val="20"/>
                <w:lang w:val="es-ES" w:eastAsia="en-GB"/>
              </w:rPr>
            </w:pPr>
          </w:p>
        </w:tc>
        <w:tc>
          <w:tcPr>
            <w:tcW w:w="1521" w:type="dxa"/>
            <w:tcBorders>
              <w:top w:val="nil"/>
              <w:left w:val="nil"/>
              <w:bottom w:val="single" w:sz="4" w:space="0" w:color="auto"/>
              <w:right w:val="single" w:sz="4" w:space="0" w:color="auto"/>
            </w:tcBorders>
            <w:shd w:val="clear" w:color="auto" w:fill="auto"/>
            <w:noWrap/>
            <w:vAlign w:val="bottom"/>
            <w:hideMark/>
          </w:tcPr>
          <w:p w14:paraId="19FE23F9" w14:textId="77777777" w:rsidR="003360DC" w:rsidRPr="002B17BF" w:rsidRDefault="003360DC" w:rsidP="003360DC">
            <w:pPr>
              <w:ind w:left="0" w:firstLine="0"/>
              <w:rPr>
                <w:rFonts w:ascii="Times New Roman" w:eastAsia="Times New Roman" w:hAnsi="Times New Roman"/>
                <w:noProof/>
                <w:sz w:val="20"/>
                <w:szCs w:val="20"/>
                <w:lang w:val="es-ES" w:eastAsia="en-GB"/>
              </w:rPr>
            </w:pPr>
          </w:p>
        </w:tc>
      </w:tr>
      <w:tr w:rsidR="008A236E" w:rsidRPr="002B17BF" w14:paraId="7A79A610" w14:textId="77777777" w:rsidTr="00223E58">
        <w:trPr>
          <w:trHeight w:val="270"/>
        </w:trPr>
        <w:tc>
          <w:tcPr>
            <w:tcW w:w="4792"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10647B06" w14:textId="6C512894" w:rsidR="008A236E" w:rsidRPr="002B17BF" w:rsidRDefault="008A236E" w:rsidP="008A236E">
            <w:pPr>
              <w:ind w:left="0" w:firstLine="0"/>
              <w:rPr>
                <w:rFonts w:eastAsia="Times New Roman" w:cs="Calibri"/>
                <w:noProof/>
                <w:color w:val="000000"/>
                <w:sz w:val="20"/>
                <w:szCs w:val="20"/>
                <w:lang w:val="es-ES" w:eastAsia="en-GB"/>
              </w:rPr>
            </w:pPr>
            <w:r w:rsidRPr="002B17BF">
              <w:rPr>
                <w:noProof/>
                <w:color w:val="000000" w:themeColor="text1"/>
                <w:sz w:val="20"/>
                <w:lang w:val="es-ES"/>
              </w:rPr>
              <w:t xml:space="preserve">A. </w:t>
            </w:r>
            <w:r w:rsidRPr="002B17BF">
              <w:rPr>
                <w:rFonts w:eastAsia="Times New Roman" w:cs="Calibri"/>
                <w:noProof/>
                <w:color w:val="000000" w:themeColor="text1"/>
                <w:sz w:val="20"/>
                <w:szCs w:val="20"/>
                <w:lang w:val="es-ES" w:eastAsia="en-GB"/>
              </w:rPr>
              <w:t xml:space="preserve"> Personal directivo de la Secretaría y gobernanza</w:t>
            </w:r>
          </w:p>
        </w:tc>
        <w:tc>
          <w:tcPr>
            <w:tcW w:w="1521" w:type="dxa"/>
            <w:tcBorders>
              <w:top w:val="single" w:sz="4" w:space="0" w:color="auto"/>
              <w:left w:val="nil"/>
              <w:bottom w:val="single" w:sz="4" w:space="0" w:color="auto"/>
              <w:right w:val="single" w:sz="4" w:space="0" w:color="auto"/>
            </w:tcBorders>
            <w:shd w:val="clear" w:color="000000" w:fill="EAF1DD"/>
            <w:noWrap/>
            <w:vAlign w:val="center"/>
            <w:hideMark/>
          </w:tcPr>
          <w:p w14:paraId="79D041FC" w14:textId="5845574A" w:rsidR="008A236E" w:rsidRPr="002B17BF" w:rsidRDefault="008A236E" w:rsidP="008A236E">
            <w:pPr>
              <w:ind w:left="0" w:firstLine="0"/>
              <w:jc w:val="right"/>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1</w:t>
            </w:r>
            <w:r w:rsidR="003520F6">
              <w:rPr>
                <w:rFonts w:eastAsia="Times New Roman" w:cs="Calibri"/>
                <w:b/>
                <w:bCs/>
                <w:noProof/>
                <w:color w:val="000000"/>
                <w:sz w:val="20"/>
                <w:szCs w:val="20"/>
                <w:lang w:val="es-ES" w:eastAsia="en-GB"/>
              </w:rPr>
              <w:t xml:space="preserve"> </w:t>
            </w:r>
            <w:r w:rsidRPr="002B17BF">
              <w:rPr>
                <w:rFonts w:eastAsia="Times New Roman" w:cs="Calibri"/>
                <w:b/>
                <w:bCs/>
                <w:noProof/>
                <w:color w:val="000000"/>
                <w:sz w:val="20"/>
                <w:szCs w:val="20"/>
                <w:lang w:val="es-ES" w:eastAsia="en-GB"/>
              </w:rPr>
              <w:t>030</w:t>
            </w:r>
          </w:p>
        </w:tc>
        <w:tc>
          <w:tcPr>
            <w:tcW w:w="1521" w:type="dxa"/>
            <w:tcBorders>
              <w:top w:val="single" w:sz="4" w:space="0" w:color="auto"/>
              <w:left w:val="nil"/>
              <w:bottom w:val="single" w:sz="4" w:space="0" w:color="auto"/>
              <w:right w:val="single" w:sz="4" w:space="0" w:color="auto"/>
            </w:tcBorders>
            <w:shd w:val="clear" w:color="000000" w:fill="EAF1DD"/>
            <w:noWrap/>
            <w:vAlign w:val="center"/>
            <w:hideMark/>
          </w:tcPr>
          <w:p w14:paraId="45805237" w14:textId="77777777" w:rsidR="008A236E" w:rsidRPr="002B17BF" w:rsidRDefault="008A236E" w:rsidP="008A236E">
            <w:pPr>
              <w:ind w:left="0" w:firstLine="0"/>
              <w:jc w:val="right"/>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5</w:t>
            </w:r>
          </w:p>
        </w:tc>
        <w:tc>
          <w:tcPr>
            <w:tcW w:w="152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66DED095" w14:textId="77777777" w:rsidR="008A236E" w:rsidRPr="002B17BF" w:rsidRDefault="008A236E" w:rsidP="008A236E">
            <w:pPr>
              <w:ind w:left="0" w:firstLine="0"/>
              <w:jc w:val="right"/>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0</w:t>
            </w:r>
          </w:p>
        </w:tc>
        <w:tc>
          <w:tcPr>
            <w:tcW w:w="1521" w:type="dxa"/>
            <w:tcBorders>
              <w:top w:val="single" w:sz="4" w:space="0" w:color="auto"/>
              <w:left w:val="nil"/>
              <w:bottom w:val="single" w:sz="4" w:space="0" w:color="auto"/>
              <w:right w:val="single" w:sz="4" w:space="0" w:color="auto"/>
            </w:tcBorders>
            <w:shd w:val="clear" w:color="000000" w:fill="EAF1DD"/>
            <w:noWrap/>
            <w:vAlign w:val="center"/>
            <w:hideMark/>
          </w:tcPr>
          <w:p w14:paraId="0CF4E4B6" w14:textId="77777777" w:rsidR="008A236E" w:rsidRPr="002B17BF" w:rsidRDefault="008A236E" w:rsidP="008A236E">
            <w:pPr>
              <w:ind w:left="0" w:firstLine="0"/>
              <w:jc w:val="right"/>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0</w:t>
            </w:r>
          </w:p>
        </w:tc>
        <w:tc>
          <w:tcPr>
            <w:tcW w:w="1521" w:type="dxa"/>
            <w:tcBorders>
              <w:top w:val="single" w:sz="4" w:space="0" w:color="auto"/>
              <w:left w:val="nil"/>
              <w:bottom w:val="single" w:sz="4" w:space="0" w:color="auto"/>
              <w:right w:val="single" w:sz="4" w:space="0" w:color="auto"/>
            </w:tcBorders>
            <w:shd w:val="clear" w:color="000000" w:fill="EAF1DD"/>
            <w:noWrap/>
            <w:vAlign w:val="center"/>
            <w:hideMark/>
          </w:tcPr>
          <w:p w14:paraId="29F6C1E8" w14:textId="6B352937" w:rsidR="008A236E" w:rsidRPr="002B17BF" w:rsidRDefault="008A236E" w:rsidP="008A236E">
            <w:pPr>
              <w:ind w:left="0" w:firstLine="0"/>
              <w:jc w:val="right"/>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1</w:t>
            </w:r>
            <w:r w:rsidR="003520F6">
              <w:rPr>
                <w:rFonts w:eastAsia="Times New Roman" w:cs="Calibri"/>
                <w:b/>
                <w:bCs/>
                <w:noProof/>
                <w:color w:val="000000"/>
                <w:sz w:val="20"/>
                <w:szCs w:val="20"/>
                <w:lang w:val="es-ES" w:eastAsia="en-GB"/>
              </w:rPr>
              <w:t xml:space="preserve"> </w:t>
            </w:r>
            <w:r w:rsidRPr="002B17BF">
              <w:rPr>
                <w:rFonts w:eastAsia="Times New Roman" w:cs="Calibri"/>
                <w:b/>
                <w:bCs/>
                <w:noProof/>
                <w:color w:val="000000"/>
                <w:sz w:val="20"/>
                <w:szCs w:val="20"/>
                <w:lang w:val="es-ES" w:eastAsia="en-GB"/>
              </w:rPr>
              <w:t>035</w:t>
            </w:r>
          </w:p>
        </w:tc>
      </w:tr>
      <w:tr w:rsidR="003360DC" w:rsidRPr="002B17BF" w14:paraId="615C8B76" w14:textId="77777777" w:rsidTr="00223E58">
        <w:trPr>
          <w:trHeight w:val="270"/>
        </w:trPr>
        <w:tc>
          <w:tcPr>
            <w:tcW w:w="4792" w:type="dxa"/>
            <w:tcBorders>
              <w:top w:val="single" w:sz="4" w:space="0" w:color="auto"/>
              <w:left w:val="single" w:sz="4" w:space="0" w:color="auto"/>
              <w:bottom w:val="single" w:sz="4" w:space="0" w:color="auto"/>
              <w:right w:val="nil"/>
            </w:tcBorders>
            <w:shd w:val="clear" w:color="auto" w:fill="auto"/>
            <w:noWrap/>
            <w:vAlign w:val="center"/>
            <w:hideMark/>
          </w:tcPr>
          <w:p w14:paraId="27E4AA47" w14:textId="595A6D0E" w:rsidR="003360DC" w:rsidRPr="002B17BF" w:rsidRDefault="008A236E" w:rsidP="003360DC">
            <w:pPr>
              <w:ind w:left="0" w:firstLine="0"/>
              <w:rPr>
                <w:rFonts w:eastAsia="Times New Roman" w:cs="Calibri"/>
                <w:noProof/>
                <w:sz w:val="20"/>
                <w:szCs w:val="20"/>
                <w:lang w:val="es-ES" w:eastAsia="en-GB"/>
              </w:rPr>
            </w:pPr>
            <w:r w:rsidRPr="002B17BF">
              <w:rPr>
                <w:rFonts w:eastAsia="Times New Roman" w:cs="Calibri"/>
                <w:noProof/>
                <w:sz w:val="20"/>
                <w:szCs w:val="20"/>
                <w:lang w:val="es-ES" w:eastAsia="en-GB"/>
              </w:rPr>
              <w:t>Salarios, gastos sociales y otras prestaciones laborales</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0A652004" w14:textId="77777777" w:rsidR="003360DC" w:rsidRPr="002B17BF" w:rsidRDefault="003360DC" w:rsidP="003360DC">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990</w:t>
            </w:r>
          </w:p>
        </w:tc>
        <w:tc>
          <w:tcPr>
            <w:tcW w:w="1521" w:type="dxa"/>
            <w:tcBorders>
              <w:top w:val="nil"/>
              <w:left w:val="nil"/>
              <w:bottom w:val="single" w:sz="4" w:space="0" w:color="auto"/>
              <w:right w:val="single" w:sz="4" w:space="0" w:color="auto"/>
            </w:tcBorders>
            <w:shd w:val="clear" w:color="auto" w:fill="auto"/>
            <w:noWrap/>
            <w:vAlign w:val="center"/>
            <w:hideMark/>
          </w:tcPr>
          <w:p w14:paraId="6489F219" w14:textId="77777777" w:rsidR="003360DC" w:rsidRPr="002B17BF" w:rsidRDefault="003360DC" w:rsidP="003360DC">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1B198F36" w14:textId="77777777" w:rsidR="003360DC" w:rsidRPr="002B17BF" w:rsidRDefault="003360DC" w:rsidP="003360DC">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0</w:t>
            </w:r>
          </w:p>
        </w:tc>
        <w:tc>
          <w:tcPr>
            <w:tcW w:w="1521" w:type="dxa"/>
            <w:tcBorders>
              <w:top w:val="nil"/>
              <w:left w:val="nil"/>
              <w:bottom w:val="single" w:sz="4" w:space="0" w:color="auto"/>
              <w:right w:val="single" w:sz="4" w:space="0" w:color="auto"/>
            </w:tcBorders>
            <w:shd w:val="clear" w:color="auto" w:fill="auto"/>
            <w:noWrap/>
            <w:vAlign w:val="center"/>
            <w:hideMark/>
          </w:tcPr>
          <w:p w14:paraId="3E97D432" w14:textId="77777777" w:rsidR="003360DC" w:rsidRPr="002B17BF" w:rsidRDefault="003360DC" w:rsidP="003360DC">
            <w:pPr>
              <w:ind w:left="0" w:firstLine="0"/>
              <w:rPr>
                <w:rFonts w:eastAsia="Times New Roman" w:cs="Calibri"/>
                <w:noProof/>
                <w:sz w:val="20"/>
                <w:szCs w:val="20"/>
                <w:lang w:val="es-ES" w:eastAsia="en-GB"/>
              </w:rPr>
            </w:pPr>
            <w:r w:rsidRPr="002B17BF">
              <w:rPr>
                <w:rFonts w:eastAsia="Times New Roman" w:cs="Calibri"/>
                <w:noProof/>
                <w:sz w:val="20"/>
                <w:szCs w:val="20"/>
                <w:lang w:val="es-ES" w:eastAsia="en-GB"/>
              </w:rPr>
              <w:t> </w:t>
            </w:r>
          </w:p>
        </w:tc>
        <w:tc>
          <w:tcPr>
            <w:tcW w:w="1521" w:type="dxa"/>
            <w:tcBorders>
              <w:top w:val="nil"/>
              <w:left w:val="nil"/>
              <w:bottom w:val="single" w:sz="4" w:space="0" w:color="auto"/>
              <w:right w:val="single" w:sz="4" w:space="0" w:color="auto"/>
            </w:tcBorders>
            <w:shd w:val="clear" w:color="auto" w:fill="auto"/>
            <w:noWrap/>
            <w:vAlign w:val="center"/>
            <w:hideMark/>
          </w:tcPr>
          <w:p w14:paraId="61B46A3D" w14:textId="77777777" w:rsidR="003360DC" w:rsidRPr="002B17BF" w:rsidRDefault="003360DC" w:rsidP="003360DC">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990</w:t>
            </w:r>
          </w:p>
        </w:tc>
      </w:tr>
      <w:tr w:rsidR="003360DC" w:rsidRPr="002B17BF" w14:paraId="2FF7C0BC" w14:textId="77777777" w:rsidTr="00223E58">
        <w:trPr>
          <w:trHeight w:val="270"/>
        </w:trPr>
        <w:tc>
          <w:tcPr>
            <w:tcW w:w="4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F1DE3" w14:textId="28F6FA66" w:rsidR="003360DC" w:rsidRPr="002B17BF" w:rsidRDefault="008A236E" w:rsidP="003360DC">
            <w:pPr>
              <w:ind w:left="0" w:firstLine="0"/>
              <w:rPr>
                <w:rFonts w:eastAsia="Times New Roman" w:cs="Calibri"/>
                <w:noProof/>
                <w:sz w:val="20"/>
                <w:szCs w:val="20"/>
                <w:lang w:val="es-ES" w:eastAsia="en-GB"/>
              </w:rPr>
            </w:pPr>
            <w:r w:rsidRPr="002B17BF">
              <w:rPr>
                <w:rFonts w:eastAsia="Times New Roman" w:cs="Calibri"/>
                <w:noProof/>
                <w:sz w:val="20"/>
                <w:szCs w:val="20"/>
                <w:lang w:val="es-ES" w:eastAsia="en-GB"/>
              </w:rPr>
              <w:t>Viajes</w:t>
            </w:r>
          </w:p>
        </w:tc>
        <w:tc>
          <w:tcPr>
            <w:tcW w:w="1521" w:type="dxa"/>
            <w:tcBorders>
              <w:top w:val="nil"/>
              <w:left w:val="nil"/>
              <w:bottom w:val="single" w:sz="4" w:space="0" w:color="auto"/>
              <w:right w:val="single" w:sz="4" w:space="0" w:color="auto"/>
            </w:tcBorders>
            <w:shd w:val="clear" w:color="auto" w:fill="auto"/>
            <w:noWrap/>
            <w:vAlign w:val="center"/>
            <w:hideMark/>
          </w:tcPr>
          <w:p w14:paraId="7A0A5624" w14:textId="77777777" w:rsidR="003360DC" w:rsidRPr="002B17BF" w:rsidRDefault="003360DC" w:rsidP="003360DC">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40</w:t>
            </w:r>
          </w:p>
        </w:tc>
        <w:tc>
          <w:tcPr>
            <w:tcW w:w="1521" w:type="dxa"/>
            <w:tcBorders>
              <w:top w:val="nil"/>
              <w:left w:val="nil"/>
              <w:bottom w:val="single" w:sz="4" w:space="0" w:color="auto"/>
              <w:right w:val="single" w:sz="4" w:space="0" w:color="auto"/>
            </w:tcBorders>
            <w:shd w:val="clear" w:color="auto" w:fill="auto"/>
            <w:noWrap/>
            <w:vAlign w:val="center"/>
            <w:hideMark/>
          </w:tcPr>
          <w:p w14:paraId="7997AA9F" w14:textId="77777777" w:rsidR="003360DC" w:rsidRPr="002B17BF" w:rsidRDefault="003360DC" w:rsidP="003360DC">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5</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4A79863B" w14:textId="77777777" w:rsidR="003360DC" w:rsidRPr="002B17BF" w:rsidRDefault="003360DC" w:rsidP="003360DC">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0</w:t>
            </w:r>
          </w:p>
        </w:tc>
        <w:tc>
          <w:tcPr>
            <w:tcW w:w="1521" w:type="dxa"/>
            <w:tcBorders>
              <w:top w:val="nil"/>
              <w:left w:val="nil"/>
              <w:bottom w:val="single" w:sz="4" w:space="0" w:color="auto"/>
              <w:right w:val="single" w:sz="4" w:space="0" w:color="auto"/>
            </w:tcBorders>
            <w:shd w:val="clear" w:color="auto" w:fill="auto"/>
            <w:noWrap/>
            <w:vAlign w:val="center"/>
            <w:hideMark/>
          </w:tcPr>
          <w:p w14:paraId="331F51A3" w14:textId="77777777" w:rsidR="003360DC" w:rsidRPr="002B17BF" w:rsidRDefault="003360DC" w:rsidP="003360DC">
            <w:pPr>
              <w:ind w:left="0" w:firstLine="0"/>
              <w:rPr>
                <w:rFonts w:eastAsia="Times New Roman" w:cs="Calibri"/>
                <w:noProof/>
                <w:sz w:val="20"/>
                <w:szCs w:val="20"/>
                <w:lang w:val="es-ES" w:eastAsia="en-GB"/>
              </w:rPr>
            </w:pPr>
            <w:r w:rsidRPr="002B17BF">
              <w:rPr>
                <w:rFonts w:eastAsia="Times New Roman" w:cs="Calibri"/>
                <w:noProof/>
                <w:sz w:val="20"/>
                <w:szCs w:val="20"/>
                <w:lang w:val="es-ES" w:eastAsia="en-GB"/>
              </w:rPr>
              <w:t> </w:t>
            </w:r>
          </w:p>
        </w:tc>
        <w:tc>
          <w:tcPr>
            <w:tcW w:w="1521" w:type="dxa"/>
            <w:tcBorders>
              <w:top w:val="nil"/>
              <w:left w:val="nil"/>
              <w:bottom w:val="single" w:sz="4" w:space="0" w:color="auto"/>
              <w:right w:val="single" w:sz="4" w:space="0" w:color="auto"/>
            </w:tcBorders>
            <w:shd w:val="clear" w:color="auto" w:fill="auto"/>
            <w:noWrap/>
            <w:vAlign w:val="center"/>
            <w:hideMark/>
          </w:tcPr>
          <w:p w14:paraId="538BA9A3" w14:textId="77777777" w:rsidR="003360DC" w:rsidRPr="002B17BF" w:rsidRDefault="003360DC" w:rsidP="003360DC">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45</w:t>
            </w:r>
          </w:p>
        </w:tc>
      </w:tr>
      <w:tr w:rsidR="008A236E" w:rsidRPr="002B17BF" w14:paraId="6945CB12" w14:textId="77777777" w:rsidTr="00223E58">
        <w:trPr>
          <w:trHeight w:val="270"/>
        </w:trPr>
        <w:tc>
          <w:tcPr>
            <w:tcW w:w="4792" w:type="dxa"/>
            <w:tcBorders>
              <w:top w:val="nil"/>
              <w:left w:val="single" w:sz="4" w:space="0" w:color="auto"/>
              <w:bottom w:val="single" w:sz="4" w:space="0" w:color="auto"/>
              <w:right w:val="single" w:sz="4" w:space="0" w:color="auto"/>
            </w:tcBorders>
            <w:shd w:val="clear" w:color="000000" w:fill="EAF1DD"/>
            <w:vAlign w:val="center"/>
            <w:hideMark/>
          </w:tcPr>
          <w:p w14:paraId="4EA9C310" w14:textId="3FAD45E7" w:rsidR="008A236E" w:rsidRPr="002B17BF" w:rsidRDefault="008A236E" w:rsidP="008A236E">
            <w:pPr>
              <w:ind w:left="0" w:firstLine="0"/>
              <w:rPr>
                <w:rFonts w:eastAsia="Times New Roman" w:cs="Calibri"/>
                <w:noProof/>
                <w:color w:val="000000"/>
                <w:sz w:val="20"/>
                <w:szCs w:val="20"/>
                <w:lang w:val="es-ES" w:eastAsia="en-GB"/>
              </w:rPr>
            </w:pPr>
            <w:r w:rsidRPr="002B17BF">
              <w:rPr>
                <w:noProof/>
                <w:color w:val="000000"/>
                <w:sz w:val="20"/>
                <w:lang w:val="es-ES"/>
              </w:rPr>
              <w:t>B.</w:t>
            </w:r>
            <w:r w:rsidRPr="002B17BF">
              <w:rPr>
                <w:rFonts w:eastAsia="Times New Roman" w:cs="Calibri"/>
                <w:noProof/>
                <w:color w:val="000000"/>
                <w:sz w:val="20"/>
                <w:szCs w:val="20"/>
                <w:lang w:val="es-ES" w:eastAsia="en-GB"/>
              </w:rPr>
              <w:t xml:space="preserve"> </w:t>
            </w:r>
            <w:r w:rsidRPr="002B17BF">
              <w:rPr>
                <w:noProof/>
                <w:color w:val="000000"/>
                <w:sz w:val="20"/>
                <w:lang w:val="es-ES"/>
              </w:rPr>
              <w:t xml:space="preserve"> Movilización de recursos y promoción</w:t>
            </w:r>
          </w:p>
        </w:tc>
        <w:tc>
          <w:tcPr>
            <w:tcW w:w="1521" w:type="dxa"/>
            <w:tcBorders>
              <w:top w:val="nil"/>
              <w:left w:val="nil"/>
              <w:bottom w:val="single" w:sz="4" w:space="0" w:color="auto"/>
              <w:right w:val="single" w:sz="4" w:space="0" w:color="auto"/>
            </w:tcBorders>
            <w:shd w:val="clear" w:color="000000" w:fill="EAF1DD"/>
            <w:noWrap/>
            <w:vAlign w:val="center"/>
            <w:hideMark/>
          </w:tcPr>
          <w:p w14:paraId="61AD23B0" w14:textId="77777777" w:rsidR="008A236E" w:rsidRPr="002B17BF" w:rsidRDefault="008A236E" w:rsidP="008A236E">
            <w:pPr>
              <w:ind w:left="0" w:firstLine="0"/>
              <w:jc w:val="right"/>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594</w:t>
            </w:r>
          </w:p>
        </w:tc>
        <w:tc>
          <w:tcPr>
            <w:tcW w:w="1521" w:type="dxa"/>
            <w:tcBorders>
              <w:top w:val="nil"/>
              <w:left w:val="nil"/>
              <w:bottom w:val="single" w:sz="4" w:space="0" w:color="auto"/>
              <w:right w:val="single" w:sz="4" w:space="0" w:color="auto"/>
            </w:tcBorders>
            <w:shd w:val="clear" w:color="000000" w:fill="EAF1DD"/>
            <w:noWrap/>
            <w:vAlign w:val="center"/>
            <w:hideMark/>
          </w:tcPr>
          <w:p w14:paraId="4A3EFFD6" w14:textId="77777777" w:rsidR="008A236E" w:rsidRPr="002B17BF" w:rsidRDefault="008A236E" w:rsidP="008A236E">
            <w:pPr>
              <w:ind w:left="0" w:firstLine="0"/>
              <w:jc w:val="right"/>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45</w:t>
            </w:r>
          </w:p>
        </w:tc>
        <w:tc>
          <w:tcPr>
            <w:tcW w:w="1521" w:type="dxa"/>
            <w:tcBorders>
              <w:top w:val="nil"/>
              <w:left w:val="single" w:sz="4" w:space="0" w:color="auto"/>
              <w:bottom w:val="single" w:sz="4" w:space="0" w:color="auto"/>
              <w:right w:val="single" w:sz="4" w:space="0" w:color="auto"/>
            </w:tcBorders>
            <w:shd w:val="clear" w:color="000000" w:fill="EAF1DD"/>
            <w:noWrap/>
            <w:vAlign w:val="center"/>
            <w:hideMark/>
          </w:tcPr>
          <w:p w14:paraId="6DE999F8" w14:textId="77777777" w:rsidR="008A236E" w:rsidRPr="002B17BF" w:rsidRDefault="008A236E" w:rsidP="008A236E">
            <w:pPr>
              <w:ind w:left="0" w:firstLine="0"/>
              <w:jc w:val="right"/>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211</w:t>
            </w:r>
          </w:p>
        </w:tc>
        <w:tc>
          <w:tcPr>
            <w:tcW w:w="1521" w:type="dxa"/>
            <w:tcBorders>
              <w:top w:val="nil"/>
              <w:left w:val="nil"/>
              <w:bottom w:val="single" w:sz="4" w:space="0" w:color="auto"/>
              <w:right w:val="single" w:sz="4" w:space="0" w:color="auto"/>
            </w:tcBorders>
            <w:shd w:val="clear" w:color="000000" w:fill="EAF1DD"/>
            <w:noWrap/>
            <w:vAlign w:val="center"/>
            <w:hideMark/>
          </w:tcPr>
          <w:p w14:paraId="35C4A825" w14:textId="77777777" w:rsidR="008A236E" w:rsidRPr="002B17BF" w:rsidRDefault="008A236E" w:rsidP="008A236E">
            <w:pPr>
              <w:ind w:left="0" w:firstLine="0"/>
              <w:jc w:val="right"/>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0</w:t>
            </w:r>
          </w:p>
        </w:tc>
        <w:tc>
          <w:tcPr>
            <w:tcW w:w="1521" w:type="dxa"/>
            <w:tcBorders>
              <w:top w:val="nil"/>
              <w:left w:val="nil"/>
              <w:bottom w:val="single" w:sz="4" w:space="0" w:color="auto"/>
              <w:right w:val="single" w:sz="4" w:space="0" w:color="auto"/>
            </w:tcBorders>
            <w:shd w:val="clear" w:color="000000" w:fill="EAF1DD"/>
            <w:noWrap/>
            <w:vAlign w:val="center"/>
            <w:hideMark/>
          </w:tcPr>
          <w:p w14:paraId="54736064" w14:textId="77777777" w:rsidR="008A236E" w:rsidRPr="002B17BF" w:rsidRDefault="008A236E" w:rsidP="008A236E">
            <w:pPr>
              <w:ind w:left="0" w:firstLine="0"/>
              <w:jc w:val="right"/>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850</w:t>
            </w:r>
          </w:p>
        </w:tc>
      </w:tr>
      <w:tr w:rsidR="008A236E" w:rsidRPr="002B17BF" w14:paraId="4674D97B" w14:textId="77777777" w:rsidTr="00223E58">
        <w:trPr>
          <w:trHeight w:val="270"/>
        </w:trPr>
        <w:tc>
          <w:tcPr>
            <w:tcW w:w="4792" w:type="dxa"/>
            <w:tcBorders>
              <w:top w:val="single" w:sz="4" w:space="0" w:color="auto"/>
              <w:left w:val="single" w:sz="4" w:space="0" w:color="auto"/>
              <w:bottom w:val="single" w:sz="4" w:space="0" w:color="auto"/>
              <w:right w:val="nil"/>
            </w:tcBorders>
            <w:shd w:val="clear" w:color="auto" w:fill="auto"/>
            <w:noWrap/>
            <w:vAlign w:val="center"/>
            <w:hideMark/>
          </w:tcPr>
          <w:p w14:paraId="358C5D36" w14:textId="195403AA" w:rsidR="008A236E" w:rsidRPr="002B17BF" w:rsidRDefault="008A236E" w:rsidP="008A236E">
            <w:pPr>
              <w:ind w:left="0" w:firstLine="0"/>
              <w:rPr>
                <w:rFonts w:eastAsia="Times New Roman" w:cs="Calibri"/>
                <w:noProof/>
                <w:sz w:val="20"/>
                <w:szCs w:val="20"/>
                <w:lang w:val="es-ES" w:eastAsia="en-GB"/>
              </w:rPr>
            </w:pPr>
            <w:r w:rsidRPr="002B17BF">
              <w:rPr>
                <w:rFonts w:eastAsia="Times New Roman" w:cs="Calibri"/>
                <w:noProof/>
                <w:sz w:val="20"/>
                <w:szCs w:val="20"/>
                <w:lang w:val="es-ES" w:eastAsia="en-GB"/>
              </w:rPr>
              <w:t>Salarios, gastos sociales y otras prestaciones laborales</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64E0BB21" w14:textId="77777777" w:rsidR="008A236E" w:rsidRPr="002B17BF" w:rsidRDefault="008A236E" w:rsidP="008A236E">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438</w:t>
            </w:r>
          </w:p>
        </w:tc>
        <w:tc>
          <w:tcPr>
            <w:tcW w:w="1521" w:type="dxa"/>
            <w:tcBorders>
              <w:top w:val="nil"/>
              <w:left w:val="nil"/>
              <w:bottom w:val="single" w:sz="4" w:space="0" w:color="auto"/>
              <w:right w:val="single" w:sz="4" w:space="0" w:color="auto"/>
            </w:tcBorders>
            <w:shd w:val="clear" w:color="auto" w:fill="auto"/>
            <w:noWrap/>
            <w:vAlign w:val="center"/>
            <w:hideMark/>
          </w:tcPr>
          <w:p w14:paraId="1C77CB04" w14:textId="77777777" w:rsidR="008A236E" w:rsidRPr="002B17BF" w:rsidRDefault="008A236E" w:rsidP="008A236E">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3AB40CC1" w14:textId="77777777" w:rsidR="008A236E" w:rsidRPr="002B17BF" w:rsidRDefault="008A236E" w:rsidP="008A236E">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0</w:t>
            </w:r>
          </w:p>
        </w:tc>
        <w:tc>
          <w:tcPr>
            <w:tcW w:w="1521" w:type="dxa"/>
            <w:tcBorders>
              <w:top w:val="nil"/>
              <w:left w:val="nil"/>
              <w:bottom w:val="single" w:sz="4" w:space="0" w:color="auto"/>
              <w:right w:val="single" w:sz="4" w:space="0" w:color="auto"/>
            </w:tcBorders>
            <w:shd w:val="clear" w:color="auto" w:fill="auto"/>
            <w:noWrap/>
            <w:vAlign w:val="center"/>
            <w:hideMark/>
          </w:tcPr>
          <w:p w14:paraId="285A19B6" w14:textId="77777777" w:rsidR="008A236E" w:rsidRPr="002B17BF" w:rsidRDefault="008A236E" w:rsidP="008A236E">
            <w:pPr>
              <w:ind w:left="0" w:firstLine="0"/>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 </w:t>
            </w:r>
          </w:p>
        </w:tc>
        <w:tc>
          <w:tcPr>
            <w:tcW w:w="1521" w:type="dxa"/>
            <w:tcBorders>
              <w:top w:val="nil"/>
              <w:left w:val="nil"/>
              <w:bottom w:val="single" w:sz="4" w:space="0" w:color="auto"/>
              <w:right w:val="single" w:sz="4" w:space="0" w:color="auto"/>
            </w:tcBorders>
            <w:shd w:val="clear" w:color="auto" w:fill="auto"/>
            <w:noWrap/>
            <w:vAlign w:val="center"/>
            <w:hideMark/>
          </w:tcPr>
          <w:p w14:paraId="23992D8A" w14:textId="77777777" w:rsidR="008A236E" w:rsidRPr="002B17BF" w:rsidRDefault="008A236E" w:rsidP="008A236E">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438</w:t>
            </w:r>
          </w:p>
        </w:tc>
      </w:tr>
      <w:tr w:rsidR="008A236E" w:rsidRPr="002B17BF" w14:paraId="3E53EC86" w14:textId="77777777" w:rsidTr="00223E58">
        <w:trPr>
          <w:trHeight w:val="240"/>
        </w:trPr>
        <w:tc>
          <w:tcPr>
            <w:tcW w:w="4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80F11" w14:textId="78AF7B2E" w:rsidR="008A236E" w:rsidRPr="002B17BF" w:rsidRDefault="008A236E" w:rsidP="008A236E">
            <w:pPr>
              <w:ind w:left="0" w:firstLine="0"/>
              <w:rPr>
                <w:rFonts w:eastAsia="Times New Roman" w:cs="Calibri"/>
                <w:noProof/>
                <w:sz w:val="20"/>
                <w:szCs w:val="20"/>
                <w:lang w:val="es-ES" w:eastAsia="en-GB"/>
              </w:rPr>
            </w:pPr>
            <w:r w:rsidRPr="002B17BF">
              <w:rPr>
                <w:noProof/>
                <w:color w:val="000000"/>
                <w:sz w:val="20"/>
                <w:lang w:val="es-ES"/>
              </w:rPr>
              <w:t>Programa de CECoP</w:t>
            </w:r>
          </w:p>
        </w:tc>
        <w:tc>
          <w:tcPr>
            <w:tcW w:w="1521" w:type="dxa"/>
            <w:tcBorders>
              <w:top w:val="nil"/>
              <w:left w:val="nil"/>
              <w:bottom w:val="single" w:sz="4" w:space="0" w:color="auto"/>
              <w:right w:val="single" w:sz="4" w:space="0" w:color="auto"/>
            </w:tcBorders>
            <w:shd w:val="clear" w:color="auto" w:fill="auto"/>
            <w:noWrap/>
            <w:vAlign w:val="center"/>
            <w:hideMark/>
          </w:tcPr>
          <w:p w14:paraId="14F6A850" w14:textId="77777777" w:rsidR="008A236E" w:rsidRPr="002B17BF" w:rsidRDefault="008A236E" w:rsidP="008A236E">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30</w:t>
            </w:r>
          </w:p>
        </w:tc>
        <w:tc>
          <w:tcPr>
            <w:tcW w:w="1521" w:type="dxa"/>
            <w:tcBorders>
              <w:top w:val="nil"/>
              <w:left w:val="nil"/>
              <w:bottom w:val="single" w:sz="4" w:space="0" w:color="auto"/>
              <w:right w:val="single" w:sz="4" w:space="0" w:color="auto"/>
            </w:tcBorders>
            <w:shd w:val="clear" w:color="auto" w:fill="auto"/>
            <w:noWrap/>
            <w:vAlign w:val="center"/>
            <w:hideMark/>
          </w:tcPr>
          <w:p w14:paraId="55A3D430" w14:textId="77777777" w:rsidR="008A236E" w:rsidRPr="002B17BF" w:rsidRDefault="008A236E" w:rsidP="008A236E">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09100816" w14:textId="77777777" w:rsidR="008A236E" w:rsidRPr="002B17BF" w:rsidRDefault="008A236E" w:rsidP="008A236E">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56</w:t>
            </w:r>
          </w:p>
        </w:tc>
        <w:tc>
          <w:tcPr>
            <w:tcW w:w="1521" w:type="dxa"/>
            <w:tcBorders>
              <w:top w:val="nil"/>
              <w:left w:val="nil"/>
              <w:bottom w:val="single" w:sz="4" w:space="0" w:color="auto"/>
              <w:right w:val="single" w:sz="4" w:space="0" w:color="auto"/>
            </w:tcBorders>
            <w:shd w:val="clear" w:color="auto" w:fill="auto"/>
            <w:noWrap/>
            <w:vAlign w:val="center"/>
            <w:hideMark/>
          </w:tcPr>
          <w:p w14:paraId="4712F4E1" w14:textId="77777777" w:rsidR="008A236E" w:rsidRPr="002B17BF" w:rsidRDefault="008A236E" w:rsidP="008A236E">
            <w:pPr>
              <w:ind w:left="0" w:firstLine="0"/>
              <w:rPr>
                <w:rFonts w:eastAsia="Times New Roman" w:cs="Calibri"/>
                <w:noProof/>
                <w:color w:val="0070C0"/>
                <w:sz w:val="20"/>
                <w:szCs w:val="20"/>
                <w:lang w:val="es-ES" w:eastAsia="en-GB"/>
              </w:rPr>
            </w:pPr>
            <w:r w:rsidRPr="002B17BF">
              <w:rPr>
                <w:rFonts w:eastAsia="Times New Roman" w:cs="Calibri"/>
                <w:noProof/>
                <w:color w:val="0070C0"/>
                <w:sz w:val="20"/>
                <w:szCs w:val="20"/>
                <w:lang w:val="es-ES" w:eastAsia="en-GB"/>
              </w:rPr>
              <w:t> </w:t>
            </w:r>
          </w:p>
        </w:tc>
        <w:tc>
          <w:tcPr>
            <w:tcW w:w="1521" w:type="dxa"/>
            <w:tcBorders>
              <w:top w:val="nil"/>
              <w:left w:val="nil"/>
              <w:bottom w:val="single" w:sz="4" w:space="0" w:color="auto"/>
              <w:right w:val="single" w:sz="4" w:space="0" w:color="auto"/>
            </w:tcBorders>
            <w:shd w:val="clear" w:color="auto" w:fill="auto"/>
            <w:noWrap/>
            <w:vAlign w:val="center"/>
            <w:hideMark/>
          </w:tcPr>
          <w:p w14:paraId="3D49411E" w14:textId="77777777" w:rsidR="008A236E" w:rsidRPr="002B17BF" w:rsidRDefault="008A236E" w:rsidP="008A236E">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86</w:t>
            </w:r>
          </w:p>
        </w:tc>
      </w:tr>
      <w:tr w:rsidR="008A236E" w:rsidRPr="002B17BF" w14:paraId="72A09384" w14:textId="77777777" w:rsidTr="00223E58">
        <w:trPr>
          <w:trHeight w:val="525"/>
        </w:trPr>
        <w:tc>
          <w:tcPr>
            <w:tcW w:w="4792" w:type="dxa"/>
            <w:tcBorders>
              <w:top w:val="nil"/>
              <w:left w:val="single" w:sz="4" w:space="0" w:color="auto"/>
              <w:bottom w:val="single" w:sz="4" w:space="0" w:color="auto"/>
              <w:right w:val="single" w:sz="4" w:space="0" w:color="auto"/>
            </w:tcBorders>
            <w:shd w:val="clear" w:color="auto" w:fill="auto"/>
            <w:vAlign w:val="center"/>
            <w:hideMark/>
          </w:tcPr>
          <w:p w14:paraId="34A5953D" w14:textId="7F48952B" w:rsidR="008A236E" w:rsidRPr="002B17BF" w:rsidRDefault="008A236E" w:rsidP="008A236E">
            <w:pPr>
              <w:ind w:left="0" w:firstLine="0"/>
              <w:rPr>
                <w:rFonts w:eastAsia="Times New Roman" w:cs="Calibri"/>
                <w:noProof/>
                <w:sz w:val="20"/>
                <w:szCs w:val="20"/>
                <w:lang w:val="es-ES" w:eastAsia="en-GB"/>
              </w:rPr>
            </w:pPr>
            <w:r w:rsidRPr="002B17BF">
              <w:rPr>
                <w:noProof/>
                <w:color w:val="000000"/>
                <w:sz w:val="20"/>
                <w:szCs w:val="20"/>
                <w:lang w:val="es-ES"/>
              </w:rPr>
              <w:t>Comunicaciones, traducciones, publicaciones e informes sobre la aplicación</w:t>
            </w:r>
          </w:p>
        </w:tc>
        <w:tc>
          <w:tcPr>
            <w:tcW w:w="1521" w:type="dxa"/>
            <w:tcBorders>
              <w:top w:val="nil"/>
              <w:left w:val="nil"/>
              <w:bottom w:val="single" w:sz="4" w:space="0" w:color="auto"/>
              <w:right w:val="single" w:sz="4" w:space="0" w:color="auto"/>
            </w:tcBorders>
            <w:shd w:val="clear" w:color="auto" w:fill="auto"/>
            <w:noWrap/>
            <w:vAlign w:val="center"/>
            <w:hideMark/>
          </w:tcPr>
          <w:p w14:paraId="4F5B26B7" w14:textId="77777777" w:rsidR="008A236E" w:rsidRPr="002B17BF" w:rsidRDefault="008A236E" w:rsidP="008A236E">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60</w:t>
            </w:r>
          </w:p>
        </w:tc>
        <w:tc>
          <w:tcPr>
            <w:tcW w:w="1521" w:type="dxa"/>
            <w:tcBorders>
              <w:top w:val="nil"/>
              <w:left w:val="nil"/>
              <w:bottom w:val="single" w:sz="4" w:space="0" w:color="auto"/>
              <w:right w:val="single" w:sz="4" w:space="0" w:color="auto"/>
            </w:tcBorders>
            <w:shd w:val="clear" w:color="auto" w:fill="auto"/>
            <w:noWrap/>
            <w:vAlign w:val="center"/>
            <w:hideMark/>
          </w:tcPr>
          <w:p w14:paraId="76E92759" w14:textId="77777777" w:rsidR="008A236E" w:rsidRPr="002B17BF" w:rsidRDefault="008A236E" w:rsidP="008A236E">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40</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69977E9C" w14:textId="77777777" w:rsidR="008A236E" w:rsidRPr="002B17BF" w:rsidRDefault="008A236E" w:rsidP="008A236E">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57</w:t>
            </w:r>
          </w:p>
        </w:tc>
        <w:tc>
          <w:tcPr>
            <w:tcW w:w="1521" w:type="dxa"/>
            <w:tcBorders>
              <w:top w:val="nil"/>
              <w:left w:val="nil"/>
              <w:bottom w:val="single" w:sz="4" w:space="0" w:color="auto"/>
              <w:right w:val="single" w:sz="4" w:space="0" w:color="auto"/>
            </w:tcBorders>
            <w:shd w:val="clear" w:color="auto" w:fill="auto"/>
            <w:noWrap/>
            <w:vAlign w:val="center"/>
            <w:hideMark/>
          </w:tcPr>
          <w:p w14:paraId="73E11B7B" w14:textId="77777777" w:rsidR="008A236E" w:rsidRPr="002B17BF" w:rsidRDefault="008A236E" w:rsidP="008A236E">
            <w:pPr>
              <w:ind w:left="0" w:firstLine="0"/>
              <w:rPr>
                <w:rFonts w:eastAsia="Times New Roman" w:cs="Calibri"/>
                <w:noProof/>
                <w:sz w:val="20"/>
                <w:szCs w:val="20"/>
                <w:lang w:val="es-ES" w:eastAsia="en-GB"/>
              </w:rPr>
            </w:pPr>
            <w:r w:rsidRPr="002B17BF">
              <w:rPr>
                <w:rFonts w:eastAsia="Times New Roman" w:cs="Calibri"/>
                <w:noProof/>
                <w:sz w:val="20"/>
                <w:szCs w:val="20"/>
                <w:lang w:val="es-ES" w:eastAsia="en-GB"/>
              </w:rPr>
              <w:t> </w:t>
            </w:r>
          </w:p>
        </w:tc>
        <w:tc>
          <w:tcPr>
            <w:tcW w:w="1521" w:type="dxa"/>
            <w:tcBorders>
              <w:top w:val="nil"/>
              <w:left w:val="nil"/>
              <w:bottom w:val="single" w:sz="4" w:space="0" w:color="auto"/>
              <w:right w:val="single" w:sz="4" w:space="0" w:color="auto"/>
            </w:tcBorders>
            <w:shd w:val="clear" w:color="auto" w:fill="auto"/>
            <w:noWrap/>
            <w:vAlign w:val="center"/>
            <w:hideMark/>
          </w:tcPr>
          <w:p w14:paraId="1DE844B5" w14:textId="77777777" w:rsidR="008A236E" w:rsidRPr="002B17BF" w:rsidRDefault="008A236E" w:rsidP="008A236E">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157</w:t>
            </w:r>
          </w:p>
        </w:tc>
      </w:tr>
      <w:tr w:rsidR="008A236E" w:rsidRPr="002B17BF" w14:paraId="022DC774" w14:textId="77777777" w:rsidTr="00223E58">
        <w:trPr>
          <w:trHeight w:val="270"/>
        </w:trPr>
        <w:tc>
          <w:tcPr>
            <w:tcW w:w="4792" w:type="dxa"/>
            <w:tcBorders>
              <w:top w:val="nil"/>
              <w:left w:val="single" w:sz="4" w:space="0" w:color="auto"/>
              <w:bottom w:val="single" w:sz="4" w:space="0" w:color="auto"/>
              <w:right w:val="nil"/>
            </w:tcBorders>
            <w:shd w:val="clear" w:color="auto" w:fill="auto"/>
            <w:noWrap/>
            <w:vAlign w:val="center"/>
            <w:hideMark/>
          </w:tcPr>
          <w:p w14:paraId="15481EE6" w14:textId="03FAE619" w:rsidR="008A236E" w:rsidRPr="002B17BF" w:rsidRDefault="008A236E" w:rsidP="008A236E">
            <w:pPr>
              <w:ind w:left="0" w:firstLine="0"/>
              <w:rPr>
                <w:rFonts w:eastAsia="Times New Roman" w:cs="Calibri"/>
                <w:noProof/>
                <w:sz w:val="20"/>
                <w:szCs w:val="20"/>
                <w:lang w:val="es-ES" w:eastAsia="en-GB"/>
              </w:rPr>
            </w:pPr>
            <w:r w:rsidRPr="002B17BF">
              <w:rPr>
                <w:rFonts w:eastAsia="Times New Roman" w:cs="Calibri"/>
                <w:noProof/>
                <w:color w:val="000000"/>
                <w:sz w:val="20"/>
                <w:szCs w:val="20"/>
                <w:lang w:val="es-ES" w:eastAsia="en-GB"/>
              </w:rPr>
              <w:t>DMH</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0AD61F6C" w14:textId="77777777" w:rsidR="008A236E" w:rsidRPr="002B17BF" w:rsidRDefault="008A236E" w:rsidP="008A236E">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nil"/>
              <w:bottom w:val="single" w:sz="4" w:space="0" w:color="auto"/>
              <w:right w:val="single" w:sz="4" w:space="0" w:color="auto"/>
            </w:tcBorders>
            <w:shd w:val="clear" w:color="auto" w:fill="auto"/>
            <w:noWrap/>
            <w:vAlign w:val="center"/>
            <w:hideMark/>
          </w:tcPr>
          <w:p w14:paraId="538018BF" w14:textId="77777777" w:rsidR="008A236E" w:rsidRPr="002B17BF" w:rsidRDefault="008A236E" w:rsidP="008A236E">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74423F29" w14:textId="77777777" w:rsidR="008A236E" w:rsidRPr="002B17BF" w:rsidRDefault="008A236E" w:rsidP="008A236E">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12</w:t>
            </w:r>
          </w:p>
        </w:tc>
        <w:tc>
          <w:tcPr>
            <w:tcW w:w="1521" w:type="dxa"/>
            <w:tcBorders>
              <w:top w:val="nil"/>
              <w:left w:val="nil"/>
              <w:bottom w:val="single" w:sz="4" w:space="0" w:color="auto"/>
              <w:right w:val="single" w:sz="4" w:space="0" w:color="auto"/>
            </w:tcBorders>
            <w:shd w:val="clear" w:color="auto" w:fill="auto"/>
            <w:noWrap/>
            <w:vAlign w:val="center"/>
            <w:hideMark/>
          </w:tcPr>
          <w:p w14:paraId="2C7DF7B0" w14:textId="77777777" w:rsidR="008A236E" w:rsidRPr="002B17BF" w:rsidRDefault="008A236E" w:rsidP="008A236E">
            <w:pPr>
              <w:ind w:left="0" w:firstLine="0"/>
              <w:rPr>
                <w:rFonts w:eastAsia="Times New Roman" w:cs="Calibri"/>
                <w:noProof/>
                <w:color w:val="0070C0"/>
                <w:sz w:val="20"/>
                <w:szCs w:val="20"/>
                <w:lang w:val="es-ES" w:eastAsia="en-GB"/>
              </w:rPr>
            </w:pPr>
            <w:r w:rsidRPr="002B17BF">
              <w:rPr>
                <w:rFonts w:eastAsia="Times New Roman" w:cs="Calibri"/>
                <w:noProof/>
                <w:color w:val="0070C0"/>
                <w:sz w:val="20"/>
                <w:szCs w:val="20"/>
                <w:lang w:val="es-ES" w:eastAsia="en-GB"/>
              </w:rPr>
              <w:t> </w:t>
            </w:r>
          </w:p>
        </w:tc>
        <w:tc>
          <w:tcPr>
            <w:tcW w:w="1521" w:type="dxa"/>
            <w:tcBorders>
              <w:top w:val="nil"/>
              <w:left w:val="nil"/>
              <w:bottom w:val="single" w:sz="4" w:space="0" w:color="auto"/>
              <w:right w:val="single" w:sz="4" w:space="0" w:color="auto"/>
            </w:tcBorders>
            <w:shd w:val="clear" w:color="auto" w:fill="auto"/>
            <w:noWrap/>
            <w:vAlign w:val="center"/>
            <w:hideMark/>
          </w:tcPr>
          <w:p w14:paraId="7793F513" w14:textId="77777777" w:rsidR="008A236E" w:rsidRPr="002B17BF" w:rsidRDefault="008A236E" w:rsidP="008A236E">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12</w:t>
            </w:r>
          </w:p>
        </w:tc>
      </w:tr>
      <w:tr w:rsidR="008A236E" w:rsidRPr="002B17BF" w14:paraId="754DFB5B" w14:textId="77777777" w:rsidTr="00223E5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31494FD5" w14:textId="2F3292B6" w:rsidR="008A236E" w:rsidRPr="002B17BF" w:rsidRDefault="008A236E" w:rsidP="008A236E">
            <w:pPr>
              <w:ind w:left="0" w:firstLine="0"/>
              <w:rPr>
                <w:rFonts w:eastAsia="Times New Roman" w:cs="Calibri"/>
                <w:noProof/>
                <w:sz w:val="20"/>
                <w:szCs w:val="20"/>
                <w:lang w:val="es-ES" w:eastAsia="en-GB"/>
              </w:rPr>
            </w:pPr>
            <w:r w:rsidRPr="002B17BF">
              <w:rPr>
                <w:noProof/>
                <w:color w:val="000000"/>
                <w:sz w:val="20"/>
                <w:lang w:val="es-ES"/>
              </w:rPr>
              <w:t>Apoyo y desarrollo del sitio web/servicios informáticos</w:t>
            </w:r>
          </w:p>
        </w:tc>
        <w:tc>
          <w:tcPr>
            <w:tcW w:w="1521" w:type="dxa"/>
            <w:tcBorders>
              <w:top w:val="nil"/>
              <w:left w:val="nil"/>
              <w:bottom w:val="single" w:sz="4" w:space="0" w:color="auto"/>
              <w:right w:val="single" w:sz="4" w:space="0" w:color="auto"/>
            </w:tcBorders>
            <w:shd w:val="clear" w:color="auto" w:fill="auto"/>
            <w:noWrap/>
            <w:vAlign w:val="center"/>
            <w:hideMark/>
          </w:tcPr>
          <w:p w14:paraId="64887C0A" w14:textId="77777777" w:rsidR="008A236E" w:rsidRPr="002B17BF" w:rsidRDefault="008A236E" w:rsidP="008A236E">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56</w:t>
            </w:r>
          </w:p>
        </w:tc>
        <w:tc>
          <w:tcPr>
            <w:tcW w:w="1521" w:type="dxa"/>
            <w:tcBorders>
              <w:top w:val="nil"/>
              <w:left w:val="nil"/>
              <w:bottom w:val="single" w:sz="4" w:space="0" w:color="auto"/>
              <w:right w:val="single" w:sz="4" w:space="0" w:color="auto"/>
            </w:tcBorders>
            <w:shd w:val="clear" w:color="auto" w:fill="auto"/>
            <w:noWrap/>
            <w:vAlign w:val="center"/>
            <w:hideMark/>
          </w:tcPr>
          <w:p w14:paraId="630B7E6C" w14:textId="77777777" w:rsidR="008A236E" w:rsidRPr="002B17BF" w:rsidRDefault="008A236E" w:rsidP="008A236E">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4AFDD990" w14:textId="77777777" w:rsidR="008A236E" w:rsidRPr="002B17BF" w:rsidRDefault="008A236E" w:rsidP="008A236E">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nil"/>
              <w:bottom w:val="single" w:sz="4" w:space="0" w:color="auto"/>
              <w:right w:val="single" w:sz="4" w:space="0" w:color="auto"/>
            </w:tcBorders>
            <w:shd w:val="clear" w:color="auto" w:fill="auto"/>
            <w:noWrap/>
            <w:vAlign w:val="center"/>
            <w:hideMark/>
          </w:tcPr>
          <w:p w14:paraId="07904B79" w14:textId="77777777" w:rsidR="008A236E" w:rsidRPr="002B17BF" w:rsidRDefault="008A236E" w:rsidP="008A236E">
            <w:pPr>
              <w:ind w:left="0" w:firstLine="0"/>
              <w:rPr>
                <w:rFonts w:eastAsia="Times New Roman" w:cs="Calibri"/>
                <w:noProof/>
                <w:color w:val="0070C0"/>
                <w:sz w:val="20"/>
                <w:szCs w:val="20"/>
                <w:lang w:val="es-ES" w:eastAsia="en-GB"/>
              </w:rPr>
            </w:pPr>
            <w:r w:rsidRPr="002B17BF">
              <w:rPr>
                <w:rFonts w:eastAsia="Times New Roman" w:cs="Calibri"/>
                <w:noProof/>
                <w:color w:val="0070C0"/>
                <w:sz w:val="20"/>
                <w:szCs w:val="20"/>
                <w:lang w:val="es-ES" w:eastAsia="en-GB"/>
              </w:rPr>
              <w:t> </w:t>
            </w:r>
          </w:p>
        </w:tc>
        <w:tc>
          <w:tcPr>
            <w:tcW w:w="1521" w:type="dxa"/>
            <w:tcBorders>
              <w:top w:val="nil"/>
              <w:left w:val="nil"/>
              <w:bottom w:val="single" w:sz="4" w:space="0" w:color="auto"/>
              <w:right w:val="single" w:sz="4" w:space="0" w:color="auto"/>
            </w:tcBorders>
            <w:shd w:val="clear" w:color="auto" w:fill="auto"/>
            <w:noWrap/>
            <w:vAlign w:val="center"/>
            <w:hideMark/>
          </w:tcPr>
          <w:p w14:paraId="45AC127C" w14:textId="77777777" w:rsidR="008A236E" w:rsidRPr="002B17BF" w:rsidRDefault="008A236E" w:rsidP="008A236E">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56</w:t>
            </w:r>
          </w:p>
        </w:tc>
      </w:tr>
      <w:tr w:rsidR="003360DC" w:rsidRPr="002B17BF" w14:paraId="4B0F3265" w14:textId="77777777" w:rsidTr="00223E5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4BB0C9DE" w14:textId="1593E499" w:rsidR="003360DC" w:rsidRPr="002B17BF" w:rsidRDefault="008A236E" w:rsidP="003360DC">
            <w:pPr>
              <w:ind w:left="0" w:firstLine="0"/>
              <w:rPr>
                <w:rFonts w:eastAsia="Times New Roman" w:cs="Calibri"/>
                <w:noProof/>
                <w:sz w:val="20"/>
                <w:szCs w:val="20"/>
                <w:lang w:val="es-ES" w:eastAsia="en-GB"/>
              </w:rPr>
            </w:pPr>
            <w:r w:rsidRPr="002B17BF">
              <w:rPr>
                <w:rFonts w:eastAsia="Times New Roman" w:cs="Calibri"/>
                <w:noProof/>
                <w:sz w:val="20"/>
                <w:szCs w:val="20"/>
                <w:lang w:val="es-ES" w:eastAsia="en-GB"/>
              </w:rPr>
              <w:t>Remodelación del sitio web</w:t>
            </w:r>
          </w:p>
        </w:tc>
        <w:tc>
          <w:tcPr>
            <w:tcW w:w="1521" w:type="dxa"/>
            <w:tcBorders>
              <w:top w:val="nil"/>
              <w:left w:val="nil"/>
              <w:bottom w:val="single" w:sz="4" w:space="0" w:color="auto"/>
              <w:right w:val="single" w:sz="4" w:space="0" w:color="auto"/>
            </w:tcBorders>
            <w:shd w:val="clear" w:color="auto" w:fill="auto"/>
            <w:noWrap/>
            <w:vAlign w:val="center"/>
            <w:hideMark/>
          </w:tcPr>
          <w:p w14:paraId="583D3492" w14:textId="77777777" w:rsidR="003360DC" w:rsidRPr="002B17BF" w:rsidRDefault="003360DC" w:rsidP="003360DC">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nil"/>
              <w:bottom w:val="single" w:sz="4" w:space="0" w:color="auto"/>
              <w:right w:val="single" w:sz="4" w:space="0" w:color="auto"/>
            </w:tcBorders>
            <w:shd w:val="clear" w:color="auto" w:fill="auto"/>
            <w:noWrap/>
            <w:vAlign w:val="center"/>
            <w:hideMark/>
          </w:tcPr>
          <w:p w14:paraId="3F16A699" w14:textId="77777777" w:rsidR="003360DC" w:rsidRPr="002B17BF" w:rsidRDefault="003360DC" w:rsidP="003360DC">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63020216" w14:textId="77777777" w:rsidR="003360DC" w:rsidRPr="002B17BF" w:rsidRDefault="003360DC" w:rsidP="003360DC">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86</w:t>
            </w:r>
          </w:p>
        </w:tc>
        <w:tc>
          <w:tcPr>
            <w:tcW w:w="1521" w:type="dxa"/>
            <w:tcBorders>
              <w:top w:val="nil"/>
              <w:left w:val="nil"/>
              <w:bottom w:val="single" w:sz="4" w:space="0" w:color="auto"/>
              <w:right w:val="single" w:sz="4" w:space="0" w:color="auto"/>
            </w:tcBorders>
            <w:shd w:val="clear" w:color="auto" w:fill="auto"/>
            <w:noWrap/>
            <w:vAlign w:val="center"/>
            <w:hideMark/>
          </w:tcPr>
          <w:p w14:paraId="5F170345" w14:textId="77777777" w:rsidR="003360DC" w:rsidRPr="002B17BF" w:rsidRDefault="003360DC" w:rsidP="003360DC">
            <w:pPr>
              <w:ind w:left="0" w:firstLine="0"/>
              <w:rPr>
                <w:rFonts w:eastAsia="Times New Roman" w:cs="Calibri"/>
                <w:noProof/>
                <w:color w:val="0070C0"/>
                <w:sz w:val="20"/>
                <w:szCs w:val="20"/>
                <w:lang w:val="es-ES" w:eastAsia="en-GB"/>
              </w:rPr>
            </w:pPr>
            <w:r w:rsidRPr="002B17BF">
              <w:rPr>
                <w:rFonts w:eastAsia="Times New Roman" w:cs="Calibri"/>
                <w:noProof/>
                <w:color w:val="0070C0"/>
                <w:sz w:val="20"/>
                <w:szCs w:val="20"/>
                <w:lang w:val="es-ES" w:eastAsia="en-GB"/>
              </w:rPr>
              <w:t> </w:t>
            </w:r>
          </w:p>
        </w:tc>
        <w:tc>
          <w:tcPr>
            <w:tcW w:w="1521" w:type="dxa"/>
            <w:tcBorders>
              <w:top w:val="nil"/>
              <w:left w:val="nil"/>
              <w:bottom w:val="single" w:sz="4" w:space="0" w:color="auto"/>
              <w:right w:val="single" w:sz="4" w:space="0" w:color="auto"/>
            </w:tcBorders>
            <w:shd w:val="clear" w:color="auto" w:fill="auto"/>
            <w:noWrap/>
            <w:vAlign w:val="center"/>
            <w:hideMark/>
          </w:tcPr>
          <w:p w14:paraId="10E562E2" w14:textId="77777777" w:rsidR="003360DC" w:rsidRPr="002B17BF" w:rsidRDefault="003360DC" w:rsidP="003360DC">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86</w:t>
            </w:r>
          </w:p>
        </w:tc>
      </w:tr>
      <w:tr w:rsidR="003360DC" w:rsidRPr="002B17BF" w14:paraId="5D36C47E" w14:textId="77777777" w:rsidTr="00223E5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210D32AC" w14:textId="5C8D1ABF" w:rsidR="003360DC" w:rsidRPr="002B17BF" w:rsidRDefault="008A236E" w:rsidP="003360DC">
            <w:pPr>
              <w:ind w:left="0" w:firstLine="0"/>
              <w:rPr>
                <w:rFonts w:eastAsia="Times New Roman" w:cs="Calibri"/>
                <w:noProof/>
                <w:sz w:val="20"/>
                <w:szCs w:val="20"/>
                <w:lang w:val="es-ES" w:eastAsia="en-GB"/>
              </w:rPr>
            </w:pPr>
            <w:r w:rsidRPr="002B17BF">
              <w:rPr>
                <w:rFonts w:eastAsia="Times New Roman" w:cs="Calibri"/>
                <w:noProof/>
                <w:sz w:val="20"/>
                <w:szCs w:val="20"/>
                <w:lang w:val="es-ES" w:eastAsia="en-GB"/>
              </w:rPr>
              <w:t>Viajes</w:t>
            </w:r>
          </w:p>
        </w:tc>
        <w:tc>
          <w:tcPr>
            <w:tcW w:w="1521" w:type="dxa"/>
            <w:tcBorders>
              <w:top w:val="nil"/>
              <w:left w:val="nil"/>
              <w:bottom w:val="single" w:sz="4" w:space="0" w:color="auto"/>
              <w:right w:val="single" w:sz="4" w:space="0" w:color="auto"/>
            </w:tcBorders>
            <w:shd w:val="clear" w:color="auto" w:fill="auto"/>
            <w:noWrap/>
            <w:vAlign w:val="center"/>
            <w:hideMark/>
          </w:tcPr>
          <w:p w14:paraId="125DAC21" w14:textId="77777777" w:rsidR="003360DC" w:rsidRPr="002B17BF" w:rsidRDefault="003360DC" w:rsidP="003360DC">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10</w:t>
            </w:r>
          </w:p>
        </w:tc>
        <w:tc>
          <w:tcPr>
            <w:tcW w:w="1521" w:type="dxa"/>
            <w:tcBorders>
              <w:top w:val="nil"/>
              <w:left w:val="nil"/>
              <w:bottom w:val="single" w:sz="4" w:space="0" w:color="auto"/>
              <w:right w:val="single" w:sz="4" w:space="0" w:color="auto"/>
            </w:tcBorders>
            <w:shd w:val="clear" w:color="auto" w:fill="auto"/>
            <w:noWrap/>
            <w:vAlign w:val="center"/>
            <w:hideMark/>
          </w:tcPr>
          <w:p w14:paraId="2EA137F2" w14:textId="77777777" w:rsidR="003360DC" w:rsidRPr="002B17BF" w:rsidRDefault="003360DC" w:rsidP="003360DC">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5</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79EBFD1A" w14:textId="77777777" w:rsidR="003360DC" w:rsidRPr="002B17BF" w:rsidRDefault="003360DC" w:rsidP="003360DC">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0</w:t>
            </w:r>
          </w:p>
        </w:tc>
        <w:tc>
          <w:tcPr>
            <w:tcW w:w="1521" w:type="dxa"/>
            <w:tcBorders>
              <w:top w:val="nil"/>
              <w:left w:val="nil"/>
              <w:bottom w:val="single" w:sz="4" w:space="0" w:color="auto"/>
              <w:right w:val="single" w:sz="4" w:space="0" w:color="auto"/>
            </w:tcBorders>
            <w:shd w:val="clear" w:color="auto" w:fill="auto"/>
            <w:noWrap/>
            <w:vAlign w:val="center"/>
            <w:hideMark/>
          </w:tcPr>
          <w:p w14:paraId="6D59C581" w14:textId="77777777" w:rsidR="003360DC" w:rsidRPr="002B17BF" w:rsidRDefault="003360DC" w:rsidP="003360DC">
            <w:pPr>
              <w:ind w:left="0" w:firstLine="0"/>
              <w:rPr>
                <w:rFonts w:eastAsia="Times New Roman" w:cs="Calibri"/>
                <w:noProof/>
                <w:sz w:val="20"/>
                <w:szCs w:val="20"/>
                <w:lang w:val="es-ES" w:eastAsia="en-GB"/>
              </w:rPr>
            </w:pPr>
            <w:r w:rsidRPr="002B17BF">
              <w:rPr>
                <w:rFonts w:eastAsia="Times New Roman" w:cs="Calibri"/>
                <w:noProof/>
                <w:sz w:val="20"/>
                <w:szCs w:val="20"/>
                <w:lang w:val="es-ES" w:eastAsia="en-GB"/>
              </w:rPr>
              <w:t> </w:t>
            </w:r>
          </w:p>
        </w:tc>
        <w:tc>
          <w:tcPr>
            <w:tcW w:w="1521" w:type="dxa"/>
            <w:tcBorders>
              <w:top w:val="nil"/>
              <w:left w:val="nil"/>
              <w:bottom w:val="single" w:sz="4" w:space="0" w:color="auto"/>
              <w:right w:val="single" w:sz="4" w:space="0" w:color="auto"/>
            </w:tcBorders>
            <w:shd w:val="clear" w:color="auto" w:fill="auto"/>
            <w:noWrap/>
            <w:vAlign w:val="center"/>
            <w:hideMark/>
          </w:tcPr>
          <w:p w14:paraId="27FAD7D5" w14:textId="77777777" w:rsidR="003360DC" w:rsidRPr="002B17BF" w:rsidRDefault="003360DC" w:rsidP="003360DC">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15</w:t>
            </w:r>
          </w:p>
        </w:tc>
      </w:tr>
      <w:tr w:rsidR="008A236E" w:rsidRPr="002B17BF" w14:paraId="05F9EC88" w14:textId="77777777" w:rsidTr="00223E58">
        <w:trPr>
          <w:trHeight w:val="270"/>
        </w:trPr>
        <w:tc>
          <w:tcPr>
            <w:tcW w:w="4792" w:type="dxa"/>
            <w:tcBorders>
              <w:top w:val="nil"/>
              <w:left w:val="single" w:sz="4" w:space="0" w:color="auto"/>
              <w:bottom w:val="single" w:sz="4" w:space="0" w:color="auto"/>
              <w:right w:val="single" w:sz="4" w:space="0" w:color="auto"/>
            </w:tcBorders>
            <w:shd w:val="clear" w:color="000000" w:fill="EAF1DD"/>
            <w:vAlign w:val="center"/>
            <w:hideMark/>
          </w:tcPr>
          <w:p w14:paraId="191D05DE" w14:textId="27E3B263" w:rsidR="008A236E" w:rsidRPr="002B17BF" w:rsidRDefault="008A236E" w:rsidP="008A236E">
            <w:pPr>
              <w:ind w:left="0" w:firstLine="0"/>
              <w:rPr>
                <w:rFonts w:eastAsia="Times New Roman" w:cs="Calibri"/>
                <w:noProof/>
                <w:sz w:val="20"/>
                <w:szCs w:val="20"/>
                <w:lang w:val="es-ES" w:eastAsia="en-GB"/>
              </w:rPr>
            </w:pPr>
            <w:r w:rsidRPr="002B17BF">
              <w:rPr>
                <w:noProof/>
                <w:color w:val="000000"/>
                <w:sz w:val="20"/>
                <w:lang w:val="es-ES"/>
              </w:rPr>
              <w:lastRenderedPageBreak/>
              <w:t xml:space="preserve">C. </w:t>
            </w:r>
            <w:r w:rsidRPr="002B17BF">
              <w:rPr>
                <w:rFonts w:eastAsia="Times New Roman" w:cs="Calibri"/>
                <w:noProof/>
                <w:color w:val="000000"/>
                <w:sz w:val="20"/>
                <w:szCs w:val="20"/>
                <w:lang w:val="es-ES" w:eastAsia="en-GB"/>
              </w:rPr>
              <w:t xml:space="preserve"> </w:t>
            </w:r>
            <w:r w:rsidRPr="002B17BF">
              <w:rPr>
                <w:noProof/>
                <w:color w:val="000000"/>
                <w:sz w:val="20"/>
                <w:lang w:val="es-ES"/>
              </w:rPr>
              <w:t>Asesoramiento y apoyo regionales</w:t>
            </w:r>
          </w:p>
        </w:tc>
        <w:tc>
          <w:tcPr>
            <w:tcW w:w="1521" w:type="dxa"/>
            <w:tcBorders>
              <w:top w:val="nil"/>
              <w:left w:val="nil"/>
              <w:bottom w:val="single" w:sz="4" w:space="0" w:color="auto"/>
              <w:right w:val="single" w:sz="4" w:space="0" w:color="auto"/>
            </w:tcBorders>
            <w:shd w:val="clear" w:color="000000" w:fill="EAF1DD"/>
            <w:noWrap/>
            <w:vAlign w:val="center"/>
            <w:hideMark/>
          </w:tcPr>
          <w:p w14:paraId="0976E54D" w14:textId="16CBCFD5" w:rsidR="008A236E" w:rsidRPr="002B17BF" w:rsidRDefault="008A236E" w:rsidP="008A236E">
            <w:pPr>
              <w:ind w:left="0" w:firstLine="0"/>
              <w:jc w:val="right"/>
              <w:rPr>
                <w:rFonts w:eastAsia="Times New Roman" w:cs="Calibri"/>
                <w:b/>
                <w:bCs/>
                <w:noProof/>
                <w:sz w:val="20"/>
                <w:szCs w:val="20"/>
                <w:lang w:val="es-ES" w:eastAsia="en-GB"/>
              </w:rPr>
            </w:pPr>
            <w:r w:rsidRPr="002B17BF">
              <w:rPr>
                <w:rFonts w:eastAsia="Times New Roman" w:cs="Calibri"/>
                <w:b/>
                <w:bCs/>
                <w:noProof/>
                <w:sz w:val="20"/>
                <w:szCs w:val="20"/>
                <w:lang w:val="es-ES" w:eastAsia="en-GB"/>
              </w:rPr>
              <w:t>1</w:t>
            </w:r>
            <w:r w:rsidR="003520F6">
              <w:rPr>
                <w:rFonts w:eastAsia="Times New Roman" w:cs="Calibri"/>
                <w:b/>
                <w:bCs/>
                <w:noProof/>
                <w:sz w:val="20"/>
                <w:szCs w:val="20"/>
                <w:lang w:val="es-ES" w:eastAsia="en-GB"/>
              </w:rPr>
              <w:t xml:space="preserve"> </w:t>
            </w:r>
            <w:r w:rsidRPr="002B17BF">
              <w:rPr>
                <w:rFonts w:eastAsia="Times New Roman" w:cs="Calibri"/>
                <w:b/>
                <w:bCs/>
                <w:noProof/>
                <w:sz w:val="20"/>
                <w:szCs w:val="20"/>
                <w:lang w:val="es-ES" w:eastAsia="en-GB"/>
              </w:rPr>
              <w:t>237</w:t>
            </w:r>
          </w:p>
        </w:tc>
        <w:tc>
          <w:tcPr>
            <w:tcW w:w="1521" w:type="dxa"/>
            <w:tcBorders>
              <w:top w:val="nil"/>
              <w:left w:val="nil"/>
              <w:bottom w:val="single" w:sz="4" w:space="0" w:color="auto"/>
              <w:right w:val="single" w:sz="4" w:space="0" w:color="auto"/>
            </w:tcBorders>
            <w:shd w:val="clear" w:color="000000" w:fill="EAF1DD"/>
            <w:noWrap/>
            <w:vAlign w:val="center"/>
            <w:hideMark/>
          </w:tcPr>
          <w:p w14:paraId="314771AC" w14:textId="77777777" w:rsidR="008A236E" w:rsidRPr="002B17BF" w:rsidRDefault="008A236E" w:rsidP="008A236E">
            <w:pPr>
              <w:ind w:left="0" w:firstLine="0"/>
              <w:jc w:val="right"/>
              <w:rPr>
                <w:rFonts w:eastAsia="Times New Roman" w:cs="Calibri"/>
                <w:b/>
                <w:bCs/>
                <w:noProof/>
                <w:sz w:val="20"/>
                <w:szCs w:val="20"/>
                <w:lang w:val="es-ES" w:eastAsia="en-GB"/>
              </w:rPr>
            </w:pPr>
            <w:r w:rsidRPr="002B17BF">
              <w:rPr>
                <w:rFonts w:eastAsia="Times New Roman" w:cs="Calibri"/>
                <w:b/>
                <w:bCs/>
                <w:noProof/>
                <w:sz w:val="20"/>
                <w:szCs w:val="20"/>
                <w:lang w:val="es-ES" w:eastAsia="en-GB"/>
              </w:rPr>
              <w:t>10</w:t>
            </w:r>
          </w:p>
        </w:tc>
        <w:tc>
          <w:tcPr>
            <w:tcW w:w="1521" w:type="dxa"/>
            <w:tcBorders>
              <w:top w:val="nil"/>
              <w:left w:val="single" w:sz="4" w:space="0" w:color="auto"/>
              <w:bottom w:val="single" w:sz="4" w:space="0" w:color="auto"/>
              <w:right w:val="single" w:sz="4" w:space="0" w:color="auto"/>
            </w:tcBorders>
            <w:shd w:val="clear" w:color="000000" w:fill="EAF1DD"/>
            <w:noWrap/>
            <w:vAlign w:val="center"/>
            <w:hideMark/>
          </w:tcPr>
          <w:p w14:paraId="1CE09DE4" w14:textId="77777777" w:rsidR="008A236E" w:rsidRPr="002B17BF" w:rsidRDefault="008A236E" w:rsidP="008A236E">
            <w:pPr>
              <w:ind w:left="0" w:firstLine="0"/>
              <w:jc w:val="right"/>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96</w:t>
            </w:r>
          </w:p>
        </w:tc>
        <w:tc>
          <w:tcPr>
            <w:tcW w:w="1521" w:type="dxa"/>
            <w:tcBorders>
              <w:top w:val="nil"/>
              <w:left w:val="nil"/>
              <w:bottom w:val="single" w:sz="4" w:space="0" w:color="auto"/>
              <w:right w:val="single" w:sz="4" w:space="0" w:color="auto"/>
            </w:tcBorders>
            <w:shd w:val="clear" w:color="000000" w:fill="EAF1DD"/>
            <w:noWrap/>
            <w:vAlign w:val="center"/>
            <w:hideMark/>
          </w:tcPr>
          <w:p w14:paraId="7015F576" w14:textId="77777777" w:rsidR="008A236E" w:rsidRPr="002B17BF" w:rsidRDefault="008A236E" w:rsidP="008A236E">
            <w:pPr>
              <w:ind w:left="0" w:firstLine="0"/>
              <w:jc w:val="right"/>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0</w:t>
            </w:r>
          </w:p>
        </w:tc>
        <w:tc>
          <w:tcPr>
            <w:tcW w:w="1521" w:type="dxa"/>
            <w:tcBorders>
              <w:top w:val="nil"/>
              <w:left w:val="nil"/>
              <w:bottom w:val="single" w:sz="4" w:space="0" w:color="auto"/>
              <w:right w:val="single" w:sz="4" w:space="0" w:color="auto"/>
            </w:tcBorders>
            <w:shd w:val="clear" w:color="000000" w:fill="EAF1DD"/>
            <w:noWrap/>
            <w:vAlign w:val="center"/>
            <w:hideMark/>
          </w:tcPr>
          <w:p w14:paraId="1576B491" w14:textId="68C68F32" w:rsidR="008A236E" w:rsidRPr="002B17BF" w:rsidRDefault="008A236E" w:rsidP="008A236E">
            <w:pPr>
              <w:ind w:left="0" w:firstLine="0"/>
              <w:jc w:val="right"/>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1</w:t>
            </w:r>
            <w:r w:rsidR="003520F6">
              <w:rPr>
                <w:rFonts w:eastAsia="Times New Roman" w:cs="Calibri"/>
                <w:b/>
                <w:bCs/>
                <w:noProof/>
                <w:color w:val="000000"/>
                <w:sz w:val="20"/>
                <w:szCs w:val="20"/>
                <w:lang w:val="es-ES" w:eastAsia="en-GB"/>
              </w:rPr>
              <w:t xml:space="preserve"> </w:t>
            </w:r>
            <w:r w:rsidRPr="002B17BF">
              <w:rPr>
                <w:rFonts w:eastAsia="Times New Roman" w:cs="Calibri"/>
                <w:b/>
                <w:bCs/>
                <w:noProof/>
                <w:color w:val="000000"/>
                <w:sz w:val="20"/>
                <w:szCs w:val="20"/>
                <w:lang w:val="es-ES" w:eastAsia="en-GB"/>
              </w:rPr>
              <w:t>343</w:t>
            </w:r>
          </w:p>
        </w:tc>
      </w:tr>
      <w:tr w:rsidR="008A236E" w:rsidRPr="002B17BF" w14:paraId="77563889" w14:textId="77777777" w:rsidTr="00223E58">
        <w:trPr>
          <w:trHeight w:val="270"/>
        </w:trPr>
        <w:tc>
          <w:tcPr>
            <w:tcW w:w="4792" w:type="dxa"/>
            <w:tcBorders>
              <w:top w:val="single" w:sz="4" w:space="0" w:color="auto"/>
              <w:left w:val="single" w:sz="4" w:space="0" w:color="auto"/>
              <w:bottom w:val="single" w:sz="4" w:space="0" w:color="auto"/>
              <w:right w:val="nil"/>
            </w:tcBorders>
            <w:shd w:val="clear" w:color="auto" w:fill="auto"/>
            <w:noWrap/>
            <w:vAlign w:val="center"/>
            <w:hideMark/>
          </w:tcPr>
          <w:p w14:paraId="5FF3C651" w14:textId="27BDD99B" w:rsidR="008A236E" w:rsidRPr="002B17BF" w:rsidRDefault="008A236E" w:rsidP="008A236E">
            <w:pPr>
              <w:ind w:left="0" w:firstLine="0"/>
              <w:rPr>
                <w:rFonts w:eastAsia="Times New Roman" w:cs="Calibri"/>
                <w:noProof/>
                <w:sz w:val="20"/>
                <w:szCs w:val="20"/>
                <w:lang w:val="es-ES" w:eastAsia="en-GB"/>
              </w:rPr>
            </w:pPr>
            <w:r w:rsidRPr="002B17BF">
              <w:rPr>
                <w:rFonts w:eastAsia="Times New Roman" w:cs="Calibri"/>
                <w:noProof/>
                <w:sz w:val="20"/>
                <w:szCs w:val="20"/>
                <w:lang w:val="es-ES" w:eastAsia="en-GB"/>
              </w:rPr>
              <w:t>Salarios, gastos sociales y otras prestaciones laborales</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260BF203" w14:textId="03B7EE81" w:rsidR="008A236E" w:rsidRPr="002B17BF" w:rsidRDefault="008A236E" w:rsidP="008A236E">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1</w:t>
            </w:r>
            <w:r w:rsidR="003520F6">
              <w:rPr>
                <w:rFonts w:eastAsia="Times New Roman" w:cs="Calibri"/>
                <w:noProof/>
                <w:sz w:val="20"/>
                <w:szCs w:val="20"/>
                <w:lang w:val="es-ES" w:eastAsia="en-GB"/>
              </w:rPr>
              <w:t xml:space="preserve"> </w:t>
            </w:r>
            <w:r w:rsidRPr="002B17BF">
              <w:rPr>
                <w:rFonts w:eastAsia="Times New Roman" w:cs="Calibri"/>
                <w:noProof/>
                <w:sz w:val="20"/>
                <w:szCs w:val="20"/>
                <w:lang w:val="es-ES" w:eastAsia="en-GB"/>
              </w:rPr>
              <w:t>170</w:t>
            </w:r>
          </w:p>
        </w:tc>
        <w:tc>
          <w:tcPr>
            <w:tcW w:w="1521" w:type="dxa"/>
            <w:tcBorders>
              <w:top w:val="nil"/>
              <w:left w:val="nil"/>
              <w:bottom w:val="single" w:sz="4" w:space="0" w:color="auto"/>
              <w:right w:val="single" w:sz="4" w:space="0" w:color="auto"/>
            </w:tcBorders>
            <w:shd w:val="clear" w:color="auto" w:fill="auto"/>
            <w:noWrap/>
            <w:vAlign w:val="center"/>
            <w:hideMark/>
          </w:tcPr>
          <w:p w14:paraId="335015BD" w14:textId="77777777" w:rsidR="008A236E" w:rsidRPr="002B17BF" w:rsidRDefault="008A236E" w:rsidP="008A236E">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225EB36D" w14:textId="77777777" w:rsidR="008A236E" w:rsidRPr="002B17BF" w:rsidRDefault="008A236E" w:rsidP="008A236E">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0</w:t>
            </w:r>
          </w:p>
        </w:tc>
        <w:tc>
          <w:tcPr>
            <w:tcW w:w="1521" w:type="dxa"/>
            <w:tcBorders>
              <w:top w:val="nil"/>
              <w:left w:val="nil"/>
              <w:bottom w:val="single" w:sz="4" w:space="0" w:color="auto"/>
              <w:right w:val="single" w:sz="4" w:space="0" w:color="auto"/>
            </w:tcBorders>
            <w:shd w:val="clear" w:color="auto" w:fill="auto"/>
            <w:noWrap/>
            <w:vAlign w:val="center"/>
            <w:hideMark/>
          </w:tcPr>
          <w:p w14:paraId="2616262E" w14:textId="77777777" w:rsidR="008A236E" w:rsidRPr="002B17BF" w:rsidRDefault="008A236E" w:rsidP="008A236E">
            <w:pPr>
              <w:ind w:left="0" w:firstLine="0"/>
              <w:rPr>
                <w:rFonts w:eastAsia="Times New Roman" w:cs="Calibri"/>
                <w:noProof/>
                <w:sz w:val="20"/>
                <w:szCs w:val="20"/>
                <w:lang w:val="es-ES" w:eastAsia="en-GB"/>
              </w:rPr>
            </w:pPr>
            <w:r w:rsidRPr="002B17BF">
              <w:rPr>
                <w:rFonts w:eastAsia="Times New Roman" w:cs="Calibri"/>
                <w:noProof/>
                <w:sz w:val="20"/>
                <w:szCs w:val="20"/>
                <w:lang w:val="es-ES" w:eastAsia="en-GB"/>
              </w:rPr>
              <w:t> </w:t>
            </w:r>
          </w:p>
        </w:tc>
        <w:tc>
          <w:tcPr>
            <w:tcW w:w="1521" w:type="dxa"/>
            <w:tcBorders>
              <w:top w:val="nil"/>
              <w:left w:val="nil"/>
              <w:bottom w:val="single" w:sz="4" w:space="0" w:color="auto"/>
              <w:right w:val="single" w:sz="4" w:space="0" w:color="auto"/>
            </w:tcBorders>
            <w:shd w:val="clear" w:color="auto" w:fill="auto"/>
            <w:noWrap/>
            <w:vAlign w:val="center"/>
            <w:hideMark/>
          </w:tcPr>
          <w:p w14:paraId="3AC3746C" w14:textId="767160D4" w:rsidR="008A236E" w:rsidRPr="002B17BF" w:rsidRDefault="008A236E" w:rsidP="008A236E">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1</w:t>
            </w:r>
            <w:r w:rsidR="003520F6">
              <w:rPr>
                <w:rFonts w:eastAsia="Times New Roman" w:cs="Calibri"/>
                <w:noProof/>
                <w:color w:val="000000"/>
                <w:sz w:val="20"/>
                <w:szCs w:val="20"/>
                <w:lang w:val="es-ES" w:eastAsia="en-GB"/>
              </w:rPr>
              <w:t xml:space="preserve"> </w:t>
            </w:r>
            <w:r w:rsidRPr="002B17BF">
              <w:rPr>
                <w:rFonts w:eastAsia="Times New Roman" w:cs="Calibri"/>
                <w:noProof/>
                <w:color w:val="000000"/>
                <w:sz w:val="20"/>
                <w:szCs w:val="20"/>
                <w:lang w:val="es-ES" w:eastAsia="en-GB"/>
              </w:rPr>
              <w:t>170</w:t>
            </w:r>
          </w:p>
        </w:tc>
      </w:tr>
      <w:tr w:rsidR="008A236E" w:rsidRPr="002B17BF" w14:paraId="76E8954A" w14:textId="77777777" w:rsidTr="00223E58">
        <w:trPr>
          <w:trHeight w:val="270"/>
        </w:trPr>
        <w:tc>
          <w:tcPr>
            <w:tcW w:w="4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3CFCA" w14:textId="396B4F5D" w:rsidR="008A236E" w:rsidRPr="002B17BF" w:rsidRDefault="008A236E" w:rsidP="008A236E">
            <w:pPr>
              <w:ind w:left="0" w:firstLine="0"/>
              <w:rPr>
                <w:rFonts w:eastAsia="Times New Roman" w:cs="Calibri"/>
                <w:noProof/>
                <w:sz w:val="20"/>
                <w:szCs w:val="20"/>
                <w:lang w:val="es-ES" w:eastAsia="en-GB"/>
              </w:rPr>
            </w:pPr>
            <w:r w:rsidRPr="002B17BF">
              <w:rPr>
                <w:rFonts w:eastAsia="Times New Roman" w:cs="Calibri"/>
                <w:noProof/>
                <w:color w:val="000000"/>
                <w:sz w:val="20"/>
                <w:szCs w:val="20"/>
                <w:lang w:val="es-ES" w:eastAsia="en-GB"/>
              </w:rPr>
              <w:t>Viajes</w:t>
            </w:r>
          </w:p>
        </w:tc>
        <w:tc>
          <w:tcPr>
            <w:tcW w:w="1521" w:type="dxa"/>
            <w:tcBorders>
              <w:top w:val="nil"/>
              <w:left w:val="nil"/>
              <w:bottom w:val="single" w:sz="4" w:space="0" w:color="auto"/>
              <w:right w:val="single" w:sz="4" w:space="0" w:color="auto"/>
            </w:tcBorders>
            <w:shd w:val="clear" w:color="auto" w:fill="auto"/>
            <w:noWrap/>
            <w:vAlign w:val="center"/>
            <w:hideMark/>
          </w:tcPr>
          <w:p w14:paraId="10074124" w14:textId="77777777" w:rsidR="008A236E" w:rsidRPr="002B17BF" w:rsidRDefault="008A236E" w:rsidP="008A236E">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67</w:t>
            </w:r>
          </w:p>
        </w:tc>
        <w:tc>
          <w:tcPr>
            <w:tcW w:w="1521" w:type="dxa"/>
            <w:tcBorders>
              <w:top w:val="nil"/>
              <w:left w:val="nil"/>
              <w:bottom w:val="single" w:sz="4" w:space="0" w:color="auto"/>
              <w:right w:val="single" w:sz="4" w:space="0" w:color="auto"/>
            </w:tcBorders>
            <w:shd w:val="clear" w:color="auto" w:fill="auto"/>
            <w:noWrap/>
            <w:vAlign w:val="center"/>
            <w:hideMark/>
          </w:tcPr>
          <w:p w14:paraId="015AC3DF" w14:textId="77777777" w:rsidR="008A236E" w:rsidRPr="002B17BF" w:rsidRDefault="008A236E" w:rsidP="008A236E">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10</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1218E18F" w14:textId="77777777" w:rsidR="008A236E" w:rsidRPr="002B17BF" w:rsidRDefault="008A236E" w:rsidP="008A236E">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0</w:t>
            </w:r>
          </w:p>
        </w:tc>
        <w:tc>
          <w:tcPr>
            <w:tcW w:w="1521" w:type="dxa"/>
            <w:tcBorders>
              <w:top w:val="nil"/>
              <w:left w:val="nil"/>
              <w:bottom w:val="single" w:sz="4" w:space="0" w:color="auto"/>
              <w:right w:val="single" w:sz="4" w:space="0" w:color="auto"/>
            </w:tcBorders>
            <w:shd w:val="clear" w:color="auto" w:fill="auto"/>
            <w:noWrap/>
            <w:vAlign w:val="center"/>
            <w:hideMark/>
          </w:tcPr>
          <w:p w14:paraId="5F91F07B" w14:textId="77777777" w:rsidR="008A236E" w:rsidRPr="002B17BF" w:rsidRDefault="008A236E" w:rsidP="008A236E">
            <w:pPr>
              <w:ind w:left="0" w:firstLine="0"/>
              <w:rPr>
                <w:rFonts w:eastAsia="Times New Roman" w:cs="Calibri"/>
                <w:noProof/>
                <w:sz w:val="20"/>
                <w:szCs w:val="20"/>
                <w:lang w:val="es-ES" w:eastAsia="en-GB"/>
              </w:rPr>
            </w:pPr>
            <w:r w:rsidRPr="002B17BF">
              <w:rPr>
                <w:rFonts w:eastAsia="Times New Roman" w:cs="Calibri"/>
                <w:noProof/>
                <w:sz w:val="20"/>
                <w:szCs w:val="20"/>
                <w:lang w:val="es-ES" w:eastAsia="en-GB"/>
              </w:rPr>
              <w:t> </w:t>
            </w:r>
          </w:p>
        </w:tc>
        <w:tc>
          <w:tcPr>
            <w:tcW w:w="1521" w:type="dxa"/>
            <w:tcBorders>
              <w:top w:val="nil"/>
              <w:left w:val="nil"/>
              <w:bottom w:val="single" w:sz="4" w:space="0" w:color="auto"/>
              <w:right w:val="single" w:sz="4" w:space="0" w:color="auto"/>
            </w:tcBorders>
            <w:shd w:val="clear" w:color="auto" w:fill="auto"/>
            <w:noWrap/>
            <w:vAlign w:val="center"/>
            <w:hideMark/>
          </w:tcPr>
          <w:p w14:paraId="7CC3999A" w14:textId="77777777" w:rsidR="008A236E" w:rsidRPr="002B17BF" w:rsidRDefault="008A236E" w:rsidP="008A236E">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77</w:t>
            </w:r>
          </w:p>
        </w:tc>
      </w:tr>
      <w:tr w:rsidR="008A236E" w:rsidRPr="002B17BF" w14:paraId="1B8E8A1E" w14:textId="77777777" w:rsidTr="00223E5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53B42AE6" w14:textId="2A52F9F1" w:rsidR="008A236E" w:rsidRPr="002B17BF" w:rsidRDefault="008A236E" w:rsidP="008A236E">
            <w:pPr>
              <w:ind w:left="0" w:firstLine="0"/>
              <w:rPr>
                <w:rFonts w:eastAsia="Times New Roman" w:cs="Calibri"/>
                <w:noProof/>
                <w:sz w:val="20"/>
                <w:szCs w:val="20"/>
                <w:lang w:val="es-ES" w:eastAsia="en-GB"/>
              </w:rPr>
            </w:pPr>
            <w:r w:rsidRPr="002B17BF">
              <w:rPr>
                <w:noProof/>
                <w:color w:val="000000"/>
                <w:sz w:val="20"/>
                <w:lang w:val="es-ES"/>
              </w:rPr>
              <w:t>Misiones Ramsar de Asesoramiento</w:t>
            </w:r>
          </w:p>
        </w:tc>
        <w:tc>
          <w:tcPr>
            <w:tcW w:w="1521" w:type="dxa"/>
            <w:tcBorders>
              <w:top w:val="nil"/>
              <w:left w:val="nil"/>
              <w:bottom w:val="single" w:sz="4" w:space="0" w:color="auto"/>
              <w:right w:val="single" w:sz="4" w:space="0" w:color="auto"/>
            </w:tcBorders>
            <w:shd w:val="clear" w:color="auto" w:fill="auto"/>
            <w:noWrap/>
            <w:vAlign w:val="center"/>
            <w:hideMark/>
          </w:tcPr>
          <w:p w14:paraId="41DE8C80" w14:textId="77777777" w:rsidR="008A236E" w:rsidRPr="002B17BF" w:rsidRDefault="008A236E" w:rsidP="008A236E">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nil"/>
              <w:bottom w:val="single" w:sz="4" w:space="0" w:color="auto"/>
              <w:right w:val="single" w:sz="4" w:space="0" w:color="auto"/>
            </w:tcBorders>
            <w:shd w:val="clear" w:color="auto" w:fill="auto"/>
            <w:noWrap/>
            <w:vAlign w:val="center"/>
            <w:hideMark/>
          </w:tcPr>
          <w:p w14:paraId="11C0E744" w14:textId="77777777" w:rsidR="008A236E" w:rsidRPr="002B17BF" w:rsidRDefault="008A236E" w:rsidP="008A236E">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3074CA3C" w14:textId="77777777" w:rsidR="008A236E" w:rsidRPr="002B17BF" w:rsidRDefault="008A236E" w:rsidP="008A236E">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96</w:t>
            </w:r>
          </w:p>
        </w:tc>
        <w:tc>
          <w:tcPr>
            <w:tcW w:w="1521" w:type="dxa"/>
            <w:tcBorders>
              <w:top w:val="nil"/>
              <w:left w:val="nil"/>
              <w:bottom w:val="single" w:sz="4" w:space="0" w:color="auto"/>
              <w:right w:val="single" w:sz="4" w:space="0" w:color="auto"/>
            </w:tcBorders>
            <w:shd w:val="clear" w:color="auto" w:fill="auto"/>
            <w:noWrap/>
            <w:vAlign w:val="center"/>
            <w:hideMark/>
          </w:tcPr>
          <w:p w14:paraId="0B7F31EC" w14:textId="77777777" w:rsidR="008A236E" w:rsidRPr="002B17BF" w:rsidRDefault="008A236E" w:rsidP="008A236E">
            <w:pPr>
              <w:ind w:left="0" w:firstLine="0"/>
              <w:rPr>
                <w:rFonts w:eastAsia="Times New Roman" w:cs="Calibri"/>
                <w:noProof/>
                <w:sz w:val="20"/>
                <w:szCs w:val="20"/>
                <w:lang w:val="es-ES" w:eastAsia="en-GB"/>
              </w:rPr>
            </w:pPr>
            <w:r w:rsidRPr="002B17BF">
              <w:rPr>
                <w:rFonts w:eastAsia="Times New Roman" w:cs="Calibri"/>
                <w:noProof/>
                <w:sz w:val="20"/>
                <w:szCs w:val="20"/>
                <w:lang w:val="es-ES" w:eastAsia="en-GB"/>
              </w:rPr>
              <w:t> </w:t>
            </w:r>
          </w:p>
        </w:tc>
        <w:tc>
          <w:tcPr>
            <w:tcW w:w="1521" w:type="dxa"/>
            <w:tcBorders>
              <w:top w:val="nil"/>
              <w:left w:val="nil"/>
              <w:bottom w:val="single" w:sz="4" w:space="0" w:color="auto"/>
              <w:right w:val="single" w:sz="4" w:space="0" w:color="auto"/>
            </w:tcBorders>
            <w:shd w:val="clear" w:color="auto" w:fill="auto"/>
            <w:noWrap/>
            <w:vAlign w:val="center"/>
            <w:hideMark/>
          </w:tcPr>
          <w:p w14:paraId="29AAE135" w14:textId="77777777" w:rsidR="008A236E" w:rsidRPr="002B17BF" w:rsidRDefault="008A236E" w:rsidP="008A236E">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96</w:t>
            </w:r>
          </w:p>
        </w:tc>
      </w:tr>
      <w:tr w:rsidR="008A236E" w:rsidRPr="002B17BF" w14:paraId="674ADC2B" w14:textId="77777777" w:rsidTr="00223E58">
        <w:trPr>
          <w:trHeight w:val="270"/>
        </w:trPr>
        <w:tc>
          <w:tcPr>
            <w:tcW w:w="4792" w:type="dxa"/>
            <w:tcBorders>
              <w:top w:val="nil"/>
              <w:left w:val="single" w:sz="4" w:space="0" w:color="auto"/>
              <w:bottom w:val="single" w:sz="4" w:space="0" w:color="auto"/>
              <w:right w:val="single" w:sz="4" w:space="0" w:color="auto"/>
            </w:tcBorders>
            <w:shd w:val="clear" w:color="000000" w:fill="EAF1DD"/>
            <w:vAlign w:val="center"/>
            <w:hideMark/>
          </w:tcPr>
          <w:p w14:paraId="46556EE6" w14:textId="0B3D9672" w:rsidR="008A236E" w:rsidRPr="002B17BF" w:rsidRDefault="008A236E" w:rsidP="008A236E">
            <w:pPr>
              <w:ind w:left="0" w:firstLine="0"/>
              <w:rPr>
                <w:rFonts w:eastAsia="Times New Roman" w:cs="Calibri"/>
                <w:noProof/>
                <w:sz w:val="20"/>
                <w:szCs w:val="20"/>
                <w:lang w:val="es-ES" w:eastAsia="en-GB"/>
              </w:rPr>
            </w:pPr>
            <w:r w:rsidRPr="002B17BF">
              <w:rPr>
                <w:noProof/>
                <w:color w:val="000000"/>
                <w:sz w:val="20"/>
                <w:lang w:val="es-ES"/>
              </w:rPr>
              <w:t>D.</w:t>
            </w:r>
            <w:r w:rsidRPr="002B17BF">
              <w:rPr>
                <w:rFonts w:eastAsia="Times New Roman" w:cs="Calibri"/>
                <w:noProof/>
                <w:color w:val="000000"/>
                <w:sz w:val="20"/>
                <w:szCs w:val="20"/>
                <w:lang w:val="es-ES" w:eastAsia="en-GB"/>
              </w:rPr>
              <w:t xml:space="preserve"> </w:t>
            </w:r>
            <w:r w:rsidRPr="002B17BF">
              <w:rPr>
                <w:noProof/>
                <w:color w:val="000000"/>
                <w:sz w:val="20"/>
                <w:lang w:val="es-ES"/>
              </w:rPr>
              <w:t xml:space="preserve"> Apoyo a las iniciativas regionales</w:t>
            </w:r>
          </w:p>
        </w:tc>
        <w:tc>
          <w:tcPr>
            <w:tcW w:w="1521" w:type="dxa"/>
            <w:tcBorders>
              <w:top w:val="nil"/>
              <w:left w:val="nil"/>
              <w:bottom w:val="single" w:sz="4" w:space="0" w:color="auto"/>
              <w:right w:val="single" w:sz="4" w:space="0" w:color="auto"/>
            </w:tcBorders>
            <w:shd w:val="clear" w:color="000000" w:fill="EAF1DD"/>
            <w:noWrap/>
            <w:vAlign w:val="center"/>
            <w:hideMark/>
          </w:tcPr>
          <w:p w14:paraId="568C4AC4" w14:textId="77777777" w:rsidR="008A236E" w:rsidRPr="002B17BF" w:rsidRDefault="008A236E" w:rsidP="008A236E">
            <w:pPr>
              <w:ind w:left="0" w:firstLine="0"/>
              <w:jc w:val="right"/>
              <w:rPr>
                <w:rFonts w:eastAsia="Times New Roman" w:cs="Calibri"/>
                <w:b/>
                <w:bCs/>
                <w:noProof/>
                <w:sz w:val="20"/>
                <w:szCs w:val="20"/>
                <w:lang w:val="es-ES" w:eastAsia="en-GB"/>
              </w:rPr>
            </w:pPr>
            <w:r w:rsidRPr="002B17BF">
              <w:rPr>
                <w:rFonts w:eastAsia="Times New Roman" w:cs="Calibri"/>
                <w:b/>
                <w:bCs/>
                <w:noProof/>
                <w:sz w:val="20"/>
                <w:szCs w:val="20"/>
                <w:lang w:val="es-ES" w:eastAsia="en-GB"/>
              </w:rPr>
              <w:t>100</w:t>
            </w:r>
          </w:p>
        </w:tc>
        <w:tc>
          <w:tcPr>
            <w:tcW w:w="1521" w:type="dxa"/>
            <w:tcBorders>
              <w:top w:val="nil"/>
              <w:left w:val="nil"/>
              <w:bottom w:val="single" w:sz="4" w:space="0" w:color="auto"/>
              <w:right w:val="single" w:sz="4" w:space="0" w:color="auto"/>
            </w:tcBorders>
            <w:shd w:val="clear" w:color="000000" w:fill="EAF1DD"/>
            <w:noWrap/>
            <w:vAlign w:val="center"/>
            <w:hideMark/>
          </w:tcPr>
          <w:p w14:paraId="5F1D198B" w14:textId="77777777" w:rsidR="008A236E" w:rsidRPr="002B17BF" w:rsidRDefault="008A236E" w:rsidP="008A236E">
            <w:pPr>
              <w:ind w:left="0" w:firstLine="0"/>
              <w:jc w:val="right"/>
              <w:rPr>
                <w:rFonts w:eastAsia="Times New Roman" w:cs="Calibri"/>
                <w:b/>
                <w:bCs/>
                <w:noProof/>
                <w:sz w:val="20"/>
                <w:szCs w:val="20"/>
                <w:lang w:val="es-ES" w:eastAsia="en-GB"/>
              </w:rPr>
            </w:pPr>
            <w:r w:rsidRPr="002B17BF">
              <w:rPr>
                <w:rFonts w:eastAsia="Times New Roman" w:cs="Calibri"/>
                <w:b/>
                <w:bCs/>
                <w:noProof/>
                <w:sz w:val="20"/>
                <w:szCs w:val="20"/>
                <w:lang w:val="es-ES" w:eastAsia="en-GB"/>
              </w:rPr>
              <w:t>0</w:t>
            </w:r>
          </w:p>
        </w:tc>
        <w:tc>
          <w:tcPr>
            <w:tcW w:w="1521" w:type="dxa"/>
            <w:tcBorders>
              <w:top w:val="nil"/>
              <w:left w:val="single" w:sz="4" w:space="0" w:color="auto"/>
              <w:bottom w:val="single" w:sz="4" w:space="0" w:color="auto"/>
              <w:right w:val="single" w:sz="4" w:space="0" w:color="auto"/>
            </w:tcBorders>
            <w:shd w:val="clear" w:color="000000" w:fill="EAF1DD"/>
            <w:noWrap/>
            <w:vAlign w:val="center"/>
            <w:hideMark/>
          </w:tcPr>
          <w:p w14:paraId="7A69C940" w14:textId="77777777" w:rsidR="008A236E" w:rsidRPr="002B17BF" w:rsidRDefault="008A236E" w:rsidP="008A236E">
            <w:pPr>
              <w:ind w:left="0" w:firstLine="0"/>
              <w:jc w:val="right"/>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76</w:t>
            </w:r>
          </w:p>
        </w:tc>
        <w:tc>
          <w:tcPr>
            <w:tcW w:w="1521" w:type="dxa"/>
            <w:tcBorders>
              <w:top w:val="nil"/>
              <w:left w:val="nil"/>
              <w:bottom w:val="single" w:sz="4" w:space="0" w:color="auto"/>
              <w:right w:val="single" w:sz="4" w:space="0" w:color="auto"/>
            </w:tcBorders>
            <w:shd w:val="clear" w:color="000000" w:fill="EAF1DD"/>
            <w:noWrap/>
            <w:vAlign w:val="center"/>
            <w:hideMark/>
          </w:tcPr>
          <w:p w14:paraId="475AA1B2" w14:textId="77777777" w:rsidR="008A236E" w:rsidRPr="002B17BF" w:rsidRDefault="008A236E" w:rsidP="008A236E">
            <w:pPr>
              <w:ind w:left="0" w:firstLine="0"/>
              <w:jc w:val="right"/>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0</w:t>
            </w:r>
          </w:p>
        </w:tc>
        <w:tc>
          <w:tcPr>
            <w:tcW w:w="1521" w:type="dxa"/>
            <w:tcBorders>
              <w:top w:val="nil"/>
              <w:left w:val="nil"/>
              <w:bottom w:val="single" w:sz="4" w:space="0" w:color="auto"/>
              <w:right w:val="single" w:sz="4" w:space="0" w:color="auto"/>
            </w:tcBorders>
            <w:shd w:val="clear" w:color="000000" w:fill="EAF1DD"/>
            <w:noWrap/>
            <w:vAlign w:val="center"/>
            <w:hideMark/>
          </w:tcPr>
          <w:p w14:paraId="7AFA16D5" w14:textId="77777777" w:rsidR="008A236E" w:rsidRPr="002B17BF" w:rsidRDefault="008A236E" w:rsidP="008A236E">
            <w:pPr>
              <w:ind w:left="0" w:firstLine="0"/>
              <w:jc w:val="right"/>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176</w:t>
            </w:r>
          </w:p>
        </w:tc>
      </w:tr>
      <w:tr w:rsidR="003360DC" w:rsidRPr="002B17BF" w14:paraId="1CB74857" w14:textId="77777777" w:rsidTr="00223E58">
        <w:trPr>
          <w:trHeight w:val="270"/>
        </w:trPr>
        <w:tc>
          <w:tcPr>
            <w:tcW w:w="4792" w:type="dxa"/>
            <w:tcBorders>
              <w:top w:val="nil"/>
              <w:left w:val="single" w:sz="4" w:space="0" w:color="auto"/>
              <w:bottom w:val="single" w:sz="4" w:space="0" w:color="auto"/>
              <w:right w:val="nil"/>
            </w:tcBorders>
            <w:shd w:val="clear" w:color="auto" w:fill="auto"/>
            <w:noWrap/>
            <w:vAlign w:val="center"/>
            <w:hideMark/>
          </w:tcPr>
          <w:p w14:paraId="3DED41F3" w14:textId="4DDA913A" w:rsidR="003360DC" w:rsidRPr="002B17BF" w:rsidRDefault="00877012" w:rsidP="003360DC">
            <w:pPr>
              <w:ind w:left="0" w:firstLine="0"/>
              <w:rPr>
                <w:rFonts w:eastAsia="Times New Roman" w:cs="Calibri"/>
                <w:noProof/>
                <w:sz w:val="20"/>
                <w:szCs w:val="20"/>
                <w:lang w:val="es-ES" w:eastAsia="en-GB"/>
              </w:rPr>
            </w:pPr>
            <w:r w:rsidRPr="002B17BF">
              <w:rPr>
                <w:rFonts w:eastAsia="Times New Roman" w:cs="Calibri"/>
                <w:noProof/>
                <w:sz w:val="20"/>
                <w:szCs w:val="20"/>
                <w:lang w:val="es-ES" w:eastAsia="en-GB"/>
              </w:rPr>
              <w:t>Redes y centros regionales</w:t>
            </w:r>
            <w:r w:rsidR="003360DC" w:rsidRPr="002B17BF">
              <w:rPr>
                <w:rFonts w:eastAsia="Times New Roman" w:cs="Calibri"/>
                <w:noProof/>
                <w:sz w:val="20"/>
                <w:szCs w:val="20"/>
                <w:lang w:val="es-ES" w:eastAsia="en-GB"/>
              </w:rPr>
              <w:t>**</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5207E96F" w14:textId="77777777" w:rsidR="003360DC" w:rsidRPr="002B17BF" w:rsidRDefault="003360DC" w:rsidP="003360DC">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100</w:t>
            </w:r>
          </w:p>
        </w:tc>
        <w:tc>
          <w:tcPr>
            <w:tcW w:w="1521" w:type="dxa"/>
            <w:tcBorders>
              <w:top w:val="nil"/>
              <w:left w:val="nil"/>
              <w:bottom w:val="single" w:sz="4" w:space="0" w:color="auto"/>
              <w:right w:val="single" w:sz="4" w:space="0" w:color="auto"/>
            </w:tcBorders>
            <w:shd w:val="clear" w:color="auto" w:fill="auto"/>
            <w:noWrap/>
            <w:vAlign w:val="center"/>
            <w:hideMark/>
          </w:tcPr>
          <w:p w14:paraId="14931F38" w14:textId="77777777" w:rsidR="003360DC" w:rsidRPr="002B17BF" w:rsidRDefault="003360DC" w:rsidP="003360DC">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6B215D4A" w14:textId="77777777" w:rsidR="003360DC" w:rsidRPr="002B17BF" w:rsidRDefault="003360DC" w:rsidP="003360DC">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0</w:t>
            </w:r>
          </w:p>
        </w:tc>
        <w:tc>
          <w:tcPr>
            <w:tcW w:w="1521" w:type="dxa"/>
            <w:tcBorders>
              <w:top w:val="nil"/>
              <w:left w:val="nil"/>
              <w:bottom w:val="single" w:sz="4" w:space="0" w:color="auto"/>
              <w:right w:val="single" w:sz="4" w:space="0" w:color="auto"/>
            </w:tcBorders>
            <w:shd w:val="clear" w:color="auto" w:fill="auto"/>
            <w:noWrap/>
            <w:vAlign w:val="center"/>
            <w:hideMark/>
          </w:tcPr>
          <w:p w14:paraId="7A04D7B1" w14:textId="77777777" w:rsidR="003360DC" w:rsidRPr="002B17BF" w:rsidRDefault="003360DC" w:rsidP="003360DC">
            <w:pPr>
              <w:ind w:left="0" w:firstLine="0"/>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 </w:t>
            </w:r>
          </w:p>
        </w:tc>
        <w:tc>
          <w:tcPr>
            <w:tcW w:w="1521" w:type="dxa"/>
            <w:tcBorders>
              <w:top w:val="nil"/>
              <w:left w:val="nil"/>
              <w:bottom w:val="single" w:sz="4" w:space="0" w:color="auto"/>
              <w:right w:val="single" w:sz="4" w:space="0" w:color="auto"/>
            </w:tcBorders>
            <w:shd w:val="clear" w:color="auto" w:fill="auto"/>
            <w:noWrap/>
            <w:vAlign w:val="center"/>
            <w:hideMark/>
          </w:tcPr>
          <w:p w14:paraId="26D38C3A" w14:textId="77777777" w:rsidR="003360DC" w:rsidRPr="002B17BF" w:rsidRDefault="003360DC" w:rsidP="003360DC">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100</w:t>
            </w:r>
          </w:p>
        </w:tc>
      </w:tr>
      <w:tr w:rsidR="003360DC" w:rsidRPr="002B17BF" w14:paraId="7247ACA2" w14:textId="77777777" w:rsidTr="00223E5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3E5EFF15" w14:textId="537345E0" w:rsidR="003360DC" w:rsidRPr="002B17BF" w:rsidRDefault="00877012" w:rsidP="003360DC">
            <w:pPr>
              <w:ind w:left="0" w:firstLine="0"/>
              <w:rPr>
                <w:rFonts w:eastAsia="Times New Roman" w:cs="Calibri"/>
                <w:noProof/>
                <w:sz w:val="20"/>
                <w:szCs w:val="20"/>
                <w:lang w:val="es-ES" w:eastAsia="en-GB"/>
              </w:rPr>
            </w:pPr>
            <w:r w:rsidRPr="002B17BF">
              <w:rPr>
                <w:noProof/>
                <w:color w:val="000000"/>
                <w:sz w:val="20"/>
                <w:lang w:val="es-ES"/>
              </w:rPr>
              <w:t xml:space="preserve">Cuenca del río Amazonas, traspaso de </w:t>
            </w:r>
            <w:r w:rsidR="003360DC" w:rsidRPr="002B17BF">
              <w:rPr>
                <w:rFonts w:eastAsia="Times New Roman" w:cs="Calibri"/>
                <w:noProof/>
                <w:sz w:val="20"/>
                <w:szCs w:val="20"/>
                <w:lang w:val="es-ES" w:eastAsia="en-GB"/>
              </w:rPr>
              <w:t>2021</w:t>
            </w:r>
          </w:p>
        </w:tc>
        <w:tc>
          <w:tcPr>
            <w:tcW w:w="1521" w:type="dxa"/>
            <w:tcBorders>
              <w:top w:val="nil"/>
              <w:left w:val="nil"/>
              <w:bottom w:val="single" w:sz="4" w:space="0" w:color="auto"/>
              <w:right w:val="single" w:sz="4" w:space="0" w:color="auto"/>
            </w:tcBorders>
            <w:shd w:val="clear" w:color="auto" w:fill="auto"/>
            <w:noWrap/>
            <w:vAlign w:val="center"/>
            <w:hideMark/>
          </w:tcPr>
          <w:p w14:paraId="5D6C9B6C" w14:textId="77777777" w:rsidR="003360DC" w:rsidRPr="002B17BF" w:rsidRDefault="003360DC" w:rsidP="003360DC">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nil"/>
              <w:bottom w:val="single" w:sz="4" w:space="0" w:color="auto"/>
              <w:right w:val="single" w:sz="4" w:space="0" w:color="auto"/>
            </w:tcBorders>
            <w:shd w:val="clear" w:color="auto" w:fill="auto"/>
            <w:noWrap/>
            <w:vAlign w:val="center"/>
            <w:hideMark/>
          </w:tcPr>
          <w:p w14:paraId="2A93736D" w14:textId="77777777" w:rsidR="003360DC" w:rsidRPr="002B17BF" w:rsidRDefault="003360DC" w:rsidP="003360DC">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75BFD35E" w14:textId="77777777" w:rsidR="003360DC" w:rsidRPr="002B17BF" w:rsidRDefault="003360DC" w:rsidP="003360DC">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76</w:t>
            </w:r>
          </w:p>
        </w:tc>
        <w:tc>
          <w:tcPr>
            <w:tcW w:w="1521" w:type="dxa"/>
            <w:tcBorders>
              <w:top w:val="nil"/>
              <w:left w:val="nil"/>
              <w:bottom w:val="single" w:sz="4" w:space="0" w:color="auto"/>
              <w:right w:val="single" w:sz="4" w:space="0" w:color="auto"/>
            </w:tcBorders>
            <w:shd w:val="clear" w:color="auto" w:fill="auto"/>
            <w:noWrap/>
            <w:vAlign w:val="center"/>
            <w:hideMark/>
          </w:tcPr>
          <w:p w14:paraId="5B1CB4E2" w14:textId="77777777" w:rsidR="003360DC" w:rsidRPr="002B17BF" w:rsidRDefault="003360DC" w:rsidP="003360DC">
            <w:pPr>
              <w:ind w:left="0" w:firstLine="0"/>
              <w:rPr>
                <w:rFonts w:eastAsia="Times New Roman" w:cs="Calibri"/>
                <w:noProof/>
                <w:color w:val="0070C0"/>
                <w:sz w:val="20"/>
                <w:szCs w:val="20"/>
                <w:lang w:val="es-ES" w:eastAsia="en-GB"/>
              </w:rPr>
            </w:pPr>
            <w:r w:rsidRPr="002B17BF">
              <w:rPr>
                <w:rFonts w:eastAsia="Times New Roman" w:cs="Calibri"/>
                <w:noProof/>
                <w:color w:val="0070C0"/>
                <w:sz w:val="20"/>
                <w:szCs w:val="20"/>
                <w:lang w:val="es-ES" w:eastAsia="en-GB"/>
              </w:rPr>
              <w:t> </w:t>
            </w:r>
          </w:p>
        </w:tc>
        <w:tc>
          <w:tcPr>
            <w:tcW w:w="1521" w:type="dxa"/>
            <w:tcBorders>
              <w:top w:val="nil"/>
              <w:left w:val="nil"/>
              <w:bottom w:val="single" w:sz="4" w:space="0" w:color="auto"/>
              <w:right w:val="single" w:sz="4" w:space="0" w:color="auto"/>
            </w:tcBorders>
            <w:shd w:val="clear" w:color="auto" w:fill="auto"/>
            <w:noWrap/>
            <w:vAlign w:val="center"/>
            <w:hideMark/>
          </w:tcPr>
          <w:p w14:paraId="77542621" w14:textId="77777777" w:rsidR="003360DC" w:rsidRPr="002B17BF" w:rsidRDefault="003360DC" w:rsidP="003360DC">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76</w:t>
            </w:r>
          </w:p>
        </w:tc>
      </w:tr>
      <w:tr w:rsidR="00877012" w:rsidRPr="002B17BF" w14:paraId="0DCF271F" w14:textId="77777777" w:rsidTr="00223E58">
        <w:trPr>
          <w:trHeight w:val="270"/>
        </w:trPr>
        <w:tc>
          <w:tcPr>
            <w:tcW w:w="4792" w:type="dxa"/>
            <w:tcBorders>
              <w:top w:val="nil"/>
              <w:left w:val="single" w:sz="4" w:space="0" w:color="auto"/>
              <w:bottom w:val="single" w:sz="4" w:space="0" w:color="auto"/>
              <w:right w:val="single" w:sz="4" w:space="0" w:color="auto"/>
            </w:tcBorders>
            <w:shd w:val="clear" w:color="000000" w:fill="EAF1DD"/>
            <w:vAlign w:val="center"/>
            <w:hideMark/>
          </w:tcPr>
          <w:p w14:paraId="42B6AB60" w14:textId="65C14CA7" w:rsidR="00877012" w:rsidRPr="002B17BF" w:rsidRDefault="00877012" w:rsidP="00877012">
            <w:pPr>
              <w:ind w:left="0" w:firstLine="0"/>
              <w:rPr>
                <w:rFonts w:eastAsia="Times New Roman" w:cs="Calibri"/>
                <w:noProof/>
                <w:sz w:val="20"/>
                <w:szCs w:val="20"/>
                <w:lang w:val="es-ES" w:eastAsia="en-GB"/>
              </w:rPr>
            </w:pPr>
            <w:r w:rsidRPr="002B17BF">
              <w:rPr>
                <w:noProof/>
                <w:color w:val="000000"/>
                <w:sz w:val="20"/>
                <w:lang w:val="es-ES"/>
              </w:rPr>
              <w:t>E.</w:t>
            </w:r>
            <w:r w:rsidRPr="002B17BF">
              <w:rPr>
                <w:rFonts w:eastAsia="Times New Roman" w:cs="Calibri"/>
                <w:noProof/>
                <w:color w:val="000000"/>
                <w:sz w:val="20"/>
                <w:szCs w:val="20"/>
                <w:lang w:val="es-ES" w:eastAsia="en-GB"/>
              </w:rPr>
              <w:t xml:space="preserve"> </w:t>
            </w:r>
            <w:r w:rsidRPr="002B17BF">
              <w:rPr>
                <w:noProof/>
                <w:color w:val="000000"/>
                <w:sz w:val="20"/>
                <w:lang w:val="es-ES"/>
              </w:rPr>
              <w:t xml:space="preserve"> Servicios científicos y técnicos</w:t>
            </w:r>
          </w:p>
        </w:tc>
        <w:tc>
          <w:tcPr>
            <w:tcW w:w="1521" w:type="dxa"/>
            <w:tcBorders>
              <w:top w:val="nil"/>
              <w:left w:val="nil"/>
              <w:bottom w:val="single" w:sz="4" w:space="0" w:color="auto"/>
              <w:right w:val="single" w:sz="4" w:space="0" w:color="auto"/>
            </w:tcBorders>
            <w:shd w:val="clear" w:color="000000" w:fill="EAF1DD"/>
            <w:noWrap/>
            <w:vAlign w:val="center"/>
            <w:hideMark/>
          </w:tcPr>
          <w:p w14:paraId="74D96AB2" w14:textId="77777777" w:rsidR="00877012" w:rsidRPr="002B17BF" w:rsidRDefault="00877012" w:rsidP="00877012">
            <w:pPr>
              <w:ind w:left="0" w:firstLine="0"/>
              <w:jc w:val="right"/>
              <w:rPr>
                <w:rFonts w:eastAsia="Times New Roman" w:cs="Calibri"/>
                <w:b/>
                <w:bCs/>
                <w:noProof/>
                <w:sz w:val="20"/>
                <w:szCs w:val="20"/>
                <w:lang w:val="es-ES" w:eastAsia="en-GB"/>
              </w:rPr>
            </w:pPr>
            <w:r w:rsidRPr="002B17BF">
              <w:rPr>
                <w:rFonts w:eastAsia="Times New Roman" w:cs="Calibri"/>
                <w:b/>
                <w:bCs/>
                <w:noProof/>
                <w:sz w:val="20"/>
                <w:szCs w:val="20"/>
                <w:lang w:val="es-ES" w:eastAsia="en-GB"/>
              </w:rPr>
              <w:t>839</w:t>
            </w:r>
          </w:p>
        </w:tc>
        <w:tc>
          <w:tcPr>
            <w:tcW w:w="1521" w:type="dxa"/>
            <w:tcBorders>
              <w:top w:val="nil"/>
              <w:left w:val="nil"/>
              <w:bottom w:val="single" w:sz="4" w:space="0" w:color="auto"/>
              <w:right w:val="single" w:sz="4" w:space="0" w:color="auto"/>
            </w:tcBorders>
            <w:shd w:val="clear" w:color="000000" w:fill="EAF1DD"/>
            <w:noWrap/>
            <w:vAlign w:val="center"/>
            <w:hideMark/>
          </w:tcPr>
          <w:p w14:paraId="53DF3349" w14:textId="77777777" w:rsidR="00877012" w:rsidRPr="002B17BF" w:rsidRDefault="00877012" w:rsidP="00877012">
            <w:pPr>
              <w:ind w:left="0" w:firstLine="0"/>
              <w:jc w:val="right"/>
              <w:rPr>
                <w:rFonts w:eastAsia="Times New Roman" w:cs="Calibri"/>
                <w:b/>
                <w:bCs/>
                <w:noProof/>
                <w:sz w:val="20"/>
                <w:szCs w:val="20"/>
                <w:lang w:val="es-ES" w:eastAsia="en-GB"/>
              </w:rPr>
            </w:pPr>
            <w:r w:rsidRPr="002B17BF">
              <w:rPr>
                <w:rFonts w:eastAsia="Times New Roman" w:cs="Calibri"/>
                <w:b/>
                <w:bCs/>
                <w:noProof/>
                <w:sz w:val="20"/>
                <w:szCs w:val="20"/>
                <w:lang w:val="es-ES" w:eastAsia="en-GB"/>
              </w:rPr>
              <w:t>5</w:t>
            </w:r>
          </w:p>
        </w:tc>
        <w:tc>
          <w:tcPr>
            <w:tcW w:w="1521" w:type="dxa"/>
            <w:tcBorders>
              <w:top w:val="nil"/>
              <w:left w:val="single" w:sz="4" w:space="0" w:color="auto"/>
              <w:bottom w:val="single" w:sz="4" w:space="0" w:color="auto"/>
              <w:right w:val="single" w:sz="4" w:space="0" w:color="auto"/>
            </w:tcBorders>
            <w:shd w:val="clear" w:color="000000" w:fill="EAF1DD"/>
            <w:noWrap/>
            <w:vAlign w:val="center"/>
            <w:hideMark/>
          </w:tcPr>
          <w:p w14:paraId="34BF64D7" w14:textId="77777777" w:rsidR="00877012" w:rsidRPr="002B17BF" w:rsidRDefault="00877012" w:rsidP="00877012">
            <w:pPr>
              <w:ind w:left="0" w:firstLine="0"/>
              <w:jc w:val="right"/>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224</w:t>
            </w:r>
          </w:p>
        </w:tc>
        <w:tc>
          <w:tcPr>
            <w:tcW w:w="1521" w:type="dxa"/>
            <w:tcBorders>
              <w:top w:val="nil"/>
              <w:left w:val="nil"/>
              <w:bottom w:val="single" w:sz="4" w:space="0" w:color="auto"/>
              <w:right w:val="single" w:sz="4" w:space="0" w:color="auto"/>
            </w:tcBorders>
            <w:shd w:val="clear" w:color="000000" w:fill="EAF1DD"/>
            <w:noWrap/>
            <w:vAlign w:val="center"/>
            <w:hideMark/>
          </w:tcPr>
          <w:p w14:paraId="2D8C6678" w14:textId="77777777" w:rsidR="00877012" w:rsidRPr="002B17BF" w:rsidRDefault="00877012" w:rsidP="00877012">
            <w:pPr>
              <w:ind w:left="0" w:firstLine="0"/>
              <w:jc w:val="right"/>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0</w:t>
            </w:r>
          </w:p>
        </w:tc>
        <w:tc>
          <w:tcPr>
            <w:tcW w:w="1521" w:type="dxa"/>
            <w:tcBorders>
              <w:top w:val="nil"/>
              <w:left w:val="nil"/>
              <w:bottom w:val="single" w:sz="4" w:space="0" w:color="auto"/>
              <w:right w:val="single" w:sz="4" w:space="0" w:color="auto"/>
            </w:tcBorders>
            <w:shd w:val="clear" w:color="000000" w:fill="EAF1DD"/>
            <w:noWrap/>
            <w:vAlign w:val="center"/>
            <w:hideMark/>
          </w:tcPr>
          <w:p w14:paraId="7E43E5AD" w14:textId="7E772800" w:rsidR="00877012" w:rsidRPr="002B17BF" w:rsidRDefault="00877012" w:rsidP="00877012">
            <w:pPr>
              <w:ind w:left="0" w:firstLine="0"/>
              <w:jc w:val="right"/>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1</w:t>
            </w:r>
            <w:r w:rsidR="003520F6">
              <w:rPr>
                <w:rFonts w:eastAsia="Times New Roman" w:cs="Calibri"/>
                <w:b/>
                <w:bCs/>
                <w:noProof/>
                <w:color w:val="000000"/>
                <w:sz w:val="20"/>
                <w:szCs w:val="20"/>
                <w:lang w:val="es-ES" w:eastAsia="en-GB"/>
              </w:rPr>
              <w:t xml:space="preserve"> </w:t>
            </w:r>
            <w:r w:rsidRPr="002B17BF">
              <w:rPr>
                <w:rFonts w:eastAsia="Times New Roman" w:cs="Calibri"/>
                <w:b/>
                <w:bCs/>
                <w:noProof/>
                <w:color w:val="000000"/>
                <w:sz w:val="20"/>
                <w:szCs w:val="20"/>
                <w:lang w:val="es-ES" w:eastAsia="en-GB"/>
              </w:rPr>
              <w:t>068</w:t>
            </w:r>
          </w:p>
        </w:tc>
      </w:tr>
      <w:tr w:rsidR="00877012" w:rsidRPr="002B17BF" w14:paraId="7C1C632A" w14:textId="77777777" w:rsidTr="00223E58">
        <w:trPr>
          <w:trHeight w:val="270"/>
        </w:trPr>
        <w:tc>
          <w:tcPr>
            <w:tcW w:w="4792" w:type="dxa"/>
            <w:tcBorders>
              <w:top w:val="single" w:sz="4" w:space="0" w:color="auto"/>
              <w:left w:val="single" w:sz="4" w:space="0" w:color="auto"/>
              <w:bottom w:val="single" w:sz="4" w:space="0" w:color="auto"/>
              <w:right w:val="nil"/>
            </w:tcBorders>
            <w:shd w:val="clear" w:color="auto" w:fill="auto"/>
            <w:noWrap/>
            <w:vAlign w:val="center"/>
            <w:hideMark/>
          </w:tcPr>
          <w:p w14:paraId="5F1C7ABF" w14:textId="5665602C" w:rsidR="00877012" w:rsidRPr="002B17BF" w:rsidRDefault="00877012" w:rsidP="00877012">
            <w:pPr>
              <w:ind w:left="0" w:firstLine="0"/>
              <w:rPr>
                <w:rFonts w:eastAsia="Times New Roman" w:cs="Calibri"/>
                <w:noProof/>
                <w:sz w:val="20"/>
                <w:szCs w:val="20"/>
                <w:lang w:val="es-ES" w:eastAsia="en-GB"/>
              </w:rPr>
            </w:pPr>
            <w:r w:rsidRPr="002B17BF">
              <w:rPr>
                <w:rFonts w:eastAsia="Times New Roman" w:cs="Calibri"/>
                <w:noProof/>
                <w:sz w:val="20"/>
                <w:szCs w:val="20"/>
                <w:lang w:val="es-ES" w:eastAsia="en-GB"/>
              </w:rPr>
              <w:t>Salarios, gastos sociales y otras prestaciones laborales</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629DCAD9" w14:textId="77777777" w:rsidR="00877012" w:rsidRPr="002B17BF" w:rsidRDefault="00877012" w:rsidP="00877012">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651</w:t>
            </w:r>
          </w:p>
        </w:tc>
        <w:tc>
          <w:tcPr>
            <w:tcW w:w="1521" w:type="dxa"/>
            <w:tcBorders>
              <w:top w:val="nil"/>
              <w:left w:val="nil"/>
              <w:bottom w:val="single" w:sz="4" w:space="0" w:color="auto"/>
              <w:right w:val="single" w:sz="4" w:space="0" w:color="auto"/>
            </w:tcBorders>
            <w:shd w:val="clear" w:color="auto" w:fill="auto"/>
            <w:noWrap/>
            <w:vAlign w:val="center"/>
            <w:hideMark/>
          </w:tcPr>
          <w:p w14:paraId="5A7BE263" w14:textId="77777777" w:rsidR="00877012" w:rsidRPr="002B17BF" w:rsidRDefault="00877012" w:rsidP="00877012">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5DA8DDF5" w14:textId="77777777" w:rsidR="00877012" w:rsidRPr="002B17BF" w:rsidRDefault="00877012" w:rsidP="00877012">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0</w:t>
            </w:r>
          </w:p>
        </w:tc>
        <w:tc>
          <w:tcPr>
            <w:tcW w:w="1521" w:type="dxa"/>
            <w:tcBorders>
              <w:top w:val="nil"/>
              <w:left w:val="nil"/>
              <w:bottom w:val="single" w:sz="4" w:space="0" w:color="auto"/>
              <w:right w:val="single" w:sz="4" w:space="0" w:color="auto"/>
            </w:tcBorders>
            <w:shd w:val="clear" w:color="auto" w:fill="auto"/>
            <w:noWrap/>
            <w:vAlign w:val="center"/>
            <w:hideMark/>
          </w:tcPr>
          <w:p w14:paraId="3257F2B8" w14:textId="77777777" w:rsidR="00877012" w:rsidRPr="002B17BF" w:rsidRDefault="00877012" w:rsidP="00877012">
            <w:pPr>
              <w:ind w:left="0" w:firstLine="0"/>
              <w:rPr>
                <w:rFonts w:eastAsia="Times New Roman" w:cs="Calibri"/>
                <w:noProof/>
                <w:sz w:val="20"/>
                <w:szCs w:val="20"/>
                <w:lang w:val="es-ES" w:eastAsia="en-GB"/>
              </w:rPr>
            </w:pPr>
            <w:r w:rsidRPr="002B17BF">
              <w:rPr>
                <w:rFonts w:eastAsia="Times New Roman" w:cs="Calibri"/>
                <w:noProof/>
                <w:sz w:val="20"/>
                <w:szCs w:val="20"/>
                <w:lang w:val="es-ES" w:eastAsia="en-GB"/>
              </w:rPr>
              <w:t> </w:t>
            </w:r>
          </w:p>
        </w:tc>
        <w:tc>
          <w:tcPr>
            <w:tcW w:w="1521" w:type="dxa"/>
            <w:tcBorders>
              <w:top w:val="nil"/>
              <w:left w:val="nil"/>
              <w:bottom w:val="single" w:sz="4" w:space="0" w:color="auto"/>
              <w:right w:val="single" w:sz="4" w:space="0" w:color="auto"/>
            </w:tcBorders>
            <w:shd w:val="clear" w:color="auto" w:fill="auto"/>
            <w:noWrap/>
            <w:vAlign w:val="center"/>
            <w:hideMark/>
          </w:tcPr>
          <w:p w14:paraId="73075A34" w14:textId="77777777" w:rsidR="00877012" w:rsidRPr="002B17BF" w:rsidRDefault="00877012" w:rsidP="00877012">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651</w:t>
            </w:r>
          </w:p>
        </w:tc>
      </w:tr>
      <w:tr w:rsidR="00877012" w:rsidRPr="002B17BF" w14:paraId="072C241F" w14:textId="77777777" w:rsidTr="00223E58">
        <w:trPr>
          <w:trHeight w:val="270"/>
        </w:trPr>
        <w:tc>
          <w:tcPr>
            <w:tcW w:w="4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54036" w14:textId="5D9D8562" w:rsidR="00877012" w:rsidRPr="002B17BF" w:rsidRDefault="00877012" w:rsidP="00877012">
            <w:pPr>
              <w:ind w:left="0" w:firstLine="0"/>
              <w:rPr>
                <w:rFonts w:eastAsia="Times New Roman" w:cs="Calibri"/>
                <w:noProof/>
                <w:sz w:val="20"/>
                <w:szCs w:val="20"/>
                <w:lang w:val="es-ES" w:eastAsia="en-GB"/>
              </w:rPr>
            </w:pPr>
            <w:r w:rsidRPr="002B17BF">
              <w:rPr>
                <w:rFonts w:eastAsia="Times New Roman" w:cs="Calibri"/>
                <w:noProof/>
                <w:color w:val="000000"/>
                <w:sz w:val="20"/>
                <w:szCs w:val="20"/>
                <w:lang w:val="es-ES" w:eastAsia="en-GB"/>
              </w:rPr>
              <w:t>Viajes</w:t>
            </w:r>
          </w:p>
        </w:tc>
        <w:tc>
          <w:tcPr>
            <w:tcW w:w="1521" w:type="dxa"/>
            <w:tcBorders>
              <w:top w:val="nil"/>
              <w:left w:val="nil"/>
              <w:bottom w:val="single" w:sz="4" w:space="0" w:color="auto"/>
              <w:right w:val="single" w:sz="4" w:space="0" w:color="auto"/>
            </w:tcBorders>
            <w:shd w:val="clear" w:color="auto" w:fill="auto"/>
            <w:noWrap/>
            <w:vAlign w:val="center"/>
            <w:hideMark/>
          </w:tcPr>
          <w:p w14:paraId="124D3E7F" w14:textId="77777777" w:rsidR="00877012" w:rsidRPr="002B17BF" w:rsidRDefault="00877012" w:rsidP="00877012">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18</w:t>
            </w:r>
          </w:p>
        </w:tc>
        <w:tc>
          <w:tcPr>
            <w:tcW w:w="1521" w:type="dxa"/>
            <w:tcBorders>
              <w:top w:val="nil"/>
              <w:left w:val="nil"/>
              <w:bottom w:val="single" w:sz="4" w:space="0" w:color="auto"/>
              <w:right w:val="single" w:sz="4" w:space="0" w:color="auto"/>
            </w:tcBorders>
            <w:shd w:val="clear" w:color="auto" w:fill="auto"/>
            <w:noWrap/>
            <w:vAlign w:val="center"/>
            <w:hideMark/>
          </w:tcPr>
          <w:p w14:paraId="386350AD" w14:textId="77777777" w:rsidR="00877012" w:rsidRPr="002B17BF" w:rsidRDefault="00877012" w:rsidP="00877012">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551ABBB6" w14:textId="77777777" w:rsidR="00877012" w:rsidRPr="002B17BF" w:rsidRDefault="00877012" w:rsidP="00877012">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10</w:t>
            </w:r>
          </w:p>
        </w:tc>
        <w:tc>
          <w:tcPr>
            <w:tcW w:w="1521" w:type="dxa"/>
            <w:tcBorders>
              <w:top w:val="nil"/>
              <w:left w:val="nil"/>
              <w:bottom w:val="single" w:sz="4" w:space="0" w:color="auto"/>
              <w:right w:val="single" w:sz="4" w:space="0" w:color="auto"/>
            </w:tcBorders>
            <w:shd w:val="clear" w:color="auto" w:fill="auto"/>
            <w:noWrap/>
            <w:vAlign w:val="center"/>
            <w:hideMark/>
          </w:tcPr>
          <w:p w14:paraId="7DA01E2A" w14:textId="77777777" w:rsidR="00877012" w:rsidRPr="002B17BF" w:rsidRDefault="00877012" w:rsidP="00877012">
            <w:pPr>
              <w:ind w:left="0" w:firstLine="0"/>
              <w:rPr>
                <w:rFonts w:eastAsia="Times New Roman" w:cs="Calibri"/>
                <w:noProof/>
                <w:sz w:val="20"/>
                <w:szCs w:val="20"/>
                <w:lang w:val="es-ES" w:eastAsia="en-GB"/>
              </w:rPr>
            </w:pPr>
            <w:r w:rsidRPr="002B17BF">
              <w:rPr>
                <w:rFonts w:eastAsia="Times New Roman" w:cs="Calibri"/>
                <w:noProof/>
                <w:sz w:val="20"/>
                <w:szCs w:val="20"/>
                <w:lang w:val="es-ES" w:eastAsia="en-GB"/>
              </w:rPr>
              <w:t> </w:t>
            </w:r>
          </w:p>
        </w:tc>
        <w:tc>
          <w:tcPr>
            <w:tcW w:w="1521" w:type="dxa"/>
            <w:tcBorders>
              <w:top w:val="nil"/>
              <w:left w:val="nil"/>
              <w:bottom w:val="single" w:sz="4" w:space="0" w:color="auto"/>
              <w:right w:val="single" w:sz="4" w:space="0" w:color="auto"/>
            </w:tcBorders>
            <w:shd w:val="clear" w:color="auto" w:fill="auto"/>
            <w:noWrap/>
            <w:vAlign w:val="center"/>
            <w:hideMark/>
          </w:tcPr>
          <w:p w14:paraId="02B2246D" w14:textId="77777777" w:rsidR="00877012" w:rsidRPr="002B17BF" w:rsidRDefault="00877012" w:rsidP="00877012">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28</w:t>
            </w:r>
          </w:p>
        </w:tc>
      </w:tr>
      <w:tr w:rsidR="00877012" w:rsidRPr="002B17BF" w14:paraId="38E20EE3" w14:textId="77777777" w:rsidTr="00223E5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4372676C" w14:textId="1155D299" w:rsidR="00877012" w:rsidRPr="002B17BF" w:rsidRDefault="00877012" w:rsidP="00877012">
            <w:pPr>
              <w:ind w:left="0" w:firstLine="0"/>
              <w:rPr>
                <w:rFonts w:eastAsia="Times New Roman" w:cs="Calibri"/>
                <w:noProof/>
                <w:sz w:val="20"/>
                <w:szCs w:val="20"/>
                <w:lang w:val="es-ES" w:eastAsia="en-GB"/>
              </w:rPr>
            </w:pPr>
            <w:r w:rsidRPr="002B17BF">
              <w:rPr>
                <w:noProof/>
                <w:color w:val="000000"/>
                <w:sz w:val="20"/>
                <w:lang w:val="es-ES"/>
              </w:rPr>
              <w:t>Viajes de la Presidencia del GECT</w:t>
            </w:r>
          </w:p>
        </w:tc>
        <w:tc>
          <w:tcPr>
            <w:tcW w:w="1521" w:type="dxa"/>
            <w:tcBorders>
              <w:top w:val="nil"/>
              <w:left w:val="nil"/>
              <w:bottom w:val="single" w:sz="4" w:space="0" w:color="auto"/>
              <w:right w:val="single" w:sz="4" w:space="0" w:color="auto"/>
            </w:tcBorders>
            <w:shd w:val="clear" w:color="auto" w:fill="auto"/>
            <w:noWrap/>
            <w:vAlign w:val="center"/>
            <w:hideMark/>
          </w:tcPr>
          <w:p w14:paraId="16F66083" w14:textId="77777777" w:rsidR="00877012" w:rsidRPr="002B17BF" w:rsidRDefault="00877012" w:rsidP="00877012">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5</w:t>
            </w:r>
          </w:p>
        </w:tc>
        <w:tc>
          <w:tcPr>
            <w:tcW w:w="1521" w:type="dxa"/>
            <w:tcBorders>
              <w:top w:val="nil"/>
              <w:left w:val="nil"/>
              <w:bottom w:val="single" w:sz="4" w:space="0" w:color="auto"/>
              <w:right w:val="single" w:sz="4" w:space="0" w:color="auto"/>
            </w:tcBorders>
            <w:shd w:val="clear" w:color="auto" w:fill="auto"/>
            <w:noWrap/>
            <w:vAlign w:val="center"/>
            <w:hideMark/>
          </w:tcPr>
          <w:p w14:paraId="04E13452" w14:textId="77777777" w:rsidR="00877012" w:rsidRPr="002B17BF" w:rsidRDefault="00877012" w:rsidP="00877012">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4EA0E024" w14:textId="77777777" w:rsidR="00877012" w:rsidRPr="002B17BF" w:rsidRDefault="00877012" w:rsidP="00877012">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12</w:t>
            </w:r>
          </w:p>
        </w:tc>
        <w:tc>
          <w:tcPr>
            <w:tcW w:w="1521" w:type="dxa"/>
            <w:tcBorders>
              <w:top w:val="nil"/>
              <w:left w:val="nil"/>
              <w:bottom w:val="single" w:sz="4" w:space="0" w:color="auto"/>
              <w:right w:val="single" w:sz="4" w:space="0" w:color="auto"/>
            </w:tcBorders>
            <w:shd w:val="clear" w:color="auto" w:fill="auto"/>
            <w:noWrap/>
            <w:vAlign w:val="center"/>
            <w:hideMark/>
          </w:tcPr>
          <w:p w14:paraId="0CC3A151" w14:textId="77777777" w:rsidR="00877012" w:rsidRPr="002B17BF" w:rsidRDefault="00877012" w:rsidP="00877012">
            <w:pPr>
              <w:ind w:left="0" w:firstLine="0"/>
              <w:rPr>
                <w:rFonts w:eastAsia="Times New Roman" w:cs="Calibri"/>
                <w:noProof/>
                <w:sz w:val="20"/>
                <w:szCs w:val="20"/>
                <w:lang w:val="es-ES" w:eastAsia="en-GB"/>
              </w:rPr>
            </w:pPr>
            <w:r w:rsidRPr="002B17BF">
              <w:rPr>
                <w:rFonts w:eastAsia="Times New Roman" w:cs="Calibri"/>
                <w:noProof/>
                <w:sz w:val="20"/>
                <w:szCs w:val="20"/>
                <w:lang w:val="es-ES" w:eastAsia="en-GB"/>
              </w:rPr>
              <w:t> </w:t>
            </w:r>
          </w:p>
        </w:tc>
        <w:tc>
          <w:tcPr>
            <w:tcW w:w="1521" w:type="dxa"/>
            <w:tcBorders>
              <w:top w:val="nil"/>
              <w:left w:val="nil"/>
              <w:bottom w:val="single" w:sz="4" w:space="0" w:color="auto"/>
              <w:right w:val="single" w:sz="4" w:space="0" w:color="auto"/>
            </w:tcBorders>
            <w:shd w:val="clear" w:color="auto" w:fill="auto"/>
            <w:noWrap/>
            <w:vAlign w:val="center"/>
            <w:hideMark/>
          </w:tcPr>
          <w:p w14:paraId="48106AE8" w14:textId="77777777" w:rsidR="00877012" w:rsidRPr="002B17BF" w:rsidRDefault="00877012" w:rsidP="00877012">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17</w:t>
            </w:r>
          </w:p>
        </w:tc>
      </w:tr>
      <w:tr w:rsidR="00877012" w:rsidRPr="002B17BF" w14:paraId="6969A50A" w14:textId="77777777" w:rsidTr="00223E5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5361F4AD" w14:textId="66A5F7E1" w:rsidR="00877012" w:rsidRPr="002B17BF" w:rsidRDefault="00877012" w:rsidP="00877012">
            <w:pPr>
              <w:ind w:left="0" w:firstLine="0"/>
              <w:rPr>
                <w:rFonts w:eastAsia="Times New Roman" w:cs="Calibri"/>
                <w:noProof/>
                <w:sz w:val="20"/>
                <w:szCs w:val="20"/>
                <w:lang w:val="es-ES" w:eastAsia="en-GB"/>
              </w:rPr>
            </w:pPr>
            <w:r w:rsidRPr="002B17BF">
              <w:rPr>
                <w:noProof/>
                <w:color w:val="000000" w:themeColor="text1"/>
                <w:sz w:val="20"/>
                <w:lang w:val="es-ES"/>
              </w:rPr>
              <w:t xml:space="preserve">Trabajo del </w:t>
            </w:r>
            <w:r w:rsidRPr="002B17BF">
              <w:rPr>
                <w:noProof/>
                <w:color w:val="000000"/>
                <w:sz w:val="20"/>
                <w:lang w:val="es-ES"/>
              </w:rPr>
              <w:t>GECT</w:t>
            </w:r>
          </w:p>
        </w:tc>
        <w:tc>
          <w:tcPr>
            <w:tcW w:w="1521" w:type="dxa"/>
            <w:tcBorders>
              <w:top w:val="nil"/>
              <w:left w:val="nil"/>
              <w:bottom w:val="single" w:sz="4" w:space="0" w:color="auto"/>
              <w:right w:val="single" w:sz="4" w:space="0" w:color="auto"/>
            </w:tcBorders>
            <w:shd w:val="clear" w:color="auto" w:fill="auto"/>
            <w:noWrap/>
            <w:vAlign w:val="center"/>
            <w:hideMark/>
          </w:tcPr>
          <w:p w14:paraId="6FF4855C" w14:textId="77777777" w:rsidR="00877012" w:rsidRPr="002B17BF" w:rsidRDefault="00877012" w:rsidP="00877012">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35</w:t>
            </w:r>
          </w:p>
        </w:tc>
        <w:tc>
          <w:tcPr>
            <w:tcW w:w="1521" w:type="dxa"/>
            <w:tcBorders>
              <w:top w:val="nil"/>
              <w:left w:val="nil"/>
              <w:bottom w:val="single" w:sz="4" w:space="0" w:color="auto"/>
              <w:right w:val="single" w:sz="4" w:space="0" w:color="auto"/>
            </w:tcBorders>
            <w:shd w:val="clear" w:color="auto" w:fill="auto"/>
            <w:noWrap/>
            <w:vAlign w:val="center"/>
            <w:hideMark/>
          </w:tcPr>
          <w:p w14:paraId="12AD0593" w14:textId="77777777" w:rsidR="00877012" w:rsidRPr="002B17BF" w:rsidRDefault="00877012" w:rsidP="00877012">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5</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12BB824A" w14:textId="77777777" w:rsidR="00877012" w:rsidRPr="002B17BF" w:rsidRDefault="00877012" w:rsidP="00877012">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40</w:t>
            </w:r>
          </w:p>
        </w:tc>
        <w:tc>
          <w:tcPr>
            <w:tcW w:w="1521" w:type="dxa"/>
            <w:tcBorders>
              <w:top w:val="nil"/>
              <w:left w:val="nil"/>
              <w:bottom w:val="single" w:sz="4" w:space="0" w:color="auto"/>
              <w:right w:val="single" w:sz="4" w:space="0" w:color="auto"/>
            </w:tcBorders>
            <w:shd w:val="clear" w:color="auto" w:fill="auto"/>
            <w:noWrap/>
            <w:vAlign w:val="center"/>
            <w:hideMark/>
          </w:tcPr>
          <w:p w14:paraId="3E8218F7" w14:textId="77777777" w:rsidR="00877012" w:rsidRPr="002B17BF" w:rsidRDefault="00877012" w:rsidP="00877012">
            <w:pPr>
              <w:ind w:left="0" w:firstLine="0"/>
              <w:rPr>
                <w:rFonts w:eastAsia="Times New Roman" w:cs="Calibri"/>
                <w:noProof/>
                <w:sz w:val="20"/>
                <w:szCs w:val="20"/>
                <w:lang w:val="es-ES" w:eastAsia="en-GB"/>
              </w:rPr>
            </w:pPr>
            <w:r w:rsidRPr="002B17BF">
              <w:rPr>
                <w:rFonts w:eastAsia="Times New Roman" w:cs="Calibri"/>
                <w:noProof/>
                <w:sz w:val="20"/>
                <w:szCs w:val="20"/>
                <w:lang w:val="es-ES" w:eastAsia="en-GB"/>
              </w:rPr>
              <w:t> </w:t>
            </w:r>
          </w:p>
        </w:tc>
        <w:tc>
          <w:tcPr>
            <w:tcW w:w="1521" w:type="dxa"/>
            <w:tcBorders>
              <w:top w:val="nil"/>
              <w:left w:val="nil"/>
              <w:bottom w:val="single" w:sz="4" w:space="0" w:color="auto"/>
              <w:right w:val="single" w:sz="4" w:space="0" w:color="auto"/>
            </w:tcBorders>
            <w:shd w:val="clear" w:color="auto" w:fill="auto"/>
            <w:noWrap/>
            <w:vAlign w:val="center"/>
            <w:hideMark/>
          </w:tcPr>
          <w:p w14:paraId="20048B88" w14:textId="77777777" w:rsidR="00877012" w:rsidRPr="002B17BF" w:rsidRDefault="00877012" w:rsidP="00877012">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80</w:t>
            </w:r>
          </w:p>
        </w:tc>
      </w:tr>
      <w:tr w:rsidR="00877012" w:rsidRPr="002B17BF" w14:paraId="5F8E0C89" w14:textId="77777777" w:rsidTr="00223E5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14ED5929" w14:textId="4FBBBEBA" w:rsidR="00877012" w:rsidRPr="002B17BF" w:rsidRDefault="00877012" w:rsidP="00877012">
            <w:pPr>
              <w:ind w:left="0" w:firstLine="0"/>
              <w:rPr>
                <w:rFonts w:eastAsia="Times New Roman" w:cs="Calibri"/>
                <w:noProof/>
                <w:sz w:val="20"/>
                <w:szCs w:val="20"/>
                <w:lang w:val="es-ES" w:eastAsia="en-GB"/>
              </w:rPr>
            </w:pPr>
            <w:r w:rsidRPr="002B17BF">
              <w:rPr>
                <w:noProof/>
                <w:color w:val="000000"/>
                <w:sz w:val="20"/>
                <w:lang w:val="es-ES"/>
              </w:rPr>
              <w:t>Reuniones del GECT</w:t>
            </w:r>
          </w:p>
        </w:tc>
        <w:tc>
          <w:tcPr>
            <w:tcW w:w="1521" w:type="dxa"/>
            <w:tcBorders>
              <w:top w:val="nil"/>
              <w:left w:val="nil"/>
              <w:bottom w:val="single" w:sz="4" w:space="0" w:color="auto"/>
              <w:right w:val="single" w:sz="4" w:space="0" w:color="auto"/>
            </w:tcBorders>
            <w:shd w:val="clear" w:color="auto" w:fill="auto"/>
            <w:noWrap/>
            <w:vAlign w:val="center"/>
            <w:hideMark/>
          </w:tcPr>
          <w:p w14:paraId="70823C47" w14:textId="77777777" w:rsidR="00877012" w:rsidRPr="002B17BF" w:rsidRDefault="00877012" w:rsidP="00877012">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50</w:t>
            </w:r>
          </w:p>
        </w:tc>
        <w:tc>
          <w:tcPr>
            <w:tcW w:w="1521" w:type="dxa"/>
            <w:tcBorders>
              <w:top w:val="nil"/>
              <w:left w:val="nil"/>
              <w:bottom w:val="single" w:sz="4" w:space="0" w:color="auto"/>
              <w:right w:val="single" w:sz="4" w:space="0" w:color="auto"/>
            </w:tcBorders>
            <w:shd w:val="clear" w:color="auto" w:fill="auto"/>
            <w:noWrap/>
            <w:vAlign w:val="center"/>
            <w:hideMark/>
          </w:tcPr>
          <w:p w14:paraId="4F4F6D72" w14:textId="77777777" w:rsidR="00877012" w:rsidRPr="002B17BF" w:rsidRDefault="00877012" w:rsidP="00877012">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35269FC8" w14:textId="77777777" w:rsidR="00877012" w:rsidRPr="002B17BF" w:rsidRDefault="00877012" w:rsidP="00877012">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0</w:t>
            </w:r>
          </w:p>
        </w:tc>
        <w:tc>
          <w:tcPr>
            <w:tcW w:w="1521" w:type="dxa"/>
            <w:tcBorders>
              <w:top w:val="nil"/>
              <w:left w:val="nil"/>
              <w:bottom w:val="single" w:sz="4" w:space="0" w:color="auto"/>
              <w:right w:val="single" w:sz="4" w:space="0" w:color="auto"/>
            </w:tcBorders>
            <w:shd w:val="clear" w:color="auto" w:fill="auto"/>
            <w:noWrap/>
            <w:vAlign w:val="center"/>
            <w:hideMark/>
          </w:tcPr>
          <w:p w14:paraId="25CC8EAE" w14:textId="77777777" w:rsidR="00877012" w:rsidRPr="002B17BF" w:rsidRDefault="00877012" w:rsidP="00877012">
            <w:pPr>
              <w:ind w:left="0" w:firstLine="0"/>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 </w:t>
            </w:r>
          </w:p>
        </w:tc>
        <w:tc>
          <w:tcPr>
            <w:tcW w:w="1521" w:type="dxa"/>
            <w:tcBorders>
              <w:top w:val="nil"/>
              <w:left w:val="nil"/>
              <w:bottom w:val="single" w:sz="4" w:space="0" w:color="auto"/>
              <w:right w:val="single" w:sz="4" w:space="0" w:color="auto"/>
            </w:tcBorders>
            <w:shd w:val="clear" w:color="auto" w:fill="auto"/>
            <w:noWrap/>
            <w:vAlign w:val="center"/>
            <w:hideMark/>
          </w:tcPr>
          <w:p w14:paraId="338A6694" w14:textId="77777777" w:rsidR="00877012" w:rsidRPr="002B17BF" w:rsidRDefault="00877012" w:rsidP="00877012">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50</w:t>
            </w:r>
          </w:p>
        </w:tc>
      </w:tr>
      <w:tr w:rsidR="003360DC" w:rsidRPr="002B17BF" w14:paraId="2F5A0C6D" w14:textId="77777777" w:rsidTr="00223E5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6783DCA0" w14:textId="16D0170E" w:rsidR="003360DC" w:rsidRPr="002B17BF" w:rsidRDefault="00877012" w:rsidP="003360DC">
            <w:pPr>
              <w:ind w:left="0" w:firstLine="0"/>
              <w:rPr>
                <w:rFonts w:eastAsia="Times New Roman" w:cs="Calibri"/>
                <w:noProof/>
                <w:sz w:val="20"/>
                <w:szCs w:val="20"/>
                <w:lang w:val="es-ES" w:eastAsia="en-GB"/>
              </w:rPr>
            </w:pPr>
            <w:r w:rsidRPr="002B17BF">
              <w:rPr>
                <w:rFonts w:eastAsia="Times New Roman" w:cs="Calibri"/>
                <w:noProof/>
                <w:sz w:val="20"/>
                <w:szCs w:val="20"/>
                <w:lang w:val="es-ES" w:eastAsia="en-GB"/>
              </w:rPr>
              <w:t>Plan Estratégico 5</w:t>
            </w:r>
            <w:r w:rsidR="003360DC" w:rsidRPr="002B17BF">
              <w:rPr>
                <w:rFonts w:eastAsia="Times New Roman" w:cs="Calibri"/>
                <w:noProof/>
                <w:sz w:val="20"/>
                <w:szCs w:val="20"/>
                <w:lang w:val="es-ES" w:eastAsia="en-GB"/>
              </w:rPr>
              <w:t xml:space="preserve"> (2022 - 2024)</w:t>
            </w:r>
          </w:p>
        </w:tc>
        <w:tc>
          <w:tcPr>
            <w:tcW w:w="1521" w:type="dxa"/>
            <w:tcBorders>
              <w:top w:val="nil"/>
              <w:left w:val="nil"/>
              <w:bottom w:val="single" w:sz="4" w:space="0" w:color="auto"/>
              <w:right w:val="single" w:sz="4" w:space="0" w:color="auto"/>
            </w:tcBorders>
            <w:shd w:val="clear" w:color="auto" w:fill="auto"/>
            <w:noWrap/>
            <w:vAlign w:val="center"/>
            <w:hideMark/>
          </w:tcPr>
          <w:p w14:paraId="48B3E5CD" w14:textId="77777777" w:rsidR="003360DC" w:rsidRPr="002B17BF" w:rsidRDefault="003360DC" w:rsidP="003360DC">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nil"/>
              <w:bottom w:val="single" w:sz="4" w:space="0" w:color="auto"/>
              <w:right w:val="single" w:sz="4" w:space="0" w:color="auto"/>
            </w:tcBorders>
            <w:shd w:val="clear" w:color="auto" w:fill="auto"/>
            <w:noWrap/>
            <w:vAlign w:val="center"/>
            <w:hideMark/>
          </w:tcPr>
          <w:p w14:paraId="3883D718" w14:textId="77777777" w:rsidR="003360DC" w:rsidRPr="002B17BF" w:rsidRDefault="003360DC" w:rsidP="003360DC">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34DF8398" w14:textId="77777777" w:rsidR="003360DC" w:rsidRPr="002B17BF" w:rsidRDefault="003360DC" w:rsidP="003360DC">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90</w:t>
            </w:r>
          </w:p>
        </w:tc>
        <w:tc>
          <w:tcPr>
            <w:tcW w:w="1521" w:type="dxa"/>
            <w:tcBorders>
              <w:top w:val="nil"/>
              <w:left w:val="nil"/>
              <w:bottom w:val="single" w:sz="4" w:space="0" w:color="auto"/>
              <w:right w:val="single" w:sz="4" w:space="0" w:color="auto"/>
            </w:tcBorders>
            <w:shd w:val="clear" w:color="auto" w:fill="auto"/>
            <w:noWrap/>
            <w:vAlign w:val="center"/>
            <w:hideMark/>
          </w:tcPr>
          <w:p w14:paraId="7DC829D1" w14:textId="77777777" w:rsidR="003360DC" w:rsidRPr="002B17BF" w:rsidRDefault="003360DC" w:rsidP="003360DC">
            <w:pPr>
              <w:ind w:left="0" w:firstLine="0"/>
              <w:rPr>
                <w:rFonts w:ascii="Calibri Light" w:eastAsia="Times New Roman" w:hAnsi="Calibri Light" w:cs="Calibri Light"/>
                <w:noProof/>
                <w:color w:val="FF0000"/>
                <w:sz w:val="20"/>
                <w:szCs w:val="20"/>
                <w:lang w:val="es-ES" w:eastAsia="en-GB"/>
              </w:rPr>
            </w:pPr>
            <w:r w:rsidRPr="002B17BF">
              <w:rPr>
                <w:rFonts w:ascii="Calibri Light" w:eastAsia="Times New Roman" w:hAnsi="Calibri Light" w:cs="Calibri Light"/>
                <w:strike/>
                <w:noProof/>
                <w:color w:val="FF0000"/>
                <w:sz w:val="20"/>
                <w:szCs w:val="20"/>
                <w:lang w:val="es-ES" w:eastAsia="en-GB"/>
              </w:rPr>
              <w:t> </w:t>
            </w:r>
          </w:p>
        </w:tc>
        <w:tc>
          <w:tcPr>
            <w:tcW w:w="1521" w:type="dxa"/>
            <w:tcBorders>
              <w:top w:val="nil"/>
              <w:left w:val="nil"/>
              <w:bottom w:val="single" w:sz="4" w:space="0" w:color="auto"/>
              <w:right w:val="single" w:sz="4" w:space="0" w:color="auto"/>
            </w:tcBorders>
            <w:shd w:val="clear" w:color="auto" w:fill="auto"/>
            <w:noWrap/>
            <w:vAlign w:val="center"/>
            <w:hideMark/>
          </w:tcPr>
          <w:p w14:paraId="02F941B2" w14:textId="77777777" w:rsidR="003360DC" w:rsidRPr="002B17BF" w:rsidRDefault="003360DC" w:rsidP="003360DC">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90</w:t>
            </w:r>
          </w:p>
        </w:tc>
      </w:tr>
      <w:tr w:rsidR="003360DC" w:rsidRPr="002B17BF" w14:paraId="7A9015F2" w14:textId="77777777" w:rsidTr="00223E5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2C9B855F" w14:textId="3A39CD6C" w:rsidR="003360DC" w:rsidRPr="002B17BF" w:rsidRDefault="00877012" w:rsidP="003360DC">
            <w:pPr>
              <w:ind w:left="0" w:firstLine="0"/>
              <w:rPr>
                <w:rFonts w:eastAsia="Times New Roman" w:cs="Calibri"/>
                <w:noProof/>
                <w:sz w:val="20"/>
                <w:szCs w:val="20"/>
                <w:lang w:val="es-ES" w:eastAsia="en-GB"/>
              </w:rPr>
            </w:pPr>
            <w:r w:rsidRPr="002B17BF">
              <w:rPr>
                <w:rFonts w:eastAsia="Times New Roman" w:cs="Calibri"/>
                <w:noProof/>
                <w:sz w:val="20"/>
                <w:szCs w:val="20"/>
                <w:lang w:val="es-ES" w:eastAsia="en-GB"/>
              </w:rPr>
              <w:t>ODS</w:t>
            </w:r>
            <w:r w:rsidR="003360DC" w:rsidRPr="002B17BF">
              <w:rPr>
                <w:rFonts w:eastAsia="Times New Roman" w:cs="Calibri"/>
                <w:noProof/>
                <w:sz w:val="20"/>
                <w:szCs w:val="20"/>
                <w:lang w:val="es-ES" w:eastAsia="en-GB"/>
              </w:rPr>
              <w:t xml:space="preserve"> 6.61 (Invent</w:t>
            </w:r>
            <w:r w:rsidRPr="002B17BF">
              <w:rPr>
                <w:rFonts w:eastAsia="Times New Roman" w:cs="Calibri"/>
                <w:noProof/>
                <w:sz w:val="20"/>
                <w:szCs w:val="20"/>
                <w:lang w:val="es-ES" w:eastAsia="en-GB"/>
              </w:rPr>
              <w:t>arios</w:t>
            </w:r>
            <w:r w:rsidR="003360DC" w:rsidRPr="002B17BF">
              <w:rPr>
                <w:rFonts w:eastAsia="Times New Roman" w:cs="Calibri"/>
                <w:noProof/>
                <w:sz w:val="20"/>
                <w:szCs w:val="20"/>
                <w:lang w:val="es-ES" w:eastAsia="en-GB"/>
              </w:rPr>
              <w:t>)</w:t>
            </w:r>
          </w:p>
        </w:tc>
        <w:tc>
          <w:tcPr>
            <w:tcW w:w="1521" w:type="dxa"/>
            <w:tcBorders>
              <w:top w:val="nil"/>
              <w:left w:val="nil"/>
              <w:bottom w:val="single" w:sz="4" w:space="0" w:color="auto"/>
              <w:right w:val="single" w:sz="4" w:space="0" w:color="auto"/>
            </w:tcBorders>
            <w:shd w:val="clear" w:color="auto" w:fill="auto"/>
            <w:noWrap/>
            <w:vAlign w:val="center"/>
            <w:hideMark/>
          </w:tcPr>
          <w:p w14:paraId="65585AD6" w14:textId="77777777" w:rsidR="003360DC" w:rsidRPr="002B17BF" w:rsidRDefault="003360DC" w:rsidP="003360DC">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nil"/>
              <w:bottom w:val="single" w:sz="4" w:space="0" w:color="auto"/>
              <w:right w:val="single" w:sz="4" w:space="0" w:color="auto"/>
            </w:tcBorders>
            <w:shd w:val="clear" w:color="auto" w:fill="auto"/>
            <w:noWrap/>
            <w:vAlign w:val="center"/>
            <w:hideMark/>
          </w:tcPr>
          <w:p w14:paraId="09A1AEF8" w14:textId="77777777" w:rsidR="003360DC" w:rsidRPr="002B17BF" w:rsidRDefault="003360DC" w:rsidP="003360DC">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1AC210CD" w14:textId="77777777" w:rsidR="003360DC" w:rsidRPr="002B17BF" w:rsidRDefault="003360DC" w:rsidP="003360DC">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72</w:t>
            </w:r>
          </w:p>
        </w:tc>
        <w:tc>
          <w:tcPr>
            <w:tcW w:w="1521" w:type="dxa"/>
            <w:tcBorders>
              <w:top w:val="nil"/>
              <w:left w:val="nil"/>
              <w:bottom w:val="single" w:sz="4" w:space="0" w:color="auto"/>
              <w:right w:val="single" w:sz="4" w:space="0" w:color="auto"/>
            </w:tcBorders>
            <w:shd w:val="clear" w:color="auto" w:fill="auto"/>
            <w:noWrap/>
            <w:vAlign w:val="center"/>
            <w:hideMark/>
          </w:tcPr>
          <w:p w14:paraId="220B3E80" w14:textId="77777777" w:rsidR="003360DC" w:rsidRPr="002B17BF" w:rsidRDefault="003360DC" w:rsidP="003360DC">
            <w:pPr>
              <w:ind w:left="0" w:firstLine="0"/>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 </w:t>
            </w:r>
          </w:p>
        </w:tc>
        <w:tc>
          <w:tcPr>
            <w:tcW w:w="1521" w:type="dxa"/>
            <w:tcBorders>
              <w:top w:val="nil"/>
              <w:left w:val="nil"/>
              <w:bottom w:val="single" w:sz="4" w:space="0" w:color="auto"/>
              <w:right w:val="single" w:sz="4" w:space="0" w:color="auto"/>
            </w:tcBorders>
            <w:shd w:val="clear" w:color="auto" w:fill="auto"/>
            <w:noWrap/>
            <w:vAlign w:val="center"/>
            <w:hideMark/>
          </w:tcPr>
          <w:p w14:paraId="2469668E" w14:textId="77777777" w:rsidR="003360DC" w:rsidRPr="002B17BF" w:rsidRDefault="003360DC" w:rsidP="003360DC">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72</w:t>
            </w:r>
          </w:p>
        </w:tc>
      </w:tr>
      <w:tr w:rsidR="00877012" w:rsidRPr="002B17BF" w14:paraId="71E19061" w14:textId="77777777" w:rsidTr="00223E5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04A6E63F" w14:textId="01196A6B" w:rsidR="00877012" w:rsidRPr="002B17BF" w:rsidRDefault="00877012" w:rsidP="00877012">
            <w:pPr>
              <w:ind w:left="0" w:firstLine="0"/>
              <w:rPr>
                <w:rFonts w:eastAsia="Times New Roman" w:cs="Calibri"/>
                <w:noProof/>
                <w:sz w:val="20"/>
                <w:szCs w:val="20"/>
                <w:lang w:val="es-ES" w:eastAsia="en-GB"/>
              </w:rPr>
            </w:pPr>
            <w:r w:rsidRPr="002B17BF">
              <w:rPr>
                <w:noProof/>
                <w:color w:val="000000"/>
                <w:sz w:val="20"/>
                <w:lang w:val="es-ES"/>
              </w:rPr>
              <w:t>Servicio de Información sobre Sitios Ramsar (mantenimiento y desarrollo)</w:t>
            </w:r>
          </w:p>
        </w:tc>
        <w:tc>
          <w:tcPr>
            <w:tcW w:w="1521" w:type="dxa"/>
            <w:tcBorders>
              <w:top w:val="nil"/>
              <w:left w:val="nil"/>
              <w:bottom w:val="single" w:sz="4" w:space="0" w:color="auto"/>
              <w:right w:val="single" w:sz="4" w:space="0" w:color="auto"/>
            </w:tcBorders>
            <w:shd w:val="clear" w:color="auto" w:fill="auto"/>
            <w:noWrap/>
            <w:vAlign w:val="center"/>
            <w:hideMark/>
          </w:tcPr>
          <w:p w14:paraId="11DB9FC9" w14:textId="77777777" w:rsidR="00877012" w:rsidRPr="002B17BF" w:rsidRDefault="00877012" w:rsidP="00877012">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80</w:t>
            </w:r>
          </w:p>
        </w:tc>
        <w:tc>
          <w:tcPr>
            <w:tcW w:w="1521" w:type="dxa"/>
            <w:tcBorders>
              <w:top w:val="nil"/>
              <w:left w:val="nil"/>
              <w:bottom w:val="single" w:sz="4" w:space="0" w:color="auto"/>
              <w:right w:val="single" w:sz="4" w:space="0" w:color="auto"/>
            </w:tcBorders>
            <w:shd w:val="clear" w:color="auto" w:fill="auto"/>
            <w:noWrap/>
            <w:vAlign w:val="center"/>
            <w:hideMark/>
          </w:tcPr>
          <w:p w14:paraId="318D8B88" w14:textId="77777777" w:rsidR="00877012" w:rsidRPr="002B17BF" w:rsidRDefault="00877012" w:rsidP="00877012">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1E2EAC03" w14:textId="77777777" w:rsidR="00877012" w:rsidRPr="002B17BF" w:rsidRDefault="00877012" w:rsidP="00877012">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nil"/>
              <w:bottom w:val="single" w:sz="4" w:space="0" w:color="auto"/>
              <w:right w:val="single" w:sz="4" w:space="0" w:color="auto"/>
            </w:tcBorders>
            <w:shd w:val="clear" w:color="auto" w:fill="auto"/>
            <w:noWrap/>
            <w:vAlign w:val="center"/>
            <w:hideMark/>
          </w:tcPr>
          <w:p w14:paraId="7F89AD20" w14:textId="77777777" w:rsidR="00877012" w:rsidRPr="002B17BF" w:rsidRDefault="00877012" w:rsidP="00877012">
            <w:pPr>
              <w:ind w:left="0" w:firstLine="0"/>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 </w:t>
            </w:r>
          </w:p>
        </w:tc>
        <w:tc>
          <w:tcPr>
            <w:tcW w:w="1521" w:type="dxa"/>
            <w:tcBorders>
              <w:top w:val="nil"/>
              <w:left w:val="nil"/>
              <w:bottom w:val="single" w:sz="4" w:space="0" w:color="auto"/>
              <w:right w:val="single" w:sz="4" w:space="0" w:color="auto"/>
            </w:tcBorders>
            <w:shd w:val="clear" w:color="auto" w:fill="auto"/>
            <w:noWrap/>
            <w:vAlign w:val="center"/>
            <w:hideMark/>
          </w:tcPr>
          <w:p w14:paraId="5FC3B41C" w14:textId="77777777" w:rsidR="00877012" w:rsidRPr="002B17BF" w:rsidRDefault="00877012" w:rsidP="00877012">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80</w:t>
            </w:r>
          </w:p>
        </w:tc>
      </w:tr>
      <w:tr w:rsidR="00877012" w:rsidRPr="002B17BF" w14:paraId="0160769E" w14:textId="77777777" w:rsidTr="00223E58">
        <w:trPr>
          <w:trHeight w:val="270"/>
        </w:trPr>
        <w:tc>
          <w:tcPr>
            <w:tcW w:w="4792" w:type="dxa"/>
            <w:tcBorders>
              <w:top w:val="nil"/>
              <w:left w:val="single" w:sz="4" w:space="0" w:color="auto"/>
              <w:bottom w:val="single" w:sz="4" w:space="0" w:color="auto"/>
              <w:right w:val="single" w:sz="4" w:space="0" w:color="auto"/>
            </w:tcBorders>
            <w:shd w:val="clear" w:color="000000" w:fill="EAF1DD"/>
            <w:noWrap/>
            <w:vAlign w:val="center"/>
            <w:hideMark/>
          </w:tcPr>
          <w:p w14:paraId="756CBCE4" w14:textId="6EA00E64" w:rsidR="00877012" w:rsidRPr="002B17BF" w:rsidRDefault="00877012" w:rsidP="00877012">
            <w:pPr>
              <w:ind w:left="0" w:firstLine="0"/>
              <w:rPr>
                <w:rFonts w:eastAsia="Times New Roman" w:cs="Calibri"/>
                <w:noProof/>
                <w:sz w:val="20"/>
                <w:szCs w:val="20"/>
                <w:lang w:val="es-ES" w:eastAsia="en-GB"/>
              </w:rPr>
            </w:pPr>
            <w:r w:rsidRPr="002B17BF">
              <w:rPr>
                <w:rFonts w:eastAsia="Times New Roman" w:cs="Calibri"/>
                <w:noProof/>
                <w:color w:val="000000"/>
                <w:sz w:val="20"/>
                <w:szCs w:val="20"/>
                <w:lang w:val="es-ES" w:eastAsia="en-GB"/>
              </w:rPr>
              <w:t xml:space="preserve">G.  </w:t>
            </w:r>
            <w:r w:rsidRPr="002B17BF">
              <w:rPr>
                <w:noProof/>
                <w:color w:val="000000"/>
                <w:sz w:val="20"/>
                <w:lang w:val="es-ES"/>
              </w:rPr>
              <w:t>Administración/sitio web</w:t>
            </w:r>
          </w:p>
        </w:tc>
        <w:tc>
          <w:tcPr>
            <w:tcW w:w="1521" w:type="dxa"/>
            <w:tcBorders>
              <w:top w:val="nil"/>
              <w:left w:val="nil"/>
              <w:bottom w:val="single" w:sz="4" w:space="0" w:color="auto"/>
              <w:right w:val="single" w:sz="4" w:space="0" w:color="auto"/>
            </w:tcBorders>
            <w:shd w:val="clear" w:color="000000" w:fill="EAF1DD"/>
            <w:noWrap/>
            <w:vAlign w:val="center"/>
            <w:hideMark/>
          </w:tcPr>
          <w:p w14:paraId="67976725" w14:textId="77777777" w:rsidR="00877012" w:rsidRPr="002B17BF" w:rsidRDefault="00877012" w:rsidP="00877012">
            <w:pPr>
              <w:ind w:left="0" w:firstLine="0"/>
              <w:jc w:val="right"/>
              <w:rPr>
                <w:rFonts w:eastAsia="Times New Roman" w:cs="Calibri"/>
                <w:b/>
                <w:bCs/>
                <w:noProof/>
                <w:sz w:val="20"/>
                <w:szCs w:val="20"/>
                <w:lang w:val="es-ES" w:eastAsia="en-GB"/>
              </w:rPr>
            </w:pPr>
            <w:r w:rsidRPr="002B17BF">
              <w:rPr>
                <w:rFonts w:eastAsia="Times New Roman" w:cs="Calibri"/>
                <w:b/>
                <w:bCs/>
                <w:noProof/>
                <w:sz w:val="20"/>
                <w:szCs w:val="20"/>
                <w:lang w:val="es-ES" w:eastAsia="en-GB"/>
              </w:rPr>
              <w:t>481</w:t>
            </w:r>
          </w:p>
        </w:tc>
        <w:tc>
          <w:tcPr>
            <w:tcW w:w="1521" w:type="dxa"/>
            <w:tcBorders>
              <w:top w:val="nil"/>
              <w:left w:val="nil"/>
              <w:bottom w:val="single" w:sz="4" w:space="0" w:color="auto"/>
              <w:right w:val="single" w:sz="4" w:space="0" w:color="auto"/>
            </w:tcBorders>
            <w:shd w:val="clear" w:color="000000" w:fill="EAF1DD"/>
            <w:noWrap/>
            <w:vAlign w:val="center"/>
            <w:hideMark/>
          </w:tcPr>
          <w:p w14:paraId="365CDB12" w14:textId="77777777" w:rsidR="00877012" w:rsidRPr="002B17BF" w:rsidRDefault="00877012" w:rsidP="00877012">
            <w:pPr>
              <w:ind w:left="0" w:firstLine="0"/>
              <w:jc w:val="right"/>
              <w:rPr>
                <w:rFonts w:eastAsia="Times New Roman" w:cs="Calibri"/>
                <w:b/>
                <w:bCs/>
                <w:noProof/>
                <w:sz w:val="20"/>
                <w:szCs w:val="20"/>
                <w:lang w:val="es-ES" w:eastAsia="en-GB"/>
              </w:rPr>
            </w:pPr>
            <w:r w:rsidRPr="002B17BF">
              <w:rPr>
                <w:rFonts w:eastAsia="Times New Roman" w:cs="Calibri"/>
                <w:b/>
                <w:bCs/>
                <w:noProof/>
                <w:sz w:val="20"/>
                <w:szCs w:val="20"/>
                <w:lang w:val="es-ES" w:eastAsia="en-GB"/>
              </w:rPr>
              <w:t>11</w:t>
            </w:r>
          </w:p>
        </w:tc>
        <w:tc>
          <w:tcPr>
            <w:tcW w:w="1521" w:type="dxa"/>
            <w:tcBorders>
              <w:top w:val="nil"/>
              <w:left w:val="single" w:sz="4" w:space="0" w:color="auto"/>
              <w:bottom w:val="single" w:sz="4" w:space="0" w:color="auto"/>
              <w:right w:val="single" w:sz="4" w:space="0" w:color="auto"/>
            </w:tcBorders>
            <w:shd w:val="clear" w:color="000000" w:fill="EAF1DD"/>
            <w:noWrap/>
            <w:vAlign w:val="center"/>
            <w:hideMark/>
          </w:tcPr>
          <w:p w14:paraId="234D1935" w14:textId="77777777" w:rsidR="00877012" w:rsidRPr="002B17BF" w:rsidRDefault="00877012" w:rsidP="00877012">
            <w:pPr>
              <w:ind w:left="0" w:firstLine="0"/>
              <w:jc w:val="right"/>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73</w:t>
            </w:r>
          </w:p>
        </w:tc>
        <w:tc>
          <w:tcPr>
            <w:tcW w:w="1521" w:type="dxa"/>
            <w:tcBorders>
              <w:top w:val="nil"/>
              <w:left w:val="nil"/>
              <w:bottom w:val="single" w:sz="4" w:space="0" w:color="auto"/>
              <w:right w:val="single" w:sz="4" w:space="0" w:color="auto"/>
            </w:tcBorders>
            <w:shd w:val="clear" w:color="000000" w:fill="EAF1DD"/>
            <w:noWrap/>
            <w:vAlign w:val="center"/>
            <w:hideMark/>
          </w:tcPr>
          <w:p w14:paraId="5FCCCDA9" w14:textId="462E1CE7" w:rsidR="00877012" w:rsidRPr="002B17BF" w:rsidRDefault="00877012" w:rsidP="00877012">
            <w:pPr>
              <w:ind w:left="0" w:firstLine="0"/>
              <w:jc w:val="right"/>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89</w:t>
            </w:r>
            <w:r w:rsidR="00603C7B">
              <w:rPr>
                <w:rFonts w:eastAsia="Times New Roman" w:cs="Calibri"/>
                <w:b/>
                <w:bCs/>
                <w:noProof/>
                <w:color w:val="000000"/>
                <w:sz w:val="20"/>
                <w:szCs w:val="20"/>
                <w:lang w:val="es-ES" w:eastAsia="en-GB"/>
              </w:rPr>
              <w:t>,</w:t>
            </w:r>
            <w:r w:rsidRPr="002B17BF">
              <w:rPr>
                <w:rFonts w:eastAsia="Times New Roman" w:cs="Calibri"/>
                <w:b/>
                <w:bCs/>
                <w:noProof/>
                <w:color w:val="000000"/>
                <w:sz w:val="20"/>
                <w:szCs w:val="20"/>
                <w:lang w:val="es-ES" w:eastAsia="en-GB"/>
              </w:rPr>
              <w:t>5</w:t>
            </w:r>
          </w:p>
        </w:tc>
        <w:tc>
          <w:tcPr>
            <w:tcW w:w="1521" w:type="dxa"/>
            <w:tcBorders>
              <w:top w:val="nil"/>
              <w:left w:val="nil"/>
              <w:bottom w:val="single" w:sz="4" w:space="0" w:color="auto"/>
              <w:right w:val="single" w:sz="4" w:space="0" w:color="auto"/>
            </w:tcBorders>
            <w:shd w:val="clear" w:color="000000" w:fill="EAF1DD"/>
            <w:noWrap/>
            <w:vAlign w:val="center"/>
            <w:hideMark/>
          </w:tcPr>
          <w:p w14:paraId="4EFAAA34" w14:textId="77777777" w:rsidR="00877012" w:rsidRPr="002B17BF" w:rsidRDefault="00877012" w:rsidP="00877012">
            <w:pPr>
              <w:ind w:left="0" w:firstLine="0"/>
              <w:jc w:val="right"/>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654</w:t>
            </w:r>
          </w:p>
        </w:tc>
      </w:tr>
      <w:tr w:rsidR="00877012" w:rsidRPr="002B17BF" w14:paraId="3369E9A4" w14:textId="77777777" w:rsidTr="00223E58">
        <w:trPr>
          <w:trHeight w:val="270"/>
        </w:trPr>
        <w:tc>
          <w:tcPr>
            <w:tcW w:w="4792" w:type="dxa"/>
            <w:tcBorders>
              <w:top w:val="single" w:sz="4" w:space="0" w:color="auto"/>
              <w:left w:val="single" w:sz="4" w:space="0" w:color="auto"/>
              <w:bottom w:val="single" w:sz="4" w:space="0" w:color="auto"/>
              <w:right w:val="nil"/>
            </w:tcBorders>
            <w:shd w:val="clear" w:color="auto" w:fill="auto"/>
            <w:noWrap/>
            <w:vAlign w:val="center"/>
            <w:hideMark/>
          </w:tcPr>
          <w:p w14:paraId="6CB34A30" w14:textId="30E660AE" w:rsidR="00877012" w:rsidRPr="002B17BF" w:rsidRDefault="00877012" w:rsidP="00877012">
            <w:pPr>
              <w:ind w:left="0" w:firstLine="0"/>
              <w:rPr>
                <w:rFonts w:eastAsia="Times New Roman" w:cs="Calibri"/>
                <w:noProof/>
                <w:sz w:val="20"/>
                <w:szCs w:val="20"/>
                <w:lang w:val="es-ES" w:eastAsia="en-GB"/>
              </w:rPr>
            </w:pPr>
            <w:r w:rsidRPr="002B17BF">
              <w:rPr>
                <w:rFonts w:eastAsia="Times New Roman" w:cs="Calibri"/>
                <w:noProof/>
                <w:sz w:val="20"/>
                <w:szCs w:val="20"/>
                <w:lang w:val="es-ES" w:eastAsia="en-GB"/>
              </w:rPr>
              <w:t>Salarios, gastos sociales y otras prestaciones laborales</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3531F585" w14:textId="77777777" w:rsidR="00877012" w:rsidRPr="002B17BF" w:rsidRDefault="00877012" w:rsidP="00877012">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337</w:t>
            </w:r>
          </w:p>
        </w:tc>
        <w:tc>
          <w:tcPr>
            <w:tcW w:w="1521" w:type="dxa"/>
            <w:tcBorders>
              <w:top w:val="nil"/>
              <w:left w:val="nil"/>
              <w:bottom w:val="single" w:sz="4" w:space="0" w:color="auto"/>
              <w:right w:val="single" w:sz="4" w:space="0" w:color="auto"/>
            </w:tcBorders>
            <w:shd w:val="clear" w:color="auto" w:fill="auto"/>
            <w:noWrap/>
            <w:vAlign w:val="center"/>
            <w:hideMark/>
          </w:tcPr>
          <w:p w14:paraId="58A4CBDA" w14:textId="77777777" w:rsidR="00877012" w:rsidRPr="002B17BF" w:rsidRDefault="00877012" w:rsidP="00877012">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452D508C" w14:textId="77777777" w:rsidR="00877012" w:rsidRPr="002B17BF" w:rsidRDefault="00877012" w:rsidP="00877012">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0</w:t>
            </w:r>
          </w:p>
        </w:tc>
        <w:tc>
          <w:tcPr>
            <w:tcW w:w="1521" w:type="dxa"/>
            <w:tcBorders>
              <w:top w:val="nil"/>
              <w:left w:val="nil"/>
              <w:bottom w:val="single" w:sz="4" w:space="0" w:color="auto"/>
              <w:right w:val="single" w:sz="4" w:space="0" w:color="auto"/>
            </w:tcBorders>
            <w:shd w:val="clear" w:color="auto" w:fill="auto"/>
            <w:noWrap/>
            <w:vAlign w:val="center"/>
            <w:hideMark/>
          </w:tcPr>
          <w:p w14:paraId="7677E957" w14:textId="77777777" w:rsidR="00877012" w:rsidRPr="002B17BF" w:rsidRDefault="00877012" w:rsidP="00877012">
            <w:pPr>
              <w:ind w:left="0" w:firstLine="0"/>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 </w:t>
            </w:r>
          </w:p>
        </w:tc>
        <w:tc>
          <w:tcPr>
            <w:tcW w:w="1521" w:type="dxa"/>
            <w:tcBorders>
              <w:top w:val="nil"/>
              <w:left w:val="nil"/>
              <w:bottom w:val="single" w:sz="4" w:space="0" w:color="auto"/>
              <w:right w:val="single" w:sz="4" w:space="0" w:color="auto"/>
            </w:tcBorders>
            <w:shd w:val="clear" w:color="auto" w:fill="auto"/>
            <w:noWrap/>
            <w:vAlign w:val="center"/>
            <w:hideMark/>
          </w:tcPr>
          <w:p w14:paraId="713FB0AE" w14:textId="77777777" w:rsidR="00877012" w:rsidRPr="002B17BF" w:rsidRDefault="00877012" w:rsidP="00877012">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337</w:t>
            </w:r>
          </w:p>
        </w:tc>
      </w:tr>
      <w:tr w:rsidR="00877012" w:rsidRPr="002B17BF" w14:paraId="7C99C67D" w14:textId="77777777" w:rsidTr="00223E58">
        <w:trPr>
          <w:trHeight w:val="270"/>
        </w:trPr>
        <w:tc>
          <w:tcPr>
            <w:tcW w:w="4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4F7BF" w14:textId="47F413DE" w:rsidR="00877012" w:rsidRPr="002B17BF" w:rsidRDefault="00877012" w:rsidP="00877012">
            <w:pPr>
              <w:ind w:left="0" w:firstLine="0"/>
              <w:rPr>
                <w:rFonts w:eastAsia="Times New Roman" w:cs="Calibri"/>
                <w:noProof/>
                <w:sz w:val="20"/>
                <w:szCs w:val="20"/>
                <w:lang w:val="es-ES" w:eastAsia="en-GB"/>
              </w:rPr>
            </w:pPr>
            <w:r w:rsidRPr="002B17BF">
              <w:rPr>
                <w:noProof/>
                <w:color w:val="000000"/>
                <w:sz w:val="20"/>
                <w:lang w:val="es-ES"/>
              </w:rPr>
              <w:t>Costos de contratación y separación del personal</w:t>
            </w:r>
          </w:p>
        </w:tc>
        <w:tc>
          <w:tcPr>
            <w:tcW w:w="1521" w:type="dxa"/>
            <w:tcBorders>
              <w:top w:val="nil"/>
              <w:left w:val="nil"/>
              <w:bottom w:val="single" w:sz="4" w:space="0" w:color="auto"/>
              <w:right w:val="single" w:sz="4" w:space="0" w:color="auto"/>
            </w:tcBorders>
            <w:shd w:val="clear" w:color="auto" w:fill="auto"/>
            <w:noWrap/>
            <w:vAlign w:val="center"/>
            <w:hideMark/>
          </w:tcPr>
          <w:p w14:paraId="68111295" w14:textId="77777777" w:rsidR="00877012" w:rsidRPr="002B17BF" w:rsidRDefault="00877012" w:rsidP="00877012">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49</w:t>
            </w:r>
          </w:p>
        </w:tc>
        <w:tc>
          <w:tcPr>
            <w:tcW w:w="1521" w:type="dxa"/>
            <w:tcBorders>
              <w:top w:val="nil"/>
              <w:left w:val="nil"/>
              <w:bottom w:val="single" w:sz="4" w:space="0" w:color="auto"/>
              <w:right w:val="single" w:sz="4" w:space="0" w:color="auto"/>
            </w:tcBorders>
            <w:shd w:val="clear" w:color="auto" w:fill="auto"/>
            <w:noWrap/>
            <w:vAlign w:val="center"/>
            <w:hideMark/>
          </w:tcPr>
          <w:p w14:paraId="7202C0CF" w14:textId="77777777" w:rsidR="00877012" w:rsidRPr="002B17BF" w:rsidRDefault="00877012" w:rsidP="00877012">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6EABB2F7" w14:textId="77777777" w:rsidR="00877012" w:rsidRPr="002B17BF" w:rsidRDefault="00877012" w:rsidP="00877012">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0</w:t>
            </w:r>
          </w:p>
        </w:tc>
        <w:tc>
          <w:tcPr>
            <w:tcW w:w="1521" w:type="dxa"/>
            <w:tcBorders>
              <w:top w:val="nil"/>
              <w:left w:val="nil"/>
              <w:bottom w:val="single" w:sz="4" w:space="0" w:color="auto"/>
              <w:right w:val="single" w:sz="4" w:space="0" w:color="auto"/>
            </w:tcBorders>
            <w:shd w:val="clear" w:color="auto" w:fill="auto"/>
            <w:noWrap/>
            <w:vAlign w:val="center"/>
            <w:hideMark/>
          </w:tcPr>
          <w:p w14:paraId="4BFDB1FA" w14:textId="0DBBD4A1" w:rsidR="00877012" w:rsidRPr="002B17BF" w:rsidRDefault="00877012" w:rsidP="00877012">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89</w:t>
            </w:r>
            <w:r w:rsidR="00603C7B">
              <w:rPr>
                <w:rFonts w:eastAsia="Times New Roman" w:cs="Calibri"/>
                <w:noProof/>
                <w:color w:val="000000"/>
                <w:sz w:val="20"/>
                <w:szCs w:val="20"/>
                <w:lang w:val="es-ES" w:eastAsia="en-GB"/>
              </w:rPr>
              <w:t>,</w:t>
            </w:r>
            <w:r w:rsidRPr="002B17BF">
              <w:rPr>
                <w:rFonts w:eastAsia="Times New Roman" w:cs="Calibri"/>
                <w:noProof/>
                <w:color w:val="000000"/>
                <w:sz w:val="20"/>
                <w:szCs w:val="20"/>
                <w:lang w:val="es-ES" w:eastAsia="en-GB"/>
              </w:rPr>
              <w:t>5</w:t>
            </w:r>
          </w:p>
        </w:tc>
        <w:tc>
          <w:tcPr>
            <w:tcW w:w="1521" w:type="dxa"/>
            <w:tcBorders>
              <w:top w:val="nil"/>
              <w:left w:val="nil"/>
              <w:bottom w:val="single" w:sz="4" w:space="0" w:color="auto"/>
              <w:right w:val="single" w:sz="4" w:space="0" w:color="auto"/>
            </w:tcBorders>
            <w:shd w:val="clear" w:color="auto" w:fill="auto"/>
            <w:noWrap/>
            <w:vAlign w:val="center"/>
            <w:hideMark/>
          </w:tcPr>
          <w:p w14:paraId="5EA1B496" w14:textId="77777777" w:rsidR="00877012" w:rsidRPr="002B17BF" w:rsidRDefault="00877012" w:rsidP="00877012">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138</w:t>
            </w:r>
          </w:p>
        </w:tc>
      </w:tr>
      <w:tr w:rsidR="00877012" w:rsidRPr="002B17BF" w14:paraId="7CE774D3" w14:textId="77777777" w:rsidTr="00223E5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3260AE1C" w14:textId="7A290C32" w:rsidR="00877012" w:rsidRPr="002B17BF" w:rsidRDefault="00877012" w:rsidP="00877012">
            <w:pPr>
              <w:ind w:left="0" w:firstLine="0"/>
              <w:rPr>
                <w:rFonts w:eastAsia="Times New Roman" w:cs="Calibri"/>
                <w:noProof/>
                <w:sz w:val="20"/>
                <w:szCs w:val="20"/>
                <w:lang w:val="es-ES" w:eastAsia="en-GB"/>
              </w:rPr>
            </w:pPr>
            <w:r w:rsidRPr="002B17BF">
              <w:rPr>
                <w:rFonts w:eastAsia="Times New Roman" w:cs="Calibri"/>
                <w:noProof/>
                <w:color w:val="000000"/>
                <w:sz w:val="20"/>
                <w:szCs w:val="20"/>
                <w:lang w:val="es-ES" w:eastAsia="en-GB"/>
              </w:rPr>
              <w:t>Viajes</w:t>
            </w:r>
          </w:p>
        </w:tc>
        <w:tc>
          <w:tcPr>
            <w:tcW w:w="1521" w:type="dxa"/>
            <w:tcBorders>
              <w:top w:val="nil"/>
              <w:left w:val="nil"/>
              <w:bottom w:val="single" w:sz="4" w:space="0" w:color="auto"/>
              <w:right w:val="single" w:sz="4" w:space="0" w:color="auto"/>
            </w:tcBorders>
            <w:shd w:val="clear" w:color="auto" w:fill="auto"/>
            <w:noWrap/>
            <w:vAlign w:val="center"/>
            <w:hideMark/>
          </w:tcPr>
          <w:p w14:paraId="42043606" w14:textId="77777777" w:rsidR="00877012" w:rsidRPr="002B17BF" w:rsidRDefault="00877012" w:rsidP="00877012">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nil"/>
              <w:bottom w:val="single" w:sz="4" w:space="0" w:color="auto"/>
              <w:right w:val="single" w:sz="4" w:space="0" w:color="auto"/>
            </w:tcBorders>
            <w:shd w:val="clear" w:color="auto" w:fill="auto"/>
            <w:noWrap/>
            <w:vAlign w:val="center"/>
            <w:hideMark/>
          </w:tcPr>
          <w:p w14:paraId="36995374" w14:textId="77777777" w:rsidR="00877012" w:rsidRPr="002B17BF" w:rsidRDefault="00877012" w:rsidP="00877012">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332369B9" w14:textId="77777777" w:rsidR="00877012" w:rsidRPr="002B17BF" w:rsidRDefault="00877012" w:rsidP="00877012">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0</w:t>
            </w:r>
          </w:p>
        </w:tc>
        <w:tc>
          <w:tcPr>
            <w:tcW w:w="1521" w:type="dxa"/>
            <w:tcBorders>
              <w:top w:val="nil"/>
              <w:left w:val="nil"/>
              <w:bottom w:val="single" w:sz="4" w:space="0" w:color="auto"/>
              <w:right w:val="single" w:sz="4" w:space="0" w:color="auto"/>
            </w:tcBorders>
            <w:shd w:val="clear" w:color="auto" w:fill="auto"/>
            <w:noWrap/>
            <w:vAlign w:val="center"/>
            <w:hideMark/>
          </w:tcPr>
          <w:p w14:paraId="709BBD37" w14:textId="77777777" w:rsidR="00877012" w:rsidRPr="002B17BF" w:rsidRDefault="00877012" w:rsidP="00877012">
            <w:pPr>
              <w:ind w:left="0" w:firstLine="0"/>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 </w:t>
            </w:r>
          </w:p>
        </w:tc>
        <w:tc>
          <w:tcPr>
            <w:tcW w:w="1521" w:type="dxa"/>
            <w:tcBorders>
              <w:top w:val="nil"/>
              <w:left w:val="nil"/>
              <w:bottom w:val="single" w:sz="4" w:space="0" w:color="auto"/>
              <w:right w:val="single" w:sz="4" w:space="0" w:color="auto"/>
            </w:tcBorders>
            <w:shd w:val="clear" w:color="auto" w:fill="auto"/>
            <w:noWrap/>
            <w:vAlign w:val="center"/>
            <w:hideMark/>
          </w:tcPr>
          <w:p w14:paraId="21B6CD1C" w14:textId="77777777" w:rsidR="00877012" w:rsidRPr="002B17BF" w:rsidRDefault="00877012" w:rsidP="00877012">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0</w:t>
            </w:r>
          </w:p>
        </w:tc>
      </w:tr>
      <w:tr w:rsidR="00877012" w:rsidRPr="002B17BF" w14:paraId="430CA213" w14:textId="77777777" w:rsidTr="00223E5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5679B1B2" w14:textId="24EA616B" w:rsidR="00877012" w:rsidRPr="002B17BF" w:rsidRDefault="00877012" w:rsidP="00877012">
            <w:pPr>
              <w:ind w:left="0" w:firstLine="0"/>
              <w:rPr>
                <w:rFonts w:eastAsia="Times New Roman" w:cs="Calibri"/>
                <w:noProof/>
                <w:sz w:val="20"/>
                <w:szCs w:val="20"/>
                <w:lang w:val="es-ES" w:eastAsia="en-GB"/>
              </w:rPr>
            </w:pPr>
            <w:r w:rsidRPr="002B17BF">
              <w:rPr>
                <w:noProof/>
                <w:color w:val="000000"/>
                <w:sz w:val="20"/>
                <w:lang w:val="es-ES"/>
              </w:rPr>
              <w:t>Equipo/material de oficina</w:t>
            </w:r>
          </w:p>
        </w:tc>
        <w:tc>
          <w:tcPr>
            <w:tcW w:w="1521" w:type="dxa"/>
            <w:tcBorders>
              <w:top w:val="nil"/>
              <w:left w:val="nil"/>
              <w:bottom w:val="single" w:sz="4" w:space="0" w:color="auto"/>
              <w:right w:val="single" w:sz="4" w:space="0" w:color="auto"/>
            </w:tcBorders>
            <w:shd w:val="clear" w:color="auto" w:fill="auto"/>
            <w:noWrap/>
            <w:vAlign w:val="center"/>
            <w:hideMark/>
          </w:tcPr>
          <w:p w14:paraId="15A2DB00" w14:textId="77777777" w:rsidR="00877012" w:rsidRPr="002B17BF" w:rsidRDefault="00877012" w:rsidP="00877012">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95</w:t>
            </w:r>
          </w:p>
        </w:tc>
        <w:tc>
          <w:tcPr>
            <w:tcW w:w="1521" w:type="dxa"/>
            <w:tcBorders>
              <w:top w:val="nil"/>
              <w:left w:val="nil"/>
              <w:bottom w:val="single" w:sz="4" w:space="0" w:color="auto"/>
              <w:right w:val="single" w:sz="4" w:space="0" w:color="auto"/>
            </w:tcBorders>
            <w:shd w:val="clear" w:color="auto" w:fill="auto"/>
            <w:noWrap/>
            <w:vAlign w:val="center"/>
            <w:hideMark/>
          </w:tcPr>
          <w:p w14:paraId="23B8409B" w14:textId="77777777" w:rsidR="00877012" w:rsidRPr="002B17BF" w:rsidRDefault="00877012" w:rsidP="00877012">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6E933739" w14:textId="77777777" w:rsidR="00877012" w:rsidRPr="002B17BF" w:rsidRDefault="00877012" w:rsidP="00877012">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0</w:t>
            </w:r>
          </w:p>
        </w:tc>
        <w:tc>
          <w:tcPr>
            <w:tcW w:w="1521" w:type="dxa"/>
            <w:tcBorders>
              <w:top w:val="nil"/>
              <w:left w:val="nil"/>
              <w:bottom w:val="single" w:sz="4" w:space="0" w:color="auto"/>
              <w:right w:val="single" w:sz="4" w:space="0" w:color="auto"/>
            </w:tcBorders>
            <w:shd w:val="clear" w:color="auto" w:fill="auto"/>
            <w:noWrap/>
            <w:vAlign w:val="center"/>
            <w:hideMark/>
          </w:tcPr>
          <w:p w14:paraId="20BA7966" w14:textId="77777777" w:rsidR="00877012" w:rsidRPr="002B17BF" w:rsidRDefault="00877012" w:rsidP="00877012">
            <w:pPr>
              <w:ind w:left="0" w:firstLine="0"/>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 </w:t>
            </w:r>
          </w:p>
        </w:tc>
        <w:tc>
          <w:tcPr>
            <w:tcW w:w="1521" w:type="dxa"/>
            <w:tcBorders>
              <w:top w:val="nil"/>
              <w:left w:val="nil"/>
              <w:bottom w:val="single" w:sz="4" w:space="0" w:color="auto"/>
              <w:right w:val="single" w:sz="4" w:space="0" w:color="auto"/>
            </w:tcBorders>
            <w:shd w:val="clear" w:color="auto" w:fill="auto"/>
            <w:noWrap/>
            <w:vAlign w:val="center"/>
            <w:hideMark/>
          </w:tcPr>
          <w:p w14:paraId="2CD002EA" w14:textId="77777777" w:rsidR="00877012" w:rsidRPr="002B17BF" w:rsidRDefault="00877012" w:rsidP="00877012">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95</w:t>
            </w:r>
          </w:p>
        </w:tc>
      </w:tr>
      <w:tr w:rsidR="00877012" w:rsidRPr="002B17BF" w14:paraId="1514AC0E" w14:textId="77777777" w:rsidTr="00223E5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56B28F4A" w14:textId="1DBF3560" w:rsidR="00877012" w:rsidRPr="002B17BF" w:rsidRDefault="00877012" w:rsidP="00877012">
            <w:pPr>
              <w:ind w:left="0" w:firstLine="0"/>
              <w:rPr>
                <w:rFonts w:eastAsia="Times New Roman" w:cs="Calibri"/>
                <w:noProof/>
                <w:sz w:val="20"/>
                <w:szCs w:val="20"/>
                <w:lang w:val="es-ES" w:eastAsia="en-GB"/>
              </w:rPr>
            </w:pPr>
            <w:r w:rsidRPr="002B17BF">
              <w:rPr>
                <w:noProof/>
                <w:color w:val="000000"/>
                <w:sz w:val="20"/>
                <w:lang w:val="es-ES"/>
              </w:rPr>
              <w:t>Planificación y creación de capacidad</w:t>
            </w:r>
          </w:p>
        </w:tc>
        <w:tc>
          <w:tcPr>
            <w:tcW w:w="1521" w:type="dxa"/>
            <w:tcBorders>
              <w:top w:val="nil"/>
              <w:left w:val="nil"/>
              <w:bottom w:val="single" w:sz="4" w:space="0" w:color="auto"/>
              <w:right w:val="single" w:sz="4" w:space="0" w:color="auto"/>
            </w:tcBorders>
            <w:shd w:val="clear" w:color="auto" w:fill="auto"/>
            <w:noWrap/>
            <w:vAlign w:val="center"/>
            <w:hideMark/>
          </w:tcPr>
          <w:p w14:paraId="1B2FE24D" w14:textId="77777777" w:rsidR="00877012" w:rsidRPr="002B17BF" w:rsidRDefault="00877012" w:rsidP="00877012">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nil"/>
              <w:bottom w:val="single" w:sz="4" w:space="0" w:color="auto"/>
              <w:right w:val="single" w:sz="4" w:space="0" w:color="auto"/>
            </w:tcBorders>
            <w:shd w:val="clear" w:color="auto" w:fill="auto"/>
            <w:noWrap/>
            <w:vAlign w:val="center"/>
            <w:hideMark/>
          </w:tcPr>
          <w:p w14:paraId="17096457" w14:textId="77777777" w:rsidR="00877012" w:rsidRPr="002B17BF" w:rsidRDefault="00877012" w:rsidP="00877012">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11</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5E5B1234" w14:textId="77777777" w:rsidR="00877012" w:rsidRPr="002B17BF" w:rsidRDefault="00877012" w:rsidP="00877012">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73</w:t>
            </w:r>
          </w:p>
        </w:tc>
        <w:tc>
          <w:tcPr>
            <w:tcW w:w="1521" w:type="dxa"/>
            <w:tcBorders>
              <w:top w:val="nil"/>
              <w:left w:val="nil"/>
              <w:bottom w:val="single" w:sz="4" w:space="0" w:color="auto"/>
              <w:right w:val="single" w:sz="4" w:space="0" w:color="auto"/>
            </w:tcBorders>
            <w:shd w:val="clear" w:color="auto" w:fill="auto"/>
            <w:noWrap/>
            <w:vAlign w:val="center"/>
            <w:hideMark/>
          </w:tcPr>
          <w:p w14:paraId="66D6425C" w14:textId="77777777" w:rsidR="00877012" w:rsidRPr="002B17BF" w:rsidRDefault="00877012" w:rsidP="00877012">
            <w:pPr>
              <w:ind w:left="0" w:firstLine="0"/>
              <w:rPr>
                <w:rFonts w:eastAsia="Times New Roman" w:cs="Calibri"/>
                <w:noProof/>
                <w:sz w:val="20"/>
                <w:szCs w:val="20"/>
                <w:lang w:val="es-ES" w:eastAsia="en-GB"/>
              </w:rPr>
            </w:pPr>
            <w:r w:rsidRPr="002B17BF">
              <w:rPr>
                <w:rFonts w:eastAsia="Times New Roman" w:cs="Calibri"/>
                <w:noProof/>
                <w:sz w:val="20"/>
                <w:szCs w:val="20"/>
                <w:lang w:val="es-ES" w:eastAsia="en-GB"/>
              </w:rPr>
              <w:t> </w:t>
            </w:r>
          </w:p>
        </w:tc>
        <w:tc>
          <w:tcPr>
            <w:tcW w:w="1521" w:type="dxa"/>
            <w:tcBorders>
              <w:top w:val="nil"/>
              <w:left w:val="nil"/>
              <w:bottom w:val="single" w:sz="4" w:space="0" w:color="auto"/>
              <w:right w:val="single" w:sz="4" w:space="0" w:color="auto"/>
            </w:tcBorders>
            <w:shd w:val="clear" w:color="auto" w:fill="auto"/>
            <w:noWrap/>
            <w:vAlign w:val="center"/>
            <w:hideMark/>
          </w:tcPr>
          <w:p w14:paraId="44BCABB9" w14:textId="77777777" w:rsidR="00877012" w:rsidRPr="002B17BF" w:rsidRDefault="00877012" w:rsidP="00877012">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84</w:t>
            </w:r>
          </w:p>
        </w:tc>
      </w:tr>
      <w:tr w:rsidR="00877012" w:rsidRPr="002B17BF" w14:paraId="74B43248" w14:textId="77777777" w:rsidTr="00223E58">
        <w:trPr>
          <w:trHeight w:val="270"/>
        </w:trPr>
        <w:tc>
          <w:tcPr>
            <w:tcW w:w="4792" w:type="dxa"/>
            <w:tcBorders>
              <w:top w:val="nil"/>
              <w:left w:val="single" w:sz="4" w:space="0" w:color="auto"/>
              <w:bottom w:val="single" w:sz="4" w:space="0" w:color="auto"/>
              <w:right w:val="single" w:sz="4" w:space="0" w:color="auto"/>
            </w:tcBorders>
            <w:shd w:val="clear" w:color="000000" w:fill="EAF1DD"/>
            <w:vAlign w:val="center"/>
            <w:hideMark/>
          </w:tcPr>
          <w:p w14:paraId="55195260" w14:textId="0D341E4E" w:rsidR="00877012" w:rsidRPr="002B17BF" w:rsidRDefault="00877012" w:rsidP="00877012">
            <w:pPr>
              <w:ind w:left="0" w:firstLine="0"/>
              <w:rPr>
                <w:rFonts w:eastAsia="Times New Roman" w:cs="Calibri"/>
                <w:noProof/>
                <w:sz w:val="20"/>
                <w:szCs w:val="20"/>
                <w:lang w:val="es-ES" w:eastAsia="en-GB"/>
              </w:rPr>
            </w:pPr>
            <w:r w:rsidRPr="002B17BF">
              <w:rPr>
                <w:noProof/>
                <w:color w:val="000000"/>
                <w:sz w:val="20"/>
                <w:lang w:val="es-ES"/>
              </w:rPr>
              <w:lastRenderedPageBreak/>
              <w:t>H. Servicios para el Comité Permanente</w:t>
            </w:r>
          </w:p>
        </w:tc>
        <w:tc>
          <w:tcPr>
            <w:tcW w:w="1521" w:type="dxa"/>
            <w:tcBorders>
              <w:top w:val="nil"/>
              <w:left w:val="nil"/>
              <w:bottom w:val="single" w:sz="4" w:space="0" w:color="auto"/>
              <w:right w:val="single" w:sz="4" w:space="0" w:color="auto"/>
            </w:tcBorders>
            <w:shd w:val="clear" w:color="000000" w:fill="EAF1DD"/>
            <w:noWrap/>
            <w:vAlign w:val="center"/>
            <w:hideMark/>
          </w:tcPr>
          <w:p w14:paraId="477A1D0B" w14:textId="77777777" w:rsidR="00877012" w:rsidRPr="002B17BF" w:rsidRDefault="00877012" w:rsidP="00877012">
            <w:pPr>
              <w:ind w:left="0" w:firstLine="0"/>
              <w:jc w:val="right"/>
              <w:rPr>
                <w:rFonts w:eastAsia="Times New Roman" w:cs="Calibri"/>
                <w:b/>
                <w:bCs/>
                <w:noProof/>
                <w:sz w:val="20"/>
                <w:szCs w:val="20"/>
                <w:lang w:val="es-ES" w:eastAsia="en-GB"/>
              </w:rPr>
            </w:pPr>
            <w:r w:rsidRPr="002B17BF">
              <w:rPr>
                <w:rFonts w:eastAsia="Times New Roman" w:cs="Calibri"/>
                <w:b/>
                <w:bCs/>
                <w:noProof/>
                <w:sz w:val="20"/>
                <w:szCs w:val="20"/>
                <w:lang w:val="es-ES" w:eastAsia="en-GB"/>
              </w:rPr>
              <w:t>150</w:t>
            </w:r>
          </w:p>
        </w:tc>
        <w:tc>
          <w:tcPr>
            <w:tcW w:w="1521" w:type="dxa"/>
            <w:tcBorders>
              <w:top w:val="nil"/>
              <w:left w:val="nil"/>
              <w:bottom w:val="single" w:sz="4" w:space="0" w:color="auto"/>
              <w:right w:val="single" w:sz="4" w:space="0" w:color="auto"/>
            </w:tcBorders>
            <w:shd w:val="clear" w:color="000000" w:fill="EAF1DD"/>
            <w:noWrap/>
            <w:vAlign w:val="center"/>
            <w:hideMark/>
          </w:tcPr>
          <w:p w14:paraId="32B9059D" w14:textId="77777777" w:rsidR="00877012" w:rsidRPr="002B17BF" w:rsidRDefault="00877012" w:rsidP="00877012">
            <w:pPr>
              <w:ind w:left="0" w:firstLine="0"/>
              <w:jc w:val="right"/>
              <w:rPr>
                <w:rFonts w:eastAsia="Times New Roman" w:cs="Calibri"/>
                <w:b/>
                <w:bCs/>
                <w:noProof/>
                <w:sz w:val="20"/>
                <w:szCs w:val="20"/>
                <w:lang w:val="es-ES" w:eastAsia="en-GB"/>
              </w:rPr>
            </w:pPr>
            <w:r w:rsidRPr="002B17BF">
              <w:rPr>
                <w:rFonts w:eastAsia="Times New Roman" w:cs="Calibri"/>
                <w:b/>
                <w:bCs/>
                <w:noProof/>
                <w:sz w:val="20"/>
                <w:szCs w:val="20"/>
                <w:lang w:val="es-ES" w:eastAsia="en-GB"/>
              </w:rPr>
              <w:t>0</w:t>
            </w:r>
          </w:p>
        </w:tc>
        <w:tc>
          <w:tcPr>
            <w:tcW w:w="1521" w:type="dxa"/>
            <w:tcBorders>
              <w:top w:val="nil"/>
              <w:left w:val="single" w:sz="4" w:space="0" w:color="auto"/>
              <w:bottom w:val="single" w:sz="4" w:space="0" w:color="auto"/>
              <w:right w:val="single" w:sz="4" w:space="0" w:color="auto"/>
            </w:tcBorders>
            <w:shd w:val="clear" w:color="000000" w:fill="EAF1DD"/>
            <w:noWrap/>
            <w:vAlign w:val="center"/>
            <w:hideMark/>
          </w:tcPr>
          <w:p w14:paraId="7F1930F9" w14:textId="77777777" w:rsidR="00877012" w:rsidRPr="002B17BF" w:rsidRDefault="00877012" w:rsidP="00877012">
            <w:pPr>
              <w:ind w:left="0" w:firstLine="0"/>
              <w:jc w:val="right"/>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25</w:t>
            </w:r>
          </w:p>
        </w:tc>
        <w:tc>
          <w:tcPr>
            <w:tcW w:w="1521" w:type="dxa"/>
            <w:tcBorders>
              <w:top w:val="nil"/>
              <w:left w:val="nil"/>
              <w:bottom w:val="single" w:sz="4" w:space="0" w:color="auto"/>
              <w:right w:val="single" w:sz="4" w:space="0" w:color="auto"/>
            </w:tcBorders>
            <w:shd w:val="clear" w:color="000000" w:fill="EAF1DD"/>
            <w:noWrap/>
            <w:vAlign w:val="center"/>
            <w:hideMark/>
          </w:tcPr>
          <w:p w14:paraId="0478B19A" w14:textId="77777777" w:rsidR="00877012" w:rsidRPr="002B17BF" w:rsidRDefault="00877012" w:rsidP="00877012">
            <w:pPr>
              <w:ind w:left="0" w:firstLine="0"/>
              <w:jc w:val="right"/>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0</w:t>
            </w:r>
          </w:p>
        </w:tc>
        <w:tc>
          <w:tcPr>
            <w:tcW w:w="1521" w:type="dxa"/>
            <w:tcBorders>
              <w:top w:val="nil"/>
              <w:left w:val="nil"/>
              <w:bottom w:val="single" w:sz="4" w:space="0" w:color="auto"/>
              <w:right w:val="single" w:sz="4" w:space="0" w:color="auto"/>
            </w:tcBorders>
            <w:shd w:val="clear" w:color="000000" w:fill="EAF1DD"/>
            <w:noWrap/>
            <w:vAlign w:val="center"/>
            <w:hideMark/>
          </w:tcPr>
          <w:p w14:paraId="25421F36" w14:textId="77777777" w:rsidR="00877012" w:rsidRPr="002B17BF" w:rsidRDefault="00877012" w:rsidP="00877012">
            <w:pPr>
              <w:ind w:left="0" w:firstLine="0"/>
              <w:jc w:val="right"/>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175</w:t>
            </w:r>
          </w:p>
        </w:tc>
      </w:tr>
      <w:tr w:rsidR="00877012" w:rsidRPr="002B17BF" w14:paraId="48084237" w14:textId="77777777" w:rsidTr="00223E5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3FF9E1ED" w14:textId="08DBF0A2" w:rsidR="00877012" w:rsidRPr="002B17BF" w:rsidRDefault="00877012" w:rsidP="00877012">
            <w:pPr>
              <w:ind w:left="0" w:firstLine="0"/>
              <w:rPr>
                <w:rFonts w:eastAsia="Times New Roman" w:cs="Calibri"/>
                <w:noProof/>
                <w:sz w:val="20"/>
                <w:szCs w:val="20"/>
                <w:lang w:val="es-ES" w:eastAsia="en-GB"/>
              </w:rPr>
            </w:pPr>
            <w:r w:rsidRPr="002B17BF">
              <w:rPr>
                <w:noProof/>
                <w:color w:val="000000"/>
                <w:sz w:val="20"/>
                <w:szCs w:val="20"/>
                <w:lang w:val="es-ES"/>
              </w:rPr>
              <w:t>Apoyo a los delegados del Comité Permanente</w:t>
            </w:r>
          </w:p>
        </w:tc>
        <w:tc>
          <w:tcPr>
            <w:tcW w:w="1521" w:type="dxa"/>
            <w:tcBorders>
              <w:top w:val="nil"/>
              <w:left w:val="nil"/>
              <w:bottom w:val="single" w:sz="4" w:space="0" w:color="auto"/>
              <w:right w:val="single" w:sz="4" w:space="0" w:color="auto"/>
            </w:tcBorders>
            <w:shd w:val="clear" w:color="auto" w:fill="auto"/>
            <w:noWrap/>
            <w:vAlign w:val="center"/>
            <w:hideMark/>
          </w:tcPr>
          <w:p w14:paraId="705D1EFB" w14:textId="77777777" w:rsidR="00877012" w:rsidRPr="002B17BF" w:rsidRDefault="00877012" w:rsidP="00877012">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45</w:t>
            </w:r>
          </w:p>
        </w:tc>
        <w:tc>
          <w:tcPr>
            <w:tcW w:w="1521" w:type="dxa"/>
            <w:tcBorders>
              <w:top w:val="nil"/>
              <w:left w:val="nil"/>
              <w:bottom w:val="single" w:sz="4" w:space="0" w:color="auto"/>
              <w:right w:val="single" w:sz="4" w:space="0" w:color="auto"/>
            </w:tcBorders>
            <w:shd w:val="clear" w:color="auto" w:fill="auto"/>
            <w:noWrap/>
            <w:vAlign w:val="center"/>
            <w:hideMark/>
          </w:tcPr>
          <w:p w14:paraId="3F7A73E0" w14:textId="77777777" w:rsidR="00877012" w:rsidRPr="002B17BF" w:rsidRDefault="00877012" w:rsidP="00877012">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57BC3968" w14:textId="77777777" w:rsidR="00877012" w:rsidRPr="002B17BF" w:rsidRDefault="00877012" w:rsidP="00877012">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0</w:t>
            </w:r>
          </w:p>
        </w:tc>
        <w:tc>
          <w:tcPr>
            <w:tcW w:w="1521" w:type="dxa"/>
            <w:tcBorders>
              <w:top w:val="nil"/>
              <w:left w:val="nil"/>
              <w:bottom w:val="single" w:sz="4" w:space="0" w:color="auto"/>
              <w:right w:val="single" w:sz="4" w:space="0" w:color="auto"/>
            </w:tcBorders>
            <w:shd w:val="clear" w:color="auto" w:fill="auto"/>
            <w:noWrap/>
            <w:vAlign w:val="center"/>
            <w:hideMark/>
          </w:tcPr>
          <w:p w14:paraId="6AF32D3C" w14:textId="77777777" w:rsidR="00877012" w:rsidRPr="002B17BF" w:rsidRDefault="00877012" w:rsidP="00877012">
            <w:pPr>
              <w:ind w:left="0" w:firstLine="0"/>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 </w:t>
            </w:r>
          </w:p>
        </w:tc>
        <w:tc>
          <w:tcPr>
            <w:tcW w:w="1521" w:type="dxa"/>
            <w:tcBorders>
              <w:top w:val="nil"/>
              <w:left w:val="nil"/>
              <w:bottom w:val="single" w:sz="4" w:space="0" w:color="auto"/>
              <w:right w:val="single" w:sz="4" w:space="0" w:color="auto"/>
            </w:tcBorders>
            <w:shd w:val="clear" w:color="auto" w:fill="auto"/>
            <w:noWrap/>
            <w:vAlign w:val="center"/>
            <w:hideMark/>
          </w:tcPr>
          <w:p w14:paraId="0E1B4A91" w14:textId="77777777" w:rsidR="00877012" w:rsidRPr="002B17BF" w:rsidRDefault="00877012" w:rsidP="00877012">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45</w:t>
            </w:r>
          </w:p>
        </w:tc>
      </w:tr>
      <w:tr w:rsidR="00877012" w:rsidRPr="002B17BF" w14:paraId="26644D7B" w14:textId="77777777" w:rsidTr="00223E5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7FE111E4" w14:textId="5B161815" w:rsidR="00877012" w:rsidRPr="002B17BF" w:rsidRDefault="00877012" w:rsidP="00877012">
            <w:pPr>
              <w:ind w:left="0" w:firstLine="0"/>
              <w:rPr>
                <w:rFonts w:eastAsia="Times New Roman" w:cs="Calibri"/>
                <w:noProof/>
                <w:sz w:val="20"/>
                <w:szCs w:val="20"/>
                <w:lang w:val="es-ES" w:eastAsia="en-GB"/>
              </w:rPr>
            </w:pPr>
            <w:r w:rsidRPr="002B17BF">
              <w:rPr>
                <w:noProof/>
                <w:color w:val="000000"/>
                <w:sz w:val="20"/>
                <w:szCs w:val="20"/>
                <w:lang w:val="es-ES"/>
              </w:rPr>
              <w:t>Reuniones del Comité Permanente</w:t>
            </w:r>
          </w:p>
        </w:tc>
        <w:tc>
          <w:tcPr>
            <w:tcW w:w="1521" w:type="dxa"/>
            <w:tcBorders>
              <w:top w:val="nil"/>
              <w:left w:val="nil"/>
              <w:bottom w:val="single" w:sz="4" w:space="0" w:color="auto"/>
              <w:right w:val="single" w:sz="4" w:space="0" w:color="auto"/>
            </w:tcBorders>
            <w:shd w:val="clear" w:color="auto" w:fill="auto"/>
            <w:noWrap/>
            <w:vAlign w:val="center"/>
            <w:hideMark/>
          </w:tcPr>
          <w:p w14:paraId="787856D4" w14:textId="77777777" w:rsidR="00877012" w:rsidRPr="002B17BF" w:rsidRDefault="00877012" w:rsidP="00877012">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10</w:t>
            </w:r>
          </w:p>
        </w:tc>
        <w:tc>
          <w:tcPr>
            <w:tcW w:w="1521" w:type="dxa"/>
            <w:tcBorders>
              <w:top w:val="nil"/>
              <w:left w:val="nil"/>
              <w:bottom w:val="single" w:sz="4" w:space="0" w:color="auto"/>
              <w:right w:val="single" w:sz="4" w:space="0" w:color="auto"/>
            </w:tcBorders>
            <w:shd w:val="clear" w:color="auto" w:fill="auto"/>
            <w:noWrap/>
            <w:vAlign w:val="center"/>
            <w:hideMark/>
          </w:tcPr>
          <w:p w14:paraId="3BA7FEB9" w14:textId="77777777" w:rsidR="00877012" w:rsidRPr="002B17BF" w:rsidRDefault="00877012" w:rsidP="00877012">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36E3D4DA" w14:textId="77777777" w:rsidR="00877012" w:rsidRPr="002B17BF" w:rsidRDefault="00877012" w:rsidP="00877012">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9</w:t>
            </w:r>
          </w:p>
        </w:tc>
        <w:tc>
          <w:tcPr>
            <w:tcW w:w="1521" w:type="dxa"/>
            <w:tcBorders>
              <w:top w:val="nil"/>
              <w:left w:val="nil"/>
              <w:bottom w:val="single" w:sz="4" w:space="0" w:color="auto"/>
              <w:right w:val="single" w:sz="4" w:space="0" w:color="auto"/>
            </w:tcBorders>
            <w:shd w:val="clear" w:color="auto" w:fill="auto"/>
            <w:noWrap/>
            <w:vAlign w:val="center"/>
            <w:hideMark/>
          </w:tcPr>
          <w:p w14:paraId="5D697A46" w14:textId="77777777" w:rsidR="00877012" w:rsidRPr="002B17BF" w:rsidRDefault="00877012" w:rsidP="00877012">
            <w:pPr>
              <w:ind w:left="0" w:firstLine="0"/>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 </w:t>
            </w:r>
          </w:p>
        </w:tc>
        <w:tc>
          <w:tcPr>
            <w:tcW w:w="1521" w:type="dxa"/>
            <w:tcBorders>
              <w:top w:val="nil"/>
              <w:left w:val="nil"/>
              <w:bottom w:val="single" w:sz="4" w:space="0" w:color="auto"/>
              <w:right w:val="single" w:sz="4" w:space="0" w:color="auto"/>
            </w:tcBorders>
            <w:shd w:val="clear" w:color="auto" w:fill="auto"/>
            <w:noWrap/>
            <w:vAlign w:val="center"/>
            <w:hideMark/>
          </w:tcPr>
          <w:p w14:paraId="3284A96B" w14:textId="77777777" w:rsidR="00877012" w:rsidRPr="002B17BF" w:rsidRDefault="00877012" w:rsidP="00877012">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19</w:t>
            </w:r>
          </w:p>
        </w:tc>
      </w:tr>
      <w:tr w:rsidR="00877012" w:rsidRPr="002B17BF" w14:paraId="1443EB28" w14:textId="77777777" w:rsidTr="00223E5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70FD38D4" w14:textId="253EBB32" w:rsidR="00877012" w:rsidRPr="002B17BF" w:rsidRDefault="00877012" w:rsidP="00877012">
            <w:pPr>
              <w:ind w:left="0" w:firstLine="0"/>
              <w:rPr>
                <w:rFonts w:eastAsia="Times New Roman" w:cs="Calibri"/>
                <w:noProof/>
                <w:sz w:val="20"/>
                <w:szCs w:val="20"/>
                <w:lang w:val="es-ES" w:eastAsia="en-GB"/>
              </w:rPr>
            </w:pPr>
            <w:r w:rsidRPr="002B17BF">
              <w:rPr>
                <w:noProof/>
                <w:color w:val="000000"/>
                <w:sz w:val="20"/>
                <w:lang w:val="es-ES"/>
              </w:rPr>
              <w:t>Traducción para el CP</w:t>
            </w:r>
          </w:p>
        </w:tc>
        <w:tc>
          <w:tcPr>
            <w:tcW w:w="1521" w:type="dxa"/>
            <w:tcBorders>
              <w:top w:val="nil"/>
              <w:left w:val="nil"/>
              <w:bottom w:val="single" w:sz="4" w:space="0" w:color="auto"/>
              <w:right w:val="single" w:sz="4" w:space="0" w:color="auto"/>
            </w:tcBorders>
            <w:shd w:val="clear" w:color="auto" w:fill="auto"/>
            <w:noWrap/>
            <w:vAlign w:val="center"/>
            <w:hideMark/>
          </w:tcPr>
          <w:p w14:paraId="3D7A125B" w14:textId="77777777" w:rsidR="00877012" w:rsidRPr="002B17BF" w:rsidRDefault="00877012" w:rsidP="00877012">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60</w:t>
            </w:r>
          </w:p>
        </w:tc>
        <w:tc>
          <w:tcPr>
            <w:tcW w:w="1521" w:type="dxa"/>
            <w:tcBorders>
              <w:top w:val="nil"/>
              <w:left w:val="nil"/>
              <w:bottom w:val="single" w:sz="4" w:space="0" w:color="auto"/>
              <w:right w:val="single" w:sz="4" w:space="0" w:color="auto"/>
            </w:tcBorders>
            <w:shd w:val="clear" w:color="auto" w:fill="auto"/>
            <w:noWrap/>
            <w:vAlign w:val="center"/>
            <w:hideMark/>
          </w:tcPr>
          <w:p w14:paraId="0F1EF1EC" w14:textId="77777777" w:rsidR="00877012" w:rsidRPr="002B17BF" w:rsidRDefault="00877012" w:rsidP="00877012">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31339B70" w14:textId="77777777" w:rsidR="00877012" w:rsidRPr="002B17BF" w:rsidRDefault="00877012" w:rsidP="00877012">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0</w:t>
            </w:r>
          </w:p>
        </w:tc>
        <w:tc>
          <w:tcPr>
            <w:tcW w:w="1521" w:type="dxa"/>
            <w:tcBorders>
              <w:top w:val="nil"/>
              <w:left w:val="nil"/>
              <w:bottom w:val="single" w:sz="4" w:space="0" w:color="auto"/>
              <w:right w:val="single" w:sz="4" w:space="0" w:color="auto"/>
            </w:tcBorders>
            <w:shd w:val="clear" w:color="auto" w:fill="auto"/>
            <w:noWrap/>
            <w:vAlign w:val="center"/>
            <w:hideMark/>
          </w:tcPr>
          <w:p w14:paraId="23DEF413" w14:textId="77777777" w:rsidR="00877012" w:rsidRPr="002B17BF" w:rsidRDefault="00877012" w:rsidP="00877012">
            <w:pPr>
              <w:ind w:left="0" w:firstLine="0"/>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 </w:t>
            </w:r>
          </w:p>
        </w:tc>
        <w:tc>
          <w:tcPr>
            <w:tcW w:w="1521" w:type="dxa"/>
            <w:tcBorders>
              <w:top w:val="nil"/>
              <w:left w:val="nil"/>
              <w:bottom w:val="single" w:sz="4" w:space="0" w:color="auto"/>
              <w:right w:val="single" w:sz="4" w:space="0" w:color="auto"/>
            </w:tcBorders>
            <w:shd w:val="clear" w:color="auto" w:fill="auto"/>
            <w:noWrap/>
            <w:vAlign w:val="center"/>
            <w:hideMark/>
          </w:tcPr>
          <w:p w14:paraId="3B465551" w14:textId="77777777" w:rsidR="00877012" w:rsidRPr="002B17BF" w:rsidRDefault="00877012" w:rsidP="00877012">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60</w:t>
            </w:r>
          </w:p>
        </w:tc>
      </w:tr>
      <w:tr w:rsidR="00877012" w:rsidRPr="002B17BF" w14:paraId="69A093D5" w14:textId="77777777" w:rsidTr="00223E5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0CA11222" w14:textId="098BC625" w:rsidR="00877012" w:rsidRPr="002B17BF" w:rsidRDefault="00877012" w:rsidP="00877012">
            <w:pPr>
              <w:ind w:left="0" w:firstLine="0"/>
              <w:rPr>
                <w:rFonts w:eastAsia="Times New Roman" w:cs="Calibri"/>
                <w:noProof/>
                <w:sz w:val="20"/>
                <w:szCs w:val="20"/>
                <w:lang w:val="es-ES" w:eastAsia="en-GB"/>
              </w:rPr>
            </w:pPr>
            <w:r w:rsidRPr="002B17BF">
              <w:rPr>
                <w:noProof/>
                <w:color w:val="000000"/>
                <w:sz w:val="20"/>
                <w:szCs w:val="20"/>
                <w:lang w:val="es-ES"/>
              </w:rPr>
              <w:t>Interpretación simultánea en las reuniones del CP</w:t>
            </w:r>
          </w:p>
        </w:tc>
        <w:tc>
          <w:tcPr>
            <w:tcW w:w="1521" w:type="dxa"/>
            <w:tcBorders>
              <w:top w:val="nil"/>
              <w:left w:val="nil"/>
              <w:bottom w:val="single" w:sz="4" w:space="0" w:color="auto"/>
              <w:right w:val="single" w:sz="4" w:space="0" w:color="auto"/>
            </w:tcBorders>
            <w:shd w:val="clear" w:color="auto" w:fill="auto"/>
            <w:noWrap/>
            <w:vAlign w:val="center"/>
            <w:hideMark/>
          </w:tcPr>
          <w:p w14:paraId="1A416976" w14:textId="77777777" w:rsidR="00877012" w:rsidRPr="002B17BF" w:rsidRDefault="00877012" w:rsidP="00877012">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35</w:t>
            </w:r>
          </w:p>
        </w:tc>
        <w:tc>
          <w:tcPr>
            <w:tcW w:w="1521" w:type="dxa"/>
            <w:tcBorders>
              <w:top w:val="nil"/>
              <w:left w:val="nil"/>
              <w:bottom w:val="single" w:sz="4" w:space="0" w:color="auto"/>
              <w:right w:val="single" w:sz="4" w:space="0" w:color="auto"/>
            </w:tcBorders>
            <w:shd w:val="clear" w:color="auto" w:fill="auto"/>
            <w:noWrap/>
            <w:vAlign w:val="center"/>
            <w:hideMark/>
          </w:tcPr>
          <w:p w14:paraId="5A7795CE" w14:textId="77777777" w:rsidR="00877012" w:rsidRPr="002B17BF" w:rsidRDefault="00877012" w:rsidP="00877012">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38BAD3AE" w14:textId="77777777" w:rsidR="00877012" w:rsidRPr="002B17BF" w:rsidRDefault="00877012" w:rsidP="00877012">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0</w:t>
            </w:r>
          </w:p>
        </w:tc>
        <w:tc>
          <w:tcPr>
            <w:tcW w:w="1521" w:type="dxa"/>
            <w:tcBorders>
              <w:top w:val="nil"/>
              <w:left w:val="nil"/>
              <w:bottom w:val="single" w:sz="4" w:space="0" w:color="auto"/>
              <w:right w:val="single" w:sz="4" w:space="0" w:color="auto"/>
            </w:tcBorders>
            <w:shd w:val="clear" w:color="auto" w:fill="auto"/>
            <w:noWrap/>
            <w:vAlign w:val="center"/>
            <w:hideMark/>
          </w:tcPr>
          <w:p w14:paraId="72579DDD" w14:textId="77777777" w:rsidR="00877012" w:rsidRPr="002B17BF" w:rsidRDefault="00877012" w:rsidP="00877012">
            <w:pPr>
              <w:ind w:left="0" w:firstLine="0"/>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 </w:t>
            </w:r>
          </w:p>
        </w:tc>
        <w:tc>
          <w:tcPr>
            <w:tcW w:w="1521" w:type="dxa"/>
            <w:tcBorders>
              <w:top w:val="nil"/>
              <w:left w:val="nil"/>
              <w:bottom w:val="single" w:sz="4" w:space="0" w:color="auto"/>
              <w:right w:val="single" w:sz="4" w:space="0" w:color="auto"/>
            </w:tcBorders>
            <w:shd w:val="clear" w:color="auto" w:fill="auto"/>
            <w:noWrap/>
            <w:vAlign w:val="center"/>
            <w:hideMark/>
          </w:tcPr>
          <w:p w14:paraId="26501774" w14:textId="77777777" w:rsidR="00877012" w:rsidRPr="002B17BF" w:rsidRDefault="00877012" w:rsidP="00877012">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35</w:t>
            </w:r>
          </w:p>
        </w:tc>
      </w:tr>
      <w:tr w:rsidR="00877012" w:rsidRPr="002B17BF" w14:paraId="72A1A639" w14:textId="77777777" w:rsidTr="00223E5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50543249" w14:textId="0D78A17F" w:rsidR="00877012" w:rsidRPr="002B17BF" w:rsidRDefault="00877012" w:rsidP="00877012">
            <w:pPr>
              <w:ind w:left="0" w:firstLine="0"/>
              <w:rPr>
                <w:rFonts w:eastAsia="Times New Roman" w:cs="Calibri"/>
                <w:noProof/>
                <w:sz w:val="20"/>
                <w:szCs w:val="20"/>
                <w:lang w:val="es-ES" w:eastAsia="en-GB"/>
              </w:rPr>
            </w:pPr>
            <w:r w:rsidRPr="002B17BF">
              <w:rPr>
                <w:noProof/>
                <w:color w:val="000000"/>
                <w:sz w:val="20"/>
                <w:szCs w:val="20"/>
                <w:lang w:val="es-ES"/>
              </w:rPr>
              <w:t>Grupo de trabajo sobre la eficacia</w:t>
            </w:r>
          </w:p>
        </w:tc>
        <w:tc>
          <w:tcPr>
            <w:tcW w:w="1521" w:type="dxa"/>
            <w:tcBorders>
              <w:top w:val="nil"/>
              <w:left w:val="nil"/>
              <w:bottom w:val="single" w:sz="4" w:space="0" w:color="auto"/>
              <w:right w:val="single" w:sz="4" w:space="0" w:color="auto"/>
            </w:tcBorders>
            <w:shd w:val="clear" w:color="auto" w:fill="auto"/>
            <w:noWrap/>
            <w:vAlign w:val="center"/>
            <w:hideMark/>
          </w:tcPr>
          <w:p w14:paraId="491A078A" w14:textId="77777777" w:rsidR="00877012" w:rsidRPr="002B17BF" w:rsidRDefault="00877012" w:rsidP="00877012">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nil"/>
              <w:bottom w:val="single" w:sz="4" w:space="0" w:color="auto"/>
              <w:right w:val="single" w:sz="4" w:space="0" w:color="auto"/>
            </w:tcBorders>
            <w:shd w:val="clear" w:color="auto" w:fill="auto"/>
            <w:noWrap/>
            <w:vAlign w:val="center"/>
            <w:hideMark/>
          </w:tcPr>
          <w:p w14:paraId="06A01DFD" w14:textId="77777777" w:rsidR="00877012" w:rsidRPr="002B17BF" w:rsidRDefault="00877012" w:rsidP="00877012">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47AB391E" w14:textId="77777777" w:rsidR="00877012" w:rsidRPr="002B17BF" w:rsidRDefault="00877012" w:rsidP="00877012">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14</w:t>
            </w:r>
          </w:p>
        </w:tc>
        <w:tc>
          <w:tcPr>
            <w:tcW w:w="1521" w:type="dxa"/>
            <w:tcBorders>
              <w:top w:val="nil"/>
              <w:left w:val="nil"/>
              <w:bottom w:val="single" w:sz="4" w:space="0" w:color="auto"/>
              <w:right w:val="single" w:sz="4" w:space="0" w:color="auto"/>
            </w:tcBorders>
            <w:shd w:val="clear" w:color="auto" w:fill="auto"/>
            <w:noWrap/>
            <w:vAlign w:val="center"/>
            <w:hideMark/>
          </w:tcPr>
          <w:p w14:paraId="0EBB154F" w14:textId="77777777" w:rsidR="00877012" w:rsidRPr="002B17BF" w:rsidRDefault="00877012" w:rsidP="00877012">
            <w:pPr>
              <w:ind w:left="0" w:firstLine="0"/>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 </w:t>
            </w:r>
          </w:p>
        </w:tc>
        <w:tc>
          <w:tcPr>
            <w:tcW w:w="1521" w:type="dxa"/>
            <w:tcBorders>
              <w:top w:val="nil"/>
              <w:left w:val="nil"/>
              <w:bottom w:val="single" w:sz="4" w:space="0" w:color="auto"/>
              <w:right w:val="single" w:sz="4" w:space="0" w:color="auto"/>
            </w:tcBorders>
            <w:shd w:val="clear" w:color="auto" w:fill="auto"/>
            <w:noWrap/>
            <w:vAlign w:val="center"/>
            <w:hideMark/>
          </w:tcPr>
          <w:p w14:paraId="3A2D3045" w14:textId="77777777" w:rsidR="00877012" w:rsidRPr="002B17BF" w:rsidRDefault="00877012" w:rsidP="00877012">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14</w:t>
            </w:r>
          </w:p>
        </w:tc>
      </w:tr>
      <w:tr w:rsidR="00877012" w:rsidRPr="002B17BF" w14:paraId="579930E2" w14:textId="77777777" w:rsidTr="00223E5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3E72CCC5" w14:textId="7092C794" w:rsidR="00877012" w:rsidRPr="002B17BF" w:rsidRDefault="00877012" w:rsidP="00877012">
            <w:pPr>
              <w:ind w:left="0" w:firstLine="0"/>
              <w:rPr>
                <w:rFonts w:eastAsia="Times New Roman" w:cs="Calibri"/>
                <w:noProof/>
                <w:sz w:val="20"/>
                <w:szCs w:val="20"/>
                <w:lang w:val="es-ES" w:eastAsia="en-GB"/>
              </w:rPr>
            </w:pPr>
            <w:r w:rsidRPr="002B17BF">
              <w:rPr>
                <w:noProof/>
                <w:color w:val="000000"/>
                <w:sz w:val="20"/>
                <w:szCs w:val="20"/>
                <w:lang w:val="es-ES"/>
              </w:rPr>
              <w:t xml:space="preserve">Examen de las resoluciones </w:t>
            </w:r>
            <w:r w:rsidRPr="002B17BF">
              <w:rPr>
                <w:noProof/>
                <w:color w:val="000000"/>
                <w:sz w:val="20"/>
                <w:lang w:val="es-ES"/>
              </w:rPr>
              <w:t>(Res. XIII.4)</w:t>
            </w:r>
          </w:p>
        </w:tc>
        <w:tc>
          <w:tcPr>
            <w:tcW w:w="1521" w:type="dxa"/>
            <w:tcBorders>
              <w:top w:val="nil"/>
              <w:left w:val="nil"/>
              <w:bottom w:val="single" w:sz="4" w:space="0" w:color="auto"/>
              <w:right w:val="single" w:sz="4" w:space="0" w:color="auto"/>
            </w:tcBorders>
            <w:shd w:val="clear" w:color="auto" w:fill="auto"/>
            <w:noWrap/>
            <w:vAlign w:val="center"/>
            <w:hideMark/>
          </w:tcPr>
          <w:p w14:paraId="55268957" w14:textId="77777777" w:rsidR="00877012" w:rsidRPr="002B17BF" w:rsidRDefault="00877012" w:rsidP="00877012">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nil"/>
              <w:bottom w:val="single" w:sz="4" w:space="0" w:color="auto"/>
              <w:right w:val="single" w:sz="4" w:space="0" w:color="auto"/>
            </w:tcBorders>
            <w:shd w:val="clear" w:color="auto" w:fill="auto"/>
            <w:noWrap/>
            <w:vAlign w:val="center"/>
            <w:hideMark/>
          </w:tcPr>
          <w:p w14:paraId="426FBE66" w14:textId="77777777" w:rsidR="00877012" w:rsidRPr="002B17BF" w:rsidRDefault="00877012" w:rsidP="00877012">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53E82931" w14:textId="77777777" w:rsidR="00877012" w:rsidRPr="002B17BF" w:rsidRDefault="00877012" w:rsidP="00877012">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2</w:t>
            </w:r>
          </w:p>
        </w:tc>
        <w:tc>
          <w:tcPr>
            <w:tcW w:w="1521" w:type="dxa"/>
            <w:tcBorders>
              <w:top w:val="nil"/>
              <w:left w:val="nil"/>
              <w:bottom w:val="single" w:sz="4" w:space="0" w:color="auto"/>
              <w:right w:val="single" w:sz="4" w:space="0" w:color="auto"/>
            </w:tcBorders>
            <w:shd w:val="clear" w:color="auto" w:fill="auto"/>
            <w:noWrap/>
            <w:vAlign w:val="center"/>
            <w:hideMark/>
          </w:tcPr>
          <w:p w14:paraId="0C812A59" w14:textId="77777777" w:rsidR="00877012" w:rsidRPr="002B17BF" w:rsidRDefault="00877012" w:rsidP="00877012">
            <w:pPr>
              <w:ind w:left="0" w:firstLine="0"/>
              <w:rPr>
                <w:rFonts w:eastAsia="Times New Roman" w:cs="Calibri"/>
                <w:noProof/>
                <w:color w:val="0070C0"/>
                <w:sz w:val="20"/>
                <w:szCs w:val="20"/>
                <w:lang w:val="es-ES" w:eastAsia="en-GB"/>
              </w:rPr>
            </w:pPr>
            <w:r w:rsidRPr="002B17BF">
              <w:rPr>
                <w:rFonts w:eastAsia="Times New Roman" w:cs="Calibri"/>
                <w:noProof/>
                <w:color w:val="0070C0"/>
                <w:sz w:val="20"/>
                <w:szCs w:val="20"/>
                <w:lang w:val="es-ES" w:eastAsia="en-GB"/>
              </w:rPr>
              <w:t> </w:t>
            </w:r>
          </w:p>
        </w:tc>
        <w:tc>
          <w:tcPr>
            <w:tcW w:w="1521" w:type="dxa"/>
            <w:tcBorders>
              <w:top w:val="nil"/>
              <w:left w:val="nil"/>
              <w:bottom w:val="single" w:sz="4" w:space="0" w:color="auto"/>
              <w:right w:val="single" w:sz="4" w:space="0" w:color="auto"/>
            </w:tcBorders>
            <w:shd w:val="clear" w:color="auto" w:fill="auto"/>
            <w:noWrap/>
            <w:vAlign w:val="center"/>
            <w:hideMark/>
          </w:tcPr>
          <w:p w14:paraId="5242613D" w14:textId="77777777" w:rsidR="00877012" w:rsidRPr="002B17BF" w:rsidRDefault="00877012" w:rsidP="00877012">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2</w:t>
            </w:r>
          </w:p>
        </w:tc>
      </w:tr>
      <w:tr w:rsidR="00877012" w:rsidRPr="002B17BF" w14:paraId="3D72D3CA" w14:textId="77777777" w:rsidTr="00223E58">
        <w:trPr>
          <w:trHeight w:val="255"/>
        </w:trPr>
        <w:tc>
          <w:tcPr>
            <w:tcW w:w="4792" w:type="dxa"/>
            <w:tcBorders>
              <w:top w:val="nil"/>
              <w:left w:val="single" w:sz="4" w:space="0" w:color="auto"/>
              <w:bottom w:val="single" w:sz="4" w:space="0" w:color="auto"/>
              <w:right w:val="single" w:sz="4" w:space="0" w:color="auto"/>
            </w:tcBorders>
            <w:shd w:val="clear" w:color="000000" w:fill="EAF1DD"/>
            <w:vAlign w:val="center"/>
            <w:hideMark/>
          </w:tcPr>
          <w:p w14:paraId="2AF53222" w14:textId="574B9C48" w:rsidR="00877012" w:rsidRPr="002B17BF" w:rsidRDefault="00877012" w:rsidP="00877012">
            <w:pPr>
              <w:ind w:left="0" w:firstLine="0"/>
              <w:rPr>
                <w:rFonts w:eastAsia="Times New Roman" w:cs="Calibri"/>
                <w:noProof/>
                <w:sz w:val="20"/>
                <w:szCs w:val="20"/>
                <w:lang w:val="es-ES" w:eastAsia="en-GB"/>
              </w:rPr>
            </w:pPr>
            <w:r w:rsidRPr="002B17BF">
              <w:rPr>
                <w:rFonts w:eastAsia="Times New Roman" w:cs="Calibri"/>
                <w:noProof/>
                <w:color w:val="000000"/>
                <w:sz w:val="20"/>
                <w:szCs w:val="20"/>
                <w:lang w:val="es-ES" w:eastAsia="en-GB"/>
              </w:rPr>
              <w:t xml:space="preserve">J.  </w:t>
            </w:r>
            <w:r w:rsidRPr="002B17BF">
              <w:rPr>
                <w:noProof/>
                <w:color w:val="000000"/>
                <w:sz w:val="20"/>
                <w:szCs w:val="20"/>
                <w:lang w:val="es-ES"/>
              </w:rPr>
              <w:t>Gastos por servicios administrativos de la UICN (máximo)</w:t>
            </w:r>
          </w:p>
        </w:tc>
        <w:tc>
          <w:tcPr>
            <w:tcW w:w="1521" w:type="dxa"/>
            <w:tcBorders>
              <w:top w:val="nil"/>
              <w:left w:val="nil"/>
              <w:bottom w:val="single" w:sz="4" w:space="0" w:color="auto"/>
              <w:right w:val="single" w:sz="4" w:space="0" w:color="auto"/>
            </w:tcBorders>
            <w:shd w:val="clear" w:color="000000" w:fill="EAF1DD"/>
            <w:noWrap/>
            <w:vAlign w:val="center"/>
            <w:hideMark/>
          </w:tcPr>
          <w:p w14:paraId="1B9108A3" w14:textId="77777777" w:rsidR="00877012" w:rsidRPr="002B17BF" w:rsidRDefault="00877012" w:rsidP="00877012">
            <w:pPr>
              <w:ind w:left="0" w:firstLine="0"/>
              <w:jc w:val="right"/>
              <w:rPr>
                <w:rFonts w:eastAsia="Times New Roman" w:cs="Calibri"/>
                <w:b/>
                <w:bCs/>
                <w:noProof/>
                <w:sz w:val="20"/>
                <w:szCs w:val="20"/>
                <w:lang w:val="es-ES" w:eastAsia="en-GB"/>
              </w:rPr>
            </w:pPr>
            <w:r w:rsidRPr="002B17BF">
              <w:rPr>
                <w:rFonts w:eastAsia="Times New Roman" w:cs="Calibri"/>
                <w:b/>
                <w:bCs/>
                <w:noProof/>
                <w:sz w:val="20"/>
                <w:szCs w:val="20"/>
                <w:lang w:val="es-ES" w:eastAsia="en-GB"/>
              </w:rPr>
              <w:t>541</w:t>
            </w:r>
          </w:p>
        </w:tc>
        <w:tc>
          <w:tcPr>
            <w:tcW w:w="1521" w:type="dxa"/>
            <w:tcBorders>
              <w:top w:val="nil"/>
              <w:left w:val="nil"/>
              <w:bottom w:val="single" w:sz="4" w:space="0" w:color="auto"/>
              <w:right w:val="single" w:sz="4" w:space="0" w:color="auto"/>
            </w:tcBorders>
            <w:shd w:val="clear" w:color="000000" w:fill="EAF1DD"/>
            <w:noWrap/>
            <w:vAlign w:val="center"/>
            <w:hideMark/>
          </w:tcPr>
          <w:p w14:paraId="2605173B" w14:textId="77777777" w:rsidR="00877012" w:rsidRPr="002B17BF" w:rsidRDefault="00877012" w:rsidP="00877012">
            <w:pPr>
              <w:ind w:left="0" w:firstLine="0"/>
              <w:jc w:val="right"/>
              <w:rPr>
                <w:rFonts w:eastAsia="Times New Roman" w:cs="Calibri"/>
                <w:b/>
                <w:bCs/>
                <w:noProof/>
                <w:sz w:val="20"/>
                <w:szCs w:val="20"/>
                <w:lang w:val="es-ES" w:eastAsia="en-GB"/>
              </w:rPr>
            </w:pPr>
            <w:r w:rsidRPr="002B17BF">
              <w:rPr>
                <w:rFonts w:eastAsia="Times New Roman" w:cs="Calibri"/>
                <w:b/>
                <w:bCs/>
                <w:noProof/>
                <w:sz w:val="20"/>
                <w:szCs w:val="20"/>
                <w:lang w:val="es-ES" w:eastAsia="en-GB"/>
              </w:rPr>
              <w:t>0</w:t>
            </w:r>
          </w:p>
        </w:tc>
        <w:tc>
          <w:tcPr>
            <w:tcW w:w="1521" w:type="dxa"/>
            <w:tcBorders>
              <w:top w:val="nil"/>
              <w:left w:val="single" w:sz="4" w:space="0" w:color="auto"/>
              <w:bottom w:val="single" w:sz="4" w:space="0" w:color="auto"/>
              <w:right w:val="single" w:sz="4" w:space="0" w:color="auto"/>
            </w:tcBorders>
            <w:shd w:val="clear" w:color="000000" w:fill="EAF1DD"/>
            <w:noWrap/>
            <w:vAlign w:val="center"/>
            <w:hideMark/>
          </w:tcPr>
          <w:p w14:paraId="2C58E6E3" w14:textId="77777777" w:rsidR="00877012" w:rsidRPr="002B17BF" w:rsidRDefault="00877012" w:rsidP="00877012">
            <w:pPr>
              <w:ind w:left="0" w:firstLine="0"/>
              <w:jc w:val="right"/>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0</w:t>
            </w:r>
          </w:p>
        </w:tc>
        <w:tc>
          <w:tcPr>
            <w:tcW w:w="1521" w:type="dxa"/>
            <w:tcBorders>
              <w:top w:val="nil"/>
              <w:left w:val="nil"/>
              <w:bottom w:val="single" w:sz="4" w:space="0" w:color="auto"/>
              <w:right w:val="single" w:sz="4" w:space="0" w:color="auto"/>
            </w:tcBorders>
            <w:shd w:val="clear" w:color="000000" w:fill="EAF1DD"/>
            <w:noWrap/>
            <w:vAlign w:val="center"/>
            <w:hideMark/>
          </w:tcPr>
          <w:p w14:paraId="699E4BA2" w14:textId="77777777" w:rsidR="00877012" w:rsidRPr="002B17BF" w:rsidRDefault="00877012" w:rsidP="00877012">
            <w:pPr>
              <w:ind w:left="0" w:firstLine="0"/>
              <w:jc w:val="right"/>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0</w:t>
            </w:r>
          </w:p>
        </w:tc>
        <w:tc>
          <w:tcPr>
            <w:tcW w:w="1521" w:type="dxa"/>
            <w:tcBorders>
              <w:top w:val="nil"/>
              <w:left w:val="nil"/>
              <w:bottom w:val="single" w:sz="4" w:space="0" w:color="auto"/>
              <w:right w:val="single" w:sz="4" w:space="0" w:color="auto"/>
            </w:tcBorders>
            <w:shd w:val="clear" w:color="000000" w:fill="EAF1DD"/>
            <w:noWrap/>
            <w:vAlign w:val="center"/>
            <w:hideMark/>
          </w:tcPr>
          <w:p w14:paraId="78C87664" w14:textId="77777777" w:rsidR="00877012" w:rsidRPr="002B17BF" w:rsidRDefault="00877012" w:rsidP="00877012">
            <w:pPr>
              <w:ind w:left="0" w:firstLine="0"/>
              <w:jc w:val="right"/>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541</w:t>
            </w:r>
          </w:p>
        </w:tc>
      </w:tr>
      <w:tr w:rsidR="00877012" w:rsidRPr="002B17BF" w14:paraId="795E07A2" w14:textId="77777777" w:rsidTr="00223E5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7933B0CA" w14:textId="35178039" w:rsidR="00877012" w:rsidRPr="002B17BF" w:rsidRDefault="00877012" w:rsidP="00877012">
            <w:pPr>
              <w:ind w:left="0" w:firstLine="0"/>
              <w:rPr>
                <w:rFonts w:eastAsia="Times New Roman" w:cs="Calibri"/>
                <w:noProof/>
                <w:sz w:val="20"/>
                <w:szCs w:val="20"/>
                <w:lang w:val="es-ES" w:eastAsia="en-GB"/>
              </w:rPr>
            </w:pPr>
            <w:r w:rsidRPr="002B17BF">
              <w:rPr>
                <w:noProof/>
                <w:color w:val="000000"/>
                <w:sz w:val="20"/>
                <w:szCs w:val="20"/>
                <w:lang w:val="es-ES"/>
              </w:rPr>
              <w:t>Administración, RR.HH., finanzas y servicios informáticos</w:t>
            </w:r>
          </w:p>
        </w:tc>
        <w:tc>
          <w:tcPr>
            <w:tcW w:w="1521" w:type="dxa"/>
            <w:tcBorders>
              <w:top w:val="nil"/>
              <w:left w:val="nil"/>
              <w:bottom w:val="single" w:sz="4" w:space="0" w:color="auto"/>
              <w:right w:val="single" w:sz="4" w:space="0" w:color="auto"/>
            </w:tcBorders>
            <w:shd w:val="clear" w:color="auto" w:fill="auto"/>
            <w:noWrap/>
            <w:vAlign w:val="center"/>
            <w:hideMark/>
          </w:tcPr>
          <w:p w14:paraId="4F122F5E" w14:textId="77777777" w:rsidR="00877012" w:rsidRPr="002B17BF" w:rsidRDefault="00877012" w:rsidP="00877012">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541</w:t>
            </w:r>
          </w:p>
        </w:tc>
        <w:tc>
          <w:tcPr>
            <w:tcW w:w="1521" w:type="dxa"/>
            <w:tcBorders>
              <w:top w:val="nil"/>
              <w:left w:val="nil"/>
              <w:bottom w:val="single" w:sz="4" w:space="0" w:color="auto"/>
              <w:right w:val="single" w:sz="4" w:space="0" w:color="auto"/>
            </w:tcBorders>
            <w:shd w:val="clear" w:color="auto" w:fill="auto"/>
            <w:noWrap/>
            <w:vAlign w:val="center"/>
            <w:hideMark/>
          </w:tcPr>
          <w:p w14:paraId="07AFF7E7" w14:textId="77777777" w:rsidR="00877012" w:rsidRPr="002B17BF" w:rsidRDefault="00877012" w:rsidP="00877012">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04C608BA" w14:textId="77777777" w:rsidR="00877012" w:rsidRPr="002B17BF" w:rsidRDefault="00877012" w:rsidP="00877012">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0</w:t>
            </w:r>
          </w:p>
        </w:tc>
        <w:tc>
          <w:tcPr>
            <w:tcW w:w="1521" w:type="dxa"/>
            <w:tcBorders>
              <w:top w:val="nil"/>
              <w:left w:val="nil"/>
              <w:bottom w:val="single" w:sz="4" w:space="0" w:color="auto"/>
              <w:right w:val="single" w:sz="4" w:space="0" w:color="auto"/>
            </w:tcBorders>
            <w:shd w:val="clear" w:color="auto" w:fill="auto"/>
            <w:noWrap/>
            <w:vAlign w:val="center"/>
            <w:hideMark/>
          </w:tcPr>
          <w:p w14:paraId="3C4976B3" w14:textId="77777777" w:rsidR="00877012" w:rsidRPr="002B17BF" w:rsidRDefault="00877012" w:rsidP="00877012">
            <w:pPr>
              <w:ind w:left="0" w:firstLine="0"/>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 </w:t>
            </w:r>
          </w:p>
        </w:tc>
        <w:tc>
          <w:tcPr>
            <w:tcW w:w="1521" w:type="dxa"/>
            <w:tcBorders>
              <w:top w:val="nil"/>
              <w:left w:val="nil"/>
              <w:bottom w:val="single" w:sz="4" w:space="0" w:color="auto"/>
              <w:right w:val="single" w:sz="4" w:space="0" w:color="auto"/>
            </w:tcBorders>
            <w:shd w:val="clear" w:color="auto" w:fill="auto"/>
            <w:noWrap/>
            <w:vAlign w:val="center"/>
            <w:hideMark/>
          </w:tcPr>
          <w:p w14:paraId="695B9488" w14:textId="77777777" w:rsidR="00877012" w:rsidRPr="002B17BF" w:rsidRDefault="00877012" w:rsidP="00877012">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541</w:t>
            </w:r>
          </w:p>
        </w:tc>
      </w:tr>
      <w:tr w:rsidR="006040D8" w:rsidRPr="002B17BF" w14:paraId="752B5C40" w14:textId="77777777" w:rsidTr="00223E58">
        <w:trPr>
          <w:trHeight w:val="270"/>
        </w:trPr>
        <w:tc>
          <w:tcPr>
            <w:tcW w:w="4792" w:type="dxa"/>
            <w:tcBorders>
              <w:top w:val="nil"/>
              <w:left w:val="single" w:sz="4" w:space="0" w:color="auto"/>
              <w:bottom w:val="single" w:sz="4" w:space="0" w:color="auto"/>
              <w:right w:val="single" w:sz="4" w:space="0" w:color="auto"/>
            </w:tcBorders>
            <w:shd w:val="clear" w:color="000000" w:fill="EAF1DD"/>
            <w:noWrap/>
            <w:vAlign w:val="center"/>
            <w:hideMark/>
          </w:tcPr>
          <w:p w14:paraId="2757D713" w14:textId="4C2C03BC" w:rsidR="006040D8" w:rsidRPr="002B17BF" w:rsidRDefault="006040D8" w:rsidP="006040D8">
            <w:pPr>
              <w:ind w:left="0" w:firstLine="0"/>
              <w:rPr>
                <w:rFonts w:eastAsia="Times New Roman" w:cs="Calibri"/>
                <w:noProof/>
                <w:sz w:val="20"/>
                <w:szCs w:val="20"/>
                <w:lang w:val="es-ES" w:eastAsia="en-GB"/>
              </w:rPr>
            </w:pPr>
            <w:r w:rsidRPr="002B17BF">
              <w:rPr>
                <w:rFonts w:eastAsia="Times New Roman" w:cs="Calibri"/>
                <w:noProof/>
                <w:color w:val="000000"/>
                <w:sz w:val="20"/>
                <w:szCs w:val="20"/>
                <w:lang w:val="es-ES" w:eastAsia="en-GB"/>
              </w:rPr>
              <w:t>K.  Varios – Fondo de reserva</w:t>
            </w:r>
          </w:p>
        </w:tc>
        <w:tc>
          <w:tcPr>
            <w:tcW w:w="1521" w:type="dxa"/>
            <w:tcBorders>
              <w:top w:val="nil"/>
              <w:left w:val="nil"/>
              <w:bottom w:val="single" w:sz="4" w:space="0" w:color="auto"/>
              <w:right w:val="single" w:sz="4" w:space="0" w:color="auto"/>
            </w:tcBorders>
            <w:shd w:val="clear" w:color="000000" w:fill="EAF1DD"/>
            <w:noWrap/>
            <w:vAlign w:val="center"/>
            <w:hideMark/>
          </w:tcPr>
          <w:p w14:paraId="6FE2CC3D" w14:textId="77777777" w:rsidR="006040D8" w:rsidRPr="002B17BF" w:rsidRDefault="006040D8" w:rsidP="006040D8">
            <w:pPr>
              <w:ind w:left="0" w:firstLine="0"/>
              <w:jc w:val="right"/>
              <w:rPr>
                <w:rFonts w:eastAsia="Times New Roman" w:cs="Calibri"/>
                <w:b/>
                <w:bCs/>
                <w:noProof/>
                <w:sz w:val="20"/>
                <w:szCs w:val="20"/>
                <w:lang w:val="es-ES" w:eastAsia="en-GB"/>
              </w:rPr>
            </w:pPr>
            <w:r w:rsidRPr="002B17BF">
              <w:rPr>
                <w:rFonts w:eastAsia="Times New Roman" w:cs="Calibri"/>
                <w:b/>
                <w:bCs/>
                <w:noProof/>
                <w:sz w:val="20"/>
                <w:szCs w:val="20"/>
                <w:lang w:val="es-ES" w:eastAsia="en-GB"/>
              </w:rPr>
              <w:t>109</w:t>
            </w:r>
          </w:p>
        </w:tc>
        <w:tc>
          <w:tcPr>
            <w:tcW w:w="1521" w:type="dxa"/>
            <w:tcBorders>
              <w:top w:val="nil"/>
              <w:left w:val="nil"/>
              <w:bottom w:val="single" w:sz="4" w:space="0" w:color="auto"/>
              <w:right w:val="single" w:sz="4" w:space="0" w:color="auto"/>
            </w:tcBorders>
            <w:shd w:val="clear" w:color="000000" w:fill="EAF1DD"/>
            <w:noWrap/>
            <w:vAlign w:val="center"/>
            <w:hideMark/>
          </w:tcPr>
          <w:p w14:paraId="6AC24648" w14:textId="77777777" w:rsidR="006040D8" w:rsidRPr="002B17BF" w:rsidRDefault="006040D8" w:rsidP="006040D8">
            <w:pPr>
              <w:ind w:left="0" w:firstLine="0"/>
              <w:jc w:val="right"/>
              <w:rPr>
                <w:rFonts w:eastAsia="Times New Roman" w:cs="Calibri"/>
                <w:b/>
                <w:bCs/>
                <w:noProof/>
                <w:sz w:val="20"/>
                <w:szCs w:val="20"/>
                <w:lang w:val="es-ES" w:eastAsia="en-GB"/>
              </w:rPr>
            </w:pPr>
            <w:r w:rsidRPr="002B17BF">
              <w:rPr>
                <w:rFonts w:eastAsia="Times New Roman" w:cs="Calibri"/>
                <w:b/>
                <w:bCs/>
                <w:noProof/>
                <w:sz w:val="20"/>
                <w:szCs w:val="20"/>
                <w:lang w:val="es-ES" w:eastAsia="en-GB"/>
              </w:rPr>
              <w:t>120</w:t>
            </w:r>
          </w:p>
        </w:tc>
        <w:tc>
          <w:tcPr>
            <w:tcW w:w="1521" w:type="dxa"/>
            <w:tcBorders>
              <w:top w:val="nil"/>
              <w:left w:val="single" w:sz="4" w:space="0" w:color="auto"/>
              <w:bottom w:val="single" w:sz="4" w:space="0" w:color="auto"/>
              <w:right w:val="single" w:sz="4" w:space="0" w:color="auto"/>
            </w:tcBorders>
            <w:shd w:val="clear" w:color="000000" w:fill="EAF1DD"/>
            <w:noWrap/>
            <w:vAlign w:val="center"/>
            <w:hideMark/>
          </w:tcPr>
          <w:p w14:paraId="3A0F1764" w14:textId="77777777" w:rsidR="006040D8" w:rsidRPr="002B17BF" w:rsidRDefault="006040D8" w:rsidP="006040D8">
            <w:pPr>
              <w:ind w:left="0" w:firstLine="0"/>
              <w:jc w:val="right"/>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62</w:t>
            </w:r>
          </w:p>
        </w:tc>
        <w:tc>
          <w:tcPr>
            <w:tcW w:w="1521" w:type="dxa"/>
            <w:tcBorders>
              <w:top w:val="nil"/>
              <w:left w:val="nil"/>
              <w:bottom w:val="single" w:sz="4" w:space="0" w:color="auto"/>
              <w:right w:val="single" w:sz="4" w:space="0" w:color="auto"/>
            </w:tcBorders>
            <w:shd w:val="clear" w:color="000000" w:fill="EAF1DD"/>
            <w:noWrap/>
            <w:vAlign w:val="center"/>
            <w:hideMark/>
          </w:tcPr>
          <w:p w14:paraId="70012BFF" w14:textId="0FC22651" w:rsidR="006040D8" w:rsidRPr="002B17BF" w:rsidRDefault="006040D8" w:rsidP="006040D8">
            <w:pPr>
              <w:ind w:left="0" w:firstLine="0"/>
              <w:jc w:val="right"/>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406</w:t>
            </w:r>
            <w:r w:rsidR="00603C7B">
              <w:rPr>
                <w:rFonts w:eastAsia="Times New Roman" w:cs="Calibri"/>
                <w:b/>
                <w:bCs/>
                <w:noProof/>
                <w:color w:val="000000"/>
                <w:sz w:val="20"/>
                <w:szCs w:val="20"/>
                <w:lang w:val="es-ES" w:eastAsia="en-GB"/>
              </w:rPr>
              <w:t>,</w:t>
            </w:r>
            <w:r w:rsidRPr="002B17BF">
              <w:rPr>
                <w:rFonts w:eastAsia="Times New Roman" w:cs="Calibri"/>
                <w:b/>
                <w:bCs/>
                <w:noProof/>
                <w:color w:val="000000"/>
                <w:sz w:val="20"/>
                <w:szCs w:val="20"/>
                <w:lang w:val="es-ES" w:eastAsia="en-GB"/>
              </w:rPr>
              <w:t>5</w:t>
            </w:r>
          </w:p>
        </w:tc>
        <w:tc>
          <w:tcPr>
            <w:tcW w:w="1521" w:type="dxa"/>
            <w:tcBorders>
              <w:top w:val="nil"/>
              <w:left w:val="nil"/>
              <w:bottom w:val="single" w:sz="4" w:space="0" w:color="auto"/>
              <w:right w:val="single" w:sz="4" w:space="0" w:color="auto"/>
            </w:tcBorders>
            <w:shd w:val="clear" w:color="000000" w:fill="EAF1DD"/>
            <w:noWrap/>
            <w:vAlign w:val="center"/>
            <w:hideMark/>
          </w:tcPr>
          <w:p w14:paraId="7801B937" w14:textId="77777777" w:rsidR="006040D8" w:rsidRPr="002B17BF" w:rsidRDefault="006040D8" w:rsidP="006040D8">
            <w:pPr>
              <w:ind w:left="0" w:firstLine="0"/>
              <w:jc w:val="right"/>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697</w:t>
            </w:r>
          </w:p>
        </w:tc>
      </w:tr>
      <w:tr w:rsidR="006040D8" w:rsidRPr="002B17BF" w14:paraId="084A71EE" w14:textId="77777777" w:rsidTr="00223E5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1B7F0B66" w14:textId="1B9F6280" w:rsidR="006040D8" w:rsidRPr="002B17BF" w:rsidRDefault="006040D8" w:rsidP="006040D8">
            <w:pPr>
              <w:ind w:left="0" w:firstLine="0"/>
              <w:rPr>
                <w:rFonts w:eastAsia="Times New Roman" w:cs="Calibri"/>
                <w:noProof/>
                <w:sz w:val="20"/>
                <w:szCs w:val="20"/>
                <w:lang w:val="es-ES" w:eastAsia="en-GB"/>
              </w:rPr>
            </w:pPr>
            <w:r w:rsidRPr="002B17BF">
              <w:rPr>
                <w:rFonts w:eastAsia="Times New Roman" w:cs="Calibri"/>
                <w:noProof/>
                <w:color w:val="000000"/>
                <w:sz w:val="20"/>
                <w:szCs w:val="20"/>
                <w:lang w:val="es-ES" w:eastAsia="en-GB"/>
              </w:rPr>
              <w:t>Provisiones correspondientes al personal</w:t>
            </w:r>
          </w:p>
        </w:tc>
        <w:tc>
          <w:tcPr>
            <w:tcW w:w="1521" w:type="dxa"/>
            <w:tcBorders>
              <w:top w:val="nil"/>
              <w:left w:val="nil"/>
              <w:bottom w:val="single" w:sz="4" w:space="0" w:color="auto"/>
              <w:right w:val="single" w:sz="4" w:space="0" w:color="auto"/>
            </w:tcBorders>
            <w:shd w:val="clear" w:color="auto" w:fill="auto"/>
            <w:noWrap/>
            <w:vAlign w:val="center"/>
            <w:hideMark/>
          </w:tcPr>
          <w:p w14:paraId="73E4FD2D" w14:textId="77777777" w:rsidR="006040D8" w:rsidRPr="002B17BF" w:rsidRDefault="006040D8" w:rsidP="006040D8">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20</w:t>
            </w:r>
          </w:p>
        </w:tc>
        <w:tc>
          <w:tcPr>
            <w:tcW w:w="1521" w:type="dxa"/>
            <w:tcBorders>
              <w:top w:val="nil"/>
              <w:left w:val="nil"/>
              <w:bottom w:val="single" w:sz="4" w:space="0" w:color="auto"/>
              <w:right w:val="single" w:sz="4" w:space="0" w:color="auto"/>
            </w:tcBorders>
            <w:shd w:val="clear" w:color="auto" w:fill="auto"/>
            <w:noWrap/>
            <w:vAlign w:val="center"/>
            <w:hideMark/>
          </w:tcPr>
          <w:p w14:paraId="32D19F3C" w14:textId="77777777" w:rsidR="006040D8" w:rsidRPr="002B17BF" w:rsidRDefault="006040D8" w:rsidP="006040D8">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2ED68C40" w14:textId="77777777" w:rsidR="006040D8" w:rsidRPr="002B17BF" w:rsidRDefault="006040D8" w:rsidP="006040D8">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0</w:t>
            </w:r>
          </w:p>
        </w:tc>
        <w:tc>
          <w:tcPr>
            <w:tcW w:w="1521" w:type="dxa"/>
            <w:tcBorders>
              <w:top w:val="nil"/>
              <w:left w:val="nil"/>
              <w:bottom w:val="single" w:sz="4" w:space="0" w:color="auto"/>
              <w:right w:val="single" w:sz="4" w:space="0" w:color="auto"/>
            </w:tcBorders>
            <w:shd w:val="clear" w:color="auto" w:fill="auto"/>
            <w:noWrap/>
            <w:vAlign w:val="center"/>
            <w:hideMark/>
          </w:tcPr>
          <w:p w14:paraId="77CF49B7" w14:textId="77777777" w:rsidR="006040D8" w:rsidRPr="002B17BF" w:rsidRDefault="006040D8" w:rsidP="006040D8">
            <w:pPr>
              <w:ind w:left="0" w:firstLine="0"/>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 </w:t>
            </w:r>
          </w:p>
        </w:tc>
        <w:tc>
          <w:tcPr>
            <w:tcW w:w="1521" w:type="dxa"/>
            <w:tcBorders>
              <w:top w:val="nil"/>
              <w:left w:val="nil"/>
              <w:bottom w:val="single" w:sz="4" w:space="0" w:color="auto"/>
              <w:right w:val="single" w:sz="4" w:space="0" w:color="auto"/>
            </w:tcBorders>
            <w:shd w:val="clear" w:color="auto" w:fill="auto"/>
            <w:noWrap/>
            <w:vAlign w:val="center"/>
            <w:hideMark/>
          </w:tcPr>
          <w:p w14:paraId="664BE2D8" w14:textId="77777777" w:rsidR="006040D8" w:rsidRPr="002B17BF" w:rsidRDefault="006040D8" w:rsidP="006040D8">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20</w:t>
            </w:r>
          </w:p>
        </w:tc>
      </w:tr>
      <w:tr w:rsidR="006040D8" w:rsidRPr="002B17BF" w14:paraId="085EFCEC" w14:textId="77777777" w:rsidTr="00223E58">
        <w:trPr>
          <w:trHeight w:val="270"/>
        </w:trPr>
        <w:tc>
          <w:tcPr>
            <w:tcW w:w="4792" w:type="dxa"/>
            <w:tcBorders>
              <w:top w:val="nil"/>
              <w:left w:val="single" w:sz="4" w:space="0" w:color="auto"/>
              <w:bottom w:val="single" w:sz="4" w:space="0" w:color="auto"/>
              <w:right w:val="nil"/>
            </w:tcBorders>
            <w:shd w:val="clear" w:color="auto" w:fill="auto"/>
            <w:noWrap/>
            <w:vAlign w:val="center"/>
            <w:hideMark/>
          </w:tcPr>
          <w:p w14:paraId="2B017BCC" w14:textId="2A85992D" w:rsidR="006040D8" w:rsidRPr="002B17BF" w:rsidRDefault="006040D8" w:rsidP="006040D8">
            <w:pPr>
              <w:ind w:left="0" w:firstLine="0"/>
              <w:rPr>
                <w:rFonts w:eastAsia="Times New Roman" w:cs="Calibri"/>
                <w:noProof/>
                <w:sz w:val="20"/>
                <w:szCs w:val="20"/>
                <w:lang w:val="es-ES" w:eastAsia="en-GB"/>
              </w:rPr>
            </w:pPr>
            <w:r w:rsidRPr="002B17BF">
              <w:rPr>
                <w:rFonts w:eastAsia="Times New Roman" w:cs="Calibri"/>
                <w:noProof/>
                <w:color w:val="000000"/>
                <w:sz w:val="20"/>
                <w:szCs w:val="20"/>
                <w:lang w:val="es-ES" w:eastAsia="en-GB"/>
              </w:rPr>
              <w:t>Provisiones correspondientes a las contribuciones pendientes</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72F70DC2" w14:textId="77777777" w:rsidR="006040D8" w:rsidRPr="002B17BF" w:rsidRDefault="006040D8" w:rsidP="006040D8">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30</w:t>
            </w:r>
          </w:p>
        </w:tc>
        <w:tc>
          <w:tcPr>
            <w:tcW w:w="1521" w:type="dxa"/>
            <w:tcBorders>
              <w:top w:val="nil"/>
              <w:left w:val="nil"/>
              <w:bottom w:val="single" w:sz="4" w:space="0" w:color="auto"/>
              <w:right w:val="single" w:sz="4" w:space="0" w:color="auto"/>
            </w:tcBorders>
            <w:shd w:val="clear" w:color="auto" w:fill="auto"/>
            <w:noWrap/>
            <w:vAlign w:val="center"/>
            <w:hideMark/>
          </w:tcPr>
          <w:p w14:paraId="0AD7C4B7" w14:textId="77777777" w:rsidR="006040D8" w:rsidRPr="002B17BF" w:rsidRDefault="006040D8" w:rsidP="006040D8">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120</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12A25010" w14:textId="77777777" w:rsidR="006040D8" w:rsidRPr="002B17BF" w:rsidRDefault="006040D8" w:rsidP="006040D8">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nil"/>
              <w:bottom w:val="single" w:sz="4" w:space="0" w:color="auto"/>
              <w:right w:val="single" w:sz="4" w:space="0" w:color="auto"/>
            </w:tcBorders>
            <w:shd w:val="clear" w:color="auto" w:fill="auto"/>
            <w:noWrap/>
            <w:vAlign w:val="center"/>
            <w:hideMark/>
          </w:tcPr>
          <w:p w14:paraId="77E63666" w14:textId="77777777" w:rsidR="006040D8" w:rsidRPr="002B17BF" w:rsidRDefault="006040D8" w:rsidP="006040D8">
            <w:pPr>
              <w:ind w:left="0" w:firstLine="0"/>
              <w:rPr>
                <w:rFonts w:eastAsia="Times New Roman" w:cs="Calibri"/>
                <w:noProof/>
                <w:sz w:val="20"/>
                <w:szCs w:val="20"/>
                <w:lang w:val="es-ES" w:eastAsia="en-GB"/>
              </w:rPr>
            </w:pPr>
            <w:r w:rsidRPr="002B17BF">
              <w:rPr>
                <w:rFonts w:eastAsia="Times New Roman" w:cs="Calibri"/>
                <w:noProof/>
                <w:sz w:val="20"/>
                <w:szCs w:val="20"/>
                <w:lang w:val="es-ES" w:eastAsia="en-GB"/>
              </w:rPr>
              <w:t> </w:t>
            </w:r>
          </w:p>
        </w:tc>
        <w:tc>
          <w:tcPr>
            <w:tcW w:w="1521" w:type="dxa"/>
            <w:tcBorders>
              <w:top w:val="nil"/>
              <w:left w:val="nil"/>
              <w:bottom w:val="single" w:sz="4" w:space="0" w:color="auto"/>
              <w:right w:val="single" w:sz="4" w:space="0" w:color="auto"/>
            </w:tcBorders>
            <w:shd w:val="clear" w:color="auto" w:fill="auto"/>
            <w:noWrap/>
            <w:vAlign w:val="center"/>
            <w:hideMark/>
          </w:tcPr>
          <w:p w14:paraId="55C1D6EC" w14:textId="77777777" w:rsidR="006040D8" w:rsidRPr="002B17BF" w:rsidRDefault="006040D8" w:rsidP="006040D8">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150</w:t>
            </w:r>
          </w:p>
        </w:tc>
      </w:tr>
      <w:tr w:rsidR="003360DC" w:rsidRPr="002B17BF" w14:paraId="6802E1ED" w14:textId="77777777" w:rsidTr="00223E58">
        <w:trPr>
          <w:trHeight w:val="270"/>
        </w:trPr>
        <w:tc>
          <w:tcPr>
            <w:tcW w:w="4792" w:type="dxa"/>
            <w:tcBorders>
              <w:top w:val="nil"/>
              <w:left w:val="single" w:sz="4" w:space="0" w:color="auto"/>
              <w:bottom w:val="single" w:sz="4" w:space="0" w:color="auto"/>
              <w:right w:val="nil"/>
            </w:tcBorders>
            <w:shd w:val="clear" w:color="auto" w:fill="auto"/>
            <w:noWrap/>
            <w:vAlign w:val="center"/>
            <w:hideMark/>
          </w:tcPr>
          <w:p w14:paraId="3F198D67" w14:textId="3443BF32" w:rsidR="003360DC" w:rsidRPr="002B17BF" w:rsidRDefault="006040D8" w:rsidP="003360DC">
            <w:pPr>
              <w:ind w:left="0" w:firstLine="0"/>
              <w:rPr>
                <w:rFonts w:eastAsia="Times New Roman" w:cs="Calibri"/>
                <w:noProof/>
                <w:sz w:val="20"/>
                <w:szCs w:val="20"/>
                <w:lang w:val="es-ES" w:eastAsia="en-GB"/>
              </w:rPr>
            </w:pPr>
            <w:r w:rsidRPr="002B17BF">
              <w:rPr>
                <w:rFonts w:eastAsia="Times New Roman" w:cs="Calibri"/>
                <w:noProof/>
                <w:sz w:val="20"/>
                <w:szCs w:val="20"/>
                <w:lang w:val="es-ES" w:eastAsia="en-GB"/>
              </w:rPr>
              <w:t>Fondo de reserva adicional</w:t>
            </w:r>
            <w:r w:rsidR="00003FF3" w:rsidRPr="002B17BF">
              <w:rPr>
                <w:rFonts w:eastAsia="Times New Roman" w:cs="Calibri"/>
                <w:noProof/>
                <w:sz w:val="20"/>
                <w:szCs w:val="20"/>
                <w:lang w:val="es-ES" w:eastAsia="en-GB"/>
              </w:rPr>
              <w:t>***</w:t>
            </w:r>
            <w:r w:rsidR="003360DC" w:rsidRPr="002B17BF">
              <w:rPr>
                <w:rFonts w:eastAsia="Times New Roman" w:cs="Calibri"/>
                <w:noProof/>
                <w:sz w:val="20"/>
                <w:szCs w:val="20"/>
                <w:lang w:val="es-ES" w:eastAsia="en-GB"/>
              </w:rPr>
              <w:t xml:space="preserve"> </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52526D93" w14:textId="77777777" w:rsidR="003360DC" w:rsidRPr="002B17BF" w:rsidRDefault="003360DC" w:rsidP="003360DC">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nil"/>
              <w:bottom w:val="single" w:sz="4" w:space="0" w:color="auto"/>
              <w:right w:val="single" w:sz="4" w:space="0" w:color="auto"/>
            </w:tcBorders>
            <w:shd w:val="clear" w:color="auto" w:fill="auto"/>
            <w:noWrap/>
            <w:vAlign w:val="center"/>
            <w:hideMark/>
          </w:tcPr>
          <w:p w14:paraId="3F429358" w14:textId="77777777" w:rsidR="003360DC" w:rsidRPr="002B17BF" w:rsidRDefault="003360DC" w:rsidP="003360DC">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781B62DE" w14:textId="77777777" w:rsidR="003360DC" w:rsidRPr="002B17BF" w:rsidRDefault="003360DC" w:rsidP="003360DC">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0</w:t>
            </w:r>
          </w:p>
        </w:tc>
        <w:tc>
          <w:tcPr>
            <w:tcW w:w="1521" w:type="dxa"/>
            <w:tcBorders>
              <w:top w:val="nil"/>
              <w:left w:val="nil"/>
              <w:bottom w:val="single" w:sz="4" w:space="0" w:color="auto"/>
              <w:right w:val="single" w:sz="4" w:space="0" w:color="auto"/>
            </w:tcBorders>
            <w:shd w:val="clear" w:color="auto" w:fill="auto"/>
            <w:noWrap/>
            <w:vAlign w:val="center"/>
            <w:hideMark/>
          </w:tcPr>
          <w:p w14:paraId="4DACDEED" w14:textId="35F7DB3E" w:rsidR="003360DC" w:rsidRPr="002B17BF" w:rsidRDefault="003360DC" w:rsidP="003360DC">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406</w:t>
            </w:r>
            <w:r w:rsidR="00603C7B">
              <w:rPr>
                <w:rFonts w:eastAsia="Times New Roman" w:cs="Calibri"/>
                <w:noProof/>
                <w:color w:val="000000"/>
                <w:sz w:val="20"/>
                <w:szCs w:val="20"/>
                <w:lang w:val="es-ES" w:eastAsia="en-GB"/>
              </w:rPr>
              <w:t>,</w:t>
            </w:r>
            <w:r w:rsidRPr="002B17BF">
              <w:rPr>
                <w:rFonts w:eastAsia="Times New Roman" w:cs="Calibri"/>
                <w:noProof/>
                <w:color w:val="000000"/>
                <w:sz w:val="20"/>
                <w:szCs w:val="20"/>
                <w:lang w:val="es-ES" w:eastAsia="en-GB"/>
              </w:rPr>
              <w:t>5</w:t>
            </w:r>
          </w:p>
        </w:tc>
        <w:tc>
          <w:tcPr>
            <w:tcW w:w="1521" w:type="dxa"/>
            <w:tcBorders>
              <w:top w:val="nil"/>
              <w:left w:val="nil"/>
              <w:bottom w:val="single" w:sz="4" w:space="0" w:color="auto"/>
              <w:right w:val="single" w:sz="4" w:space="0" w:color="auto"/>
            </w:tcBorders>
            <w:shd w:val="clear" w:color="auto" w:fill="auto"/>
            <w:noWrap/>
            <w:vAlign w:val="center"/>
            <w:hideMark/>
          </w:tcPr>
          <w:p w14:paraId="7BF102BC" w14:textId="77777777" w:rsidR="003360DC" w:rsidRPr="002B17BF" w:rsidRDefault="003360DC" w:rsidP="003360DC">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407</w:t>
            </w:r>
          </w:p>
        </w:tc>
      </w:tr>
      <w:tr w:rsidR="006040D8" w:rsidRPr="002B17BF" w14:paraId="1ABBE1E8" w14:textId="77777777" w:rsidTr="00223E5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51A23636" w14:textId="229B2082" w:rsidR="006040D8" w:rsidRPr="002B17BF" w:rsidRDefault="006040D8" w:rsidP="006040D8">
            <w:pPr>
              <w:ind w:left="0" w:firstLine="0"/>
              <w:rPr>
                <w:rFonts w:eastAsia="Times New Roman" w:cs="Calibri"/>
                <w:noProof/>
                <w:sz w:val="20"/>
                <w:szCs w:val="20"/>
                <w:lang w:val="es-ES" w:eastAsia="en-GB"/>
              </w:rPr>
            </w:pPr>
            <w:r w:rsidRPr="002B17BF">
              <w:rPr>
                <w:noProof/>
                <w:color w:val="000000"/>
                <w:sz w:val="20"/>
                <w:szCs w:val="20"/>
                <w:lang w:val="es-ES"/>
              </w:rPr>
              <w:t>Ganancias/pérdidas por fluctuaciones del tipo de cambio</w:t>
            </w:r>
          </w:p>
        </w:tc>
        <w:tc>
          <w:tcPr>
            <w:tcW w:w="1521" w:type="dxa"/>
            <w:tcBorders>
              <w:top w:val="nil"/>
              <w:left w:val="nil"/>
              <w:bottom w:val="single" w:sz="4" w:space="0" w:color="auto"/>
              <w:right w:val="single" w:sz="4" w:space="0" w:color="auto"/>
            </w:tcBorders>
            <w:shd w:val="clear" w:color="auto" w:fill="auto"/>
            <w:noWrap/>
            <w:vAlign w:val="center"/>
            <w:hideMark/>
          </w:tcPr>
          <w:p w14:paraId="57068BC9" w14:textId="77777777" w:rsidR="006040D8" w:rsidRPr="002B17BF" w:rsidRDefault="006040D8" w:rsidP="006040D8">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nil"/>
              <w:bottom w:val="single" w:sz="4" w:space="0" w:color="auto"/>
              <w:right w:val="single" w:sz="4" w:space="0" w:color="auto"/>
            </w:tcBorders>
            <w:shd w:val="clear" w:color="auto" w:fill="auto"/>
            <w:noWrap/>
            <w:vAlign w:val="center"/>
            <w:hideMark/>
          </w:tcPr>
          <w:p w14:paraId="312D7384" w14:textId="77777777" w:rsidR="006040D8" w:rsidRPr="002B17BF" w:rsidRDefault="006040D8" w:rsidP="006040D8">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37B54C18" w14:textId="77777777" w:rsidR="006040D8" w:rsidRPr="002B17BF" w:rsidRDefault="006040D8" w:rsidP="006040D8">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0</w:t>
            </w:r>
          </w:p>
        </w:tc>
        <w:tc>
          <w:tcPr>
            <w:tcW w:w="1521" w:type="dxa"/>
            <w:tcBorders>
              <w:top w:val="nil"/>
              <w:left w:val="nil"/>
              <w:bottom w:val="single" w:sz="4" w:space="0" w:color="auto"/>
              <w:right w:val="single" w:sz="4" w:space="0" w:color="auto"/>
            </w:tcBorders>
            <w:shd w:val="clear" w:color="auto" w:fill="auto"/>
            <w:noWrap/>
            <w:vAlign w:val="center"/>
            <w:hideMark/>
          </w:tcPr>
          <w:p w14:paraId="413516F3" w14:textId="77777777" w:rsidR="006040D8" w:rsidRPr="002B17BF" w:rsidRDefault="006040D8" w:rsidP="006040D8">
            <w:pPr>
              <w:ind w:left="0" w:firstLine="0"/>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 </w:t>
            </w:r>
          </w:p>
        </w:tc>
        <w:tc>
          <w:tcPr>
            <w:tcW w:w="1521" w:type="dxa"/>
            <w:tcBorders>
              <w:top w:val="nil"/>
              <w:left w:val="nil"/>
              <w:bottom w:val="single" w:sz="4" w:space="0" w:color="auto"/>
              <w:right w:val="single" w:sz="4" w:space="0" w:color="auto"/>
            </w:tcBorders>
            <w:shd w:val="clear" w:color="auto" w:fill="auto"/>
            <w:noWrap/>
            <w:vAlign w:val="center"/>
            <w:hideMark/>
          </w:tcPr>
          <w:p w14:paraId="2CBE4723" w14:textId="77777777" w:rsidR="006040D8" w:rsidRPr="002B17BF" w:rsidRDefault="006040D8" w:rsidP="006040D8">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0</w:t>
            </w:r>
          </w:p>
        </w:tc>
      </w:tr>
      <w:tr w:rsidR="006040D8" w:rsidRPr="002B17BF" w14:paraId="1839E4C0" w14:textId="77777777" w:rsidTr="00223E5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34D6531B" w14:textId="50E76C3E" w:rsidR="006040D8" w:rsidRPr="002B17BF" w:rsidRDefault="006040D8" w:rsidP="006040D8">
            <w:pPr>
              <w:ind w:left="0" w:firstLine="0"/>
              <w:rPr>
                <w:rFonts w:eastAsia="Times New Roman" w:cs="Calibri"/>
                <w:noProof/>
                <w:sz w:val="20"/>
                <w:szCs w:val="20"/>
                <w:lang w:val="es-ES" w:eastAsia="en-GB"/>
              </w:rPr>
            </w:pPr>
            <w:r w:rsidRPr="002B17BF">
              <w:rPr>
                <w:noProof/>
                <w:color w:val="000000"/>
                <w:sz w:val="20"/>
                <w:lang w:val="es-ES"/>
              </w:rPr>
              <w:t>Servicios jurídicos</w:t>
            </w:r>
          </w:p>
        </w:tc>
        <w:tc>
          <w:tcPr>
            <w:tcW w:w="1521" w:type="dxa"/>
            <w:tcBorders>
              <w:top w:val="nil"/>
              <w:left w:val="nil"/>
              <w:bottom w:val="single" w:sz="4" w:space="0" w:color="auto"/>
              <w:right w:val="single" w:sz="4" w:space="0" w:color="auto"/>
            </w:tcBorders>
            <w:shd w:val="clear" w:color="auto" w:fill="auto"/>
            <w:noWrap/>
            <w:vAlign w:val="center"/>
            <w:hideMark/>
          </w:tcPr>
          <w:p w14:paraId="1D3EF3C6" w14:textId="77777777" w:rsidR="006040D8" w:rsidRPr="002B17BF" w:rsidRDefault="006040D8" w:rsidP="006040D8">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59</w:t>
            </w:r>
          </w:p>
        </w:tc>
        <w:tc>
          <w:tcPr>
            <w:tcW w:w="1521" w:type="dxa"/>
            <w:tcBorders>
              <w:top w:val="nil"/>
              <w:left w:val="nil"/>
              <w:bottom w:val="single" w:sz="4" w:space="0" w:color="auto"/>
              <w:right w:val="single" w:sz="4" w:space="0" w:color="auto"/>
            </w:tcBorders>
            <w:shd w:val="clear" w:color="auto" w:fill="auto"/>
            <w:noWrap/>
            <w:vAlign w:val="center"/>
            <w:hideMark/>
          </w:tcPr>
          <w:p w14:paraId="131AB8EA" w14:textId="77777777" w:rsidR="006040D8" w:rsidRPr="002B17BF" w:rsidRDefault="006040D8" w:rsidP="006040D8">
            <w:pPr>
              <w:ind w:left="0" w:firstLine="0"/>
              <w:jc w:val="right"/>
              <w:rPr>
                <w:rFonts w:eastAsia="Times New Roman" w:cs="Calibri"/>
                <w:noProof/>
                <w:sz w:val="20"/>
                <w:szCs w:val="20"/>
                <w:lang w:val="es-ES" w:eastAsia="en-GB"/>
              </w:rPr>
            </w:pPr>
            <w:r w:rsidRPr="002B17BF">
              <w:rPr>
                <w:rFonts w:eastAsia="Times New Roman" w:cs="Calibri"/>
                <w:noProof/>
                <w:sz w:val="20"/>
                <w:szCs w:val="20"/>
                <w:lang w:val="es-ES" w:eastAsia="en-GB"/>
              </w:rPr>
              <w:t>0</w:t>
            </w:r>
          </w:p>
        </w:tc>
        <w:tc>
          <w:tcPr>
            <w:tcW w:w="1521" w:type="dxa"/>
            <w:tcBorders>
              <w:top w:val="nil"/>
              <w:left w:val="single" w:sz="4" w:space="0" w:color="auto"/>
              <w:bottom w:val="single" w:sz="4" w:space="0" w:color="auto"/>
              <w:right w:val="single" w:sz="4" w:space="0" w:color="auto"/>
            </w:tcBorders>
            <w:shd w:val="clear" w:color="auto" w:fill="auto"/>
            <w:noWrap/>
            <w:vAlign w:val="center"/>
            <w:hideMark/>
          </w:tcPr>
          <w:p w14:paraId="0334B583" w14:textId="77777777" w:rsidR="006040D8" w:rsidRPr="002B17BF" w:rsidRDefault="006040D8" w:rsidP="006040D8">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62</w:t>
            </w:r>
          </w:p>
        </w:tc>
        <w:tc>
          <w:tcPr>
            <w:tcW w:w="1521" w:type="dxa"/>
            <w:tcBorders>
              <w:top w:val="nil"/>
              <w:left w:val="nil"/>
              <w:bottom w:val="single" w:sz="4" w:space="0" w:color="auto"/>
              <w:right w:val="single" w:sz="4" w:space="0" w:color="auto"/>
            </w:tcBorders>
            <w:shd w:val="clear" w:color="auto" w:fill="auto"/>
            <w:noWrap/>
            <w:vAlign w:val="center"/>
            <w:hideMark/>
          </w:tcPr>
          <w:p w14:paraId="18242787" w14:textId="77777777" w:rsidR="006040D8" w:rsidRPr="002B17BF" w:rsidRDefault="006040D8" w:rsidP="006040D8">
            <w:pPr>
              <w:ind w:left="0" w:firstLine="0"/>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 </w:t>
            </w:r>
          </w:p>
        </w:tc>
        <w:tc>
          <w:tcPr>
            <w:tcW w:w="1521" w:type="dxa"/>
            <w:tcBorders>
              <w:top w:val="nil"/>
              <w:left w:val="nil"/>
              <w:bottom w:val="single" w:sz="4" w:space="0" w:color="auto"/>
              <w:right w:val="single" w:sz="4" w:space="0" w:color="auto"/>
            </w:tcBorders>
            <w:shd w:val="clear" w:color="auto" w:fill="auto"/>
            <w:noWrap/>
            <w:vAlign w:val="center"/>
            <w:hideMark/>
          </w:tcPr>
          <w:p w14:paraId="3E0D1DB8" w14:textId="77777777" w:rsidR="006040D8" w:rsidRPr="002B17BF" w:rsidRDefault="006040D8" w:rsidP="006040D8">
            <w:pPr>
              <w:ind w:left="0" w:firstLine="0"/>
              <w:jc w:val="right"/>
              <w:rPr>
                <w:rFonts w:eastAsia="Times New Roman" w:cs="Calibri"/>
                <w:noProof/>
                <w:color w:val="000000"/>
                <w:sz w:val="20"/>
                <w:szCs w:val="20"/>
                <w:lang w:val="es-ES" w:eastAsia="en-GB"/>
              </w:rPr>
            </w:pPr>
            <w:r w:rsidRPr="002B17BF">
              <w:rPr>
                <w:rFonts w:eastAsia="Times New Roman" w:cs="Calibri"/>
                <w:noProof/>
                <w:color w:val="000000"/>
                <w:sz w:val="20"/>
                <w:szCs w:val="20"/>
                <w:lang w:val="es-ES" w:eastAsia="en-GB"/>
              </w:rPr>
              <w:t>121</w:t>
            </w:r>
          </w:p>
        </w:tc>
      </w:tr>
      <w:tr w:rsidR="006040D8" w:rsidRPr="002B17BF" w14:paraId="31AE2B9F" w14:textId="77777777" w:rsidTr="00223E58">
        <w:trPr>
          <w:trHeight w:val="300"/>
        </w:trPr>
        <w:tc>
          <w:tcPr>
            <w:tcW w:w="4792" w:type="dxa"/>
            <w:tcBorders>
              <w:top w:val="nil"/>
              <w:left w:val="single" w:sz="4" w:space="0" w:color="auto"/>
              <w:bottom w:val="single" w:sz="4" w:space="0" w:color="auto"/>
              <w:right w:val="single" w:sz="4" w:space="0" w:color="auto"/>
            </w:tcBorders>
            <w:shd w:val="clear" w:color="000000" w:fill="D6E3BC"/>
            <w:noWrap/>
            <w:vAlign w:val="center"/>
            <w:hideMark/>
          </w:tcPr>
          <w:p w14:paraId="0009697A" w14:textId="2E2A55C3" w:rsidR="006040D8" w:rsidRPr="002B17BF" w:rsidRDefault="006040D8" w:rsidP="006040D8">
            <w:pPr>
              <w:ind w:left="0" w:firstLine="0"/>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TOTAL, GASTOS</w:t>
            </w:r>
          </w:p>
        </w:tc>
        <w:tc>
          <w:tcPr>
            <w:tcW w:w="1521" w:type="dxa"/>
            <w:tcBorders>
              <w:top w:val="nil"/>
              <w:left w:val="nil"/>
              <w:bottom w:val="single" w:sz="4" w:space="0" w:color="auto"/>
              <w:right w:val="single" w:sz="4" w:space="0" w:color="auto"/>
            </w:tcBorders>
            <w:shd w:val="clear" w:color="000000" w:fill="D6E3BC"/>
            <w:noWrap/>
            <w:vAlign w:val="center"/>
            <w:hideMark/>
          </w:tcPr>
          <w:p w14:paraId="04202AFE" w14:textId="79BFAB5F" w:rsidR="006040D8" w:rsidRPr="002B17BF" w:rsidRDefault="006040D8" w:rsidP="006040D8">
            <w:pPr>
              <w:ind w:left="0" w:firstLine="0"/>
              <w:jc w:val="right"/>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5</w:t>
            </w:r>
            <w:r w:rsidR="00603C7B">
              <w:rPr>
                <w:rFonts w:eastAsia="Times New Roman" w:cs="Calibri"/>
                <w:b/>
                <w:bCs/>
                <w:noProof/>
                <w:color w:val="000000"/>
                <w:sz w:val="20"/>
                <w:szCs w:val="20"/>
                <w:lang w:val="es-ES" w:eastAsia="en-GB"/>
              </w:rPr>
              <w:t xml:space="preserve"> </w:t>
            </w:r>
            <w:r w:rsidRPr="002B17BF">
              <w:rPr>
                <w:rFonts w:eastAsia="Times New Roman" w:cs="Calibri"/>
                <w:b/>
                <w:bCs/>
                <w:noProof/>
                <w:color w:val="000000"/>
                <w:sz w:val="20"/>
                <w:szCs w:val="20"/>
                <w:lang w:val="es-ES" w:eastAsia="en-GB"/>
              </w:rPr>
              <w:t>081</w:t>
            </w:r>
          </w:p>
        </w:tc>
        <w:tc>
          <w:tcPr>
            <w:tcW w:w="1521" w:type="dxa"/>
            <w:tcBorders>
              <w:top w:val="nil"/>
              <w:left w:val="nil"/>
              <w:bottom w:val="single" w:sz="4" w:space="0" w:color="auto"/>
              <w:right w:val="single" w:sz="4" w:space="0" w:color="auto"/>
            </w:tcBorders>
            <w:shd w:val="clear" w:color="000000" w:fill="D6E3BC"/>
            <w:noWrap/>
            <w:vAlign w:val="center"/>
            <w:hideMark/>
          </w:tcPr>
          <w:p w14:paraId="611DF231" w14:textId="77777777" w:rsidR="006040D8" w:rsidRPr="002B17BF" w:rsidRDefault="006040D8" w:rsidP="006040D8">
            <w:pPr>
              <w:ind w:left="0" w:firstLine="0"/>
              <w:jc w:val="right"/>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196</w:t>
            </w:r>
          </w:p>
        </w:tc>
        <w:tc>
          <w:tcPr>
            <w:tcW w:w="1521" w:type="dxa"/>
            <w:tcBorders>
              <w:top w:val="nil"/>
              <w:left w:val="single" w:sz="4" w:space="0" w:color="auto"/>
              <w:bottom w:val="single" w:sz="4" w:space="0" w:color="auto"/>
              <w:right w:val="single" w:sz="4" w:space="0" w:color="auto"/>
            </w:tcBorders>
            <w:shd w:val="clear" w:color="000000" w:fill="D6E3BC"/>
            <w:noWrap/>
            <w:vAlign w:val="center"/>
            <w:hideMark/>
          </w:tcPr>
          <w:p w14:paraId="54E137D5" w14:textId="77777777" w:rsidR="006040D8" w:rsidRPr="002B17BF" w:rsidRDefault="006040D8" w:rsidP="006040D8">
            <w:pPr>
              <w:ind w:left="0" w:firstLine="0"/>
              <w:jc w:val="right"/>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767</w:t>
            </w:r>
          </w:p>
        </w:tc>
        <w:tc>
          <w:tcPr>
            <w:tcW w:w="1521" w:type="dxa"/>
            <w:tcBorders>
              <w:top w:val="nil"/>
              <w:left w:val="nil"/>
              <w:bottom w:val="single" w:sz="4" w:space="0" w:color="auto"/>
              <w:right w:val="single" w:sz="4" w:space="0" w:color="auto"/>
            </w:tcBorders>
            <w:shd w:val="clear" w:color="000000" w:fill="D6E3BC"/>
            <w:noWrap/>
            <w:vAlign w:val="center"/>
            <w:hideMark/>
          </w:tcPr>
          <w:p w14:paraId="5F27BB92" w14:textId="77777777" w:rsidR="006040D8" w:rsidRPr="002B17BF" w:rsidRDefault="006040D8" w:rsidP="006040D8">
            <w:pPr>
              <w:ind w:left="0" w:firstLine="0"/>
              <w:jc w:val="right"/>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496</w:t>
            </w:r>
          </w:p>
        </w:tc>
        <w:tc>
          <w:tcPr>
            <w:tcW w:w="1521" w:type="dxa"/>
            <w:tcBorders>
              <w:top w:val="nil"/>
              <w:left w:val="nil"/>
              <w:bottom w:val="single" w:sz="4" w:space="0" w:color="auto"/>
              <w:right w:val="single" w:sz="4" w:space="0" w:color="auto"/>
            </w:tcBorders>
            <w:shd w:val="clear" w:color="000000" w:fill="D6E3BC"/>
            <w:noWrap/>
            <w:vAlign w:val="center"/>
            <w:hideMark/>
          </w:tcPr>
          <w:p w14:paraId="1253BE09" w14:textId="2CA5D949" w:rsidR="006040D8" w:rsidRPr="002B17BF" w:rsidRDefault="006040D8" w:rsidP="006040D8">
            <w:pPr>
              <w:ind w:left="0" w:firstLine="0"/>
              <w:jc w:val="right"/>
              <w:rPr>
                <w:rFonts w:eastAsia="Times New Roman" w:cs="Calibri"/>
                <w:b/>
                <w:bCs/>
                <w:noProof/>
                <w:color w:val="000000"/>
                <w:sz w:val="20"/>
                <w:szCs w:val="20"/>
                <w:lang w:val="es-ES" w:eastAsia="en-GB"/>
              </w:rPr>
            </w:pPr>
            <w:r w:rsidRPr="002B17BF">
              <w:rPr>
                <w:rFonts w:eastAsia="Times New Roman" w:cs="Calibri"/>
                <w:b/>
                <w:bCs/>
                <w:noProof/>
                <w:color w:val="000000"/>
                <w:sz w:val="20"/>
                <w:szCs w:val="20"/>
                <w:lang w:val="es-ES" w:eastAsia="en-GB"/>
              </w:rPr>
              <w:t>6</w:t>
            </w:r>
            <w:r w:rsidR="00603C7B">
              <w:rPr>
                <w:rFonts w:eastAsia="Times New Roman" w:cs="Calibri"/>
                <w:b/>
                <w:bCs/>
                <w:noProof/>
                <w:color w:val="000000"/>
                <w:sz w:val="20"/>
                <w:szCs w:val="20"/>
                <w:lang w:val="es-ES" w:eastAsia="en-GB"/>
              </w:rPr>
              <w:t xml:space="preserve"> </w:t>
            </w:r>
            <w:r w:rsidRPr="002B17BF">
              <w:rPr>
                <w:rFonts w:eastAsia="Times New Roman" w:cs="Calibri"/>
                <w:b/>
                <w:bCs/>
                <w:noProof/>
                <w:color w:val="000000"/>
                <w:sz w:val="20"/>
                <w:szCs w:val="20"/>
                <w:lang w:val="es-ES" w:eastAsia="en-GB"/>
              </w:rPr>
              <w:t>539</w:t>
            </w:r>
          </w:p>
        </w:tc>
      </w:tr>
    </w:tbl>
    <w:p w14:paraId="741E4622" w14:textId="491450B1" w:rsidR="0036778B" w:rsidRPr="00064323" w:rsidRDefault="00834FE6" w:rsidP="00E42F5B">
      <w:pPr>
        <w:ind w:left="0" w:firstLine="0"/>
        <w:rPr>
          <w:rFonts w:asciiTheme="minorHAnsi" w:eastAsia="Times New Roman" w:hAnsiTheme="minorHAnsi" w:cstheme="minorHAnsi"/>
          <w:b/>
          <w:bCs/>
          <w:noProof/>
          <w:lang w:val="es-ES" w:eastAsia="en-GB"/>
        </w:rPr>
      </w:pPr>
      <w:r w:rsidRPr="00064323">
        <w:rPr>
          <w:rFonts w:asciiTheme="minorHAnsi" w:eastAsia="Times New Roman" w:hAnsiTheme="minorHAnsi" w:cstheme="minorHAnsi"/>
          <w:b/>
          <w:bCs/>
          <w:noProof/>
          <w:color w:val="000000"/>
          <w:sz w:val="20"/>
          <w:szCs w:val="20"/>
          <w:lang w:val="es-ES" w:eastAsia="en-GB"/>
        </w:rPr>
        <w:t>Not</w:t>
      </w:r>
      <w:r w:rsidR="006040D8">
        <w:rPr>
          <w:rFonts w:asciiTheme="minorHAnsi" w:eastAsia="Times New Roman" w:hAnsiTheme="minorHAnsi" w:cstheme="minorHAnsi"/>
          <w:b/>
          <w:bCs/>
          <w:noProof/>
          <w:color w:val="000000"/>
          <w:sz w:val="20"/>
          <w:szCs w:val="20"/>
          <w:lang w:val="es-ES" w:eastAsia="en-GB"/>
        </w:rPr>
        <w:t>as</w:t>
      </w:r>
      <w:r w:rsidRPr="00064323">
        <w:rPr>
          <w:rFonts w:asciiTheme="minorHAnsi" w:eastAsia="Times New Roman" w:hAnsiTheme="minorHAnsi" w:cstheme="minorHAnsi"/>
          <w:b/>
          <w:bCs/>
          <w:noProof/>
          <w:color w:val="000000"/>
          <w:sz w:val="20"/>
          <w:szCs w:val="20"/>
          <w:lang w:val="es-ES" w:eastAsia="en-GB"/>
        </w:rPr>
        <w:t>:</w:t>
      </w:r>
    </w:p>
    <w:p w14:paraId="242770CF" w14:textId="4AF598BE" w:rsidR="007E27A5" w:rsidRPr="00064323" w:rsidRDefault="007E27A5" w:rsidP="00834FE6">
      <w:pPr>
        <w:ind w:left="0" w:firstLine="0"/>
        <w:rPr>
          <w:rFonts w:asciiTheme="minorHAnsi" w:eastAsia="Times New Roman" w:hAnsiTheme="minorHAnsi" w:cstheme="minorHAnsi"/>
          <w:noProof/>
          <w:color w:val="000000"/>
          <w:sz w:val="20"/>
          <w:szCs w:val="20"/>
          <w:lang w:val="es-ES" w:eastAsia="en-GB"/>
        </w:rPr>
      </w:pPr>
      <w:r w:rsidRPr="00064323">
        <w:rPr>
          <w:rFonts w:asciiTheme="minorHAnsi" w:eastAsia="Times New Roman" w:hAnsiTheme="minorHAnsi" w:cstheme="minorHAnsi"/>
          <w:noProof/>
          <w:color w:val="000000"/>
          <w:sz w:val="20"/>
          <w:szCs w:val="20"/>
          <w:lang w:val="es-ES" w:eastAsia="en-GB"/>
        </w:rPr>
        <w:t>*</w:t>
      </w:r>
      <w:r w:rsidR="002B17BF" w:rsidRPr="002B17BF">
        <w:rPr>
          <w:rFonts w:asciiTheme="minorHAnsi" w:eastAsia="Times New Roman" w:hAnsiTheme="minorHAnsi" w:cstheme="minorHAnsi"/>
          <w:noProof/>
          <w:color w:val="000000"/>
          <w:sz w:val="20"/>
          <w:szCs w:val="20"/>
          <w:lang w:val="es-ES" w:eastAsia="en-GB"/>
        </w:rPr>
        <w:t>según</w:t>
      </w:r>
      <w:r w:rsidR="002B17BF">
        <w:rPr>
          <w:rFonts w:asciiTheme="minorHAnsi" w:eastAsia="Times New Roman" w:hAnsiTheme="minorHAnsi" w:cstheme="minorHAnsi"/>
          <w:noProof/>
          <w:color w:val="000000"/>
          <w:sz w:val="20"/>
          <w:szCs w:val="20"/>
          <w:lang w:val="es-ES" w:eastAsia="en-GB"/>
        </w:rPr>
        <w:t xml:space="preserve"> </w:t>
      </w:r>
      <w:r w:rsidR="002B17BF" w:rsidRPr="002B17BF">
        <w:rPr>
          <w:rFonts w:asciiTheme="minorHAnsi" w:eastAsia="Times New Roman" w:hAnsiTheme="minorHAnsi" w:cstheme="minorHAnsi"/>
          <w:noProof/>
          <w:color w:val="000000"/>
          <w:sz w:val="20"/>
          <w:szCs w:val="20"/>
          <w:lang w:val="es-ES" w:eastAsia="en-GB"/>
        </w:rPr>
        <w:t>decisión del Comité Permanente entre</w:t>
      </w:r>
      <w:r w:rsidR="002B17BF">
        <w:rPr>
          <w:rFonts w:asciiTheme="minorHAnsi" w:eastAsia="Times New Roman" w:hAnsiTheme="minorHAnsi" w:cstheme="minorHAnsi"/>
          <w:noProof/>
          <w:color w:val="000000"/>
          <w:sz w:val="20"/>
          <w:szCs w:val="20"/>
          <w:lang w:val="es-ES" w:eastAsia="en-GB"/>
        </w:rPr>
        <w:t xml:space="preserve"> períodos de</w:t>
      </w:r>
      <w:r w:rsidR="002B17BF" w:rsidRPr="002B17BF">
        <w:rPr>
          <w:rFonts w:asciiTheme="minorHAnsi" w:eastAsia="Times New Roman" w:hAnsiTheme="minorHAnsi" w:cstheme="minorHAnsi"/>
          <w:noProof/>
          <w:color w:val="000000"/>
          <w:sz w:val="20"/>
          <w:szCs w:val="20"/>
          <w:lang w:val="es-ES" w:eastAsia="en-GB"/>
        </w:rPr>
        <w:t xml:space="preserve"> sesiones </w:t>
      </w:r>
      <w:r w:rsidR="002B17BF">
        <w:rPr>
          <w:rFonts w:asciiTheme="minorHAnsi" w:eastAsia="Times New Roman" w:hAnsiTheme="minorHAnsi" w:cstheme="minorHAnsi"/>
          <w:noProof/>
          <w:color w:val="000000"/>
          <w:sz w:val="20"/>
          <w:szCs w:val="20"/>
          <w:lang w:val="es-ES" w:eastAsia="en-GB"/>
        </w:rPr>
        <w:t>a</w:t>
      </w:r>
      <w:r w:rsidR="002B17BF" w:rsidRPr="002B17BF">
        <w:rPr>
          <w:rFonts w:asciiTheme="minorHAnsi" w:eastAsia="Times New Roman" w:hAnsiTheme="minorHAnsi" w:cstheme="minorHAnsi"/>
          <w:noProof/>
          <w:color w:val="000000"/>
          <w:sz w:val="20"/>
          <w:szCs w:val="20"/>
          <w:lang w:val="es-ES" w:eastAsia="en-GB"/>
        </w:rPr>
        <w:t xml:space="preserve"> principios de abril de 2022</w:t>
      </w:r>
      <w:r w:rsidR="002B17BF">
        <w:rPr>
          <w:rFonts w:asciiTheme="minorHAnsi" w:eastAsia="Times New Roman" w:hAnsiTheme="minorHAnsi" w:cstheme="minorHAnsi"/>
          <w:noProof/>
          <w:color w:val="000000"/>
          <w:sz w:val="20"/>
          <w:szCs w:val="20"/>
          <w:lang w:val="es-ES" w:eastAsia="en-GB"/>
        </w:rPr>
        <w:t xml:space="preserve"> </w:t>
      </w:r>
    </w:p>
    <w:p w14:paraId="04390FE6" w14:textId="6C68E829" w:rsidR="002B17BF" w:rsidRDefault="007E27A5" w:rsidP="007E27A5">
      <w:pPr>
        <w:ind w:left="0" w:firstLine="0"/>
        <w:rPr>
          <w:noProof/>
          <w:sz w:val="20"/>
          <w:szCs w:val="20"/>
          <w:lang w:val="es-ES"/>
        </w:rPr>
      </w:pPr>
      <w:r w:rsidRPr="00064323">
        <w:rPr>
          <w:noProof/>
          <w:sz w:val="20"/>
          <w:szCs w:val="20"/>
          <w:lang w:val="es-ES"/>
        </w:rPr>
        <w:t>**</w:t>
      </w:r>
      <w:r w:rsidR="002B17BF" w:rsidRPr="002B17BF">
        <w:rPr>
          <w:noProof/>
          <w:sz w:val="20"/>
          <w:szCs w:val="20"/>
          <w:lang w:val="es-ES"/>
        </w:rPr>
        <w:t xml:space="preserve">para su </w:t>
      </w:r>
      <w:r w:rsidR="002B17BF">
        <w:rPr>
          <w:noProof/>
          <w:sz w:val="20"/>
          <w:szCs w:val="20"/>
          <w:lang w:val="es-ES"/>
        </w:rPr>
        <w:t>examen</w:t>
      </w:r>
      <w:r w:rsidR="002B17BF" w:rsidRPr="002B17BF">
        <w:rPr>
          <w:noProof/>
          <w:sz w:val="20"/>
          <w:szCs w:val="20"/>
          <w:lang w:val="es-ES"/>
        </w:rPr>
        <w:t xml:space="preserve"> por la</w:t>
      </w:r>
      <w:r w:rsidR="002B17BF">
        <w:rPr>
          <w:noProof/>
          <w:sz w:val="20"/>
          <w:szCs w:val="20"/>
          <w:lang w:val="es-ES"/>
        </w:rPr>
        <w:t xml:space="preserve"> reunión</w:t>
      </w:r>
      <w:r w:rsidR="002B17BF" w:rsidRPr="002B17BF">
        <w:rPr>
          <w:noProof/>
          <w:sz w:val="20"/>
          <w:szCs w:val="20"/>
          <w:lang w:val="es-ES"/>
        </w:rPr>
        <w:t xml:space="preserve"> SC62 (mayo-junio de 2023) para nueva</w:t>
      </w:r>
      <w:r w:rsidR="002B17BF">
        <w:rPr>
          <w:noProof/>
          <w:sz w:val="20"/>
          <w:szCs w:val="20"/>
          <w:lang w:val="es-ES"/>
        </w:rPr>
        <w:t>s</w:t>
      </w:r>
      <w:r w:rsidR="002B17BF" w:rsidRPr="002B17BF">
        <w:rPr>
          <w:noProof/>
          <w:sz w:val="20"/>
          <w:szCs w:val="20"/>
          <w:lang w:val="es-ES"/>
        </w:rPr>
        <w:t xml:space="preserve"> </w:t>
      </w:r>
      <w:r w:rsidR="002B17BF">
        <w:rPr>
          <w:noProof/>
          <w:sz w:val="20"/>
          <w:szCs w:val="20"/>
          <w:lang w:val="es-ES"/>
        </w:rPr>
        <w:t>i</w:t>
      </w:r>
      <w:r w:rsidR="002B17BF" w:rsidRPr="002B17BF">
        <w:rPr>
          <w:noProof/>
          <w:sz w:val="20"/>
          <w:szCs w:val="20"/>
          <w:lang w:val="es-ES"/>
        </w:rPr>
        <w:t>niciativa</w:t>
      </w:r>
      <w:r w:rsidR="002B17BF">
        <w:rPr>
          <w:noProof/>
          <w:sz w:val="20"/>
          <w:szCs w:val="20"/>
          <w:lang w:val="es-ES"/>
        </w:rPr>
        <w:t>s</w:t>
      </w:r>
      <w:r w:rsidR="002B17BF" w:rsidRPr="002B17BF">
        <w:rPr>
          <w:noProof/>
          <w:sz w:val="20"/>
          <w:szCs w:val="20"/>
          <w:lang w:val="es-ES"/>
        </w:rPr>
        <w:t xml:space="preserve"> </w:t>
      </w:r>
      <w:r w:rsidR="002B17BF">
        <w:rPr>
          <w:noProof/>
          <w:sz w:val="20"/>
          <w:szCs w:val="20"/>
          <w:lang w:val="es-ES"/>
        </w:rPr>
        <w:t>r</w:t>
      </w:r>
      <w:r w:rsidR="002B17BF" w:rsidRPr="002B17BF">
        <w:rPr>
          <w:noProof/>
          <w:sz w:val="20"/>
          <w:szCs w:val="20"/>
          <w:lang w:val="es-ES"/>
        </w:rPr>
        <w:t>egional</w:t>
      </w:r>
      <w:r w:rsidR="002B17BF">
        <w:rPr>
          <w:noProof/>
          <w:sz w:val="20"/>
          <w:szCs w:val="20"/>
          <w:lang w:val="es-ES"/>
        </w:rPr>
        <w:t>es</w:t>
      </w:r>
      <w:r w:rsidR="002B17BF" w:rsidRPr="002B17BF">
        <w:rPr>
          <w:noProof/>
          <w:sz w:val="20"/>
          <w:szCs w:val="20"/>
          <w:lang w:val="es-ES"/>
        </w:rPr>
        <w:t xml:space="preserve"> aprobada</w:t>
      </w:r>
      <w:r w:rsidR="002B17BF">
        <w:rPr>
          <w:noProof/>
          <w:sz w:val="20"/>
          <w:szCs w:val="20"/>
          <w:lang w:val="es-ES"/>
        </w:rPr>
        <w:t>s</w:t>
      </w:r>
      <w:r w:rsidR="002B17BF" w:rsidRPr="002B17BF">
        <w:rPr>
          <w:noProof/>
          <w:sz w:val="20"/>
          <w:szCs w:val="20"/>
          <w:lang w:val="es-ES"/>
        </w:rPr>
        <w:t xml:space="preserve"> por la COP14</w:t>
      </w:r>
      <w:r w:rsidR="002B17BF">
        <w:rPr>
          <w:noProof/>
          <w:sz w:val="20"/>
          <w:szCs w:val="20"/>
          <w:lang w:val="es-ES"/>
        </w:rPr>
        <w:t xml:space="preserve"> </w:t>
      </w:r>
    </w:p>
    <w:p w14:paraId="315E2A21" w14:textId="5F45CF67" w:rsidR="002B17BF" w:rsidRPr="00064323" w:rsidRDefault="007E27A5">
      <w:pPr>
        <w:ind w:left="0" w:firstLine="0"/>
        <w:rPr>
          <w:noProof/>
          <w:sz w:val="20"/>
          <w:szCs w:val="20"/>
          <w:lang w:val="es-ES"/>
        </w:rPr>
      </w:pPr>
      <w:r w:rsidRPr="00064323">
        <w:rPr>
          <w:noProof/>
          <w:sz w:val="20"/>
          <w:szCs w:val="20"/>
          <w:lang w:val="es-ES"/>
        </w:rPr>
        <w:t xml:space="preserve">*** </w:t>
      </w:r>
      <w:r w:rsidR="002B17BF" w:rsidRPr="002B17BF">
        <w:rPr>
          <w:noProof/>
          <w:sz w:val="20"/>
          <w:szCs w:val="20"/>
          <w:lang w:val="es-ES"/>
        </w:rPr>
        <w:t xml:space="preserve">con cargo al </w:t>
      </w:r>
      <w:r w:rsidR="002B17BF">
        <w:rPr>
          <w:noProof/>
          <w:sz w:val="20"/>
          <w:szCs w:val="20"/>
          <w:lang w:val="es-ES"/>
        </w:rPr>
        <w:t>p</w:t>
      </w:r>
      <w:r w:rsidR="002B17BF" w:rsidRPr="002B17BF">
        <w:rPr>
          <w:noProof/>
          <w:sz w:val="20"/>
          <w:szCs w:val="20"/>
          <w:lang w:val="es-ES"/>
        </w:rPr>
        <w:t>resupuesto aprobado por la reunión SC58 y ahorros no comprometidos traspasados al año siguiente</w:t>
      </w:r>
    </w:p>
    <w:sectPr w:rsidR="002B17BF" w:rsidRPr="00064323" w:rsidSect="00800F14">
      <w:footerReference w:type="default" r:id="rId14"/>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59D65" w14:textId="77777777" w:rsidR="00FF2210" w:rsidRDefault="00FF2210" w:rsidP="00DF2386">
      <w:r>
        <w:separator/>
      </w:r>
    </w:p>
  </w:endnote>
  <w:endnote w:type="continuationSeparator" w:id="0">
    <w:p w14:paraId="29FD2D77" w14:textId="77777777" w:rsidR="00FF2210" w:rsidRDefault="00FF2210"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0EEEC" w14:textId="04DD3F8F" w:rsidR="00FF2210" w:rsidRDefault="00FF2210" w:rsidP="002137E0">
    <w:pPr>
      <w:pStyle w:val="Header"/>
      <w:rPr>
        <w:noProof/>
      </w:rPr>
    </w:pPr>
    <w:r>
      <w:rPr>
        <w:sz w:val="20"/>
        <w:szCs w:val="20"/>
      </w:rPr>
      <w:t>SC59/2022 Doc.8.1</w:t>
    </w:r>
    <w:r>
      <w:tab/>
    </w:r>
    <w:r>
      <w:tab/>
    </w:r>
    <w:sdt>
      <w:sdtPr>
        <w:id w:val="-179096953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3F2A55">
          <w:rPr>
            <w:noProof/>
            <w:sz w:val="20"/>
            <w:szCs w:val="20"/>
          </w:rPr>
          <w:t>2</w:t>
        </w:r>
        <w:r w:rsidRPr="00F344DE">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41BB8" w14:textId="1724A7DC" w:rsidR="00FF2210" w:rsidRDefault="00FF2210" w:rsidP="00C26079">
    <w:pPr>
      <w:pStyle w:val="Header"/>
      <w:tabs>
        <w:tab w:val="clear" w:pos="9026"/>
        <w:tab w:val="right" w:pos="13892"/>
      </w:tabs>
      <w:rPr>
        <w:noProof/>
      </w:rPr>
    </w:pPr>
    <w:r>
      <w:rPr>
        <w:sz w:val="20"/>
        <w:szCs w:val="20"/>
      </w:rPr>
      <w:t>SC59</w:t>
    </w:r>
    <w:r w:rsidR="00223E58">
      <w:rPr>
        <w:sz w:val="20"/>
        <w:szCs w:val="20"/>
      </w:rPr>
      <w:t>/2022</w:t>
    </w:r>
    <w:r>
      <w:rPr>
        <w:sz w:val="20"/>
        <w:szCs w:val="20"/>
      </w:rPr>
      <w:t xml:space="preserve"> Doc.8.1</w:t>
    </w:r>
    <w:r>
      <w:tab/>
    </w:r>
    <w:r>
      <w:tab/>
    </w:r>
    <w:sdt>
      <w:sdtPr>
        <w:id w:val="1347904159"/>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3F2A55">
          <w:rPr>
            <w:noProof/>
            <w:sz w:val="20"/>
            <w:szCs w:val="20"/>
          </w:rPr>
          <w:t>19</w:t>
        </w:r>
        <w:r w:rsidRPr="00F344DE">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9962F" w14:textId="7D73A91E" w:rsidR="00FF2210" w:rsidRDefault="00FF2210" w:rsidP="002137E0">
    <w:pPr>
      <w:pStyle w:val="Header"/>
      <w:rPr>
        <w:noProof/>
      </w:rPr>
    </w:pPr>
    <w:r>
      <w:rPr>
        <w:sz w:val="20"/>
        <w:szCs w:val="20"/>
      </w:rPr>
      <w:t>SC59</w:t>
    </w:r>
    <w:r w:rsidR="00223E58">
      <w:rPr>
        <w:sz w:val="20"/>
        <w:szCs w:val="20"/>
      </w:rPr>
      <w:t>/2022</w:t>
    </w:r>
    <w:r>
      <w:rPr>
        <w:sz w:val="20"/>
        <w:szCs w:val="20"/>
      </w:rPr>
      <w:t xml:space="preserve"> Doc.8.1</w:t>
    </w:r>
    <w:r>
      <w:tab/>
    </w:r>
    <w:r>
      <w:tab/>
    </w:r>
    <w:sdt>
      <w:sdtPr>
        <w:id w:val="-1878082740"/>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3F2A55">
          <w:rPr>
            <w:noProof/>
            <w:sz w:val="20"/>
            <w:szCs w:val="20"/>
          </w:rPr>
          <w:t>21</w:t>
        </w:r>
        <w:r w:rsidRPr="00F344DE">
          <w:rPr>
            <w:noProof/>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631F7" w14:textId="21CA1492" w:rsidR="00FF2210" w:rsidRDefault="00FF2210" w:rsidP="00834FE6">
    <w:pPr>
      <w:pStyle w:val="Header"/>
      <w:tabs>
        <w:tab w:val="clear" w:pos="9026"/>
        <w:tab w:val="right" w:pos="13892"/>
      </w:tabs>
      <w:rPr>
        <w:noProof/>
      </w:rPr>
    </w:pPr>
    <w:r>
      <w:rPr>
        <w:sz w:val="20"/>
        <w:szCs w:val="20"/>
      </w:rPr>
      <w:t>SC59</w:t>
    </w:r>
    <w:r w:rsidR="00223E58">
      <w:rPr>
        <w:sz w:val="20"/>
        <w:szCs w:val="20"/>
      </w:rPr>
      <w:t>/2022</w:t>
    </w:r>
    <w:r>
      <w:rPr>
        <w:sz w:val="20"/>
        <w:szCs w:val="20"/>
      </w:rPr>
      <w:t xml:space="preserve"> Doc.8.1</w:t>
    </w:r>
    <w:r>
      <w:tab/>
    </w:r>
    <w:r>
      <w:tab/>
    </w:r>
    <w:sdt>
      <w:sdtPr>
        <w:id w:val="-1378549985"/>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3F2A55">
          <w:rPr>
            <w:noProof/>
            <w:sz w:val="20"/>
            <w:szCs w:val="20"/>
          </w:rPr>
          <w:t>24</w:t>
        </w:r>
        <w:r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8022A" w14:textId="77777777" w:rsidR="00FF2210" w:rsidRDefault="00FF2210" w:rsidP="00DF2386">
      <w:r>
        <w:separator/>
      </w:r>
    </w:p>
  </w:footnote>
  <w:footnote w:type="continuationSeparator" w:id="0">
    <w:p w14:paraId="65533DA7" w14:textId="77777777" w:rsidR="00FF2210" w:rsidRDefault="00FF2210" w:rsidP="00DF2386">
      <w:r>
        <w:continuationSeparator/>
      </w:r>
    </w:p>
  </w:footnote>
  <w:footnote w:id="1">
    <w:p w14:paraId="768531E8" w14:textId="5C496A3D" w:rsidR="00FF2210" w:rsidRPr="00D22FEC" w:rsidRDefault="00FF2210" w:rsidP="007F1FA4">
      <w:pPr>
        <w:pStyle w:val="FootnoteText"/>
        <w:spacing w:line="240" w:lineRule="atLeast"/>
        <w:rPr>
          <w:rFonts w:asciiTheme="minorHAnsi" w:hAnsiTheme="minorHAnsi" w:cstheme="minorHAnsi"/>
          <w:noProof/>
          <w:lang w:val="es-ES"/>
        </w:rPr>
      </w:pPr>
      <w:r w:rsidRPr="00D22FEC">
        <w:rPr>
          <w:rStyle w:val="FootnoteReference"/>
          <w:rFonts w:asciiTheme="minorHAnsi" w:hAnsiTheme="minorHAnsi" w:cstheme="minorHAnsi"/>
          <w:noProof/>
          <w:lang w:val="es-ES"/>
        </w:rPr>
        <w:footnoteRef/>
      </w:r>
      <w:r w:rsidRPr="00D22FEC">
        <w:rPr>
          <w:rFonts w:asciiTheme="minorHAnsi" w:hAnsiTheme="minorHAnsi" w:cstheme="minorHAnsi"/>
          <w:noProof/>
          <w:lang w:val="es-ES"/>
        </w:rPr>
        <w:t xml:space="preserve"> Véase: </w:t>
      </w:r>
      <w:hyperlink r:id="rId1" w:history="1">
        <w:r w:rsidRPr="00825AF7">
          <w:rPr>
            <w:rStyle w:val="Hyperlink"/>
            <w:lang w:val="fr-FR"/>
          </w:rPr>
          <w:t>https://www.ramsar.org/sites/default/files/documents/library/report_auditor_ramsar_2021_e.pdf</w:t>
        </w:r>
      </w:hyperlink>
      <w:r w:rsidRPr="00D22FEC">
        <w:rPr>
          <w:rFonts w:asciiTheme="minorHAnsi" w:hAnsiTheme="minorHAnsi" w:cstheme="minorHAnsi"/>
          <w:noProof/>
          <w:lang w:val="es-ES"/>
        </w:rPr>
        <w:t>.</w:t>
      </w:r>
    </w:p>
  </w:footnote>
  <w:footnote w:id="2">
    <w:p w14:paraId="4AD307C4" w14:textId="2C41CB26" w:rsidR="00FF2210" w:rsidRPr="00D22FEC" w:rsidRDefault="00FF2210" w:rsidP="00505FF9">
      <w:pPr>
        <w:pStyle w:val="FootnoteText"/>
        <w:ind w:left="0" w:firstLine="0"/>
        <w:rPr>
          <w:noProof/>
          <w:lang w:val="es-ES"/>
        </w:rPr>
      </w:pPr>
      <w:r w:rsidRPr="00D22FEC">
        <w:rPr>
          <w:rStyle w:val="FootnoteReference"/>
          <w:noProof/>
          <w:lang w:val="es-ES"/>
        </w:rPr>
        <w:footnoteRef/>
      </w:r>
      <w:r w:rsidRPr="00D22FEC">
        <w:rPr>
          <w:noProof/>
          <w:lang w:val="es-ES"/>
        </w:rPr>
        <w:t xml:space="preserve">  </w:t>
      </w:r>
      <w:r w:rsidRPr="00D22FEC">
        <w:rPr>
          <w:rFonts w:asciiTheme="minorHAnsi" w:hAnsiTheme="minorHAnsi" w:cstheme="minorHAnsi"/>
          <w:noProof/>
          <w:lang w:val="es-ES"/>
        </w:rPr>
        <w:t xml:space="preserve">Decisión SC57-50: “De acuerdo con las responsabilidades definidas en la Resolución 5.2, </w:t>
      </w:r>
      <w:r w:rsidRPr="00D22FEC">
        <w:rPr>
          <w:rFonts w:asciiTheme="minorHAnsi" w:hAnsiTheme="minorHAnsi" w:cstheme="minorHAnsi"/>
          <w:i/>
          <w:iCs/>
          <w:noProof/>
          <w:lang w:val="es-ES"/>
        </w:rPr>
        <w:t>Asuntos financieros y presupuestarios</w:t>
      </w:r>
      <w:r w:rsidRPr="00D22FEC">
        <w:rPr>
          <w:rFonts w:asciiTheme="minorHAnsi" w:hAnsiTheme="minorHAnsi" w:cstheme="minorHAnsi"/>
          <w:noProof/>
          <w:lang w:val="es-ES"/>
        </w:rPr>
        <w:t>, Anexo 3, párrafo 8, el Comité Permanente acordó que los saldos no comprometidos o no gastados de las partidas presupuestarias se podrían transferir al año siguiente dentro del trienio y presentar a la siguiente reunión del Subgrupo de Finanzas</w:t>
      </w:r>
      <w:r w:rsidRPr="00D22FEC">
        <w:rPr>
          <w:noProof/>
          <w:lang w:val="es-ES"/>
        </w:rPr>
        <w:t>”.</w:t>
      </w:r>
    </w:p>
  </w:footnote>
  <w:footnote w:id="3">
    <w:p w14:paraId="65954320" w14:textId="5A3A665C" w:rsidR="00FF2210" w:rsidRPr="00D22FEC" w:rsidRDefault="00FF2210" w:rsidP="0071431A">
      <w:pPr>
        <w:pStyle w:val="FootnoteText"/>
        <w:jc w:val="both"/>
        <w:rPr>
          <w:noProof/>
          <w:lang w:val="es-ES"/>
        </w:rPr>
      </w:pPr>
      <w:r w:rsidRPr="00D22FEC">
        <w:rPr>
          <w:rStyle w:val="FootnoteReference"/>
          <w:noProof/>
          <w:lang w:val="es-ES"/>
        </w:rPr>
        <w:footnoteRef/>
      </w:r>
      <w:r w:rsidRPr="00D22FEC">
        <w:rPr>
          <w:noProof/>
          <w:lang w:val="es-ES"/>
        </w:rPr>
        <w:t xml:space="preserve"> Este total se ha reducido en 89 000 francos suizos hasta un total de 406 000 francos suizos (como se explica</w:t>
      </w:r>
      <w:r>
        <w:rPr>
          <w:noProof/>
          <w:lang w:val="es-ES"/>
        </w:rPr>
        <w:t xml:space="preserve"> </w:t>
      </w:r>
      <w:r w:rsidRPr="00D22FEC">
        <w:rPr>
          <w:noProof/>
          <w:lang w:val="es-ES"/>
        </w:rPr>
        <w:t>en el párrafo 22).</w:t>
      </w:r>
    </w:p>
  </w:footnote>
  <w:footnote w:id="4">
    <w:p w14:paraId="7598C69D" w14:textId="668BE950" w:rsidR="00FF2210" w:rsidRPr="00D22FEC" w:rsidRDefault="00FF2210" w:rsidP="00237F04">
      <w:pPr>
        <w:pStyle w:val="FootnoteText"/>
        <w:ind w:left="0" w:firstLine="0"/>
        <w:rPr>
          <w:noProof/>
          <w:lang w:val="es-ES"/>
        </w:rPr>
      </w:pPr>
      <w:r w:rsidRPr="00D22FEC">
        <w:rPr>
          <w:rStyle w:val="FootnoteReference"/>
          <w:noProof/>
          <w:lang w:val="es-ES"/>
        </w:rPr>
        <w:footnoteRef/>
      </w:r>
      <w:r w:rsidRPr="00D22FEC">
        <w:rPr>
          <w:noProof/>
          <w:lang w:val="es-ES"/>
        </w:rPr>
        <w:t xml:space="preserve"> Véase el párrafo 23 de la Resolución X.2 sobre </w:t>
      </w:r>
      <w:r w:rsidRPr="00D22FEC">
        <w:rPr>
          <w:i/>
          <w:iCs/>
          <w:noProof/>
          <w:lang w:val="es-ES"/>
        </w:rPr>
        <w:t>Asuntos financieros y presupuestarios</w:t>
      </w:r>
      <w:r w:rsidRPr="00D22FEC">
        <w:rPr>
          <w:noProof/>
          <w:lang w:val="es-ES"/>
        </w:rPr>
        <w:t xml:space="preserve">, </w:t>
      </w:r>
      <w:hyperlink r:id="rId2" w:history="1">
        <w:r w:rsidRPr="00D22FEC">
          <w:rPr>
            <w:rStyle w:val="Hyperlink"/>
            <w:noProof/>
            <w:lang w:val="es-ES"/>
          </w:rPr>
          <w:t>https://www.ramsar.org/es/documento/resolucion-x2-asuntos-financieros-y-presupuestarios</w:t>
        </w:r>
      </w:hyperlink>
      <w:r w:rsidRPr="00D22FEC">
        <w:rPr>
          <w:noProof/>
          <w:lang w:val="es-ES"/>
        </w:rPr>
        <w:t>.</w:t>
      </w:r>
    </w:p>
  </w:footnote>
  <w:footnote w:id="5">
    <w:p w14:paraId="2CD72C0E" w14:textId="61C6040C" w:rsidR="00FF2210" w:rsidRPr="0071431A" w:rsidRDefault="00FF2210" w:rsidP="004A54EE">
      <w:pPr>
        <w:pStyle w:val="FootnoteText"/>
        <w:ind w:left="0" w:firstLine="0"/>
        <w:rPr>
          <w:lang w:val="es-ES"/>
        </w:rPr>
      </w:pPr>
      <w:r>
        <w:rPr>
          <w:rStyle w:val="FootnoteReference"/>
        </w:rPr>
        <w:footnoteRef/>
      </w:r>
      <w:r w:rsidRPr="00800F14">
        <w:rPr>
          <w:lang w:val="fr-FR"/>
        </w:rPr>
        <w:t xml:space="preserve"> </w:t>
      </w:r>
      <w:r w:rsidRPr="004A54EE">
        <w:rPr>
          <w:rStyle w:val="Hyperlink"/>
          <w:noProof/>
          <w:color w:val="000000" w:themeColor="text1"/>
          <w:u w:val="none"/>
          <w:lang w:val="es-ES"/>
        </w:rPr>
        <w:t>Véase</w:t>
      </w:r>
      <w:r>
        <w:rPr>
          <w:rStyle w:val="Hyperlink"/>
          <w:noProof/>
          <w:color w:val="000000" w:themeColor="text1"/>
          <w:u w:val="none"/>
          <w:lang w:val="es-ES"/>
        </w:rPr>
        <w:t>:</w:t>
      </w:r>
      <w:r w:rsidRPr="00800F14">
        <w:rPr>
          <w:color w:val="000000" w:themeColor="text1"/>
          <w:lang w:val="fr-FR"/>
        </w:rPr>
        <w:t xml:space="preserve"> </w:t>
      </w:r>
      <w:r w:rsidRPr="004A54EE">
        <w:rPr>
          <w:rStyle w:val="Hyperlink"/>
          <w:noProof/>
          <w:lang w:val="es-ES"/>
        </w:rPr>
        <w:t>https://www.ramsar.org/document/</w:t>
      </w:r>
      <w:hyperlink r:id="rId3" w:history="1">
        <w:r w:rsidRPr="004A54EE">
          <w:rPr>
            <w:rStyle w:val="Hyperlink"/>
            <w:noProof/>
            <w:lang w:val="es-ES"/>
          </w:rPr>
          <w:t>sc55-8.2_iucn_non-core_review_s</w:t>
        </w:r>
      </w:hyperlink>
    </w:p>
  </w:footnote>
  <w:footnote w:id="6">
    <w:p w14:paraId="671AFB5F" w14:textId="47B2841B" w:rsidR="00FF2210" w:rsidRPr="00D22FEC" w:rsidRDefault="00FF2210" w:rsidP="006A24F1">
      <w:pPr>
        <w:pStyle w:val="FootnoteText"/>
        <w:ind w:left="0" w:firstLine="0"/>
        <w:rPr>
          <w:noProof/>
          <w:lang w:val="es-ES"/>
        </w:rPr>
      </w:pPr>
      <w:r w:rsidRPr="00D22FEC">
        <w:rPr>
          <w:rStyle w:val="FootnoteReference"/>
          <w:noProof/>
          <w:lang w:val="es-ES"/>
        </w:rPr>
        <w:footnoteRef/>
      </w:r>
      <w:r w:rsidRPr="00D22FEC">
        <w:rPr>
          <w:noProof/>
          <w:lang w:val="es-ES"/>
        </w:rPr>
        <w:t xml:space="preserve"> </w:t>
      </w:r>
      <w:r>
        <w:rPr>
          <w:noProof/>
          <w:lang w:val="es-ES"/>
        </w:rPr>
        <w:t xml:space="preserve">Véase las notas a los estados financieros auditados en: </w:t>
      </w:r>
      <w:hyperlink r:id="rId4" w:history="1">
        <w:r w:rsidRPr="00B04CF6">
          <w:rPr>
            <w:rStyle w:val="Hyperlink"/>
            <w:noProof/>
            <w:lang w:val="es-ES"/>
          </w:rPr>
          <w:t>https://www.ramsar.org/sites/default/files/documents/library/report_auditor_ramsar_2021_e.pdf</w:t>
        </w:r>
      </w:hyperlink>
      <w:r w:rsidR="00313E2B">
        <w:rPr>
          <w:noProof/>
          <w:lang w:val="es-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34BC"/>
    <w:multiLevelType w:val="hybridMultilevel"/>
    <w:tmpl w:val="85DA9F66"/>
    <w:lvl w:ilvl="0" w:tplc="CC5EB11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 w15:restartNumberingAfterBreak="0">
    <w:nsid w:val="0F9909C9"/>
    <w:multiLevelType w:val="hybridMultilevel"/>
    <w:tmpl w:val="9C7CB2F0"/>
    <w:lvl w:ilvl="0" w:tplc="B1C8B4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3D74D7"/>
    <w:multiLevelType w:val="hybridMultilevel"/>
    <w:tmpl w:val="7B3C4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B146E8"/>
    <w:multiLevelType w:val="hybridMultilevel"/>
    <w:tmpl w:val="2D22B76C"/>
    <w:lvl w:ilvl="0" w:tplc="3F2CF7B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C236686"/>
    <w:multiLevelType w:val="hybridMultilevel"/>
    <w:tmpl w:val="57FA63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F24303B"/>
    <w:multiLevelType w:val="hybridMultilevel"/>
    <w:tmpl w:val="6E506C7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4B02A4"/>
    <w:multiLevelType w:val="hybridMultilevel"/>
    <w:tmpl w:val="599E8812"/>
    <w:lvl w:ilvl="0" w:tplc="7D48ADBA">
      <w:start w:val="767"/>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54143DD"/>
    <w:multiLevelType w:val="hybridMultilevel"/>
    <w:tmpl w:val="DD7EAA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225714"/>
    <w:multiLevelType w:val="hybridMultilevel"/>
    <w:tmpl w:val="413AAD70"/>
    <w:lvl w:ilvl="0" w:tplc="1718538E">
      <w:start w:val="1"/>
      <w:numFmt w:val="decimal"/>
      <w:lvlText w:val="%1)"/>
      <w:lvlJc w:val="left"/>
      <w:pPr>
        <w:ind w:left="360" w:hanging="360"/>
      </w:pPr>
      <w:rPr>
        <w:rFonts w:ascii="Calibri" w:eastAsia="Calibri" w:hAnsi="Calibri"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6543E6"/>
    <w:multiLevelType w:val="hybridMultilevel"/>
    <w:tmpl w:val="0F34B6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C05253"/>
    <w:multiLevelType w:val="hybridMultilevel"/>
    <w:tmpl w:val="D69CB3FA"/>
    <w:lvl w:ilvl="0" w:tplc="4D74E1F4">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6916AC"/>
    <w:multiLevelType w:val="hybridMultilevel"/>
    <w:tmpl w:val="EBACB382"/>
    <w:lvl w:ilvl="0" w:tplc="020A7542">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0E2E81"/>
    <w:multiLevelType w:val="hybridMultilevel"/>
    <w:tmpl w:val="85D0E034"/>
    <w:lvl w:ilvl="0" w:tplc="50F8BF40">
      <w:start w:val="18"/>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54D93EE8"/>
    <w:multiLevelType w:val="hybridMultilevel"/>
    <w:tmpl w:val="19624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9F2388"/>
    <w:multiLevelType w:val="hybridMultilevel"/>
    <w:tmpl w:val="FA52CD78"/>
    <w:lvl w:ilvl="0" w:tplc="98D80A5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6" w15:restartNumberingAfterBreak="0">
    <w:nsid w:val="5C8F23D4"/>
    <w:multiLevelType w:val="hybridMultilevel"/>
    <w:tmpl w:val="481CAB88"/>
    <w:lvl w:ilvl="0" w:tplc="6694B6B8">
      <w:start w:val="1"/>
      <w:numFmt w:val="decimal"/>
      <w:lvlText w:val="%1."/>
      <w:lvlJc w:val="left"/>
      <w:pPr>
        <w:ind w:left="562" w:hanging="4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5E732D44"/>
    <w:multiLevelType w:val="hybridMultilevel"/>
    <w:tmpl w:val="6A189B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699547FB"/>
    <w:multiLevelType w:val="hybridMultilevel"/>
    <w:tmpl w:val="4344E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476122"/>
    <w:multiLevelType w:val="hybridMultilevel"/>
    <w:tmpl w:val="B5E6BA36"/>
    <w:lvl w:ilvl="0" w:tplc="BAE8F9B8">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70C9127B"/>
    <w:multiLevelType w:val="hybridMultilevel"/>
    <w:tmpl w:val="85E2CF20"/>
    <w:lvl w:ilvl="0" w:tplc="CBF4F9FA">
      <w:start w:val="767"/>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0"/>
  </w:num>
  <w:num w:numId="5">
    <w:abstractNumId w:val="15"/>
  </w:num>
  <w:num w:numId="6">
    <w:abstractNumId w:val="4"/>
  </w:num>
  <w:num w:numId="7">
    <w:abstractNumId w:val="3"/>
  </w:num>
  <w:num w:numId="8">
    <w:abstractNumId w:val="9"/>
  </w:num>
  <w:num w:numId="9">
    <w:abstractNumId w:val="8"/>
  </w:num>
  <w:num w:numId="10">
    <w:abstractNumId w:val="18"/>
  </w:num>
  <w:num w:numId="11">
    <w:abstractNumId w:val="11"/>
  </w:num>
  <w:num w:numId="12">
    <w:abstractNumId w:val="6"/>
  </w:num>
  <w:num w:numId="13">
    <w:abstractNumId w:val="14"/>
  </w:num>
  <w:num w:numId="14">
    <w:abstractNumId w:val="2"/>
  </w:num>
  <w:num w:numId="15">
    <w:abstractNumId w:val="12"/>
  </w:num>
  <w:num w:numId="16">
    <w:abstractNumId w:val="20"/>
  </w:num>
  <w:num w:numId="17">
    <w:abstractNumId w:val="7"/>
  </w:num>
  <w:num w:numId="18">
    <w:abstractNumId w:val="16"/>
  </w:num>
  <w:num w:numId="19">
    <w:abstractNumId w:val="19"/>
  </w:num>
  <w:num w:numId="20">
    <w:abstractNumId w:val="0"/>
  </w:num>
  <w:num w:numId="21">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12BB"/>
    <w:rsid w:val="000016C0"/>
    <w:rsid w:val="0000371F"/>
    <w:rsid w:val="00003FF3"/>
    <w:rsid w:val="00004171"/>
    <w:rsid w:val="00005D80"/>
    <w:rsid w:val="00005E5F"/>
    <w:rsid w:val="00006A52"/>
    <w:rsid w:val="00006CF6"/>
    <w:rsid w:val="00007309"/>
    <w:rsid w:val="00007908"/>
    <w:rsid w:val="00012428"/>
    <w:rsid w:val="0001295D"/>
    <w:rsid w:val="00013B5D"/>
    <w:rsid w:val="00014168"/>
    <w:rsid w:val="00014DD6"/>
    <w:rsid w:val="00016CD1"/>
    <w:rsid w:val="00017583"/>
    <w:rsid w:val="00017A16"/>
    <w:rsid w:val="00020298"/>
    <w:rsid w:val="00020C2D"/>
    <w:rsid w:val="00020C56"/>
    <w:rsid w:val="00021F0E"/>
    <w:rsid w:val="00021F71"/>
    <w:rsid w:val="00024104"/>
    <w:rsid w:val="0002452B"/>
    <w:rsid w:val="00024537"/>
    <w:rsid w:val="00024832"/>
    <w:rsid w:val="00024E01"/>
    <w:rsid w:val="00025210"/>
    <w:rsid w:val="00025536"/>
    <w:rsid w:val="00026E09"/>
    <w:rsid w:val="0002761D"/>
    <w:rsid w:val="00027678"/>
    <w:rsid w:val="00027805"/>
    <w:rsid w:val="000279C5"/>
    <w:rsid w:val="00027FCD"/>
    <w:rsid w:val="000308AC"/>
    <w:rsid w:val="000308D5"/>
    <w:rsid w:val="00030DC9"/>
    <w:rsid w:val="00031058"/>
    <w:rsid w:val="00031851"/>
    <w:rsid w:val="00031C72"/>
    <w:rsid w:val="0003253E"/>
    <w:rsid w:val="0003296A"/>
    <w:rsid w:val="00032E44"/>
    <w:rsid w:val="00034C8A"/>
    <w:rsid w:val="00037CE0"/>
    <w:rsid w:val="00041151"/>
    <w:rsid w:val="00041947"/>
    <w:rsid w:val="0004214F"/>
    <w:rsid w:val="00043287"/>
    <w:rsid w:val="00044E14"/>
    <w:rsid w:val="00044E37"/>
    <w:rsid w:val="0004646E"/>
    <w:rsid w:val="00047393"/>
    <w:rsid w:val="000476C5"/>
    <w:rsid w:val="000506B6"/>
    <w:rsid w:val="000518FC"/>
    <w:rsid w:val="00051ADC"/>
    <w:rsid w:val="00053929"/>
    <w:rsid w:val="00056AA6"/>
    <w:rsid w:val="000575AD"/>
    <w:rsid w:val="00057851"/>
    <w:rsid w:val="000603B8"/>
    <w:rsid w:val="0006178A"/>
    <w:rsid w:val="00061799"/>
    <w:rsid w:val="00061CBA"/>
    <w:rsid w:val="00062093"/>
    <w:rsid w:val="0006294A"/>
    <w:rsid w:val="00062A46"/>
    <w:rsid w:val="00062E4A"/>
    <w:rsid w:val="0006326D"/>
    <w:rsid w:val="00063F47"/>
    <w:rsid w:val="00064323"/>
    <w:rsid w:val="00064E24"/>
    <w:rsid w:val="00064EA7"/>
    <w:rsid w:val="00064EDC"/>
    <w:rsid w:val="00065B4A"/>
    <w:rsid w:val="00065E42"/>
    <w:rsid w:val="00066E98"/>
    <w:rsid w:val="000678A6"/>
    <w:rsid w:val="00067EDC"/>
    <w:rsid w:val="00070655"/>
    <w:rsid w:val="00070FD2"/>
    <w:rsid w:val="00071D98"/>
    <w:rsid w:val="00072AE1"/>
    <w:rsid w:val="000732F2"/>
    <w:rsid w:val="00073E51"/>
    <w:rsid w:val="000743C9"/>
    <w:rsid w:val="00074DE8"/>
    <w:rsid w:val="000751CA"/>
    <w:rsid w:val="00075D8D"/>
    <w:rsid w:val="000776EE"/>
    <w:rsid w:val="0008181C"/>
    <w:rsid w:val="00081DCF"/>
    <w:rsid w:val="00082297"/>
    <w:rsid w:val="0008231A"/>
    <w:rsid w:val="0008295B"/>
    <w:rsid w:val="00082D5E"/>
    <w:rsid w:val="0008366D"/>
    <w:rsid w:val="000844F9"/>
    <w:rsid w:val="00084E5D"/>
    <w:rsid w:val="00086833"/>
    <w:rsid w:val="0008758E"/>
    <w:rsid w:val="000875B8"/>
    <w:rsid w:val="00087A0F"/>
    <w:rsid w:val="000901C1"/>
    <w:rsid w:val="000931DF"/>
    <w:rsid w:val="00093776"/>
    <w:rsid w:val="00093F6E"/>
    <w:rsid w:val="00095913"/>
    <w:rsid w:val="00096FAE"/>
    <w:rsid w:val="00097273"/>
    <w:rsid w:val="000974AE"/>
    <w:rsid w:val="00097AE2"/>
    <w:rsid w:val="00097AE5"/>
    <w:rsid w:val="00097C4A"/>
    <w:rsid w:val="000A0568"/>
    <w:rsid w:val="000A156E"/>
    <w:rsid w:val="000A212C"/>
    <w:rsid w:val="000A3E3E"/>
    <w:rsid w:val="000B0EA8"/>
    <w:rsid w:val="000B13F3"/>
    <w:rsid w:val="000B16B8"/>
    <w:rsid w:val="000B1951"/>
    <w:rsid w:val="000B2366"/>
    <w:rsid w:val="000B2759"/>
    <w:rsid w:val="000B2A00"/>
    <w:rsid w:val="000B2D8F"/>
    <w:rsid w:val="000B380C"/>
    <w:rsid w:val="000B4332"/>
    <w:rsid w:val="000B4BB1"/>
    <w:rsid w:val="000B67F6"/>
    <w:rsid w:val="000B6881"/>
    <w:rsid w:val="000B711B"/>
    <w:rsid w:val="000B7D3C"/>
    <w:rsid w:val="000C10F5"/>
    <w:rsid w:val="000C126C"/>
    <w:rsid w:val="000C2046"/>
    <w:rsid w:val="000C2336"/>
    <w:rsid w:val="000C240E"/>
    <w:rsid w:val="000C2489"/>
    <w:rsid w:val="000C3829"/>
    <w:rsid w:val="000C3FCA"/>
    <w:rsid w:val="000C57BA"/>
    <w:rsid w:val="000C5FFB"/>
    <w:rsid w:val="000C6755"/>
    <w:rsid w:val="000C7083"/>
    <w:rsid w:val="000C786F"/>
    <w:rsid w:val="000C79DC"/>
    <w:rsid w:val="000D1BFA"/>
    <w:rsid w:val="000D3FBF"/>
    <w:rsid w:val="000D46E7"/>
    <w:rsid w:val="000D5C76"/>
    <w:rsid w:val="000D6AC7"/>
    <w:rsid w:val="000E1138"/>
    <w:rsid w:val="000E18F4"/>
    <w:rsid w:val="000E211D"/>
    <w:rsid w:val="000E2FA0"/>
    <w:rsid w:val="000E34D0"/>
    <w:rsid w:val="000E47E9"/>
    <w:rsid w:val="000E6DC0"/>
    <w:rsid w:val="000E7F8A"/>
    <w:rsid w:val="000E7FB6"/>
    <w:rsid w:val="000F001B"/>
    <w:rsid w:val="000F051B"/>
    <w:rsid w:val="000F05DB"/>
    <w:rsid w:val="000F0730"/>
    <w:rsid w:val="000F1513"/>
    <w:rsid w:val="000F23C3"/>
    <w:rsid w:val="000F4030"/>
    <w:rsid w:val="000F435C"/>
    <w:rsid w:val="000F466E"/>
    <w:rsid w:val="000F48F9"/>
    <w:rsid w:val="000F5372"/>
    <w:rsid w:val="000F547A"/>
    <w:rsid w:val="000F55F2"/>
    <w:rsid w:val="000F58DE"/>
    <w:rsid w:val="000F5E23"/>
    <w:rsid w:val="000F66B9"/>
    <w:rsid w:val="000F688E"/>
    <w:rsid w:val="000F6B45"/>
    <w:rsid w:val="000F710F"/>
    <w:rsid w:val="001002FA"/>
    <w:rsid w:val="00101150"/>
    <w:rsid w:val="00103196"/>
    <w:rsid w:val="001032EA"/>
    <w:rsid w:val="00103B40"/>
    <w:rsid w:val="00105960"/>
    <w:rsid w:val="00105D6D"/>
    <w:rsid w:val="001068D9"/>
    <w:rsid w:val="00106AEC"/>
    <w:rsid w:val="00106C18"/>
    <w:rsid w:val="00107704"/>
    <w:rsid w:val="00107F64"/>
    <w:rsid w:val="00107FE6"/>
    <w:rsid w:val="0011042A"/>
    <w:rsid w:val="00110B4F"/>
    <w:rsid w:val="00110C51"/>
    <w:rsid w:val="00112016"/>
    <w:rsid w:val="0011271D"/>
    <w:rsid w:val="00112F62"/>
    <w:rsid w:val="001141B8"/>
    <w:rsid w:val="00114BA0"/>
    <w:rsid w:val="00114DCB"/>
    <w:rsid w:val="00115F0E"/>
    <w:rsid w:val="00116212"/>
    <w:rsid w:val="001177FF"/>
    <w:rsid w:val="0012096C"/>
    <w:rsid w:val="00122175"/>
    <w:rsid w:val="0012223B"/>
    <w:rsid w:val="00122481"/>
    <w:rsid w:val="0012252E"/>
    <w:rsid w:val="0012277D"/>
    <w:rsid w:val="00123C65"/>
    <w:rsid w:val="00123E7D"/>
    <w:rsid w:val="00124A43"/>
    <w:rsid w:val="0012507E"/>
    <w:rsid w:val="00126808"/>
    <w:rsid w:val="0012707B"/>
    <w:rsid w:val="0012722A"/>
    <w:rsid w:val="00127828"/>
    <w:rsid w:val="00127B41"/>
    <w:rsid w:val="001319B8"/>
    <w:rsid w:val="0013219D"/>
    <w:rsid w:val="001326E7"/>
    <w:rsid w:val="0013340F"/>
    <w:rsid w:val="00133C51"/>
    <w:rsid w:val="0013410C"/>
    <w:rsid w:val="00134BDB"/>
    <w:rsid w:val="0013536D"/>
    <w:rsid w:val="001358A3"/>
    <w:rsid w:val="001404C4"/>
    <w:rsid w:val="0014052F"/>
    <w:rsid w:val="00140EA0"/>
    <w:rsid w:val="001419BE"/>
    <w:rsid w:val="001438BD"/>
    <w:rsid w:val="00143C80"/>
    <w:rsid w:val="001441B9"/>
    <w:rsid w:val="00144820"/>
    <w:rsid w:val="0014538A"/>
    <w:rsid w:val="00145434"/>
    <w:rsid w:val="001458BE"/>
    <w:rsid w:val="00146777"/>
    <w:rsid w:val="00146B5F"/>
    <w:rsid w:val="00147DAD"/>
    <w:rsid w:val="00150420"/>
    <w:rsid w:val="001504A4"/>
    <w:rsid w:val="00150C96"/>
    <w:rsid w:val="00150E18"/>
    <w:rsid w:val="00150F4B"/>
    <w:rsid w:val="00151B98"/>
    <w:rsid w:val="00152AA1"/>
    <w:rsid w:val="0015502B"/>
    <w:rsid w:val="00155171"/>
    <w:rsid w:val="00155710"/>
    <w:rsid w:val="00155BC3"/>
    <w:rsid w:val="00155F5F"/>
    <w:rsid w:val="00157003"/>
    <w:rsid w:val="001571E1"/>
    <w:rsid w:val="001614FA"/>
    <w:rsid w:val="00161871"/>
    <w:rsid w:val="00161BDA"/>
    <w:rsid w:val="00162710"/>
    <w:rsid w:val="00162EE8"/>
    <w:rsid w:val="00163294"/>
    <w:rsid w:val="00163F72"/>
    <w:rsid w:val="00164326"/>
    <w:rsid w:val="001644A8"/>
    <w:rsid w:val="001649E7"/>
    <w:rsid w:val="001653A7"/>
    <w:rsid w:val="00165768"/>
    <w:rsid w:val="00165F44"/>
    <w:rsid w:val="001670DE"/>
    <w:rsid w:val="00167681"/>
    <w:rsid w:val="001709AB"/>
    <w:rsid w:val="00170A07"/>
    <w:rsid w:val="00171618"/>
    <w:rsid w:val="00172AC9"/>
    <w:rsid w:val="001730E3"/>
    <w:rsid w:val="0017480B"/>
    <w:rsid w:val="001748F5"/>
    <w:rsid w:val="00174E4A"/>
    <w:rsid w:val="00175433"/>
    <w:rsid w:val="001757C1"/>
    <w:rsid w:val="00175897"/>
    <w:rsid w:val="00175B8C"/>
    <w:rsid w:val="00176A64"/>
    <w:rsid w:val="00176B34"/>
    <w:rsid w:val="0018037B"/>
    <w:rsid w:val="001808B3"/>
    <w:rsid w:val="00181928"/>
    <w:rsid w:val="001819B1"/>
    <w:rsid w:val="00181A6C"/>
    <w:rsid w:val="00182B75"/>
    <w:rsid w:val="00183EDE"/>
    <w:rsid w:val="0018460B"/>
    <w:rsid w:val="00184E6B"/>
    <w:rsid w:val="0018553C"/>
    <w:rsid w:val="001855E9"/>
    <w:rsid w:val="00186339"/>
    <w:rsid w:val="0018640D"/>
    <w:rsid w:val="00186F3E"/>
    <w:rsid w:val="00187421"/>
    <w:rsid w:val="001918B8"/>
    <w:rsid w:val="001921CD"/>
    <w:rsid w:val="001922F3"/>
    <w:rsid w:val="001938E4"/>
    <w:rsid w:val="00194AEB"/>
    <w:rsid w:val="00195107"/>
    <w:rsid w:val="0019536E"/>
    <w:rsid w:val="0019556E"/>
    <w:rsid w:val="00195A41"/>
    <w:rsid w:val="001968D7"/>
    <w:rsid w:val="00196992"/>
    <w:rsid w:val="001A104F"/>
    <w:rsid w:val="001A1EBA"/>
    <w:rsid w:val="001A253F"/>
    <w:rsid w:val="001A29A6"/>
    <w:rsid w:val="001A2D10"/>
    <w:rsid w:val="001A3867"/>
    <w:rsid w:val="001A3EA4"/>
    <w:rsid w:val="001A4DA4"/>
    <w:rsid w:val="001A6D3A"/>
    <w:rsid w:val="001A77CC"/>
    <w:rsid w:val="001B002E"/>
    <w:rsid w:val="001B08FE"/>
    <w:rsid w:val="001B1E6F"/>
    <w:rsid w:val="001B2041"/>
    <w:rsid w:val="001B20EC"/>
    <w:rsid w:val="001B299C"/>
    <w:rsid w:val="001B3288"/>
    <w:rsid w:val="001B3385"/>
    <w:rsid w:val="001B551E"/>
    <w:rsid w:val="001B5B87"/>
    <w:rsid w:val="001B5DAB"/>
    <w:rsid w:val="001B6041"/>
    <w:rsid w:val="001B65F9"/>
    <w:rsid w:val="001B67AA"/>
    <w:rsid w:val="001B6A54"/>
    <w:rsid w:val="001B7279"/>
    <w:rsid w:val="001B73C2"/>
    <w:rsid w:val="001C0243"/>
    <w:rsid w:val="001C0990"/>
    <w:rsid w:val="001C11BE"/>
    <w:rsid w:val="001C1DE1"/>
    <w:rsid w:val="001C3229"/>
    <w:rsid w:val="001C48CC"/>
    <w:rsid w:val="001C5386"/>
    <w:rsid w:val="001C59FA"/>
    <w:rsid w:val="001C5E41"/>
    <w:rsid w:val="001C6CB7"/>
    <w:rsid w:val="001C77BC"/>
    <w:rsid w:val="001D04C7"/>
    <w:rsid w:val="001D0741"/>
    <w:rsid w:val="001D0B77"/>
    <w:rsid w:val="001D1404"/>
    <w:rsid w:val="001D1E46"/>
    <w:rsid w:val="001D2107"/>
    <w:rsid w:val="001D3678"/>
    <w:rsid w:val="001D398E"/>
    <w:rsid w:val="001D3FD1"/>
    <w:rsid w:val="001D48BB"/>
    <w:rsid w:val="001D4DD2"/>
    <w:rsid w:val="001D58A8"/>
    <w:rsid w:val="001D5B80"/>
    <w:rsid w:val="001D697C"/>
    <w:rsid w:val="001D71EF"/>
    <w:rsid w:val="001D72F3"/>
    <w:rsid w:val="001E00E3"/>
    <w:rsid w:val="001E0171"/>
    <w:rsid w:val="001E0361"/>
    <w:rsid w:val="001E1397"/>
    <w:rsid w:val="001E1873"/>
    <w:rsid w:val="001E1A30"/>
    <w:rsid w:val="001E2987"/>
    <w:rsid w:val="001E336E"/>
    <w:rsid w:val="001E359B"/>
    <w:rsid w:val="001E45FF"/>
    <w:rsid w:val="001E4A43"/>
    <w:rsid w:val="001E67EE"/>
    <w:rsid w:val="001E6D3B"/>
    <w:rsid w:val="001E7677"/>
    <w:rsid w:val="001E7894"/>
    <w:rsid w:val="001E7ADD"/>
    <w:rsid w:val="001E7B2D"/>
    <w:rsid w:val="001E7E9C"/>
    <w:rsid w:val="001E7FA6"/>
    <w:rsid w:val="001F0844"/>
    <w:rsid w:val="001F1A2B"/>
    <w:rsid w:val="001F1F7D"/>
    <w:rsid w:val="001F2349"/>
    <w:rsid w:val="001F34DB"/>
    <w:rsid w:val="001F38EA"/>
    <w:rsid w:val="001F3DC3"/>
    <w:rsid w:val="001F4117"/>
    <w:rsid w:val="001F4428"/>
    <w:rsid w:val="001F4497"/>
    <w:rsid w:val="001F6253"/>
    <w:rsid w:val="001F657E"/>
    <w:rsid w:val="001F7360"/>
    <w:rsid w:val="001F747F"/>
    <w:rsid w:val="001F760A"/>
    <w:rsid w:val="001F79E9"/>
    <w:rsid w:val="002005D2"/>
    <w:rsid w:val="00200E88"/>
    <w:rsid w:val="00201722"/>
    <w:rsid w:val="00201A04"/>
    <w:rsid w:val="002021BF"/>
    <w:rsid w:val="00202224"/>
    <w:rsid w:val="0020298B"/>
    <w:rsid w:val="00202BE8"/>
    <w:rsid w:val="00202D2F"/>
    <w:rsid w:val="002038EA"/>
    <w:rsid w:val="002058A3"/>
    <w:rsid w:val="00206111"/>
    <w:rsid w:val="002064A3"/>
    <w:rsid w:val="00206AF7"/>
    <w:rsid w:val="00207EE0"/>
    <w:rsid w:val="0021024C"/>
    <w:rsid w:val="00210A8F"/>
    <w:rsid w:val="00211407"/>
    <w:rsid w:val="00211A70"/>
    <w:rsid w:val="00211D26"/>
    <w:rsid w:val="00211E61"/>
    <w:rsid w:val="00212942"/>
    <w:rsid w:val="002135D9"/>
    <w:rsid w:val="002137E0"/>
    <w:rsid w:val="00213C8C"/>
    <w:rsid w:val="00215D0B"/>
    <w:rsid w:val="00216155"/>
    <w:rsid w:val="00216504"/>
    <w:rsid w:val="002174A1"/>
    <w:rsid w:val="00217B35"/>
    <w:rsid w:val="00220A4E"/>
    <w:rsid w:val="00220E81"/>
    <w:rsid w:val="002214D7"/>
    <w:rsid w:val="0022294E"/>
    <w:rsid w:val="00222BB0"/>
    <w:rsid w:val="002234CE"/>
    <w:rsid w:val="002238A2"/>
    <w:rsid w:val="00223E58"/>
    <w:rsid w:val="002249B1"/>
    <w:rsid w:val="002253A7"/>
    <w:rsid w:val="00225A7C"/>
    <w:rsid w:val="002262E5"/>
    <w:rsid w:val="002262FE"/>
    <w:rsid w:val="0023074E"/>
    <w:rsid w:val="0023128B"/>
    <w:rsid w:val="002314B9"/>
    <w:rsid w:val="00231F97"/>
    <w:rsid w:val="002324F0"/>
    <w:rsid w:val="00233BB2"/>
    <w:rsid w:val="00235E12"/>
    <w:rsid w:val="0023624E"/>
    <w:rsid w:val="0023713D"/>
    <w:rsid w:val="002371CB"/>
    <w:rsid w:val="00237F04"/>
    <w:rsid w:val="002414B3"/>
    <w:rsid w:val="00241AFC"/>
    <w:rsid w:val="00241BD9"/>
    <w:rsid w:val="00242921"/>
    <w:rsid w:val="00242C38"/>
    <w:rsid w:val="00243C9A"/>
    <w:rsid w:val="00243F73"/>
    <w:rsid w:val="00245529"/>
    <w:rsid w:val="002468FA"/>
    <w:rsid w:val="002473AC"/>
    <w:rsid w:val="0024781C"/>
    <w:rsid w:val="0025180E"/>
    <w:rsid w:val="002538A3"/>
    <w:rsid w:val="00254016"/>
    <w:rsid w:val="00254205"/>
    <w:rsid w:val="00255D02"/>
    <w:rsid w:val="00255EF0"/>
    <w:rsid w:val="00255FFD"/>
    <w:rsid w:val="0025690B"/>
    <w:rsid w:val="002569BC"/>
    <w:rsid w:val="0025754C"/>
    <w:rsid w:val="00257D2F"/>
    <w:rsid w:val="00257DB6"/>
    <w:rsid w:val="00257FCB"/>
    <w:rsid w:val="00264303"/>
    <w:rsid w:val="002647D4"/>
    <w:rsid w:val="00264D73"/>
    <w:rsid w:val="002657EF"/>
    <w:rsid w:val="002702BA"/>
    <w:rsid w:val="00270C34"/>
    <w:rsid w:val="00271D3D"/>
    <w:rsid w:val="00272226"/>
    <w:rsid w:val="00272CC8"/>
    <w:rsid w:val="00273027"/>
    <w:rsid w:val="0027356A"/>
    <w:rsid w:val="00273609"/>
    <w:rsid w:val="00273B0B"/>
    <w:rsid w:val="00273EDF"/>
    <w:rsid w:val="00273F79"/>
    <w:rsid w:val="002741AC"/>
    <w:rsid w:val="00274D17"/>
    <w:rsid w:val="00275388"/>
    <w:rsid w:val="00275C3F"/>
    <w:rsid w:val="00275C41"/>
    <w:rsid w:val="00275D94"/>
    <w:rsid w:val="00275F09"/>
    <w:rsid w:val="00275F13"/>
    <w:rsid w:val="0027691D"/>
    <w:rsid w:val="00276BC4"/>
    <w:rsid w:val="00280B31"/>
    <w:rsid w:val="002819C0"/>
    <w:rsid w:val="00283F18"/>
    <w:rsid w:val="00284478"/>
    <w:rsid w:val="00284E2E"/>
    <w:rsid w:val="00285887"/>
    <w:rsid w:val="00285981"/>
    <w:rsid w:val="00285F05"/>
    <w:rsid w:val="00286D37"/>
    <w:rsid w:val="00290674"/>
    <w:rsid w:val="00291E74"/>
    <w:rsid w:val="00292979"/>
    <w:rsid w:val="0029351E"/>
    <w:rsid w:val="00295556"/>
    <w:rsid w:val="00295BB5"/>
    <w:rsid w:val="00295BEE"/>
    <w:rsid w:val="002A0FB3"/>
    <w:rsid w:val="002A1371"/>
    <w:rsid w:val="002A1511"/>
    <w:rsid w:val="002A1A4B"/>
    <w:rsid w:val="002A1BB6"/>
    <w:rsid w:val="002A1D70"/>
    <w:rsid w:val="002A2AC5"/>
    <w:rsid w:val="002A3250"/>
    <w:rsid w:val="002A427A"/>
    <w:rsid w:val="002A5A4D"/>
    <w:rsid w:val="002A5B1A"/>
    <w:rsid w:val="002A5F1E"/>
    <w:rsid w:val="002A6728"/>
    <w:rsid w:val="002A76E0"/>
    <w:rsid w:val="002A7962"/>
    <w:rsid w:val="002B0D26"/>
    <w:rsid w:val="002B10BB"/>
    <w:rsid w:val="002B17BF"/>
    <w:rsid w:val="002B18A7"/>
    <w:rsid w:val="002B27B1"/>
    <w:rsid w:val="002B402A"/>
    <w:rsid w:val="002B419F"/>
    <w:rsid w:val="002B4262"/>
    <w:rsid w:val="002B478C"/>
    <w:rsid w:val="002B4EEA"/>
    <w:rsid w:val="002B4F3C"/>
    <w:rsid w:val="002B503B"/>
    <w:rsid w:val="002B60B8"/>
    <w:rsid w:val="002B61AE"/>
    <w:rsid w:val="002B670A"/>
    <w:rsid w:val="002B7987"/>
    <w:rsid w:val="002C0076"/>
    <w:rsid w:val="002C0F62"/>
    <w:rsid w:val="002C1ED4"/>
    <w:rsid w:val="002C293C"/>
    <w:rsid w:val="002C37CC"/>
    <w:rsid w:val="002C38F3"/>
    <w:rsid w:val="002C443F"/>
    <w:rsid w:val="002C44DE"/>
    <w:rsid w:val="002C4A0E"/>
    <w:rsid w:val="002C4FFE"/>
    <w:rsid w:val="002C5FB7"/>
    <w:rsid w:val="002C6BA6"/>
    <w:rsid w:val="002C6D4E"/>
    <w:rsid w:val="002C7596"/>
    <w:rsid w:val="002C7B1B"/>
    <w:rsid w:val="002D04F2"/>
    <w:rsid w:val="002D1995"/>
    <w:rsid w:val="002D31A7"/>
    <w:rsid w:val="002D3CC9"/>
    <w:rsid w:val="002D3E93"/>
    <w:rsid w:val="002D4D68"/>
    <w:rsid w:val="002D5184"/>
    <w:rsid w:val="002D5A4D"/>
    <w:rsid w:val="002D6B55"/>
    <w:rsid w:val="002D6DD5"/>
    <w:rsid w:val="002D76F8"/>
    <w:rsid w:val="002E0DFE"/>
    <w:rsid w:val="002E1255"/>
    <w:rsid w:val="002E186A"/>
    <w:rsid w:val="002E2167"/>
    <w:rsid w:val="002E22AF"/>
    <w:rsid w:val="002E2EC4"/>
    <w:rsid w:val="002E3398"/>
    <w:rsid w:val="002E3C7E"/>
    <w:rsid w:val="002E4147"/>
    <w:rsid w:val="002E5B1D"/>
    <w:rsid w:val="002E5F9E"/>
    <w:rsid w:val="002E6166"/>
    <w:rsid w:val="002E7D4F"/>
    <w:rsid w:val="002F0826"/>
    <w:rsid w:val="002F1BD8"/>
    <w:rsid w:val="002F2543"/>
    <w:rsid w:val="002F261D"/>
    <w:rsid w:val="002F2BB4"/>
    <w:rsid w:val="002F2D08"/>
    <w:rsid w:val="002F312A"/>
    <w:rsid w:val="002F4CFC"/>
    <w:rsid w:val="002F5B7C"/>
    <w:rsid w:val="002F6793"/>
    <w:rsid w:val="002F6A98"/>
    <w:rsid w:val="002F74F9"/>
    <w:rsid w:val="002F777D"/>
    <w:rsid w:val="00301BD4"/>
    <w:rsid w:val="00301DF1"/>
    <w:rsid w:val="00302FEE"/>
    <w:rsid w:val="00302FF3"/>
    <w:rsid w:val="0030357A"/>
    <w:rsid w:val="00304ECC"/>
    <w:rsid w:val="00304F7C"/>
    <w:rsid w:val="003059C4"/>
    <w:rsid w:val="00305D7A"/>
    <w:rsid w:val="00305FC7"/>
    <w:rsid w:val="003060F6"/>
    <w:rsid w:val="00306F34"/>
    <w:rsid w:val="0031018C"/>
    <w:rsid w:val="00310E68"/>
    <w:rsid w:val="003110A9"/>
    <w:rsid w:val="00311940"/>
    <w:rsid w:val="00311E13"/>
    <w:rsid w:val="00313E2B"/>
    <w:rsid w:val="00314D14"/>
    <w:rsid w:val="00314F63"/>
    <w:rsid w:val="00315503"/>
    <w:rsid w:val="00315F0F"/>
    <w:rsid w:val="003165A3"/>
    <w:rsid w:val="0031679A"/>
    <w:rsid w:val="00317471"/>
    <w:rsid w:val="003204BB"/>
    <w:rsid w:val="00320D9B"/>
    <w:rsid w:val="003218F4"/>
    <w:rsid w:val="00321AAD"/>
    <w:rsid w:val="00321C39"/>
    <w:rsid w:val="00321D0D"/>
    <w:rsid w:val="00321E25"/>
    <w:rsid w:val="00323684"/>
    <w:rsid w:val="003236D1"/>
    <w:rsid w:val="00323FF1"/>
    <w:rsid w:val="00324204"/>
    <w:rsid w:val="00324398"/>
    <w:rsid w:val="003243FB"/>
    <w:rsid w:val="00324E91"/>
    <w:rsid w:val="003254DB"/>
    <w:rsid w:val="00326625"/>
    <w:rsid w:val="00327DAF"/>
    <w:rsid w:val="00327F63"/>
    <w:rsid w:val="00330040"/>
    <w:rsid w:val="00330F27"/>
    <w:rsid w:val="003320A4"/>
    <w:rsid w:val="003323B0"/>
    <w:rsid w:val="00332FCB"/>
    <w:rsid w:val="00333BAF"/>
    <w:rsid w:val="00335206"/>
    <w:rsid w:val="00335504"/>
    <w:rsid w:val="003360DC"/>
    <w:rsid w:val="003367D4"/>
    <w:rsid w:val="00336A77"/>
    <w:rsid w:val="00337CA6"/>
    <w:rsid w:val="00340811"/>
    <w:rsid w:val="00340E62"/>
    <w:rsid w:val="00341810"/>
    <w:rsid w:val="00342C26"/>
    <w:rsid w:val="00343932"/>
    <w:rsid w:val="003439AE"/>
    <w:rsid w:val="0034574A"/>
    <w:rsid w:val="00345828"/>
    <w:rsid w:val="00346BD5"/>
    <w:rsid w:val="00347439"/>
    <w:rsid w:val="00350A33"/>
    <w:rsid w:val="00351E0A"/>
    <w:rsid w:val="0035205F"/>
    <w:rsid w:val="003520F6"/>
    <w:rsid w:val="003523B0"/>
    <w:rsid w:val="003531DE"/>
    <w:rsid w:val="00353759"/>
    <w:rsid w:val="00354A66"/>
    <w:rsid w:val="00354F4E"/>
    <w:rsid w:val="00355FC7"/>
    <w:rsid w:val="003562A0"/>
    <w:rsid w:val="00357790"/>
    <w:rsid w:val="003602C1"/>
    <w:rsid w:val="0036085B"/>
    <w:rsid w:val="00363545"/>
    <w:rsid w:val="00364316"/>
    <w:rsid w:val="003644C5"/>
    <w:rsid w:val="00364A91"/>
    <w:rsid w:val="00364E8B"/>
    <w:rsid w:val="00365F8A"/>
    <w:rsid w:val="003667FF"/>
    <w:rsid w:val="00366F42"/>
    <w:rsid w:val="003672B9"/>
    <w:rsid w:val="0036778B"/>
    <w:rsid w:val="00370A11"/>
    <w:rsid w:val="0037103C"/>
    <w:rsid w:val="0037110C"/>
    <w:rsid w:val="00372580"/>
    <w:rsid w:val="003736CC"/>
    <w:rsid w:val="00373FD6"/>
    <w:rsid w:val="00374172"/>
    <w:rsid w:val="00376478"/>
    <w:rsid w:val="003766DA"/>
    <w:rsid w:val="00377657"/>
    <w:rsid w:val="00377C90"/>
    <w:rsid w:val="00377D33"/>
    <w:rsid w:val="00377F5E"/>
    <w:rsid w:val="00380059"/>
    <w:rsid w:val="003802F2"/>
    <w:rsid w:val="0038144E"/>
    <w:rsid w:val="003814AD"/>
    <w:rsid w:val="0038188C"/>
    <w:rsid w:val="0038245C"/>
    <w:rsid w:val="00383EED"/>
    <w:rsid w:val="00383F07"/>
    <w:rsid w:val="00384FC3"/>
    <w:rsid w:val="00385FC5"/>
    <w:rsid w:val="003906A4"/>
    <w:rsid w:val="00390ED1"/>
    <w:rsid w:val="0039179A"/>
    <w:rsid w:val="0039249B"/>
    <w:rsid w:val="003956B3"/>
    <w:rsid w:val="00396ABD"/>
    <w:rsid w:val="00396D87"/>
    <w:rsid w:val="003A0924"/>
    <w:rsid w:val="003A0DBF"/>
    <w:rsid w:val="003A1334"/>
    <w:rsid w:val="003A168F"/>
    <w:rsid w:val="003A3804"/>
    <w:rsid w:val="003A3AE1"/>
    <w:rsid w:val="003A415A"/>
    <w:rsid w:val="003A52BE"/>
    <w:rsid w:val="003A5866"/>
    <w:rsid w:val="003A6989"/>
    <w:rsid w:val="003A6DE6"/>
    <w:rsid w:val="003A6E9F"/>
    <w:rsid w:val="003A790E"/>
    <w:rsid w:val="003B0AD8"/>
    <w:rsid w:val="003B0BC9"/>
    <w:rsid w:val="003B2F42"/>
    <w:rsid w:val="003B392E"/>
    <w:rsid w:val="003B4658"/>
    <w:rsid w:val="003B4987"/>
    <w:rsid w:val="003B4B8D"/>
    <w:rsid w:val="003B5498"/>
    <w:rsid w:val="003B5828"/>
    <w:rsid w:val="003B58D4"/>
    <w:rsid w:val="003C00FC"/>
    <w:rsid w:val="003C048D"/>
    <w:rsid w:val="003C0ACD"/>
    <w:rsid w:val="003C1A70"/>
    <w:rsid w:val="003C2E56"/>
    <w:rsid w:val="003C35D2"/>
    <w:rsid w:val="003C3C53"/>
    <w:rsid w:val="003C4036"/>
    <w:rsid w:val="003C4700"/>
    <w:rsid w:val="003C5B78"/>
    <w:rsid w:val="003C5CE3"/>
    <w:rsid w:val="003C693A"/>
    <w:rsid w:val="003D02F4"/>
    <w:rsid w:val="003D0862"/>
    <w:rsid w:val="003D1A17"/>
    <w:rsid w:val="003D1E05"/>
    <w:rsid w:val="003D2112"/>
    <w:rsid w:val="003D4304"/>
    <w:rsid w:val="003D4B82"/>
    <w:rsid w:val="003D4CD6"/>
    <w:rsid w:val="003D5354"/>
    <w:rsid w:val="003D548E"/>
    <w:rsid w:val="003D6105"/>
    <w:rsid w:val="003D733E"/>
    <w:rsid w:val="003E0522"/>
    <w:rsid w:val="003E07A7"/>
    <w:rsid w:val="003E0E6D"/>
    <w:rsid w:val="003E2167"/>
    <w:rsid w:val="003E3555"/>
    <w:rsid w:val="003E3939"/>
    <w:rsid w:val="003E44D9"/>
    <w:rsid w:val="003E4F49"/>
    <w:rsid w:val="003E63A7"/>
    <w:rsid w:val="003E7324"/>
    <w:rsid w:val="003E762E"/>
    <w:rsid w:val="003F0CB8"/>
    <w:rsid w:val="003F135F"/>
    <w:rsid w:val="003F276E"/>
    <w:rsid w:val="003F2A55"/>
    <w:rsid w:val="003F3307"/>
    <w:rsid w:val="003F3DE5"/>
    <w:rsid w:val="003F4B6D"/>
    <w:rsid w:val="003F55A0"/>
    <w:rsid w:val="003F621E"/>
    <w:rsid w:val="003F65E9"/>
    <w:rsid w:val="003F7DF4"/>
    <w:rsid w:val="00400F6E"/>
    <w:rsid w:val="00401624"/>
    <w:rsid w:val="00401DA8"/>
    <w:rsid w:val="0040226B"/>
    <w:rsid w:val="00402328"/>
    <w:rsid w:val="0040314A"/>
    <w:rsid w:val="0040340A"/>
    <w:rsid w:val="00404EAB"/>
    <w:rsid w:val="0040500A"/>
    <w:rsid w:val="00405D78"/>
    <w:rsid w:val="00405D9B"/>
    <w:rsid w:val="0041005A"/>
    <w:rsid w:val="00411932"/>
    <w:rsid w:val="00413AEE"/>
    <w:rsid w:val="00413EC4"/>
    <w:rsid w:val="004142A8"/>
    <w:rsid w:val="004144E2"/>
    <w:rsid w:val="00414B55"/>
    <w:rsid w:val="00414EAE"/>
    <w:rsid w:val="0041534E"/>
    <w:rsid w:val="0042091F"/>
    <w:rsid w:val="00421152"/>
    <w:rsid w:val="004228C7"/>
    <w:rsid w:val="00424AF8"/>
    <w:rsid w:val="00425178"/>
    <w:rsid w:val="0042566B"/>
    <w:rsid w:val="0042598C"/>
    <w:rsid w:val="0042798B"/>
    <w:rsid w:val="004301E0"/>
    <w:rsid w:val="0043030E"/>
    <w:rsid w:val="00430A7A"/>
    <w:rsid w:val="00432A60"/>
    <w:rsid w:val="00432AFB"/>
    <w:rsid w:val="0043385E"/>
    <w:rsid w:val="00434024"/>
    <w:rsid w:val="00434913"/>
    <w:rsid w:val="004356A8"/>
    <w:rsid w:val="00435DEA"/>
    <w:rsid w:val="00435F43"/>
    <w:rsid w:val="004403CF"/>
    <w:rsid w:val="00440644"/>
    <w:rsid w:val="004410EB"/>
    <w:rsid w:val="00441474"/>
    <w:rsid w:val="004426DF"/>
    <w:rsid w:val="00443003"/>
    <w:rsid w:val="00443025"/>
    <w:rsid w:val="0044415F"/>
    <w:rsid w:val="00444598"/>
    <w:rsid w:val="00444A1F"/>
    <w:rsid w:val="004452C4"/>
    <w:rsid w:val="00445C65"/>
    <w:rsid w:val="00445E61"/>
    <w:rsid w:val="00447472"/>
    <w:rsid w:val="004474F8"/>
    <w:rsid w:val="0044790D"/>
    <w:rsid w:val="004479ED"/>
    <w:rsid w:val="00447BC3"/>
    <w:rsid w:val="00450A97"/>
    <w:rsid w:val="004511CF"/>
    <w:rsid w:val="00451361"/>
    <w:rsid w:val="004515DF"/>
    <w:rsid w:val="0045200F"/>
    <w:rsid w:val="00452086"/>
    <w:rsid w:val="00453196"/>
    <w:rsid w:val="00453B4C"/>
    <w:rsid w:val="00453C82"/>
    <w:rsid w:val="00453CBF"/>
    <w:rsid w:val="0045636F"/>
    <w:rsid w:val="00457280"/>
    <w:rsid w:val="00457C23"/>
    <w:rsid w:val="00460135"/>
    <w:rsid w:val="00460BC0"/>
    <w:rsid w:val="00463B36"/>
    <w:rsid w:val="00463CEC"/>
    <w:rsid w:val="00463E7C"/>
    <w:rsid w:val="004645D3"/>
    <w:rsid w:val="00464D2B"/>
    <w:rsid w:val="00465271"/>
    <w:rsid w:val="004669A9"/>
    <w:rsid w:val="00466B04"/>
    <w:rsid w:val="00466E1C"/>
    <w:rsid w:val="00467887"/>
    <w:rsid w:val="00467A9F"/>
    <w:rsid w:val="00467C90"/>
    <w:rsid w:val="0047092F"/>
    <w:rsid w:val="0047303C"/>
    <w:rsid w:val="00473A2B"/>
    <w:rsid w:val="00473B7E"/>
    <w:rsid w:val="0047485C"/>
    <w:rsid w:val="004749C1"/>
    <w:rsid w:val="00474E0B"/>
    <w:rsid w:val="004753C0"/>
    <w:rsid w:val="0047725A"/>
    <w:rsid w:val="00477550"/>
    <w:rsid w:val="00483069"/>
    <w:rsid w:val="00483CE3"/>
    <w:rsid w:val="004844A8"/>
    <w:rsid w:val="00484987"/>
    <w:rsid w:val="0048657F"/>
    <w:rsid w:val="00486F1A"/>
    <w:rsid w:val="00487D67"/>
    <w:rsid w:val="00492D48"/>
    <w:rsid w:val="00492E50"/>
    <w:rsid w:val="004930A1"/>
    <w:rsid w:val="00494A7B"/>
    <w:rsid w:val="00495073"/>
    <w:rsid w:val="004951C5"/>
    <w:rsid w:val="00495842"/>
    <w:rsid w:val="0049606F"/>
    <w:rsid w:val="00496196"/>
    <w:rsid w:val="00496317"/>
    <w:rsid w:val="004963DA"/>
    <w:rsid w:val="00496803"/>
    <w:rsid w:val="0049688C"/>
    <w:rsid w:val="00496914"/>
    <w:rsid w:val="00497009"/>
    <w:rsid w:val="0049782E"/>
    <w:rsid w:val="004A1C0C"/>
    <w:rsid w:val="004A2ABC"/>
    <w:rsid w:val="004A2F10"/>
    <w:rsid w:val="004A3FFD"/>
    <w:rsid w:val="004A48FE"/>
    <w:rsid w:val="004A4983"/>
    <w:rsid w:val="004A50E5"/>
    <w:rsid w:val="004A54EE"/>
    <w:rsid w:val="004A565C"/>
    <w:rsid w:val="004A61B3"/>
    <w:rsid w:val="004A688C"/>
    <w:rsid w:val="004A763B"/>
    <w:rsid w:val="004B0FAF"/>
    <w:rsid w:val="004B185D"/>
    <w:rsid w:val="004B21BA"/>
    <w:rsid w:val="004B21F7"/>
    <w:rsid w:val="004B3048"/>
    <w:rsid w:val="004B476E"/>
    <w:rsid w:val="004B4805"/>
    <w:rsid w:val="004B64A4"/>
    <w:rsid w:val="004B6688"/>
    <w:rsid w:val="004B6B6E"/>
    <w:rsid w:val="004B6DE6"/>
    <w:rsid w:val="004B7261"/>
    <w:rsid w:val="004B7D93"/>
    <w:rsid w:val="004C00DF"/>
    <w:rsid w:val="004C03D9"/>
    <w:rsid w:val="004C0B65"/>
    <w:rsid w:val="004C325C"/>
    <w:rsid w:val="004C386C"/>
    <w:rsid w:val="004C3CBA"/>
    <w:rsid w:val="004C504A"/>
    <w:rsid w:val="004C5084"/>
    <w:rsid w:val="004C6D8E"/>
    <w:rsid w:val="004C7297"/>
    <w:rsid w:val="004C7511"/>
    <w:rsid w:val="004C798D"/>
    <w:rsid w:val="004D0395"/>
    <w:rsid w:val="004D04A2"/>
    <w:rsid w:val="004D0989"/>
    <w:rsid w:val="004D0F14"/>
    <w:rsid w:val="004D0F32"/>
    <w:rsid w:val="004D203A"/>
    <w:rsid w:val="004D20BE"/>
    <w:rsid w:val="004D23F7"/>
    <w:rsid w:val="004D25A8"/>
    <w:rsid w:val="004D2FBF"/>
    <w:rsid w:val="004D30AB"/>
    <w:rsid w:val="004D419B"/>
    <w:rsid w:val="004D43A2"/>
    <w:rsid w:val="004D4506"/>
    <w:rsid w:val="004D47EA"/>
    <w:rsid w:val="004D49BF"/>
    <w:rsid w:val="004D7734"/>
    <w:rsid w:val="004D7E5C"/>
    <w:rsid w:val="004E01FE"/>
    <w:rsid w:val="004E06D3"/>
    <w:rsid w:val="004E09E9"/>
    <w:rsid w:val="004E1047"/>
    <w:rsid w:val="004E1C7E"/>
    <w:rsid w:val="004E1F30"/>
    <w:rsid w:val="004E1F42"/>
    <w:rsid w:val="004E30C5"/>
    <w:rsid w:val="004E36F5"/>
    <w:rsid w:val="004E391E"/>
    <w:rsid w:val="004E3A8B"/>
    <w:rsid w:val="004E59AF"/>
    <w:rsid w:val="004E68DE"/>
    <w:rsid w:val="004E6A21"/>
    <w:rsid w:val="004E7A42"/>
    <w:rsid w:val="004E7F8B"/>
    <w:rsid w:val="004F058A"/>
    <w:rsid w:val="004F24E7"/>
    <w:rsid w:val="004F250A"/>
    <w:rsid w:val="004F2C25"/>
    <w:rsid w:val="004F31FF"/>
    <w:rsid w:val="004F40E8"/>
    <w:rsid w:val="004F4ED1"/>
    <w:rsid w:val="004F5397"/>
    <w:rsid w:val="004F5AD0"/>
    <w:rsid w:val="004F69F8"/>
    <w:rsid w:val="004F6BEB"/>
    <w:rsid w:val="004F7181"/>
    <w:rsid w:val="004F72DA"/>
    <w:rsid w:val="00500CA7"/>
    <w:rsid w:val="00500D91"/>
    <w:rsid w:val="00501606"/>
    <w:rsid w:val="00501D4A"/>
    <w:rsid w:val="00502524"/>
    <w:rsid w:val="00502C54"/>
    <w:rsid w:val="00504DE2"/>
    <w:rsid w:val="00505FF9"/>
    <w:rsid w:val="00507CA3"/>
    <w:rsid w:val="00510980"/>
    <w:rsid w:val="00510BD7"/>
    <w:rsid w:val="005110EF"/>
    <w:rsid w:val="005113AA"/>
    <w:rsid w:val="00511834"/>
    <w:rsid w:val="005127EC"/>
    <w:rsid w:val="00513689"/>
    <w:rsid w:val="00513871"/>
    <w:rsid w:val="005139ED"/>
    <w:rsid w:val="005151D3"/>
    <w:rsid w:val="00515275"/>
    <w:rsid w:val="0051619C"/>
    <w:rsid w:val="00516ECE"/>
    <w:rsid w:val="00517760"/>
    <w:rsid w:val="005202CD"/>
    <w:rsid w:val="00520563"/>
    <w:rsid w:val="00520788"/>
    <w:rsid w:val="00520A09"/>
    <w:rsid w:val="005210D8"/>
    <w:rsid w:val="005213B0"/>
    <w:rsid w:val="005215EB"/>
    <w:rsid w:val="005219C3"/>
    <w:rsid w:val="005219C4"/>
    <w:rsid w:val="0052275F"/>
    <w:rsid w:val="0052399E"/>
    <w:rsid w:val="00523B6B"/>
    <w:rsid w:val="005244A4"/>
    <w:rsid w:val="005247E1"/>
    <w:rsid w:val="00526B39"/>
    <w:rsid w:val="0052703D"/>
    <w:rsid w:val="005271A6"/>
    <w:rsid w:val="0052720A"/>
    <w:rsid w:val="005273D4"/>
    <w:rsid w:val="005276E3"/>
    <w:rsid w:val="00527783"/>
    <w:rsid w:val="005277E7"/>
    <w:rsid w:val="00527FC1"/>
    <w:rsid w:val="0053102E"/>
    <w:rsid w:val="005315C8"/>
    <w:rsid w:val="00532D8A"/>
    <w:rsid w:val="0053569F"/>
    <w:rsid w:val="005360D1"/>
    <w:rsid w:val="00537355"/>
    <w:rsid w:val="00540CB6"/>
    <w:rsid w:val="00540FEB"/>
    <w:rsid w:val="00541B20"/>
    <w:rsid w:val="00541F61"/>
    <w:rsid w:val="005423C8"/>
    <w:rsid w:val="00542521"/>
    <w:rsid w:val="00542C01"/>
    <w:rsid w:val="00542F90"/>
    <w:rsid w:val="00543775"/>
    <w:rsid w:val="00543927"/>
    <w:rsid w:val="00544CFD"/>
    <w:rsid w:val="00544E1D"/>
    <w:rsid w:val="00545119"/>
    <w:rsid w:val="00545537"/>
    <w:rsid w:val="00545582"/>
    <w:rsid w:val="00545B60"/>
    <w:rsid w:val="005470C7"/>
    <w:rsid w:val="00551574"/>
    <w:rsid w:val="0055175A"/>
    <w:rsid w:val="00552061"/>
    <w:rsid w:val="005538B2"/>
    <w:rsid w:val="00553973"/>
    <w:rsid w:val="00555956"/>
    <w:rsid w:val="00555CC4"/>
    <w:rsid w:val="00555D44"/>
    <w:rsid w:val="00557C2F"/>
    <w:rsid w:val="0056228F"/>
    <w:rsid w:val="00562F9E"/>
    <w:rsid w:val="005647B6"/>
    <w:rsid w:val="0056596F"/>
    <w:rsid w:val="005679B4"/>
    <w:rsid w:val="00567A71"/>
    <w:rsid w:val="00570D82"/>
    <w:rsid w:val="00571C21"/>
    <w:rsid w:val="005732E0"/>
    <w:rsid w:val="00573E80"/>
    <w:rsid w:val="00573F8B"/>
    <w:rsid w:val="00574D5F"/>
    <w:rsid w:val="00577361"/>
    <w:rsid w:val="005774B9"/>
    <w:rsid w:val="00580141"/>
    <w:rsid w:val="00580695"/>
    <w:rsid w:val="00580871"/>
    <w:rsid w:val="005814B5"/>
    <w:rsid w:val="00581829"/>
    <w:rsid w:val="00582723"/>
    <w:rsid w:val="0058392B"/>
    <w:rsid w:val="0058398D"/>
    <w:rsid w:val="00583E4B"/>
    <w:rsid w:val="0058659D"/>
    <w:rsid w:val="00586667"/>
    <w:rsid w:val="00586A7E"/>
    <w:rsid w:val="00586C35"/>
    <w:rsid w:val="0059019B"/>
    <w:rsid w:val="005908B2"/>
    <w:rsid w:val="005909BB"/>
    <w:rsid w:val="00591B93"/>
    <w:rsid w:val="00591F68"/>
    <w:rsid w:val="00592B40"/>
    <w:rsid w:val="005946B6"/>
    <w:rsid w:val="005951D6"/>
    <w:rsid w:val="00595318"/>
    <w:rsid w:val="005953C4"/>
    <w:rsid w:val="00596669"/>
    <w:rsid w:val="005975E2"/>
    <w:rsid w:val="005A02E1"/>
    <w:rsid w:val="005A313D"/>
    <w:rsid w:val="005A324D"/>
    <w:rsid w:val="005A32DA"/>
    <w:rsid w:val="005A3656"/>
    <w:rsid w:val="005A3804"/>
    <w:rsid w:val="005A41C9"/>
    <w:rsid w:val="005A4408"/>
    <w:rsid w:val="005A4621"/>
    <w:rsid w:val="005A4A88"/>
    <w:rsid w:val="005A4CF1"/>
    <w:rsid w:val="005A5AD3"/>
    <w:rsid w:val="005A75B7"/>
    <w:rsid w:val="005A78CA"/>
    <w:rsid w:val="005A7A18"/>
    <w:rsid w:val="005B54A2"/>
    <w:rsid w:val="005B5EB9"/>
    <w:rsid w:val="005B657F"/>
    <w:rsid w:val="005B69BD"/>
    <w:rsid w:val="005B6CE5"/>
    <w:rsid w:val="005C102F"/>
    <w:rsid w:val="005C136E"/>
    <w:rsid w:val="005C2A5A"/>
    <w:rsid w:val="005C2CFD"/>
    <w:rsid w:val="005C353C"/>
    <w:rsid w:val="005C4B91"/>
    <w:rsid w:val="005C509C"/>
    <w:rsid w:val="005C53F3"/>
    <w:rsid w:val="005C60E4"/>
    <w:rsid w:val="005C665A"/>
    <w:rsid w:val="005D00D4"/>
    <w:rsid w:val="005D0B42"/>
    <w:rsid w:val="005D0F51"/>
    <w:rsid w:val="005D12B9"/>
    <w:rsid w:val="005D1D69"/>
    <w:rsid w:val="005D3576"/>
    <w:rsid w:val="005D3AFC"/>
    <w:rsid w:val="005D3E9D"/>
    <w:rsid w:val="005D43A8"/>
    <w:rsid w:val="005D4EFF"/>
    <w:rsid w:val="005D5242"/>
    <w:rsid w:val="005D5CE7"/>
    <w:rsid w:val="005D63B7"/>
    <w:rsid w:val="005D70F2"/>
    <w:rsid w:val="005D7E5B"/>
    <w:rsid w:val="005E160C"/>
    <w:rsid w:val="005E2844"/>
    <w:rsid w:val="005E297F"/>
    <w:rsid w:val="005E2F27"/>
    <w:rsid w:val="005E321B"/>
    <w:rsid w:val="005E4B12"/>
    <w:rsid w:val="005E525C"/>
    <w:rsid w:val="005E64D3"/>
    <w:rsid w:val="005E6E2E"/>
    <w:rsid w:val="005E761F"/>
    <w:rsid w:val="005F093A"/>
    <w:rsid w:val="005F0DF6"/>
    <w:rsid w:val="005F24BB"/>
    <w:rsid w:val="005F28AE"/>
    <w:rsid w:val="005F3A8D"/>
    <w:rsid w:val="005F6D4D"/>
    <w:rsid w:val="006006A4"/>
    <w:rsid w:val="00600BDE"/>
    <w:rsid w:val="00600E5B"/>
    <w:rsid w:val="00601130"/>
    <w:rsid w:val="00601404"/>
    <w:rsid w:val="006032A6"/>
    <w:rsid w:val="00603C7B"/>
    <w:rsid w:val="006040D8"/>
    <w:rsid w:val="006041A2"/>
    <w:rsid w:val="00605E92"/>
    <w:rsid w:val="006078C7"/>
    <w:rsid w:val="006105C8"/>
    <w:rsid w:val="006114F4"/>
    <w:rsid w:val="006137D4"/>
    <w:rsid w:val="00613D8C"/>
    <w:rsid w:val="00613E01"/>
    <w:rsid w:val="006146CF"/>
    <w:rsid w:val="00615A5C"/>
    <w:rsid w:val="00616014"/>
    <w:rsid w:val="00617575"/>
    <w:rsid w:val="00617E8B"/>
    <w:rsid w:val="00620208"/>
    <w:rsid w:val="00620DE3"/>
    <w:rsid w:val="0062158F"/>
    <w:rsid w:val="00622FB9"/>
    <w:rsid w:val="0062467F"/>
    <w:rsid w:val="00624B6F"/>
    <w:rsid w:val="00624F62"/>
    <w:rsid w:val="006256D3"/>
    <w:rsid w:val="0062580B"/>
    <w:rsid w:val="00625846"/>
    <w:rsid w:val="00625ACD"/>
    <w:rsid w:val="00625BC9"/>
    <w:rsid w:val="00626AAF"/>
    <w:rsid w:val="00626ACC"/>
    <w:rsid w:val="006270A9"/>
    <w:rsid w:val="00627BB7"/>
    <w:rsid w:val="00627E65"/>
    <w:rsid w:val="00630583"/>
    <w:rsid w:val="006307E0"/>
    <w:rsid w:val="006308CF"/>
    <w:rsid w:val="00633B97"/>
    <w:rsid w:val="00633CFE"/>
    <w:rsid w:val="00633DD5"/>
    <w:rsid w:val="00634C3E"/>
    <w:rsid w:val="00634F24"/>
    <w:rsid w:val="00635ED0"/>
    <w:rsid w:val="006369FD"/>
    <w:rsid w:val="00636B62"/>
    <w:rsid w:val="0064183C"/>
    <w:rsid w:val="006432D0"/>
    <w:rsid w:val="00643592"/>
    <w:rsid w:val="00644238"/>
    <w:rsid w:val="006443D2"/>
    <w:rsid w:val="00644A13"/>
    <w:rsid w:val="00645C8C"/>
    <w:rsid w:val="0064639B"/>
    <w:rsid w:val="006464E3"/>
    <w:rsid w:val="00646FF5"/>
    <w:rsid w:val="006478B4"/>
    <w:rsid w:val="00647B1E"/>
    <w:rsid w:val="0065127D"/>
    <w:rsid w:val="0065136E"/>
    <w:rsid w:val="006559BB"/>
    <w:rsid w:val="006567F6"/>
    <w:rsid w:val="00656BBF"/>
    <w:rsid w:val="0065726C"/>
    <w:rsid w:val="006574AD"/>
    <w:rsid w:val="00660691"/>
    <w:rsid w:val="006612A0"/>
    <w:rsid w:val="00661E90"/>
    <w:rsid w:val="00662CD5"/>
    <w:rsid w:val="006631A2"/>
    <w:rsid w:val="00663732"/>
    <w:rsid w:val="006646B9"/>
    <w:rsid w:val="006656E1"/>
    <w:rsid w:val="00665B62"/>
    <w:rsid w:val="00666EE5"/>
    <w:rsid w:val="006674A7"/>
    <w:rsid w:val="00667E1E"/>
    <w:rsid w:val="00670D71"/>
    <w:rsid w:val="00670EBF"/>
    <w:rsid w:val="006712F6"/>
    <w:rsid w:val="0067160D"/>
    <w:rsid w:val="00671ED8"/>
    <w:rsid w:val="006728F4"/>
    <w:rsid w:val="00672A78"/>
    <w:rsid w:val="00674A48"/>
    <w:rsid w:val="00675168"/>
    <w:rsid w:val="0067607E"/>
    <w:rsid w:val="00676267"/>
    <w:rsid w:val="00676B0D"/>
    <w:rsid w:val="00676F93"/>
    <w:rsid w:val="00677029"/>
    <w:rsid w:val="006802FB"/>
    <w:rsid w:val="00680FBF"/>
    <w:rsid w:val="0068105F"/>
    <w:rsid w:val="006817ED"/>
    <w:rsid w:val="006819FA"/>
    <w:rsid w:val="006821F4"/>
    <w:rsid w:val="006823FE"/>
    <w:rsid w:val="0068385F"/>
    <w:rsid w:val="00686F0D"/>
    <w:rsid w:val="006874C9"/>
    <w:rsid w:val="006923A9"/>
    <w:rsid w:val="006924D5"/>
    <w:rsid w:val="006925E6"/>
    <w:rsid w:val="00692FBD"/>
    <w:rsid w:val="006941B2"/>
    <w:rsid w:val="006954F7"/>
    <w:rsid w:val="00695735"/>
    <w:rsid w:val="00696CD3"/>
    <w:rsid w:val="006A0B54"/>
    <w:rsid w:val="006A102F"/>
    <w:rsid w:val="006A24F1"/>
    <w:rsid w:val="006A2C5A"/>
    <w:rsid w:val="006A2C8D"/>
    <w:rsid w:val="006A4032"/>
    <w:rsid w:val="006A4C5B"/>
    <w:rsid w:val="006A5240"/>
    <w:rsid w:val="006A663F"/>
    <w:rsid w:val="006A7C3C"/>
    <w:rsid w:val="006A7C47"/>
    <w:rsid w:val="006A7D7C"/>
    <w:rsid w:val="006A7F7E"/>
    <w:rsid w:val="006B0BAB"/>
    <w:rsid w:val="006B1364"/>
    <w:rsid w:val="006B2AFB"/>
    <w:rsid w:val="006B42D7"/>
    <w:rsid w:val="006B595B"/>
    <w:rsid w:val="006B6981"/>
    <w:rsid w:val="006B6F03"/>
    <w:rsid w:val="006B74A1"/>
    <w:rsid w:val="006B7585"/>
    <w:rsid w:val="006C0D7B"/>
    <w:rsid w:val="006C120C"/>
    <w:rsid w:val="006C15C3"/>
    <w:rsid w:val="006C1657"/>
    <w:rsid w:val="006C2281"/>
    <w:rsid w:val="006C3F1C"/>
    <w:rsid w:val="006C4234"/>
    <w:rsid w:val="006C4E73"/>
    <w:rsid w:val="006C6047"/>
    <w:rsid w:val="006C6093"/>
    <w:rsid w:val="006C63FB"/>
    <w:rsid w:val="006C72B2"/>
    <w:rsid w:val="006C79A5"/>
    <w:rsid w:val="006C7F1C"/>
    <w:rsid w:val="006D1624"/>
    <w:rsid w:val="006D32FC"/>
    <w:rsid w:val="006D3531"/>
    <w:rsid w:val="006D37D1"/>
    <w:rsid w:val="006D4FE3"/>
    <w:rsid w:val="006D57CA"/>
    <w:rsid w:val="006D5829"/>
    <w:rsid w:val="006D598A"/>
    <w:rsid w:val="006D6A50"/>
    <w:rsid w:val="006D777A"/>
    <w:rsid w:val="006D7EBC"/>
    <w:rsid w:val="006E10B2"/>
    <w:rsid w:val="006E1DF2"/>
    <w:rsid w:val="006E2CAB"/>
    <w:rsid w:val="006E2F73"/>
    <w:rsid w:val="006E322F"/>
    <w:rsid w:val="006E3E7E"/>
    <w:rsid w:val="006E414B"/>
    <w:rsid w:val="006E53B3"/>
    <w:rsid w:val="006E71C7"/>
    <w:rsid w:val="006E735B"/>
    <w:rsid w:val="006E73DA"/>
    <w:rsid w:val="006E7DCE"/>
    <w:rsid w:val="006F17E1"/>
    <w:rsid w:val="006F21D2"/>
    <w:rsid w:val="006F4CE4"/>
    <w:rsid w:val="006F4FD1"/>
    <w:rsid w:val="006F558D"/>
    <w:rsid w:val="006F5710"/>
    <w:rsid w:val="006F57A0"/>
    <w:rsid w:val="006F5D9A"/>
    <w:rsid w:val="006F72F5"/>
    <w:rsid w:val="00700D66"/>
    <w:rsid w:val="00701409"/>
    <w:rsid w:val="00701FF8"/>
    <w:rsid w:val="0070238D"/>
    <w:rsid w:val="00702CD4"/>
    <w:rsid w:val="00703094"/>
    <w:rsid w:val="00703560"/>
    <w:rsid w:val="00704976"/>
    <w:rsid w:val="007050FF"/>
    <w:rsid w:val="00706EAB"/>
    <w:rsid w:val="00710352"/>
    <w:rsid w:val="007107C4"/>
    <w:rsid w:val="00710D2E"/>
    <w:rsid w:val="00710D52"/>
    <w:rsid w:val="00710E87"/>
    <w:rsid w:val="007114B2"/>
    <w:rsid w:val="00711BC0"/>
    <w:rsid w:val="00713E0D"/>
    <w:rsid w:val="0071431A"/>
    <w:rsid w:val="00714E11"/>
    <w:rsid w:val="00715CB9"/>
    <w:rsid w:val="00716705"/>
    <w:rsid w:val="00717CA8"/>
    <w:rsid w:val="00720451"/>
    <w:rsid w:val="00720947"/>
    <w:rsid w:val="00720F75"/>
    <w:rsid w:val="007221A9"/>
    <w:rsid w:val="0072227C"/>
    <w:rsid w:val="0072232A"/>
    <w:rsid w:val="00722C56"/>
    <w:rsid w:val="00722C82"/>
    <w:rsid w:val="007231DF"/>
    <w:rsid w:val="00723444"/>
    <w:rsid w:val="00723515"/>
    <w:rsid w:val="007239DA"/>
    <w:rsid w:val="007245C5"/>
    <w:rsid w:val="00724AF7"/>
    <w:rsid w:val="00725111"/>
    <w:rsid w:val="00725C22"/>
    <w:rsid w:val="0072606C"/>
    <w:rsid w:val="007314CE"/>
    <w:rsid w:val="007319AB"/>
    <w:rsid w:val="007319CE"/>
    <w:rsid w:val="00732405"/>
    <w:rsid w:val="00732B82"/>
    <w:rsid w:val="007333FE"/>
    <w:rsid w:val="00733561"/>
    <w:rsid w:val="00735327"/>
    <w:rsid w:val="00735343"/>
    <w:rsid w:val="00736511"/>
    <w:rsid w:val="00736E0B"/>
    <w:rsid w:val="0073706F"/>
    <w:rsid w:val="007400DD"/>
    <w:rsid w:val="00740446"/>
    <w:rsid w:val="00740865"/>
    <w:rsid w:val="00744554"/>
    <w:rsid w:val="0074567B"/>
    <w:rsid w:val="00745A41"/>
    <w:rsid w:val="00747102"/>
    <w:rsid w:val="00747962"/>
    <w:rsid w:val="00747E18"/>
    <w:rsid w:val="00750416"/>
    <w:rsid w:val="00751B3E"/>
    <w:rsid w:val="00751CEA"/>
    <w:rsid w:val="00751FF2"/>
    <w:rsid w:val="00752764"/>
    <w:rsid w:val="0075376A"/>
    <w:rsid w:val="00753CDA"/>
    <w:rsid w:val="00755504"/>
    <w:rsid w:val="007558F4"/>
    <w:rsid w:val="00755F14"/>
    <w:rsid w:val="00756669"/>
    <w:rsid w:val="00756E28"/>
    <w:rsid w:val="00757B26"/>
    <w:rsid w:val="00757D03"/>
    <w:rsid w:val="007610F9"/>
    <w:rsid w:val="00761FB6"/>
    <w:rsid w:val="007632DC"/>
    <w:rsid w:val="007644D6"/>
    <w:rsid w:val="007646FE"/>
    <w:rsid w:val="007650B5"/>
    <w:rsid w:val="00765AD3"/>
    <w:rsid w:val="00766186"/>
    <w:rsid w:val="00766962"/>
    <w:rsid w:val="007672B7"/>
    <w:rsid w:val="0076745F"/>
    <w:rsid w:val="00767524"/>
    <w:rsid w:val="00771645"/>
    <w:rsid w:val="00772106"/>
    <w:rsid w:val="00772619"/>
    <w:rsid w:val="0077267E"/>
    <w:rsid w:val="00772F09"/>
    <w:rsid w:val="00773E4B"/>
    <w:rsid w:val="00774079"/>
    <w:rsid w:val="007740B7"/>
    <w:rsid w:val="007743CD"/>
    <w:rsid w:val="00775287"/>
    <w:rsid w:val="00775CD8"/>
    <w:rsid w:val="0077681D"/>
    <w:rsid w:val="007768A1"/>
    <w:rsid w:val="00776C90"/>
    <w:rsid w:val="00776FB3"/>
    <w:rsid w:val="0078135F"/>
    <w:rsid w:val="00782369"/>
    <w:rsid w:val="00782645"/>
    <w:rsid w:val="00782D04"/>
    <w:rsid w:val="007831D2"/>
    <w:rsid w:val="00784983"/>
    <w:rsid w:val="00784C15"/>
    <w:rsid w:val="007855E1"/>
    <w:rsid w:val="00785623"/>
    <w:rsid w:val="0078678C"/>
    <w:rsid w:val="007867BB"/>
    <w:rsid w:val="00787271"/>
    <w:rsid w:val="007877ED"/>
    <w:rsid w:val="00787E33"/>
    <w:rsid w:val="00790432"/>
    <w:rsid w:val="0079083B"/>
    <w:rsid w:val="00790C01"/>
    <w:rsid w:val="00792EB2"/>
    <w:rsid w:val="007933C8"/>
    <w:rsid w:val="0079366D"/>
    <w:rsid w:val="00793F47"/>
    <w:rsid w:val="00793F5F"/>
    <w:rsid w:val="00795936"/>
    <w:rsid w:val="007959E4"/>
    <w:rsid w:val="00796924"/>
    <w:rsid w:val="00796E77"/>
    <w:rsid w:val="00797432"/>
    <w:rsid w:val="00797BC5"/>
    <w:rsid w:val="007A0716"/>
    <w:rsid w:val="007A1335"/>
    <w:rsid w:val="007A243E"/>
    <w:rsid w:val="007A27BC"/>
    <w:rsid w:val="007A2A6E"/>
    <w:rsid w:val="007A2D1C"/>
    <w:rsid w:val="007A3CB6"/>
    <w:rsid w:val="007A46B4"/>
    <w:rsid w:val="007A4875"/>
    <w:rsid w:val="007A492D"/>
    <w:rsid w:val="007A4B88"/>
    <w:rsid w:val="007A4ECA"/>
    <w:rsid w:val="007A61B7"/>
    <w:rsid w:val="007A6CC3"/>
    <w:rsid w:val="007A7DAB"/>
    <w:rsid w:val="007B0668"/>
    <w:rsid w:val="007B18DD"/>
    <w:rsid w:val="007B1E33"/>
    <w:rsid w:val="007B228B"/>
    <w:rsid w:val="007B2601"/>
    <w:rsid w:val="007B2641"/>
    <w:rsid w:val="007B26DA"/>
    <w:rsid w:val="007B3700"/>
    <w:rsid w:val="007B531C"/>
    <w:rsid w:val="007B5A9D"/>
    <w:rsid w:val="007C01AC"/>
    <w:rsid w:val="007C108F"/>
    <w:rsid w:val="007C13FC"/>
    <w:rsid w:val="007C1B02"/>
    <w:rsid w:val="007C3013"/>
    <w:rsid w:val="007C37F9"/>
    <w:rsid w:val="007C47AE"/>
    <w:rsid w:val="007C5105"/>
    <w:rsid w:val="007C638F"/>
    <w:rsid w:val="007C6B16"/>
    <w:rsid w:val="007C6E09"/>
    <w:rsid w:val="007C7095"/>
    <w:rsid w:val="007D02A0"/>
    <w:rsid w:val="007D0AE2"/>
    <w:rsid w:val="007D1330"/>
    <w:rsid w:val="007D1724"/>
    <w:rsid w:val="007D188B"/>
    <w:rsid w:val="007D33F4"/>
    <w:rsid w:val="007D3C31"/>
    <w:rsid w:val="007D3C57"/>
    <w:rsid w:val="007D5070"/>
    <w:rsid w:val="007D6DA7"/>
    <w:rsid w:val="007D6EB5"/>
    <w:rsid w:val="007D744B"/>
    <w:rsid w:val="007E0A1A"/>
    <w:rsid w:val="007E0EA4"/>
    <w:rsid w:val="007E2564"/>
    <w:rsid w:val="007E27A5"/>
    <w:rsid w:val="007E2D4B"/>
    <w:rsid w:val="007E33F7"/>
    <w:rsid w:val="007E3865"/>
    <w:rsid w:val="007E3BFD"/>
    <w:rsid w:val="007E45A0"/>
    <w:rsid w:val="007E471B"/>
    <w:rsid w:val="007E67D9"/>
    <w:rsid w:val="007F0728"/>
    <w:rsid w:val="007F0A14"/>
    <w:rsid w:val="007F0D77"/>
    <w:rsid w:val="007F1FA4"/>
    <w:rsid w:val="007F2AF9"/>
    <w:rsid w:val="007F3094"/>
    <w:rsid w:val="007F3ABE"/>
    <w:rsid w:val="007F3E4C"/>
    <w:rsid w:val="007F501B"/>
    <w:rsid w:val="007F5D74"/>
    <w:rsid w:val="007F6533"/>
    <w:rsid w:val="00800F14"/>
    <w:rsid w:val="00801256"/>
    <w:rsid w:val="00801FCF"/>
    <w:rsid w:val="00802289"/>
    <w:rsid w:val="00802652"/>
    <w:rsid w:val="00802C57"/>
    <w:rsid w:val="00805B32"/>
    <w:rsid w:val="0080772E"/>
    <w:rsid w:val="00807A78"/>
    <w:rsid w:val="00811FC9"/>
    <w:rsid w:val="0081351B"/>
    <w:rsid w:val="00814C9F"/>
    <w:rsid w:val="0081667C"/>
    <w:rsid w:val="00816808"/>
    <w:rsid w:val="008173F3"/>
    <w:rsid w:val="0081781D"/>
    <w:rsid w:val="008224F2"/>
    <w:rsid w:val="00822751"/>
    <w:rsid w:val="00823903"/>
    <w:rsid w:val="00823FF6"/>
    <w:rsid w:val="00824E43"/>
    <w:rsid w:val="00824F48"/>
    <w:rsid w:val="00825424"/>
    <w:rsid w:val="00825A5B"/>
    <w:rsid w:val="00825F74"/>
    <w:rsid w:val="00826709"/>
    <w:rsid w:val="008267C6"/>
    <w:rsid w:val="00826FC6"/>
    <w:rsid w:val="008276E8"/>
    <w:rsid w:val="00827D03"/>
    <w:rsid w:val="00830610"/>
    <w:rsid w:val="00830E41"/>
    <w:rsid w:val="008328E9"/>
    <w:rsid w:val="00833347"/>
    <w:rsid w:val="00834967"/>
    <w:rsid w:val="00834C83"/>
    <w:rsid w:val="00834FE6"/>
    <w:rsid w:val="00835082"/>
    <w:rsid w:val="0083589B"/>
    <w:rsid w:val="00835BCB"/>
    <w:rsid w:val="00835CDC"/>
    <w:rsid w:val="00840536"/>
    <w:rsid w:val="008424C6"/>
    <w:rsid w:val="00842E75"/>
    <w:rsid w:val="00844E61"/>
    <w:rsid w:val="00845248"/>
    <w:rsid w:val="0084654B"/>
    <w:rsid w:val="00847570"/>
    <w:rsid w:val="00847625"/>
    <w:rsid w:val="008508CC"/>
    <w:rsid w:val="00850B09"/>
    <w:rsid w:val="008510C3"/>
    <w:rsid w:val="0085126E"/>
    <w:rsid w:val="00851E50"/>
    <w:rsid w:val="00852199"/>
    <w:rsid w:val="00852801"/>
    <w:rsid w:val="00852A48"/>
    <w:rsid w:val="00853C6D"/>
    <w:rsid w:val="0085489C"/>
    <w:rsid w:val="00855EBF"/>
    <w:rsid w:val="00856977"/>
    <w:rsid w:val="0085742B"/>
    <w:rsid w:val="0086106F"/>
    <w:rsid w:val="0086116F"/>
    <w:rsid w:val="0086165A"/>
    <w:rsid w:val="00862FC2"/>
    <w:rsid w:val="0086305C"/>
    <w:rsid w:val="00863425"/>
    <w:rsid w:val="00863B9D"/>
    <w:rsid w:val="00863BE6"/>
    <w:rsid w:val="0086541E"/>
    <w:rsid w:val="008662B7"/>
    <w:rsid w:val="00866F17"/>
    <w:rsid w:val="00870CB6"/>
    <w:rsid w:val="00872444"/>
    <w:rsid w:val="0087246A"/>
    <w:rsid w:val="00872B40"/>
    <w:rsid w:val="008737DE"/>
    <w:rsid w:val="00877012"/>
    <w:rsid w:val="008775BC"/>
    <w:rsid w:val="00877FE8"/>
    <w:rsid w:val="008803E6"/>
    <w:rsid w:val="00880FB8"/>
    <w:rsid w:val="00881800"/>
    <w:rsid w:val="008824F8"/>
    <w:rsid w:val="008825A0"/>
    <w:rsid w:val="00882609"/>
    <w:rsid w:val="00882C56"/>
    <w:rsid w:val="00882F1B"/>
    <w:rsid w:val="00883712"/>
    <w:rsid w:val="008845B7"/>
    <w:rsid w:val="00884A5D"/>
    <w:rsid w:val="00885591"/>
    <w:rsid w:val="008855BC"/>
    <w:rsid w:val="00886131"/>
    <w:rsid w:val="008861B8"/>
    <w:rsid w:val="00886249"/>
    <w:rsid w:val="00886676"/>
    <w:rsid w:val="00886C90"/>
    <w:rsid w:val="00890496"/>
    <w:rsid w:val="00890809"/>
    <w:rsid w:val="00891CBE"/>
    <w:rsid w:val="0089261A"/>
    <w:rsid w:val="00892CE9"/>
    <w:rsid w:val="00893636"/>
    <w:rsid w:val="008940A6"/>
    <w:rsid w:val="00894C5C"/>
    <w:rsid w:val="00894CE5"/>
    <w:rsid w:val="0089506B"/>
    <w:rsid w:val="00895280"/>
    <w:rsid w:val="00896643"/>
    <w:rsid w:val="00896D37"/>
    <w:rsid w:val="008A1922"/>
    <w:rsid w:val="008A1F61"/>
    <w:rsid w:val="008A236E"/>
    <w:rsid w:val="008A23C2"/>
    <w:rsid w:val="008A347C"/>
    <w:rsid w:val="008A35E8"/>
    <w:rsid w:val="008A3B21"/>
    <w:rsid w:val="008A4B2A"/>
    <w:rsid w:val="008A63B8"/>
    <w:rsid w:val="008A70CE"/>
    <w:rsid w:val="008A73A2"/>
    <w:rsid w:val="008A73C8"/>
    <w:rsid w:val="008A7E5E"/>
    <w:rsid w:val="008B1247"/>
    <w:rsid w:val="008B157F"/>
    <w:rsid w:val="008B2ABF"/>
    <w:rsid w:val="008B2B9E"/>
    <w:rsid w:val="008B645E"/>
    <w:rsid w:val="008B654C"/>
    <w:rsid w:val="008B65DD"/>
    <w:rsid w:val="008C0483"/>
    <w:rsid w:val="008C0AA6"/>
    <w:rsid w:val="008C18DC"/>
    <w:rsid w:val="008C22B4"/>
    <w:rsid w:val="008C25E4"/>
    <w:rsid w:val="008C2DAE"/>
    <w:rsid w:val="008C33A8"/>
    <w:rsid w:val="008C35B8"/>
    <w:rsid w:val="008C3A00"/>
    <w:rsid w:val="008C4848"/>
    <w:rsid w:val="008C6372"/>
    <w:rsid w:val="008C703C"/>
    <w:rsid w:val="008C7774"/>
    <w:rsid w:val="008D03AE"/>
    <w:rsid w:val="008D106E"/>
    <w:rsid w:val="008D13C8"/>
    <w:rsid w:val="008D17FC"/>
    <w:rsid w:val="008D2D48"/>
    <w:rsid w:val="008D35AB"/>
    <w:rsid w:val="008D5860"/>
    <w:rsid w:val="008D5BB1"/>
    <w:rsid w:val="008D6157"/>
    <w:rsid w:val="008D76BB"/>
    <w:rsid w:val="008E00BF"/>
    <w:rsid w:val="008E3029"/>
    <w:rsid w:val="008E36DB"/>
    <w:rsid w:val="008E4885"/>
    <w:rsid w:val="008E48BA"/>
    <w:rsid w:val="008E55BA"/>
    <w:rsid w:val="008E5EE1"/>
    <w:rsid w:val="008E66EE"/>
    <w:rsid w:val="008E683D"/>
    <w:rsid w:val="008E6995"/>
    <w:rsid w:val="008F1C5D"/>
    <w:rsid w:val="008F4B8B"/>
    <w:rsid w:val="008F4DA8"/>
    <w:rsid w:val="008F5C19"/>
    <w:rsid w:val="008F5CCF"/>
    <w:rsid w:val="008F5E92"/>
    <w:rsid w:val="008F5F4B"/>
    <w:rsid w:val="008F7A15"/>
    <w:rsid w:val="008F7FC4"/>
    <w:rsid w:val="00900074"/>
    <w:rsid w:val="00900459"/>
    <w:rsid w:val="00900A1A"/>
    <w:rsid w:val="00900C65"/>
    <w:rsid w:val="0090114F"/>
    <w:rsid w:val="00902261"/>
    <w:rsid w:val="00903E7A"/>
    <w:rsid w:val="00904A56"/>
    <w:rsid w:val="00904C0A"/>
    <w:rsid w:val="009059A9"/>
    <w:rsid w:val="009063E7"/>
    <w:rsid w:val="0090753F"/>
    <w:rsid w:val="00910060"/>
    <w:rsid w:val="009108C7"/>
    <w:rsid w:val="00910C00"/>
    <w:rsid w:val="00911363"/>
    <w:rsid w:val="00911D78"/>
    <w:rsid w:val="009151C4"/>
    <w:rsid w:val="009153D4"/>
    <w:rsid w:val="00916078"/>
    <w:rsid w:val="00917B9D"/>
    <w:rsid w:val="00917DF5"/>
    <w:rsid w:val="00920FA8"/>
    <w:rsid w:val="009223BB"/>
    <w:rsid w:val="00922AC8"/>
    <w:rsid w:val="009232F2"/>
    <w:rsid w:val="00923342"/>
    <w:rsid w:val="009238C5"/>
    <w:rsid w:val="00923B9F"/>
    <w:rsid w:val="00923F44"/>
    <w:rsid w:val="009244AD"/>
    <w:rsid w:val="0092515E"/>
    <w:rsid w:val="00926A1B"/>
    <w:rsid w:val="009278C5"/>
    <w:rsid w:val="00927A2B"/>
    <w:rsid w:val="00930BA2"/>
    <w:rsid w:val="00931DCD"/>
    <w:rsid w:val="009330D6"/>
    <w:rsid w:val="0093328F"/>
    <w:rsid w:val="0093362F"/>
    <w:rsid w:val="00934BF9"/>
    <w:rsid w:val="00934D5D"/>
    <w:rsid w:val="00936293"/>
    <w:rsid w:val="009364F7"/>
    <w:rsid w:val="009377D4"/>
    <w:rsid w:val="0093795D"/>
    <w:rsid w:val="009379C8"/>
    <w:rsid w:val="009401C8"/>
    <w:rsid w:val="00940C29"/>
    <w:rsid w:val="0094138F"/>
    <w:rsid w:val="00941557"/>
    <w:rsid w:val="009417F0"/>
    <w:rsid w:val="00941945"/>
    <w:rsid w:val="00941E7E"/>
    <w:rsid w:val="00941F90"/>
    <w:rsid w:val="00942026"/>
    <w:rsid w:val="00942840"/>
    <w:rsid w:val="00942B3F"/>
    <w:rsid w:val="00942FBD"/>
    <w:rsid w:val="009433D2"/>
    <w:rsid w:val="00946B96"/>
    <w:rsid w:val="00946EF3"/>
    <w:rsid w:val="0094770B"/>
    <w:rsid w:val="00947DA1"/>
    <w:rsid w:val="0095098C"/>
    <w:rsid w:val="00952D57"/>
    <w:rsid w:val="00954B84"/>
    <w:rsid w:val="0095500A"/>
    <w:rsid w:val="0095593F"/>
    <w:rsid w:val="00955C94"/>
    <w:rsid w:val="0095723A"/>
    <w:rsid w:val="009574E5"/>
    <w:rsid w:val="00957F77"/>
    <w:rsid w:val="00960BF3"/>
    <w:rsid w:val="009616D3"/>
    <w:rsid w:val="00961C92"/>
    <w:rsid w:val="00962383"/>
    <w:rsid w:val="009645BE"/>
    <w:rsid w:val="009647EC"/>
    <w:rsid w:val="00965839"/>
    <w:rsid w:val="00965B6F"/>
    <w:rsid w:val="00966BF5"/>
    <w:rsid w:val="00966C0B"/>
    <w:rsid w:val="00967BB4"/>
    <w:rsid w:val="009705DA"/>
    <w:rsid w:val="00970747"/>
    <w:rsid w:val="009715DE"/>
    <w:rsid w:val="00972473"/>
    <w:rsid w:val="00972916"/>
    <w:rsid w:val="00973A19"/>
    <w:rsid w:val="00974BBB"/>
    <w:rsid w:val="00974E61"/>
    <w:rsid w:val="0097613E"/>
    <w:rsid w:val="00976533"/>
    <w:rsid w:val="00976D55"/>
    <w:rsid w:val="009803E8"/>
    <w:rsid w:val="00981C74"/>
    <w:rsid w:val="0098230A"/>
    <w:rsid w:val="00983E8B"/>
    <w:rsid w:val="00984926"/>
    <w:rsid w:val="0098711C"/>
    <w:rsid w:val="00987AA8"/>
    <w:rsid w:val="00990677"/>
    <w:rsid w:val="009911F5"/>
    <w:rsid w:val="0099128D"/>
    <w:rsid w:val="009916F4"/>
    <w:rsid w:val="0099187E"/>
    <w:rsid w:val="00991A7D"/>
    <w:rsid w:val="009924BD"/>
    <w:rsid w:val="00993751"/>
    <w:rsid w:val="00993B5C"/>
    <w:rsid w:val="00993E40"/>
    <w:rsid w:val="00995C3B"/>
    <w:rsid w:val="0099769F"/>
    <w:rsid w:val="00997B4C"/>
    <w:rsid w:val="00997B52"/>
    <w:rsid w:val="00997D8E"/>
    <w:rsid w:val="009A14E0"/>
    <w:rsid w:val="009A176F"/>
    <w:rsid w:val="009A25E0"/>
    <w:rsid w:val="009A29FB"/>
    <w:rsid w:val="009A2FB6"/>
    <w:rsid w:val="009A36BC"/>
    <w:rsid w:val="009A3BED"/>
    <w:rsid w:val="009A3C86"/>
    <w:rsid w:val="009A3EEF"/>
    <w:rsid w:val="009A4759"/>
    <w:rsid w:val="009A4FF6"/>
    <w:rsid w:val="009A51C2"/>
    <w:rsid w:val="009A5805"/>
    <w:rsid w:val="009A65E1"/>
    <w:rsid w:val="009A7727"/>
    <w:rsid w:val="009B0982"/>
    <w:rsid w:val="009B0B07"/>
    <w:rsid w:val="009B11E9"/>
    <w:rsid w:val="009B2267"/>
    <w:rsid w:val="009B2EB0"/>
    <w:rsid w:val="009B3163"/>
    <w:rsid w:val="009B3310"/>
    <w:rsid w:val="009B44BD"/>
    <w:rsid w:val="009B4FB3"/>
    <w:rsid w:val="009B5C76"/>
    <w:rsid w:val="009B6273"/>
    <w:rsid w:val="009B70F9"/>
    <w:rsid w:val="009B7477"/>
    <w:rsid w:val="009B75F1"/>
    <w:rsid w:val="009C13B9"/>
    <w:rsid w:val="009C1677"/>
    <w:rsid w:val="009C47C7"/>
    <w:rsid w:val="009C4D29"/>
    <w:rsid w:val="009C4E55"/>
    <w:rsid w:val="009C5380"/>
    <w:rsid w:val="009C55B1"/>
    <w:rsid w:val="009C5CE3"/>
    <w:rsid w:val="009C67A2"/>
    <w:rsid w:val="009D009D"/>
    <w:rsid w:val="009D09AD"/>
    <w:rsid w:val="009D0B87"/>
    <w:rsid w:val="009D13E0"/>
    <w:rsid w:val="009D1EC5"/>
    <w:rsid w:val="009D2783"/>
    <w:rsid w:val="009D2CC9"/>
    <w:rsid w:val="009D3819"/>
    <w:rsid w:val="009D425A"/>
    <w:rsid w:val="009D4761"/>
    <w:rsid w:val="009D5002"/>
    <w:rsid w:val="009D65B8"/>
    <w:rsid w:val="009D7BD2"/>
    <w:rsid w:val="009D7CF3"/>
    <w:rsid w:val="009E0AE8"/>
    <w:rsid w:val="009E0E95"/>
    <w:rsid w:val="009E3645"/>
    <w:rsid w:val="009E49FA"/>
    <w:rsid w:val="009E4AA0"/>
    <w:rsid w:val="009E4DC7"/>
    <w:rsid w:val="009E5117"/>
    <w:rsid w:val="009E5374"/>
    <w:rsid w:val="009E5BDE"/>
    <w:rsid w:val="009E699F"/>
    <w:rsid w:val="009E7D0C"/>
    <w:rsid w:val="009F0B00"/>
    <w:rsid w:val="009F2A50"/>
    <w:rsid w:val="009F345D"/>
    <w:rsid w:val="009F372A"/>
    <w:rsid w:val="009F406C"/>
    <w:rsid w:val="009F5180"/>
    <w:rsid w:val="009F5383"/>
    <w:rsid w:val="009F57D2"/>
    <w:rsid w:val="009F5E65"/>
    <w:rsid w:val="009F6586"/>
    <w:rsid w:val="009F6F1D"/>
    <w:rsid w:val="009F7208"/>
    <w:rsid w:val="00A0143B"/>
    <w:rsid w:val="00A03E09"/>
    <w:rsid w:val="00A03E56"/>
    <w:rsid w:val="00A0434C"/>
    <w:rsid w:val="00A04BB1"/>
    <w:rsid w:val="00A04F22"/>
    <w:rsid w:val="00A050C4"/>
    <w:rsid w:val="00A105B6"/>
    <w:rsid w:val="00A10F42"/>
    <w:rsid w:val="00A1302C"/>
    <w:rsid w:val="00A13218"/>
    <w:rsid w:val="00A134D2"/>
    <w:rsid w:val="00A1363E"/>
    <w:rsid w:val="00A136F7"/>
    <w:rsid w:val="00A146A7"/>
    <w:rsid w:val="00A14AD4"/>
    <w:rsid w:val="00A14DDB"/>
    <w:rsid w:val="00A1501B"/>
    <w:rsid w:val="00A154A5"/>
    <w:rsid w:val="00A167E4"/>
    <w:rsid w:val="00A171FC"/>
    <w:rsid w:val="00A17890"/>
    <w:rsid w:val="00A17CF2"/>
    <w:rsid w:val="00A20021"/>
    <w:rsid w:val="00A205DC"/>
    <w:rsid w:val="00A22579"/>
    <w:rsid w:val="00A227A3"/>
    <w:rsid w:val="00A22823"/>
    <w:rsid w:val="00A234FD"/>
    <w:rsid w:val="00A245AB"/>
    <w:rsid w:val="00A24A70"/>
    <w:rsid w:val="00A250D6"/>
    <w:rsid w:val="00A25F96"/>
    <w:rsid w:val="00A260F0"/>
    <w:rsid w:val="00A279A7"/>
    <w:rsid w:val="00A27E73"/>
    <w:rsid w:val="00A30780"/>
    <w:rsid w:val="00A31010"/>
    <w:rsid w:val="00A3128F"/>
    <w:rsid w:val="00A31490"/>
    <w:rsid w:val="00A315EE"/>
    <w:rsid w:val="00A32455"/>
    <w:rsid w:val="00A32C55"/>
    <w:rsid w:val="00A32C9A"/>
    <w:rsid w:val="00A32EA1"/>
    <w:rsid w:val="00A33165"/>
    <w:rsid w:val="00A342A6"/>
    <w:rsid w:val="00A35C6A"/>
    <w:rsid w:val="00A35D43"/>
    <w:rsid w:val="00A36110"/>
    <w:rsid w:val="00A36407"/>
    <w:rsid w:val="00A36C33"/>
    <w:rsid w:val="00A3777C"/>
    <w:rsid w:val="00A4108E"/>
    <w:rsid w:val="00A4183B"/>
    <w:rsid w:val="00A42238"/>
    <w:rsid w:val="00A42E5E"/>
    <w:rsid w:val="00A4305D"/>
    <w:rsid w:val="00A430ED"/>
    <w:rsid w:val="00A431A2"/>
    <w:rsid w:val="00A446A5"/>
    <w:rsid w:val="00A44D0A"/>
    <w:rsid w:val="00A47386"/>
    <w:rsid w:val="00A47A59"/>
    <w:rsid w:val="00A47D17"/>
    <w:rsid w:val="00A51FC7"/>
    <w:rsid w:val="00A523BE"/>
    <w:rsid w:val="00A5297A"/>
    <w:rsid w:val="00A53625"/>
    <w:rsid w:val="00A53F01"/>
    <w:rsid w:val="00A545D6"/>
    <w:rsid w:val="00A553C2"/>
    <w:rsid w:val="00A5575A"/>
    <w:rsid w:val="00A558E3"/>
    <w:rsid w:val="00A55E34"/>
    <w:rsid w:val="00A5646F"/>
    <w:rsid w:val="00A56C67"/>
    <w:rsid w:val="00A57073"/>
    <w:rsid w:val="00A5797D"/>
    <w:rsid w:val="00A57A90"/>
    <w:rsid w:val="00A57DA1"/>
    <w:rsid w:val="00A60B73"/>
    <w:rsid w:val="00A60D34"/>
    <w:rsid w:val="00A61887"/>
    <w:rsid w:val="00A6267E"/>
    <w:rsid w:val="00A632C7"/>
    <w:rsid w:val="00A64F9C"/>
    <w:rsid w:val="00A653DC"/>
    <w:rsid w:val="00A67D44"/>
    <w:rsid w:val="00A67F12"/>
    <w:rsid w:val="00A70BAE"/>
    <w:rsid w:val="00A717B3"/>
    <w:rsid w:val="00A71BFB"/>
    <w:rsid w:val="00A72C87"/>
    <w:rsid w:val="00A7307F"/>
    <w:rsid w:val="00A734D2"/>
    <w:rsid w:val="00A744EF"/>
    <w:rsid w:val="00A74D4B"/>
    <w:rsid w:val="00A74FCD"/>
    <w:rsid w:val="00A74FF1"/>
    <w:rsid w:val="00A75267"/>
    <w:rsid w:val="00A76AAD"/>
    <w:rsid w:val="00A76D19"/>
    <w:rsid w:val="00A7701F"/>
    <w:rsid w:val="00A77200"/>
    <w:rsid w:val="00A772AB"/>
    <w:rsid w:val="00A779A7"/>
    <w:rsid w:val="00A80080"/>
    <w:rsid w:val="00A80585"/>
    <w:rsid w:val="00A81018"/>
    <w:rsid w:val="00A82238"/>
    <w:rsid w:val="00A83F80"/>
    <w:rsid w:val="00A85520"/>
    <w:rsid w:val="00A8663A"/>
    <w:rsid w:val="00A86768"/>
    <w:rsid w:val="00A86DA6"/>
    <w:rsid w:val="00A8724D"/>
    <w:rsid w:val="00A87681"/>
    <w:rsid w:val="00A87A59"/>
    <w:rsid w:val="00A87BA0"/>
    <w:rsid w:val="00A900E8"/>
    <w:rsid w:val="00A90341"/>
    <w:rsid w:val="00A90C75"/>
    <w:rsid w:val="00A91246"/>
    <w:rsid w:val="00A917EF"/>
    <w:rsid w:val="00A925A3"/>
    <w:rsid w:val="00A93AD5"/>
    <w:rsid w:val="00A9471F"/>
    <w:rsid w:val="00A94C44"/>
    <w:rsid w:val="00A960C8"/>
    <w:rsid w:val="00A963BF"/>
    <w:rsid w:val="00A968DF"/>
    <w:rsid w:val="00AA024A"/>
    <w:rsid w:val="00AA0C67"/>
    <w:rsid w:val="00AA14FC"/>
    <w:rsid w:val="00AA1B8D"/>
    <w:rsid w:val="00AA1F55"/>
    <w:rsid w:val="00AA3DF1"/>
    <w:rsid w:val="00AA5751"/>
    <w:rsid w:val="00AA5AB6"/>
    <w:rsid w:val="00AA5DF5"/>
    <w:rsid w:val="00AA69CE"/>
    <w:rsid w:val="00AA7AFA"/>
    <w:rsid w:val="00AB0CA9"/>
    <w:rsid w:val="00AB232A"/>
    <w:rsid w:val="00AB4541"/>
    <w:rsid w:val="00AB4951"/>
    <w:rsid w:val="00AB4965"/>
    <w:rsid w:val="00AB49AB"/>
    <w:rsid w:val="00AB5653"/>
    <w:rsid w:val="00AB61F8"/>
    <w:rsid w:val="00AB73FC"/>
    <w:rsid w:val="00AC07E6"/>
    <w:rsid w:val="00AC07F1"/>
    <w:rsid w:val="00AC1C79"/>
    <w:rsid w:val="00AC3603"/>
    <w:rsid w:val="00AC5BA6"/>
    <w:rsid w:val="00AC6729"/>
    <w:rsid w:val="00AC6B8A"/>
    <w:rsid w:val="00AC7E21"/>
    <w:rsid w:val="00AD0595"/>
    <w:rsid w:val="00AD0650"/>
    <w:rsid w:val="00AD0AE9"/>
    <w:rsid w:val="00AD0EFD"/>
    <w:rsid w:val="00AD0F59"/>
    <w:rsid w:val="00AD1FB4"/>
    <w:rsid w:val="00AD2D43"/>
    <w:rsid w:val="00AD3CE9"/>
    <w:rsid w:val="00AD3EB7"/>
    <w:rsid w:val="00AD49CD"/>
    <w:rsid w:val="00AD6525"/>
    <w:rsid w:val="00AD6EB6"/>
    <w:rsid w:val="00AD751E"/>
    <w:rsid w:val="00AE109C"/>
    <w:rsid w:val="00AE14CA"/>
    <w:rsid w:val="00AE201B"/>
    <w:rsid w:val="00AE2219"/>
    <w:rsid w:val="00AE2808"/>
    <w:rsid w:val="00AE2A59"/>
    <w:rsid w:val="00AE2D1A"/>
    <w:rsid w:val="00AE2EA2"/>
    <w:rsid w:val="00AE3C1B"/>
    <w:rsid w:val="00AE402D"/>
    <w:rsid w:val="00AE43C7"/>
    <w:rsid w:val="00AE5291"/>
    <w:rsid w:val="00AE6660"/>
    <w:rsid w:val="00AE672A"/>
    <w:rsid w:val="00AF0D9D"/>
    <w:rsid w:val="00AF27AC"/>
    <w:rsid w:val="00AF3C32"/>
    <w:rsid w:val="00AF4483"/>
    <w:rsid w:val="00AF4D09"/>
    <w:rsid w:val="00AF539B"/>
    <w:rsid w:val="00AF5422"/>
    <w:rsid w:val="00AF597F"/>
    <w:rsid w:val="00AF5B5A"/>
    <w:rsid w:val="00AF5CB3"/>
    <w:rsid w:val="00AF5F70"/>
    <w:rsid w:val="00AF67BE"/>
    <w:rsid w:val="00AF749F"/>
    <w:rsid w:val="00AF7B2E"/>
    <w:rsid w:val="00B007D4"/>
    <w:rsid w:val="00B00E07"/>
    <w:rsid w:val="00B0187C"/>
    <w:rsid w:val="00B01C83"/>
    <w:rsid w:val="00B01FA5"/>
    <w:rsid w:val="00B022E5"/>
    <w:rsid w:val="00B025DD"/>
    <w:rsid w:val="00B03C55"/>
    <w:rsid w:val="00B04516"/>
    <w:rsid w:val="00B054BE"/>
    <w:rsid w:val="00B07108"/>
    <w:rsid w:val="00B101C9"/>
    <w:rsid w:val="00B108EC"/>
    <w:rsid w:val="00B10EA9"/>
    <w:rsid w:val="00B119AF"/>
    <w:rsid w:val="00B1295D"/>
    <w:rsid w:val="00B13A85"/>
    <w:rsid w:val="00B14F8E"/>
    <w:rsid w:val="00B153DB"/>
    <w:rsid w:val="00B15945"/>
    <w:rsid w:val="00B17032"/>
    <w:rsid w:val="00B205B9"/>
    <w:rsid w:val="00B2068E"/>
    <w:rsid w:val="00B20B9E"/>
    <w:rsid w:val="00B21D97"/>
    <w:rsid w:val="00B22316"/>
    <w:rsid w:val="00B23624"/>
    <w:rsid w:val="00B24EE0"/>
    <w:rsid w:val="00B25892"/>
    <w:rsid w:val="00B25F54"/>
    <w:rsid w:val="00B2601D"/>
    <w:rsid w:val="00B26242"/>
    <w:rsid w:val="00B27AB1"/>
    <w:rsid w:val="00B27B64"/>
    <w:rsid w:val="00B3105C"/>
    <w:rsid w:val="00B31256"/>
    <w:rsid w:val="00B315A0"/>
    <w:rsid w:val="00B32336"/>
    <w:rsid w:val="00B33709"/>
    <w:rsid w:val="00B33898"/>
    <w:rsid w:val="00B34756"/>
    <w:rsid w:val="00B34A18"/>
    <w:rsid w:val="00B35466"/>
    <w:rsid w:val="00B35FF3"/>
    <w:rsid w:val="00B362A8"/>
    <w:rsid w:val="00B3694E"/>
    <w:rsid w:val="00B37061"/>
    <w:rsid w:val="00B37DA4"/>
    <w:rsid w:val="00B45795"/>
    <w:rsid w:val="00B460F5"/>
    <w:rsid w:val="00B468CE"/>
    <w:rsid w:val="00B47662"/>
    <w:rsid w:val="00B47A0A"/>
    <w:rsid w:val="00B47A2B"/>
    <w:rsid w:val="00B47E10"/>
    <w:rsid w:val="00B5204A"/>
    <w:rsid w:val="00B52876"/>
    <w:rsid w:val="00B5292F"/>
    <w:rsid w:val="00B529D7"/>
    <w:rsid w:val="00B5318A"/>
    <w:rsid w:val="00B5364F"/>
    <w:rsid w:val="00B55BCE"/>
    <w:rsid w:val="00B56679"/>
    <w:rsid w:val="00B579CB"/>
    <w:rsid w:val="00B60835"/>
    <w:rsid w:val="00B60B96"/>
    <w:rsid w:val="00B61B3F"/>
    <w:rsid w:val="00B6236E"/>
    <w:rsid w:val="00B62468"/>
    <w:rsid w:val="00B626CD"/>
    <w:rsid w:val="00B6428C"/>
    <w:rsid w:val="00B66AC6"/>
    <w:rsid w:val="00B677D9"/>
    <w:rsid w:val="00B67EE6"/>
    <w:rsid w:val="00B70083"/>
    <w:rsid w:val="00B7171B"/>
    <w:rsid w:val="00B71B58"/>
    <w:rsid w:val="00B71CAF"/>
    <w:rsid w:val="00B73177"/>
    <w:rsid w:val="00B7366D"/>
    <w:rsid w:val="00B74DBC"/>
    <w:rsid w:val="00B75CAF"/>
    <w:rsid w:val="00B77030"/>
    <w:rsid w:val="00B77650"/>
    <w:rsid w:val="00B77808"/>
    <w:rsid w:val="00B8005A"/>
    <w:rsid w:val="00B821BB"/>
    <w:rsid w:val="00B82EC1"/>
    <w:rsid w:val="00B83775"/>
    <w:rsid w:val="00B837A3"/>
    <w:rsid w:val="00B83AD6"/>
    <w:rsid w:val="00B8400C"/>
    <w:rsid w:val="00B84445"/>
    <w:rsid w:val="00B8707C"/>
    <w:rsid w:val="00B87B18"/>
    <w:rsid w:val="00B91929"/>
    <w:rsid w:val="00B92F58"/>
    <w:rsid w:val="00B94C5D"/>
    <w:rsid w:val="00B9530B"/>
    <w:rsid w:val="00B9653E"/>
    <w:rsid w:val="00B9685D"/>
    <w:rsid w:val="00B97377"/>
    <w:rsid w:val="00BA0CB9"/>
    <w:rsid w:val="00BA0F3C"/>
    <w:rsid w:val="00BA1A86"/>
    <w:rsid w:val="00BA2789"/>
    <w:rsid w:val="00BA2947"/>
    <w:rsid w:val="00BA2DE3"/>
    <w:rsid w:val="00BA3BBF"/>
    <w:rsid w:val="00BA403E"/>
    <w:rsid w:val="00BA5048"/>
    <w:rsid w:val="00BA5C94"/>
    <w:rsid w:val="00BA5E73"/>
    <w:rsid w:val="00BA6543"/>
    <w:rsid w:val="00BA6557"/>
    <w:rsid w:val="00BA7107"/>
    <w:rsid w:val="00BA73D5"/>
    <w:rsid w:val="00BA7542"/>
    <w:rsid w:val="00BA7D11"/>
    <w:rsid w:val="00BB1A0B"/>
    <w:rsid w:val="00BB22EA"/>
    <w:rsid w:val="00BB28F6"/>
    <w:rsid w:val="00BB295B"/>
    <w:rsid w:val="00BB2C4B"/>
    <w:rsid w:val="00BB2DFA"/>
    <w:rsid w:val="00BB455D"/>
    <w:rsid w:val="00BB4A2E"/>
    <w:rsid w:val="00BB5CF1"/>
    <w:rsid w:val="00BB5F26"/>
    <w:rsid w:val="00BB6CC5"/>
    <w:rsid w:val="00BB6FA7"/>
    <w:rsid w:val="00BB73D3"/>
    <w:rsid w:val="00BB7AF1"/>
    <w:rsid w:val="00BC088A"/>
    <w:rsid w:val="00BC0EEC"/>
    <w:rsid w:val="00BC1123"/>
    <w:rsid w:val="00BC15DE"/>
    <w:rsid w:val="00BC2609"/>
    <w:rsid w:val="00BC2EB0"/>
    <w:rsid w:val="00BC32DC"/>
    <w:rsid w:val="00BC5A2F"/>
    <w:rsid w:val="00BC617C"/>
    <w:rsid w:val="00BC7774"/>
    <w:rsid w:val="00BD196C"/>
    <w:rsid w:val="00BD1DFC"/>
    <w:rsid w:val="00BD2756"/>
    <w:rsid w:val="00BD2863"/>
    <w:rsid w:val="00BD3DDE"/>
    <w:rsid w:val="00BD52E2"/>
    <w:rsid w:val="00BD5715"/>
    <w:rsid w:val="00BD5CBA"/>
    <w:rsid w:val="00BD60E7"/>
    <w:rsid w:val="00BD6DB2"/>
    <w:rsid w:val="00BD75DB"/>
    <w:rsid w:val="00BD778B"/>
    <w:rsid w:val="00BE05CF"/>
    <w:rsid w:val="00BE07A3"/>
    <w:rsid w:val="00BE08B5"/>
    <w:rsid w:val="00BE0A0F"/>
    <w:rsid w:val="00BE0C6F"/>
    <w:rsid w:val="00BE1BA2"/>
    <w:rsid w:val="00BE2571"/>
    <w:rsid w:val="00BE27BC"/>
    <w:rsid w:val="00BE3240"/>
    <w:rsid w:val="00BE48CD"/>
    <w:rsid w:val="00BE67F0"/>
    <w:rsid w:val="00BE69F0"/>
    <w:rsid w:val="00BF09C3"/>
    <w:rsid w:val="00BF0D31"/>
    <w:rsid w:val="00BF2BE8"/>
    <w:rsid w:val="00BF306E"/>
    <w:rsid w:val="00BF39D6"/>
    <w:rsid w:val="00BF3B3A"/>
    <w:rsid w:val="00BF4AFD"/>
    <w:rsid w:val="00BF4DB0"/>
    <w:rsid w:val="00BF5F30"/>
    <w:rsid w:val="00BF7BCA"/>
    <w:rsid w:val="00C00919"/>
    <w:rsid w:val="00C00A25"/>
    <w:rsid w:val="00C00B4D"/>
    <w:rsid w:val="00C0185E"/>
    <w:rsid w:val="00C0268B"/>
    <w:rsid w:val="00C02E87"/>
    <w:rsid w:val="00C03255"/>
    <w:rsid w:val="00C03734"/>
    <w:rsid w:val="00C03FC6"/>
    <w:rsid w:val="00C0407F"/>
    <w:rsid w:val="00C04BC6"/>
    <w:rsid w:val="00C0555B"/>
    <w:rsid w:val="00C06E57"/>
    <w:rsid w:val="00C06F03"/>
    <w:rsid w:val="00C07033"/>
    <w:rsid w:val="00C07DBD"/>
    <w:rsid w:val="00C1039F"/>
    <w:rsid w:val="00C10514"/>
    <w:rsid w:val="00C118DC"/>
    <w:rsid w:val="00C13145"/>
    <w:rsid w:val="00C13B23"/>
    <w:rsid w:val="00C13F4F"/>
    <w:rsid w:val="00C14316"/>
    <w:rsid w:val="00C14B83"/>
    <w:rsid w:val="00C14D49"/>
    <w:rsid w:val="00C16883"/>
    <w:rsid w:val="00C17496"/>
    <w:rsid w:val="00C2010A"/>
    <w:rsid w:val="00C21A80"/>
    <w:rsid w:val="00C22215"/>
    <w:rsid w:val="00C22635"/>
    <w:rsid w:val="00C2327D"/>
    <w:rsid w:val="00C23752"/>
    <w:rsid w:val="00C2406E"/>
    <w:rsid w:val="00C24075"/>
    <w:rsid w:val="00C2427E"/>
    <w:rsid w:val="00C26062"/>
    <w:rsid w:val="00C26079"/>
    <w:rsid w:val="00C263E4"/>
    <w:rsid w:val="00C303C3"/>
    <w:rsid w:val="00C3045E"/>
    <w:rsid w:val="00C309E0"/>
    <w:rsid w:val="00C31458"/>
    <w:rsid w:val="00C31C53"/>
    <w:rsid w:val="00C33E5A"/>
    <w:rsid w:val="00C342C9"/>
    <w:rsid w:val="00C34538"/>
    <w:rsid w:val="00C34747"/>
    <w:rsid w:val="00C35A35"/>
    <w:rsid w:val="00C35EBF"/>
    <w:rsid w:val="00C36222"/>
    <w:rsid w:val="00C36318"/>
    <w:rsid w:val="00C363F1"/>
    <w:rsid w:val="00C36C76"/>
    <w:rsid w:val="00C378FE"/>
    <w:rsid w:val="00C37A25"/>
    <w:rsid w:val="00C41113"/>
    <w:rsid w:val="00C42674"/>
    <w:rsid w:val="00C42F6F"/>
    <w:rsid w:val="00C43428"/>
    <w:rsid w:val="00C43683"/>
    <w:rsid w:val="00C45173"/>
    <w:rsid w:val="00C4545A"/>
    <w:rsid w:val="00C45606"/>
    <w:rsid w:val="00C467C8"/>
    <w:rsid w:val="00C46F9E"/>
    <w:rsid w:val="00C473F6"/>
    <w:rsid w:val="00C501D4"/>
    <w:rsid w:val="00C50540"/>
    <w:rsid w:val="00C50729"/>
    <w:rsid w:val="00C507DE"/>
    <w:rsid w:val="00C50D5E"/>
    <w:rsid w:val="00C518C9"/>
    <w:rsid w:val="00C52BA8"/>
    <w:rsid w:val="00C54315"/>
    <w:rsid w:val="00C543C6"/>
    <w:rsid w:val="00C54A21"/>
    <w:rsid w:val="00C54D5B"/>
    <w:rsid w:val="00C5516D"/>
    <w:rsid w:val="00C55CF1"/>
    <w:rsid w:val="00C57513"/>
    <w:rsid w:val="00C5783B"/>
    <w:rsid w:val="00C57BA5"/>
    <w:rsid w:val="00C57F39"/>
    <w:rsid w:val="00C61174"/>
    <w:rsid w:val="00C62007"/>
    <w:rsid w:val="00C62065"/>
    <w:rsid w:val="00C62675"/>
    <w:rsid w:val="00C63E27"/>
    <w:rsid w:val="00C65278"/>
    <w:rsid w:val="00C66CDE"/>
    <w:rsid w:val="00C70D1A"/>
    <w:rsid w:val="00C710C1"/>
    <w:rsid w:val="00C713AE"/>
    <w:rsid w:val="00C72A2A"/>
    <w:rsid w:val="00C730BF"/>
    <w:rsid w:val="00C73471"/>
    <w:rsid w:val="00C74413"/>
    <w:rsid w:val="00C7449E"/>
    <w:rsid w:val="00C74DB0"/>
    <w:rsid w:val="00C75087"/>
    <w:rsid w:val="00C7659C"/>
    <w:rsid w:val="00C80619"/>
    <w:rsid w:val="00C80A3E"/>
    <w:rsid w:val="00C81415"/>
    <w:rsid w:val="00C81805"/>
    <w:rsid w:val="00C819DA"/>
    <w:rsid w:val="00C820C3"/>
    <w:rsid w:val="00C8303A"/>
    <w:rsid w:val="00C83F9B"/>
    <w:rsid w:val="00C8597B"/>
    <w:rsid w:val="00C85D9D"/>
    <w:rsid w:val="00C865B8"/>
    <w:rsid w:val="00C86979"/>
    <w:rsid w:val="00C86BCB"/>
    <w:rsid w:val="00C907FE"/>
    <w:rsid w:val="00C908C0"/>
    <w:rsid w:val="00C911FC"/>
    <w:rsid w:val="00C91784"/>
    <w:rsid w:val="00C919EC"/>
    <w:rsid w:val="00C93113"/>
    <w:rsid w:val="00C93379"/>
    <w:rsid w:val="00C93FA8"/>
    <w:rsid w:val="00C946CD"/>
    <w:rsid w:val="00C94A20"/>
    <w:rsid w:val="00C94D44"/>
    <w:rsid w:val="00C954AB"/>
    <w:rsid w:val="00C96461"/>
    <w:rsid w:val="00C9664D"/>
    <w:rsid w:val="00C96788"/>
    <w:rsid w:val="00C9757F"/>
    <w:rsid w:val="00C976D0"/>
    <w:rsid w:val="00CA08CF"/>
    <w:rsid w:val="00CA0E3E"/>
    <w:rsid w:val="00CA1CC4"/>
    <w:rsid w:val="00CA1EF7"/>
    <w:rsid w:val="00CA3881"/>
    <w:rsid w:val="00CA47B8"/>
    <w:rsid w:val="00CA4BD3"/>
    <w:rsid w:val="00CA6702"/>
    <w:rsid w:val="00CA6C66"/>
    <w:rsid w:val="00CB0294"/>
    <w:rsid w:val="00CB1C4F"/>
    <w:rsid w:val="00CB2726"/>
    <w:rsid w:val="00CB3186"/>
    <w:rsid w:val="00CB5586"/>
    <w:rsid w:val="00CB5635"/>
    <w:rsid w:val="00CB5AD3"/>
    <w:rsid w:val="00CB6134"/>
    <w:rsid w:val="00CB627D"/>
    <w:rsid w:val="00CB6FE0"/>
    <w:rsid w:val="00CC000A"/>
    <w:rsid w:val="00CC01F6"/>
    <w:rsid w:val="00CC0661"/>
    <w:rsid w:val="00CC217C"/>
    <w:rsid w:val="00CC24F5"/>
    <w:rsid w:val="00CC3282"/>
    <w:rsid w:val="00CC3682"/>
    <w:rsid w:val="00CC3A48"/>
    <w:rsid w:val="00CC555A"/>
    <w:rsid w:val="00CD188E"/>
    <w:rsid w:val="00CD1D81"/>
    <w:rsid w:val="00CD27F9"/>
    <w:rsid w:val="00CD3D1A"/>
    <w:rsid w:val="00CD426B"/>
    <w:rsid w:val="00CD689A"/>
    <w:rsid w:val="00CD769A"/>
    <w:rsid w:val="00CE0D89"/>
    <w:rsid w:val="00CE1195"/>
    <w:rsid w:val="00CE1519"/>
    <w:rsid w:val="00CE1715"/>
    <w:rsid w:val="00CE1D0B"/>
    <w:rsid w:val="00CE2725"/>
    <w:rsid w:val="00CE2C6E"/>
    <w:rsid w:val="00CE4825"/>
    <w:rsid w:val="00CE49D4"/>
    <w:rsid w:val="00CE5656"/>
    <w:rsid w:val="00CE5886"/>
    <w:rsid w:val="00CE5889"/>
    <w:rsid w:val="00CE73B9"/>
    <w:rsid w:val="00CE750F"/>
    <w:rsid w:val="00CF0FD2"/>
    <w:rsid w:val="00CF1355"/>
    <w:rsid w:val="00CF138C"/>
    <w:rsid w:val="00CF2A10"/>
    <w:rsid w:val="00CF2C2B"/>
    <w:rsid w:val="00CF2C6E"/>
    <w:rsid w:val="00CF3397"/>
    <w:rsid w:val="00CF43B6"/>
    <w:rsid w:val="00CF5814"/>
    <w:rsid w:val="00CF5D9F"/>
    <w:rsid w:val="00CF61FB"/>
    <w:rsid w:val="00CF62A2"/>
    <w:rsid w:val="00CF67EB"/>
    <w:rsid w:val="00CF745D"/>
    <w:rsid w:val="00CF7979"/>
    <w:rsid w:val="00D00038"/>
    <w:rsid w:val="00D026B6"/>
    <w:rsid w:val="00D02F95"/>
    <w:rsid w:val="00D0731E"/>
    <w:rsid w:val="00D07444"/>
    <w:rsid w:val="00D103B6"/>
    <w:rsid w:val="00D10CBB"/>
    <w:rsid w:val="00D1107C"/>
    <w:rsid w:val="00D13B2B"/>
    <w:rsid w:val="00D15AEB"/>
    <w:rsid w:val="00D160CB"/>
    <w:rsid w:val="00D16F43"/>
    <w:rsid w:val="00D17B8F"/>
    <w:rsid w:val="00D201A6"/>
    <w:rsid w:val="00D2050B"/>
    <w:rsid w:val="00D206C3"/>
    <w:rsid w:val="00D22DA6"/>
    <w:rsid w:val="00D22FEC"/>
    <w:rsid w:val="00D23E63"/>
    <w:rsid w:val="00D245A1"/>
    <w:rsid w:val="00D24D73"/>
    <w:rsid w:val="00D24E55"/>
    <w:rsid w:val="00D25CC8"/>
    <w:rsid w:val="00D268F3"/>
    <w:rsid w:val="00D302CE"/>
    <w:rsid w:val="00D31278"/>
    <w:rsid w:val="00D31409"/>
    <w:rsid w:val="00D31C30"/>
    <w:rsid w:val="00D32A47"/>
    <w:rsid w:val="00D340BA"/>
    <w:rsid w:val="00D3419E"/>
    <w:rsid w:val="00D3547F"/>
    <w:rsid w:val="00D36F52"/>
    <w:rsid w:val="00D375C2"/>
    <w:rsid w:val="00D37A5C"/>
    <w:rsid w:val="00D41457"/>
    <w:rsid w:val="00D414B1"/>
    <w:rsid w:val="00D415E2"/>
    <w:rsid w:val="00D418B6"/>
    <w:rsid w:val="00D41D55"/>
    <w:rsid w:val="00D42055"/>
    <w:rsid w:val="00D427FC"/>
    <w:rsid w:val="00D434FB"/>
    <w:rsid w:val="00D43C97"/>
    <w:rsid w:val="00D4539F"/>
    <w:rsid w:val="00D4727D"/>
    <w:rsid w:val="00D475F4"/>
    <w:rsid w:val="00D50BB9"/>
    <w:rsid w:val="00D51685"/>
    <w:rsid w:val="00D52AA9"/>
    <w:rsid w:val="00D534C9"/>
    <w:rsid w:val="00D535A9"/>
    <w:rsid w:val="00D53944"/>
    <w:rsid w:val="00D54A47"/>
    <w:rsid w:val="00D57862"/>
    <w:rsid w:val="00D57AB8"/>
    <w:rsid w:val="00D61C61"/>
    <w:rsid w:val="00D629B8"/>
    <w:rsid w:val="00D63371"/>
    <w:rsid w:val="00D633E7"/>
    <w:rsid w:val="00D647C3"/>
    <w:rsid w:val="00D67522"/>
    <w:rsid w:val="00D677A7"/>
    <w:rsid w:val="00D72430"/>
    <w:rsid w:val="00D72597"/>
    <w:rsid w:val="00D72DC8"/>
    <w:rsid w:val="00D72DDC"/>
    <w:rsid w:val="00D73142"/>
    <w:rsid w:val="00D73DDA"/>
    <w:rsid w:val="00D7462E"/>
    <w:rsid w:val="00D751EA"/>
    <w:rsid w:val="00D755B7"/>
    <w:rsid w:val="00D75AFF"/>
    <w:rsid w:val="00D75D67"/>
    <w:rsid w:val="00D76E4A"/>
    <w:rsid w:val="00D7776A"/>
    <w:rsid w:val="00D803EF"/>
    <w:rsid w:val="00D812B8"/>
    <w:rsid w:val="00D8194D"/>
    <w:rsid w:val="00D81FD6"/>
    <w:rsid w:val="00D82516"/>
    <w:rsid w:val="00D82766"/>
    <w:rsid w:val="00D84D91"/>
    <w:rsid w:val="00D852AF"/>
    <w:rsid w:val="00D85F2C"/>
    <w:rsid w:val="00D87A0A"/>
    <w:rsid w:val="00D90262"/>
    <w:rsid w:val="00D90922"/>
    <w:rsid w:val="00D91AD3"/>
    <w:rsid w:val="00D91E69"/>
    <w:rsid w:val="00D926E8"/>
    <w:rsid w:val="00D92ADD"/>
    <w:rsid w:val="00D92B35"/>
    <w:rsid w:val="00D938AB"/>
    <w:rsid w:val="00D95CBC"/>
    <w:rsid w:val="00D960A0"/>
    <w:rsid w:val="00D9633A"/>
    <w:rsid w:val="00D9670C"/>
    <w:rsid w:val="00D96755"/>
    <w:rsid w:val="00D96DE7"/>
    <w:rsid w:val="00D9712F"/>
    <w:rsid w:val="00D97360"/>
    <w:rsid w:val="00D97394"/>
    <w:rsid w:val="00D97CAE"/>
    <w:rsid w:val="00DA12D0"/>
    <w:rsid w:val="00DA2706"/>
    <w:rsid w:val="00DA294E"/>
    <w:rsid w:val="00DA2B5B"/>
    <w:rsid w:val="00DA2E72"/>
    <w:rsid w:val="00DA46C2"/>
    <w:rsid w:val="00DA578B"/>
    <w:rsid w:val="00DA5D46"/>
    <w:rsid w:val="00DA6127"/>
    <w:rsid w:val="00DA6334"/>
    <w:rsid w:val="00DA6FAA"/>
    <w:rsid w:val="00DA7175"/>
    <w:rsid w:val="00DA7BE0"/>
    <w:rsid w:val="00DA7C0C"/>
    <w:rsid w:val="00DB10A8"/>
    <w:rsid w:val="00DB19FD"/>
    <w:rsid w:val="00DB442F"/>
    <w:rsid w:val="00DB52BE"/>
    <w:rsid w:val="00DB623C"/>
    <w:rsid w:val="00DB7060"/>
    <w:rsid w:val="00DB787B"/>
    <w:rsid w:val="00DC0921"/>
    <w:rsid w:val="00DC0D32"/>
    <w:rsid w:val="00DC10B9"/>
    <w:rsid w:val="00DC1D97"/>
    <w:rsid w:val="00DC20DD"/>
    <w:rsid w:val="00DC2BDC"/>
    <w:rsid w:val="00DC30C3"/>
    <w:rsid w:val="00DC34DB"/>
    <w:rsid w:val="00DC40CE"/>
    <w:rsid w:val="00DC41BA"/>
    <w:rsid w:val="00DC49DD"/>
    <w:rsid w:val="00DC5FC9"/>
    <w:rsid w:val="00DC6804"/>
    <w:rsid w:val="00DC6EAD"/>
    <w:rsid w:val="00DC7020"/>
    <w:rsid w:val="00DC7204"/>
    <w:rsid w:val="00DC7854"/>
    <w:rsid w:val="00DD0118"/>
    <w:rsid w:val="00DD02FD"/>
    <w:rsid w:val="00DD06AD"/>
    <w:rsid w:val="00DD0F90"/>
    <w:rsid w:val="00DD11D8"/>
    <w:rsid w:val="00DD24F7"/>
    <w:rsid w:val="00DD51C7"/>
    <w:rsid w:val="00DD6086"/>
    <w:rsid w:val="00DD65A4"/>
    <w:rsid w:val="00DD6B53"/>
    <w:rsid w:val="00DD71E2"/>
    <w:rsid w:val="00DE0698"/>
    <w:rsid w:val="00DE0F22"/>
    <w:rsid w:val="00DE1179"/>
    <w:rsid w:val="00DE37B5"/>
    <w:rsid w:val="00DE43CA"/>
    <w:rsid w:val="00DE542C"/>
    <w:rsid w:val="00DE5D75"/>
    <w:rsid w:val="00DE6208"/>
    <w:rsid w:val="00DE6299"/>
    <w:rsid w:val="00DE63F0"/>
    <w:rsid w:val="00DE67E9"/>
    <w:rsid w:val="00DF0404"/>
    <w:rsid w:val="00DF1D6D"/>
    <w:rsid w:val="00DF2386"/>
    <w:rsid w:val="00DF47CD"/>
    <w:rsid w:val="00DF64E5"/>
    <w:rsid w:val="00DF7909"/>
    <w:rsid w:val="00DF7BE2"/>
    <w:rsid w:val="00DF7FE7"/>
    <w:rsid w:val="00E00083"/>
    <w:rsid w:val="00E012F0"/>
    <w:rsid w:val="00E01342"/>
    <w:rsid w:val="00E02B6E"/>
    <w:rsid w:val="00E02E40"/>
    <w:rsid w:val="00E03835"/>
    <w:rsid w:val="00E03A76"/>
    <w:rsid w:val="00E03EC9"/>
    <w:rsid w:val="00E04803"/>
    <w:rsid w:val="00E0497A"/>
    <w:rsid w:val="00E06DA9"/>
    <w:rsid w:val="00E10665"/>
    <w:rsid w:val="00E10D99"/>
    <w:rsid w:val="00E12F8F"/>
    <w:rsid w:val="00E14B58"/>
    <w:rsid w:val="00E14EFF"/>
    <w:rsid w:val="00E1551C"/>
    <w:rsid w:val="00E15F60"/>
    <w:rsid w:val="00E16A60"/>
    <w:rsid w:val="00E16CC2"/>
    <w:rsid w:val="00E17DC1"/>
    <w:rsid w:val="00E21282"/>
    <w:rsid w:val="00E215B3"/>
    <w:rsid w:val="00E2276E"/>
    <w:rsid w:val="00E227DA"/>
    <w:rsid w:val="00E2282D"/>
    <w:rsid w:val="00E22AFE"/>
    <w:rsid w:val="00E2327D"/>
    <w:rsid w:val="00E246D8"/>
    <w:rsid w:val="00E253A0"/>
    <w:rsid w:val="00E25888"/>
    <w:rsid w:val="00E275A6"/>
    <w:rsid w:val="00E27915"/>
    <w:rsid w:val="00E27D44"/>
    <w:rsid w:val="00E27EBA"/>
    <w:rsid w:val="00E3014F"/>
    <w:rsid w:val="00E308E6"/>
    <w:rsid w:val="00E31C01"/>
    <w:rsid w:val="00E32068"/>
    <w:rsid w:val="00E32440"/>
    <w:rsid w:val="00E337BF"/>
    <w:rsid w:val="00E33B83"/>
    <w:rsid w:val="00E343E6"/>
    <w:rsid w:val="00E35DD4"/>
    <w:rsid w:val="00E3621C"/>
    <w:rsid w:val="00E36F84"/>
    <w:rsid w:val="00E37BA7"/>
    <w:rsid w:val="00E37FD9"/>
    <w:rsid w:val="00E40A72"/>
    <w:rsid w:val="00E41079"/>
    <w:rsid w:val="00E414A4"/>
    <w:rsid w:val="00E42115"/>
    <w:rsid w:val="00E42818"/>
    <w:rsid w:val="00E42F5B"/>
    <w:rsid w:val="00E43E6D"/>
    <w:rsid w:val="00E43F8B"/>
    <w:rsid w:val="00E4405A"/>
    <w:rsid w:val="00E46367"/>
    <w:rsid w:val="00E472B8"/>
    <w:rsid w:val="00E47483"/>
    <w:rsid w:val="00E474AC"/>
    <w:rsid w:val="00E509AF"/>
    <w:rsid w:val="00E523FF"/>
    <w:rsid w:val="00E526F8"/>
    <w:rsid w:val="00E53B79"/>
    <w:rsid w:val="00E53CE6"/>
    <w:rsid w:val="00E57181"/>
    <w:rsid w:val="00E57506"/>
    <w:rsid w:val="00E5766A"/>
    <w:rsid w:val="00E611F2"/>
    <w:rsid w:val="00E6198A"/>
    <w:rsid w:val="00E61CC2"/>
    <w:rsid w:val="00E625A0"/>
    <w:rsid w:val="00E62FBE"/>
    <w:rsid w:val="00E63735"/>
    <w:rsid w:val="00E63F0B"/>
    <w:rsid w:val="00E64581"/>
    <w:rsid w:val="00E64BA3"/>
    <w:rsid w:val="00E64C99"/>
    <w:rsid w:val="00E651BE"/>
    <w:rsid w:val="00E658F0"/>
    <w:rsid w:val="00E6689D"/>
    <w:rsid w:val="00E675AE"/>
    <w:rsid w:val="00E67F10"/>
    <w:rsid w:val="00E7033E"/>
    <w:rsid w:val="00E70772"/>
    <w:rsid w:val="00E71602"/>
    <w:rsid w:val="00E723E1"/>
    <w:rsid w:val="00E72C60"/>
    <w:rsid w:val="00E736EE"/>
    <w:rsid w:val="00E74CDB"/>
    <w:rsid w:val="00E74FC5"/>
    <w:rsid w:val="00E755EA"/>
    <w:rsid w:val="00E75E9F"/>
    <w:rsid w:val="00E7726B"/>
    <w:rsid w:val="00E772E5"/>
    <w:rsid w:val="00E8159A"/>
    <w:rsid w:val="00E822EB"/>
    <w:rsid w:val="00E8249B"/>
    <w:rsid w:val="00E8377D"/>
    <w:rsid w:val="00E84205"/>
    <w:rsid w:val="00E8596C"/>
    <w:rsid w:val="00E86878"/>
    <w:rsid w:val="00E869E4"/>
    <w:rsid w:val="00E911FD"/>
    <w:rsid w:val="00E9130A"/>
    <w:rsid w:val="00E91F83"/>
    <w:rsid w:val="00E921A2"/>
    <w:rsid w:val="00E92342"/>
    <w:rsid w:val="00E92730"/>
    <w:rsid w:val="00E92DCD"/>
    <w:rsid w:val="00E93B56"/>
    <w:rsid w:val="00E93BB6"/>
    <w:rsid w:val="00E94759"/>
    <w:rsid w:val="00E950BB"/>
    <w:rsid w:val="00E95665"/>
    <w:rsid w:val="00E95D43"/>
    <w:rsid w:val="00E95F52"/>
    <w:rsid w:val="00E97CCB"/>
    <w:rsid w:val="00EA012D"/>
    <w:rsid w:val="00EA0263"/>
    <w:rsid w:val="00EA0987"/>
    <w:rsid w:val="00EA1333"/>
    <w:rsid w:val="00EA13DA"/>
    <w:rsid w:val="00EA1FF6"/>
    <w:rsid w:val="00EA2765"/>
    <w:rsid w:val="00EA33CB"/>
    <w:rsid w:val="00EA3486"/>
    <w:rsid w:val="00EA3A7F"/>
    <w:rsid w:val="00EA3FC2"/>
    <w:rsid w:val="00EA444A"/>
    <w:rsid w:val="00EA44B5"/>
    <w:rsid w:val="00EA4DD8"/>
    <w:rsid w:val="00EA683B"/>
    <w:rsid w:val="00EA782A"/>
    <w:rsid w:val="00EB1034"/>
    <w:rsid w:val="00EB151B"/>
    <w:rsid w:val="00EB1A19"/>
    <w:rsid w:val="00EB2FE6"/>
    <w:rsid w:val="00EB48B9"/>
    <w:rsid w:val="00EB4CBD"/>
    <w:rsid w:val="00EB642F"/>
    <w:rsid w:val="00EB6F37"/>
    <w:rsid w:val="00EB7DA6"/>
    <w:rsid w:val="00EC04F0"/>
    <w:rsid w:val="00EC0504"/>
    <w:rsid w:val="00EC0525"/>
    <w:rsid w:val="00EC1205"/>
    <w:rsid w:val="00EC13B3"/>
    <w:rsid w:val="00EC1696"/>
    <w:rsid w:val="00EC1AA4"/>
    <w:rsid w:val="00EC2664"/>
    <w:rsid w:val="00EC32C4"/>
    <w:rsid w:val="00EC3671"/>
    <w:rsid w:val="00EC4FE8"/>
    <w:rsid w:val="00EC61E0"/>
    <w:rsid w:val="00EC6CBC"/>
    <w:rsid w:val="00EC72B0"/>
    <w:rsid w:val="00ED018D"/>
    <w:rsid w:val="00ED1169"/>
    <w:rsid w:val="00ED13F4"/>
    <w:rsid w:val="00ED1AE5"/>
    <w:rsid w:val="00ED1F5E"/>
    <w:rsid w:val="00ED36F8"/>
    <w:rsid w:val="00ED39D8"/>
    <w:rsid w:val="00ED4690"/>
    <w:rsid w:val="00ED49D6"/>
    <w:rsid w:val="00ED555B"/>
    <w:rsid w:val="00ED6057"/>
    <w:rsid w:val="00ED620B"/>
    <w:rsid w:val="00ED64A9"/>
    <w:rsid w:val="00ED64C2"/>
    <w:rsid w:val="00ED72A8"/>
    <w:rsid w:val="00ED7BB2"/>
    <w:rsid w:val="00EE0EB6"/>
    <w:rsid w:val="00EE1ED6"/>
    <w:rsid w:val="00EE309D"/>
    <w:rsid w:val="00EE31AB"/>
    <w:rsid w:val="00EE458C"/>
    <w:rsid w:val="00EE484E"/>
    <w:rsid w:val="00EE4EE3"/>
    <w:rsid w:val="00EE63B0"/>
    <w:rsid w:val="00EE7199"/>
    <w:rsid w:val="00EF05A9"/>
    <w:rsid w:val="00EF08F0"/>
    <w:rsid w:val="00EF0AB8"/>
    <w:rsid w:val="00EF17AC"/>
    <w:rsid w:val="00EF29EA"/>
    <w:rsid w:val="00EF56B7"/>
    <w:rsid w:val="00EF5C41"/>
    <w:rsid w:val="00EF5C9D"/>
    <w:rsid w:val="00EF5E91"/>
    <w:rsid w:val="00EF666E"/>
    <w:rsid w:val="00EF7872"/>
    <w:rsid w:val="00F02473"/>
    <w:rsid w:val="00F02552"/>
    <w:rsid w:val="00F02661"/>
    <w:rsid w:val="00F02CE6"/>
    <w:rsid w:val="00F03C83"/>
    <w:rsid w:val="00F04266"/>
    <w:rsid w:val="00F05760"/>
    <w:rsid w:val="00F05E48"/>
    <w:rsid w:val="00F05E6F"/>
    <w:rsid w:val="00F078F1"/>
    <w:rsid w:val="00F1054B"/>
    <w:rsid w:val="00F117D1"/>
    <w:rsid w:val="00F1291E"/>
    <w:rsid w:val="00F12D14"/>
    <w:rsid w:val="00F12DEB"/>
    <w:rsid w:val="00F1556C"/>
    <w:rsid w:val="00F15D4B"/>
    <w:rsid w:val="00F165FF"/>
    <w:rsid w:val="00F17207"/>
    <w:rsid w:val="00F174F3"/>
    <w:rsid w:val="00F175F5"/>
    <w:rsid w:val="00F17DB8"/>
    <w:rsid w:val="00F17E89"/>
    <w:rsid w:val="00F204C2"/>
    <w:rsid w:val="00F212AF"/>
    <w:rsid w:val="00F21C3F"/>
    <w:rsid w:val="00F228A7"/>
    <w:rsid w:val="00F244A3"/>
    <w:rsid w:val="00F253B4"/>
    <w:rsid w:val="00F26404"/>
    <w:rsid w:val="00F270A8"/>
    <w:rsid w:val="00F27F55"/>
    <w:rsid w:val="00F30BFA"/>
    <w:rsid w:val="00F32065"/>
    <w:rsid w:val="00F32A17"/>
    <w:rsid w:val="00F32D03"/>
    <w:rsid w:val="00F32D5B"/>
    <w:rsid w:val="00F335A2"/>
    <w:rsid w:val="00F34139"/>
    <w:rsid w:val="00F3443C"/>
    <w:rsid w:val="00F344DE"/>
    <w:rsid w:val="00F34A20"/>
    <w:rsid w:val="00F34BC2"/>
    <w:rsid w:val="00F36780"/>
    <w:rsid w:val="00F36F5F"/>
    <w:rsid w:val="00F36FA4"/>
    <w:rsid w:val="00F376CC"/>
    <w:rsid w:val="00F4390C"/>
    <w:rsid w:val="00F43CEA"/>
    <w:rsid w:val="00F440F9"/>
    <w:rsid w:val="00F442BD"/>
    <w:rsid w:val="00F44D2C"/>
    <w:rsid w:val="00F45CC2"/>
    <w:rsid w:val="00F4778D"/>
    <w:rsid w:val="00F51E7B"/>
    <w:rsid w:val="00F534C1"/>
    <w:rsid w:val="00F5393C"/>
    <w:rsid w:val="00F53F39"/>
    <w:rsid w:val="00F53F92"/>
    <w:rsid w:val="00F547A8"/>
    <w:rsid w:val="00F54855"/>
    <w:rsid w:val="00F55052"/>
    <w:rsid w:val="00F551D6"/>
    <w:rsid w:val="00F55389"/>
    <w:rsid w:val="00F553CC"/>
    <w:rsid w:val="00F5542F"/>
    <w:rsid w:val="00F55684"/>
    <w:rsid w:val="00F55A53"/>
    <w:rsid w:val="00F573D2"/>
    <w:rsid w:val="00F60C5C"/>
    <w:rsid w:val="00F60E86"/>
    <w:rsid w:val="00F62079"/>
    <w:rsid w:val="00F62368"/>
    <w:rsid w:val="00F624C0"/>
    <w:rsid w:val="00F636DE"/>
    <w:rsid w:val="00F64385"/>
    <w:rsid w:val="00F64D2D"/>
    <w:rsid w:val="00F6516D"/>
    <w:rsid w:val="00F6652D"/>
    <w:rsid w:val="00F66F94"/>
    <w:rsid w:val="00F70A79"/>
    <w:rsid w:val="00F70F19"/>
    <w:rsid w:val="00F71EAD"/>
    <w:rsid w:val="00F72237"/>
    <w:rsid w:val="00F72F74"/>
    <w:rsid w:val="00F73E71"/>
    <w:rsid w:val="00F7408E"/>
    <w:rsid w:val="00F74893"/>
    <w:rsid w:val="00F750C7"/>
    <w:rsid w:val="00F76A53"/>
    <w:rsid w:val="00F81721"/>
    <w:rsid w:val="00F8252A"/>
    <w:rsid w:val="00F82F05"/>
    <w:rsid w:val="00F83985"/>
    <w:rsid w:val="00F83C91"/>
    <w:rsid w:val="00F83EC8"/>
    <w:rsid w:val="00F845D3"/>
    <w:rsid w:val="00F84BD4"/>
    <w:rsid w:val="00F852B9"/>
    <w:rsid w:val="00F861A9"/>
    <w:rsid w:val="00F86933"/>
    <w:rsid w:val="00F8799E"/>
    <w:rsid w:val="00F90439"/>
    <w:rsid w:val="00F9197D"/>
    <w:rsid w:val="00F91BD4"/>
    <w:rsid w:val="00F93D83"/>
    <w:rsid w:val="00F95092"/>
    <w:rsid w:val="00F95CA0"/>
    <w:rsid w:val="00F96BA5"/>
    <w:rsid w:val="00F973A1"/>
    <w:rsid w:val="00F97495"/>
    <w:rsid w:val="00FA030D"/>
    <w:rsid w:val="00FA048F"/>
    <w:rsid w:val="00FA0633"/>
    <w:rsid w:val="00FA07D3"/>
    <w:rsid w:val="00FA0846"/>
    <w:rsid w:val="00FA10E7"/>
    <w:rsid w:val="00FA1C88"/>
    <w:rsid w:val="00FA229C"/>
    <w:rsid w:val="00FA2D07"/>
    <w:rsid w:val="00FA374C"/>
    <w:rsid w:val="00FA42D8"/>
    <w:rsid w:val="00FA553B"/>
    <w:rsid w:val="00FA7271"/>
    <w:rsid w:val="00FA7A26"/>
    <w:rsid w:val="00FB03BD"/>
    <w:rsid w:val="00FB0D9D"/>
    <w:rsid w:val="00FB187B"/>
    <w:rsid w:val="00FB19B9"/>
    <w:rsid w:val="00FB1F2D"/>
    <w:rsid w:val="00FB2057"/>
    <w:rsid w:val="00FB41AD"/>
    <w:rsid w:val="00FB5403"/>
    <w:rsid w:val="00FB5632"/>
    <w:rsid w:val="00FB584E"/>
    <w:rsid w:val="00FB5B4B"/>
    <w:rsid w:val="00FB620F"/>
    <w:rsid w:val="00FB66C4"/>
    <w:rsid w:val="00FB6AC8"/>
    <w:rsid w:val="00FB7688"/>
    <w:rsid w:val="00FB7B82"/>
    <w:rsid w:val="00FB7D22"/>
    <w:rsid w:val="00FB7DCB"/>
    <w:rsid w:val="00FC0BF5"/>
    <w:rsid w:val="00FC192D"/>
    <w:rsid w:val="00FC40CB"/>
    <w:rsid w:val="00FC462B"/>
    <w:rsid w:val="00FC51FB"/>
    <w:rsid w:val="00FC5AAA"/>
    <w:rsid w:val="00FD2082"/>
    <w:rsid w:val="00FD2E2F"/>
    <w:rsid w:val="00FD30C7"/>
    <w:rsid w:val="00FD3719"/>
    <w:rsid w:val="00FD47F3"/>
    <w:rsid w:val="00FD4F37"/>
    <w:rsid w:val="00FD5106"/>
    <w:rsid w:val="00FD5E8C"/>
    <w:rsid w:val="00FD67D3"/>
    <w:rsid w:val="00FD7E3B"/>
    <w:rsid w:val="00FE0815"/>
    <w:rsid w:val="00FE0913"/>
    <w:rsid w:val="00FE1016"/>
    <w:rsid w:val="00FE2266"/>
    <w:rsid w:val="00FE3C89"/>
    <w:rsid w:val="00FE4857"/>
    <w:rsid w:val="00FE61B0"/>
    <w:rsid w:val="00FE657F"/>
    <w:rsid w:val="00FE7466"/>
    <w:rsid w:val="00FE77DF"/>
    <w:rsid w:val="00FF0082"/>
    <w:rsid w:val="00FF0BF2"/>
    <w:rsid w:val="00FF1234"/>
    <w:rsid w:val="00FF2210"/>
    <w:rsid w:val="00FF2DC2"/>
    <w:rsid w:val="00FF35B1"/>
    <w:rsid w:val="00FF4EEC"/>
    <w:rsid w:val="00FF51BB"/>
    <w:rsid w:val="00FF6ED7"/>
    <w:rsid w:val="00FF75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1D83BC"/>
  <w15:docId w15:val="{C828B960-F5B1-45B9-83F6-5D7B3387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paragraph" w:styleId="Heading1">
    <w:name w:val="heading 1"/>
    <w:basedOn w:val="Normal"/>
    <w:next w:val="Normal"/>
    <w:link w:val="Heading1Char"/>
    <w:qFormat/>
    <w:rsid w:val="006C1657"/>
    <w:pPr>
      <w:keepNext/>
      <w:ind w:left="0" w:firstLine="0"/>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1657"/>
    <w:rPr>
      <w:rFonts w:ascii="Times New Roman" w:eastAsia="Times New Roman" w:hAnsi="Times New Roman" w:cs="Times New Roman"/>
      <w:b/>
      <w:sz w:val="28"/>
      <w:szCs w:val="20"/>
    </w:rPr>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MGfulltextChar">
    <w:name w:val="MG_fulltext Char"/>
    <w:basedOn w:val="DefaultParagraphFont"/>
    <w:link w:val="MGfulltext"/>
    <w:locked/>
    <w:rsid w:val="00EC13B3"/>
    <w:rPr>
      <w:rFonts w:ascii="Arial" w:eastAsia="Times New Roman" w:hAnsi="Arial" w:cs="Arial"/>
      <w:sz w:val="24"/>
      <w:szCs w:val="24"/>
      <w:lang w:val="en-US"/>
    </w:rPr>
  </w:style>
  <w:style w:type="paragraph" w:customStyle="1" w:styleId="MGfulltext">
    <w:name w:val="MG_fulltext"/>
    <w:basedOn w:val="Normal"/>
    <w:link w:val="MGfulltextChar"/>
    <w:qFormat/>
    <w:rsid w:val="00EC13B3"/>
    <w:pPr>
      <w:spacing w:after="120"/>
      <w:ind w:left="0" w:firstLine="0"/>
    </w:pPr>
    <w:rPr>
      <w:rFonts w:ascii="Arial" w:eastAsia="Times New Roman" w:hAnsi="Arial" w:cs="Arial"/>
      <w:sz w:val="24"/>
      <w:szCs w:val="24"/>
      <w:lang w:val="en-US"/>
    </w:rPr>
  </w:style>
  <w:style w:type="character" w:styleId="FollowedHyperlink">
    <w:name w:val="FollowedHyperlink"/>
    <w:basedOn w:val="DefaultParagraphFont"/>
    <w:uiPriority w:val="99"/>
    <w:semiHidden/>
    <w:unhideWhenUsed/>
    <w:rsid w:val="00F442BD"/>
    <w:rPr>
      <w:color w:val="800080" w:themeColor="followedHyperlink"/>
      <w:u w:val="single"/>
    </w:rPr>
  </w:style>
  <w:style w:type="paragraph" w:customStyle="1" w:styleId="Default">
    <w:name w:val="Default"/>
    <w:rsid w:val="000F05DB"/>
    <w:pPr>
      <w:autoSpaceDE w:val="0"/>
      <w:autoSpaceDN w:val="0"/>
      <w:adjustRightInd w:val="0"/>
      <w:ind w:left="0" w:firstLine="0"/>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7F1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345">
      <w:bodyDiv w:val="1"/>
      <w:marLeft w:val="0"/>
      <w:marRight w:val="0"/>
      <w:marTop w:val="0"/>
      <w:marBottom w:val="0"/>
      <w:divBdr>
        <w:top w:val="none" w:sz="0" w:space="0" w:color="auto"/>
        <w:left w:val="none" w:sz="0" w:space="0" w:color="auto"/>
        <w:bottom w:val="none" w:sz="0" w:space="0" w:color="auto"/>
        <w:right w:val="none" w:sz="0" w:space="0" w:color="auto"/>
      </w:divBdr>
    </w:div>
    <w:div w:id="48502749">
      <w:bodyDiv w:val="1"/>
      <w:marLeft w:val="0"/>
      <w:marRight w:val="0"/>
      <w:marTop w:val="0"/>
      <w:marBottom w:val="0"/>
      <w:divBdr>
        <w:top w:val="none" w:sz="0" w:space="0" w:color="auto"/>
        <w:left w:val="none" w:sz="0" w:space="0" w:color="auto"/>
        <w:bottom w:val="none" w:sz="0" w:space="0" w:color="auto"/>
        <w:right w:val="none" w:sz="0" w:space="0" w:color="auto"/>
      </w:divBdr>
    </w:div>
    <w:div w:id="49041270">
      <w:bodyDiv w:val="1"/>
      <w:marLeft w:val="0"/>
      <w:marRight w:val="0"/>
      <w:marTop w:val="0"/>
      <w:marBottom w:val="0"/>
      <w:divBdr>
        <w:top w:val="none" w:sz="0" w:space="0" w:color="auto"/>
        <w:left w:val="none" w:sz="0" w:space="0" w:color="auto"/>
        <w:bottom w:val="none" w:sz="0" w:space="0" w:color="auto"/>
        <w:right w:val="none" w:sz="0" w:space="0" w:color="auto"/>
      </w:divBdr>
    </w:div>
    <w:div w:id="87502889">
      <w:bodyDiv w:val="1"/>
      <w:marLeft w:val="0"/>
      <w:marRight w:val="0"/>
      <w:marTop w:val="0"/>
      <w:marBottom w:val="0"/>
      <w:divBdr>
        <w:top w:val="none" w:sz="0" w:space="0" w:color="auto"/>
        <w:left w:val="none" w:sz="0" w:space="0" w:color="auto"/>
        <w:bottom w:val="none" w:sz="0" w:space="0" w:color="auto"/>
        <w:right w:val="none" w:sz="0" w:space="0" w:color="auto"/>
      </w:divBdr>
    </w:div>
    <w:div w:id="110975716">
      <w:bodyDiv w:val="1"/>
      <w:marLeft w:val="0"/>
      <w:marRight w:val="0"/>
      <w:marTop w:val="0"/>
      <w:marBottom w:val="0"/>
      <w:divBdr>
        <w:top w:val="none" w:sz="0" w:space="0" w:color="auto"/>
        <w:left w:val="none" w:sz="0" w:space="0" w:color="auto"/>
        <w:bottom w:val="none" w:sz="0" w:space="0" w:color="auto"/>
        <w:right w:val="none" w:sz="0" w:space="0" w:color="auto"/>
      </w:divBdr>
    </w:div>
    <w:div w:id="126900481">
      <w:bodyDiv w:val="1"/>
      <w:marLeft w:val="0"/>
      <w:marRight w:val="0"/>
      <w:marTop w:val="0"/>
      <w:marBottom w:val="0"/>
      <w:divBdr>
        <w:top w:val="none" w:sz="0" w:space="0" w:color="auto"/>
        <w:left w:val="none" w:sz="0" w:space="0" w:color="auto"/>
        <w:bottom w:val="none" w:sz="0" w:space="0" w:color="auto"/>
        <w:right w:val="none" w:sz="0" w:space="0" w:color="auto"/>
      </w:divBdr>
    </w:div>
    <w:div w:id="184248061">
      <w:bodyDiv w:val="1"/>
      <w:marLeft w:val="0"/>
      <w:marRight w:val="0"/>
      <w:marTop w:val="0"/>
      <w:marBottom w:val="0"/>
      <w:divBdr>
        <w:top w:val="none" w:sz="0" w:space="0" w:color="auto"/>
        <w:left w:val="none" w:sz="0" w:space="0" w:color="auto"/>
        <w:bottom w:val="none" w:sz="0" w:space="0" w:color="auto"/>
        <w:right w:val="none" w:sz="0" w:space="0" w:color="auto"/>
      </w:divBdr>
    </w:div>
    <w:div w:id="228344969">
      <w:bodyDiv w:val="1"/>
      <w:marLeft w:val="0"/>
      <w:marRight w:val="0"/>
      <w:marTop w:val="0"/>
      <w:marBottom w:val="0"/>
      <w:divBdr>
        <w:top w:val="none" w:sz="0" w:space="0" w:color="auto"/>
        <w:left w:val="none" w:sz="0" w:space="0" w:color="auto"/>
        <w:bottom w:val="none" w:sz="0" w:space="0" w:color="auto"/>
        <w:right w:val="none" w:sz="0" w:space="0" w:color="auto"/>
      </w:divBdr>
    </w:div>
    <w:div w:id="236212610">
      <w:bodyDiv w:val="1"/>
      <w:marLeft w:val="0"/>
      <w:marRight w:val="0"/>
      <w:marTop w:val="0"/>
      <w:marBottom w:val="0"/>
      <w:divBdr>
        <w:top w:val="none" w:sz="0" w:space="0" w:color="auto"/>
        <w:left w:val="none" w:sz="0" w:space="0" w:color="auto"/>
        <w:bottom w:val="none" w:sz="0" w:space="0" w:color="auto"/>
        <w:right w:val="none" w:sz="0" w:space="0" w:color="auto"/>
      </w:divBdr>
    </w:div>
    <w:div w:id="240608503">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263853830">
      <w:bodyDiv w:val="1"/>
      <w:marLeft w:val="0"/>
      <w:marRight w:val="0"/>
      <w:marTop w:val="0"/>
      <w:marBottom w:val="0"/>
      <w:divBdr>
        <w:top w:val="none" w:sz="0" w:space="0" w:color="auto"/>
        <w:left w:val="none" w:sz="0" w:space="0" w:color="auto"/>
        <w:bottom w:val="none" w:sz="0" w:space="0" w:color="auto"/>
        <w:right w:val="none" w:sz="0" w:space="0" w:color="auto"/>
      </w:divBdr>
    </w:div>
    <w:div w:id="270356173">
      <w:bodyDiv w:val="1"/>
      <w:marLeft w:val="0"/>
      <w:marRight w:val="0"/>
      <w:marTop w:val="0"/>
      <w:marBottom w:val="0"/>
      <w:divBdr>
        <w:top w:val="none" w:sz="0" w:space="0" w:color="auto"/>
        <w:left w:val="none" w:sz="0" w:space="0" w:color="auto"/>
        <w:bottom w:val="none" w:sz="0" w:space="0" w:color="auto"/>
        <w:right w:val="none" w:sz="0" w:space="0" w:color="auto"/>
      </w:divBdr>
    </w:div>
    <w:div w:id="353043189">
      <w:bodyDiv w:val="1"/>
      <w:marLeft w:val="0"/>
      <w:marRight w:val="0"/>
      <w:marTop w:val="0"/>
      <w:marBottom w:val="0"/>
      <w:divBdr>
        <w:top w:val="none" w:sz="0" w:space="0" w:color="auto"/>
        <w:left w:val="none" w:sz="0" w:space="0" w:color="auto"/>
        <w:bottom w:val="none" w:sz="0" w:space="0" w:color="auto"/>
        <w:right w:val="none" w:sz="0" w:space="0" w:color="auto"/>
      </w:divBdr>
    </w:div>
    <w:div w:id="373390764">
      <w:bodyDiv w:val="1"/>
      <w:marLeft w:val="0"/>
      <w:marRight w:val="0"/>
      <w:marTop w:val="0"/>
      <w:marBottom w:val="0"/>
      <w:divBdr>
        <w:top w:val="none" w:sz="0" w:space="0" w:color="auto"/>
        <w:left w:val="none" w:sz="0" w:space="0" w:color="auto"/>
        <w:bottom w:val="none" w:sz="0" w:space="0" w:color="auto"/>
        <w:right w:val="none" w:sz="0" w:space="0" w:color="auto"/>
      </w:divBdr>
    </w:div>
    <w:div w:id="422144477">
      <w:bodyDiv w:val="1"/>
      <w:marLeft w:val="0"/>
      <w:marRight w:val="0"/>
      <w:marTop w:val="0"/>
      <w:marBottom w:val="0"/>
      <w:divBdr>
        <w:top w:val="none" w:sz="0" w:space="0" w:color="auto"/>
        <w:left w:val="none" w:sz="0" w:space="0" w:color="auto"/>
        <w:bottom w:val="none" w:sz="0" w:space="0" w:color="auto"/>
        <w:right w:val="none" w:sz="0" w:space="0" w:color="auto"/>
      </w:divBdr>
    </w:div>
    <w:div w:id="468475417">
      <w:bodyDiv w:val="1"/>
      <w:marLeft w:val="0"/>
      <w:marRight w:val="0"/>
      <w:marTop w:val="0"/>
      <w:marBottom w:val="0"/>
      <w:divBdr>
        <w:top w:val="none" w:sz="0" w:space="0" w:color="auto"/>
        <w:left w:val="none" w:sz="0" w:space="0" w:color="auto"/>
        <w:bottom w:val="none" w:sz="0" w:space="0" w:color="auto"/>
        <w:right w:val="none" w:sz="0" w:space="0" w:color="auto"/>
      </w:divBdr>
    </w:div>
    <w:div w:id="474838711">
      <w:bodyDiv w:val="1"/>
      <w:marLeft w:val="0"/>
      <w:marRight w:val="0"/>
      <w:marTop w:val="0"/>
      <w:marBottom w:val="0"/>
      <w:divBdr>
        <w:top w:val="none" w:sz="0" w:space="0" w:color="auto"/>
        <w:left w:val="none" w:sz="0" w:space="0" w:color="auto"/>
        <w:bottom w:val="none" w:sz="0" w:space="0" w:color="auto"/>
        <w:right w:val="none" w:sz="0" w:space="0" w:color="auto"/>
      </w:divBdr>
    </w:div>
    <w:div w:id="483814646">
      <w:bodyDiv w:val="1"/>
      <w:marLeft w:val="0"/>
      <w:marRight w:val="0"/>
      <w:marTop w:val="0"/>
      <w:marBottom w:val="0"/>
      <w:divBdr>
        <w:top w:val="none" w:sz="0" w:space="0" w:color="auto"/>
        <w:left w:val="none" w:sz="0" w:space="0" w:color="auto"/>
        <w:bottom w:val="none" w:sz="0" w:space="0" w:color="auto"/>
        <w:right w:val="none" w:sz="0" w:space="0" w:color="auto"/>
      </w:divBdr>
    </w:div>
    <w:div w:id="529490990">
      <w:bodyDiv w:val="1"/>
      <w:marLeft w:val="0"/>
      <w:marRight w:val="0"/>
      <w:marTop w:val="0"/>
      <w:marBottom w:val="0"/>
      <w:divBdr>
        <w:top w:val="none" w:sz="0" w:space="0" w:color="auto"/>
        <w:left w:val="none" w:sz="0" w:space="0" w:color="auto"/>
        <w:bottom w:val="none" w:sz="0" w:space="0" w:color="auto"/>
        <w:right w:val="none" w:sz="0" w:space="0" w:color="auto"/>
      </w:divBdr>
    </w:div>
    <w:div w:id="561213895">
      <w:bodyDiv w:val="1"/>
      <w:marLeft w:val="0"/>
      <w:marRight w:val="0"/>
      <w:marTop w:val="0"/>
      <w:marBottom w:val="0"/>
      <w:divBdr>
        <w:top w:val="none" w:sz="0" w:space="0" w:color="auto"/>
        <w:left w:val="none" w:sz="0" w:space="0" w:color="auto"/>
        <w:bottom w:val="none" w:sz="0" w:space="0" w:color="auto"/>
        <w:right w:val="none" w:sz="0" w:space="0" w:color="auto"/>
      </w:divBdr>
    </w:div>
    <w:div w:id="564606640">
      <w:bodyDiv w:val="1"/>
      <w:marLeft w:val="0"/>
      <w:marRight w:val="0"/>
      <w:marTop w:val="0"/>
      <w:marBottom w:val="0"/>
      <w:divBdr>
        <w:top w:val="none" w:sz="0" w:space="0" w:color="auto"/>
        <w:left w:val="none" w:sz="0" w:space="0" w:color="auto"/>
        <w:bottom w:val="none" w:sz="0" w:space="0" w:color="auto"/>
        <w:right w:val="none" w:sz="0" w:space="0" w:color="auto"/>
      </w:divBdr>
    </w:div>
    <w:div w:id="578708627">
      <w:bodyDiv w:val="1"/>
      <w:marLeft w:val="0"/>
      <w:marRight w:val="0"/>
      <w:marTop w:val="0"/>
      <w:marBottom w:val="0"/>
      <w:divBdr>
        <w:top w:val="none" w:sz="0" w:space="0" w:color="auto"/>
        <w:left w:val="none" w:sz="0" w:space="0" w:color="auto"/>
        <w:bottom w:val="none" w:sz="0" w:space="0" w:color="auto"/>
        <w:right w:val="none" w:sz="0" w:space="0" w:color="auto"/>
      </w:divBdr>
    </w:div>
    <w:div w:id="629408491">
      <w:bodyDiv w:val="1"/>
      <w:marLeft w:val="0"/>
      <w:marRight w:val="0"/>
      <w:marTop w:val="0"/>
      <w:marBottom w:val="0"/>
      <w:divBdr>
        <w:top w:val="none" w:sz="0" w:space="0" w:color="auto"/>
        <w:left w:val="none" w:sz="0" w:space="0" w:color="auto"/>
        <w:bottom w:val="none" w:sz="0" w:space="0" w:color="auto"/>
        <w:right w:val="none" w:sz="0" w:space="0" w:color="auto"/>
      </w:divBdr>
    </w:div>
    <w:div w:id="635911892">
      <w:bodyDiv w:val="1"/>
      <w:marLeft w:val="0"/>
      <w:marRight w:val="0"/>
      <w:marTop w:val="0"/>
      <w:marBottom w:val="0"/>
      <w:divBdr>
        <w:top w:val="none" w:sz="0" w:space="0" w:color="auto"/>
        <w:left w:val="none" w:sz="0" w:space="0" w:color="auto"/>
        <w:bottom w:val="none" w:sz="0" w:space="0" w:color="auto"/>
        <w:right w:val="none" w:sz="0" w:space="0" w:color="auto"/>
      </w:divBdr>
    </w:div>
    <w:div w:id="636959627">
      <w:bodyDiv w:val="1"/>
      <w:marLeft w:val="0"/>
      <w:marRight w:val="0"/>
      <w:marTop w:val="0"/>
      <w:marBottom w:val="0"/>
      <w:divBdr>
        <w:top w:val="none" w:sz="0" w:space="0" w:color="auto"/>
        <w:left w:val="none" w:sz="0" w:space="0" w:color="auto"/>
        <w:bottom w:val="none" w:sz="0" w:space="0" w:color="auto"/>
        <w:right w:val="none" w:sz="0" w:space="0" w:color="auto"/>
      </w:divBdr>
    </w:div>
    <w:div w:id="669795413">
      <w:bodyDiv w:val="1"/>
      <w:marLeft w:val="0"/>
      <w:marRight w:val="0"/>
      <w:marTop w:val="0"/>
      <w:marBottom w:val="0"/>
      <w:divBdr>
        <w:top w:val="none" w:sz="0" w:space="0" w:color="auto"/>
        <w:left w:val="none" w:sz="0" w:space="0" w:color="auto"/>
        <w:bottom w:val="none" w:sz="0" w:space="0" w:color="auto"/>
        <w:right w:val="none" w:sz="0" w:space="0" w:color="auto"/>
      </w:divBdr>
    </w:div>
    <w:div w:id="709260574">
      <w:bodyDiv w:val="1"/>
      <w:marLeft w:val="0"/>
      <w:marRight w:val="0"/>
      <w:marTop w:val="0"/>
      <w:marBottom w:val="0"/>
      <w:divBdr>
        <w:top w:val="none" w:sz="0" w:space="0" w:color="auto"/>
        <w:left w:val="none" w:sz="0" w:space="0" w:color="auto"/>
        <w:bottom w:val="none" w:sz="0" w:space="0" w:color="auto"/>
        <w:right w:val="none" w:sz="0" w:space="0" w:color="auto"/>
      </w:divBdr>
    </w:div>
    <w:div w:id="728111809">
      <w:bodyDiv w:val="1"/>
      <w:marLeft w:val="0"/>
      <w:marRight w:val="0"/>
      <w:marTop w:val="0"/>
      <w:marBottom w:val="0"/>
      <w:divBdr>
        <w:top w:val="none" w:sz="0" w:space="0" w:color="auto"/>
        <w:left w:val="none" w:sz="0" w:space="0" w:color="auto"/>
        <w:bottom w:val="none" w:sz="0" w:space="0" w:color="auto"/>
        <w:right w:val="none" w:sz="0" w:space="0" w:color="auto"/>
      </w:divBdr>
      <w:divsChild>
        <w:div w:id="1184056316">
          <w:marLeft w:val="180"/>
          <w:marRight w:val="180"/>
          <w:marTop w:val="45"/>
          <w:marBottom w:val="75"/>
          <w:divBdr>
            <w:top w:val="none" w:sz="0" w:space="0" w:color="auto"/>
            <w:left w:val="none" w:sz="0" w:space="0" w:color="auto"/>
            <w:bottom w:val="none" w:sz="0" w:space="0" w:color="auto"/>
            <w:right w:val="none" w:sz="0" w:space="0" w:color="auto"/>
          </w:divBdr>
        </w:div>
      </w:divsChild>
    </w:div>
    <w:div w:id="758791302">
      <w:bodyDiv w:val="1"/>
      <w:marLeft w:val="0"/>
      <w:marRight w:val="0"/>
      <w:marTop w:val="0"/>
      <w:marBottom w:val="0"/>
      <w:divBdr>
        <w:top w:val="none" w:sz="0" w:space="0" w:color="auto"/>
        <w:left w:val="none" w:sz="0" w:space="0" w:color="auto"/>
        <w:bottom w:val="none" w:sz="0" w:space="0" w:color="auto"/>
        <w:right w:val="none" w:sz="0" w:space="0" w:color="auto"/>
      </w:divBdr>
    </w:div>
    <w:div w:id="774374291">
      <w:bodyDiv w:val="1"/>
      <w:marLeft w:val="0"/>
      <w:marRight w:val="0"/>
      <w:marTop w:val="0"/>
      <w:marBottom w:val="0"/>
      <w:divBdr>
        <w:top w:val="none" w:sz="0" w:space="0" w:color="auto"/>
        <w:left w:val="none" w:sz="0" w:space="0" w:color="auto"/>
        <w:bottom w:val="none" w:sz="0" w:space="0" w:color="auto"/>
        <w:right w:val="none" w:sz="0" w:space="0" w:color="auto"/>
      </w:divBdr>
    </w:div>
    <w:div w:id="817459962">
      <w:bodyDiv w:val="1"/>
      <w:marLeft w:val="0"/>
      <w:marRight w:val="0"/>
      <w:marTop w:val="0"/>
      <w:marBottom w:val="0"/>
      <w:divBdr>
        <w:top w:val="none" w:sz="0" w:space="0" w:color="auto"/>
        <w:left w:val="none" w:sz="0" w:space="0" w:color="auto"/>
        <w:bottom w:val="none" w:sz="0" w:space="0" w:color="auto"/>
        <w:right w:val="none" w:sz="0" w:space="0" w:color="auto"/>
      </w:divBdr>
    </w:div>
    <w:div w:id="827480616">
      <w:bodyDiv w:val="1"/>
      <w:marLeft w:val="0"/>
      <w:marRight w:val="0"/>
      <w:marTop w:val="0"/>
      <w:marBottom w:val="0"/>
      <w:divBdr>
        <w:top w:val="none" w:sz="0" w:space="0" w:color="auto"/>
        <w:left w:val="none" w:sz="0" w:space="0" w:color="auto"/>
        <w:bottom w:val="none" w:sz="0" w:space="0" w:color="auto"/>
        <w:right w:val="none" w:sz="0" w:space="0" w:color="auto"/>
      </w:divBdr>
    </w:div>
    <w:div w:id="828592090">
      <w:bodyDiv w:val="1"/>
      <w:marLeft w:val="0"/>
      <w:marRight w:val="0"/>
      <w:marTop w:val="0"/>
      <w:marBottom w:val="0"/>
      <w:divBdr>
        <w:top w:val="none" w:sz="0" w:space="0" w:color="auto"/>
        <w:left w:val="none" w:sz="0" w:space="0" w:color="auto"/>
        <w:bottom w:val="none" w:sz="0" w:space="0" w:color="auto"/>
        <w:right w:val="none" w:sz="0" w:space="0" w:color="auto"/>
      </w:divBdr>
    </w:div>
    <w:div w:id="843593543">
      <w:bodyDiv w:val="1"/>
      <w:marLeft w:val="0"/>
      <w:marRight w:val="0"/>
      <w:marTop w:val="0"/>
      <w:marBottom w:val="0"/>
      <w:divBdr>
        <w:top w:val="none" w:sz="0" w:space="0" w:color="auto"/>
        <w:left w:val="none" w:sz="0" w:space="0" w:color="auto"/>
        <w:bottom w:val="none" w:sz="0" w:space="0" w:color="auto"/>
        <w:right w:val="none" w:sz="0" w:space="0" w:color="auto"/>
      </w:divBdr>
    </w:div>
    <w:div w:id="845898004">
      <w:bodyDiv w:val="1"/>
      <w:marLeft w:val="0"/>
      <w:marRight w:val="0"/>
      <w:marTop w:val="0"/>
      <w:marBottom w:val="0"/>
      <w:divBdr>
        <w:top w:val="none" w:sz="0" w:space="0" w:color="auto"/>
        <w:left w:val="none" w:sz="0" w:space="0" w:color="auto"/>
        <w:bottom w:val="none" w:sz="0" w:space="0" w:color="auto"/>
        <w:right w:val="none" w:sz="0" w:space="0" w:color="auto"/>
      </w:divBdr>
    </w:div>
    <w:div w:id="852955996">
      <w:bodyDiv w:val="1"/>
      <w:marLeft w:val="0"/>
      <w:marRight w:val="0"/>
      <w:marTop w:val="0"/>
      <w:marBottom w:val="0"/>
      <w:divBdr>
        <w:top w:val="none" w:sz="0" w:space="0" w:color="auto"/>
        <w:left w:val="none" w:sz="0" w:space="0" w:color="auto"/>
        <w:bottom w:val="none" w:sz="0" w:space="0" w:color="auto"/>
        <w:right w:val="none" w:sz="0" w:space="0" w:color="auto"/>
      </w:divBdr>
    </w:div>
    <w:div w:id="860975932">
      <w:bodyDiv w:val="1"/>
      <w:marLeft w:val="0"/>
      <w:marRight w:val="0"/>
      <w:marTop w:val="0"/>
      <w:marBottom w:val="0"/>
      <w:divBdr>
        <w:top w:val="none" w:sz="0" w:space="0" w:color="auto"/>
        <w:left w:val="none" w:sz="0" w:space="0" w:color="auto"/>
        <w:bottom w:val="none" w:sz="0" w:space="0" w:color="auto"/>
        <w:right w:val="none" w:sz="0" w:space="0" w:color="auto"/>
      </w:divBdr>
    </w:div>
    <w:div w:id="876430544">
      <w:bodyDiv w:val="1"/>
      <w:marLeft w:val="0"/>
      <w:marRight w:val="0"/>
      <w:marTop w:val="0"/>
      <w:marBottom w:val="0"/>
      <w:divBdr>
        <w:top w:val="none" w:sz="0" w:space="0" w:color="auto"/>
        <w:left w:val="none" w:sz="0" w:space="0" w:color="auto"/>
        <w:bottom w:val="none" w:sz="0" w:space="0" w:color="auto"/>
        <w:right w:val="none" w:sz="0" w:space="0" w:color="auto"/>
      </w:divBdr>
    </w:div>
    <w:div w:id="877398845">
      <w:bodyDiv w:val="1"/>
      <w:marLeft w:val="0"/>
      <w:marRight w:val="0"/>
      <w:marTop w:val="0"/>
      <w:marBottom w:val="0"/>
      <w:divBdr>
        <w:top w:val="none" w:sz="0" w:space="0" w:color="auto"/>
        <w:left w:val="none" w:sz="0" w:space="0" w:color="auto"/>
        <w:bottom w:val="none" w:sz="0" w:space="0" w:color="auto"/>
        <w:right w:val="none" w:sz="0" w:space="0" w:color="auto"/>
      </w:divBdr>
    </w:div>
    <w:div w:id="898898777">
      <w:bodyDiv w:val="1"/>
      <w:marLeft w:val="0"/>
      <w:marRight w:val="0"/>
      <w:marTop w:val="0"/>
      <w:marBottom w:val="0"/>
      <w:divBdr>
        <w:top w:val="none" w:sz="0" w:space="0" w:color="auto"/>
        <w:left w:val="none" w:sz="0" w:space="0" w:color="auto"/>
        <w:bottom w:val="none" w:sz="0" w:space="0" w:color="auto"/>
        <w:right w:val="none" w:sz="0" w:space="0" w:color="auto"/>
      </w:divBdr>
    </w:div>
    <w:div w:id="946813050">
      <w:bodyDiv w:val="1"/>
      <w:marLeft w:val="0"/>
      <w:marRight w:val="0"/>
      <w:marTop w:val="0"/>
      <w:marBottom w:val="0"/>
      <w:divBdr>
        <w:top w:val="none" w:sz="0" w:space="0" w:color="auto"/>
        <w:left w:val="none" w:sz="0" w:space="0" w:color="auto"/>
        <w:bottom w:val="none" w:sz="0" w:space="0" w:color="auto"/>
        <w:right w:val="none" w:sz="0" w:space="0" w:color="auto"/>
      </w:divBdr>
    </w:div>
    <w:div w:id="1058088653">
      <w:bodyDiv w:val="1"/>
      <w:marLeft w:val="0"/>
      <w:marRight w:val="0"/>
      <w:marTop w:val="0"/>
      <w:marBottom w:val="0"/>
      <w:divBdr>
        <w:top w:val="none" w:sz="0" w:space="0" w:color="auto"/>
        <w:left w:val="none" w:sz="0" w:space="0" w:color="auto"/>
        <w:bottom w:val="none" w:sz="0" w:space="0" w:color="auto"/>
        <w:right w:val="none" w:sz="0" w:space="0" w:color="auto"/>
      </w:divBdr>
    </w:div>
    <w:div w:id="1072846830">
      <w:bodyDiv w:val="1"/>
      <w:marLeft w:val="0"/>
      <w:marRight w:val="0"/>
      <w:marTop w:val="0"/>
      <w:marBottom w:val="0"/>
      <w:divBdr>
        <w:top w:val="none" w:sz="0" w:space="0" w:color="auto"/>
        <w:left w:val="none" w:sz="0" w:space="0" w:color="auto"/>
        <w:bottom w:val="none" w:sz="0" w:space="0" w:color="auto"/>
        <w:right w:val="none" w:sz="0" w:space="0" w:color="auto"/>
      </w:divBdr>
    </w:div>
    <w:div w:id="1079064468">
      <w:bodyDiv w:val="1"/>
      <w:marLeft w:val="0"/>
      <w:marRight w:val="0"/>
      <w:marTop w:val="0"/>
      <w:marBottom w:val="0"/>
      <w:divBdr>
        <w:top w:val="none" w:sz="0" w:space="0" w:color="auto"/>
        <w:left w:val="none" w:sz="0" w:space="0" w:color="auto"/>
        <w:bottom w:val="none" w:sz="0" w:space="0" w:color="auto"/>
        <w:right w:val="none" w:sz="0" w:space="0" w:color="auto"/>
      </w:divBdr>
    </w:div>
    <w:div w:id="1103841805">
      <w:bodyDiv w:val="1"/>
      <w:marLeft w:val="0"/>
      <w:marRight w:val="0"/>
      <w:marTop w:val="0"/>
      <w:marBottom w:val="0"/>
      <w:divBdr>
        <w:top w:val="none" w:sz="0" w:space="0" w:color="auto"/>
        <w:left w:val="none" w:sz="0" w:space="0" w:color="auto"/>
        <w:bottom w:val="none" w:sz="0" w:space="0" w:color="auto"/>
        <w:right w:val="none" w:sz="0" w:space="0" w:color="auto"/>
      </w:divBdr>
    </w:div>
    <w:div w:id="1124695675">
      <w:bodyDiv w:val="1"/>
      <w:marLeft w:val="0"/>
      <w:marRight w:val="0"/>
      <w:marTop w:val="0"/>
      <w:marBottom w:val="0"/>
      <w:divBdr>
        <w:top w:val="none" w:sz="0" w:space="0" w:color="auto"/>
        <w:left w:val="none" w:sz="0" w:space="0" w:color="auto"/>
        <w:bottom w:val="none" w:sz="0" w:space="0" w:color="auto"/>
        <w:right w:val="none" w:sz="0" w:space="0" w:color="auto"/>
      </w:divBdr>
    </w:div>
    <w:div w:id="1146052516">
      <w:bodyDiv w:val="1"/>
      <w:marLeft w:val="0"/>
      <w:marRight w:val="0"/>
      <w:marTop w:val="0"/>
      <w:marBottom w:val="0"/>
      <w:divBdr>
        <w:top w:val="none" w:sz="0" w:space="0" w:color="auto"/>
        <w:left w:val="none" w:sz="0" w:space="0" w:color="auto"/>
        <w:bottom w:val="none" w:sz="0" w:space="0" w:color="auto"/>
        <w:right w:val="none" w:sz="0" w:space="0" w:color="auto"/>
      </w:divBdr>
    </w:div>
    <w:div w:id="1161239191">
      <w:bodyDiv w:val="1"/>
      <w:marLeft w:val="0"/>
      <w:marRight w:val="0"/>
      <w:marTop w:val="0"/>
      <w:marBottom w:val="0"/>
      <w:divBdr>
        <w:top w:val="none" w:sz="0" w:space="0" w:color="auto"/>
        <w:left w:val="none" w:sz="0" w:space="0" w:color="auto"/>
        <w:bottom w:val="none" w:sz="0" w:space="0" w:color="auto"/>
        <w:right w:val="none" w:sz="0" w:space="0" w:color="auto"/>
      </w:divBdr>
    </w:div>
    <w:div w:id="1166746680">
      <w:bodyDiv w:val="1"/>
      <w:marLeft w:val="0"/>
      <w:marRight w:val="0"/>
      <w:marTop w:val="0"/>
      <w:marBottom w:val="0"/>
      <w:divBdr>
        <w:top w:val="none" w:sz="0" w:space="0" w:color="auto"/>
        <w:left w:val="none" w:sz="0" w:space="0" w:color="auto"/>
        <w:bottom w:val="none" w:sz="0" w:space="0" w:color="auto"/>
        <w:right w:val="none" w:sz="0" w:space="0" w:color="auto"/>
      </w:divBdr>
    </w:div>
    <w:div w:id="1190023636">
      <w:bodyDiv w:val="1"/>
      <w:marLeft w:val="0"/>
      <w:marRight w:val="0"/>
      <w:marTop w:val="0"/>
      <w:marBottom w:val="0"/>
      <w:divBdr>
        <w:top w:val="none" w:sz="0" w:space="0" w:color="auto"/>
        <w:left w:val="none" w:sz="0" w:space="0" w:color="auto"/>
        <w:bottom w:val="none" w:sz="0" w:space="0" w:color="auto"/>
        <w:right w:val="none" w:sz="0" w:space="0" w:color="auto"/>
      </w:divBdr>
    </w:div>
    <w:div w:id="1246648406">
      <w:bodyDiv w:val="1"/>
      <w:marLeft w:val="0"/>
      <w:marRight w:val="0"/>
      <w:marTop w:val="0"/>
      <w:marBottom w:val="0"/>
      <w:divBdr>
        <w:top w:val="none" w:sz="0" w:space="0" w:color="auto"/>
        <w:left w:val="none" w:sz="0" w:space="0" w:color="auto"/>
        <w:bottom w:val="none" w:sz="0" w:space="0" w:color="auto"/>
        <w:right w:val="none" w:sz="0" w:space="0" w:color="auto"/>
      </w:divBdr>
    </w:div>
    <w:div w:id="1263488212">
      <w:bodyDiv w:val="1"/>
      <w:marLeft w:val="0"/>
      <w:marRight w:val="0"/>
      <w:marTop w:val="0"/>
      <w:marBottom w:val="0"/>
      <w:divBdr>
        <w:top w:val="none" w:sz="0" w:space="0" w:color="auto"/>
        <w:left w:val="none" w:sz="0" w:space="0" w:color="auto"/>
        <w:bottom w:val="none" w:sz="0" w:space="0" w:color="auto"/>
        <w:right w:val="none" w:sz="0" w:space="0" w:color="auto"/>
      </w:divBdr>
    </w:div>
    <w:div w:id="1280188908">
      <w:bodyDiv w:val="1"/>
      <w:marLeft w:val="0"/>
      <w:marRight w:val="0"/>
      <w:marTop w:val="0"/>
      <w:marBottom w:val="0"/>
      <w:divBdr>
        <w:top w:val="none" w:sz="0" w:space="0" w:color="auto"/>
        <w:left w:val="none" w:sz="0" w:space="0" w:color="auto"/>
        <w:bottom w:val="none" w:sz="0" w:space="0" w:color="auto"/>
        <w:right w:val="none" w:sz="0" w:space="0" w:color="auto"/>
      </w:divBdr>
    </w:div>
    <w:div w:id="1321614517">
      <w:bodyDiv w:val="1"/>
      <w:marLeft w:val="0"/>
      <w:marRight w:val="0"/>
      <w:marTop w:val="0"/>
      <w:marBottom w:val="0"/>
      <w:divBdr>
        <w:top w:val="none" w:sz="0" w:space="0" w:color="auto"/>
        <w:left w:val="none" w:sz="0" w:space="0" w:color="auto"/>
        <w:bottom w:val="none" w:sz="0" w:space="0" w:color="auto"/>
        <w:right w:val="none" w:sz="0" w:space="0" w:color="auto"/>
      </w:divBdr>
    </w:div>
    <w:div w:id="1329022222">
      <w:bodyDiv w:val="1"/>
      <w:marLeft w:val="0"/>
      <w:marRight w:val="0"/>
      <w:marTop w:val="0"/>
      <w:marBottom w:val="0"/>
      <w:divBdr>
        <w:top w:val="none" w:sz="0" w:space="0" w:color="auto"/>
        <w:left w:val="none" w:sz="0" w:space="0" w:color="auto"/>
        <w:bottom w:val="none" w:sz="0" w:space="0" w:color="auto"/>
        <w:right w:val="none" w:sz="0" w:space="0" w:color="auto"/>
      </w:divBdr>
    </w:div>
    <w:div w:id="1371956046">
      <w:bodyDiv w:val="1"/>
      <w:marLeft w:val="0"/>
      <w:marRight w:val="0"/>
      <w:marTop w:val="0"/>
      <w:marBottom w:val="0"/>
      <w:divBdr>
        <w:top w:val="none" w:sz="0" w:space="0" w:color="auto"/>
        <w:left w:val="none" w:sz="0" w:space="0" w:color="auto"/>
        <w:bottom w:val="none" w:sz="0" w:space="0" w:color="auto"/>
        <w:right w:val="none" w:sz="0" w:space="0" w:color="auto"/>
      </w:divBdr>
    </w:div>
    <w:div w:id="1418820012">
      <w:bodyDiv w:val="1"/>
      <w:marLeft w:val="0"/>
      <w:marRight w:val="0"/>
      <w:marTop w:val="0"/>
      <w:marBottom w:val="0"/>
      <w:divBdr>
        <w:top w:val="none" w:sz="0" w:space="0" w:color="auto"/>
        <w:left w:val="none" w:sz="0" w:space="0" w:color="auto"/>
        <w:bottom w:val="none" w:sz="0" w:space="0" w:color="auto"/>
        <w:right w:val="none" w:sz="0" w:space="0" w:color="auto"/>
      </w:divBdr>
    </w:div>
    <w:div w:id="1428305590">
      <w:bodyDiv w:val="1"/>
      <w:marLeft w:val="0"/>
      <w:marRight w:val="0"/>
      <w:marTop w:val="0"/>
      <w:marBottom w:val="0"/>
      <w:divBdr>
        <w:top w:val="none" w:sz="0" w:space="0" w:color="auto"/>
        <w:left w:val="none" w:sz="0" w:space="0" w:color="auto"/>
        <w:bottom w:val="none" w:sz="0" w:space="0" w:color="auto"/>
        <w:right w:val="none" w:sz="0" w:space="0" w:color="auto"/>
      </w:divBdr>
    </w:div>
    <w:div w:id="1442535205">
      <w:bodyDiv w:val="1"/>
      <w:marLeft w:val="0"/>
      <w:marRight w:val="0"/>
      <w:marTop w:val="0"/>
      <w:marBottom w:val="0"/>
      <w:divBdr>
        <w:top w:val="none" w:sz="0" w:space="0" w:color="auto"/>
        <w:left w:val="none" w:sz="0" w:space="0" w:color="auto"/>
        <w:bottom w:val="none" w:sz="0" w:space="0" w:color="auto"/>
        <w:right w:val="none" w:sz="0" w:space="0" w:color="auto"/>
      </w:divBdr>
    </w:div>
    <w:div w:id="1461804430">
      <w:bodyDiv w:val="1"/>
      <w:marLeft w:val="0"/>
      <w:marRight w:val="0"/>
      <w:marTop w:val="0"/>
      <w:marBottom w:val="0"/>
      <w:divBdr>
        <w:top w:val="none" w:sz="0" w:space="0" w:color="auto"/>
        <w:left w:val="none" w:sz="0" w:space="0" w:color="auto"/>
        <w:bottom w:val="none" w:sz="0" w:space="0" w:color="auto"/>
        <w:right w:val="none" w:sz="0" w:space="0" w:color="auto"/>
      </w:divBdr>
    </w:div>
    <w:div w:id="1473209951">
      <w:bodyDiv w:val="1"/>
      <w:marLeft w:val="0"/>
      <w:marRight w:val="0"/>
      <w:marTop w:val="0"/>
      <w:marBottom w:val="0"/>
      <w:divBdr>
        <w:top w:val="none" w:sz="0" w:space="0" w:color="auto"/>
        <w:left w:val="none" w:sz="0" w:space="0" w:color="auto"/>
        <w:bottom w:val="none" w:sz="0" w:space="0" w:color="auto"/>
        <w:right w:val="none" w:sz="0" w:space="0" w:color="auto"/>
      </w:divBdr>
    </w:div>
    <w:div w:id="1473710735">
      <w:bodyDiv w:val="1"/>
      <w:marLeft w:val="0"/>
      <w:marRight w:val="0"/>
      <w:marTop w:val="0"/>
      <w:marBottom w:val="0"/>
      <w:divBdr>
        <w:top w:val="none" w:sz="0" w:space="0" w:color="auto"/>
        <w:left w:val="none" w:sz="0" w:space="0" w:color="auto"/>
        <w:bottom w:val="none" w:sz="0" w:space="0" w:color="auto"/>
        <w:right w:val="none" w:sz="0" w:space="0" w:color="auto"/>
      </w:divBdr>
    </w:div>
    <w:div w:id="1520662765">
      <w:bodyDiv w:val="1"/>
      <w:marLeft w:val="0"/>
      <w:marRight w:val="0"/>
      <w:marTop w:val="0"/>
      <w:marBottom w:val="0"/>
      <w:divBdr>
        <w:top w:val="none" w:sz="0" w:space="0" w:color="auto"/>
        <w:left w:val="none" w:sz="0" w:space="0" w:color="auto"/>
        <w:bottom w:val="none" w:sz="0" w:space="0" w:color="auto"/>
        <w:right w:val="none" w:sz="0" w:space="0" w:color="auto"/>
      </w:divBdr>
    </w:div>
    <w:div w:id="1522430974">
      <w:bodyDiv w:val="1"/>
      <w:marLeft w:val="0"/>
      <w:marRight w:val="0"/>
      <w:marTop w:val="0"/>
      <w:marBottom w:val="0"/>
      <w:divBdr>
        <w:top w:val="none" w:sz="0" w:space="0" w:color="auto"/>
        <w:left w:val="none" w:sz="0" w:space="0" w:color="auto"/>
        <w:bottom w:val="none" w:sz="0" w:space="0" w:color="auto"/>
        <w:right w:val="none" w:sz="0" w:space="0" w:color="auto"/>
      </w:divBdr>
    </w:div>
    <w:div w:id="1529830537">
      <w:bodyDiv w:val="1"/>
      <w:marLeft w:val="0"/>
      <w:marRight w:val="0"/>
      <w:marTop w:val="0"/>
      <w:marBottom w:val="0"/>
      <w:divBdr>
        <w:top w:val="none" w:sz="0" w:space="0" w:color="auto"/>
        <w:left w:val="none" w:sz="0" w:space="0" w:color="auto"/>
        <w:bottom w:val="none" w:sz="0" w:space="0" w:color="auto"/>
        <w:right w:val="none" w:sz="0" w:space="0" w:color="auto"/>
      </w:divBdr>
    </w:div>
    <w:div w:id="1584873058">
      <w:bodyDiv w:val="1"/>
      <w:marLeft w:val="0"/>
      <w:marRight w:val="0"/>
      <w:marTop w:val="0"/>
      <w:marBottom w:val="0"/>
      <w:divBdr>
        <w:top w:val="none" w:sz="0" w:space="0" w:color="auto"/>
        <w:left w:val="none" w:sz="0" w:space="0" w:color="auto"/>
        <w:bottom w:val="none" w:sz="0" w:space="0" w:color="auto"/>
        <w:right w:val="none" w:sz="0" w:space="0" w:color="auto"/>
      </w:divBdr>
    </w:div>
    <w:div w:id="1586453300">
      <w:bodyDiv w:val="1"/>
      <w:marLeft w:val="0"/>
      <w:marRight w:val="0"/>
      <w:marTop w:val="0"/>
      <w:marBottom w:val="0"/>
      <w:divBdr>
        <w:top w:val="none" w:sz="0" w:space="0" w:color="auto"/>
        <w:left w:val="none" w:sz="0" w:space="0" w:color="auto"/>
        <w:bottom w:val="none" w:sz="0" w:space="0" w:color="auto"/>
        <w:right w:val="none" w:sz="0" w:space="0" w:color="auto"/>
      </w:divBdr>
    </w:div>
    <w:div w:id="1594587273">
      <w:bodyDiv w:val="1"/>
      <w:marLeft w:val="0"/>
      <w:marRight w:val="0"/>
      <w:marTop w:val="0"/>
      <w:marBottom w:val="0"/>
      <w:divBdr>
        <w:top w:val="none" w:sz="0" w:space="0" w:color="auto"/>
        <w:left w:val="none" w:sz="0" w:space="0" w:color="auto"/>
        <w:bottom w:val="none" w:sz="0" w:space="0" w:color="auto"/>
        <w:right w:val="none" w:sz="0" w:space="0" w:color="auto"/>
      </w:divBdr>
    </w:div>
    <w:div w:id="1626544291">
      <w:bodyDiv w:val="1"/>
      <w:marLeft w:val="0"/>
      <w:marRight w:val="0"/>
      <w:marTop w:val="0"/>
      <w:marBottom w:val="0"/>
      <w:divBdr>
        <w:top w:val="none" w:sz="0" w:space="0" w:color="auto"/>
        <w:left w:val="none" w:sz="0" w:space="0" w:color="auto"/>
        <w:bottom w:val="none" w:sz="0" w:space="0" w:color="auto"/>
        <w:right w:val="none" w:sz="0" w:space="0" w:color="auto"/>
      </w:divBdr>
    </w:div>
    <w:div w:id="1683971806">
      <w:bodyDiv w:val="1"/>
      <w:marLeft w:val="0"/>
      <w:marRight w:val="0"/>
      <w:marTop w:val="0"/>
      <w:marBottom w:val="0"/>
      <w:divBdr>
        <w:top w:val="none" w:sz="0" w:space="0" w:color="auto"/>
        <w:left w:val="none" w:sz="0" w:space="0" w:color="auto"/>
        <w:bottom w:val="none" w:sz="0" w:space="0" w:color="auto"/>
        <w:right w:val="none" w:sz="0" w:space="0" w:color="auto"/>
      </w:divBdr>
    </w:div>
    <w:div w:id="1686594691">
      <w:bodyDiv w:val="1"/>
      <w:marLeft w:val="0"/>
      <w:marRight w:val="0"/>
      <w:marTop w:val="0"/>
      <w:marBottom w:val="0"/>
      <w:divBdr>
        <w:top w:val="none" w:sz="0" w:space="0" w:color="auto"/>
        <w:left w:val="none" w:sz="0" w:space="0" w:color="auto"/>
        <w:bottom w:val="none" w:sz="0" w:space="0" w:color="auto"/>
        <w:right w:val="none" w:sz="0" w:space="0" w:color="auto"/>
      </w:divBdr>
    </w:div>
    <w:div w:id="1693647169">
      <w:bodyDiv w:val="1"/>
      <w:marLeft w:val="0"/>
      <w:marRight w:val="0"/>
      <w:marTop w:val="0"/>
      <w:marBottom w:val="0"/>
      <w:divBdr>
        <w:top w:val="none" w:sz="0" w:space="0" w:color="auto"/>
        <w:left w:val="none" w:sz="0" w:space="0" w:color="auto"/>
        <w:bottom w:val="none" w:sz="0" w:space="0" w:color="auto"/>
        <w:right w:val="none" w:sz="0" w:space="0" w:color="auto"/>
      </w:divBdr>
    </w:div>
    <w:div w:id="1757359630">
      <w:bodyDiv w:val="1"/>
      <w:marLeft w:val="0"/>
      <w:marRight w:val="0"/>
      <w:marTop w:val="0"/>
      <w:marBottom w:val="0"/>
      <w:divBdr>
        <w:top w:val="none" w:sz="0" w:space="0" w:color="auto"/>
        <w:left w:val="none" w:sz="0" w:space="0" w:color="auto"/>
        <w:bottom w:val="none" w:sz="0" w:space="0" w:color="auto"/>
        <w:right w:val="none" w:sz="0" w:space="0" w:color="auto"/>
      </w:divBdr>
    </w:div>
    <w:div w:id="1870989242">
      <w:bodyDiv w:val="1"/>
      <w:marLeft w:val="0"/>
      <w:marRight w:val="0"/>
      <w:marTop w:val="0"/>
      <w:marBottom w:val="0"/>
      <w:divBdr>
        <w:top w:val="none" w:sz="0" w:space="0" w:color="auto"/>
        <w:left w:val="none" w:sz="0" w:space="0" w:color="auto"/>
        <w:bottom w:val="none" w:sz="0" w:space="0" w:color="auto"/>
        <w:right w:val="none" w:sz="0" w:space="0" w:color="auto"/>
      </w:divBdr>
    </w:div>
    <w:div w:id="1879854164">
      <w:bodyDiv w:val="1"/>
      <w:marLeft w:val="0"/>
      <w:marRight w:val="0"/>
      <w:marTop w:val="0"/>
      <w:marBottom w:val="0"/>
      <w:divBdr>
        <w:top w:val="none" w:sz="0" w:space="0" w:color="auto"/>
        <w:left w:val="none" w:sz="0" w:space="0" w:color="auto"/>
        <w:bottom w:val="none" w:sz="0" w:space="0" w:color="auto"/>
        <w:right w:val="none" w:sz="0" w:space="0" w:color="auto"/>
      </w:divBdr>
    </w:div>
    <w:div w:id="1880971559">
      <w:bodyDiv w:val="1"/>
      <w:marLeft w:val="0"/>
      <w:marRight w:val="0"/>
      <w:marTop w:val="0"/>
      <w:marBottom w:val="0"/>
      <w:divBdr>
        <w:top w:val="none" w:sz="0" w:space="0" w:color="auto"/>
        <w:left w:val="none" w:sz="0" w:space="0" w:color="auto"/>
        <w:bottom w:val="none" w:sz="0" w:space="0" w:color="auto"/>
        <w:right w:val="none" w:sz="0" w:space="0" w:color="auto"/>
      </w:divBdr>
    </w:div>
    <w:div w:id="1883784601">
      <w:bodyDiv w:val="1"/>
      <w:marLeft w:val="0"/>
      <w:marRight w:val="0"/>
      <w:marTop w:val="0"/>
      <w:marBottom w:val="0"/>
      <w:divBdr>
        <w:top w:val="none" w:sz="0" w:space="0" w:color="auto"/>
        <w:left w:val="none" w:sz="0" w:space="0" w:color="auto"/>
        <w:bottom w:val="none" w:sz="0" w:space="0" w:color="auto"/>
        <w:right w:val="none" w:sz="0" w:space="0" w:color="auto"/>
      </w:divBdr>
    </w:div>
    <w:div w:id="1893731659">
      <w:bodyDiv w:val="1"/>
      <w:marLeft w:val="0"/>
      <w:marRight w:val="0"/>
      <w:marTop w:val="0"/>
      <w:marBottom w:val="0"/>
      <w:divBdr>
        <w:top w:val="none" w:sz="0" w:space="0" w:color="auto"/>
        <w:left w:val="none" w:sz="0" w:space="0" w:color="auto"/>
        <w:bottom w:val="none" w:sz="0" w:space="0" w:color="auto"/>
        <w:right w:val="none" w:sz="0" w:space="0" w:color="auto"/>
      </w:divBdr>
    </w:div>
    <w:div w:id="1894390081">
      <w:bodyDiv w:val="1"/>
      <w:marLeft w:val="0"/>
      <w:marRight w:val="0"/>
      <w:marTop w:val="0"/>
      <w:marBottom w:val="0"/>
      <w:divBdr>
        <w:top w:val="none" w:sz="0" w:space="0" w:color="auto"/>
        <w:left w:val="none" w:sz="0" w:space="0" w:color="auto"/>
        <w:bottom w:val="none" w:sz="0" w:space="0" w:color="auto"/>
        <w:right w:val="none" w:sz="0" w:space="0" w:color="auto"/>
      </w:divBdr>
    </w:div>
    <w:div w:id="1894540766">
      <w:bodyDiv w:val="1"/>
      <w:marLeft w:val="0"/>
      <w:marRight w:val="0"/>
      <w:marTop w:val="0"/>
      <w:marBottom w:val="0"/>
      <w:divBdr>
        <w:top w:val="none" w:sz="0" w:space="0" w:color="auto"/>
        <w:left w:val="none" w:sz="0" w:space="0" w:color="auto"/>
        <w:bottom w:val="none" w:sz="0" w:space="0" w:color="auto"/>
        <w:right w:val="none" w:sz="0" w:space="0" w:color="auto"/>
      </w:divBdr>
    </w:div>
    <w:div w:id="1919093595">
      <w:bodyDiv w:val="1"/>
      <w:marLeft w:val="0"/>
      <w:marRight w:val="0"/>
      <w:marTop w:val="0"/>
      <w:marBottom w:val="0"/>
      <w:divBdr>
        <w:top w:val="none" w:sz="0" w:space="0" w:color="auto"/>
        <w:left w:val="none" w:sz="0" w:space="0" w:color="auto"/>
        <w:bottom w:val="none" w:sz="0" w:space="0" w:color="auto"/>
        <w:right w:val="none" w:sz="0" w:space="0" w:color="auto"/>
      </w:divBdr>
    </w:div>
    <w:div w:id="1936135457">
      <w:bodyDiv w:val="1"/>
      <w:marLeft w:val="0"/>
      <w:marRight w:val="0"/>
      <w:marTop w:val="0"/>
      <w:marBottom w:val="0"/>
      <w:divBdr>
        <w:top w:val="none" w:sz="0" w:space="0" w:color="auto"/>
        <w:left w:val="none" w:sz="0" w:space="0" w:color="auto"/>
        <w:bottom w:val="none" w:sz="0" w:space="0" w:color="auto"/>
        <w:right w:val="none" w:sz="0" w:space="0" w:color="auto"/>
      </w:divBdr>
    </w:div>
    <w:div w:id="1937907554">
      <w:bodyDiv w:val="1"/>
      <w:marLeft w:val="0"/>
      <w:marRight w:val="0"/>
      <w:marTop w:val="0"/>
      <w:marBottom w:val="0"/>
      <w:divBdr>
        <w:top w:val="none" w:sz="0" w:space="0" w:color="auto"/>
        <w:left w:val="none" w:sz="0" w:space="0" w:color="auto"/>
        <w:bottom w:val="none" w:sz="0" w:space="0" w:color="auto"/>
        <w:right w:val="none" w:sz="0" w:space="0" w:color="auto"/>
      </w:divBdr>
    </w:div>
    <w:div w:id="1972858608">
      <w:bodyDiv w:val="1"/>
      <w:marLeft w:val="0"/>
      <w:marRight w:val="0"/>
      <w:marTop w:val="0"/>
      <w:marBottom w:val="0"/>
      <w:divBdr>
        <w:top w:val="none" w:sz="0" w:space="0" w:color="auto"/>
        <w:left w:val="none" w:sz="0" w:space="0" w:color="auto"/>
        <w:bottom w:val="none" w:sz="0" w:space="0" w:color="auto"/>
        <w:right w:val="none" w:sz="0" w:space="0" w:color="auto"/>
      </w:divBdr>
    </w:div>
    <w:div w:id="1984000331">
      <w:bodyDiv w:val="1"/>
      <w:marLeft w:val="0"/>
      <w:marRight w:val="0"/>
      <w:marTop w:val="0"/>
      <w:marBottom w:val="0"/>
      <w:divBdr>
        <w:top w:val="none" w:sz="0" w:space="0" w:color="auto"/>
        <w:left w:val="none" w:sz="0" w:space="0" w:color="auto"/>
        <w:bottom w:val="none" w:sz="0" w:space="0" w:color="auto"/>
        <w:right w:val="none" w:sz="0" w:space="0" w:color="auto"/>
      </w:divBdr>
    </w:div>
    <w:div w:id="2006008081">
      <w:bodyDiv w:val="1"/>
      <w:marLeft w:val="0"/>
      <w:marRight w:val="0"/>
      <w:marTop w:val="0"/>
      <w:marBottom w:val="0"/>
      <w:divBdr>
        <w:top w:val="none" w:sz="0" w:space="0" w:color="auto"/>
        <w:left w:val="none" w:sz="0" w:space="0" w:color="auto"/>
        <w:bottom w:val="none" w:sz="0" w:space="0" w:color="auto"/>
        <w:right w:val="none" w:sz="0" w:space="0" w:color="auto"/>
      </w:divBdr>
    </w:div>
    <w:div w:id="2027051742">
      <w:bodyDiv w:val="1"/>
      <w:marLeft w:val="0"/>
      <w:marRight w:val="0"/>
      <w:marTop w:val="0"/>
      <w:marBottom w:val="0"/>
      <w:divBdr>
        <w:top w:val="none" w:sz="0" w:space="0" w:color="auto"/>
        <w:left w:val="none" w:sz="0" w:space="0" w:color="auto"/>
        <w:bottom w:val="none" w:sz="0" w:space="0" w:color="auto"/>
        <w:right w:val="none" w:sz="0" w:space="0" w:color="auto"/>
      </w:divBdr>
    </w:div>
    <w:div w:id="2030327710">
      <w:bodyDiv w:val="1"/>
      <w:marLeft w:val="0"/>
      <w:marRight w:val="0"/>
      <w:marTop w:val="0"/>
      <w:marBottom w:val="0"/>
      <w:divBdr>
        <w:top w:val="none" w:sz="0" w:space="0" w:color="auto"/>
        <w:left w:val="none" w:sz="0" w:space="0" w:color="auto"/>
        <w:bottom w:val="none" w:sz="0" w:space="0" w:color="auto"/>
        <w:right w:val="none" w:sz="0" w:space="0" w:color="auto"/>
      </w:divBdr>
    </w:div>
    <w:div w:id="2037659021">
      <w:bodyDiv w:val="1"/>
      <w:marLeft w:val="0"/>
      <w:marRight w:val="0"/>
      <w:marTop w:val="0"/>
      <w:marBottom w:val="0"/>
      <w:divBdr>
        <w:top w:val="none" w:sz="0" w:space="0" w:color="auto"/>
        <w:left w:val="none" w:sz="0" w:space="0" w:color="auto"/>
        <w:bottom w:val="none" w:sz="0" w:space="0" w:color="auto"/>
        <w:right w:val="none" w:sz="0" w:space="0" w:color="auto"/>
      </w:divBdr>
    </w:div>
    <w:div w:id="2108037667">
      <w:bodyDiv w:val="1"/>
      <w:marLeft w:val="0"/>
      <w:marRight w:val="0"/>
      <w:marTop w:val="0"/>
      <w:marBottom w:val="0"/>
      <w:divBdr>
        <w:top w:val="none" w:sz="0" w:space="0" w:color="auto"/>
        <w:left w:val="none" w:sz="0" w:space="0" w:color="auto"/>
        <w:bottom w:val="none" w:sz="0" w:space="0" w:color="auto"/>
        <w:right w:val="none" w:sz="0" w:space="0" w:color="auto"/>
      </w:divBdr>
    </w:div>
    <w:div w:id="2129661880">
      <w:bodyDiv w:val="1"/>
      <w:marLeft w:val="0"/>
      <w:marRight w:val="0"/>
      <w:marTop w:val="0"/>
      <w:marBottom w:val="0"/>
      <w:divBdr>
        <w:top w:val="none" w:sz="0" w:space="0" w:color="auto"/>
        <w:left w:val="none" w:sz="0" w:space="0" w:color="auto"/>
        <w:bottom w:val="none" w:sz="0" w:space="0" w:color="auto"/>
        <w:right w:val="none" w:sz="0" w:space="0" w:color="auto"/>
      </w:divBdr>
    </w:div>
    <w:div w:id="2136364297">
      <w:bodyDiv w:val="1"/>
      <w:marLeft w:val="0"/>
      <w:marRight w:val="0"/>
      <w:marTop w:val="0"/>
      <w:marBottom w:val="0"/>
      <w:divBdr>
        <w:top w:val="none" w:sz="0" w:space="0" w:color="auto"/>
        <w:left w:val="none" w:sz="0" w:space="0" w:color="auto"/>
        <w:bottom w:val="none" w:sz="0" w:space="0" w:color="auto"/>
        <w:right w:val="none" w:sz="0" w:space="0" w:color="auto"/>
      </w:divBdr>
    </w:div>
    <w:div w:id="214716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file:///C:\Users\JenningsE\AppData\Local\Microsoft\Windows\INetCache\Content.Outlook\LI68X9LS\sc55-8.2_iucn_non-core_review_s" TargetMode="External"/><Relationship Id="rId2" Type="http://schemas.openxmlformats.org/officeDocument/2006/relationships/hyperlink" Target="https://www.ramsar.org/es/documento/resolucion-x2-asuntos-financieros-y-presupuestarios" TargetMode="External"/><Relationship Id="rId1" Type="http://schemas.openxmlformats.org/officeDocument/2006/relationships/hyperlink" Target="https://www.ramsar.org/sites/default/files/documents/library/report_auditor_ramsar_2021_e.pdf" TargetMode="External"/><Relationship Id="rId4" Type="http://schemas.openxmlformats.org/officeDocument/2006/relationships/hyperlink" Target="https://www.ramsar.org/sites/default/files/documents/library/report_auditor_ramsar_2021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0" ma:contentTypeDescription="Create a new document." ma:contentTypeScope="" ma:versionID="40fbab5a3390233354d1d19905a21a2b">
  <xsd:schema xmlns:xsd="http://www.w3.org/2001/XMLSchema" xmlns:xs="http://www.w3.org/2001/XMLSchema" xmlns:p="http://schemas.microsoft.com/office/2006/metadata/properties" xmlns:ns3="8c0b6b05-eb82-4bda-97e8-cd82d0d6b453" targetNamespace="http://schemas.microsoft.com/office/2006/metadata/properties" ma:root="true" ma:fieldsID="30c1fdeb8c2cfcff55d0f529bd9cc16e" ns3:_="">
    <xsd:import namespace="8c0b6b05-eb82-4bda-97e8-cd82d0d6b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74976-BAA8-4170-8A86-54577CEFFF03}">
  <ds:schemaRefs>
    <ds:schemaRef ds:uri="http://schemas.microsoft.com/sharepoint/v3/contenttype/forms"/>
  </ds:schemaRefs>
</ds:datastoreItem>
</file>

<file path=customXml/itemProps2.xml><?xml version="1.0" encoding="utf-8"?>
<ds:datastoreItem xmlns:ds="http://schemas.openxmlformats.org/officeDocument/2006/customXml" ds:itemID="{AFEA1E76-278B-452B-874A-3F1920C05DE7}">
  <ds:schemaRefs>
    <ds:schemaRef ds:uri="8c0b6b05-eb82-4bda-97e8-cd82d0d6b453"/>
    <ds:schemaRef ds:uri="http://purl.org/dc/dcmitype/"/>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5FFAE6D-2D12-4281-BE62-AC60A3BAE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17EE57-34ED-4678-92B9-CABD8FF88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7405</Words>
  <Characters>42210</Characters>
  <Application>Microsoft Office Word</Application>
  <DocSecurity>0</DocSecurity>
  <Lines>351</Lines>
  <Paragraphs>99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IUCN</Company>
  <LinksUpToDate>false</LinksUpToDate>
  <CharactersWithSpaces>49516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Ramsar\KatzM</dc:creator>
  <cp:keywords/>
  <dc:description/>
  <cp:lastModifiedBy>Ed Jennings</cp:lastModifiedBy>
  <cp:revision>2</cp:revision>
  <cp:lastPrinted>2022-04-07T12:23:00Z</cp:lastPrinted>
  <dcterms:created xsi:type="dcterms:W3CDTF">2022-05-17T13:10:00Z</dcterms:created>
  <dcterms:modified xsi:type="dcterms:W3CDTF">2022-05-17T13:10:00Z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