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E3" w:rsidRPr="00941FA7" w:rsidRDefault="009A08E3" w:rsidP="009A08E3">
      <w:pPr>
        <w:pBdr>
          <w:top w:val="single" w:sz="12" w:space="0" w:color="auto" w:shadow="1"/>
          <w:left w:val="single" w:sz="12" w:space="4" w:color="auto" w:shadow="1"/>
          <w:bottom w:val="single" w:sz="12" w:space="1" w:color="auto" w:shadow="1"/>
          <w:right w:val="single" w:sz="4" w:space="1" w:color="auto"/>
        </w:pBdr>
        <w:ind w:right="2790"/>
        <w:rPr>
          <w:bCs/>
          <w:lang w:val="fr-FR"/>
        </w:rPr>
      </w:pPr>
      <w:r w:rsidRPr="00941FA7">
        <w:rPr>
          <w:bCs/>
          <w:lang w:val="fr-FR"/>
        </w:rPr>
        <w:t xml:space="preserve">CONVENTION SUR LES ZONES HUMIDES </w:t>
      </w:r>
    </w:p>
    <w:p w:rsidR="009A08E3" w:rsidRPr="00941FA7" w:rsidRDefault="009A08E3" w:rsidP="009A08E3">
      <w:pPr>
        <w:pBdr>
          <w:top w:val="single" w:sz="12" w:space="0" w:color="auto" w:shadow="1"/>
          <w:left w:val="single" w:sz="12" w:space="4" w:color="auto" w:shadow="1"/>
          <w:bottom w:val="single" w:sz="12" w:space="1" w:color="auto" w:shadow="1"/>
          <w:right w:val="single" w:sz="4" w:space="1" w:color="auto"/>
        </w:pBdr>
        <w:ind w:right="2790"/>
        <w:rPr>
          <w:bCs/>
          <w:lang w:val="fr-FR"/>
        </w:rPr>
      </w:pPr>
      <w:r w:rsidRPr="00941FA7">
        <w:rPr>
          <w:bCs/>
          <w:lang w:val="fr-FR"/>
        </w:rPr>
        <w:t>59</w:t>
      </w:r>
      <w:r w:rsidRPr="00941FA7">
        <w:rPr>
          <w:bCs/>
          <w:vertAlign w:val="superscript"/>
          <w:lang w:val="fr-FR"/>
        </w:rPr>
        <w:t>e</w:t>
      </w:r>
      <w:r w:rsidRPr="00941FA7">
        <w:rPr>
          <w:bCs/>
          <w:lang w:val="fr-FR"/>
        </w:rPr>
        <w:t> Réunion du Comité permanent</w:t>
      </w:r>
    </w:p>
    <w:p w:rsidR="002052AE" w:rsidRPr="00941FA7" w:rsidRDefault="002052AE" w:rsidP="009A08E3">
      <w:pPr>
        <w:pBdr>
          <w:top w:val="single" w:sz="12" w:space="0" w:color="auto" w:shadow="1"/>
          <w:left w:val="single" w:sz="12" w:space="4" w:color="auto" w:shadow="1"/>
          <w:bottom w:val="single" w:sz="12" w:space="1" w:color="auto" w:shadow="1"/>
          <w:right w:val="single" w:sz="4" w:space="1" w:color="auto"/>
        </w:pBdr>
        <w:ind w:right="2790"/>
        <w:rPr>
          <w:bCs/>
          <w:lang w:val="fr-FR"/>
        </w:rPr>
      </w:pPr>
      <w:r w:rsidRPr="00941FA7">
        <w:rPr>
          <w:bCs/>
          <w:lang w:val="fr-FR"/>
        </w:rPr>
        <w:t>Reprise de la session</w:t>
      </w:r>
    </w:p>
    <w:p w:rsidR="009A08E3" w:rsidRPr="00941FA7" w:rsidRDefault="002052AE" w:rsidP="009A08E3">
      <w:pPr>
        <w:pBdr>
          <w:top w:val="single" w:sz="12" w:space="0" w:color="auto" w:shadow="1"/>
          <w:left w:val="single" w:sz="12" w:space="4" w:color="auto" w:shadow="1"/>
          <w:bottom w:val="single" w:sz="12" w:space="1" w:color="auto" w:shadow="1"/>
          <w:right w:val="single" w:sz="4" w:space="1" w:color="auto"/>
        </w:pBdr>
        <w:ind w:right="2790"/>
        <w:rPr>
          <w:bCs/>
          <w:lang w:val="fr-FR"/>
        </w:rPr>
      </w:pPr>
      <w:r w:rsidRPr="00941FA7">
        <w:rPr>
          <w:bCs/>
          <w:lang w:val="fr-FR"/>
        </w:rPr>
        <w:t>Gland, Suisse, 23-27 mai 2022</w:t>
      </w:r>
    </w:p>
    <w:p w:rsidR="00DF2386" w:rsidRPr="00941FA7" w:rsidRDefault="00DF2386" w:rsidP="00633DD5">
      <w:pPr>
        <w:outlineLvl w:val="0"/>
        <w:rPr>
          <w:b/>
          <w:lang w:val="fr-FR"/>
        </w:rPr>
      </w:pPr>
    </w:p>
    <w:p w:rsidR="00DF2386" w:rsidRPr="00941FA7" w:rsidRDefault="00FE0913" w:rsidP="00633DD5">
      <w:pPr>
        <w:jc w:val="right"/>
        <w:rPr>
          <w:rFonts w:cs="Arial"/>
          <w:sz w:val="28"/>
          <w:szCs w:val="28"/>
          <w:lang w:val="fr-FR"/>
        </w:rPr>
      </w:pPr>
      <w:r w:rsidRPr="00941FA7">
        <w:rPr>
          <w:rFonts w:cs="Arial"/>
          <w:b/>
          <w:sz w:val="28"/>
          <w:szCs w:val="28"/>
          <w:lang w:val="fr-FR"/>
        </w:rPr>
        <w:t>SC59</w:t>
      </w:r>
      <w:r w:rsidR="00C03FC6" w:rsidRPr="00941FA7">
        <w:rPr>
          <w:rFonts w:cs="Arial"/>
          <w:b/>
          <w:sz w:val="28"/>
          <w:szCs w:val="28"/>
          <w:lang w:val="fr-FR"/>
        </w:rPr>
        <w:t>/2022</w:t>
      </w:r>
      <w:r w:rsidR="009D425A" w:rsidRPr="00941FA7">
        <w:rPr>
          <w:rFonts w:cs="Arial"/>
          <w:b/>
          <w:sz w:val="28"/>
          <w:szCs w:val="28"/>
          <w:lang w:val="fr-FR"/>
        </w:rPr>
        <w:t>Doc.</w:t>
      </w:r>
      <w:r w:rsidR="003F621E" w:rsidRPr="00941FA7">
        <w:rPr>
          <w:rFonts w:cs="Arial"/>
          <w:b/>
          <w:sz w:val="28"/>
          <w:szCs w:val="28"/>
          <w:lang w:val="fr-FR"/>
        </w:rPr>
        <w:t>8</w:t>
      </w:r>
      <w:r w:rsidR="00DE5D75" w:rsidRPr="00941FA7">
        <w:rPr>
          <w:rFonts w:cs="Arial"/>
          <w:b/>
          <w:sz w:val="28"/>
          <w:szCs w:val="28"/>
          <w:lang w:val="fr-FR"/>
        </w:rPr>
        <w:t>.</w:t>
      </w:r>
      <w:r w:rsidRPr="00941FA7">
        <w:rPr>
          <w:rFonts w:cs="Arial"/>
          <w:b/>
          <w:sz w:val="28"/>
          <w:szCs w:val="28"/>
          <w:lang w:val="fr-FR"/>
        </w:rPr>
        <w:t>1</w:t>
      </w:r>
    </w:p>
    <w:p w:rsidR="00DF2386" w:rsidRPr="00941FA7" w:rsidRDefault="00DF2386" w:rsidP="00633DD5">
      <w:pPr>
        <w:rPr>
          <w:rFonts w:cs="Arial"/>
          <w:b/>
          <w:sz w:val="28"/>
          <w:szCs w:val="28"/>
          <w:lang w:val="fr-FR"/>
        </w:rPr>
      </w:pPr>
    </w:p>
    <w:p w:rsidR="00DF2386" w:rsidRDefault="00A82333" w:rsidP="00633DD5">
      <w:pPr>
        <w:ind w:left="0" w:firstLine="0"/>
        <w:jc w:val="center"/>
        <w:rPr>
          <w:rFonts w:cs="Arial"/>
          <w:b/>
          <w:sz w:val="28"/>
          <w:szCs w:val="28"/>
          <w:lang w:val="fr-FR"/>
        </w:rPr>
      </w:pPr>
      <w:r w:rsidRPr="00941FA7">
        <w:rPr>
          <w:rFonts w:cs="Arial"/>
          <w:b/>
          <w:sz w:val="28"/>
          <w:szCs w:val="28"/>
          <w:lang w:val="fr-FR"/>
        </w:rPr>
        <w:t xml:space="preserve">Rapport sur les questions financières pour </w:t>
      </w:r>
      <w:r w:rsidR="002052AE" w:rsidRPr="00941FA7">
        <w:rPr>
          <w:rFonts w:cs="Arial"/>
          <w:b/>
          <w:sz w:val="28"/>
          <w:szCs w:val="28"/>
          <w:lang w:val="fr-FR"/>
        </w:rPr>
        <w:t xml:space="preserve">2019 - 2021 </w:t>
      </w:r>
      <w:r w:rsidRPr="00941FA7">
        <w:rPr>
          <w:rFonts w:cs="Arial"/>
          <w:b/>
          <w:sz w:val="28"/>
          <w:szCs w:val="28"/>
          <w:lang w:val="fr-FR"/>
        </w:rPr>
        <w:t>et</w:t>
      </w:r>
      <w:r w:rsidR="00C03FC6" w:rsidRPr="00941FA7">
        <w:rPr>
          <w:rFonts w:cs="Arial"/>
          <w:b/>
          <w:sz w:val="28"/>
          <w:szCs w:val="28"/>
          <w:lang w:val="fr-FR"/>
        </w:rPr>
        <w:t xml:space="preserve"> 2022</w:t>
      </w:r>
    </w:p>
    <w:p w:rsidR="00761962" w:rsidRPr="00941FA7" w:rsidRDefault="00761962" w:rsidP="00633DD5">
      <w:pPr>
        <w:ind w:left="0" w:firstLine="0"/>
        <w:jc w:val="center"/>
        <w:rPr>
          <w:rFonts w:cs="Arial"/>
          <w:b/>
          <w:sz w:val="28"/>
          <w:szCs w:val="28"/>
          <w:lang w:val="fr-FR"/>
        </w:rPr>
      </w:pPr>
    </w:p>
    <w:p w:rsidR="00DF2386" w:rsidRPr="00941FA7" w:rsidRDefault="008939B8" w:rsidP="00633DD5">
      <w:pPr>
        <w:rPr>
          <w:rFonts w:ascii="Garamond" w:hAnsi="Garamond" w:cs="Arial"/>
          <w:sz w:val="28"/>
          <w:szCs w:val="28"/>
          <w:lang w:val="fr-FR"/>
        </w:rPr>
      </w:pPr>
      <w:r>
        <w:rPr>
          <w:noProof/>
          <w:lang w:val="fr-FR" w:eastAsia="en-GB"/>
        </w:rPr>
      </w:r>
      <w:r>
        <w:rPr>
          <w:noProof/>
          <w:lang w:val="fr-FR" w:eastAsia="en-GB"/>
        </w:rPr>
        <w:pict w14:anchorId="5DD0A2E9">
          <v:shapetype id="_x0000_t202" coordsize="21600,21600" o:spt="202" path="m,l,21600r21600,l21600,xe">
            <v:stroke joinstyle="miter"/>
            <v:path gradientshapeok="t" o:connecttype="rect"/>
          </v:shapetype>
          <v:shape id="Text Box 1" o:spid="_x0000_s1026" type="#_x0000_t202" style="width:459.55pt;height:418.9pt;visibility:visible;mso-left-percent:-10001;mso-top-percent:-10001;mso-position-horizontal:absolute;mso-position-horizontal-relative:char;mso-position-vertical:absolute;mso-position-vertical-relative:line;mso-left-percent:-10001;mso-top-percent:-10001">
            <v:textbox style="mso-next-textbox:#Text Box 1">
              <w:txbxContent>
                <w:p w:rsidR="008939B8" w:rsidRPr="000449D3" w:rsidRDefault="008939B8" w:rsidP="000202D5">
                  <w:pPr>
                    <w:pStyle w:val="ColorfulList-Accent11"/>
                    <w:ind w:left="426" w:hanging="450"/>
                    <w:rPr>
                      <w:b/>
                      <w:bCs/>
                      <w:lang w:val="fr-FR"/>
                    </w:rPr>
                  </w:pPr>
                  <w:r w:rsidRPr="000449D3">
                    <w:rPr>
                      <w:b/>
                      <w:bCs/>
                      <w:lang w:val="fr-FR"/>
                    </w:rPr>
                    <w:t>Mesures requises :</w:t>
                  </w:r>
                </w:p>
                <w:p w:rsidR="008939B8" w:rsidRPr="000449D3" w:rsidRDefault="008939B8" w:rsidP="000202D5">
                  <w:pPr>
                    <w:pStyle w:val="ColorfulList-Accent11"/>
                    <w:ind w:left="426"/>
                    <w:rPr>
                      <w:lang w:val="fr-FR"/>
                    </w:rPr>
                  </w:pPr>
                </w:p>
                <w:p w:rsidR="008939B8" w:rsidRDefault="008939B8" w:rsidP="000202D5">
                  <w:pPr>
                    <w:pStyle w:val="ColorfulList-Accent11"/>
                    <w:ind w:left="0"/>
                    <w:rPr>
                      <w:lang w:val="fr-FR"/>
                    </w:rPr>
                  </w:pPr>
                  <w:r>
                    <w:rPr>
                      <w:lang w:val="fr-FR"/>
                    </w:rPr>
                    <w:t xml:space="preserve">        Le C</w:t>
                  </w:r>
                  <w:r w:rsidRPr="000449D3">
                    <w:rPr>
                      <w:lang w:val="fr-FR"/>
                    </w:rPr>
                    <w:t>omité permanent est invité à :</w:t>
                  </w:r>
                </w:p>
                <w:p w:rsidR="008939B8" w:rsidRPr="00A82333" w:rsidRDefault="008939B8" w:rsidP="000202D5">
                  <w:pPr>
                    <w:pStyle w:val="ColorfulList-Accent11"/>
                    <w:ind w:left="0"/>
                    <w:rPr>
                      <w:rFonts w:cs="Calibri"/>
                      <w:lang w:val="fr-FR"/>
                    </w:rPr>
                  </w:pPr>
                </w:p>
                <w:p w:rsidR="008939B8" w:rsidRPr="000202D5" w:rsidRDefault="008939B8" w:rsidP="000202D5">
                  <w:pPr>
                    <w:pStyle w:val="ColorfulList-Accent11"/>
                    <w:ind w:left="425"/>
                    <w:rPr>
                      <w:rFonts w:cs="Calibri"/>
                      <w:lang w:val="fr-FR"/>
                    </w:rPr>
                  </w:pPr>
                  <w:r w:rsidRPr="000202D5">
                    <w:rPr>
                      <w:rFonts w:cs="Calibri"/>
                      <w:lang w:val="fr-FR"/>
                    </w:rPr>
                    <w:t>i.</w:t>
                  </w:r>
                  <w:r w:rsidRPr="000202D5">
                    <w:rPr>
                      <w:rFonts w:cs="Calibri"/>
                      <w:lang w:val="fr-FR"/>
                    </w:rPr>
                    <w:tab/>
                  </w:r>
                  <w:r w:rsidRPr="000449D3">
                    <w:rPr>
                      <w:lang w:val="fr-FR"/>
                    </w:rPr>
                    <w:t xml:space="preserve">examiner et accepter les </w:t>
                  </w:r>
                  <w:r>
                    <w:rPr>
                      <w:lang w:val="fr-FR"/>
                    </w:rPr>
                    <w:t>é</w:t>
                  </w:r>
                  <w:r w:rsidRPr="000449D3">
                    <w:rPr>
                      <w:lang w:val="fr-FR"/>
                    </w:rPr>
                    <w:t>tats financiers v</w:t>
                  </w:r>
                  <w:r>
                    <w:rPr>
                      <w:lang w:val="fr-FR"/>
                    </w:rPr>
                    <w:t>é</w:t>
                  </w:r>
                  <w:r w:rsidRPr="000449D3">
                    <w:rPr>
                      <w:lang w:val="fr-FR"/>
                    </w:rPr>
                    <w:t>rifi</w:t>
                  </w:r>
                  <w:r>
                    <w:rPr>
                      <w:lang w:val="fr-FR"/>
                    </w:rPr>
                    <w:t>é</w:t>
                  </w:r>
                  <w:r w:rsidRPr="000449D3">
                    <w:rPr>
                      <w:lang w:val="fr-FR"/>
                    </w:rPr>
                    <w:t xml:space="preserve">s </w:t>
                  </w:r>
                  <w:r>
                    <w:rPr>
                      <w:lang w:val="fr-FR"/>
                    </w:rPr>
                    <w:t xml:space="preserve">au </w:t>
                  </w:r>
                  <w:r w:rsidRPr="000202D5">
                    <w:rPr>
                      <w:rFonts w:cs="Calibri"/>
                      <w:lang w:val="fr-FR"/>
                    </w:rPr>
                    <w:t xml:space="preserve">31 </w:t>
                  </w:r>
                  <w:r>
                    <w:rPr>
                      <w:rFonts w:cs="Calibri"/>
                      <w:lang w:val="fr-FR"/>
                    </w:rPr>
                    <w:t>décembre</w:t>
                  </w:r>
                  <w:r w:rsidRPr="000202D5">
                    <w:rPr>
                      <w:rFonts w:cs="Calibri"/>
                      <w:lang w:val="fr-FR"/>
                    </w:rPr>
                    <w:t xml:space="preserve"> 2021</w:t>
                  </w:r>
                  <w:r>
                    <w:rPr>
                      <w:rFonts w:cs="Calibri"/>
                      <w:lang w:val="fr-FR"/>
                    </w:rPr>
                    <w:t> </w:t>
                  </w:r>
                  <w:r w:rsidRPr="000202D5">
                    <w:rPr>
                      <w:rFonts w:cs="Calibri"/>
                      <w:lang w:val="fr-FR"/>
                    </w:rPr>
                    <w:t>;</w:t>
                  </w:r>
                </w:p>
                <w:p w:rsidR="008939B8" w:rsidRPr="000202D5" w:rsidRDefault="008939B8" w:rsidP="000202D5">
                  <w:pPr>
                    <w:pStyle w:val="ColorfulList-Accent11"/>
                    <w:ind w:left="425"/>
                    <w:rPr>
                      <w:rFonts w:cs="Calibri"/>
                      <w:lang w:val="fr-FR"/>
                    </w:rPr>
                  </w:pPr>
                </w:p>
                <w:p w:rsidR="008939B8" w:rsidRPr="000202D5" w:rsidRDefault="008939B8" w:rsidP="000202D5">
                  <w:pPr>
                    <w:pStyle w:val="ColorfulList-Accent11"/>
                    <w:ind w:left="425"/>
                    <w:rPr>
                      <w:rFonts w:cs="Calibri"/>
                      <w:lang w:val="fr-FR"/>
                    </w:rPr>
                  </w:pPr>
                  <w:r w:rsidRPr="000202D5">
                    <w:rPr>
                      <w:rFonts w:cs="Calibri"/>
                      <w:lang w:val="fr-FR"/>
                    </w:rPr>
                    <w:t>ii.</w:t>
                  </w:r>
                  <w:r w:rsidRPr="000202D5">
                    <w:rPr>
                      <w:rFonts w:cs="Calibri"/>
                      <w:lang w:val="fr-FR"/>
                    </w:rPr>
                    <w:tab/>
                  </w:r>
                  <w:r w:rsidRPr="000449D3">
                    <w:rPr>
                      <w:lang w:val="fr-FR"/>
                    </w:rPr>
                    <w:t>prendre note des r</w:t>
                  </w:r>
                  <w:r>
                    <w:rPr>
                      <w:lang w:val="fr-FR"/>
                    </w:rPr>
                    <w:t>é</w:t>
                  </w:r>
                  <w:r w:rsidRPr="000449D3">
                    <w:rPr>
                      <w:lang w:val="fr-FR"/>
                    </w:rPr>
                    <w:t xml:space="preserve">sultats du budget administratif pour </w:t>
                  </w:r>
                  <w:r w:rsidRPr="000202D5">
                    <w:rPr>
                      <w:rFonts w:cs="Calibri"/>
                      <w:lang w:val="fr-FR"/>
                    </w:rPr>
                    <w:t>2021 ;</w:t>
                  </w:r>
                </w:p>
                <w:p w:rsidR="008939B8" w:rsidRPr="000202D5" w:rsidRDefault="008939B8" w:rsidP="000202D5">
                  <w:pPr>
                    <w:pStyle w:val="ColorfulList-Accent11"/>
                    <w:ind w:left="425"/>
                    <w:rPr>
                      <w:rFonts w:cs="Calibri"/>
                      <w:lang w:val="fr-FR"/>
                    </w:rPr>
                  </w:pPr>
                </w:p>
                <w:p w:rsidR="008939B8" w:rsidRPr="000202D5" w:rsidRDefault="008939B8" w:rsidP="000202D5">
                  <w:pPr>
                    <w:pStyle w:val="ColorfulList-Accent11"/>
                    <w:ind w:left="425"/>
                    <w:rPr>
                      <w:rFonts w:cs="Calibri"/>
                      <w:lang w:val="fr-FR"/>
                    </w:rPr>
                  </w:pPr>
                  <w:r w:rsidRPr="000202D5">
                    <w:rPr>
                      <w:rFonts w:cs="Calibri"/>
                      <w:lang w:val="fr-FR"/>
                    </w:rPr>
                    <w:t>iii.</w:t>
                  </w:r>
                  <w:r w:rsidRPr="000202D5">
                    <w:rPr>
                      <w:rFonts w:cs="Calibri"/>
                      <w:lang w:val="fr-FR"/>
                    </w:rPr>
                    <w:tab/>
                  </w:r>
                  <w:r w:rsidRPr="000449D3">
                    <w:rPr>
                      <w:lang w:val="fr-FR"/>
                    </w:rPr>
                    <w:t xml:space="preserve">prendre note </w:t>
                  </w:r>
                  <w:r>
                    <w:rPr>
                      <w:lang w:val="fr-FR"/>
                    </w:rPr>
                    <w:t xml:space="preserve">de l’état du budget </w:t>
                  </w:r>
                  <w:r w:rsidRPr="000449D3">
                    <w:rPr>
                      <w:lang w:val="fr-FR"/>
                    </w:rPr>
                    <w:t xml:space="preserve">non administratif et des contributions volontaires pour </w:t>
                  </w:r>
                  <w:r w:rsidRPr="000202D5">
                    <w:rPr>
                      <w:rFonts w:cs="Calibri"/>
                      <w:lang w:val="fr-FR"/>
                    </w:rPr>
                    <w:t>2021</w:t>
                  </w:r>
                  <w:r>
                    <w:rPr>
                      <w:rFonts w:cs="Calibri"/>
                      <w:lang w:val="fr-FR"/>
                    </w:rPr>
                    <w:t> </w:t>
                  </w:r>
                  <w:r w:rsidRPr="000202D5">
                    <w:rPr>
                      <w:rFonts w:cs="Calibri"/>
                      <w:lang w:val="fr-FR"/>
                    </w:rPr>
                    <w:t xml:space="preserve">; </w:t>
                  </w:r>
                </w:p>
                <w:p w:rsidR="008939B8" w:rsidRPr="000202D5" w:rsidRDefault="008939B8" w:rsidP="000202D5">
                  <w:pPr>
                    <w:pStyle w:val="ColorfulList-Accent11"/>
                    <w:ind w:left="425"/>
                    <w:rPr>
                      <w:rFonts w:cs="Calibri"/>
                      <w:lang w:val="fr-FR"/>
                    </w:rPr>
                  </w:pPr>
                </w:p>
                <w:p w:rsidR="008939B8" w:rsidRDefault="008939B8" w:rsidP="000202D5">
                  <w:pPr>
                    <w:pStyle w:val="ColorfulList-Accent11"/>
                    <w:ind w:left="425"/>
                    <w:rPr>
                      <w:rFonts w:cs="Calibri"/>
                      <w:lang w:val="fr-FR"/>
                    </w:rPr>
                  </w:pPr>
                  <w:r w:rsidRPr="00455944">
                    <w:rPr>
                      <w:rFonts w:cs="Calibri"/>
                      <w:lang w:val="fr-FR"/>
                    </w:rPr>
                    <w:t>iv.</w:t>
                  </w:r>
                  <w:r w:rsidRPr="00455944">
                    <w:rPr>
                      <w:rFonts w:cs="Calibri"/>
                      <w:lang w:val="fr-FR"/>
                    </w:rPr>
                    <w:tab/>
                    <w:t>approuve</w:t>
                  </w:r>
                  <w:r>
                    <w:rPr>
                      <w:rFonts w:cs="Calibri"/>
                      <w:lang w:val="fr-FR"/>
                    </w:rPr>
                    <w:t>r</w:t>
                  </w:r>
                  <w:r w:rsidRPr="00455944">
                    <w:rPr>
                      <w:rFonts w:cs="Calibri"/>
                      <w:lang w:val="fr-FR"/>
                    </w:rPr>
                    <w:t xml:space="preserve"> les ajustements proposés par le Secrétariat aux soldes de 2021, tels qu’ils sont décrits aux paragraphes 9.f, 13, 14 et 15 et présentés dans la colonne H du tableau de l’annexe 2</w:t>
                  </w:r>
                  <w:r>
                    <w:rPr>
                      <w:rFonts w:cs="Calibri"/>
                      <w:lang w:val="fr-FR"/>
                    </w:rPr>
                    <w:t> </w:t>
                  </w:r>
                  <w:r w:rsidRPr="00455944">
                    <w:rPr>
                      <w:rFonts w:cs="Calibri"/>
                      <w:lang w:val="fr-FR"/>
                    </w:rPr>
                    <w:t>;</w:t>
                  </w:r>
                </w:p>
                <w:p w:rsidR="008939B8" w:rsidRDefault="008939B8" w:rsidP="000202D5">
                  <w:pPr>
                    <w:pStyle w:val="ColorfulList-Accent11"/>
                    <w:ind w:left="425"/>
                    <w:rPr>
                      <w:rFonts w:cs="Calibri"/>
                      <w:lang w:val="fr-FR"/>
                    </w:rPr>
                  </w:pPr>
                </w:p>
                <w:p w:rsidR="008939B8" w:rsidRPr="00455944" w:rsidRDefault="008939B8" w:rsidP="000202D5">
                  <w:pPr>
                    <w:pStyle w:val="ColorfulList-Accent11"/>
                    <w:ind w:left="425"/>
                    <w:rPr>
                      <w:rFonts w:cs="Calibri"/>
                      <w:lang w:val="fr-FR"/>
                    </w:rPr>
                  </w:pPr>
                  <w:r>
                    <w:rPr>
                      <w:rFonts w:cs="Calibri"/>
                      <w:lang w:val="fr-FR"/>
                    </w:rPr>
                    <w:t>v.</w:t>
                  </w:r>
                  <w:r>
                    <w:rPr>
                      <w:rFonts w:cs="Calibri"/>
                      <w:lang w:val="fr-FR"/>
                    </w:rPr>
                    <w:tab/>
                    <w:t>approuver le report des fonds préengagés de 2021 à 2022, ainsi qu’il est indiqué au paragraphe 10 et présenté dans la colonne C du tableau de l’annexe 4 ;</w:t>
                  </w:r>
                </w:p>
                <w:p w:rsidR="008939B8" w:rsidRPr="00455944" w:rsidRDefault="008939B8" w:rsidP="000202D5">
                  <w:pPr>
                    <w:pStyle w:val="ColorfulList-Accent11"/>
                    <w:ind w:left="425"/>
                    <w:rPr>
                      <w:rFonts w:cs="Calibri"/>
                      <w:lang w:val="fr-FR"/>
                    </w:rPr>
                  </w:pPr>
                </w:p>
                <w:p w:rsidR="008939B8" w:rsidRPr="00455944" w:rsidRDefault="008939B8" w:rsidP="000202D5">
                  <w:pPr>
                    <w:pStyle w:val="ColorfulList-Accent11"/>
                    <w:ind w:left="425"/>
                    <w:rPr>
                      <w:rFonts w:cs="Calibri"/>
                      <w:lang w:val="fr-FR"/>
                    </w:rPr>
                  </w:pPr>
                  <w:r w:rsidRPr="00455944">
                    <w:rPr>
                      <w:rFonts w:cs="Calibri"/>
                      <w:lang w:val="fr-FR"/>
                    </w:rPr>
                    <w:t>v</w:t>
                  </w:r>
                  <w:r>
                    <w:rPr>
                      <w:rFonts w:cs="Calibri"/>
                      <w:lang w:val="fr-FR"/>
                    </w:rPr>
                    <w:t>i.</w:t>
                  </w:r>
                  <w:r>
                    <w:rPr>
                      <w:rFonts w:cs="Calibri"/>
                      <w:lang w:val="fr-FR"/>
                    </w:rPr>
                    <w:tab/>
                    <w:t>examiner l’</w:t>
                  </w:r>
                  <w:r w:rsidRPr="00455944">
                    <w:rPr>
                      <w:rFonts w:cs="Calibri"/>
                      <w:lang w:val="fr-FR"/>
                    </w:rPr>
                    <w:t>excédent re</w:t>
                  </w:r>
                  <w:r>
                    <w:rPr>
                      <w:rFonts w:cs="Calibri"/>
                      <w:lang w:val="fr-FR"/>
                    </w:rPr>
                    <w:t>stant pour 2021 et décider de l’</w:t>
                  </w:r>
                  <w:r w:rsidRPr="00455944">
                    <w:rPr>
                      <w:rFonts w:cs="Calibri"/>
                      <w:lang w:val="fr-FR"/>
                    </w:rPr>
                    <w:t>affectation de ces fonds, comme indiqué aux paragraphes 23 et 24, et examiner les options prop</w:t>
                  </w:r>
                  <w:r>
                    <w:rPr>
                      <w:rFonts w:cs="Calibri"/>
                      <w:lang w:val="fr-FR"/>
                    </w:rPr>
                    <w:t>osées par le Secrétariat pour l’utilisation éventuelle de l’</w:t>
                  </w:r>
                  <w:r w:rsidRPr="00455944">
                    <w:rPr>
                      <w:rFonts w:cs="Calibri"/>
                      <w:lang w:val="fr-FR"/>
                    </w:rPr>
                    <w:t>excédent 2021</w:t>
                  </w:r>
                  <w:r>
                    <w:rPr>
                      <w:rFonts w:cs="Calibri"/>
                      <w:lang w:val="fr-FR"/>
                    </w:rPr>
                    <w:t>, comme indiqué au paragraphe 40 </w:t>
                  </w:r>
                  <w:r w:rsidRPr="00455944">
                    <w:rPr>
                      <w:rFonts w:cs="Calibri"/>
                      <w:lang w:val="fr-FR"/>
                    </w:rPr>
                    <w:t>;</w:t>
                  </w:r>
                </w:p>
                <w:p w:rsidR="008939B8" w:rsidRDefault="008939B8" w:rsidP="000202D5">
                  <w:pPr>
                    <w:pStyle w:val="ColorfulList-Accent11"/>
                    <w:ind w:left="425"/>
                    <w:rPr>
                      <w:rFonts w:cs="Calibri"/>
                      <w:lang w:val="fr-FR"/>
                    </w:rPr>
                  </w:pPr>
                </w:p>
                <w:p w:rsidR="008939B8" w:rsidRPr="00455944" w:rsidRDefault="008939B8" w:rsidP="000202D5">
                  <w:pPr>
                    <w:pStyle w:val="ColorfulList-Accent11"/>
                    <w:ind w:left="425"/>
                    <w:rPr>
                      <w:rFonts w:cs="Calibri"/>
                      <w:lang w:val="fr-FR"/>
                    </w:rPr>
                  </w:pPr>
                  <w:r>
                    <w:rPr>
                      <w:rFonts w:cs="Calibri"/>
                      <w:lang w:val="fr-FR"/>
                    </w:rPr>
                    <w:t>vii</w:t>
                  </w:r>
                  <w:r>
                    <w:rPr>
                      <w:rFonts w:cs="Calibri"/>
                      <w:lang w:val="fr-FR"/>
                    </w:rPr>
                    <w:tab/>
                  </w:r>
                  <w:r w:rsidRPr="00B37182">
                    <w:rPr>
                      <w:rFonts w:cs="Calibri"/>
                      <w:lang w:val="fr-FR"/>
                    </w:rPr>
                    <w:t>prend</w:t>
                  </w:r>
                  <w:r>
                    <w:rPr>
                      <w:rFonts w:cs="Calibri"/>
                      <w:lang w:val="fr-FR"/>
                    </w:rPr>
                    <w:t xml:space="preserve">re </w:t>
                  </w:r>
                  <w:r w:rsidRPr="00B37182">
                    <w:rPr>
                      <w:rFonts w:cs="Calibri"/>
                      <w:lang w:val="fr-FR"/>
                    </w:rPr>
                    <w:t xml:space="preserve">note des </w:t>
                  </w:r>
                  <w:r>
                    <w:rPr>
                      <w:rFonts w:cs="Calibri"/>
                      <w:lang w:val="fr-FR"/>
                    </w:rPr>
                    <w:t>affectations</w:t>
                  </w:r>
                  <w:r w:rsidRPr="00B37182">
                    <w:rPr>
                      <w:rFonts w:cs="Calibri"/>
                      <w:lang w:val="fr-FR"/>
                    </w:rPr>
                    <w:t xml:space="preserve"> intersessions de</w:t>
                  </w:r>
                  <w:r>
                    <w:rPr>
                      <w:rFonts w:cs="Calibri"/>
                      <w:lang w:val="fr-FR"/>
                    </w:rPr>
                    <w:t>s</w:t>
                  </w:r>
                  <w:r w:rsidRPr="00B37182">
                    <w:rPr>
                      <w:rFonts w:cs="Calibri"/>
                      <w:lang w:val="fr-FR"/>
                    </w:rPr>
                    <w:t xml:space="preserve"> fonds destin</w:t>
                  </w:r>
                  <w:r>
                    <w:rPr>
                      <w:rFonts w:cs="Calibri"/>
                      <w:lang w:val="fr-FR"/>
                    </w:rPr>
                    <w:t>ées à s’</w:t>
                  </w:r>
                  <w:r w:rsidRPr="00B37182">
                    <w:rPr>
                      <w:rFonts w:cs="Calibri"/>
                      <w:lang w:val="fr-FR"/>
                    </w:rPr>
                    <w:t xml:space="preserve">ajuster au budget </w:t>
                  </w:r>
                  <w:r>
                    <w:rPr>
                      <w:rFonts w:cs="Calibri"/>
                      <w:lang w:val="fr-FR"/>
                    </w:rPr>
                    <w:t>administratif approuvé par l’ExCOP</w:t>
                  </w:r>
                  <w:r w:rsidRPr="00B37182">
                    <w:rPr>
                      <w:rFonts w:cs="Calibri"/>
                      <w:lang w:val="fr-FR"/>
                    </w:rPr>
                    <w:t xml:space="preserve">3 pour 2022, </w:t>
                  </w:r>
                  <w:r>
                    <w:rPr>
                      <w:rFonts w:cs="Calibri"/>
                      <w:lang w:val="fr-FR"/>
                    </w:rPr>
                    <w:t>ainsi qu’il</w:t>
                  </w:r>
                  <w:r w:rsidRPr="00B37182">
                    <w:rPr>
                      <w:rFonts w:cs="Calibri"/>
                      <w:lang w:val="fr-FR"/>
                    </w:rPr>
                    <w:t xml:space="preserve"> </w:t>
                  </w:r>
                  <w:r>
                    <w:rPr>
                      <w:rFonts w:cs="Calibri"/>
                      <w:lang w:val="fr-FR"/>
                    </w:rPr>
                    <w:t>apparaît</w:t>
                  </w:r>
                  <w:r w:rsidRPr="00B37182">
                    <w:rPr>
                      <w:rFonts w:cs="Calibri"/>
                      <w:lang w:val="fr-FR"/>
                    </w:rPr>
                    <w:t xml:space="preserve"> aux paragraphes 22 et 38, et approuve</w:t>
                  </w:r>
                  <w:r>
                    <w:rPr>
                      <w:rFonts w:cs="Calibri"/>
                      <w:lang w:val="fr-FR"/>
                    </w:rPr>
                    <w:t>r</w:t>
                  </w:r>
                  <w:r w:rsidRPr="00B37182">
                    <w:rPr>
                      <w:rFonts w:cs="Calibri"/>
                      <w:lang w:val="fr-FR"/>
                    </w:rPr>
                    <w:t xml:space="preserve"> </w:t>
                  </w:r>
                  <w:r>
                    <w:rPr>
                      <w:rFonts w:cs="Calibri"/>
                      <w:lang w:val="fr-FR"/>
                    </w:rPr>
                    <w:t>l’affectation</w:t>
                  </w:r>
                  <w:r w:rsidRPr="00B37182">
                    <w:rPr>
                      <w:rFonts w:cs="Calibri"/>
                      <w:lang w:val="fr-FR"/>
                    </w:rPr>
                    <w:t xml:space="preserve"> des soldes restants </w:t>
                  </w:r>
                  <w:r>
                    <w:rPr>
                      <w:rFonts w:cs="Calibri"/>
                      <w:lang w:val="fr-FR"/>
                    </w:rPr>
                    <w:t>du poste</w:t>
                  </w:r>
                  <w:r w:rsidRPr="00B37182">
                    <w:rPr>
                      <w:rFonts w:cs="Calibri"/>
                      <w:lang w:val="fr-FR"/>
                    </w:rPr>
                    <w:t xml:space="preserve"> </w:t>
                  </w:r>
                  <w:r>
                    <w:rPr>
                      <w:rFonts w:cs="Calibri"/>
                      <w:lang w:val="fr-FR"/>
                    </w:rPr>
                    <w:t>« SC58 - Budget 2020 et économies non engagées reportées » en tant qu’</w:t>
                  </w:r>
                  <w:r w:rsidRPr="00B37182">
                    <w:rPr>
                      <w:rFonts w:cs="Calibri"/>
                      <w:lang w:val="fr-FR"/>
                    </w:rPr>
                    <w:t>économies supplémentaires du fonds de réserve, comme décrit au paragraphe 39 et présenté da</w:t>
                  </w:r>
                  <w:r>
                    <w:rPr>
                      <w:rFonts w:cs="Calibri"/>
                      <w:lang w:val="fr-FR"/>
                    </w:rPr>
                    <w:t>ns la colonne D du tableau de l’</w:t>
                  </w:r>
                  <w:r w:rsidRPr="00B37182">
                    <w:rPr>
                      <w:rFonts w:cs="Calibri"/>
                      <w:lang w:val="fr-FR"/>
                    </w:rPr>
                    <w:t>annexe 4 ; et</w:t>
                  </w:r>
                </w:p>
                <w:p w:rsidR="008939B8" w:rsidRPr="00455944" w:rsidRDefault="008939B8" w:rsidP="000202D5">
                  <w:pPr>
                    <w:pStyle w:val="ColorfulList-Accent11"/>
                    <w:ind w:left="0" w:firstLine="0"/>
                    <w:rPr>
                      <w:rFonts w:cs="Calibri"/>
                      <w:lang w:val="fr-FR"/>
                    </w:rPr>
                  </w:pPr>
                </w:p>
                <w:p w:rsidR="008939B8" w:rsidRPr="00414E74" w:rsidRDefault="008939B8" w:rsidP="000202D5">
                  <w:pPr>
                    <w:pStyle w:val="ColorfulList-Accent11"/>
                    <w:ind w:left="425"/>
                    <w:rPr>
                      <w:rFonts w:cs="Calibri"/>
                      <w:lang w:val="fr-FR"/>
                    </w:rPr>
                  </w:pPr>
                  <w:r w:rsidRPr="00414E74">
                    <w:rPr>
                      <w:rFonts w:cs="Calibri"/>
                      <w:lang w:val="fr-FR"/>
                    </w:rPr>
                    <w:t>viii.</w:t>
                  </w:r>
                  <w:r w:rsidRPr="00414E74">
                    <w:rPr>
                      <w:rFonts w:cs="Calibri"/>
                      <w:lang w:val="fr-FR"/>
                    </w:rPr>
                    <w:tab/>
                  </w:r>
                  <w:r>
                    <w:rPr>
                      <w:lang w:val="fr-FR"/>
                    </w:rPr>
                    <w:t xml:space="preserve">examiner les options proposées par le Secrétariat au sujet de l’emploi éventuel </w:t>
                  </w:r>
                  <w:r w:rsidRPr="000449D3">
                    <w:rPr>
                      <w:lang w:val="fr-FR"/>
                    </w:rPr>
                    <w:t xml:space="preserve">des </w:t>
                  </w:r>
                  <w:r>
                    <w:rPr>
                      <w:lang w:val="fr-FR"/>
                    </w:rPr>
                    <w:t>économies réalisées en 2021, telles que décrites aux paragraphes 40 et 41</w:t>
                  </w:r>
                  <w:r w:rsidRPr="00414E74">
                    <w:rPr>
                      <w:rFonts w:cs="Calibri"/>
                      <w:lang w:val="fr-FR"/>
                    </w:rPr>
                    <w:t>.</w:t>
                  </w:r>
                </w:p>
              </w:txbxContent>
            </v:textbox>
            <w10:wrap type="none"/>
            <w10:anchorlock/>
          </v:shape>
        </w:pict>
      </w:r>
    </w:p>
    <w:p w:rsidR="000C2489" w:rsidRPr="00941FA7" w:rsidRDefault="000C2489" w:rsidP="00633DD5">
      <w:pPr>
        <w:autoSpaceDE w:val="0"/>
        <w:autoSpaceDN w:val="0"/>
        <w:adjustRightInd w:val="0"/>
        <w:rPr>
          <w:rFonts w:asciiTheme="minorHAnsi" w:eastAsiaTheme="minorHAnsi" w:hAnsiTheme="minorHAnsi" w:cs="Calibri-Bold"/>
          <w:b/>
          <w:bCs/>
          <w:lang w:val="fr-FR"/>
        </w:rPr>
      </w:pPr>
    </w:p>
    <w:p w:rsidR="00E10D99" w:rsidRPr="00941FA7" w:rsidRDefault="00E10D99" w:rsidP="00162710">
      <w:pPr>
        <w:rPr>
          <w:rFonts w:cs="Arial"/>
          <w:b/>
          <w:lang w:val="fr-FR"/>
        </w:rPr>
      </w:pPr>
    </w:p>
    <w:p w:rsidR="00EE484E" w:rsidRPr="00941FA7" w:rsidRDefault="00414E74" w:rsidP="00162710">
      <w:pPr>
        <w:rPr>
          <w:rFonts w:cs="Arial"/>
          <w:b/>
          <w:lang w:val="fr-FR"/>
        </w:rPr>
      </w:pPr>
      <w:r w:rsidRPr="00941FA7">
        <w:rPr>
          <w:rFonts w:cs="Arial"/>
          <w:b/>
          <w:lang w:val="fr-FR"/>
        </w:rPr>
        <w:t>Contexte</w:t>
      </w:r>
    </w:p>
    <w:p w:rsidR="00A31490" w:rsidRPr="00941FA7" w:rsidRDefault="00A31490" w:rsidP="00162710">
      <w:pPr>
        <w:rPr>
          <w:rFonts w:cs="Arial"/>
          <w:lang w:val="fr-FR"/>
        </w:rPr>
      </w:pPr>
    </w:p>
    <w:p w:rsidR="00B60B96" w:rsidRPr="00941FA7" w:rsidRDefault="00112F62" w:rsidP="005A324D">
      <w:pPr>
        <w:rPr>
          <w:rFonts w:cs="Arial"/>
          <w:lang w:val="fr-FR"/>
        </w:rPr>
      </w:pPr>
      <w:r w:rsidRPr="00941FA7">
        <w:rPr>
          <w:lang w:val="fr-FR"/>
        </w:rPr>
        <w:t>1.</w:t>
      </w:r>
      <w:r w:rsidRPr="00941FA7">
        <w:rPr>
          <w:lang w:val="fr-FR"/>
        </w:rPr>
        <w:tab/>
      </w:r>
      <w:r w:rsidR="000657C0" w:rsidRPr="00941FA7">
        <w:rPr>
          <w:lang w:val="fr-FR"/>
        </w:rPr>
        <w:t xml:space="preserve">Le présent rapport traite des questions financières concernant les résultats du budget administratif et du budget non administratif de la Convention sur les zones humides pour la période triennale </w:t>
      </w:r>
      <w:r w:rsidR="0027356A" w:rsidRPr="00941FA7">
        <w:rPr>
          <w:lang w:val="fr-FR"/>
        </w:rPr>
        <w:t>2019-</w:t>
      </w:r>
      <w:r w:rsidR="00BD3DDE" w:rsidRPr="00941FA7">
        <w:rPr>
          <w:lang w:val="fr-FR"/>
        </w:rPr>
        <w:t>2021</w:t>
      </w:r>
      <w:r w:rsidR="005A78CA" w:rsidRPr="00941FA7">
        <w:rPr>
          <w:lang w:val="fr-FR"/>
        </w:rPr>
        <w:t xml:space="preserve">, </w:t>
      </w:r>
      <w:r w:rsidR="000657C0" w:rsidRPr="00941FA7">
        <w:rPr>
          <w:lang w:val="fr-FR"/>
        </w:rPr>
        <w:t>et le</w:t>
      </w:r>
      <w:r w:rsidR="002135D9" w:rsidRPr="00941FA7">
        <w:rPr>
          <w:lang w:val="fr-FR"/>
        </w:rPr>
        <w:t xml:space="preserve"> </w:t>
      </w:r>
      <w:r w:rsidR="005A324D" w:rsidRPr="00941FA7">
        <w:rPr>
          <w:lang w:val="fr-FR"/>
        </w:rPr>
        <w:t>b</w:t>
      </w:r>
      <w:r w:rsidR="006646B9" w:rsidRPr="00941FA7">
        <w:rPr>
          <w:lang w:val="fr-FR"/>
        </w:rPr>
        <w:t>udget</w:t>
      </w:r>
      <w:r w:rsidR="00274FCC" w:rsidRPr="00941FA7">
        <w:rPr>
          <w:lang w:val="fr-FR"/>
        </w:rPr>
        <w:t xml:space="preserve"> </w:t>
      </w:r>
      <w:r w:rsidR="00BD3DDE" w:rsidRPr="00941FA7">
        <w:rPr>
          <w:lang w:val="fr-FR"/>
        </w:rPr>
        <w:t>2022</w:t>
      </w:r>
      <w:r w:rsidR="008E36DB" w:rsidRPr="00941FA7">
        <w:rPr>
          <w:lang w:val="fr-FR"/>
        </w:rPr>
        <w:t>.</w:t>
      </w:r>
    </w:p>
    <w:p w:rsidR="00A31490" w:rsidRPr="00941FA7" w:rsidRDefault="00A31490" w:rsidP="00162710">
      <w:pPr>
        <w:rPr>
          <w:rFonts w:cs="Arial"/>
          <w:lang w:val="fr-FR"/>
        </w:rPr>
      </w:pPr>
    </w:p>
    <w:p w:rsidR="001730E3" w:rsidRPr="00941FA7" w:rsidRDefault="00112F62" w:rsidP="00162710">
      <w:pPr>
        <w:rPr>
          <w:rFonts w:cs="Arial"/>
          <w:lang w:val="fr-FR"/>
        </w:rPr>
      </w:pPr>
      <w:r w:rsidRPr="00941FA7">
        <w:rPr>
          <w:lang w:val="fr-FR"/>
        </w:rPr>
        <w:t>2.</w:t>
      </w:r>
      <w:r w:rsidRPr="00941FA7">
        <w:rPr>
          <w:lang w:val="fr-FR"/>
        </w:rPr>
        <w:tab/>
      </w:r>
      <w:r w:rsidR="00EC063B" w:rsidRPr="00941FA7">
        <w:rPr>
          <w:lang w:val="fr-FR"/>
        </w:rPr>
        <w:t xml:space="preserve">La bonne gestion financière des </w:t>
      </w:r>
      <w:r w:rsidR="008B7A2A" w:rsidRPr="00941FA7">
        <w:rPr>
          <w:lang w:val="fr-FR"/>
        </w:rPr>
        <w:t>fonds administratifs et non administratifs</w:t>
      </w:r>
      <w:r w:rsidR="00EC063B" w:rsidRPr="00941FA7">
        <w:rPr>
          <w:lang w:val="fr-FR"/>
        </w:rPr>
        <w:t xml:space="preserve"> du Secrétariat a été validée p</w:t>
      </w:r>
      <w:r w:rsidR="008B7A2A" w:rsidRPr="00941FA7">
        <w:rPr>
          <w:lang w:val="fr-FR"/>
        </w:rPr>
        <w:t>ar les auditeurs externes qui n’</w:t>
      </w:r>
      <w:r w:rsidR="00EC063B" w:rsidRPr="00941FA7">
        <w:rPr>
          <w:lang w:val="fr-FR"/>
        </w:rPr>
        <w:t xml:space="preserve">ont soulevé aucun problème nouveau. Les </w:t>
      </w:r>
      <w:r w:rsidR="00EC063B" w:rsidRPr="00941FA7">
        <w:rPr>
          <w:lang w:val="fr-FR"/>
        </w:rPr>
        <w:lastRenderedPageBreak/>
        <w:t>responsabilités internes et la ré</w:t>
      </w:r>
      <w:r w:rsidR="008B7A2A" w:rsidRPr="00941FA7">
        <w:rPr>
          <w:lang w:val="fr-FR"/>
        </w:rPr>
        <w:t>partition des contrôles entre l’</w:t>
      </w:r>
      <w:r w:rsidR="00EC063B" w:rsidRPr="00941FA7">
        <w:rPr>
          <w:lang w:val="fr-FR"/>
        </w:rPr>
        <w:t>UICN et le Secrétariat ont été documentées, afin d</w:t>
      </w:r>
      <w:r w:rsidR="00941FA7" w:rsidRPr="00941FA7">
        <w:rPr>
          <w:lang w:val="fr-FR"/>
        </w:rPr>
        <w:t>e s’</w:t>
      </w:r>
      <w:r w:rsidR="00EC063B" w:rsidRPr="00941FA7">
        <w:rPr>
          <w:lang w:val="fr-FR"/>
        </w:rPr>
        <w:t>assurer</w:t>
      </w:r>
      <w:r w:rsidR="008B7A2A" w:rsidRPr="00941FA7">
        <w:rPr>
          <w:lang w:val="fr-FR"/>
        </w:rPr>
        <w:t>,</w:t>
      </w:r>
      <w:r w:rsidR="00EC063B" w:rsidRPr="00941FA7">
        <w:rPr>
          <w:lang w:val="fr-FR"/>
        </w:rPr>
        <w:t xml:space="preserve"> </w:t>
      </w:r>
      <w:r w:rsidR="008B7A2A" w:rsidRPr="00941FA7">
        <w:rPr>
          <w:lang w:val="fr-FR"/>
        </w:rPr>
        <w:t xml:space="preserve">le cas échéant, </w:t>
      </w:r>
      <w:r w:rsidR="00EC063B" w:rsidRPr="00941FA7">
        <w:rPr>
          <w:lang w:val="fr-FR"/>
        </w:rPr>
        <w:t>que les processus de</w:t>
      </w:r>
      <w:r w:rsidR="008B7A2A" w:rsidRPr="00941FA7">
        <w:rPr>
          <w:lang w:val="fr-FR"/>
        </w:rPr>
        <w:t xml:space="preserve"> gestion financière d</w:t>
      </w:r>
      <w:r w:rsidR="00EC063B" w:rsidRPr="00941FA7">
        <w:rPr>
          <w:lang w:val="fr-FR"/>
        </w:rPr>
        <w:t>u Secrétariat sont conformes aux pol</w:t>
      </w:r>
      <w:r w:rsidR="00941FA7" w:rsidRPr="00941FA7">
        <w:rPr>
          <w:lang w:val="fr-FR"/>
        </w:rPr>
        <w:t>itiques et procédures de l’</w:t>
      </w:r>
      <w:r w:rsidR="008B7A2A" w:rsidRPr="00941FA7">
        <w:rPr>
          <w:lang w:val="fr-FR"/>
        </w:rPr>
        <w:t>UICN</w:t>
      </w:r>
      <w:r w:rsidR="00EC063B" w:rsidRPr="00941FA7">
        <w:rPr>
          <w:lang w:val="fr-FR"/>
        </w:rPr>
        <w:t>.</w:t>
      </w:r>
    </w:p>
    <w:p w:rsidR="00FC40CB" w:rsidRPr="00941FA7" w:rsidRDefault="00FC40CB" w:rsidP="00525775">
      <w:pPr>
        <w:ind w:left="0" w:firstLine="0"/>
        <w:rPr>
          <w:rFonts w:cs="Arial"/>
          <w:b/>
          <w:lang w:val="fr-FR"/>
        </w:rPr>
      </w:pPr>
    </w:p>
    <w:p w:rsidR="005538B2" w:rsidRPr="00941FA7" w:rsidRDefault="008F7FC4" w:rsidP="00525775">
      <w:pPr>
        <w:rPr>
          <w:rFonts w:cs="Arial"/>
          <w:lang w:val="fr-FR"/>
        </w:rPr>
      </w:pPr>
      <w:r w:rsidRPr="00941FA7">
        <w:rPr>
          <w:rFonts w:cs="Arial"/>
          <w:lang w:val="fr-FR"/>
        </w:rPr>
        <w:t>3.</w:t>
      </w:r>
      <w:r w:rsidRPr="00941FA7">
        <w:rPr>
          <w:rFonts w:cs="Arial"/>
          <w:lang w:val="fr-FR"/>
        </w:rPr>
        <w:tab/>
      </w:r>
      <w:r w:rsidR="00525775" w:rsidRPr="00941FA7">
        <w:rPr>
          <w:rFonts w:cs="Arial"/>
          <w:lang w:val="fr-FR"/>
        </w:rPr>
        <w:t>L’année 202</w:t>
      </w:r>
      <w:r w:rsidR="008B7A2A" w:rsidRPr="00941FA7">
        <w:rPr>
          <w:rFonts w:cs="Arial"/>
          <w:lang w:val="fr-FR"/>
        </w:rPr>
        <w:t>1 a de nouveau été marquée par l</w:t>
      </w:r>
      <w:r w:rsidR="00525775" w:rsidRPr="00941FA7">
        <w:rPr>
          <w:rFonts w:cs="Arial"/>
          <w:lang w:val="fr-FR"/>
        </w:rPr>
        <w:t xml:space="preserve">es </w:t>
      </w:r>
      <w:r w:rsidR="008B7A2A" w:rsidRPr="00941FA7">
        <w:rPr>
          <w:rFonts w:cs="Arial"/>
          <w:lang w:val="fr-FR"/>
        </w:rPr>
        <w:t>restrictions</w:t>
      </w:r>
      <w:r w:rsidR="00525775" w:rsidRPr="00941FA7">
        <w:rPr>
          <w:rFonts w:cs="Arial"/>
          <w:lang w:val="fr-FR"/>
        </w:rPr>
        <w:t xml:space="preserve"> et difficultés liées à la pandémie de COVID-19, qui ont </w:t>
      </w:r>
      <w:r w:rsidR="008B7A2A" w:rsidRPr="00941FA7">
        <w:rPr>
          <w:rFonts w:cs="Arial"/>
          <w:lang w:val="fr-FR"/>
        </w:rPr>
        <w:t>affecté</w:t>
      </w:r>
      <w:r w:rsidR="00BE2287" w:rsidRPr="00941FA7">
        <w:rPr>
          <w:rFonts w:cs="Arial"/>
          <w:lang w:val="fr-FR"/>
        </w:rPr>
        <w:t xml:space="preserve"> la mise en </w:t>
      </w:r>
      <w:r w:rsidR="00660FDF" w:rsidRPr="00941FA7">
        <w:rPr>
          <w:rFonts w:cs="Arial"/>
          <w:lang w:val="fr-FR"/>
        </w:rPr>
        <w:t>œuvre</w:t>
      </w:r>
      <w:r w:rsidR="00525775" w:rsidRPr="00941FA7">
        <w:rPr>
          <w:rFonts w:cs="Arial"/>
          <w:lang w:val="fr-FR"/>
        </w:rPr>
        <w:t xml:space="preserve"> par le Secrétariat de son plan de travail et du budget de la Convention, entraînant une </w:t>
      </w:r>
      <w:r w:rsidR="00BE2287" w:rsidRPr="00941FA7">
        <w:rPr>
          <w:rFonts w:cs="Arial"/>
          <w:lang w:val="fr-FR"/>
        </w:rPr>
        <w:t xml:space="preserve">moindre </w:t>
      </w:r>
      <w:r w:rsidR="00525775" w:rsidRPr="00941FA7">
        <w:rPr>
          <w:rFonts w:cs="Arial"/>
          <w:lang w:val="fr-FR"/>
        </w:rPr>
        <w:t xml:space="preserve">exécution des lignes budgétaires, et en particulier celles nécessitant des déplacements, telles que les réunions des organes directeurs et subsidiaires et les déplacements du Secrétariat, </w:t>
      </w:r>
      <w:r w:rsidR="00BE2287" w:rsidRPr="00941FA7">
        <w:rPr>
          <w:rFonts w:cs="Arial"/>
          <w:lang w:val="fr-FR"/>
        </w:rPr>
        <w:t>ce qui a permis de réaliser</w:t>
      </w:r>
      <w:r w:rsidR="00525775" w:rsidRPr="00941FA7">
        <w:rPr>
          <w:rFonts w:cs="Arial"/>
          <w:lang w:val="fr-FR"/>
        </w:rPr>
        <w:t xml:space="preserve"> des économies budgétaires.</w:t>
      </w:r>
    </w:p>
    <w:p w:rsidR="00525775" w:rsidRPr="00941FA7" w:rsidRDefault="00525775" w:rsidP="00525775">
      <w:pPr>
        <w:rPr>
          <w:rFonts w:asciiTheme="minorHAnsi" w:hAnsiTheme="minorHAnsi" w:cstheme="minorHAnsi"/>
          <w:b/>
          <w:lang w:val="fr-FR"/>
        </w:rPr>
      </w:pPr>
    </w:p>
    <w:p w:rsidR="006656E1" w:rsidRPr="00941FA7" w:rsidRDefault="00BE2287" w:rsidP="00FC40CB">
      <w:pPr>
        <w:keepNext/>
        <w:ind w:left="0" w:firstLine="0"/>
        <w:rPr>
          <w:rFonts w:asciiTheme="minorHAnsi" w:hAnsiTheme="minorHAnsi" w:cstheme="minorHAnsi"/>
          <w:b/>
          <w:lang w:val="fr-FR"/>
        </w:rPr>
      </w:pPr>
      <w:r w:rsidRPr="00941FA7">
        <w:rPr>
          <w:rStyle w:val="markedcontent"/>
          <w:rFonts w:asciiTheme="minorHAnsi" w:hAnsiTheme="minorHAnsi" w:cstheme="minorHAnsi"/>
          <w:b/>
          <w:lang w:val="fr-FR"/>
        </w:rPr>
        <w:t>Résultats pour 2021 : budget administrati</w:t>
      </w:r>
      <w:r w:rsidR="008B7A2A" w:rsidRPr="00941FA7">
        <w:rPr>
          <w:rStyle w:val="markedcontent"/>
          <w:rFonts w:asciiTheme="minorHAnsi" w:hAnsiTheme="minorHAnsi" w:cstheme="minorHAnsi"/>
          <w:b/>
          <w:lang w:val="fr-FR"/>
        </w:rPr>
        <w:t>f</w:t>
      </w:r>
    </w:p>
    <w:p w:rsidR="002F2543" w:rsidRPr="00941FA7" w:rsidRDefault="002F2543" w:rsidP="00162710">
      <w:pPr>
        <w:pStyle w:val="NoSpacing"/>
        <w:rPr>
          <w:b/>
          <w:lang w:val="fr-FR"/>
        </w:rPr>
      </w:pPr>
    </w:p>
    <w:p w:rsidR="00672A78" w:rsidRPr="00941FA7" w:rsidRDefault="008F7FC4" w:rsidP="00162710">
      <w:pPr>
        <w:rPr>
          <w:rFonts w:asciiTheme="minorHAnsi" w:hAnsiTheme="minorHAnsi" w:cstheme="minorHAnsi"/>
          <w:lang w:val="fr-FR"/>
        </w:rPr>
      </w:pPr>
      <w:r w:rsidRPr="00941FA7">
        <w:rPr>
          <w:lang w:val="fr-FR"/>
        </w:rPr>
        <w:t>4</w:t>
      </w:r>
      <w:r w:rsidR="00112F62" w:rsidRPr="00941FA7">
        <w:rPr>
          <w:lang w:val="fr-FR"/>
        </w:rPr>
        <w:t>.</w:t>
      </w:r>
      <w:r w:rsidR="00112F62" w:rsidRPr="00941FA7">
        <w:rPr>
          <w:lang w:val="fr-FR"/>
        </w:rPr>
        <w:tab/>
      </w:r>
      <w:r w:rsidR="00BE2287" w:rsidRPr="00941FA7">
        <w:rPr>
          <w:rStyle w:val="markedcontent"/>
          <w:rFonts w:asciiTheme="minorHAnsi" w:hAnsiTheme="minorHAnsi" w:cstheme="minorHAnsi"/>
          <w:lang w:val="fr-FR"/>
        </w:rPr>
        <w:t>L’</w:t>
      </w:r>
      <w:r w:rsidR="00941FA7" w:rsidRPr="00941FA7">
        <w:rPr>
          <w:rStyle w:val="markedcontent"/>
          <w:rFonts w:asciiTheme="minorHAnsi" w:hAnsiTheme="minorHAnsi" w:cstheme="minorHAnsi"/>
          <w:lang w:val="fr-FR"/>
        </w:rPr>
        <w:t>état</w:t>
      </w:r>
      <w:r w:rsidR="00BE2287" w:rsidRPr="00941FA7">
        <w:rPr>
          <w:rStyle w:val="markedcontent"/>
          <w:rFonts w:asciiTheme="minorHAnsi" w:hAnsiTheme="minorHAnsi" w:cstheme="minorHAnsi"/>
          <w:lang w:val="fr-FR"/>
        </w:rPr>
        <w:t xml:space="preserve"> financier 2021 </w:t>
      </w:r>
      <w:r w:rsidR="00941FA7" w:rsidRPr="00941FA7">
        <w:rPr>
          <w:rStyle w:val="markedcontent"/>
          <w:rFonts w:asciiTheme="minorHAnsi" w:hAnsiTheme="minorHAnsi" w:cstheme="minorHAnsi"/>
          <w:lang w:val="fr-FR"/>
        </w:rPr>
        <w:t>vérifié</w:t>
      </w:r>
      <w:r w:rsidR="00BE2287" w:rsidRPr="00941FA7">
        <w:rPr>
          <w:rStyle w:val="markedcontent"/>
          <w:rFonts w:asciiTheme="minorHAnsi" w:hAnsiTheme="minorHAnsi" w:cstheme="minorHAnsi"/>
          <w:lang w:val="fr-FR"/>
        </w:rPr>
        <w:t xml:space="preserve">́ </w:t>
      </w:r>
      <w:r w:rsidR="00444C39" w:rsidRPr="00941FA7">
        <w:rPr>
          <w:rStyle w:val="markedcontent"/>
          <w:rFonts w:asciiTheme="minorHAnsi" w:hAnsiTheme="minorHAnsi" w:cstheme="minorHAnsi"/>
          <w:lang w:val="fr-FR"/>
        </w:rPr>
        <w:t>est présenté</w:t>
      </w:r>
      <w:r w:rsidR="00BE2287" w:rsidRPr="00941FA7">
        <w:rPr>
          <w:rStyle w:val="markedcontent"/>
          <w:rFonts w:asciiTheme="minorHAnsi" w:hAnsiTheme="minorHAnsi" w:cstheme="minorHAnsi"/>
          <w:lang w:val="fr-FR"/>
        </w:rPr>
        <w:t xml:space="preserve"> à l’annexe 1</w:t>
      </w:r>
      <w:r w:rsidR="00965839" w:rsidRPr="00941FA7">
        <w:rPr>
          <w:rFonts w:asciiTheme="minorHAnsi" w:hAnsiTheme="minorHAnsi" w:cstheme="minorHAnsi"/>
          <w:lang w:val="fr-FR"/>
        </w:rPr>
        <w:t xml:space="preserve">. </w:t>
      </w:r>
    </w:p>
    <w:p w:rsidR="00672A78" w:rsidRPr="00941FA7" w:rsidRDefault="00672A78" w:rsidP="00162710">
      <w:pPr>
        <w:rPr>
          <w:lang w:val="fr-FR"/>
        </w:rPr>
      </w:pPr>
    </w:p>
    <w:p w:rsidR="00EC32C4" w:rsidRPr="00941FA7" w:rsidRDefault="008F7FC4" w:rsidP="00672A78">
      <w:pPr>
        <w:rPr>
          <w:lang w:val="fr-FR"/>
        </w:rPr>
      </w:pPr>
      <w:r w:rsidRPr="00941FA7">
        <w:rPr>
          <w:lang w:val="fr-FR"/>
        </w:rPr>
        <w:t>5</w:t>
      </w:r>
      <w:r w:rsidR="00FC40CB" w:rsidRPr="00941FA7">
        <w:rPr>
          <w:lang w:val="fr-FR"/>
        </w:rPr>
        <w:t>.</w:t>
      </w:r>
      <w:r w:rsidR="00FC40CB" w:rsidRPr="00941FA7">
        <w:rPr>
          <w:lang w:val="fr-FR"/>
        </w:rPr>
        <w:tab/>
      </w:r>
      <w:r w:rsidR="00941FA7">
        <w:rPr>
          <w:rFonts w:asciiTheme="minorHAnsi" w:hAnsiTheme="minorHAnsi" w:cstheme="minorHAnsi"/>
          <w:lang w:val="fr-FR"/>
        </w:rPr>
        <w:t>Une synthèse</w:t>
      </w:r>
      <w:r w:rsidR="00E64550" w:rsidRPr="00941FA7">
        <w:rPr>
          <w:rStyle w:val="markedcontent"/>
          <w:rFonts w:asciiTheme="minorHAnsi" w:hAnsiTheme="minorHAnsi" w:cstheme="minorHAnsi"/>
          <w:lang w:val="fr-FR"/>
        </w:rPr>
        <w:t xml:space="preserve"> des </w:t>
      </w:r>
      <w:r w:rsidR="00941FA7" w:rsidRPr="00941FA7">
        <w:rPr>
          <w:rStyle w:val="markedcontent"/>
          <w:rFonts w:asciiTheme="minorHAnsi" w:hAnsiTheme="minorHAnsi" w:cstheme="minorHAnsi"/>
          <w:lang w:val="fr-FR"/>
        </w:rPr>
        <w:t>résultats</w:t>
      </w:r>
      <w:r w:rsidR="00E64550" w:rsidRPr="00941FA7">
        <w:rPr>
          <w:rStyle w:val="markedcontent"/>
          <w:rFonts w:asciiTheme="minorHAnsi" w:hAnsiTheme="minorHAnsi" w:cstheme="minorHAnsi"/>
          <w:lang w:val="fr-FR"/>
        </w:rPr>
        <w:t xml:space="preserve"> du budget administratif 2021 est joint</w:t>
      </w:r>
      <w:r w:rsidR="00941FA7">
        <w:rPr>
          <w:rStyle w:val="markedcontent"/>
          <w:rFonts w:asciiTheme="minorHAnsi" w:hAnsiTheme="minorHAnsi" w:cstheme="minorHAnsi"/>
          <w:lang w:val="fr-FR"/>
        </w:rPr>
        <w:t>e</w:t>
      </w:r>
      <w:r w:rsidR="00E64550" w:rsidRPr="00941FA7">
        <w:rPr>
          <w:rStyle w:val="markedcontent"/>
          <w:rFonts w:asciiTheme="minorHAnsi" w:hAnsiTheme="minorHAnsi" w:cstheme="minorHAnsi"/>
          <w:lang w:val="fr-FR"/>
        </w:rPr>
        <w:t xml:space="preserve"> à l’annexe 2. </w:t>
      </w:r>
      <w:r w:rsidR="00941FA7">
        <w:rPr>
          <w:rStyle w:val="markedcontent"/>
          <w:rFonts w:asciiTheme="minorHAnsi" w:hAnsiTheme="minorHAnsi" w:cstheme="minorHAnsi"/>
          <w:lang w:val="fr-FR"/>
        </w:rPr>
        <w:t xml:space="preserve">Elle </w:t>
      </w:r>
      <w:r w:rsidR="00910A99" w:rsidRPr="00941FA7">
        <w:rPr>
          <w:rStyle w:val="markedcontent"/>
          <w:rFonts w:asciiTheme="minorHAnsi" w:hAnsiTheme="minorHAnsi" w:cstheme="minorHAnsi"/>
          <w:lang w:val="fr-FR"/>
        </w:rPr>
        <w:t>présente</w:t>
      </w:r>
      <w:r w:rsidR="00E64550" w:rsidRPr="00941FA7">
        <w:rPr>
          <w:rStyle w:val="markedcontent"/>
          <w:rFonts w:asciiTheme="minorHAnsi" w:hAnsiTheme="minorHAnsi" w:cstheme="minorHAnsi"/>
          <w:lang w:val="fr-FR"/>
        </w:rPr>
        <w:t xml:space="preserve"> dans la colonne A </w:t>
      </w:r>
      <w:r w:rsidR="00910A99" w:rsidRPr="00941FA7">
        <w:rPr>
          <w:rStyle w:val="markedcontent"/>
          <w:rFonts w:asciiTheme="minorHAnsi" w:hAnsiTheme="minorHAnsi" w:cstheme="minorHAnsi"/>
          <w:lang w:val="fr-FR"/>
        </w:rPr>
        <w:t>le</w:t>
      </w:r>
      <w:r w:rsidR="00E64550" w:rsidRPr="00941FA7">
        <w:rPr>
          <w:rStyle w:val="markedcontent"/>
          <w:rFonts w:asciiTheme="minorHAnsi" w:hAnsiTheme="minorHAnsi" w:cstheme="minorHAnsi"/>
          <w:lang w:val="fr-FR"/>
        </w:rPr>
        <w:t xml:space="preserve"> budget 2021 </w:t>
      </w:r>
      <w:r w:rsidR="00444C39" w:rsidRPr="00941FA7">
        <w:rPr>
          <w:rStyle w:val="markedcontent"/>
          <w:rFonts w:asciiTheme="minorHAnsi" w:hAnsiTheme="minorHAnsi" w:cstheme="minorHAnsi"/>
          <w:lang w:val="fr-FR"/>
        </w:rPr>
        <w:t>d’un montant de</w:t>
      </w:r>
      <w:r w:rsidR="00E64550" w:rsidRPr="00941FA7">
        <w:rPr>
          <w:rStyle w:val="markedcontent"/>
          <w:rFonts w:asciiTheme="minorHAnsi" w:hAnsiTheme="minorHAnsi" w:cstheme="minorHAnsi"/>
          <w:lang w:val="fr-FR"/>
        </w:rPr>
        <w:t xml:space="preserve"> 5 081 000 CHF approuvé par la </w:t>
      </w:r>
      <w:r w:rsidR="00910A99" w:rsidRPr="00941FA7">
        <w:rPr>
          <w:rStyle w:val="markedcontent"/>
          <w:rFonts w:asciiTheme="minorHAnsi" w:hAnsiTheme="minorHAnsi" w:cstheme="minorHAnsi"/>
          <w:lang w:val="fr-FR"/>
        </w:rPr>
        <w:t>Résolution</w:t>
      </w:r>
      <w:r w:rsidR="00E64550" w:rsidRPr="00941FA7">
        <w:rPr>
          <w:rStyle w:val="markedcontent"/>
          <w:rFonts w:asciiTheme="minorHAnsi" w:hAnsiTheme="minorHAnsi" w:cstheme="minorHAnsi"/>
          <w:lang w:val="fr-FR"/>
        </w:rPr>
        <w:t xml:space="preserve"> XIII.2</w:t>
      </w:r>
      <w:r w:rsidR="00E64550" w:rsidRPr="00941FA7">
        <w:rPr>
          <w:rStyle w:val="markedcontent"/>
          <w:rFonts w:asciiTheme="minorHAnsi" w:hAnsiTheme="minorHAnsi" w:cstheme="minorHAnsi"/>
          <w:i/>
          <w:lang w:val="fr-FR"/>
        </w:rPr>
        <w:t>, Questions financières et budgétaires</w:t>
      </w:r>
      <w:r w:rsidR="008534A7" w:rsidRPr="00941FA7">
        <w:rPr>
          <w:rStyle w:val="markedcontent"/>
          <w:rFonts w:asciiTheme="minorHAnsi" w:hAnsiTheme="minorHAnsi" w:cstheme="minorHAnsi"/>
          <w:lang w:val="fr-FR"/>
        </w:rPr>
        <w:t>, y compris les ajustements approuvés par la SC59, comme il est expliqué au paragraphe 12</w:t>
      </w:r>
      <w:r w:rsidR="00E64550" w:rsidRPr="00941FA7">
        <w:rPr>
          <w:rStyle w:val="markedcontent"/>
          <w:rFonts w:asciiTheme="minorHAnsi" w:hAnsiTheme="minorHAnsi" w:cstheme="minorHAnsi"/>
          <w:lang w:val="fr-FR"/>
        </w:rPr>
        <w:t xml:space="preserve">. La colonne B du même tableau </w:t>
      </w:r>
      <w:r w:rsidR="00660FDF" w:rsidRPr="00941FA7">
        <w:rPr>
          <w:rStyle w:val="markedcontent"/>
          <w:rFonts w:asciiTheme="minorHAnsi" w:hAnsiTheme="minorHAnsi" w:cstheme="minorHAnsi"/>
          <w:lang w:val="fr-FR"/>
        </w:rPr>
        <w:t>présente</w:t>
      </w:r>
      <w:r w:rsidR="00E64550" w:rsidRPr="00941FA7">
        <w:rPr>
          <w:rStyle w:val="markedcontent"/>
          <w:rFonts w:asciiTheme="minorHAnsi" w:hAnsiTheme="minorHAnsi" w:cstheme="minorHAnsi"/>
          <w:lang w:val="fr-FR"/>
        </w:rPr>
        <w:t xml:space="preserve"> l’utilisation </w:t>
      </w:r>
      <w:r w:rsidR="00660FDF" w:rsidRPr="00941FA7">
        <w:rPr>
          <w:rStyle w:val="markedcontent"/>
          <w:rFonts w:asciiTheme="minorHAnsi" w:hAnsiTheme="minorHAnsi" w:cstheme="minorHAnsi"/>
          <w:lang w:val="fr-FR"/>
        </w:rPr>
        <w:t>autorisée</w:t>
      </w:r>
      <w:r w:rsidR="00E64550" w:rsidRPr="00941FA7">
        <w:rPr>
          <w:rStyle w:val="markedcontent"/>
          <w:rFonts w:asciiTheme="minorHAnsi" w:hAnsiTheme="minorHAnsi" w:cstheme="minorHAnsi"/>
          <w:lang w:val="fr-FR"/>
        </w:rPr>
        <w:t xml:space="preserve"> de l’</w:t>
      </w:r>
      <w:r w:rsidR="00910A99" w:rsidRPr="00941FA7">
        <w:rPr>
          <w:rStyle w:val="markedcontent"/>
          <w:rFonts w:asciiTheme="minorHAnsi" w:hAnsiTheme="minorHAnsi" w:cstheme="minorHAnsi"/>
          <w:lang w:val="fr-FR"/>
        </w:rPr>
        <w:t>excédent</w:t>
      </w:r>
      <w:r w:rsidR="00E64550" w:rsidRPr="00941FA7">
        <w:rPr>
          <w:rStyle w:val="markedcontent"/>
          <w:rFonts w:asciiTheme="minorHAnsi" w:hAnsiTheme="minorHAnsi" w:cstheme="minorHAnsi"/>
          <w:lang w:val="fr-FR"/>
        </w:rPr>
        <w:t xml:space="preserve"> de 76 000 CHF </w:t>
      </w:r>
      <w:r w:rsidR="00110575" w:rsidRPr="00941FA7">
        <w:rPr>
          <w:rStyle w:val="markedcontent"/>
          <w:rFonts w:asciiTheme="minorHAnsi" w:hAnsiTheme="minorHAnsi" w:cstheme="minorHAnsi"/>
          <w:lang w:val="fr-FR"/>
        </w:rPr>
        <w:t xml:space="preserve">réalisé </w:t>
      </w:r>
      <w:r w:rsidR="00E64550" w:rsidRPr="00941FA7">
        <w:rPr>
          <w:rStyle w:val="markedcontent"/>
          <w:rFonts w:asciiTheme="minorHAnsi" w:hAnsiTheme="minorHAnsi" w:cstheme="minorHAnsi"/>
          <w:lang w:val="fr-FR"/>
        </w:rPr>
        <w:t>au cours de l’</w:t>
      </w:r>
      <w:r w:rsidR="00660FDF" w:rsidRPr="00941FA7">
        <w:rPr>
          <w:rStyle w:val="markedcontent"/>
          <w:rFonts w:asciiTheme="minorHAnsi" w:hAnsiTheme="minorHAnsi" w:cstheme="minorHAnsi"/>
          <w:lang w:val="fr-FR"/>
        </w:rPr>
        <w:t>année</w:t>
      </w:r>
      <w:r w:rsidR="00E64550" w:rsidRPr="00941FA7">
        <w:rPr>
          <w:rStyle w:val="markedcontent"/>
          <w:rFonts w:asciiTheme="minorHAnsi" w:hAnsiTheme="minorHAnsi" w:cstheme="minorHAnsi"/>
          <w:lang w:val="fr-FR"/>
        </w:rPr>
        <w:t xml:space="preserve"> pour couvrir le déficit budgétaire découlant du recrutement d’un assistant financier et comptable, conformément aux dispositions du paragraphe 15 de la </w:t>
      </w:r>
      <w:r w:rsidR="00660FDF" w:rsidRPr="00941FA7">
        <w:rPr>
          <w:rStyle w:val="markedcontent"/>
          <w:rFonts w:asciiTheme="minorHAnsi" w:hAnsiTheme="minorHAnsi" w:cstheme="minorHAnsi"/>
          <w:lang w:val="fr-FR"/>
        </w:rPr>
        <w:t>Résolution</w:t>
      </w:r>
      <w:r w:rsidR="00E64550" w:rsidRPr="00941FA7">
        <w:rPr>
          <w:rStyle w:val="markedcontent"/>
          <w:rFonts w:asciiTheme="minorHAnsi" w:hAnsiTheme="minorHAnsi" w:cstheme="minorHAnsi"/>
          <w:lang w:val="fr-FR"/>
        </w:rPr>
        <w:t xml:space="preserve"> XIII.2, tandis que la colonne C </w:t>
      </w:r>
      <w:r w:rsidR="00D549B1" w:rsidRPr="00941FA7">
        <w:rPr>
          <w:rStyle w:val="markedcontent"/>
          <w:rFonts w:asciiTheme="minorHAnsi" w:hAnsiTheme="minorHAnsi" w:cstheme="minorHAnsi"/>
          <w:lang w:val="fr-FR"/>
        </w:rPr>
        <w:t>présente</w:t>
      </w:r>
      <w:r w:rsidR="00E64550" w:rsidRPr="00941FA7">
        <w:rPr>
          <w:rStyle w:val="markedcontent"/>
          <w:rFonts w:asciiTheme="minorHAnsi" w:hAnsiTheme="minorHAnsi" w:cstheme="minorHAnsi"/>
          <w:lang w:val="fr-FR"/>
        </w:rPr>
        <w:t xml:space="preserve"> les soldes </w:t>
      </w:r>
      <w:r w:rsidR="00D549B1" w:rsidRPr="00941FA7">
        <w:rPr>
          <w:rStyle w:val="markedcontent"/>
          <w:rFonts w:asciiTheme="minorHAnsi" w:hAnsiTheme="minorHAnsi" w:cstheme="minorHAnsi"/>
          <w:lang w:val="fr-FR"/>
        </w:rPr>
        <w:t>engagés</w:t>
      </w:r>
      <w:r w:rsidR="00E64550" w:rsidRPr="00941FA7">
        <w:rPr>
          <w:rStyle w:val="markedcontent"/>
          <w:rFonts w:asciiTheme="minorHAnsi" w:hAnsiTheme="minorHAnsi" w:cstheme="minorHAnsi"/>
          <w:lang w:val="fr-FR"/>
        </w:rPr>
        <w:t xml:space="preserve"> et l’utilisation </w:t>
      </w:r>
      <w:r w:rsidR="00660FDF" w:rsidRPr="00941FA7">
        <w:rPr>
          <w:rStyle w:val="markedcontent"/>
          <w:rFonts w:asciiTheme="minorHAnsi" w:hAnsiTheme="minorHAnsi" w:cstheme="minorHAnsi"/>
          <w:lang w:val="fr-FR"/>
        </w:rPr>
        <w:t>autorisée</w:t>
      </w:r>
      <w:r w:rsidR="00E64550" w:rsidRPr="00941FA7">
        <w:rPr>
          <w:rStyle w:val="markedcontent"/>
          <w:rFonts w:asciiTheme="minorHAnsi" w:hAnsiTheme="minorHAnsi" w:cstheme="minorHAnsi"/>
          <w:lang w:val="fr-FR"/>
        </w:rPr>
        <w:t xml:space="preserve"> des excédents pour un total de 712 000 CHF. Ce montant comprend l’utilisation des fonds approuvés au cours des années précédentes pour les postes suivants : le Groupe de travail sur l’</w:t>
      </w:r>
      <w:r w:rsidR="00660FDF" w:rsidRPr="00941FA7">
        <w:rPr>
          <w:rStyle w:val="markedcontent"/>
          <w:rFonts w:asciiTheme="minorHAnsi" w:hAnsiTheme="minorHAnsi" w:cstheme="minorHAnsi"/>
          <w:lang w:val="fr-FR"/>
        </w:rPr>
        <w:t>efficacité</w:t>
      </w:r>
      <w:r w:rsidR="00E64550" w:rsidRPr="00941FA7">
        <w:rPr>
          <w:rStyle w:val="markedcontent"/>
          <w:rFonts w:asciiTheme="minorHAnsi" w:hAnsiTheme="minorHAnsi" w:cstheme="minorHAnsi"/>
          <w:lang w:val="fr-FR"/>
        </w:rPr>
        <w:t>́ (</w:t>
      </w:r>
      <w:r w:rsidR="00660FDF" w:rsidRPr="00941FA7">
        <w:rPr>
          <w:rStyle w:val="markedcontent"/>
          <w:rFonts w:asciiTheme="minorHAnsi" w:hAnsiTheme="minorHAnsi" w:cstheme="minorHAnsi"/>
          <w:lang w:val="fr-FR"/>
        </w:rPr>
        <w:t>Résolution</w:t>
      </w:r>
      <w:r w:rsidR="00E64550" w:rsidRPr="00941FA7">
        <w:rPr>
          <w:rStyle w:val="markedcontent"/>
          <w:rFonts w:asciiTheme="minorHAnsi" w:hAnsiTheme="minorHAnsi" w:cstheme="minorHAnsi"/>
          <w:lang w:val="fr-FR"/>
        </w:rPr>
        <w:t xml:space="preserve"> XIII.2, paragraphe 16) ; les engagements du budget 2018 (reportés </w:t>
      </w:r>
      <w:r w:rsidR="00D549B1" w:rsidRPr="00941FA7">
        <w:rPr>
          <w:rStyle w:val="markedcontent"/>
          <w:rFonts w:asciiTheme="minorHAnsi" w:hAnsiTheme="minorHAnsi" w:cstheme="minorHAnsi"/>
          <w:lang w:val="fr-FR"/>
        </w:rPr>
        <w:t>sur</w:t>
      </w:r>
      <w:r w:rsidR="00E64550" w:rsidRPr="00941FA7">
        <w:rPr>
          <w:rStyle w:val="markedcontent"/>
          <w:rFonts w:asciiTheme="minorHAnsi" w:hAnsiTheme="minorHAnsi" w:cstheme="minorHAnsi"/>
          <w:lang w:val="fr-FR"/>
        </w:rPr>
        <w:t xml:space="preserve"> </w:t>
      </w:r>
      <w:r w:rsidR="00660FDF" w:rsidRPr="00941FA7">
        <w:rPr>
          <w:rStyle w:val="markedcontent"/>
          <w:rFonts w:asciiTheme="minorHAnsi" w:hAnsiTheme="minorHAnsi" w:cstheme="minorHAnsi"/>
          <w:lang w:val="fr-FR"/>
        </w:rPr>
        <w:t>2019) </w:t>
      </w:r>
      <w:r w:rsidR="00E64550" w:rsidRPr="00941FA7">
        <w:rPr>
          <w:rStyle w:val="markedcontent"/>
          <w:rFonts w:asciiTheme="minorHAnsi" w:hAnsiTheme="minorHAnsi" w:cstheme="minorHAnsi"/>
          <w:lang w:val="fr-FR"/>
        </w:rPr>
        <w:t xml:space="preserve">; </w:t>
      </w:r>
      <w:r w:rsidR="008534A7" w:rsidRPr="00941FA7">
        <w:rPr>
          <w:rStyle w:val="markedcontent"/>
          <w:rFonts w:asciiTheme="minorHAnsi" w:hAnsiTheme="minorHAnsi" w:cstheme="minorHAnsi"/>
          <w:lang w:val="fr-FR"/>
        </w:rPr>
        <w:t xml:space="preserve">et </w:t>
      </w:r>
      <w:r w:rsidR="00E64550" w:rsidRPr="00941FA7">
        <w:rPr>
          <w:rStyle w:val="markedcontent"/>
          <w:rFonts w:asciiTheme="minorHAnsi" w:hAnsiTheme="minorHAnsi" w:cstheme="minorHAnsi"/>
          <w:lang w:val="fr-FR"/>
        </w:rPr>
        <w:t>l’utilisation de l’</w:t>
      </w:r>
      <w:r w:rsidR="00910A99" w:rsidRPr="00941FA7">
        <w:rPr>
          <w:rStyle w:val="markedcontent"/>
          <w:rFonts w:asciiTheme="minorHAnsi" w:hAnsiTheme="minorHAnsi" w:cstheme="minorHAnsi"/>
          <w:lang w:val="fr-FR"/>
        </w:rPr>
        <w:t>excédent</w:t>
      </w:r>
      <w:r w:rsidR="00E64550" w:rsidRPr="00941FA7">
        <w:rPr>
          <w:rStyle w:val="markedcontent"/>
          <w:rFonts w:asciiTheme="minorHAnsi" w:hAnsiTheme="minorHAnsi" w:cstheme="minorHAnsi"/>
          <w:lang w:val="fr-FR"/>
        </w:rPr>
        <w:t xml:space="preserve"> </w:t>
      </w:r>
      <w:r w:rsidR="00910A99" w:rsidRPr="00941FA7">
        <w:rPr>
          <w:rStyle w:val="markedcontent"/>
          <w:rFonts w:asciiTheme="minorHAnsi" w:hAnsiTheme="minorHAnsi" w:cstheme="minorHAnsi"/>
          <w:lang w:val="fr-FR"/>
        </w:rPr>
        <w:t>autorisée</w:t>
      </w:r>
      <w:r w:rsidR="00E64550" w:rsidRPr="00941FA7">
        <w:rPr>
          <w:rStyle w:val="markedcontent"/>
          <w:rFonts w:asciiTheme="minorHAnsi" w:hAnsiTheme="minorHAnsi" w:cstheme="minorHAnsi"/>
          <w:lang w:val="fr-FR"/>
        </w:rPr>
        <w:t xml:space="preserve"> par la 57</w:t>
      </w:r>
      <w:r w:rsidR="00E64550" w:rsidRPr="00941FA7">
        <w:rPr>
          <w:rStyle w:val="markedcontent"/>
          <w:rFonts w:asciiTheme="minorHAnsi" w:hAnsiTheme="minorHAnsi" w:cstheme="minorHAnsi"/>
          <w:vertAlign w:val="superscript"/>
          <w:lang w:val="fr-FR"/>
        </w:rPr>
        <w:t>e</w:t>
      </w:r>
      <w:r w:rsidR="00E64550" w:rsidRPr="00941FA7">
        <w:rPr>
          <w:rStyle w:val="markedcontent"/>
          <w:rFonts w:asciiTheme="minorHAnsi" w:hAnsiTheme="minorHAnsi" w:cstheme="minorHAnsi"/>
          <w:lang w:val="fr-FR"/>
        </w:rPr>
        <w:t xml:space="preserve"> </w:t>
      </w:r>
      <w:r w:rsidR="00D549B1" w:rsidRPr="00941FA7">
        <w:rPr>
          <w:rStyle w:val="markedcontent"/>
          <w:rFonts w:asciiTheme="minorHAnsi" w:hAnsiTheme="minorHAnsi" w:cstheme="minorHAnsi"/>
          <w:lang w:val="fr-FR"/>
        </w:rPr>
        <w:t>r</w:t>
      </w:r>
      <w:r w:rsidR="00E64550" w:rsidRPr="00941FA7">
        <w:rPr>
          <w:rStyle w:val="markedcontent"/>
          <w:rFonts w:asciiTheme="minorHAnsi" w:hAnsiTheme="minorHAnsi" w:cstheme="minorHAnsi"/>
          <w:lang w:val="fr-FR"/>
        </w:rPr>
        <w:t xml:space="preserve">éunion du Comité permanent (voir l’annexe 9.2 du rapport de la SC57, </w:t>
      </w:r>
      <w:r w:rsidR="00D549B1" w:rsidRPr="00941FA7">
        <w:rPr>
          <w:rStyle w:val="markedcontent"/>
          <w:rFonts w:asciiTheme="minorHAnsi" w:hAnsiTheme="minorHAnsi" w:cstheme="minorHAnsi"/>
          <w:lang w:val="fr-FR"/>
        </w:rPr>
        <w:t xml:space="preserve">utilisation </w:t>
      </w:r>
      <w:r w:rsidR="00910A99" w:rsidRPr="00941FA7">
        <w:rPr>
          <w:rStyle w:val="markedcontent"/>
          <w:rFonts w:asciiTheme="minorHAnsi" w:hAnsiTheme="minorHAnsi" w:cstheme="minorHAnsi"/>
          <w:lang w:val="fr-FR"/>
        </w:rPr>
        <w:t>approuvée</w:t>
      </w:r>
      <w:r w:rsidR="00E64550" w:rsidRPr="00941FA7">
        <w:rPr>
          <w:rStyle w:val="markedcontent"/>
          <w:rFonts w:asciiTheme="minorHAnsi" w:hAnsiTheme="minorHAnsi" w:cstheme="minorHAnsi"/>
          <w:lang w:val="fr-FR"/>
        </w:rPr>
        <w:t xml:space="preserve"> par la </w:t>
      </w:r>
      <w:r w:rsidR="00910A99" w:rsidRPr="00941FA7">
        <w:rPr>
          <w:rStyle w:val="markedcontent"/>
          <w:rFonts w:asciiTheme="minorHAnsi" w:hAnsiTheme="minorHAnsi" w:cstheme="minorHAnsi"/>
          <w:lang w:val="fr-FR"/>
        </w:rPr>
        <w:t>Décision</w:t>
      </w:r>
      <w:r w:rsidR="00E64550" w:rsidRPr="00941FA7">
        <w:rPr>
          <w:rStyle w:val="markedcontent"/>
          <w:rFonts w:asciiTheme="minorHAnsi" w:hAnsiTheme="minorHAnsi" w:cstheme="minorHAnsi"/>
          <w:lang w:val="fr-FR"/>
        </w:rPr>
        <w:t xml:space="preserve"> SC57-47). </w:t>
      </w:r>
      <w:r w:rsidR="0087683B" w:rsidRPr="00941FA7">
        <w:rPr>
          <w:lang w:val="fr-FR"/>
        </w:rPr>
        <w:t xml:space="preserve">La colonne D fait apparaître l’utilisation autorisée par la SC59 des économies réalisées </w:t>
      </w:r>
      <w:r w:rsidR="00D549B1" w:rsidRPr="00941FA7">
        <w:rPr>
          <w:lang w:val="fr-FR"/>
        </w:rPr>
        <w:t>sur le budget</w:t>
      </w:r>
      <w:r w:rsidR="0087683B" w:rsidRPr="00941FA7">
        <w:rPr>
          <w:lang w:val="fr-FR"/>
        </w:rPr>
        <w:t xml:space="preserve"> 2020 pour un total de 293 000 CHF, et la colonne E </w:t>
      </w:r>
      <w:r w:rsidR="00D549B1" w:rsidRPr="00941FA7">
        <w:rPr>
          <w:lang w:val="fr-FR"/>
        </w:rPr>
        <w:t>présente</w:t>
      </w:r>
      <w:r w:rsidR="0087683B" w:rsidRPr="00941FA7">
        <w:rPr>
          <w:lang w:val="fr-FR"/>
        </w:rPr>
        <w:t xml:space="preserve"> les fonds non engagés reportés de 2020 à 2021 pour un </w:t>
      </w:r>
      <w:r w:rsidR="00D549B1" w:rsidRPr="00941FA7">
        <w:rPr>
          <w:lang w:val="fr-FR"/>
        </w:rPr>
        <w:t xml:space="preserve">montant de 1 </w:t>
      </w:r>
      <w:r w:rsidR="0087683B" w:rsidRPr="00941FA7">
        <w:rPr>
          <w:lang w:val="fr-FR"/>
        </w:rPr>
        <w:t>297 000 CHF</w:t>
      </w:r>
      <w:r w:rsidR="00D549B1" w:rsidRPr="00941FA7">
        <w:rPr>
          <w:lang w:val="fr-FR"/>
        </w:rPr>
        <w:t xml:space="preserve"> approuvés</w:t>
      </w:r>
      <w:r w:rsidR="0087683B" w:rsidRPr="00941FA7">
        <w:rPr>
          <w:lang w:val="fr-FR"/>
        </w:rPr>
        <w:t xml:space="preserve"> lors de la réunion virtuelle de la SC59 de juin 2021.</w:t>
      </w:r>
    </w:p>
    <w:p w:rsidR="002B4F3C" w:rsidRPr="00941FA7" w:rsidRDefault="002B4F3C" w:rsidP="002B4F3C">
      <w:pPr>
        <w:rPr>
          <w:lang w:val="fr-FR"/>
        </w:rPr>
      </w:pPr>
    </w:p>
    <w:p w:rsidR="00E920F4" w:rsidRPr="00941FA7" w:rsidRDefault="008F7FC4" w:rsidP="00EC4FE8">
      <w:pPr>
        <w:rPr>
          <w:lang w:val="fr-FR"/>
        </w:rPr>
      </w:pPr>
      <w:r w:rsidRPr="00941FA7">
        <w:rPr>
          <w:lang w:val="fr-FR"/>
        </w:rPr>
        <w:t>6.</w:t>
      </w:r>
      <w:r w:rsidR="002C6BA6" w:rsidRPr="00941FA7">
        <w:rPr>
          <w:lang w:val="fr-FR"/>
        </w:rPr>
        <w:tab/>
      </w:r>
      <w:r w:rsidR="00E920F4" w:rsidRPr="00941FA7">
        <w:rPr>
          <w:lang w:val="fr-FR"/>
        </w:rPr>
        <w:t xml:space="preserve">Le budget total disponible pour 2021 était donc de 7 459 000 CHF. L’annexe 2 présente également les recettes et dépenses finales pour 2021 confirmées par l’état financier (annexe 1) et le solde au 31 décembre 2021 pour chacune des lignes et catégories budgétaires. </w:t>
      </w:r>
    </w:p>
    <w:p w:rsidR="00323684" w:rsidRPr="00941FA7" w:rsidRDefault="00323684" w:rsidP="00CE1519">
      <w:pPr>
        <w:ind w:left="0" w:firstLine="0"/>
        <w:rPr>
          <w:lang w:val="fr-FR"/>
        </w:rPr>
      </w:pPr>
    </w:p>
    <w:p w:rsidR="00C0407F" w:rsidRPr="00941FA7" w:rsidRDefault="00EC4FE8" w:rsidP="00162710">
      <w:pPr>
        <w:rPr>
          <w:rFonts w:asciiTheme="minorHAnsi" w:hAnsiTheme="minorHAnsi" w:cstheme="minorHAnsi"/>
          <w:lang w:val="fr-FR"/>
        </w:rPr>
      </w:pPr>
      <w:r w:rsidRPr="00941FA7">
        <w:rPr>
          <w:lang w:val="fr-FR"/>
        </w:rPr>
        <w:t>7</w:t>
      </w:r>
      <w:r w:rsidR="00CC24F5" w:rsidRPr="00941FA7">
        <w:rPr>
          <w:lang w:val="fr-FR"/>
        </w:rPr>
        <w:t>.</w:t>
      </w:r>
      <w:r w:rsidR="00C42F6F" w:rsidRPr="00941FA7">
        <w:rPr>
          <w:lang w:val="fr-FR"/>
        </w:rPr>
        <w:tab/>
      </w:r>
      <w:r w:rsidR="00660FDF" w:rsidRPr="00941FA7">
        <w:rPr>
          <w:rFonts w:asciiTheme="minorHAnsi" w:hAnsiTheme="minorHAnsi" w:cstheme="minorHAnsi"/>
          <w:lang w:val="fr-FR"/>
        </w:rPr>
        <w:t>L</w:t>
      </w:r>
      <w:r w:rsidR="00660FDF" w:rsidRPr="00941FA7">
        <w:rPr>
          <w:rStyle w:val="markedcontent"/>
          <w:rFonts w:asciiTheme="minorHAnsi" w:hAnsiTheme="minorHAnsi" w:cstheme="minorHAnsi"/>
          <w:lang w:val="fr-FR"/>
        </w:rPr>
        <w:t>e Comité permanent est inv</w:t>
      </w:r>
      <w:r w:rsidR="00240D57" w:rsidRPr="00941FA7">
        <w:rPr>
          <w:rStyle w:val="markedcontent"/>
          <w:rFonts w:asciiTheme="minorHAnsi" w:hAnsiTheme="minorHAnsi" w:cstheme="minorHAnsi"/>
          <w:lang w:val="fr-FR"/>
        </w:rPr>
        <w:t>ité à examiner et à accepter les états</w:t>
      </w:r>
      <w:r w:rsidR="00660FDF" w:rsidRPr="00941FA7">
        <w:rPr>
          <w:rStyle w:val="markedcontent"/>
          <w:rFonts w:asciiTheme="minorHAnsi" w:hAnsiTheme="minorHAnsi" w:cstheme="minorHAnsi"/>
          <w:lang w:val="fr-FR"/>
        </w:rPr>
        <w:t xml:space="preserve"> financier</w:t>
      </w:r>
      <w:r w:rsidR="00240D57" w:rsidRPr="00941FA7">
        <w:rPr>
          <w:rStyle w:val="markedcontent"/>
          <w:rFonts w:asciiTheme="minorHAnsi" w:hAnsiTheme="minorHAnsi" w:cstheme="minorHAnsi"/>
          <w:lang w:val="fr-FR"/>
        </w:rPr>
        <w:t>s</w:t>
      </w:r>
      <w:r w:rsidR="00660FDF" w:rsidRPr="00941FA7">
        <w:rPr>
          <w:rStyle w:val="markedcontent"/>
          <w:rFonts w:asciiTheme="minorHAnsi" w:hAnsiTheme="minorHAnsi" w:cstheme="minorHAnsi"/>
          <w:lang w:val="fr-FR"/>
        </w:rPr>
        <w:t xml:space="preserve"> </w:t>
      </w:r>
      <w:r w:rsidR="00240D57" w:rsidRPr="00941FA7">
        <w:rPr>
          <w:rStyle w:val="markedcontent"/>
          <w:rFonts w:asciiTheme="minorHAnsi" w:hAnsiTheme="minorHAnsi" w:cstheme="minorHAnsi"/>
          <w:lang w:val="fr-FR"/>
        </w:rPr>
        <w:t>vérifiés pour 2021 (annexe 1). Les états</w:t>
      </w:r>
      <w:r w:rsidR="00660FDF" w:rsidRPr="00941FA7">
        <w:rPr>
          <w:rStyle w:val="markedcontent"/>
          <w:rFonts w:asciiTheme="minorHAnsi" w:hAnsiTheme="minorHAnsi" w:cstheme="minorHAnsi"/>
          <w:lang w:val="fr-FR"/>
        </w:rPr>
        <w:t xml:space="preserve"> financier</w:t>
      </w:r>
      <w:r w:rsidR="00240D57" w:rsidRPr="00941FA7">
        <w:rPr>
          <w:rStyle w:val="markedcontent"/>
          <w:rFonts w:asciiTheme="minorHAnsi" w:hAnsiTheme="minorHAnsi" w:cstheme="minorHAnsi"/>
          <w:lang w:val="fr-FR"/>
        </w:rPr>
        <w:t>s</w:t>
      </w:r>
      <w:r w:rsidR="00660FDF" w:rsidRPr="00941FA7">
        <w:rPr>
          <w:rStyle w:val="markedcontent"/>
          <w:rFonts w:asciiTheme="minorHAnsi" w:hAnsiTheme="minorHAnsi" w:cstheme="minorHAnsi"/>
          <w:lang w:val="fr-FR"/>
        </w:rPr>
        <w:t xml:space="preserve"> complet</w:t>
      </w:r>
      <w:r w:rsidR="00240D57" w:rsidRPr="00941FA7">
        <w:rPr>
          <w:rStyle w:val="markedcontent"/>
          <w:rFonts w:asciiTheme="minorHAnsi" w:hAnsiTheme="minorHAnsi" w:cstheme="minorHAnsi"/>
          <w:lang w:val="fr-FR"/>
        </w:rPr>
        <w:t>s</w:t>
      </w:r>
      <w:r w:rsidR="00660FDF" w:rsidRPr="00941FA7">
        <w:rPr>
          <w:rStyle w:val="markedcontent"/>
          <w:rFonts w:asciiTheme="minorHAnsi" w:hAnsiTheme="minorHAnsi" w:cstheme="minorHAnsi"/>
          <w:lang w:val="fr-FR"/>
        </w:rPr>
        <w:t xml:space="preserve"> </w:t>
      </w:r>
      <w:r w:rsidR="00A63334" w:rsidRPr="00941FA7">
        <w:rPr>
          <w:rStyle w:val="markedcontent"/>
          <w:rFonts w:asciiTheme="minorHAnsi" w:hAnsiTheme="minorHAnsi" w:cstheme="minorHAnsi"/>
          <w:lang w:val="fr-FR"/>
        </w:rPr>
        <w:t>vérifiés</w:t>
      </w:r>
      <w:r w:rsidR="00660FDF" w:rsidRPr="00941FA7">
        <w:rPr>
          <w:rStyle w:val="markedcontent"/>
          <w:rFonts w:asciiTheme="minorHAnsi" w:hAnsiTheme="minorHAnsi" w:cstheme="minorHAnsi"/>
          <w:lang w:val="fr-FR"/>
        </w:rPr>
        <w:t xml:space="preserve"> </w:t>
      </w:r>
      <w:r w:rsidR="00240D57" w:rsidRPr="00941FA7">
        <w:rPr>
          <w:rStyle w:val="markedcontent"/>
          <w:rFonts w:asciiTheme="minorHAnsi" w:hAnsiTheme="minorHAnsi" w:cstheme="minorHAnsi"/>
          <w:lang w:val="fr-FR"/>
        </w:rPr>
        <w:t>pour</w:t>
      </w:r>
      <w:r w:rsidR="00660FDF" w:rsidRPr="00941FA7">
        <w:rPr>
          <w:rStyle w:val="markedcontent"/>
          <w:rFonts w:asciiTheme="minorHAnsi" w:hAnsiTheme="minorHAnsi" w:cstheme="minorHAnsi"/>
          <w:lang w:val="fr-FR"/>
        </w:rPr>
        <w:t xml:space="preserve"> 2021, y compris les notes et l’avis de l’audit, </w:t>
      </w:r>
      <w:r w:rsidR="00240D57" w:rsidRPr="00941FA7">
        <w:rPr>
          <w:rStyle w:val="markedcontent"/>
          <w:rFonts w:asciiTheme="minorHAnsi" w:hAnsiTheme="minorHAnsi" w:cstheme="minorHAnsi"/>
          <w:lang w:val="fr-FR"/>
        </w:rPr>
        <w:t>ont</w:t>
      </w:r>
      <w:r w:rsidR="00A63334" w:rsidRPr="00941FA7">
        <w:rPr>
          <w:rStyle w:val="markedcontent"/>
          <w:rFonts w:asciiTheme="minorHAnsi" w:hAnsiTheme="minorHAnsi" w:cstheme="minorHAnsi"/>
          <w:lang w:val="fr-FR"/>
        </w:rPr>
        <w:t xml:space="preserve"> été</w:t>
      </w:r>
      <w:r w:rsidR="00660FDF" w:rsidRPr="00941FA7">
        <w:rPr>
          <w:rStyle w:val="markedcontent"/>
          <w:rFonts w:asciiTheme="minorHAnsi" w:hAnsiTheme="minorHAnsi" w:cstheme="minorHAnsi"/>
          <w:lang w:val="fr-FR"/>
        </w:rPr>
        <w:t xml:space="preserve"> </w:t>
      </w:r>
      <w:r w:rsidR="00A63334" w:rsidRPr="00941FA7">
        <w:rPr>
          <w:rStyle w:val="markedcontent"/>
          <w:rFonts w:asciiTheme="minorHAnsi" w:hAnsiTheme="minorHAnsi" w:cstheme="minorHAnsi"/>
          <w:lang w:val="fr-FR"/>
        </w:rPr>
        <w:t>publiés</w:t>
      </w:r>
      <w:r w:rsidR="00660FDF" w:rsidRPr="00941FA7">
        <w:rPr>
          <w:rStyle w:val="markedcontent"/>
          <w:rFonts w:asciiTheme="minorHAnsi" w:hAnsiTheme="minorHAnsi" w:cstheme="minorHAnsi"/>
          <w:lang w:val="fr-FR"/>
        </w:rPr>
        <w:t xml:space="preserve"> sur le site Web de la Convention.</w:t>
      </w:r>
      <w:r w:rsidR="00660FDF" w:rsidRPr="00941FA7">
        <w:rPr>
          <w:rStyle w:val="FootnoteReference"/>
          <w:rFonts w:asciiTheme="minorHAnsi" w:hAnsiTheme="minorHAnsi" w:cstheme="minorHAnsi"/>
          <w:lang w:val="fr-FR"/>
        </w:rPr>
        <w:t xml:space="preserve"> </w:t>
      </w:r>
      <w:r w:rsidR="00CB6134" w:rsidRPr="00941FA7">
        <w:rPr>
          <w:rStyle w:val="FootnoteReference"/>
          <w:rFonts w:asciiTheme="minorHAnsi" w:hAnsiTheme="minorHAnsi" w:cstheme="minorHAnsi"/>
          <w:lang w:val="fr-FR"/>
        </w:rPr>
        <w:footnoteReference w:id="1"/>
      </w:r>
    </w:p>
    <w:p w:rsidR="004C6D8E" w:rsidRPr="00941FA7" w:rsidRDefault="004C6D8E" w:rsidP="00162710">
      <w:pPr>
        <w:rPr>
          <w:rFonts w:asciiTheme="minorHAnsi" w:hAnsiTheme="minorHAnsi" w:cstheme="minorHAnsi"/>
          <w:lang w:val="fr-FR"/>
        </w:rPr>
      </w:pPr>
    </w:p>
    <w:p w:rsidR="00910A99" w:rsidRPr="00941FA7" w:rsidRDefault="00EC4FE8" w:rsidP="00057851">
      <w:pPr>
        <w:rPr>
          <w:lang w:val="fr-FR"/>
        </w:rPr>
      </w:pPr>
      <w:r w:rsidRPr="00941FA7">
        <w:rPr>
          <w:lang w:val="fr-FR"/>
        </w:rPr>
        <w:t>8</w:t>
      </w:r>
      <w:r w:rsidR="004C6D8E" w:rsidRPr="00941FA7">
        <w:rPr>
          <w:lang w:val="fr-FR"/>
        </w:rPr>
        <w:t>.</w:t>
      </w:r>
      <w:r w:rsidR="004C6D8E" w:rsidRPr="00941FA7">
        <w:rPr>
          <w:lang w:val="fr-FR"/>
        </w:rPr>
        <w:tab/>
      </w:r>
      <w:r w:rsidR="00910A99" w:rsidRPr="00941FA7">
        <w:rPr>
          <w:rFonts w:cs="Calibri"/>
          <w:lang w:val="fr-FR"/>
        </w:rPr>
        <w:t>À</w:t>
      </w:r>
      <w:r w:rsidR="00910A99" w:rsidRPr="00941FA7">
        <w:rPr>
          <w:lang w:val="fr-FR"/>
        </w:rPr>
        <w:t xml:space="preserve"> la fin de l’année </w:t>
      </w:r>
      <w:r w:rsidR="001326E7" w:rsidRPr="00941FA7">
        <w:rPr>
          <w:lang w:val="fr-FR"/>
        </w:rPr>
        <w:t>2021</w:t>
      </w:r>
      <w:r w:rsidR="004C6D8E" w:rsidRPr="00941FA7">
        <w:rPr>
          <w:lang w:val="fr-FR"/>
        </w:rPr>
        <w:t xml:space="preserve">, </w:t>
      </w:r>
      <w:r w:rsidR="00910A99" w:rsidRPr="00941FA7">
        <w:rPr>
          <w:lang w:val="fr-FR"/>
        </w:rPr>
        <w:t>le solde du budget administratif s’élevait à 2 </w:t>
      </w:r>
      <w:r w:rsidR="004F0683" w:rsidRPr="00941FA7">
        <w:rPr>
          <w:lang w:val="fr-FR"/>
        </w:rPr>
        <w:t>798</w:t>
      </w:r>
      <w:r w:rsidR="00910A99" w:rsidRPr="00941FA7">
        <w:rPr>
          <w:lang w:val="fr-FR"/>
        </w:rPr>
        <w:t xml:space="preserve"> 000 CHF. Ce montant </w:t>
      </w:r>
      <w:r w:rsidR="00DE1A73" w:rsidRPr="00941FA7">
        <w:rPr>
          <w:lang w:val="fr-FR"/>
        </w:rPr>
        <w:t xml:space="preserve"> comprenait 767 000 CHF </w:t>
      </w:r>
      <w:r w:rsidR="008C234D" w:rsidRPr="00941FA7">
        <w:rPr>
          <w:lang w:val="fr-FR"/>
        </w:rPr>
        <w:t>de</w:t>
      </w:r>
      <w:r w:rsidR="00DE1A73" w:rsidRPr="00941FA7">
        <w:rPr>
          <w:lang w:val="fr-FR"/>
        </w:rPr>
        <w:t xml:space="preserve"> fonds préengagés/planifiés à dépenser en 2022, et 2 042 000 </w:t>
      </w:r>
      <w:r w:rsidR="0005213E" w:rsidRPr="00941FA7">
        <w:rPr>
          <w:lang w:val="fr-FR"/>
        </w:rPr>
        <w:t>CHF d’économies, dont il faut déduire le déficit net de recettes de 10 000 CHF. Le tableau 1 ci-dessous présente un</w:t>
      </w:r>
      <w:r w:rsidR="008534A7" w:rsidRPr="00941FA7">
        <w:rPr>
          <w:lang w:val="fr-FR"/>
        </w:rPr>
        <w:t xml:space="preserve">e synthèse des fonds préengagés/planifiés du budget administratif </w:t>
      </w:r>
      <w:r w:rsidR="008C234D" w:rsidRPr="00941FA7">
        <w:rPr>
          <w:lang w:val="fr-FR"/>
        </w:rPr>
        <w:t xml:space="preserve">pour 2021 à utiliser en 2022 et les économies réalisées </w:t>
      </w:r>
      <w:r w:rsidR="004F0683" w:rsidRPr="00941FA7">
        <w:rPr>
          <w:lang w:val="fr-FR"/>
        </w:rPr>
        <w:t>pendant</w:t>
      </w:r>
      <w:r w:rsidR="008C234D" w:rsidRPr="00941FA7">
        <w:rPr>
          <w:lang w:val="fr-FR"/>
        </w:rPr>
        <w:t xml:space="preserve"> la période triennale 2019-2021 sur le budget administratif. Il convient de noter que les économies résultent essentiellement de l’accumulation des fonds non dépensés au cours de la période triennale </w:t>
      </w:r>
      <w:r w:rsidR="004F0683" w:rsidRPr="00941FA7">
        <w:rPr>
          <w:lang w:val="fr-FR"/>
        </w:rPr>
        <w:t xml:space="preserve">2019-2021 </w:t>
      </w:r>
      <w:r w:rsidR="008C234D" w:rsidRPr="00941FA7">
        <w:rPr>
          <w:lang w:val="fr-FR"/>
        </w:rPr>
        <w:t xml:space="preserve">et </w:t>
      </w:r>
      <w:r w:rsidR="004F0683" w:rsidRPr="00941FA7">
        <w:rPr>
          <w:lang w:val="fr-FR"/>
        </w:rPr>
        <w:t>reportés</w:t>
      </w:r>
      <w:r w:rsidR="008C234D" w:rsidRPr="00941FA7">
        <w:rPr>
          <w:lang w:val="fr-FR"/>
        </w:rPr>
        <w:t xml:space="preserve"> </w:t>
      </w:r>
      <w:r w:rsidR="008C234D" w:rsidRPr="00941FA7">
        <w:rPr>
          <w:lang w:val="fr-FR"/>
        </w:rPr>
        <w:lastRenderedPageBreak/>
        <w:t>conformément aux dispositions de la décision SC57-50</w:t>
      </w:r>
      <w:r w:rsidR="008C234D" w:rsidRPr="00941FA7">
        <w:rPr>
          <w:rStyle w:val="FootnoteReference"/>
          <w:lang w:val="fr-FR"/>
        </w:rPr>
        <w:footnoteReference w:id="2"/>
      </w:r>
      <w:r w:rsidR="008C234D" w:rsidRPr="00941FA7">
        <w:rPr>
          <w:lang w:val="fr-FR"/>
        </w:rPr>
        <w:t xml:space="preserve">, suite </w:t>
      </w:r>
      <w:r w:rsidR="004F0683" w:rsidRPr="00941FA7">
        <w:rPr>
          <w:lang w:val="fr-FR"/>
        </w:rPr>
        <w:t xml:space="preserve">principalement </w:t>
      </w:r>
      <w:r w:rsidR="008C234D" w:rsidRPr="00941FA7">
        <w:rPr>
          <w:lang w:val="fr-FR"/>
        </w:rPr>
        <w:t>à la pandémie de COVID-19.</w:t>
      </w:r>
    </w:p>
    <w:p w:rsidR="00F64D2D" w:rsidRPr="00941FA7" w:rsidRDefault="00F64D2D" w:rsidP="00473A2B">
      <w:pPr>
        <w:ind w:left="0" w:firstLine="0"/>
        <w:rPr>
          <w:lang w:val="fr-FR"/>
        </w:rPr>
      </w:pPr>
    </w:p>
    <w:p w:rsidR="00163F72" w:rsidRPr="00941FA7" w:rsidRDefault="006712F6" w:rsidP="00EC4FE8">
      <w:pPr>
        <w:keepNext/>
        <w:ind w:left="0" w:firstLine="0"/>
        <w:rPr>
          <w:i/>
          <w:lang w:val="fr-FR"/>
        </w:rPr>
      </w:pPr>
      <w:r w:rsidRPr="00941FA7">
        <w:rPr>
          <w:i/>
          <w:lang w:val="fr-FR"/>
        </w:rPr>
        <w:t>Table</w:t>
      </w:r>
      <w:r w:rsidR="002D673E" w:rsidRPr="00941FA7">
        <w:rPr>
          <w:i/>
          <w:lang w:val="fr-FR"/>
        </w:rPr>
        <w:t>au</w:t>
      </w:r>
      <w:r w:rsidRPr="00941FA7">
        <w:rPr>
          <w:i/>
          <w:lang w:val="fr-FR"/>
        </w:rPr>
        <w:t xml:space="preserve"> 1</w:t>
      </w:r>
      <w:r w:rsidR="002D673E" w:rsidRPr="00941FA7">
        <w:rPr>
          <w:i/>
          <w:lang w:val="fr-FR"/>
        </w:rPr>
        <w:t> </w:t>
      </w:r>
      <w:r w:rsidRPr="00941FA7">
        <w:rPr>
          <w:i/>
          <w:lang w:val="fr-FR"/>
        </w:rPr>
        <w:t xml:space="preserve">: </w:t>
      </w:r>
      <w:r w:rsidR="004F0683" w:rsidRPr="00941FA7">
        <w:rPr>
          <w:i/>
          <w:lang w:val="fr-FR"/>
        </w:rPr>
        <w:t>Synthèse</w:t>
      </w:r>
      <w:r w:rsidR="002D673E" w:rsidRPr="00941FA7">
        <w:rPr>
          <w:i/>
          <w:lang w:val="fr-FR"/>
        </w:rPr>
        <w:t xml:space="preserve"> des fonds préengagés du budget administratif pour 2021 et des économies réalisées sur le budget triennal 2019-2021</w:t>
      </w:r>
      <w:r w:rsidR="00FB0D9D" w:rsidRPr="00941FA7">
        <w:rPr>
          <w:i/>
          <w:lang w:val="fr-FR"/>
        </w:rPr>
        <w:br/>
      </w:r>
      <w:r w:rsidRPr="00941FA7">
        <w:rPr>
          <w:i/>
          <w:lang w:val="fr-FR"/>
        </w:rPr>
        <w:t>(</w:t>
      </w:r>
      <w:r w:rsidR="002D673E" w:rsidRPr="00941FA7">
        <w:rPr>
          <w:i/>
          <w:lang w:val="fr-FR"/>
        </w:rPr>
        <w:t>en milliers de</w:t>
      </w:r>
      <w:r w:rsidRPr="00941FA7">
        <w:rPr>
          <w:i/>
          <w:lang w:val="fr-FR"/>
        </w:rPr>
        <w:t xml:space="preserve"> CHF, inclu</w:t>
      </w:r>
      <w:r w:rsidR="002D673E" w:rsidRPr="00941FA7">
        <w:rPr>
          <w:i/>
          <w:lang w:val="fr-FR"/>
        </w:rPr>
        <w:t xml:space="preserve">ant d’éventuels écarts d’arrondis) </w:t>
      </w:r>
    </w:p>
    <w:tbl>
      <w:tblPr>
        <w:tblW w:w="9498" w:type="dxa"/>
        <w:tblInd w:w="-5" w:type="dxa"/>
        <w:tblLayout w:type="fixed"/>
        <w:tblLook w:val="04A0" w:firstRow="1" w:lastRow="0" w:firstColumn="1" w:lastColumn="0" w:noHBand="0" w:noVBand="1"/>
      </w:tblPr>
      <w:tblGrid>
        <w:gridCol w:w="1560"/>
        <w:gridCol w:w="1370"/>
        <w:gridCol w:w="1152"/>
        <w:gridCol w:w="1588"/>
        <w:gridCol w:w="3828"/>
      </w:tblGrid>
      <w:tr w:rsidR="006712F6" w:rsidRPr="008939B8" w:rsidTr="00375CFF">
        <w:trPr>
          <w:cantSplit/>
          <w:tblHeader/>
        </w:trPr>
        <w:tc>
          <w:tcPr>
            <w:tcW w:w="15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712F6" w:rsidRPr="00941FA7" w:rsidRDefault="00B30CFD" w:rsidP="006712F6">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Catégorie / Dé</w:t>
            </w:r>
            <w:r w:rsidR="006712F6" w:rsidRPr="00941FA7">
              <w:rPr>
                <w:rFonts w:eastAsia="Times New Roman" w:cs="Calibri"/>
                <w:b/>
                <w:bCs/>
                <w:color w:val="000000"/>
                <w:sz w:val="20"/>
                <w:szCs w:val="20"/>
                <w:lang w:val="fr-FR" w:eastAsia="en-GB"/>
              </w:rPr>
              <w:t>part</w:t>
            </w:r>
            <w:r w:rsidRPr="00941FA7">
              <w:rPr>
                <w:rFonts w:eastAsia="Times New Roman" w:cs="Calibri"/>
                <w:b/>
                <w:bCs/>
                <w:color w:val="000000"/>
                <w:sz w:val="20"/>
                <w:szCs w:val="20"/>
                <w:lang w:val="fr-FR" w:eastAsia="en-GB"/>
              </w:rPr>
              <w:t>e</w:t>
            </w:r>
            <w:r w:rsidR="006712F6" w:rsidRPr="00941FA7">
              <w:rPr>
                <w:rFonts w:eastAsia="Times New Roman" w:cs="Calibri"/>
                <w:b/>
                <w:bCs/>
                <w:color w:val="000000"/>
                <w:sz w:val="20"/>
                <w:szCs w:val="20"/>
                <w:lang w:val="fr-FR" w:eastAsia="en-GB"/>
              </w:rPr>
              <w:t>ment</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rsidR="006712F6" w:rsidRPr="00941FA7" w:rsidRDefault="00810392" w:rsidP="006862C9">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Fonds prée</w:t>
            </w:r>
            <w:r w:rsidR="006862C9" w:rsidRPr="00941FA7">
              <w:rPr>
                <w:rFonts w:eastAsia="Times New Roman" w:cs="Calibri"/>
                <w:b/>
                <w:bCs/>
                <w:sz w:val="20"/>
                <w:szCs w:val="20"/>
                <w:lang w:val="fr-FR" w:eastAsia="en-GB"/>
              </w:rPr>
              <w:t xml:space="preserve">ngagés/ planifiés en </w:t>
            </w:r>
            <w:r w:rsidR="00782369" w:rsidRPr="00941FA7">
              <w:rPr>
                <w:rFonts w:eastAsia="Times New Roman" w:cs="Calibri"/>
                <w:b/>
                <w:bCs/>
                <w:sz w:val="20"/>
                <w:szCs w:val="20"/>
                <w:lang w:val="fr-FR" w:eastAsia="en-GB"/>
              </w:rPr>
              <w:t>2021</w:t>
            </w:r>
            <w:r w:rsidR="006862C9" w:rsidRPr="00941FA7">
              <w:rPr>
                <w:rFonts w:eastAsia="Times New Roman" w:cs="Calibri"/>
                <w:b/>
                <w:bCs/>
                <w:sz w:val="20"/>
                <w:szCs w:val="20"/>
                <w:lang w:val="fr-FR" w:eastAsia="en-GB"/>
              </w:rPr>
              <w:t xml:space="preserve"> à dépenser en</w:t>
            </w:r>
            <w:r w:rsidR="006712F6" w:rsidRPr="00941FA7">
              <w:rPr>
                <w:rFonts w:eastAsia="Times New Roman" w:cs="Calibri"/>
                <w:b/>
                <w:bCs/>
                <w:sz w:val="20"/>
                <w:szCs w:val="20"/>
                <w:lang w:val="fr-FR" w:eastAsia="en-GB"/>
              </w:rPr>
              <w:t xml:space="preserve"> </w:t>
            </w:r>
            <w:r w:rsidR="00782369" w:rsidRPr="00941FA7">
              <w:rPr>
                <w:rFonts w:eastAsia="Times New Roman" w:cs="Calibri"/>
                <w:b/>
                <w:bCs/>
                <w:sz w:val="20"/>
                <w:szCs w:val="20"/>
                <w:lang w:val="fr-FR" w:eastAsia="en-GB"/>
              </w:rPr>
              <w:t>2022</w:t>
            </w:r>
            <w:r w:rsidR="006712F6" w:rsidRPr="00941FA7">
              <w:rPr>
                <w:rFonts w:eastAsia="Times New Roman" w:cs="Calibri"/>
                <w:b/>
                <w:bCs/>
                <w:sz w:val="20"/>
                <w:szCs w:val="20"/>
                <w:lang w:val="fr-FR" w:eastAsia="en-GB"/>
              </w:rPr>
              <w:t>(A)</w:t>
            </w:r>
          </w:p>
        </w:tc>
        <w:tc>
          <w:tcPr>
            <w:tcW w:w="1152" w:type="dxa"/>
            <w:tcBorders>
              <w:top w:val="single" w:sz="4" w:space="0" w:color="auto"/>
              <w:left w:val="nil"/>
              <w:bottom w:val="single" w:sz="4" w:space="0" w:color="auto"/>
              <w:right w:val="single" w:sz="4" w:space="0" w:color="auto"/>
            </w:tcBorders>
            <w:shd w:val="clear" w:color="000000" w:fill="DBE5F1"/>
            <w:vAlign w:val="center"/>
            <w:hideMark/>
          </w:tcPr>
          <w:p w:rsidR="006712F6" w:rsidRPr="00941FA7" w:rsidRDefault="006862C9" w:rsidP="00FB0D9D">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Économies </w:t>
            </w:r>
            <w:r w:rsidR="00375CFF" w:rsidRPr="00941FA7">
              <w:rPr>
                <w:rFonts w:eastAsia="Times New Roman" w:cs="Calibri"/>
                <w:b/>
                <w:bCs/>
                <w:sz w:val="20"/>
                <w:szCs w:val="20"/>
                <w:lang w:val="fr-FR" w:eastAsia="en-GB"/>
              </w:rPr>
              <w:t>réalisée</w:t>
            </w:r>
            <w:r w:rsidRPr="00941FA7">
              <w:rPr>
                <w:rFonts w:eastAsia="Times New Roman" w:cs="Calibri"/>
                <w:b/>
                <w:bCs/>
                <w:sz w:val="20"/>
                <w:szCs w:val="20"/>
                <w:lang w:val="fr-FR" w:eastAsia="en-GB"/>
              </w:rPr>
              <w:t>s en</w:t>
            </w:r>
            <w:r w:rsidR="0065726C" w:rsidRPr="00941FA7">
              <w:rPr>
                <w:rFonts w:eastAsia="Times New Roman" w:cs="Calibri"/>
                <w:b/>
                <w:bCs/>
                <w:sz w:val="20"/>
                <w:szCs w:val="20"/>
                <w:lang w:val="fr-FR" w:eastAsia="en-GB"/>
              </w:rPr>
              <w:t xml:space="preserve"> </w:t>
            </w:r>
            <w:r w:rsidR="008534A7" w:rsidRPr="00941FA7">
              <w:rPr>
                <w:rFonts w:eastAsia="Times New Roman" w:cs="Calibri"/>
                <w:b/>
                <w:bCs/>
                <w:sz w:val="20"/>
                <w:szCs w:val="20"/>
                <w:lang w:val="fr-FR" w:eastAsia="en-GB"/>
              </w:rPr>
              <w:t>2019-</w:t>
            </w:r>
            <w:r w:rsidR="0065726C" w:rsidRPr="00941FA7">
              <w:rPr>
                <w:rFonts w:eastAsia="Times New Roman" w:cs="Calibri"/>
                <w:b/>
                <w:bCs/>
                <w:sz w:val="20"/>
                <w:szCs w:val="20"/>
                <w:lang w:val="fr-FR" w:eastAsia="en-GB"/>
              </w:rPr>
              <w:t xml:space="preserve">2021 </w:t>
            </w:r>
            <w:r w:rsidR="006712F6" w:rsidRPr="00941FA7">
              <w:rPr>
                <w:rFonts w:eastAsia="Times New Roman" w:cs="Calibri"/>
                <w:b/>
                <w:bCs/>
                <w:sz w:val="20"/>
                <w:szCs w:val="20"/>
                <w:lang w:val="fr-FR" w:eastAsia="en-GB"/>
              </w:rPr>
              <w:t>(B)</w:t>
            </w:r>
          </w:p>
        </w:tc>
        <w:tc>
          <w:tcPr>
            <w:tcW w:w="1588" w:type="dxa"/>
            <w:tcBorders>
              <w:top w:val="single" w:sz="4" w:space="0" w:color="auto"/>
              <w:left w:val="nil"/>
              <w:bottom w:val="single" w:sz="4" w:space="0" w:color="auto"/>
              <w:right w:val="single" w:sz="4" w:space="0" w:color="auto"/>
            </w:tcBorders>
            <w:shd w:val="clear" w:color="000000" w:fill="DBE5F1"/>
            <w:vAlign w:val="center"/>
            <w:hideMark/>
          </w:tcPr>
          <w:p w:rsidR="006712F6" w:rsidRPr="00941FA7" w:rsidRDefault="00375CFF" w:rsidP="00375CFF">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Total des fonds préengagés 2022 et économies </w:t>
            </w:r>
            <w:r w:rsidR="008534A7" w:rsidRPr="00941FA7">
              <w:rPr>
                <w:rFonts w:eastAsia="Times New Roman" w:cs="Calibri"/>
                <w:b/>
                <w:bCs/>
                <w:sz w:val="20"/>
                <w:szCs w:val="20"/>
                <w:lang w:val="fr-FR" w:eastAsia="en-GB"/>
              </w:rPr>
              <w:t>2019-</w:t>
            </w:r>
            <w:r w:rsidRPr="00941FA7">
              <w:rPr>
                <w:rFonts w:eastAsia="Times New Roman" w:cs="Calibri"/>
                <w:b/>
                <w:bCs/>
                <w:sz w:val="20"/>
                <w:szCs w:val="20"/>
                <w:lang w:val="fr-FR" w:eastAsia="en-GB"/>
              </w:rPr>
              <w:t>2021</w:t>
            </w:r>
            <w:r w:rsidR="006712F6" w:rsidRPr="00941FA7">
              <w:rPr>
                <w:rFonts w:eastAsia="Times New Roman" w:cs="Calibri"/>
                <w:b/>
                <w:bCs/>
                <w:sz w:val="20"/>
                <w:szCs w:val="20"/>
                <w:lang w:val="fr-FR" w:eastAsia="en-GB"/>
              </w:rPr>
              <w:br/>
              <w:t>(C=A+B)</w:t>
            </w:r>
          </w:p>
        </w:tc>
        <w:tc>
          <w:tcPr>
            <w:tcW w:w="3828" w:type="dxa"/>
            <w:tcBorders>
              <w:top w:val="single" w:sz="4" w:space="0" w:color="auto"/>
              <w:left w:val="nil"/>
              <w:bottom w:val="single" w:sz="4" w:space="0" w:color="auto"/>
              <w:right w:val="single" w:sz="4" w:space="0" w:color="auto"/>
            </w:tcBorders>
            <w:shd w:val="clear" w:color="000000" w:fill="DBE5F1"/>
            <w:noWrap/>
            <w:vAlign w:val="center"/>
            <w:hideMark/>
          </w:tcPr>
          <w:p w:rsidR="006712F6" w:rsidRPr="00941FA7" w:rsidRDefault="006712F6" w:rsidP="008534A7">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Comment</w:t>
            </w:r>
            <w:r w:rsidR="00375CFF" w:rsidRPr="00941FA7">
              <w:rPr>
                <w:rFonts w:eastAsia="Times New Roman" w:cs="Calibri"/>
                <w:b/>
                <w:bCs/>
                <w:sz w:val="20"/>
                <w:szCs w:val="20"/>
                <w:lang w:val="fr-FR" w:eastAsia="en-GB"/>
              </w:rPr>
              <w:t xml:space="preserve">aires sur les fonds préengagés/ planifiés </w:t>
            </w:r>
            <w:r w:rsidR="008534A7" w:rsidRPr="00941FA7">
              <w:rPr>
                <w:rFonts w:eastAsia="Times New Roman" w:cs="Calibri"/>
                <w:b/>
                <w:bCs/>
                <w:sz w:val="20"/>
                <w:szCs w:val="20"/>
                <w:lang w:val="fr-FR" w:eastAsia="en-GB"/>
              </w:rPr>
              <w:t xml:space="preserve">pour 2022 </w:t>
            </w:r>
            <w:r w:rsidR="00375CFF" w:rsidRPr="00941FA7">
              <w:rPr>
                <w:rFonts w:eastAsia="Times New Roman" w:cs="Calibri"/>
                <w:b/>
                <w:bCs/>
                <w:sz w:val="20"/>
                <w:szCs w:val="20"/>
                <w:lang w:val="fr-FR" w:eastAsia="en-GB"/>
              </w:rPr>
              <w:t xml:space="preserve">et les économies </w:t>
            </w:r>
            <w:r w:rsidR="008534A7" w:rsidRPr="00941FA7">
              <w:rPr>
                <w:rFonts w:eastAsia="Times New Roman" w:cs="Calibri"/>
                <w:b/>
                <w:bCs/>
                <w:sz w:val="20"/>
                <w:szCs w:val="20"/>
                <w:lang w:val="fr-FR" w:eastAsia="en-GB"/>
              </w:rPr>
              <w:t xml:space="preserve">réalisées en 2019-2021 </w:t>
            </w:r>
            <w:r w:rsidR="003C73B9" w:rsidRPr="00941FA7">
              <w:rPr>
                <w:rFonts w:eastAsia="Times New Roman" w:cs="Calibri"/>
                <w:b/>
                <w:bCs/>
                <w:sz w:val="20"/>
                <w:szCs w:val="20"/>
                <w:lang w:val="fr-FR" w:eastAsia="en-GB"/>
              </w:rPr>
              <w:t>(économies résultant du report de fonds accumulés au cours de la période triennale</w:t>
            </w:r>
            <w:r w:rsidR="007A46B4" w:rsidRPr="00941FA7">
              <w:rPr>
                <w:rFonts w:eastAsia="Times New Roman" w:cs="Calibri"/>
                <w:b/>
                <w:bCs/>
                <w:sz w:val="20"/>
                <w:szCs w:val="20"/>
                <w:lang w:val="fr-FR" w:eastAsia="en-GB"/>
              </w:rPr>
              <w:t>)</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3C73B9" w:rsidP="008F7FC4">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Cadres supérieurs et gouvernance</w:t>
            </w:r>
          </w:p>
        </w:tc>
        <w:tc>
          <w:tcPr>
            <w:tcW w:w="1370" w:type="dxa"/>
            <w:tcBorders>
              <w:top w:val="nil"/>
              <w:left w:val="nil"/>
              <w:bottom w:val="single" w:sz="4" w:space="0" w:color="auto"/>
              <w:right w:val="single" w:sz="4" w:space="0" w:color="auto"/>
            </w:tcBorders>
            <w:shd w:val="clear" w:color="auto" w:fill="auto"/>
            <w:hideMark/>
          </w:tcPr>
          <w:p w:rsidR="006712F6" w:rsidRPr="00941FA7" w:rsidRDefault="006712F6" w:rsidP="00FB0D9D">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152" w:type="dxa"/>
            <w:tcBorders>
              <w:top w:val="nil"/>
              <w:left w:val="nil"/>
              <w:bottom w:val="single" w:sz="4" w:space="0" w:color="auto"/>
              <w:right w:val="single" w:sz="4" w:space="0" w:color="auto"/>
            </w:tcBorders>
            <w:shd w:val="clear" w:color="auto" w:fill="auto"/>
            <w:hideMark/>
          </w:tcPr>
          <w:p w:rsidR="006712F6" w:rsidRPr="00941FA7" w:rsidRDefault="000C79DC" w:rsidP="00FB0D9D">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274</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0C79DC" w:rsidP="00FB0D9D">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274</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3C73B9" w:rsidP="003C73B9">
            <w:pPr>
              <w:ind w:left="0" w:firstLine="0"/>
              <w:rPr>
                <w:rFonts w:eastAsia="Times New Roman" w:cs="Calibri"/>
                <w:color w:val="000000"/>
                <w:sz w:val="20"/>
                <w:szCs w:val="20"/>
                <w:lang w:val="fr-FR" w:eastAsia="en-GB"/>
              </w:rPr>
            </w:pPr>
            <w:r w:rsidRPr="00941FA7">
              <w:rPr>
                <w:rFonts w:eastAsia="Times New Roman" w:cs="Calibri"/>
                <w:b/>
                <w:bCs/>
                <w:color w:val="000000"/>
                <w:sz w:val="20"/>
                <w:szCs w:val="20"/>
                <w:lang w:val="fr-FR" w:eastAsia="en-GB"/>
              </w:rPr>
              <w:t>Économies </w:t>
            </w:r>
            <w:r w:rsidR="006712F6" w:rsidRPr="00941FA7">
              <w:rPr>
                <w:rFonts w:eastAsia="Times New Roman" w:cs="Calibri"/>
                <w:b/>
                <w:bCs/>
                <w:color w:val="000000"/>
                <w:sz w:val="20"/>
                <w:szCs w:val="20"/>
                <w:lang w:val="fr-FR" w:eastAsia="en-GB"/>
              </w:rPr>
              <w:t>:</w:t>
            </w:r>
            <w:r w:rsidR="006712F6" w:rsidRPr="00941FA7">
              <w:rPr>
                <w:rFonts w:eastAsia="Times New Roman" w:cs="Calibri"/>
                <w:color w:val="000000"/>
                <w:sz w:val="20"/>
                <w:szCs w:val="20"/>
                <w:lang w:val="fr-FR" w:eastAsia="en-GB"/>
              </w:rPr>
              <w:t xml:space="preserve"> (i) </w:t>
            </w:r>
            <w:r w:rsidRPr="00941FA7">
              <w:rPr>
                <w:rFonts w:eastAsia="Times New Roman" w:cs="Calibri"/>
                <w:color w:val="000000"/>
                <w:sz w:val="20"/>
                <w:szCs w:val="20"/>
                <w:lang w:val="fr-FR" w:eastAsia="en-GB"/>
              </w:rPr>
              <w:t>vacance</w:t>
            </w:r>
            <w:r w:rsidR="007A46B4" w:rsidRPr="00941FA7">
              <w:rPr>
                <w:rFonts w:eastAsia="Times New Roman" w:cs="Calibri"/>
                <w:color w:val="000000"/>
                <w:sz w:val="20"/>
                <w:szCs w:val="20"/>
                <w:lang w:val="fr-FR" w:eastAsia="en-GB"/>
              </w:rPr>
              <w:t xml:space="preserve">s </w:t>
            </w:r>
            <w:r w:rsidR="002C6F8E" w:rsidRPr="00941FA7">
              <w:rPr>
                <w:rFonts w:eastAsia="Times New Roman" w:cs="Calibri"/>
                <w:color w:val="000000"/>
                <w:sz w:val="20"/>
                <w:szCs w:val="20"/>
                <w:lang w:val="fr-FR" w:eastAsia="en-GB"/>
              </w:rPr>
              <w:t>de postes et a</w:t>
            </w:r>
            <w:r w:rsidRPr="00941FA7">
              <w:rPr>
                <w:rFonts w:eastAsia="Times New Roman" w:cs="Calibri"/>
                <w:color w:val="000000"/>
                <w:sz w:val="20"/>
                <w:szCs w:val="20"/>
                <w:lang w:val="fr-FR" w:eastAsia="en-GB"/>
              </w:rPr>
              <w:t>just</w:t>
            </w:r>
            <w:r w:rsidR="002C6F8E" w:rsidRPr="00941FA7">
              <w:rPr>
                <w:rFonts w:eastAsia="Times New Roman" w:cs="Calibri"/>
                <w:color w:val="000000"/>
                <w:sz w:val="20"/>
                <w:szCs w:val="20"/>
                <w:lang w:val="fr-FR" w:eastAsia="en-GB"/>
              </w:rPr>
              <w:t>e</w:t>
            </w:r>
            <w:r w:rsidRPr="00941FA7">
              <w:rPr>
                <w:rFonts w:eastAsia="Times New Roman" w:cs="Calibri"/>
                <w:color w:val="000000"/>
                <w:sz w:val="20"/>
                <w:szCs w:val="20"/>
                <w:lang w:val="fr-FR" w:eastAsia="en-GB"/>
              </w:rPr>
              <w:t>ment</w:t>
            </w:r>
            <w:r w:rsidR="004F0683" w:rsidRPr="00941FA7">
              <w:rPr>
                <w:rFonts w:eastAsia="Times New Roman" w:cs="Calibri"/>
                <w:color w:val="000000"/>
                <w:sz w:val="20"/>
                <w:szCs w:val="20"/>
                <w:lang w:val="fr-FR" w:eastAsia="en-GB"/>
              </w:rPr>
              <w:t>s</w:t>
            </w:r>
            <w:r w:rsidRPr="00941FA7">
              <w:rPr>
                <w:rFonts w:eastAsia="Times New Roman" w:cs="Calibri"/>
                <w:color w:val="000000"/>
                <w:sz w:val="20"/>
                <w:szCs w:val="20"/>
                <w:lang w:val="fr-FR" w:eastAsia="en-GB"/>
              </w:rPr>
              <w:t xml:space="preserve"> de</w:t>
            </w:r>
            <w:r w:rsidR="00941FA7">
              <w:rPr>
                <w:rFonts w:eastAsia="Times New Roman" w:cs="Calibri"/>
                <w:color w:val="000000"/>
                <w:sz w:val="20"/>
                <w:szCs w:val="20"/>
                <w:lang w:val="fr-FR" w:eastAsia="en-GB"/>
              </w:rPr>
              <w:t xml:space="preserve">s prestations liées à l’emploi </w:t>
            </w:r>
            <w:r w:rsidRPr="00941FA7">
              <w:rPr>
                <w:rFonts w:eastAsia="Times New Roman" w:cs="Calibri"/>
                <w:color w:val="000000"/>
                <w:sz w:val="20"/>
                <w:szCs w:val="20"/>
                <w:lang w:val="fr-FR" w:eastAsia="en-GB"/>
              </w:rPr>
              <w:t xml:space="preserve">et </w:t>
            </w:r>
            <w:r w:rsidR="006712F6" w:rsidRPr="00941FA7">
              <w:rPr>
                <w:rFonts w:eastAsia="Times New Roman" w:cs="Calibri"/>
                <w:color w:val="000000"/>
                <w:sz w:val="20"/>
                <w:szCs w:val="20"/>
                <w:lang w:val="fr-FR" w:eastAsia="en-GB"/>
              </w:rPr>
              <w:t xml:space="preserve">(ii) </w:t>
            </w:r>
            <w:r w:rsidRPr="00941FA7">
              <w:rPr>
                <w:rFonts w:eastAsia="Times New Roman" w:cs="Calibri"/>
                <w:color w:val="000000"/>
                <w:sz w:val="20"/>
                <w:szCs w:val="20"/>
                <w:lang w:val="fr-FR" w:eastAsia="en-GB"/>
              </w:rPr>
              <w:t xml:space="preserve">diminution importante du nombre des déplacements en raison de la pandémie. </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3C73B9" w:rsidP="003C73B9">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Mobilis</w:t>
            </w:r>
            <w:r w:rsidR="006712F6" w:rsidRPr="00941FA7">
              <w:rPr>
                <w:rFonts w:eastAsia="Times New Roman" w:cs="Calibri"/>
                <w:color w:val="000000"/>
                <w:sz w:val="20"/>
                <w:szCs w:val="20"/>
                <w:lang w:val="fr-FR" w:eastAsia="en-GB"/>
              </w:rPr>
              <w:t xml:space="preserve">ation </w:t>
            </w:r>
            <w:r w:rsidRPr="00941FA7">
              <w:rPr>
                <w:rFonts w:eastAsia="Times New Roman" w:cs="Calibri"/>
                <w:color w:val="000000"/>
                <w:sz w:val="20"/>
                <w:szCs w:val="20"/>
                <w:lang w:val="fr-FR" w:eastAsia="en-GB"/>
              </w:rPr>
              <w:t xml:space="preserve">des ressources et sensibilisation </w:t>
            </w:r>
          </w:p>
        </w:tc>
        <w:tc>
          <w:tcPr>
            <w:tcW w:w="1370" w:type="dxa"/>
            <w:tcBorders>
              <w:top w:val="nil"/>
              <w:left w:val="nil"/>
              <w:bottom w:val="single" w:sz="4" w:space="0" w:color="auto"/>
              <w:right w:val="single" w:sz="4" w:space="0" w:color="auto"/>
            </w:tcBorders>
            <w:shd w:val="clear" w:color="auto" w:fill="auto"/>
            <w:noWrap/>
            <w:hideMark/>
          </w:tcPr>
          <w:p w:rsidR="006712F6" w:rsidRPr="00941FA7" w:rsidRDefault="000C79DC"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211</w:t>
            </w:r>
          </w:p>
        </w:tc>
        <w:tc>
          <w:tcPr>
            <w:tcW w:w="1152" w:type="dxa"/>
            <w:tcBorders>
              <w:top w:val="nil"/>
              <w:left w:val="nil"/>
              <w:bottom w:val="single" w:sz="4" w:space="0" w:color="auto"/>
              <w:right w:val="single" w:sz="4" w:space="0" w:color="auto"/>
            </w:tcBorders>
            <w:shd w:val="clear" w:color="auto" w:fill="auto"/>
            <w:noWrap/>
            <w:hideMark/>
          </w:tcPr>
          <w:p w:rsidR="006712F6" w:rsidRPr="00941FA7" w:rsidRDefault="000C79DC"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151</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0C79DC" w:rsidP="00FB0D9D">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362</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FB0D9D" w:rsidP="00B37BA4">
            <w:pPr>
              <w:ind w:left="0" w:firstLine="0"/>
              <w:rPr>
                <w:rFonts w:eastAsia="Times New Roman" w:cs="Calibri"/>
                <w:color w:val="000000"/>
                <w:sz w:val="20"/>
                <w:szCs w:val="20"/>
                <w:lang w:val="fr-FR" w:eastAsia="en-GB"/>
              </w:rPr>
            </w:pPr>
            <w:r w:rsidRPr="00941FA7">
              <w:rPr>
                <w:rFonts w:eastAsia="Times New Roman" w:cs="Calibri"/>
                <w:b/>
                <w:bCs/>
                <w:color w:val="000000"/>
                <w:sz w:val="20"/>
                <w:szCs w:val="20"/>
                <w:lang w:val="fr-FR" w:eastAsia="en-GB"/>
              </w:rPr>
              <w:t>P</w:t>
            </w:r>
            <w:r w:rsidR="006712F6" w:rsidRPr="00941FA7">
              <w:rPr>
                <w:rFonts w:eastAsia="Times New Roman" w:cs="Calibri"/>
                <w:b/>
                <w:bCs/>
                <w:color w:val="000000"/>
                <w:sz w:val="20"/>
                <w:szCs w:val="20"/>
                <w:lang w:val="fr-FR" w:eastAsia="en-GB"/>
              </w:rPr>
              <w:t>r</w:t>
            </w:r>
            <w:r w:rsidR="003C73B9" w:rsidRPr="00941FA7">
              <w:rPr>
                <w:rFonts w:eastAsia="Times New Roman" w:cs="Calibri"/>
                <w:b/>
                <w:bCs/>
                <w:color w:val="000000"/>
                <w:sz w:val="20"/>
                <w:szCs w:val="20"/>
                <w:lang w:val="fr-FR" w:eastAsia="en-GB"/>
              </w:rPr>
              <w:t xml:space="preserve">éengagés/planifiés : </w:t>
            </w:r>
            <w:r w:rsidR="006712F6" w:rsidRPr="00941FA7">
              <w:rPr>
                <w:rFonts w:eastAsia="Times New Roman" w:cs="Calibri"/>
                <w:color w:val="000000"/>
                <w:sz w:val="20"/>
                <w:szCs w:val="20"/>
                <w:lang w:val="fr-FR" w:eastAsia="en-GB"/>
              </w:rPr>
              <w:t xml:space="preserve">(i) </w:t>
            </w:r>
            <w:r w:rsidR="000C79DC" w:rsidRPr="00941FA7">
              <w:rPr>
                <w:rFonts w:eastAsia="Times New Roman" w:cs="Calibri"/>
                <w:color w:val="000000"/>
                <w:sz w:val="20"/>
                <w:szCs w:val="20"/>
                <w:lang w:val="fr-FR" w:eastAsia="en-GB"/>
              </w:rPr>
              <w:t>86</w:t>
            </w:r>
            <w:r w:rsidR="003C73B9" w:rsidRPr="00941FA7">
              <w:rPr>
                <w:rFonts w:eastAsia="Times New Roman" w:cs="Calibri"/>
                <w:color w:val="000000"/>
                <w:sz w:val="20"/>
                <w:szCs w:val="20"/>
                <w:lang w:val="fr-FR" w:eastAsia="en-GB"/>
              </w:rPr>
              <w:t xml:space="preserve"> 000 </w:t>
            </w:r>
            <w:r w:rsidR="00B37BA4" w:rsidRPr="00941FA7">
              <w:rPr>
                <w:rFonts w:eastAsia="Times New Roman" w:cs="Calibri"/>
                <w:color w:val="000000"/>
                <w:sz w:val="20"/>
                <w:szCs w:val="20"/>
                <w:lang w:val="fr-FR" w:eastAsia="en-GB"/>
              </w:rPr>
              <w:t>redéveloppement</w:t>
            </w:r>
            <w:r w:rsidR="00F769B0" w:rsidRPr="00941FA7">
              <w:rPr>
                <w:rFonts w:eastAsia="Times New Roman" w:cs="Calibri"/>
                <w:color w:val="000000"/>
                <w:sz w:val="20"/>
                <w:szCs w:val="20"/>
                <w:lang w:val="fr-FR" w:eastAsia="en-GB"/>
              </w:rPr>
              <w:t xml:space="preserve"> web</w:t>
            </w:r>
            <w:r w:rsidR="003C73B9" w:rsidRPr="00941FA7">
              <w:rPr>
                <w:rFonts w:eastAsia="Times New Roman" w:cs="Calibri"/>
                <w:color w:val="000000"/>
                <w:sz w:val="20"/>
                <w:szCs w:val="20"/>
                <w:lang w:val="fr-FR" w:eastAsia="en-GB"/>
              </w:rPr>
              <w:t xml:space="preserve"> </w:t>
            </w:r>
            <w:r w:rsidR="006712F6" w:rsidRPr="00941FA7">
              <w:rPr>
                <w:rFonts w:eastAsia="Times New Roman" w:cs="Calibri"/>
                <w:color w:val="000000"/>
                <w:sz w:val="20"/>
                <w:szCs w:val="20"/>
                <w:lang w:val="fr-FR" w:eastAsia="en-GB"/>
              </w:rPr>
              <w:t xml:space="preserve">(ii) </w:t>
            </w:r>
            <w:r w:rsidR="002D1995" w:rsidRPr="00941FA7">
              <w:rPr>
                <w:rFonts w:eastAsia="Times New Roman" w:cs="Calibri"/>
                <w:color w:val="000000"/>
                <w:sz w:val="20"/>
                <w:szCs w:val="20"/>
                <w:lang w:val="fr-FR" w:eastAsia="en-GB"/>
              </w:rPr>
              <w:t>12</w:t>
            </w:r>
            <w:r w:rsidR="003C73B9" w:rsidRPr="00941FA7">
              <w:rPr>
                <w:rFonts w:eastAsia="Times New Roman" w:cs="Calibri"/>
                <w:color w:val="000000"/>
                <w:sz w:val="20"/>
                <w:szCs w:val="20"/>
                <w:lang w:val="fr-FR" w:eastAsia="en-GB"/>
              </w:rPr>
              <w:t> 000</w:t>
            </w:r>
            <w:r w:rsidR="002D1995" w:rsidRPr="00941FA7">
              <w:rPr>
                <w:rFonts w:eastAsia="Times New Roman" w:cs="Calibri"/>
                <w:color w:val="000000"/>
                <w:sz w:val="20"/>
                <w:szCs w:val="20"/>
                <w:lang w:val="fr-FR" w:eastAsia="en-GB"/>
              </w:rPr>
              <w:t xml:space="preserve"> </w:t>
            </w:r>
            <w:r w:rsidR="004F0683" w:rsidRPr="00941FA7">
              <w:rPr>
                <w:rFonts w:eastAsia="Times New Roman" w:cs="Calibri"/>
                <w:color w:val="000000"/>
                <w:sz w:val="20"/>
                <w:szCs w:val="20"/>
                <w:lang w:val="fr-FR" w:eastAsia="en-GB"/>
              </w:rPr>
              <w:t>Journée mondiale des zones h</w:t>
            </w:r>
            <w:r w:rsidR="003C73B9" w:rsidRPr="00941FA7">
              <w:rPr>
                <w:rFonts w:eastAsia="Times New Roman" w:cs="Calibri"/>
                <w:color w:val="000000"/>
                <w:sz w:val="20"/>
                <w:szCs w:val="20"/>
                <w:lang w:val="fr-FR" w:eastAsia="en-GB"/>
              </w:rPr>
              <w:t>umides</w:t>
            </w:r>
            <w:r w:rsidR="006712F6" w:rsidRPr="00941FA7">
              <w:rPr>
                <w:rFonts w:eastAsia="Times New Roman" w:cs="Calibri"/>
                <w:color w:val="000000"/>
                <w:sz w:val="20"/>
                <w:szCs w:val="20"/>
                <w:lang w:val="fr-FR" w:eastAsia="en-GB"/>
              </w:rPr>
              <w:t xml:space="preserve">, (iii) </w:t>
            </w:r>
            <w:r w:rsidR="002D1995" w:rsidRPr="00941FA7">
              <w:rPr>
                <w:rFonts w:eastAsia="Times New Roman" w:cs="Calibri"/>
                <w:color w:val="000000"/>
                <w:sz w:val="20"/>
                <w:szCs w:val="20"/>
                <w:lang w:val="fr-FR" w:eastAsia="en-GB"/>
              </w:rPr>
              <w:t>56</w:t>
            </w:r>
            <w:r w:rsidR="003C73B9" w:rsidRPr="00941FA7">
              <w:rPr>
                <w:rFonts w:eastAsia="Times New Roman" w:cs="Calibri"/>
                <w:color w:val="000000"/>
                <w:sz w:val="20"/>
                <w:szCs w:val="20"/>
                <w:lang w:val="fr-FR" w:eastAsia="en-GB"/>
              </w:rPr>
              <w:t xml:space="preserve"> 000</w:t>
            </w:r>
            <w:r w:rsidR="002D1995" w:rsidRPr="00941FA7">
              <w:rPr>
                <w:rFonts w:eastAsia="Times New Roman" w:cs="Calibri"/>
                <w:color w:val="000000"/>
                <w:sz w:val="20"/>
                <w:szCs w:val="20"/>
                <w:lang w:val="fr-FR" w:eastAsia="en-GB"/>
              </w:rPr>
              <w:t xml:space="preserve"> </w:t>
            </w:r>
            <w:r w:rsidR="006712F6" w:rsidRPr="00941FA7">
              <w:rPr>
                <w:rFonts w:eastAsia="Times New Roman" w:cs="Calibri"/>
                <w:color w:val="000000"/>
                <w:sz w:val="20"/>
                <w:szCs w:val="20"/>
                <w:lang w:val="fr-FR" w:eastAsia="en-GB"/>
              </w:rPr>
              <w:t>Program</w:t>
            </w:r>
            <w:r w:rsidR="00CE1195" w:rsidRPr="00941FA7">
              <w:rPr>
                <w:rFonts w:eastAsia="Times New Roman" w:cs="Calibri"/>
                <w:color w:val="000000"/>
                <w:sz w:val="20"/>
                <w:szCs w:val="20"/>
                <w:lang w:val="fr-FR" w:eastAsia="en-GB"/>
              </w:rPr>
              <w:t>me</w:t>
            </w:r>
            <w:r w:rsidR="003C73B9" w:rsidRPr="00941FA7">
              <w:rPr>
                <w:rFonts w:eastAsia="Times New Roman" w:cs="Calibri"/>
                <w:color w:val="000000"/>
                <w:sz w:val="20"/>
                <w:szCs w:val="20"/>
                <w:lang w:val="fr-FR" w:eastAsia="en-GB"/>
              </w:rPr>
              <w:t xml:space="preserve"> CESP</w:t>
            </w:r>
            <w:r w:rsidRPr="00941FA7">
              <w:rPr>
                <w:rFonts w:eastAsia="Times New Roman" w:cs="Calibri"/>
                <w:color w:val="000000"/>
                <w:sz w:val="20"/>
                <w:szCs w:val="20"/>
                <w:lang w:val="fr-FR" w:eastAsia="en-GB"/>
              </w:rPr>
              <w:t>,</w:t>
            </w:r>
            <w:r w:rsidR="006712F6" w:rsidRPr="00941FA7">
              <w:rPr>
                <w:rFonts w:eastAsia="Times New Roman" w:cs="Calibri"/>
                <w:color w:val="000000"/>
                <w:sz w:val="20"/>
                <w:szCs w:val="20"/>
                <w:lang w:val="fr-FR" w:eastAsia="en-GB"/>
              </w:rPr>
              <w:t xml:space="preserve"> </w:t>
            </w:r>
            <w:r w:rsidR="003C73B9" w:rsidRPr="00941FA7">
              <w:rPr>
                <w:rFonts w:eastAsia="Times New Roman" w:cs="Calibri"/>
                <w:color w:val="000000"/>
                <w:sz w:val="20"/>
                <w:szCs w:val="20"/>
                <w:lang w:val="fr-FR" w:eastAsia="en-GB"/>
              </w:rPr>
              <w:t>et</w:t>
            </w:r>
            <w:r w:rsidR="006712F6" w:rsidRPr="00941FA7">
              <w:rPr>
                <w:rFonts w:eastAsia="Times New Roman" w:cs="Calibri"/>
                <w:color w:val="000000"/>
                <w:sz w:val="20"/>
                <w:szCs w:val="20"/>
                <w:lang w:val="fr-FR" w:eastAsia="en-GB"/>
              </w:rPr>
              <w:t xml:space="preserve"> (iv) </w:t>
            </w:r>
            <w:r w:rsidR="002D1995" w:rsidRPr="00941FA7">
              <w:rPr>
                <w:rFonts w:eastAsia="Times New Roman" w:cs="Calibri"/>
                <w:color w:val="000000"/>
                <w:sz w:val="20"/>
                <w:szCs w:val="20"/>
                <w:lang w:val="fr-FR" w:eastAsia="en-GB"/>
              </w:rPr>
              <w:t>57</w:t>
            </w:r>
            <w:r w:rsidR="003C73B9" w:rsidRPr="00941FA7">
              <w:rPr>
                <w:rFonts w:eastAsia="Times New Roman" w:cs="Calibri"/>
                <w:color w:val="000000"/>
                <w:sz w:val="20"/>
                <w:szCs w:val="20"/>
                <w:lang w:val="fr-FR" w:eastAsia="en-GB"/>
              </w:rPr>
              <w:t xml:space="preserve"> 000 communications, traductions, publications et établissement de rapports planifiés à titre de préparatifs pour la </w:t>
            </w:r>
            <w:r w:rsidR="006712F6" w:rsidRPr="00941FA7">
              <w:rPr>
                <w:rFonts w:eastAsia="Times New Roman" w:cs="Calibri"/>
                <w:color w:val="000000"/>
                <w:sz w:val="20"/>
                <w:szCs w:val="20"/>
                <w:lang w:val="fr-FR" w:eastAsia="en-GB"/>
              </w:rPr>
              <w:t>COP14</w:t>
            </w:r>
            <w:r w:rsidRPr="00941FA7">
              <w:rPr>
                <w:rFonts w:eastAsia="Times New Roman" w:cs="Calibri"/>
                <w:color w:val="000000"/>
                <w:sz w:val="20"/>
                <w:szCs w:val="20"/>
                <w:lang w:val="fr-FR" w:eastAsia="en-GB"/>
              </w:rPr>
              <w:t>.</w:t>
            </w:r>
            <w:r w:rsidR="006712F6" w:rsidRPr="00941FA7">
              <w:rPr>
                <w:rFonts w:eastAsia="Times New Roman" w:cs="Calibri"/>
                <w:color w:val="000000"/>
                <w:sz w:val="20"/>
                <w:szCs w:val="20"/>
                <w:lang w:val="fr-FR" w:eastAsia="en-GB"/>
              </w:rPr>
              <w:br/>
            </w:r>
            <w:r w:rsidR="004F0683" w:rsidRPr="00941FA7">
              <w:rPr>
                <w:rFonts w:eastAsia="Times New Roman" w:cs="Calibri"/>
                <w:b/>
                <w:bCs/>
                <w:color w:val="000000"/>
                <w:sz w:val="20"/>
                <w:szCs w:val="20"/>
                <w:lang w:val="fr-FR" w:eastAsia="en-GB"/>
              </w:rPr>
              <w:t>Économies </w:t>
            </w:r>
            <w:r w:rsidR="006712F6" w:rsidRPr="00941FA7">
              <w:rPr>
                <w:rFonts w:eastAsia="Times New Roman" w:cs="Calibri"/>
                <w:b/>
                <w:bCs/>
                <w:color w:val="000000"/>
                <w:sz w:val="20"/>
                <w:szCs w:val="20"/>
                <w:lang w:val="fr-FR" w:eastAsia="en-GB"/>
              </w:rPr>
              <w:t xml:space="preserve">: </w:t>
            </w:r>
            <w:r w:rsidR="003C73B9" w:rsidRPr="00941FA7">
              <w:rPr>
                <w:rStyle w:val="markedcontent"/>
                <w:rFonts w:asciiTheme="minorHAnsi" w:hAnsiTheme="minorHAnsi" w:cstheme="minorHAnsi"/>
                <w:sz w:val="20"/>
                <w:lang w:val="fr-FR"/>
              </w:rPr>
              <w:t>(i) re</w:t>
            </w:r>
            <w:r w:rsidR="008C62FA" w:rsidRPr="00941FA7">
              <w:rPr>
                <w:rStyle w:val="markedcontent"/>
                <w:rFonts w:asciiTheme="minorHAnsi" w:hAnsiTheme="minorHAnsi" w:cstheme="minorHAnsi"/>
                <w:sz w:val="20"/>
                <w:lang w:val="fr-FR"/>
              </w:rPr>
              <w:t>qualification</w:t>
            </w:r>
            <w:r w:rsidR="003C73B9" w:rsidRPr="00941FA7">
              <w:rPr>
                <w:rStyle w:val="markedcontent"/>
                <w:rFonts w:asciiTheme="minorHAnsi" w:hAnsiTheme="minorHAnsi" w:cstheme="minorHAnsi"/>
                <w:sz w:val="20"/>
                <w:lang w:val="fr-FR"/>
              </w:rPr>
              <w:t xml:space="preserve"> du post</w:t>
            </w:r>
            <w:r w:rsidR="00941FA7">
              <w:rPr>
                <w:rStyle w:val="markedcontent"/>
                <w:rFonts w:asciiTheme="minorHAnsi" w:hAnsiTheme="minorHAnsi" w:cstheme="minorHAnsi"/>
                <w:sz w:val="20"/>
                <w:lang w:val="fr-FR"/>
              </w:rPr>
              <w:t>e de directeur et recrutement d’</w:t>
            </w:r>
            <w:r w:rsidR="003C73B9" w:rsidRPr="00941FA7">
              <w:rPr>
                <w:rStyle w:val="markedcontent"/>
                <w:rFonts w:asciiTheme="minorHAnsi" w:hAnsiTheme="minorHAnsi" w:cstheme="minorHAnsi"/>
                <w:sz w:val="20"/>
                <w:lang w:val="fr-FR"/>
              </w:rPr>
              <w:t xml:space="preserve">un responsable de la mobilisation </w:t>
            </w:r>
            <w:r w:rsidR="008C62FA" w:rsidRPr="00941FA7">
              <w:rPr>
                <w:rStyle w:val="markedcontent"/>
                <w:rFonts w:asciiTheme="minorHAnsi" w:hAnsiTheme="minorHAnsi" w:cstheme="minorHAnsi"/>
                <w:sz w:val="20"/>
                <w:lang w:val="fr-FR"/>
              </w:rPr>
              <w:t>et des</w:t>
            </w:r>
            <w:r w:rsidR="003C73B9" w:rsidRPr="00941FA7">
              <w:rPr>
                <w:rStyle w:val="markedcontent"/>
                <w:rFonts w:asciiTheme="minorHAnsi" w:hAnsiTheme="minorHAnsi" w:cstheme="minorHAnsi"/>
                <w:sz w:val="20"/>
                <w:lang w:val="fr-FR"/>
              </w:rPr>
              <w:t xml:space="preserve"> </w:t>
            </w:r>
            <w:r w:rsidR="008C62FA" w:rsidRPr="00941FA7">
              <w:rPr>
                <w:rStyle w:val="markedcontent"/>
                <w:rFonts w:asciiTheme="minorHAnsi" w:hAnsiTheme="minorHAnsi" w:cstheme="minorHAnsi"/>
                <w:sz w:val="20"/>
                <w:lang w:val="fr-FR"/>
              </w:rPr>
              <w:t>partenariats</w:t>
            </w:r>
            <w:r w:rsidR="003C73B9" w:rsidRPr="00941FA7">
              <w:rPr>
                <w:rStyle w:val="markedcontent"/>
                <w:rFonts w:asciiTheme="minorHAnsi" w:hAnsiTheme="minorHAnsi" w:cstheme="minorHAnsi"/>
                <w:sz w:val="20"/>
                <w:lang w:val="fr-FR"/>
              </w:rPr>
              <w:t xml:space="preserve"> en 2020, </w:t>
            </w:r>
            <w:r w:rsidR="008C62FA" w:rsidRPr="00941FA7">
              <w:rPr>
                <w:rStyle w:val="markedcontent"/>
                <w:rFonts w:asciiTheme="minorHAnsi" w:hAnsiTheme="minorHAnsi" w:cstheme="minorHAnsi"/>
                <w:sz w:val="20"/>
                <w:lang w:val="fr-FR"/>
              </w:rPr>
              <w:t>(</w:t>
            </w:r>
            <w:r w:rsidR="003C73B9" w:rsidRPr="00941FA7">
              <w:rPr>
                <w:rStyle w:val="markedcontent"/>
                <w:rFonts w:asciiTheme="minorHAnsi" w:hAnsiTheme="minorHAnsi" w:cstheme="minorHAnsi"/>
                <w:sz w:val="20"/>
                <w:lang w:val="fr-FR"/>
              </w:rPr>
              <w:t>ii) autre</w:t>
            </w:r>
            <w:r w:rsidR="00642538" w:rsidRPr="00941FA7">
              <w:rPr>
                <w:rStyle w:val="markedcontent"/>
                <w:rFonts w:asciiTheme="minorHAnsi" w:hAnsiTheme="minorHAnsi" w:cstheme="minorHAnsi"/>
                <w:sz w:val="20"/>
                <w:lang w:val="fr-FR"/>
              </w:rPr>
              <w:t xml:space="preserve"> </w:t>
            </w:r>
            <w:r w:rsidR="00941FA7">
              <w:rPr>
                <w:rStyle w:val="markedcontent"/>
                <w:rFonts w:asciiTheme="minorHAnsi" w:hAnsiTheme="minorHAnsi" w:cstheme="minorHAnsi"/>
                <w:sz w:val="20"/>
                <w:lang w:val="fr-FR"/>
              </w:rPr>
              <w:t>prestations liées à l’</w:t>
            </w:r>
            <w:r w:rsidR="003C73B9" w:rsidRPr="00941FA7">
              <w:rPr>
                <w:rStyle w:val="markedcontent"/>
                <w:rFonts w:asciiTheme="minorHAnsi" w:hAnsiTheme="minorHAnsi" w:cstheme="minorHAnsi"/>
                <w:sz w:val="20"/>
                <w:lang w:val="fr-FR"/>
              </w:rPr>
              <w:t>emploi, et</w:t>
            </w:r>
            <w:r w:rsidR="008C62FA" w:rsidRPr="00941FA7">
              <w:rPr>
                <w:rStyle w:val="markedcontent"/>
                <w:rFonts w:asciiTheme="minorHAnsi" w:hAnsiTheme="minorHAnsi" w:cstheme="minorHAnsi"/>
                <w:sz w:val="20"/>
                <w:lang w:val="fr-FR"/>
              </w:rPr>
              <w:t xml:space="preserve"> (</w:t>
            </w:r>
            <w:r w:rsidR="003C73B9" w:rsidRPr="00941FA7">
              <w:rPr>
                <w:rStyle w:val="markedcontent"/>
                <w:rFonts w:asciiTheme="minorHAnsi" w:hAnsiTheme="minorHAnsi" w:cstheme="minorHAnsi"/>
                <w:sz w:val="20"/>
                <w:lang w:val="fr-FR"/>
              </w:rPr>
              <w:t>iii) baisse du</w:t>
            </w:r>
            <w:r w:rsidR="00642538" w:rsidRPr="00941FA7">
              <w:rPr>
                <w:rStyle w:val="markedcontent"/>
                <w:rFonts w:asciiTheme="minorHAnsi" w:hAnsiTheme="minorHAnsi" w:cstheme="minorHAnsi"/>
                <w:sz w:val="20"/>
                <w:lang w:val="fr-FR"/>
              </w:rPr>
              <w:t xml:space="preserve"> </w:t>
            </w:r>
            <w:r w:rsidR="003C73B9" w:rsidRPr="00941FA7">
              <w:rPr>
                <w:rStyle w:val="markedcontent"/>
                <w:rFonts w:asciiTheme="minorHAnsi" w:hAnsiTheme="minorHAnsi" w:cstheme="minorHAnsi"/>
                <w:sz w:val="20"/>
                <w:lang w:val="fr-FR"/>
              </w:rPr>
              <w:t>nombre de déplacements.</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642538" w:rsidP="00642538">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xml:space="preserve">Appui et conseils aux régions </w:t>
            </w:r>
          </w:p>
        </w:tc>
        <w:tc>
          <w:tcPr>
            <w:tcW w:w="1370" w:type="dxa"/>
            <w:tcBorders>
              <w:top w:val="nil"/>
              <w:left w:val="nil"/>
              <w:bottom w:val="single" w:sz="4" w:space="0" w:color="auto"/>
              <w:right w:val="single" w:sz="4" w:space="0" w:color="auto"/>
            </w:tcBorders>
            <w:shd w:val="clear" w:color="auto" w:fill="auto"/>
            <w:noWrap/>
            <w:hideMark/>
          </w:tcPr>
          <w:p w:rsidR="006712F6" w:rsidRPr="00941FA7" w:rsidRDefault="006712F6"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c>
          <w:tcPr>
            <w:tcW w:w="1152" w:type="dxa"/>
            <w:tcBorders>
              <w:top w:val="nil"/>
              <w:left w:val="nil"/>
              <w:bottom w:val="single" w:sz="4" w:space="0" w:color="auto"/>
              <w:right w:val="single" w:sz="4" w:space="0" w:color="auto"/>
            </w:tcBorders>
            <w:shd w:val="clear" w:color="auto" w:fill="auto"/>
            <w:noWrap/>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454</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2D1995" w:rsidP="00FB0D9D">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550</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642538" w:rsidP="008C62FA">
            <w:pPr>
              <w:ind w:left="0" w:firstLine="0"/>
              <w:rPr>
                <w:rFonts w:eastAsia="Times New Roman" w:cs="Calibri"/>
                <w:sz w:val="20"/>
                <w:szCs w:val="20"/>
                <w:lang w:val="fr-FR" w:eastAsia="en-GB"/>
              </w:rPr>
            </w:pPr>
            <w:r w:rsidRPr="00941FA7">
              <w:rPr>
                <w:rFonts w:eastAsia="Times New Roman" w:cs="Calibri"/>
                <w:b/>
                <w:bCs/>
                <w:color w:val="000000"/>
                <w:sz w:val="20"/>
                <w:szCs w:val="20"/>
                <w:lang w:val="fr-FR" w:eastAsia="en-GB"/>
              </w:rPr>
              <w:t>Préengagés/planifiés </w:t>
            </w:r>
            <w:r w:rsidR="006712F6" w:rsidRPr="00941FA7">
              <w:rPr>
                <w:rFonts w:eastAsia="Times New Roman" w:cs="Calibri"/>
                <w:b/>
                <w:bCs/>
                <w:sz w:val="20"/>
                <w:szCs w:val="20"/>
                <w:lang w:val="fr-FR" w:eastAsia="en-GB"/>
              </w:rPr>
              <w:t>:</w:t>
            </w:r>
            <w:r w:rsidRPr="00941FA7">
              <w:rPr>
                <w:rFonts w:eastAsia="Times New Roman" w:cs="Calibri"/>
                <w:sz w:val="20"/>
                <w:szCs w:val="20"/>
                <w:lang w:val="fr-FR" w:eastAsia="en-GB"/>
              </w:rPr>
              <w:t xml:space="preserve"> 96 000</w:t>
            </w:r>
            <w:r w:rsidR="006712F6" w:rsidRPr="00941FA7">
              <w:rPr>
                <w:rFonts w:eastAsia="Times New Roman" w:cs="Calibri"/>
                <w:sz w:val="20"/>
                <w:szCs w:val="20"/>
                <w:lang w:val="fr-FR" w:eastAsia="en-GB"/>
              </w:rPr>
              <w:t xml:space="preserve"> </w:t>
            </w:r>
            <w:r w:rsidRPr="00941FA7">
              <w:rPr>
                <w:rStyle w:val="markedcontent"/>
                <w:rFonts w:asciiTheme="minorHAnsi" w:hAnsiTheme="minorHAnsi" w:cstheme="minorHAnsi"/>
                <w:sz w:val="20"/>
                <w:szCs w:val="20"/>
                <w:lang w:val="fr-FR"/>
              </w:rPr>
              <w:t>mise en</w:t>
            </w:r>
            <w:r w:rsidR="008C62FA" w:rsidRPr="00941FA7">
              <w:rPr>
                <w:rStyle w:val="markedcontent"/>
                <w:rFonts w:asciiTheme="minorHAnsi" w:hAnsiTheme="minorHAnsi" w:cstheme="minorHAnsi"/>
                <w:sz w:val="20"/>
                <w:szCs w:val="20"/>
                <w:lang w:val="fr-FR"/>
              </w:rPr>
              <w:t xml:space="preserve"> </w:t>
            </w:r>
            <w:r w:rsidRPr="00941FA7">
              <w:rPr>
                <w:rStyle w:val="markedcontent"/>
                <w:rFonts w:asciiTheme="minorHAnsi" w:hAnsiTheme="minorHAnsi" w:cstheme="minorHAnsi"/>
                <w:sz w:val="20"/>
                <w:szCs w:val="20"/>
                <w:lang w:val="fr-FR"/>
              </w:rPr>
              <w:t>œuvre des Missions consultatives Ramsar reportée à</w:t>
            </w:r>
            <w:r w:rsidRPr="00941FA7">
              <w:rPr>
                <w:rStyle w:val="markedcontent"/>
                <w:rFonts w:ascii="Arial" w:hAnsi="Arial" w:cs="Arial"/>
                <w:sz w:val="12"/>
                <w:szCs w:val="12"/>
                <w:lang w:val="fr-FR"/>
              </w:rPr>
              <w:t xml:space="preserve"> </w:t>
            </w:r>
            <w:r w:rsidR="002D1995" w:rsidRPr="00941FA7">
              <w:rPr>
                <w:rFonts w:eastAsia="Times New Roman" w:cs="Calibri"/>
                <w:sz w:val="20"/>
                <w:szCs w:val="20"/>
                <w:lang w:val="fr-FR" w:eastAsia="en-GB"/>
              </w:rPr>
              <w:t>2022</w:t>
            </w:r>
            <w:r w:rsidR="00146B5F" w:rsidRPr="00941FA7">
              <w:rPr>
                <w:rFonts w:eastAsia="Times New Roman" w:cs="Calibri"/>
                <w:sz w:val="20"/>
                <w:szCs w:val="20"/>
                <w:lang w:val="fr-FR" w:eastAsia="en-GB"/>
              </w:rPr>
              <w:t>.</w:t>
            </w:r>
            <w:r w:rsidRPr="00941FA7">
              <w:rPr>
                <w:rFonts w:eastAsia="Times New Roman" w:cs="Calibri"/>
                <w:sz w:val="20"/>
                <w:szCs w:val="20"/>
                <w:lang w:val="fr-FR" w:eastAsia="en-GB"/>
              </w:rPr>
              <w:br/>
            </w:r>
            <w:r w:rsidRPr="00941FA7">
              <w:rPr>
                <w:rStyle w:val="markedcontent"/>
                <w:rFonts w:asciiTheme="minorHAnsi" w:hAnsiTheme="minorHAnsi" w:cstheme="minorHAnsi"/>
                <w:b/>
                <w:sz w:val="20"/>
                <w:szCs w:val="20"/>
                <w:lang w:val="fr-FR"/>
              </w:rPr>
              <w:t>Économies</w:t>
            </w:r>
            <w:r w:rsidRPr="00941FA7">
              <w:rPr>
                <w:rStyle w:val="markedcontent"/>
                <w:rFonts w:asciiTheme="minorHAnsi" w:hAnsiTheme="minorHAnsi" w:cstheme="minorHAnsi"/>
                <w:sz w:val="20"/>
                <w:szCs w:val="20"/>
                <w:lang w:val="fr-FR"/>
              </w:rPr>
              <w:t xml:space="preserve"> : </w:t>
            </w:r>
            <w:r w:rsidR="008C62FA" w:rsidRPr="00941FA7">
              <w:rPr>
                <w:rStyle w:val="markedcontent"/>
                <w:rFonts w:asciiTheme="minorHAnsi" w:hAnsiTheme="minorHAnsi" w:cstheme="minorHAnsi"/>
                <w:sz w:val="20"/>
                <w:szCs w:val="20"/>
                <w:lang w:val="fr-FR"/>
              </w:rPr>
              <w:t>(</w:t>
            </w:r>
            <w:r w:rsidRPr="00941FA7">
              <w:rPr>
                <w:rStyle w:val="markedcontent"/>
                <w:rFonts w:asciiTheme="minorHAnsi" w:hAnsiTheme="minorHAnsi" w:cstheme="minorHAnsi"/>
                <w:sz w:val="20"/>
                <w:szCs w:val="20"/>
                <w:lang w:val="fr-FR"/>
              </w:rPr>
              <w:t xml:space="preserve">i) vacances de postes et ajustements ; poste de conseiller régional pourvu à la mi-2021, et </w:t>
            </w:r>
            <w:r w:rsidR="008C62FA" w:rsidRPr="00941FA7">
              <w:rPr>
                <w:rStyle w:val="markedcontent"/>
                <w:rFonts w:asciiTheme="minorHAnsi" w:hAnsiTheme="minorHAnsi" w:cstheme="minorHAnsi"/>
                <w:sz w:val="20"/>
                <w:szCs w:val="20"/>
                <w:lang w:val="fr-FR"/>
              </w:rPr>
              <w:t>(</w:t>
            </w:r>
            <w:r w:rsidRPr="00941FA7">
              <w:rPr>
                <w:rStyle w:val="markedcontent"/>
                <w:rFonts w:asciiTheme="minorHAnsi" w:hAnsiTheme="minorHAnsi" w:cstheme="minorHAnsi"/>
                <w:sz w:val="20"/>
                <w:szCs w:val="20"/>
                <w:lang w:val="fr-FR"/>
              </w:rPr>
              <w:t>ii) baisse du nombre de déplacements</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642538" w:rsidP="00642538">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Appui aux initiatives ré</w:t>
            </w:r>
            <w:r w:rsidR="006712F6" w:rsidRPr="00941FA7">
              <w:rPr>
                <w:rFonts w:eastAsia="Times New Roman" w:cs="Calibri"/>
                <w:color w:val="000000"/>
                <w:sz w:val="20"/>
                <w:szCs w:val="20"/>
                <w:lang w:val="fr-FR" w:eastAsia="en-GB"/>
              </w:rPr>
              <w:t>gional</w:t>
            </w:r>
            <w:r w:rsidRPr="00941FA7">
              <w:rPr>
                <w:rFonts w:eastAsia="Times New Roman" w:cs="Calibri"/>
                <w:color w:val="000000"/>
                <w:sz w:val="20"/>
                <w:szCs w:val="20"/>
                <w:lang w:val="fr-FR" w:eastAsia="en-GB"/>
              </w:rPr>
              <w:t>es</w:t>
            </w:r>
          </w:p>
        </w:tc>
        <w:tc>
          <w:tcPr>
            <w:tcW w:w="1370" w:type="dxa"/>
            <w:tcBorders>
              <w:top w:val="nil"/>
              <w:left w:val="nil"/>
              <w:bottom w:val="single" w:sz="4" w:space="0" w:color="auto"/>
              <w:right w:val="single" w:sz="4" w:space="0" w:color="auto"/>
            </w:tcBorders>
            <w:shd w:val="clear" w:color="auto" w:fill="auto"/>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76</w:t>
            </w:r>
          </w:p>
        </w:tc>
        <w:tc>
          <w:tcPr>
            <w:tcW w:w="1152" w:type="dxa"/>
            <w:tcBorders>
              <w:top w:val="nil"/>
              <w:left w:val="nil"/>
              <w:bottom w:val="single" w:sz="4" w:space="0" w:color="auto"/>
              <w:right w:val="single" w:sz="4" w:space="0" w:color="auto"/>
            </w:tcBorders>
            <w:shd w:val="clear" w:color="auto" w:fill="auto"/>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77</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642538" w:rsidP="008C62FA">
            <w:pPr>
              <w:ind w:left="0" w:firstLine="0"/>
              <w:rPr>
                <w:rFonts w:eastAsia="Times New Roman" w:cs="Calibri"/>
                <w:sz w:val="20"/>
                <w:szCs w:val="20"/>
                <w:lang w:val="fr-FR" w:eastAsia="en-GB"/>
              </w:rPr>
            </w:pPr>
            <w:r w:rsidRPr="00941FA7">
              <w:rPr>
                <w:rFonts w:eastAsia="Times New Roman" w:cs="Calibri"/>
                <w:b/>
                <w:bCs/>
                <w:color w:val="000000"/>
                <w:sz w:val="20"/>
                <w:szCs w:val="20"/>
                <w:lang w:val="fr-FR" w:eastAsia="en-GB"/>
              </w:rPr>
              <w:t>Préengagés/planifiés </w:t>
            </w:r>
            <w:r w:rsidR="006712F6" w:rsidRPr="00941FA7">
              <w:rPr>
                <w:rFonts w:eastAsia="Times New Roman" w:cs="Calibri"/>
                <w:b/>
                <w:bCs/>
                <w:sz w:val="20"/>
                <w:szCs w:val="20"/>
                <w:lang w:val="fr-FR" w:eastAsia="en-GB"/>
              </w:rPr>
              <w:t>:</w:t>
            </w:r>
            <w:r w:rsidR="006712F6" w:rsidRPr="00941FA7">
              <w:rPr>
                <w:rFonts w:eastAsia="Times New Roman" w:cs="Calibri"/>
                <w:sz w:val="20"/>
                <w:szCs w:val="20"/>
                <w:lang w:val="fr-FR" w:eastAsia="en-GB"/>
              </w:rPr>
              <w:t xml:space="preserve"> </w:t>
            </w:r>
            <w:r w:rsidRPr="00941FA7">
              <w:rPr>
                <w:rFonts w:eastAsia="Times New Roman" w:cs="Calibri"/>
                <w:sz w:val="20"/>
                <w:szCs w:val="20"/>
                <w:lang w:val="fr-FR" w:eastAsia="en-GB"/>
              </w:rPr>
              <w:t xml:space="preserve">poursuite de la mise en œuvre en 2022 </w:t>
            </w:r>
            <w:r w:rsidR="008C62FA" w:rsidRPr="00941FA7">
              <w:rPr>
                <w:rFonts w:eastAsia="Times New Roman" w:cs="Calibri"/>
                <w:sz w:val="20"/>
                <w:szCs w:val="20"/>
                <w:lang w:val="fr-FR" w:eastAsia="en-GB"/>
              </w:rPr>
              <w:t>des IRR</w:t>
            </w:r>
            <w:r w:rsidRPr="00941FA7">
              <w:rPr>
                <w:rFonts w:eastAsia="Times New Roman" w:cs="Calibri"/>
                <w:sz w:val="20"/>
                <w:szCs w:val="20"/>
                <w:lang w:val="fr-FR" w:eastAsia="en-GB"/>
              </w:rPr>
              <w:t xml:space="preserve"> </w:t>
            </w:r>
            <w:r w:rsidR="008C62FA" w:rsidRPr="00941FA7">
              <w:rPr>
                <w:rFonts w:eastAsia="Times New Roman" w:cs="Calibri"/>
                <w:sz w:val="20"/>
                <w:szCs w:val="20"/>
                <w:lang w:val="fr-FR" w:eastAsia="en-GB"/>
              </w:rPr>
              <w:t>du</w:t>
            </w:r>
            <w:r w:rsidRPr="00941FA7">
              <w:rPr>
                <w:rFonts w:eastAsia="Times New Roman" w:cs="Calibri"/>
                <w:sz w:val="20"/>
                <w:szCs w:val="20"/>
                <w:lang w:val="fr-FR" w:eastAsia="en-GB"/>
              </w:rPr>
              <w:t xml:space="preserve"> bassin de l’Amazone</w:t>
            </w:r>
            <w:r w:rsidR="008C62FA" w:rsidRPr="00941FA7">
              <w:rPr>
                <w:rFonts w:eastAsia="Times New Roman" w:cs="Calibri"/>
                <w:sz w:val="20"/>
                <w:szCs w:val="20"/>
                <w:lang w:val="fr-FR" w:eastAsia="en-GB"/>
              </w:rPr>
              <w:t xml:space="preserve"> pour 76 000 CHF</w:t>
            </w:r>
            <w:r w:rsidRPr="00941FA7">
              <w:rPr>
                <w:rFonts w:eastAsia="Times New Roman" w:cs="Calibri"/>
                <w:sz w:val="20"/>
                <w:szCs w:val="20"/>
                <w:lang w:val="fr-FR" w:eastAsia="en-GB"/>
              </w:rPr>
              <w:t>.</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6712F6" w:rsidP="008F7FC4">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Services</w:t>
            </w:r>
            <w:r w:rsidR="00240B19" w:rsidRPr="00941FA7">
              <w:rPr>
                <w:rFonts w:eastAsia="Times New Roman" w:cs="Calibri"/>
                <w:color w:val="000000"/>
                <w:sz w:val="20"/>
                <w:szCs w:val="20"/>
                <w:lang w:val="fr-FR" w:eastAsia="en-GB"/>
              </w:rPr>
              <w:t xml:space="preserve"> scientifiques et techniques</w:t>
            </w:r>
          </w:p>
        </w:tc>
        <w:tc>
          <w:tcPr>
            <w:tcW w:w="1370" w:type="dxa"/>
            <w:tcBorders>
              <w:top w:val="nil"/>
              <w:left w:val="nil"/>
              <w:bottom w:val="single" w:sz="4" w:space="0" w:color="auto"/>
              <w:right w:val="single" w:sz="4" w:space="0" w:color="auto"/>
            </w:tcBorders>
            <w:shd w:val="clear" w:color="auto" w:fill="auto"/>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224</w:t>
            </w:r>
          </w:p>
        </w:tc>
        <w:tc>
          <w:tcPr>
            <w:tcW w:w="1152" w:type="dxa"/>
            <w:tcBorders>
              <w:top w:val="nil"/>
              <w:left w:val="nil"/>
              <w:bottom w:val="single" w:sz="4" w:space="0" w:color="auto"/>
              <w:right w:val="single" w:sz="4" w:space="0" w:color="auto"/>
            </w:tcBorders>
            <w:shd w:val="clear" w:color="auto" w:fill="auto"/>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453</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2D1995"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667</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642538" w:rsidP="008C62FA">
            <w:pPr>
              <w:ind w:left="0" w:firstLine="0"/>
              <w:rPr>
                <w:rFonts w:eastAsia="Times New Roman" w:cs="Calibri"/>
                <w:sz w:val="20"/>
                <w:szCs w:val="20"/>
                <w:lang w:val="fr-FR" w:eastAsia="en-GB"/>
              </w:rPr>
            </w:pPr>
            <w:r w:rsidRPr="00941FA7">
              <w:rPr>
                <w:rFonts w:eastAsia="Times New Roman" w:cs="Calibri"/>
                <w:b/>
                <w:bCs/>
                <w:color w:val="000000"/>
                <w:sz w:val="20"/>
                <w:szCs w:val="20"/>
                <w:lang w:val="fr-FR" w:eastAsia="en-GB"/>
              </w:rPr>
              <w:t>Préengagés/planifiés </w:t>
            </w:r>
            <w:r w:rsidR="006712F6" w:rsidRPr="00941FA7">
              <w:rPr>
                <w:rFonts w:eastAsia="Times New Roman" w:cs="Calibri"/>
                <w:b/>
                <w:bCs/>
                <w:sz w:val="20"/>
                <w:szCs w:val="20"/>
                <w:lang w:val="fr-FR" w:eastAsia="en-GB"/>
              </w:rPr>
              <w:t>:</w:t>
            </w:r>
            <w:r w:rsidR="006712F6" w:rsidRPr="00941FA7">
              <w:rPr>
                <w:rFonts w:eastAsia="Times New Roman" w:cs="Calibri"/>
                <w:sz w:val="20"/>
                <w:szCs w:val="20"/>
                <w:lang w:val="fr-FR" w:eastAsia="en-GB"/>
              </w:rPr>
              <w:t xml:space="preserve"> (i) </w:t>
            </w:r>
            <w:r w:rsidR="00430A7A" w:rsidRPr="00941FA7">
              <w:rPr>
                <w:rFonts w:eastAsia="Times New Roman" w:cs="Calibri"/>
                <w:sz w:val="20"/>
                <w:szCs w:val="20"/>
                <w:lang w:val="fr-FR" w:eastAsia="en-GB"/>
              </w:rPr>
              <w:t>10</w:t>
            </w:r>
            <w:r w:rsidRPr="00941FA7">
              <w:rPr>
                <w:rFonts w:eastAsia="Times New Roman" w:cs="Calibri"/>
                <w:sz w:val="20"/>
                <w:szCs w:val="20"/>
                <w:lang w:val="fr-FR" w:eastAsia="en-GB"/>
              </w:rPr>
              <w:t> 000 déplacements, (ii) 12 000 déplacements du président du GEST</w:t>
            </w:r>
            <w:r w:rsidR="006712F6" w:rsidRPr="00941FA7">
              <w:rPr>
                <w:rFonts w:eastAsia="Times New Roman" w:cs="Calibri"/>
                <w:sz w:val="20"/>
                <w:szCs w:val="20"/>
                <w:lang w:val="fr-FR" w:eastAsia="en-GB"/>
              </w:rPr>
              <w:t>, (ii</w:t>
            </w:r>
            <w:r w:rsidR="00430A7A" w:rsidRPr="00941FA7">
              <w:rPr>
                <w:rFonts w:eastAsia="Times New Roman" w:cs="Calibri"/>
                <w:sz w:val="20"/>
                <w:szCs w:val="20"/>
                <w:lang w:val="fr-FR" w:eastAsia="en-GB"/>
              </w:rPr>
              <w:t>i</w:t>
            </w:r>
            <w:r w:rsidR="006712F6" w:rsidRPr="00941FA7">
              <w:rPr>
                <w:rFonts w:eastAsia="Times New Roman" w:cs="Calibri"/>
                <w:sz w:val="20"/>
                <w:szCs w:val="20"/>
                <w:lang w:val="fr-FR" w:eastAsia="en-GB"/>
              </w:rPr>
              <w:t xml:space="preserve">) </w:t>
            </w:r>
            <w:r w:rsidR="00430A7A" w:rsidRPr="00941FA7">
              <w:rPr>
                <w:rFonts w:eastAsia="Times New Roman" w:cs="Calibri"/>
                <w:sz w:val="20"/>
                <w:szCs w:val="20"/>
                <w:lang w:val="fr-FR" w:eastAsia="en-GB"/>
              </w:rPr>
              <w:t>40</w:t>
            </w:r>
            <w:r w:rsidRPr="00941FA7">
              <w:rPr>
                <w:rFonts w:eastAsia="Times New Roman" w:cs="Calibri"/>
                <w:sz w:val="20"/>
                <w:szCs w:val="20"/>
                <w:lang w:val="fr-FR" w:eastAsia="en-GB"/>
              </w:rPr>
              <w:t> 000 mise en œuvre du GEST</w:t>
            </w:r>
            <w:r w:rsidR="00430A7A" w:rsidRPr="00941FA7">
              <w:rPr>
                <w:rFonts w:eastAsia="Times New Roman" w:cs="Calibri"/>
                <w:sz w:val="20"/>
                <w:szCs w:val="20"/>
                <w:lang w:val="fr-FR" w:eastAsia="en-GB"/>
              </w:rPr>
              <w:t>, (iv) 90</w:t>
            </w:r>
            <w:r w:rsidR="00240B19" w:rsidRPr="00941FA7">
              <w:rPr>
                <w:rFonts w:eastAsia="Times New Roman" w:cs="Calibri"/>
                <w:sz w:val="20"/>
                <w:szCs w:val="20"/>
                <w:lang w:val="fr-FR" w:eastAsia="en-GB"/>
              </w:rPr>
              <w:t> </w:t>
            </w:r>
            <w:r w:rsidRPr="00941FA7">
              <w:rPr>
                <w:rFonts w:eastAsia="Times New Roman" w:cs="Calibri"/>
                <w:sz w:val="20"/>
                <w:szCs w:val="20"/>
                <w:lang w:val="fr-FR" w:eastAsia="en-GB"/>
              </w:rPr>
              <w:t>000</w:t>
            </w:r>
            <w:r w:rsidR="008C62FA" w:rsidRPr="00941FA7">
              <w:rPr>
                <w:rFonts w:eastAsia="Times New Roman" w:cs="Calibri"/>
                <w:sz w:val="20"/>
                <w:szCs w:val="20"/>
                <w:lang w:val="fr-FR" w:eastAsia="en-GB"/>
              </w:rPr>
              <w:t xml:space="preserve"> cinquième P</w:t>
            </w:r>
            <w:r w:rsidR="00240B19" w:rsidRPr="00941FA7">
              <w:rPr>
                <w:rFonts w:eastAsia="Times New Roman" w:cs="Calibri"/>
                <w:sz w:val="20"/>
                <w:szCs w:val="20"/>
                <w:lang w:val="fr-FR" w:eastAsia="en-GB"/>
              </w:rPr>
              <w:t>lan stratégique</w:t>
            </w:r>
            <w:r w:rsidR="00430A7A" w:rsidRPr="00941FA7">
              <w:rPr>
                <w:rFonts w:eastAsia="Times New Roman" w:cs="Calibri"/>
                <w:sz w:val="20"/>
                <w:szCs w:val="20"/>
                <w:lang w:val="fr-FR" w:eastAsia="en-GB"/>
              </w:rPr>
              <w:t xml:space="preserve"> </w:t>
            </w:r>
            <w:r w:rsidR="00240B19" w:rsidRPr="00941FA7">
              <w:rPr>
                <w:rFonts w:eastAsia="Times New Roman" w:cs="Calibri"/>
                <w:sz w:val="20"/>
                <w:szCs w:val="20"/>
                <w:lang w:val="fr-FR" w:eastAsia="en-GB"/>
              </w:rPr>
              <w:t>et</w:t>
            </w:r>
            <w:r w:rsidR="006712F6" w:rsidRPr="00941FA7">
              <w:rPr>
                <w:rFonts w:eastAsia="Times New Roman" w:cs="Calibri"/>
                <w:sz w:val="20"/>
                <w:szCs w:val="20"/>
                <w:lang w:val="fr-FR" w:eastAsia="en-GB"/>
              </w:rPr>
              <w:t xml:space="preserve"> (iii) 72</w:t>
            </w:r>
            <w:r w:rsidR="00240B19" w:rsidRPr="00941FA7">
              <w:rPr>
                <w:rFonts w:eastAsia="Times New Roman" w:cs="Calibri"/>
                <w:sz w:val="20"/>
                <w:szCs w:val="20"/>
                <w:lang w:val="fr-FR" w:eastAsia="en-GB"/>
              </w:rPr>
              <w:t> 000 poursuite de la mise en œuvre des inventaires en 2022</w:t>
            </w:r>
            <w:r w:rsidR="008E66EE" w:rsidRPr="00941FA7">
              <w:rPr>
                <w:rFonts w:eastAsia="Times New Roman" w:cs="Calibri"/>
                <w:sz w:val="20"/>
                <w:szCs w:val="20"/>
                <w:lang w:val="fr-FR" w:eastAsia="en-GB"/>
              </w:rPr>
              <w:t>.</w:t>
            </w:r>
            <w:r w:rsidR="006712F6" w:rsidRPr="00941FA7">
              <w:rPr>
                <w:rFonts w:eastAsia="Times New Roman" w:cs="Calibri"/>
                <w:sz w:val="20"/>
                <w:szCs w:val="20"/>
                <w:lang w:val="fr-FR" w:eastAsia="en-GB"/>
              </w:rPr>
              <w:br/>
            </w:r>
            <w:r w:rsidR="00240B19" w:rsidRPr="00941FA7">
              <w:rPr>
                <w:rFonts w:eastAsia="Times New Roman" w:cs="Calibri"/>
                <w:b/>
                <w:bCs/>
                <w:sz w:val="20"/>
                <w:szCs w:val="20"/>
                <w:lang w:val="fr-FR" w:eastAsia="en-GB"/>
              </w:rPr>
              <w:t>Économies </w:t>
            </w:r>
            <w:r w:rsidR="006712F6" w:rsidRPr="00941FA7">
              <w:rPr>
                <w:rFonts w:eastAsia="Times New Roman" w:cs="Calibri"/>
                <w:sz w:val="20"/>
                <w:szCs w:val="20"/>
                <w:lang w:val="fr-FR" w:eastAsia="en-GB"/>
              </w:rPr>
              <w:t xml:space="preserve">: (i) </w:t>
            </w:r>
            <w:r w:rsidR="00240B19" w:rsidRPr="00941FA7">
              <w:rPr>
                <w:rFonts w:eastAsia="Times New Roman" w:cs="Calibri"/>
                <w:sz w:val="20"/>
                <w:szCs w:val="20"/>
                <w:lang w:val="fr-FR" w:eastAsia="en-GB"/>
              </w:rPr>
              <w:t>recrutement d’un directeur, Sciences et politiques à la mi-2021</w:t>
            </w:r>
            <w:r w:rsidR="006712F6" w:rsidRPr="00941FA7">
              <w:rPr>
                <w:rFonts w:eastAsia="Times New Roman" w:cs="Calibri"/>
                <w:sz w:val="20"/>
                <w:szCs w:val="20"/>
                <w:lang w:val="fr-FR" w:eastAsia="en-GB"/>
              </w:rPr>
              <w:t xml:space="preserve">, (ii) </w:t>
            </w:r>
            <w:r w:rsidR="00240B19" w:rsidRPr="00941FA7">
              <w:rPr>
                <w:rFonts w:eastAsia="Times New Roman" w:cs="Calibri"/>
                <w:sz w:val="20"/>
                <w:szCs w:val="20"/>
                <w:lang w:val="fr-FR" w:eastAsia="en-GB"/>
              </w:rPr>
              <w:t>diminution du nombre des déplacements</w:t>
            </w:r>
            <w:r w:rsidR="006712F6" w:rsidRPr="00941FA7">
              <w:rPr>
                <w:rFonts w:eastAsia="Times New Roman" w:cs="Calibri"/>
                <w:sz w:val="20"/>
                <w:szCs w:val="20"/>
                <w:lang w:val="fr-FR" w:eastAsia="en-GB"/>
              </w:rPr>
              <w:t xml:space="preserve">, (iii) </w:t>
            </w:r>
            <w:r w:rsidR="008C62FA" w:rsidRPr="00941FA7">
              <w:rPr>
                <w:rFonts w:eastAsia="Times New Roman" w:cs="Calibri"/>
                <w:sz w:val="20"/>
                <w:szCs w:val="20"/>
                <w:lang w:val="fr-FR" w:eastAsia="en-GB"/>
              </w:rPr>
              <w:t>la réunion</w:t>
            </w:r>
            <w:r w:rsidR="00240B19" w:rsidRPr="00941FA7">
              <w:rPr>
                <w:rFonts w:eastAsia="Times New Roman" w:cs="Calibri"/>
                <w:sz w:val="20"/>
                <w:szCs w:val="20"/>
                <w:lang w:val="fr-FR" w:eastAsia="en-GB"/>
              </w:rPr>
              <w:t xml:space="preserve"> en présentiel du GEST </w:t>
            </w:r>
            <w:r w:rsidR="008C62FA" w:rsidRPr="00941FA7">
              <w:rPr>
                <w:rFonts w:eastAsia="Times New Roman" w:cs="Calibri"/>
                <w:sz w:val="20"/>
                <w:szCs w:val="20"/>
                <w:lang w:val="fr-FR" w:eastAsia="en-GB"/>
              </w:rPr>
              <w:t>n’a</w:t>
            </w:r>
            <w:r w:rsidR="00240B19" w:rsidRPr="00941FA7">
              <w:rPr>
                <w:rFonts w:eastAsia="Times New Roman" w:cs="Calibri"/>
                <w:sz w:val="20"/>
                <w:szCs w:val="20"/>
                <w:lang w:val="fr-FR" w:eastAsia="en-GB"/>
              </w:rPr>
              <w:t xml:space="preserve"> pas eu lieu et </w:t>
            </w:r>
            <w:r w:rsidR="006712F6" w:rsidRPr="00941FA7">
              <w:rPr>
                <w:rFonts w:eastAsia="Times New Roman" w:cs="Calibri"/>
                <w:sz w:val="20"/>
                <w:szCs w:val="20"/>
                <w:lang w:val="fr-FR" w:eastAsia="en-GB"/>
              </w:rPr>
              <w:t>(iv)</w:t>
            </w:r>
            <w:r w:rsidR="00240B19" w:rsidRPr="00941FA7">
              <w:rPr>
                <w:rFonts w:eastAsia="Times New Roman" w:cs="Calibri"/>
                <w:sz w:val="20"/>
                <w:szCs w:val="20"/>
                <w:lang w:val="fr-FR" w:eastAsia="en-GB"/>
              </w:rPr>
              <w:t xml:space="preserve"> Service d’information sur les sites Ramsar. </w:t>
            </w:r>
            <w:r w:rsidR="006712F6" w:rsidRPr="00941FA7">
              <w:rPr>
                <w:rFonts w:eastAsia="Times New Roman" w:cs="Calibri"/>
                <w:sz w:val="20"/>
                <w:szCs w:val="20"/>
                <w:lang w:val="fr-FR" w:eastAsia="en-GB"/>
              </w:rPr>
              <w:t xml:space="preserve"> </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6712F6" w:rsidP="008F7FC4">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lastRenderedPageBreak/>
              <w:t>Administration/Web</w:t>
            </w:r>
          </w:p>
        </w:tc>
        <w:tc>
          <w:tcPr>
            <w:tcW w:w="1370" w:type="dxa"/>
            <w:tcBorders>
              <w:top w:val="nil"/>
              <w:left w:val="nil"/>
              <w:bottom w:val="single" w:sz="4" w:space="0" w:color="auto"/>
              <w:right w:val="single" w:sz="4" w:space="0" w:color="auto"/>
            </w:tcBorders>
            <w:shd w:val="clear" w:color="auto" w:fill="auto"/>
            <w:noWrap/>
            <w:hideMark/>
          </w:tcPr>
          <w:p w:rsidR="006712F6" w:rsidRPr="00941FA7" w:rsidRDefault="00430A7A"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73</w:t>
            </w:r>
          </w:p>
        </w:tc>
        <w:tc>
          <w:tcPr>
            <w:tcW w:w="1152" w:type="dxa"/>
            <w:tcBorders>
              <w:top w:val="nil"/>
              <w:left w:val="nil"/>
              <w:bottom w:val="single" w:sz="4" w:space="0" w:color="auto"/>
              <w:right w:val="single" w:sz="4" w:space="0" w:color="auto"/>
            </w:tcBorders>
            <w:shd w:val="clear" w:color="auto" w:fill="auto"/>
            <w:noWrap/>
            <w:hideMark/>
          </w:tcPr>
          <w:p w:rsidR="006712F6" w:rsidRPr="00941FA7" w:rsidRDefault="00430A7A"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430A7A"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118</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642538" w:rsidP="00240B19">
            <w:pPr>
              <w:ind w:left="0" w:firstLine="0"/>
              <w:rPr>
                <w:rFonts w:eastAsia="Times New Roman" w:cs="Calibri"/>
                <w:sz w:val="20"/>
                <w:szCs w:val="20"/>
                <w:lang w:val="fr-FR" w:eastAsia="en-GB"/>
              </w:rPr>
            </w:pPr>
            <w:r w:rsidRPr="00941FA7">
              <w:rPr>
                <w:rFonts w:eastAsia="Times New Roman" w:cs="Calibri"/>
                <w:b/>
                <w:bCs/>
                <w:color w:val="000000"/>
                <w:sz w:val="20"/>
                <w:szCs w:val="20"/>
                <w:lang w:val="fr-FR" w:eastAsia="en-GB"/>
              </w:rPr>
              <w:t>Préengagés/planifiés </w:t>
            </w:r>
            <w:r w:rsidR="006712F6" w:rsidRPr="00941FA7">
              <w:rPr>
                <w:rFonts w:eastAsia="Times New Roman" w:cs="Calibri"/>
                <w:b/>
                <w:bCs/>
                <w:sz w:val="20"/>
                <w:szCs w:val="20"/>
                <w:lang w:val="fr-FR" w:eastAsia="en-GB"/>
              </w:rPr>
              <w:t>:</w:t>
            </w:r>
            <w:r w:rsidR="008C62FA" w:rsidRPr="00941FA7">
              <w:rPr>
                <w:rFonts w:eastAsia="Times New Roman" w:cs="Calibri"/>
                <w:b/>
                <w:bCs/>
                <w:sz w:val="20"/>
                <w:szCs w:val="20"/>
                <w:lang w:val="fr-FR" w:eastAsia="en-GB"/>
              </w:rPr>
              <w:t xml:space="preserve"> </w:t>
            </w:r>
            <w:r w:rsidR="00430A7A" w:rsidRPr="00941FA7">
              <w:rPr>
                <w:rFonts w:eastAsia="Times New Roman" w:cs="Calibri"/>
                <w:sz w:val="20"/>
                <w:szCs w:val="20"/>
                <w:lang w:val="fr-FR" w:eastAsia="en-GB"/>
              </w:rPr>
              <w:t>73</w:t>
            </w:r>
            <w:r w:rsidR="00240B19" w:rsidRPr="00941FA7">
              <w:rPr>
                <w:rFonts w:eastAsia="Times New Roman" w:cs="Calibri"/>
                <w:sz w:val="20"/>
                <w:szCs w:val="20"/>
                <w:lang w:val="fr-FR" w:eastAsia="en-GB"/>
              </w:rPr>
              <w:t xml:space="preserve"> 000 plan de renforcement des capacités à mettre en œuvre au cours de la période triennale suivante</w:t>
            </w:r>
            <w:r w:rsidR="006712F6" w:rsidRPr="00941FA7">
              <w:rPr>
                <w:rFonts w:eastAsia="Times New Roman" w:cs="Calibri"/>
                <w:sz w:val="20"/>
                <w:szCs w:val="20"/>
                <w:lang w:val="fr-FR" w:eastAsia="en-GB"/>
              </w:rPr>
              <w:br/>
            </w:r>
            <w:r w:rsidR="00240B19" w:rsidRPr="00941FA7">
              <w:rPr>
                <w:rFonts w:eastAsia="Times New Roman" w:cs="Calibri"/>
                <w:b/>
                <w:bCs/>
                <w:sz w:val="20"/>
                <w:szCs w:val="20"/>
                <w:lang w:val="fr-FR" w:eastAsia="en-GB"/>
              </w:rPr>
              <w:t>Économies </w:t>
            </w:r>
            <w:r w:rsidR="006712F6" w:rsidRPr="00941FA7">
              <w:rPr>
                <w:rFonts w:eastAsia="Times New Roman" w:cs="Calibri"/>
                <w:sz w:val="20"/>
                <w:szCs w:val="20"/>
                <w:lang w:val="fr-FR" w:eastAsia="en-GB"/>
              </w:rPr>
              <w:t xml:space="preserve">: </w:t>
            </w:r>
            <w:r w:rsidR="00240B19" w:rsidRPr="00941FA7">
              <w:rPr>
                <w:rFonts w:eastAsia="Times New Roman" w:cs="Calibri"/>
                <w:sz w:val="20"/>
                <w:szCs w:val="20"/>
                <w:lang w:val="fr-FR" w:eastAsia="en-GB"/>
              </w:rPr>
              <w:t>fournitures et équipements de bureau</w:t>
            </w:r>
            <w:r w:rsidR="008E66EE" w:rsidRPr="00941FA7">
              <w:rPr>
                <w:rFonts w:eastAsia="Times New Roman" w:cs="Calibri"/>
                <w:sz w:val="20"/>
                <w:szCs w:val="20"/>
                <w:lang w:val="fr-FR" w:eastAsia="en-GB"/>
              </w:rPr>
              <w:t>.</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6712F6" w:rsidP="008F7FC4">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Services</w:t>
            </w:r>
            <w:r w:rsidR="00240B19" w:rsidRPr="00941FA7">
              <w:rPr>
                <w:rFonts w:eastAsia="Times New Roman" w:cs="Calibri"/>
                <w:color w:val="000000"/>
                <w:sz w:val="20"/>
                <w:szCs w:val="20"/>
                <w:lang w:val="fr-FR" w:eastAsia="en-GB"/>
              </w:rPr>
              <w:t xml:space="preserve"> au Comité permanent</w:t>
            </w:r>
          </w:p>
        </w:tc>
        <w:tc>
          <w:tcPr>
            <w:tcW w:w="1370" w:type="dxa"/>
            <w:tcBorders>
              <w:top w:val="nil"/>
              <w:left w:val="nil"/>
              <w:bottom w:val="single" w:sz="4" w:space="0" w:color="auto"/>
              <w:right w:val="single" w:sz="4" w:space="0" w:color="auto"/>
            </w:tcBorders>
            <w:shd w:val="clear" w:color="auto" w:fill="auto"/>
            <w:hideMark/>
          </w:tcPr>
          <w:p w:rsidR="006712F6" w:rsidRPr="00941FA7" w:rsidRDefault="00430A7A"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152" w:type="dxa"/>
            <w:tcBorders>
              <w:top w:val="nil"/>
              <w:left w:val="nil"/>
              <w:bottom w:val="single" w:sz="4" w:space="0" w:color="auto"/>
              <w:right w:val="single" w:sz="4" w:space="0" w:color="auto"/>
            </w:tcBorders>
            <w:shd w:val="clear" w:color="auto" w:fill="auto"/>
            <w:hideMark/>
          </w:tcPr>
          <w:p w:rsidR="006712F6" w:rsidRPr="00941FA7" w:rsidRDefault="00430A7A"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58</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430A7A"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83</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240B19" w:rsidP="00863FFA">
            <w:pPr>
              <w:ind w:left="0" w:firstLine="0"/>
              <w:rPr>
                <w:rFonts w:eastAsia="Times New Roman" w:cs="Calibri"/>
                <w:sz w:val="20"/>
                <w:szCs w:val="20"/>
                <w:lang w:val="fr-FR" w:eastAsia="en-GB"/>
              </w:rPr>
            </w:pPr>
            <w:r w:rsidRPr="00941FA7">
              <w:rPr>
                <w:rFonts w:eastAsia="Times New Roman" w:cs="Calibri"/>
                <w:b/>
                <w:bCs/>
                <w:color w:val="000000"/>
                <w:sz w:val="20"/>
                <w:szCs w:val="20"/>
                <w:lang w:val="fr-FR" w:eastAsia="en-GB"/>
              </w:rPr>
              <w:t>Préengagés/planifiés </w:t>
            </w:r>
            <w:r w:rsidR="006712F6" w:rsidRPr="00941FA7">
              <w:rPr>
                <w:rFonts w:eastAsia="Times New Roman" w:cs="Calibri"/>
                <w:b/>
                <w:bCs/>
                <w:sz w:val="20"/>
                <w:szCs w:val="20"/>
                <w:lang w:val="fr-FR" w:eastAsia="en-GB"/>
              </w:rPr>
              <w:t>:</w:t>
            </w:r>
            <w:r w:rsidR="006712F6" w:rsidRPr="00941FA7">
              <w:rPr>
                <w:rFonts w:eastAsia="Times New Roman" w:cs="Calibri"/>
                <w:sz w:val="20"/>
                <w:szCs w:val="20"/>
                <w:lang w:val="fr-FR" w:eastAsia="en-GB"/>
              </w:rPr>
              <w:t xml:space="preserve"> (i) </w:t>
            </w:r>
            <w:r w:rsidR="00543927" w:rsidRPr="00941FA7">
              <w:rPr>
                <w:rFonts w:eastAsia="Times New Roman" w:cs="Calibri"/>
                <w:sz w:val="20"/>
                <w:szCs w:val="20"/>
                <w:lang w:val="fr-FR" w:eastAsia="en-GB"/>
              </w:rPr>
              <w:t>9</w:t>
            </w:r>
            <w:r w:rsidRPr="00941FA7">
              <w:rPr>
                <w:rFonts w:eastAsia="Times New Roman" w:cs="Calibri"/>
                <w:sz w:val="20"/>
                <w:szCs w:val="20"/>
                <w:lang w:val="fr-FR" w:eastAsia="en-GB"/>
              </w:rPr>
              <w:t xml:space="preserve"> 000 réunions du Comité permanent, </w:t>
            </w:r>
            <w:r w:rsidR="00543927" w:rsidRPr="00941FA7">
              <w:rPr>
                <w:rFonts w:eastAsia="Times New Roman" w:cs="Calibri"/>
                <w:sz w:val="20"/>
                <w:szCs w:val="20"/>
                <w:lang w:val="fr-FR" w:eastAsia="en-GB"/>
              </w:rPr>
              <w:t xml:space="preserve">(ii) </w:t>
            </w:r>
            <w:r w:rsidRPr="00941FA7">
              <w:rPr>
                <w:rFonts w:eastAsia="Times New Roman" w:cs="Calibri"/>
                <w:sz w:val="20"/>
                <w:szCs w:val="20"/>
                <w:lang w:val="fr-FR" w:eastAsia="en-GB"/>
              </w:rPr>
              <w:t xml:space="preserve">14 000 Groupe de travail sur l’efficacité, et </w:t>
            </w:r>
            <w:r w:rsidR="006712F6" w:rsidRPr="00941FA7">
              <w:rPr>
                <w:rFonts w:eastAsia="Times New Roman" w:cs="Calibri"/>
                <w:sz w:val="20"/>
                <w:szCs w:val="20"/>
                <w:lang w:val="fr-FR" w:eastAsia="en-GB"/>
              </w:rPr>
              <w:t xml:space="preserve">(ii) </w:t>
            </w:r>
            <w:r w:rsidR="00430A7A" w:rsidRPr="00941FA7">
              <w:rPr>
                <w:rFonts w:eastAsia="Times New Roman" w:cs="Calibri"/>
                <w:sz w:val="20"/>
                <w:szCs w:val="20"/>
                <w:lang w:val="fr-FR" w:eastAsia="en-GB"/>
              </w:rPr>
              <w:t>2</w:t>
            </w:r>
            <w:r w:rsidR="006C1AC0" w:rsidRPr="00941FA7">
              <w:rPr>
                <w:rFonts w:eastAsia="Times New Roman" w:cs="Calibri"/>
                <w:sz w:val="20"/>
                <w:szCs w:val="20"/>
                <w:lang w:val="fr-FR" w:eastAsia="en-GB"/>
              </w:rPr>
              <w:t> 000 examen des résolutions (Ré</w:t>
            </w:r>
            <w:r w:rsidR="006712F6" w:rsidRPr="00941FA7">
              <w:rPr>
                <w:rFonts w:eastAsia="Times New Roman" w:cs="Calibri"/>
                <w:sz w:val="20"/>
                <w:szCs w:val="20"/>
                <w:lang w:val="fr-FR" w:eastAsia="en-GB"/>
              </w:rPr>
              <w:t>s</w:t>
            </w:r>
            <w:r w:rsidR="008E66EE" w:rsidRPr="00941FA7">
              <w:rPr>
                <w:rFonts w:eastAsia="Times New Roman" w:cs="Calibri"/>
                <w:sz w:val="20"/>
                <w:szCs w:val="20"/>
                <w:lang w:val="fr-FR" w:eastAsia="en-GB"/>
              </w:rPr>
              <w:t>olution XIII.4).</w:t>
            </w:r>
            <w:r w:rsidR="006712F6" w:rsidRPr="00941FA7">
              <w:rPr>
                <w:rFonts w:eastAsia="Times New Roman" w:cs="Calibri"/>
                <w:sz w:val="20"/>
                <w:szCs w:val="20"/>
                <w:lang w:val="fr-FR" w:eastAsia="en-GB"/>
              </w:rPr>
              <w:br/>
            </w:r>
            <w:r w:rsidR="006C1AC0" w:rsidRPr="00941FA7">
              <w:rPr>
                <w:rFonts w:asciiTheme="minorHAnsi" w:eastAsia="Times New Roman" w:hAnsiTheme="minorHAnsi" w:cstheme="minorHAnsi"/>
                <w:b/>
                <w:bCs/>
                <w:sz w:val="20"/>
                <w:szCs w:val="20"/>
                <w:lang w:val="fr-FR" w:eastAsia="en-GB"/>
              </w:rPr>
              <w:t xml:space="preserve">Économies </w:t>
            </w:r>
            <w:r w:rsidR="006712F6" w:rsidRPr="00941FA7">
              <w:rPr>
                <w:rFonts w:asciiTheme="minorHAnsi" w:eastAsia="Times New Roman" w:hAnsiTheme="minorHAnsi" w:cstheme="minorHAnsi"/>
                <w:b/>
                <w:bCs/>
                <w:sz w:val="20"/>
                <w:szCs w:val="20"/>
                <w:lang w:val="fr-FR" w:eastAsia="en-GB"/>
              </w:rPr>
              <w:t>:</w:t>
            </w:r>
            <w:r w:rsidR="006712F6" w:rsidRPr="00941FA7">
              <w:rPr>
                <w:rFonts w:asciiTheme="minorHAnsi" w:eastAsia="Times New Roman" w:hAnsiTheme="minorHAnsi" w:cstheme="minorHAnsi"/>
                <w:sz w:val="20"/>
                <w:szCs w:val="20"/>
                <w:lang w:val="fr-FR" w:eastAsia="en-GB"/>
              </w:rPr>
              <w:t xml:space="preserve"> </w:t>
            </w:r>
            <w:r w:rsidR="006C1AC0" w:rsidRPr="00941FA7">
              <w:rPr>
                <w:rStyle w:val="markedcontent"/>
                <w:rFonts w:asciiTheme="minorHAnsi" w:hAnsiTheme="minorHAnsi" w:cstheme="minorHAnsi"/>
                <w:sz w:val="20"/>
                <w:szCs w:val="20"/>
                <w:lang w:val="fr-FR"/>
              </w:rPr>
              <w:t>services au Comité permanent</w:t>
            </w:r>
            <w:r w:rsidR="00CC5EED">
              <w:rPr>
                <w:rStyle w:val="markedcontent"/>
                <w:rFonts w:asciiTheme="minorHAnsi" w:hAnsiTheme="minorHAnsi" w:cstheme="minorHAnsi"/>
                <w:sz w:val="20"/>
                <w:szCs w:val="20"/>
                <w:lang w:val="fr-FR"/>
              </w:rPr>
              <w:t xml:space="preserve"> car la réunion en présentiel n’</w:t>
            </w:r>
            <w:r w:rsidR="006C1AC0" w:rsidRPr="00941FA7">
              <w:rPr>
                <w:rStyle w:val="markedcontent"/>
                <w:rFonts w:asciiTheme="minorHAnsi" w:hAnsiTheme="minorHAnsi" w:cstheme="minorHAnsi"/>
                <w:sz w:val="20"/>
                <w:szCs w:val="20"/>
                <w:lang w:val="fr-FR"/>
              </w:rPr>
              <w:t>a pas eu lieu</w:t>
            </w:r>
            <w:r w:rsidR="008E66EE" w:rsidRPr="00941FA7">
              <w:rPr>
                <w:rFonts w:asciiTheme="minorHAnsi" w:eastAsia="Times New Roman" w:hAnsiTheme="minorHAnsi" w:cstheme="minorHAnsi"/>
                <w:sz w:val="20"/>
                <w:szCs w:val="20"/>
                <w:lang w:val="fr-FR" w:eastAsia="en-GB"/>
              </w:rPr>
              <w:t>.</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hideMark/>
          </w:tcPr>
          <w:p w:rsidR="006712F6" w:rsidRPr="00941FA7" w:rsidRDefault="00863FFA" w:rsidP="008F7FC4">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Provisions, différences liées au change et services juridiques</w:t>
            </w:r>
          </w:p>
        </w:tc>
        <w:tc>
          <w:tcPr>
            <w:tcW w:w="1370" w:type="dxa"/>
            <w:tcBorders>
              <w:top w:val="nil"/>
              <w:left w:val="nil"/>
              <w:bottom w:val="single" w:sz="4" w:space="0" w:color="auto"/>
              <w:right w:val="single" w:sz="4" w:space="0" w:color="auto"/>
            </w:tcBorders>
            <w:shd w:val="clear" w:color="auto" w:fill="auto"/>
            <w:hideMark/>
          </w:tcPr>
          <w:p w:rsidR="006712F6" w:rsidRPr="00941FA7" w:rsidRDefault="00D85F2C"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62</w:t>
            </w:r>
          </w:p>
        </w:tc>
        <w:tc>
          <w:tcPr>
            <w:tcW w:w="1152" w:type="dxa"/>
            <w:tcBorders>
              <w:top w:val="nil"/>
              <w:left w:val="nil"/>
              <w:bottom w:val="single" w:sz="4" w:space="0" w:color="auto"/>
              <w:right w:val="single" w:sz="4" w:space="0" w:color="auto"/>
            </w:tcBorders>
            <w:shd w:val="clear" w:color="auto" w:fill="auto"/>
            <w:hideMark/>
          </w:tcPr>
          <w:p w:rsidR="006712F6" w:rsidRPr="00941FA7" w:rsidRDefault="00D85F2C"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560</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543927" w:rsidP="00FB0D9D">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622</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240B19" w:rsidP="00CC5EED">
            <w:pPr>
              <w:ind w:left="0" w:firstLine="0"/>
              <w:rPr>
                <w:rFonts w:eastAsia="Times New Roman" w:cs="Calibri"/>
                <w:sz w:val="20"/>
                <w:szCs w:val="20"/>
                <w:lang w:val="fr-FR" w:eastAsia="en-GB"/>
              </w:rPr>
            </w:pPr>
            <w:r w:rsidRPr="00941FA7">
              <w:rPr>
                <w:rFonts w:eastAsia="Times New Roman" w:cs="Calibri"/>
                <w:b/>
                <w:bCs/>
                <w:color w:val="000000"/>
                <w:sz w:val="20"/>
                <w:szCs w:val="20"/>
                <w:lang w:val="fr-FR" w:eastAsia="en-GB"/>
              </w:rPr>
              <w:t>Préengagés/planifiés </w:t>
            </w:r>
            <w:r w:rsidR="006712F6" w:rsidRPr="00941FA7">
              <w:rPr>
                <w:rFonts w:eastAsia="Times New Roman" w:cs="Calibri"/>
                <w:b/>
                <w:bCs/>
                <w:sz w:val="20"/>
                <w:szCs w:val="20"/>
                <w:lang w:val="fr-FR" w:eastAsia="en-GB"/>
              </w:rPr>
              <w:t>:</w:t>
            </w:r>
            <w:r w:rsidR="006712F6" w:rsidRPr="00941FA7">
              <w:rPr>
                <w:rFonts w:eastAsia="Times New Roman" w:cs="Calibri"/>
                <w:sz w:val="20"/>
                <w:szCs w:val="20"/>
                <w:lang w:val="fr-FR" w:eastAsia="en-GB"/>
              </w:rPr>
              <w:t xml:space="preserve"> (i) </w:t>
            </w:r>
            <w:r w:rsidR="00863FFA" w:rsidRPr="00941FA7">
              <w:rPr>
                <w:rFonts w:eastAsia="Times New Roman" w:cs="Calibri"/>
                <w:sz w:val="20"/>
                <w:szCs w:val="20"/>
                <w:lang w:val="fr-FR" w:eastAsia="en-GB"/>
              </w:rPr>
              <w:t>frais juridiques : 8 000 analyse financière de la situation juridique du Secrétariat, 38 000 conseils juridiques et 16 000 audit</w:t>
            </w:r>
            <w:r w:rsidR="009D3819" w:rsidRPr="00941FA7">
              <w:rPr>
                <w:rFonts w:eastAsia="Times New Roman" w:cs="Calibri"/>
                <w:sz w:val="20"/>
                <w:szCs w:val="20"/>
                <w:lang w:val="fr-FR" w:eastAsia="en-GB"/>
              </w:rPr>
              <w:t>.</w:t>
            </w:r>
            <w:r w:rsidR="006712F6" w:rsidRPr="00941FA7">
              <w:rPr>
                <w:rFonts w:eastAsia="Times New Roman" w:cs="Calibri"/>
                <w:sz w:val="20"/>
                <w:szCs w:val="20"/>
                <w:lang w:val="fr-FR" w:eastAsia="en-GB"/>
              </w:rPr>
              <w:br/>
            </w:r>
            <w:r w:rsidR="00863FFA" w:rsidRPr="00941FA7">
              <w:rPr>
                <w:rFonts w:eastAsia="Times New Roman" w:cs="Calibri"/>
                <w:b/>
                <w:bCs/>
                <w:sz w:val="20"/>
                <w:szCs w:val="20"/>
                <w:lang w:val="fr-FR" w:eastAsia="en-GB"/>
              </w:rPr>
              <w:t>Économies </w:t>
            </w:r>
            <w:r w:rsidR="006712F6" w:rsidRPr="00941FA7">
              <w:rPr>
                <w:rFonts w:eastAsia="Times New Roman" w:cs="Calibri"/>
                <w:b/>
                <w:bCs/>
                <w:sz w:val="20"/>
                <w:szCs w:val="20"/>
                <w:lang w:val="fr-FR" w:eastAsia="en-GB"/>
              </w:rPr>
              <w:t xml:space="preserve">: </w:t>
            </w:r>
            <w:r w:rsidR="006712F6" w:rsidRPr="00941FA7">
              <w:rPr>
                <w:rFonts w:eastAsia="Times New Roman" w:cs="Calibri"/>
                <w:sz w:val="20"/>
                <w:szCs w:val="20"/>
                <w:lang w:val="fr-FR" w:eastAsia="en-GB"/>
              </w:rPr>
              <w:t>net</w:t>
            </w:r>
            <w:r w:rsidR="00863FFA" w:rsidRPr="00941FA7">
              <w:rPr>
                <w:rFonts w:eastAsia="Times New Roman" w:cs="Calibri"/>
                <w:sz w:val="20"/>
                <w:szCs w:val="20"/>
                <w:lang w:val="fr-FR" w:eastAsia="en-GB"/>
              </w:rPr>
              <w:t>tes de</w:t>
            </w:r>
            <w:r w:rsidR="006712F6" w:rsidRPr="00941FA7">
              <w:rPr>
                <w:rFonts w:eastAsia="Times New Roman" w:cs="Calibri"/>
                <w:sz w:val="20"/>
                <w:szCs w:val="20"/>
                <w:lang w:val="fr-FR" w:eastAsia="en-GB"/>
              </w:rPr>
              <w:t xml:space="preserve"> (i) </w:t>
            </w:r>
            <w:r w:rsidR="00E0497A" w:rsidRPr="00941FA7">
              <w:rPr>
                <w:rFonts w:eastAsia="Times New Roman" w:cs="Calibri"/>
                <w:sz w:val="20"/>
                <w:szCs w:val="20"/>
                <w:lang w:val="fr-FR" w:eastAsia="en-GB"/>
              </w:rPr>
              <w:t>85</w:t>
            </w:r>
            <w:r w:rsidR="00863FFA" w:rsidRPr="00941FA7">
              <w:rPr>
                <w:rFonts w:eastAsia="Times New Roman" w:cs="Calibri"/>
                <w:sz w:val="20"/>
                <w:szCs w:val="20"/>
                <w:lang w:val="fr-FR" w:eastAsia="en-GB"/>
              </w:rPr>
              <w:t> 000</w:t>
            </w:r>
            <w:r w:rsidR="00E0497A" w:rsidRPr="00941FA7">
              <w:rPr>
                <w:rFonts w:eastAsia="Times New Roman" w:cs="Calibri"/>
                <w:sz w:val="20"/>
                <w:szCs w:val="20"/>
                <w:lang w:val="fr-FR" w:eastAsia="en-GB"/>
              </w:rPr>
              <w:t xml:space="preserve"> </w:t>
            </w:r>
            <w:r w:rsidR="006712F6" w:rsidRPr="00941FA7">
              <w:rPr>
                <w:rFonts w:eastAsia="Times New Roman" w:cs="Calibri"/>
                <w:sz w:val="20"/>
                <w:szCs w:val="20"/>
                <w:lang w:val="fr-FR" w:eastAsia="en-GB"/>
              </w:rPr>
              <w:t>provisions</w:t>
            </w:r>
            <w:r w:rsidR="00863FFA" w:rsidRPr="00941FA7">
              <w:rPr>
                <w:rFonts w:eastAsia="Times New Roman" w:cs="Calibri"/>
                <w:sz w:val="20"/>
                <w:szCs w:val="20"/>
                <w:lang w:val="fr-FR" w:eastAsia="en-GB"/>
              </w:rPr>
              <w:t xml:space="preserve"> pour le personnel</w:t>
            </w:r>
            <w:r w:rsidR="006712F6" w:rsidRPr="00941FA7">
              <w:rPr>
                <w:rFonts w:eastAsia="Times New Roman" w:cs="Calibri"/>
                <w:sz w:val="20"/>
                <w:szCs w:val="20"/>
                <w:lang w:val="fr-FR" w:eastAsia="en-GB"/>
              </w:rPr>
              <w:t xml:space="preserve">, (ii) </w:t>
            </w:r>
            <w:r w:rsidR="00E0497A" w:rsidRPr="00941FA7">
              <w:rPr>
                <w:rFonts w:eastAsia="Times New Roman" w:cs="Calibri"/>
                <w:sz w:val="20"/>
                <w:szCs w:val="20"/>
                <w:lang w:val="fr-FR" w:eastAsia="en-GB"/>
              </w:rPr>
              <w:t>59</w:t>
            </w:r>
            <w:r w:rsidR="00863FFA" w:rsidRPr="00941FA7">
              <w:rPr>
                <w:rFonts w:eastAsia="Times New Roman" w:cs="Calibri"/>
                <w:sz w:val="20"/>
                <w:szCs w:val="20"/>
                <w:lang w:val="fr-FR" w:eastAsia="en-GB"/>
              </w:rPr>
              <w:t> 000 économies sur les</w:t>
            </w:r>
            <w:r w:rsidR="006712F6" w:rsidRPr="00941FA7">
              <w:rPr>
                <w:rFonts w:eastAsia="Times New Roman" w:cs="Calibri"/>
                <w:sz w:val="20"/>
                <w:szCs w:val="20"/>
                <w:lang w:val="fr-FR" w:eastAsia="en-GB"/>
              </w:rPr>
              <w:t xml:space="preserve"> services </w:t>
            </w:r>
            <w:r w:rsidR="00863FFA" w:rsidRPr="00941FA7">
              <w:rPr>
                <w:rFonts w:eastAsia="Times New Roman" w:cs="Calibri"/>
                <w:sz w:val="20"/>
                <w:szCs w:val="20"/>
                <w:lang w:val="fr-FR" w:eastAsia="en-GB"/>
              </w:rPr>
              <w:t>juridiques</w:t>
            </w:r>
            <w:r w:rsidR="00D85F2C" w:rsidRPr="00941FA7">
              <w:rPr>
                <w:rFonts w:eastAsia="Times New Roman" w:cs="Calibri"/>
                <w:sz w:val="20"/>
                <w:szCs w:val="20"/>
                <w:lang w:val="fr-FR" w:eastAsia="en-GB"/>
              </w:rPr>
              <w:t>,</w:t>
            </w:r>
            <w:r w:rsidR="00863FFA" w:rsidRPr="00941FA7">
              <w:rPr>
                <w:rFonts w:eastAsia="Times New Roman" w:cs="Calibri"/>
                <w:sz w:val="20"/>
                <w:szCs w:val="20"/>
                <w:lang w:val="fr-FR" w:eastAsia="en-GB"/>
              </w:rPr>
              <w:t xml:space="preserve"> </w:t>
            </w:r>
            <w:r w:rsidR="006712F6" w:rsidRPr="00941FA7">
              <w:rPr>
                <w:rFonts w:eastAsia="Times New Roman" w:cs="Calibri"/>
                <w:sz w:val="20"/>
                <w:szCs w:val="20"/>
                <w:lang w:val="fr-FR" w:eastAsia="en-GB"/>
              </w:rPr>
              <w:t xml:space="preserve">(iii) </w:t>
            </w:r>
            <w:r w:rsidR="00863FFA" w:rsidRPr="00941FA7">
              <w:rPr>
                <w:rFonts w:eastAsia="Times New Roman" w:cs="Calibri"/>
                <w:sz w:val="20"/>
                <w:szCs w:val="20"/>
                <w:lang w:val="fr-FR" w:eastAsia="en-GB"/>
              </w:rPr>
              <w:t xml:space="preserve">80 000 gains sur le change pour la période triennale </w:t>
            </w:r>
            <w:r w:rsidR="006712F6" w:rsidRPr="00941FA7">
              <w:rPr>
                <w:rFonts w:eastAsia="Times New Roman" w:cs="Calibri"/>
                <w:sz w:val="20"/>
                <w:szCs w:val="20"/>
                <w:lang w:val="fr-FR" w:eastAsia="en-GB"/>
              </w:rPr>
              <w:t>2019</w:t>
            </w:r>
            <w:r w:rsidR="00E0497A" w:rsidRPr="00941FA7">
              <w:rPr>
                <w:rFonts w:eastAsia="Times New Roman" w:cs="Calibri"/>
                <w:sz w:val="20"/>
                <w:szCs w:val="20"/>
                <w:lang w:val="fr-FR" w:eastAsia="en-GB"/>
              </w:rPr>
              <w:t>-2021</w:t>
            </w:r>
            <w:r w:rsidR="00863FFA" w:rsidRPr="00941FA7">
              <w:rPr>
                <w:rFonts w:eastAsia="Times New Roman" w:cs="Calibri"/>
                <w:sz w:val="20"/>
                <w:szCs w:val="20"/>
                <w:lang w:val="fr-FR" w:eastAsia="en-GB"/>
              </w:rPr>
              <w:t>,</w:t>
            </w:r>
            <w:r w:rsidR="00E0497A" w:rsidRPr="00941FA7">
              <w:rPr>
                <w:rFonts w:eastAsia="Times New Roman" w:cs="Calibri"/>
                <w:sz w:val="20"/>
                <w:szCs w:val="20"/>
                <w:lang w:val="fr-FR" w:eastAsia="en-GB"/>
              </w:rPr>
              <w:t xml:space="preserve"> </w:t>
            </w:r>
            <w:r w:rsidR="00863FFA" w:rsidRPr="00941FA7">
              <w:rPr>
                <w:rFonts w:eastAsia="Times New Roman" w:cs="Calibri"/>
                <w:sz w:val="20"/>
                <w:szCs w:val="20"/>
                <w:lang w:val="fr-FR" w:eastAsia="en-GB"/>
              </w:rPr>
              <w:t>et</w:t>
            </w:r>
            <w:r w:rsidR="00D85F2C" w:rsidRPr="00941FA7">
              <w:rPr>
                <w:rFonts w:eastAsia="Times New Roman" w:cs="Calibri"/>
                <w:sz w:val="20"/>
                <w:szCs w:val="20"/>
                <w:lang w:val="fr-FR" w:eastAsia="en-GB"/>
              </w:rPr>
              <w:t xml:space="preserve"> (iv) 496</w:t>
            </w:r>
            <w:r w:rsidR="00863FFA" w:rsidRPr="00941FA7">
              <w:rPr>
                <w:rFonts w:eastAsia="Times New Roman" w:cs="Calibri"/>
                <w:sz w:val="20"/>
                <w:szCs w:val="20"/>
                <w:lang w:val="fr-FR" w:eastAsia="en-GB"/>
              </w:rPr>
              <w:t> 000</w:t>
            </w:r>
            <w:r w:rsidR="00D85F2C" w:rsidRPr="00941FA7">
              <w:rPr>
                <w:rFonts w:eastAsia="Times New Roman" w:cs="Calibri"/>
                <w:sz w:val="20"/>
                <w:szCs w:val="20"/>
                <w:lang w:val="fr-FR" w:eastAsia="en-GB"/>
              </w:rPr>
              <w:t xml:space="preserve"> </w:t>
            </w:r>
            <w:r w:rsidR="00863FFA" w:rsidRPr="00941FA7">
              <w:rPr>
                <w:rFonts w:eastAsia="Times New Roman" w:cs="Calibri"/>
                <w:sz w:val="20"/>
                <w:szCs w:val="20"/>
                <w:lang w:val="fr-FR" w:eastAsia="en-GB"/>
              </w:rPr>
              <w:t xml:space="preserve">économies sur le budget </w:t>
            </w:r>
            <w:r w:rsidR="00D85F2C" w:rsidRPr="00941FA7">
              <w:rPr>
                <w:rFonts w:eastAsia="Times New Roman" w:cs="Calibri"/>
                <w:sz w:val="20"/>
                <w:szCs w:val="20"/>
                <w:lang w:val="fr-FR" w:eastAsia="en-GB"/>
              </w:rPr>
              <w:t>2020</w:t>
            </w:r>
            <w:r w:rsidR="0020468D" w:rsidRPr="00941FA7">
              <w:rPr>
                <w:rFonts w:eastAsia="Times New Roman" w:cs="Calibri"/>
                <w:sz w:val="20"/>
                <w:szCs w:val="20"/>
                <w:lang w:val="fr-FR" w:eastAsia="en-GB"/>
              </w:rPr>
              <w:t xml:space="preserve"> pour la SC58</w:t>
            </w:r>
            <w:r w:rsidR="0017480B" w:rsidRPr="00941FA7">
              <w:rPr>
                <w:rFonts w:eastAsia="Times New Roman" w:cs="Calibri"/>
                <w:sz w:val="20"/>
                <w:szCs w:val="20"/>
                <w:lang w:val="fr-FR" w:eastAsia="en-GB"/>
              </w:rPr>
              <w:t>.</w:t>
            </w:r>
          </w:p>
        </w:tc>
      </w:tr>
      <w:tr w:rsidR="006712F6" w:rsidRPr="00941FA7" w:rsidTr="00375CFF">
        <w:trPr>
          <w:cantSplit/>
        </w:trPr>
        <w:tc>
          <w:tcPr>
            <w:tcW w:w="1560" w:type="dxa"/>
            <w:tcBorders>
              <w:top w:val="nil"/>
              <w:left w:val="single" w:sz="4" w:space="0" w:color="auto"/>
              <w:bottom w:val="single" w:sz="4" w:space="0" w:color="auto"/>
              <w:right w:val="single" w:sz="4" w:space="0" w:color="auto"/>
            </w:tcBorders>
            <w:shd w:val="clear" w:color="000000" w:fill="DBE5F1"/>
            <w:noWrap/>
            <w:hideMark/>
          </w:tcPr>
          <w:p w:rsidR="006712F6" w:rsidRPr="00941FA7" w:rsidRDefault="00C85CDC" w:rsidP="00C85CDC">
            <w:pPr>
              <w:ind w:left="0" w:firstLine="0"/>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Sous</w:t>
            </w:r>
            <w:r w:rsidR="006712F6" w:rsidRPr="00941FA7">
              <w:rPr>
                <w:rFonts w:eastAsia="Times New Roman" w:cs="Calibri"/>
                <w:b/>
                <w:bCs/>
                <w:color w:val="000000"/>
                <w:sz w:val="20"/>
                <w:szCs w:val="20"/>
                <w:lang w:val="fr-FR" w:eastAsia="en-GB"/>
              </w:rPr>
              <w:t>-</w:t>
            </w:r>
            <w:r w:rsidRPr="00941FA7">
              <w:rPr>
                <w:rFonts w:eastAsia="Times New Roman" w:cs="Calibri"/>
                <w:b/>
                <w:bCs/>
                <w:color w:val="000000"/>
                <w:sz w:val="20"/>
                <w:szCs w:val="20"/>
                <w:lang w:val="fr-FR" w:eastAsia="en-GB"/>
              </w:rPr>
              <w:t>t</w:t>
            </w:r>
            <w:r w:rsidR="006712F6" w:rsidRPr="00941FA7">
              <w:rPr>
                <w:rFonts w:eastAsia="Times New Roman" w:cs="Calibri"/>
                <w:b/>
                <w:bCs/>
                <w:color w:val="000000"/>
                <w:sz w:val="20"/>
                <w:szCs w:val="20"/>
                <w:lang w:val="fr-FR" w:eastAsia="en-GB"/>
              </w:rPr>
              <w:t>otal</w:t>
            </w:r>
          </w:p>
        </w:tc>
        <w:tc>
          <w:tcPr>
            <w:tcW w:w="1370" w:type="dxa"/>
            <w:tcBorders>
              <w:top w:val="nil"/>
              <w:left w:val="nil"/>
              <w:bottom w:val="single" w:sz="4" w:space="0" w:color="auto"/>
              <w:right w:val="single" w:sz="4" w:space="0" w:color="auto"/>
            </w:tcBorders>
            <w:shd w:val="clear" w:color="000000" w:fill="DBE5F1"/>
            <w:noWrap/>
            <w:hideMark/>
          </w:tcPr>
          <w:p w:rsidR="006712F6" w:rsidRPr="00941FA7" w:rsidRDefault="00C85D9D" w:rsidP="00FB0D9D">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767</w:t>
            </w:r>
          </w:p>
        </w:tc>
        <w:tc>
          <w:tcPr>
            <w:tcW w:w="1152" w:type="dxa"/>
            <w:tcBorders>
              <w:top w:val="nil"/>
              <w:left w:val="nil"/>
              <w:bottom w:val="single" w:sz="4" w:space="0" w:color="auto"/>
              <w:right w:val="single" w:sz="4" w:space="0" w:color="auto"/>
            </w:tcBorders>
            <w:shd w:val="clear" w:color="000000" w:fill="DBE5F1"/>
            <w:noWrap/>
            <w:hideMark/>
          </w:tcPr>
          <w:p w:rsidR="006712F6" w:rsidRPr="00941FA7" w:rsidRDefault="00C85D9D" w:rsidP="009C5CE3">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2,042</w:t>
            </w:r>
          </w:p>
        </w:tc>
        <w:tc>
          <w:tcPr>
            <w:tcW w:w="1588" w:type="dxa"/>
            <w:tcBorders>
              <w:top w:val="nil"/>
              <w:left w:val="nil"/>
              <w:bottom w:val="single" w:sz="4" w:space="0" w:color="auto"/>
              <w:right w:val="single" w:sz="4" w:space="0" w:color="auto"/>
            </w:tcBorders>
            <w:shd w:val="clear" w:color="000000" w:fill="DBE5F1"/>
            <w:noWrap/>
            <w:hideMark/>
          </w:tcPr>
          <w:p w:rsidR="006712F6" w:rsidRPr="00941FA7" w:rsidRDefault="00A60D34" w:rsidP="00FB0D9D">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w:t>
            </w:r>
            <w:r w:rsidR="00AA1B8D" w:rsidRPr="00941FA7">
              <w:rPr>
                <w:rFonts w:eastAsia="Times New Roman" w:cs="Calibri"/>
                <w:b/>
                <w:bCs/>
                <w:color w:val="000000"/>
                <w:sz w:val="20"/>
                <w:szCs w:val="20"/>
                <w:lang w:val="fr-FR" w:eastAsia="en-GB"/>
              </w:rPr>
              <w:t>809</w:t>
            </w:r>
          </w:p>
        </w:tc>
        <w:tc>
          <w:tcPr>
            <w:tcW w:w="3828" w:type="dxa"/>
            <w:tcBorders>
              <w:top w:val="nil"/>
              <w:left w:val="nil"/>
              <w:bottom w:val="single" w:sz="4" w:space="0" w:color="auto"/>
              <w:right w:val="single" w:sz="4" w:space="0" w:color="auto"/>
            </w:tcBorders>
            <w:shd w:val="clear" w:color="000000" w:fill="DBE5F1"/>
            <w:noWrap/>
            <w:hideMark/>
          </w:tcPr>
          <w:p w:rsidR="006712F6" w:rsidRPr="00941FA7" w:rsidRDefault="006712F6" w:rsidP="00FB0D9D">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r>
      <w:tr w:rsidR="006712F6" w:rsidRPr="008939B8" w:rsidTr="00375CFF">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C85CDC" w:rsidP="008F7FC4">
            <w:pPr>
              <w:ind w:left="0" w:firstLine="0"/>
              <w:outlineLvl w:val="0"/>
              <w:rPr>
                <w:rFonts w:eastAsia="Times New Roman" w:cs="Calibri"/>
                <w:color w:val="000000"/>
                <w:sz w:val="20"/>
                <w:szCs w:val="20"/>
                <w:lang w:val="fr-FR" w:eastAsia="en-GB"/>
              </w:rPr>
            </w:pPr>
            <w:r w:rsidRPr="00941FA7">
              <w:rPr>
                <w:rFonts w:eastAsia="Times New Roman" w:cs="Calibri"/>
                <w:color w:val="000000"/>
                <w:sz w:val="20"/>
                <w:szCs w:val="20"/>
                <w:lang w:val="fr-FR" w:eastAsia="en-GB"/>
              </w:rPr>
              <w:t>Déficit des recettes par rapport au budget</w:t>
            </w:r>
          </w:p>
        </w:tc>
        <w:tc>
          <w:tcPr>
            <w:tcW w:w="1370" w:type="dxa"/>
            <w:tcBorders>
              <w:top w:val="nil"/>
              <w:left w:val="nil"/>
              <w:bottom w:val="single" w:sz="4" w:space="0" w:color="auto"/>
              <w:right w:val="single" w:sz="4" w:space="0" w:color="auto"/>
            </w:tcBorders>
            <w:shd w:val="clear" w:color="auto" w:fill="auto"/>
            <w:hideMark/>
          </w:tcPr>
          <w:p w:rsidR="006712F6" w:rsidRPr="00941FA7" w:rsidRDefault="006712F6" w:rsidP="00FB0D9D">
            <w:pPr>
              <w:ind w:left="0" w:firstLine="0"/>
              <w:jc w:val="right"/>
              <w:outlineLvl w:val="0"/>
              <w:rPr>
                <w:rFonts w:eastAsia="Times New Roman" w:cs="Calibri"/>
                <w:sz w:val="20"/>
                <w:szCs w:val="20"/>
                <w:lang w:val="fr-FR" w:eastAsia="en-GB"/>
              </w:rPr>
            </w:pPr>
          </w:p>
        </w:tc>
        <w:tc>
          <w:tcPr>
            <w:tcW w:w="1152" w:type="dxa"/>
            <w:tcBorders>
              <w:top w:val="nil"/>
              <w:left w:val="nil"/>
              <w:bottom w:val="nil"/>
              <w:right w:val="nil"/>
            </w:tcBorders>
            <w:shd w:val="clear" w:color="auto" w:fill="auto"/>
            <w:noWrap/>
            <w:hideMark/>
          </w:tcPr>
          <w:p w:rsidR="006712F6" w:rsidRPr="00941FA7" w:rsidRDefault="0062467F" w:rsidP="00FB0D9D">
            <w:pPr>
              <w:ind w:left="0" w:firstLine="0"/>
              <w:jc w:val="right"/>
              <w:outlineLvl w:val="0"/>
              <w:rPr>
                <w:rFonts w:eastAsia="Times New Roman" w:cs="Calibri"/>
                <w:sz w:val="20"/>
                <w:szCs w:val="20"/>
                <w:lang w:val="fr-FR" w:eastAsia="en-GB"/>
              </w:rPr>
            </w:pPr>
            <w:r w:rsidRPr="00941FA7">
              <w:rPr>
                <w:rFonts w:eastAsia="Times New Roman" w:cs="Calibri"/>
                <w:sz w:val="20"/>
                <w:szCs w:val="20"/>
                <w:lang w:val="fr-FR" w:eastAsia="en-GB"/>
              </w:rPr>
              <w:t>-</w:t>
            </w:r>
            <w:r w:rsidR="00AA1B8D" w:rsidRPr="00941FA7">
              <w:rPr>
                <w:rFonts w:eastAsia="Times New Roman" w:cs="Calibri"/>
                <w:sz w:val="20"/>
                <w:szCs w:val="20"/>
                <w:lang w:val="fr-FR" w:eastAsia="en-GB"/>
              </w:rPr>
              <w:t>10</w:t>
            </w:r>
          </w:p>
        </w:tc>
        <w:tc>
          <w:tcPr>
            <w:tcW w:w="1588" w:type="dxa"/>
            <w:tcBorders>
              <w:top w:val="nil"/>
              <w:left w:val="single" w:sz="4" w:space="0" w:color="auto"/>
              <w:bottom w:val="single" w:sz="4" w:space="0" w:color="auto"/>
              <w:right w:val="single" w:sz="4" w:space="0" w:color="auto"/>
            </w:tcBorders>
            <w:shd w:val="clear" w:color="auto" w:fill="auto"/>
            <w:noWrap/>
            <w:hideMark/>
          </w:tcPr>
          <w:p w:rsidR="006712F6" w:rsidRPr="00941FA7" w:rsidRDefault="006712F6" w:rsidP="00FB0D9D">
            <w:pPr>
              <w:ind w:left="0" w:firstLine="0"/>
              <w:jc w:val="right"/>
              <w:outlineLvl w:val="0"/>
              <w:rPr>
                <w:rFonts w:eastAsia="Times New Roman" w:cs="Calibri"/>
                <w:sz w:val="20"/>
                <w:szCs w:val="20"/>
                <w:lang w:val="fr-FR" w:eastAsia="en-GB"/>
              </w:rPr>
            </w:pPr>
            <w:r w:rsidRPr="00941FA7">
              <w:rPr>
                <w:rFonts w:eastAsia="Times New Roman" w:cs="Calibri"/>
                <w:sz w:val="20"/>
                <w:szCs w:val="20"/>
                <w:lang w:val="fr-FR" w:eastAsia="en-GB"/>
              </w:rPr>
              <w:t>-</w:t>
            </w:r>
            <w:r w:rsidR="00AA1B8D" w:rsidRPr="00941FA7">
              <w:rPr>
                <w:rFonts w:eastAsia="Times New Roman" w:cs="Calibri"/>
                <w:sz w:val="20"/>
                <w:szCs w:val="20"/>
                <w:lang w:val="fr-FR" w:eastAsia="en-GB"/>
              </w:rPr>
              <w:t>10</w:t>
            </w:r>
          </w:p>
        </w:tc>
        <w:tc>
          <w:tcPr>
            <w:tcW w:w="3828" w:type="dxa"/>
            <w:tcBorders>
              <w:top w:val="nil"/>
              <w:left w:val="nil"/>
              <w:bottom w:val="single" w:sz="4" w:space="0" w:color="auto"/>
              <w:right w:val="single" w:sz="4" w:space="0" w:color="auto"/>
            </w:tcBorders>
            <w:shd w:val="clear" w:color="auto" w:fill="auto"/>
            <w:hideMark/>
          </w:tcPr>
          <w:p w:rsidR="006712F6" w:rsidRPr="00941FA7" w:rsidRDefault="00AA1B8D" w:rsidP="00F769B0">
            <w:pPr>
              <w:ind w:left="0" w:firstLine="0"/>
              <w:outlineLvl w:val="0"/>
              <w:rPr>
                <w:rFonts w:eastAsia="Times New Roman" w:cs="Calibri"/>
                <w:color w:val="000000"/>
                <w:sz w:val="20"/>
                <w:szCs w:val="20"/>
                <w:lang w:val="fr-FR" w:eastAsia="en-GB"/>
              </w:rPr>
            </w:pPr>
            <w:r w:rsidRPr="00941FA7">
              <w:rPr>
                <w:rFonts w:eastAsia="Times New Roman" w:cs="Calibri"/>
                <w:color w:val="000000"/>
                <w:sz w:val="20"/>
                <w:szCs w:val="20"/>
                <w:lang w:val="fr-FR" w:eastAsia="en-GB"/>
              </w:rPr>
              <w:t>10</w:t>
            </w:r>
            <w:r w:rsidR="00C85CDC" w:rsidRPr="00941FA7">
              <w:rPr>
                <w:rFonts w:eastAsia="Times New Roman" w:cs="Calibri"/>
                <w:color w:val="000000"/>
                <w:sz w:val="20"/>
                <w:szCs w:val="20"/>
                <w:lang w:val="fr-FR" w:eastAsia="en-GB"/>
              </w:rPr>
              <w:t> 000</w:t>
            </w:r>
            <w:r w:rsidRPr="00941FA7">
              <w:rPr>
                <w:rFonts w:eastAsia="Times New Roman" w:cs="Calibri"/>
                <w:color w:val="000000"/>
                <w:sz w:val="20"/>
                <w:szCs w:val="20"/>
                <w:lang w:val="fr-FR" w:eastAsia="en-GB"/>
              </w:rPr>
              <w:t xml:space="preserve"> </w:t>
            </w:r>
            <w:r w:rsidR="00F769B0" w:rsidRPr="00941FA7">
              <w:rPr>
                <w:rFonts w:eastAsia="Times New Roman" w:cs="Calibri"/>
                <w:color w:val="000000"/>
                <w:sz w:val="20"/>
                <w:szCs w:val="20"/>
                <w:lang w:val="fr-FR" w:eastAsia="en-GB"/>
              </w:rPr>
              <w:t>de revenus d’</w:t>
            </w:r>
            <w:r w:rsidR="00C85CDC" w:rsidRPr="00941FA7">
              <w:rPr>
                <w:rFonts w:eastAsia="Times New Roman" w:cs="Calibri"/>
                <w:color w:val="000000"/>
                <w:sz w:val="20"/>
                <w:szCs w:val="20"/>
                <w:lang w:val="fr-FR" w:eastAsia="en-GB"/>
              </w:rPr>
              <w:t xml:space="preserve">intérêts </w:t>
            </w:r>
            <w:r w:rsidR="00F769B0" w:rsidRPr="00941FA7">
              <w:rPr>
                <w:rFonts w:eastAsia="Times New Roman" w:cs="Calibri"/>
                <w:color w:val="000000"/>
                <w:sz w:val="20"/>
                <w:szCs w:val="20"/>
                <w:lang w:val="fr-FR" w:eastAsia="en-GB"/>
              </w:rPr>
              <w:t>en moins</w:t>
            </w:r>
            <w:r w:rsidR="0017480B" w:rsidRPr="00941FA7">
              <w:rPr>
                <w:rFonts w:eastAsia="Times New Roman" w:cs="Calibri"/>
                <w:color w:val="000000"/>
                <w:sz w:val="20"/>
                <w:szCs w:val="20"/>
                <w:lang w:val="fr-FR" w:eastAsia="en-GB"/>
              </w:rPr>
              <w:t>.</w:t>
            </w:r>
          </w:p>
        </w:tc>
      </w:tr>
      <w:tr w:rsidR="006712F6" w:rsidRPr="00941FA7" w:rsidTr="00375CFF">
        <w:trPr>
          <w:cantSplit/>
        </w:trPr>
        <w:tc>
          <w:tcPr>
            <w:tcW w:w="1560" w:type="dxa"/>
            <w:tcBorders>
              <w:top w:val="nil"/>
              <w:left w:val="single" w:sz="4" w:space="0" w:color="auto"/>
              <w:bottom w:val="single" w:sz="4" w:space="0" w:color="auto"/>
              <w:right w:val="single" w:sz="4" w:space="0" w:color="auto"/>
            </w:tcBorders>
            <w:shd w:val="clear" w:color="auto" w:fill="auto"/>
            <w:noWrap/>
          </w:tcPr>
          <w:p w:rsidR="006712F6" w:rsidRPr="00941FA7" w:rsidRDefault="00C85CDC" w:rsidP="008F7FC4">
            <w:pPr>
              <w:ind w:left="0" w:firstLine="0"/>
              <w:outlineLvl w:val="0"/>
              <w:rPr>
                <w:rFonts w:eastAsia="Times New Roman" w:cs="Calibri"/>
                <w:color w:val="000000"/>
                <w:sz w:val="20"/>
                <w:szCs w:val="20"/>
                <w:lang w:val="fr-FR" w:eastAsia="en-GB"/>
              </w:rPr>
            </w:pPr>
            <w:r w:rsidRPr="00941FA7">
              <w:rPr>
                <w:rFonts w:eastAsia="Times New Roman" w:cs="Calibri"/>
                <w:color w:val="000000"/>
                <w:sz w:val="20"/>
                <w:szCs w:val="20"/>
                <w:lang w:val="fr-FR" w:eastAsia="en-GB"/>
              </w:rPr>
              <w:t>Montants arrondis</w:t>
            </w:r>
          </w:p>
        </w:tc>
        <w:tc>
          <w:tcPr>
            <w:tcW w:w="1370" w:type="dxa"/>
            <w:tcBorders>
              <w:top w:val="nil"/>
              <w:left w:val="nil"/>
              <w:bottom w:val="nil"/>
              <w:right w:val="nil"/>
            </w:tcBorders>
            <w:shd w:val="clear" w:color="auto" w:fill="auto"/>
            <w:noWrap/>
            <w:hideMark/>
          </w:tcPr>
          <w:p w:rsidR="006712F6" w:rsidRPr="00941FA7" w:rsidRDefault="006712F6" w:rsidP="00FB0D9D">
            <w:pPr>
              <w:ind w:left="0" w:firstLine="0"/>
              <w:jc w:val="right"/>
              <w:outlineLvl w:val="0"/>
              <w:rPr>
                <w:rFonts w:ascii="Arial" w:eastAsia="Times New Roman" w:hAnsi="Arial" w:cs="Arial"/>
                <w:color w:val="000000"/>
                <w:sz w:val="20"/>
                <w:szCs w:val="20"/>
                <w:lang w:val="fr-FR" w:eastAsia="en-GB"/>
              </w:rPr>
            </w:pP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6712F6" w:rsidRPr="00941FA7" w:rsidRDefault="00C85D9D" w:rsidP="009C5CE3">
            <w:pPr>
              <w:ind w:left="0" w:firstLine="0"/>
              <w:jc w:val="right"/>
              <w:outlineLvl w:val="0"/>
              <w:rPr>
                <w:rFonts w:eastAsia="Times New Roman" w:cs="Calibri"/>
                <w:color w:val="000000"/>
                <w:sz w:val="20"/>
                <w:szCs w:val="20"/>
                <w:lang w:val="fr-FR" w:eastAsia="en-GB"/>
              </w:rPr>
            </w:pPr>
            <w:r w:rsidRPr="00941FA7">
              <w:rPr>
                <w:rFonts w:eastAsia="Times New Roman" w:cs="Calibri"/>
                <w:color w:val="000000"/>
                <w:sz w:val="20"/>
                <w:szCs w:val="20"/>
                <w:lang w:val="fr-FR" w:eastAsia="en-GB"/>
              </w:rPr>
              <w:t>-1</w:t>
            </w:r>
          </w:p>
        </w:tc>
        <w:tc>
          <w:tcPr>
            <w:tcW w:w="1588" w:type="dxa"/>
            <w:tcBorders>
              <w:top w:val="nil"/>
              <w:left w:val="nil"/>
              <w:bottom w:val="single" w:sz="4" w:space="0" w:color="auto"/>
              <w:right w:val="single" w:sz="4" w:space="0" w:color="auto"/>
            </w:tcBorders>
            <w:shd w:val="clear" w:color="auto" w:fill="auto"/>
            <w:noWrap/>
            <w:hideMark/>
          </w:tcPr>
          <w:p w:rsidR="006712F6" w:rsidRPr="00941FA7" w:rsidRDefault="001326E7" w:rsidP="009C5CE3">
            <w:pPr>
              <w:ind w:left="0" w:firstLine="0"/>
              <w:jc w:val="right"/>
              <w:outlineLvl w:val="0"/>
              <w:rPr>
                <w:rFonts w:eastAsia="Times New Roman" w:cs="Calibri"/>
                <w:sz w:val="20"/>
                <w:szCs w:val="20"/>
                <w:lang w:val="fr-FR" w:eastAsia="en-GB"/>
              </w:rPr>
            </w:pPr>
            <w:r w:rsidRPr="00941FA7">
              <w:rPr>
                <w:rFonts w:eastAsia="Times New Roman" w:cs="Calibri"/>
                <w:sz w:val="20"/>
                <w:szCs w:val="20"/>
                <w:lang w:val="fr-FR" w:eastAsia="en-GB"/>
              </w:rPr>
              <w:t>-1</w:t>
            </w:r>
          </w:p>
        </w:tc>
        <w:tc>
          <w:tcPr>
            <w:tcW w:w="3828" w:type="dxa"/>
            <w:tcBorders>
              <w:top w:val="nil"/>
              <w:left w:val="nil"/>
              <w:bottom w:val="single" w:sz="4" w:space="0" w:color="auto"/>
              <w:right w:val="single" w:sz="4" w:space="0" w:color="auto"/>
            </w:tcBorders>
            <w:shd w:val="clear" w:color="auto" w:fill="auto"/>
            <w:noWrap/>
          </w:tcPr>
          <w:p w:rsidR="006712F6" w:rsidRPr="00941FA7" w:rsidRDefault="006712F6" w:rsidP="00FB0D9D">
            <w:pPr>
              <w:ind w:left="0" w:firstLine="0"/>
              <w:outlineLvl w:val="0"/>
              <w:rPr>
                <w:rFonts w:eastAsia="Times New Roman" w:cs="Calibri"/>
                <w:color w:val="000000"/>
                <w:sz w:val="20"/>
                <w:szCs w:val="20"/>
                <w:lang w:val="fr-FR" w:eastAsia="en-GB"/>
              </w:rPr>
            </w:pPr>
          </w:p>
        </w:tc>
      </w:tr>
      <w:tr w:rsidR="006712F6" w:rsidRPr="00941FA7" w:rsidTr="00375CFF">
        <w:trPr>
          <w:cantSplit/>
        </w:trPr>
        <w:tc>
          <w:tcPr>
            <w:tcW w:w="1560" w:type="dxa"/>
            <w:tcBorders>
              <w:top w:val="nil"/>
              <w:left w:val="single" w:sz="4" w:space="0" w:color="auto"/>
              <w:bottom w:val="single" w:sz="4" w:space="0" w:color="auto"/>
              <w:right w:val="single" w:sz="4" w:space="0" w:color="auto"/>
            </w:tcBorders>
            <w:shd w:val="clear" w:color="000000" w:fill="DBE5F1"/>
            <w:noWrap/>
            <w:hideMark/>
          </w:tcPr>
          <w:p w:rsidR="006712F6" w:rsidRPr="00941FA7" w:rsidRDefault="00C85CDC" w:rsidP="008F7FC4">
            <w:pPr>
              <w:ind w:left="0" w:firstLine="0"/>
              <w:outlineLvl w:val="0"/>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 xml:space="preserve">Solde total du budget administratif </w:t>
            </w:r>
            <w:r w:rsidR="006712F6" w:rsidRPr="00941FA7">
              <w:rPr>
                <w:rFonts w:eastAsia="Times New Roman" w:cs="Calibri"/>
                <w:b/>
                <w:bCs/>
                <w:color w:val="000000"/>
                <w:sz w:val="20"/>
                <w:szCs w:val="20"/>
                <w:lang w:val="fr-FR" w:eastAsia="en-GB"/>
              </w:rPr>
              <w:t>202</w:t>
            </w:r>
            <w:r w:rsidR="00E869E4" w:rsidRPr="00941FA7">
              <w:rPr>
                <w:rFonts w:eastAsia="Times New Roman" w:cs="Calibri"/>
                <w:b/>
                <w:bCs/>
                <w:color w:val="000000"/>
                <w:sz w:val="20"/>
                <w:szCs w:val="20"/>
                <w:lang w:val="fr-FR" w:eastAsia="en-GB"/>
              </w:rPr>
              <w:t>1</w:t>
            </w:r>
          </w:p>
        </w:tc>
        <w:tc>
          <w:tcPr>
            <w:tcW w:w="1370" w:type="dxa"/>
            <w:tcBorders>
              <w:top w:val="single" w:sz="4" w:space="0" w:color="auto"/>
              <w:left w:val="nil"/>
              <w:bottom w:val="single" w:sz="4" w:space="0" w:color="auto"/>
              <w:right w:val="single" w:sz="4" w:space="0" w:color="auto"/>
            </w:tcBorders>
            <w:shd w:val="clear" w:color="000000" w:fill="DBE5F1"/>
            <w:noWrap/>
            <w:hideMark/>
          </w:tcPr>
          <w:p w:rsidR="006712F6" w:rsidRPr="00941FA7" w:rsidRDefault="00C85D9D" w:rsidP="00FB0D9D">
            <w:pPr>
              <w:ind w:left="0" w:firstLine="0"/>
              <w:jc w:val="right"/>
              <w:outlineLvl w:val="0"/>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767</w:t>
            </w:r>
          </w:p>
        </w:tc>
        <w:tc>
          <w:tcPr>
            <w:tcW w:w="1152" w:type="dxa"/>
            <w:tcBorders>
              <w:top w:val="nil"/>
              <w:left w:val="nil"/>
              <w:bottom w:val="single" w:sz="4" w:space="0" w:color="auto"/>
              <w:right w:val="single" w:sz="4" w:space="0" w:color="auto"/>
            </w:tcBorders>
            <w:shd w:val="clear" w:color="000000" w:fill="DBE5F1"/>
            <w:noWrap/>
            <w:hideMark/>
          </w:tcPr>
          <w:p w:rsidR="006712F6" w:rsidRPr="00941FA7" w:rsidRDefault="00C85D9D" w:rsidP="00FB0D9D">
            <w:pPr>
              <w:ind w:left="0" w:firstLine="0"/>
              <w:jc w:val="right"/>
              <w:outlineLvl w:val="0"/>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2,031</w:t>
            </w:r>
          </w:p>
        </w:tc>
        <w:tc>
          <w:tcPr>
            <w:tcW w:w="1588" w:type="dxa"/>
            <w:tcBorders>
              <w:top w:val="nil"/>
              <w:left w:val="nil"/>
              <w:bottom w:val="single" w:sz="4" w:space="0" w:color="auto"/>
              <w:right w:val="single" w:sz="4" w:space="0" w:color="auto"/>
            </w:tcBorders>
            <w:shd w:val="clear" w:color="000000" w:fill="DBE5F1"/>
            <w:noWrap/>
            <w:hideMark/>
          </w:tcPr>
          <w:p w:rsidR="006712F6" w:rsidRPr="00941FA7" w:rsidRDefault="0062467F" w:rsidP="009C5CE3">
            <w:pPr>
              <w:ind w:left="0" w:firstLine="0"/>
              <w:jc w:val="right"/>
              <w:outlineLvl w:val="0"/>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w:t>
            </w:r>
            <w:r w:rsidR="00AA1B8D" w:rsidRPr="00941FA7">
              <w:rPr>
                <w:rFonts w:eastAsia="Times New Roman" w:cs="Calibri"/>
                <w:b/>
                <w:bCs/>
                <w:color w:val="000000"/>
                <w:sz w:val="20"/>
                <w:szCs w:val="20"/>
                <w:lang w:val="fr-FR" w:eastAsia="en-GB"/>
              </w:rPr>
              <w:t>7</w:t>
            </w:r>
            <w:r w:rsidR="00E869E4" w:rsidRPr="00941FA7">
              <w:rPr>
                <w:rFonts w:eastAsia="Times New Roman" w:cs="Calibri"/>
                <w:b/>
                <w:bCs/>
                <w:color w:val="000000"/>
                <w:sz w:val="20"/>
                <w:szCs w:val="20"/>
                <w:lang w:val="fr-FR" w:eastAsia="en-GB"/>
              </w:rPr>
              <w:t>9</w:t>
            </w:r>
            <w:r w:rsidR="001326E7" w:rsidRPr="00941FA7">
              <w:rPr>
                <w:rFonts w:eastAsia="Times New Roman" w:cs="Calibri"/>
                <w:b/>
                <w:bCs/>
                <w:color w:val="000000"/>
                <w:sz w:val="20"/>
                <w:szCs w:val="20"/>
                <w:lang w:val="fr-FR" w:eastAsia="en-GB"/>
              </w:rPr>
              <w:t>8</w:t>
            </w:r>
          </w:p>
        </w:tc>
        <w:tc>
          <w:tcPr>
            <w:tcW w:w="3828" w:type="dxa"/>
            <w:tcBorders>
              <w:top w:val="nil"/>
              <w:left w:val="nil"/>
              <w:bottom w:val="single" w:sz="4" w:space="0" w:color="auto"/>
              <w:right w:val="single" w:sz="4" w:space="0" w:color="auto"/>
            </w:tcBorders>
            <w:shd w:val="clear" w:color="000000" w:fill="DBE5F1"/>
            <w:noWrap/>
            <w:hideMark/>
          </w:tcPr>
          <w:p w:rsidR="006712F6" w:rsidRPr="00941FA7" w:rsidRDefault="006712F6" w:rsidP="00FB0D9D">
            <w:pPr>
              <w:ind w:left="0" w:firstLine="0"/>
              <w:outlineLvl w:val="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r>
    </w:tbl>
    <w:p w:rsidR="0036778B" w:rsidRPr="00941FA7" w:rsidRDefault="0036778B" w:rsidP="005A41C9">
      <w:pPr>
        <w:ind w:left="0" w:firstLine="0"/>
        <w:rPr>
          <w:rFonts w:eastAsia="Times New Roman" w:cs="Calibri"/>
          <w:color w:val="000000"/>
          <w:sz w:val="20"/>
          <w:szCs w:val="20"/>
          <w:lang w:val="fr-FR" w:eastAsia="en-GB"/>
        </w:rPr>
      </w:pPr>
    </w:p>
    <w:p w:rsidR="0036778B" w:rsidRPr="00941FA7" w:rsidRDefault="0036778B" w:rsidP="005A41C9">
      <w:pPr>
        <w:ind w:left="0" w:firstLine="0"/>
        <w:rPr>
          <w:rFonts w:eastAsia="Times New Roman" w:cs="Calibri"/>
          <w:color w:val="000000"/>
          <w:sz w:val="20"/>
          <w:szCs w:val="20"/>
          <w:lang w:val="fr-FR" w:eastAsia="en-GB"/>
        </w:rPr>
      </w:pPr>
    </w:p>
    <w:p w:rsidR="004753C0" w:rsidRPr="00941FA7" w:rsidRDefault="00523B6B" w:rsidP="00162710">
      <w:pPr>
        <w:rPr>
          <w:lang w:val="fr-FR"/>
        </w:rPr>
      </w:pPr>
      <w:r w:rsidRPr="00941FA7">
        <w:rPr>
          <w:lang w:val="fr-FR"/>
        </w:rPr>
        <w:t>9</w:t>
      </w:r>
      <w:r w:rsidR="00112F62" w:rsidRPr="00941FA7">
        <w:rPr>
          <w:lang w:val="fr-FR"/>
        </w:rPr>
        <w:t>.</w:t>
      </w:r>
      <w:r w:rsidR="00112F62" w:rsidRPr="00941FA7">
        <w:rPr>
          <w:lang w:val="fr-FR"/>
        </w:rPr>
        <w:tab/>
      </w:r>
      <w:r w:rsidR="00207955" w:rsidRPr="00941FA7">
        <w:rPr>
          <w:lang w:val="fr-FR"/>
        </w:rPr>
        <w:t>Les points suivants sont soulignés pour examen par le Comité permanent</w:t>
      </w:r>
      <w:r w:rsidR="009E5CF7" w:rsidRPr="00941FA7">
        <w:rPr>
          <w:lang w:val="fr-FR"/>
        </w:rPr>
        <w:t> </w:t>
      </w:r>
      <w:r w:rsidR="00ED1F5E" w:rsidRPr="00941FA7">
        <w:rPr>
          <w:lang w:val="fr-FR"/>
        </w:rPr>
        <w:t>:</w:t>
      </w:r>
    </w:p>
    <w:p w:rsidR="00112F62" w:rsidRPr="00941FA7" w:rsidRDefault="00112F62" w:rsidP="00162710">
      <w:pPr>
        <w:pStyle w:val="NoSpacing"/>
        <w:ind w:left="850"/>
        <w:rPr>
          <w:lang w:val="fr-FR"/>
        </w:rPr>
      </w:pPr>
    </w:p>
    <w:p w:rsidR="004753C0" w:rsidRPr="00941FA7" w:rsidRDefault="00112F62" w:rsidP="00162710">
      <w:pPr>
        <w:pStyle w:val="NoSpacing"/>
        <w:ind w:left="850"/>
        <w:rPr>
          <w:lang w:val="fr-FR"/>
        </w:rPr>
      </w:pPr>
      <w:r w:rsidRPr="00941FA7">
        <w:rPr>
          <w:lang w:val="fr-FR"/>
        </w:rPr>
        <w:t>a.</w:t>
      </w:r>
      <w:r w:rsidRPr="00941FA7">
        <w:rPr>
          <w:lang w:val="fr-FR"/>
        </w:rPr>
        <w:tab/>
      </w:r>
      <w:r w:rsidR="00207955" w:rsidRPr="00941FA7">
        <w:rPr>
          <w:lang w:val="fr-FR"/>
        </w:rPr>
        <w:t xml:space="preserve">Les prévisions de recettes ont généralement été conformes au budget, à l’exception de l’impôt sur le revenu, qui a été supérieur au budget de 2 000 </w:t>
      </w:r>
      <w:r w:rsidR="004A2ABC" w:rsidRPr="00941FA7">
        <w:rPr>
          <w:lang w:val="fr-FR"/>
        </w:rPr>
        <w:t>CHF</w:t>
      </w:r>
      <w:r w:rsidR="009E5CF7" w:rsidRPr="00941FA7">
        <w:rPr>
          <w:lang w:val="fr-FR"/>
        </w:rPr>
        <w:t>,</w:t>
      </w:r>
      <w:r w:rsidR="004A2ABC" w:rsidRPr="00941FA7">
        <w:rPr>
          <w:lang w:val="fr-FR"/>
        </w:rPr>
        <w:t xml:space="preserve"> </w:t>
      </w:r>
      <w:r w:rsidR="00207955" w:rsidRPr="00941FA7">
        <w:rPr>
          <w:lang w:val="fr-FR"/>
        </w:rPr>
        <w:t>tandis qu’il n</w:t>
      </w:r>
      <w:r w:rsidR="00F769B0" w:rsidRPr="00941FA7">
        <w:rPr>
          <w:lang w:val="fr-FR"/>
        </w:rPr>
        <w:t xml:space="preserve">’y a pas eu d’autres revenus </w:t>
      </w:r>
      <w:r w:rsidR="00CC5EED">
        <w:rPr>
          <w:lang w:val="fr-FR"/>
        </w:rPr>
        <w:t xml:space="preserve">ni </w:t>
      </w:r>
      <w:r w:rsidR="00207955" w:rsidRPr="00941FA7">
        <w:rPr>
          <w:lang w:val="fr-FR"/>
        </w:rPr>
        <w:t>intérêts</w:t>
      </w:r>
      <w:r w:rsidR="004A2ABC" w:rsidRPr="00941FA7">
        <w:rPr>
          <w:lang w:val="fr-FR"/>
        </w:rPr>
        <w:t>.</w:t>
      </w:r>
    </w:p>
    <w:p w:rsidR="00126808" w:rsidRPr="00941FA7" w:rsidRDefault="00126808" w:rsidP="00162710">
      <w:pPr>
        <w:pStyle w:val="NoSpacing"/>
        <w:ind w:left="850"/>
        <w:rPr>
          <w:lang w:val="fr-FR"/>
        </w:rPr>
      </w:pPr>
    </w:p>
    <w:p w:rsidR="004211C0" w:rsidRPr="00941FA7" w:rsidRDefault="00112F62" w:rsidP="000F6B45">
      <w:pPr>
        <w:pStyle w:val="NoSpacing"/>
        <w:ind w:left="850"/>
        <w:rPr>
          <w:lang w:val="fr-FR"/>
        </w:rPr>
      </w:pPr>
      <w:r w:rsidRPr="00941FA7">
        <w:rPr>
          <w:lang w:val="fr-FR"/>
        </w:rPr>
        <w:t>b.</w:t>
      </w:r>
      <w:r w:rsidR="000F6B45" w:rsidRPr="00941FA7">
        <w:rPr>
          <w:lang w:val="fr-FR"/>
        </w:rPr>
        <w:tab/>
      </w:r>
      <w:r w:rsidR="004211C0" w:rsidRPr="00941FA7">
        <w:rPr>
          <w:lang w:val="fr-FR"/>
        </w:rPr>
        <w:t xml:space="preserve">Les coûts salariaux globaux de 3 233 000 CHF correspondaient à un </w:t>
      </w:r>
      <w:r w:rsidR="00CC5EED">
        <w:rPr>
          <w:lang w:val="fr-FR"/>
        </w:rPr>
        <w:t>taux d’</w:t>
      </w:r>
      <w:r w:rsidR="004211C0" w:rsidRPr="00941FA7">
        <w:rPr>
          <w:lang w:val="fr-FR"/>
        </w:rPr>
        <w:t>exécution du budget de 89 % et les coûts salariaux ont représenté 70 % du montant total des dépenses prévues.</w:t>
      </w:r>
    </w:p>
    <w:p w:rsidR="00112F62" w:rsidRPr="00941FA7" w:rsidRDefault="00112F62" w:rsidP="000F6B45">
      <w:pPr>
        <w:pStyle w:val="NoSpacing"/>
        <w:ind w:left="0" w:firstLine="425"/>
        <w:rPr>
          <w:lang w:val="fr-FR"/>
        </w:rPr>
      </w:pPr>
    </w:p>
    <w:p w:rsidR="004211C0" w:rsidRPr="00941FA7" w:rsidRDefault="00112F62" w:rsidP="00162710">
      <w:pPr>
        <w:pStyle w:val="NoSpacing"/>
        <w:ind w:left="850"/>
        <w:rPr>
          <w:lang w:val="fr-FR"/>
        </w:rPr>
      </w:pPr>
      <w:r w:rsidRPr="00941FA7">
        <w:rPr>
          <w:lang w:val="fr-FR"/>
        </w:rPr>
        <w:t>c.</w:t>
      </w:r>
      <w:r w:rsidRPr="00941FA7">
        <w:rPr>
          <w:lang w:val="fr-FR"/>
        </w:rPr>
        <w:tab/>
      </w:r>
      <w:r w:rsidR="004211C0" w:rsidRPr="00941FA7">
        <w:rPr>
          <w:lang w:val="fr-FR"/>
        </w:rPr>
        <w:t>Aucune augmentation du coût</w:t>
      </w:r>
      <w:r w:rsidR="009E5CF7" w:rsidRPr="00941FA7">
        <w:rPr>
          <w:lang w:val="fr-FR"/>
        </w:rPr>
        <w:t xml:space="preserve"> de la vie imposée par l'UICN n’</w:t>
      </w:r>
      <w:r w:rsidR="004211C0" w:rsidRPr="00941FA7">
        <w:rPr>
          <w:lang w:val="fr-FR"/>
        </w:rPr>
        <w:t>était entrée en vigueur depuis 2011. Les augmentations salariales fondées sur les pe</w:t>
      </w:r>
      <w:r w:rsidR="009E5CF7" w:rsidRPr="00941FA7">
        <w:rPr>
          <w:lang w:val="fr-FR"/>
        </w:rPr>
        <w:t>rformances mises en œuvre par l’</w:t>
      </w:r>
      <w:r w:rsidR="004211C0" w:rsidRPr="00941FA7">
        <w:rPr>
          <w:lang w:val="fr-FR"/>
        </w:rPr>
        <w:t>UICN en 2017 ont été appliquées au Secrétariat en 2021, conformément aux politiques</w:t>
      </w:r>
      <w:r w:rsidR="00CC5EED">
        <w:rPr>
          <w:lang w:val="fr-FR"/>
        </w:rPr>
        <w:t xml:space="preserve"> et pratiques de l’</w:t>
      </w:r>
      <w:r w:rsidR="004211C0" w:rsidRPr="00941FA7">
        <w:rPr>
          <w:lang w:val="fr-FR"/>
        </w:rPr>
        <w:t xml:space="preserve">UICN. En 2021, le Secrétariat a appliqué la politique de </w:t>
      </w:r>
      <w:r w:rsidR="00CC5EED">
        <w:rPr>
          <w:lang w:val="fr-FR"/>
        </w:rPr>
        <w:lastRenderedPageBreak/>
        <w:t>promotion de l’</w:t>
      </w:r>
      <w:r w:rsidR="004211C0" w:rsidRPr="00941FA7">
        <w:rPr>
          <w:lang w:val="fr-FR"/>
        </w:rPr>
        <w:t xml:space="preserve">UICN mise en </w:t>
      </w:r>
      <w:r w:rsidR="009E5CF7" w:rsidRPr="00941FA7">
        <w:rPr>
          <w:lang w:val="fr-FR"/>
        </w:rPr>
        <w:t>place</w:t>
      </w:r>
      <w:r w:rsidR="004211C0" w:rsidRPr="00941FA7">
        <w:rPr>
          <w:lang w:val="fr-FR"/>
        </w:rPr>
        <w:t xml:space="preserve"> en 2019, conformément aux lignes directrices de l’UICN pour la promotion globale des ressources humaines. Les augmentations de salaires qui en ont résulté ont été </w:t>
      </w:r>
      <w:r w:rsidR="009E5CF7" w:rsidRPr="00941FA7">
        <w:rPr>
          <w:lang w:val="fr-FR"/>
        </w:rPr>
        <w:t>intégrées</w:t>
      </w:r>
      <w:r w:rsidR="004211C0" w:rsidRPr="00941FA7">
        <w:rPr>
          <w:lang w:val="fr-FR"/>
        </w:rPr>
        <w:t xml:space="preserve"> au budget approuvé pour la période triennale (Résolution XIII.2, paragraphe 14 et annexe 1). </w:t>
      </w:r>
    </w:p>
    <w:p w:rsidR="00112F62" w:rsidRPr="00941FA7" w:rsidRDefault="00112F62" w:rsidP="00162710">
      <w:pPr>
        <w:pStyle w:val="NoSpacing"/>
        <w:ind w:left="850"/>
        <w:rPr>
          <w:lang w:val="fr-FR"/>
        </w:rPr>
      </w:pPr>
    </w:p>
    <w:p w:rsidR="004211C0" w:rsidRPr="00941FA7" w:rsidRDefault="008F7FC4" w:rsidP="00C7449E">
      <w:pPr>
        <w:pStyle w:val="NoSpacing"/>
        <w:ind w:left="850"/>
        <w:rPr>
          <w:lang w:val="fr-FR"/>
        </w:rPr>
      </w:pPr>
      <w:r w:rsidRPr="00941FA7">
        <w:rPr>
          <w:lang w:val="fr-FR"/>
        </w:rPr>
        <w:t>d</w:t>
      </w:r>
      <w:r w:rsidR="00EA1333" w:rsidRPr="00941FA7">
        <w:rPr>
          <w:lang w:val="fr-FR"/>
        </w:rPr>
        <w:t>.</w:t>
      </w:r>
      <w:r w:rsidR="00EA1333" w:rsidRPr="00941FA7">
        <w:rPr>
          <w:lang w:val="fr-FR"/>
        </w:rPr>
        <w:tab/>
      </w:r>
      <w:r w:rsidR="004211C0" w:rsidRPr="00941FA7">
        <w:rPr>
          <w:lang w:val="fr-FR"/>
        </w:rPr>
        <w:t xml:space="preserve">Conformément aux dispositions de la Décision SC58-31, les provisions sont présentées dans deux lignes budgétaires distinctes : 1) « provisions pour le personnel » ; et 2) « provisions pour les contributions impayées ». Ceci devrait permettre une meilleure gestion et une plus grande </w:t>
      </w:r>
      <w:r w:rsidR="00CC5EED">
        <w:rPr>
          <w:lang w:val="fr-FR"/>
        </w:rPr>
        <w:t>transparence dans l’</w:t>
      </w:r>
      <w:r w:rsidR="004211C0" w:rsidRPr="00941FA7">
        <w:rPr>
          <w:lang w:val="fr-FR"/>
        </w:rPr>
        <w:t>utilisation des provisions</w:t>
      </w:r>
    </w:p>
    <w:p w:rsidR="00EA1333" w:rsidRPr="00941FA7" w:rsidRDefault="00EA1333" w:rsidP="00162710">
      <w:pPr>
        <w:pStyle w:val="NoSpacing"/>
        <w:ind w:left="850" w:firstLine="0"/>
        <w:rPr>
          <w:lang w:val="fr-FR"/>
        </w:rPr>
      </w:pPr>
    </w:p>
    <w:p w:rsidR="004211C0" w:rsidRPr="00941FA7" w:rsidRDefault="00FA0633" w:rsidP="00FA0633">
      <w:pPr>
        <w:pStyle w:val="NoSpacing"/>
        <w:ind w:left="851"/>
        <w:rPr>
          <w:lang w:val="fr-FR"/>
        </w:rPr>
      </w:pPr>
      <w:r w:rsidRPr="00941FA7">
        <w:rPr>
          <w:lang w:val="fr-FR"/>
        </w:rPr>
        <w:t>e.</w:t>
      </w:r>
      <w:r w:rsidRPr="00941FA7">
        <w:rPr>
          <w:lang w:val="fr-FR"/>
        </w:rPr>
        <w:tab/>
      </w:r>
      <w:r w:rsidR="004211C0" w:rsidRPr="00941FA7">
        <w:rPr>
          <w:lang w:val="fr-FR"/>
        </w:rPr>
        <w:t xml:space="preserve">Les provisions budgétisées pour le personnel ont augmenté de 38 000 CHF en raison </w:t>
      </w:r>
      <w:r w:rsidR="003E1878" w:rsidRPr="00941FA7">
        <w:rPr>
          <w:lang w:val="fr-FR"/>
        </w:rPr>
        <w:t>de l’</w:t>
      </w:r>
      <w:r w:rsidR="004211C0" w:rsidRPr="00941FA7">
        <w:rPr>
          <w:lang w:val="fr-FR"/>
        </w:rPr>
        <w:t xml:space="preserve">augmentation de la provision pour licenciement du personnel de 20 000 CHF, d’une augmentation de la provision pour rapatriement du personnel de </w:t>
      </w:r>
      <w:r w:rsidR="00D71788" w:rsidRPr="00941FA7">
        <w:rPr>
          <w:lang w:val="fr-FR"/>
        </w:rPr>
        <w:t>12</w:t>
      </w:r>
      <w:r w:rsidR="004211C0" w:rsidRPr="00941FA7">
        <w:rPr>
          <w:lang w:val="fr-FR"/>
        </w:rPr>
        <w:t xml:space="preserve"> 000 CHF et </w:t>
      </w:r>
      <w:r w:rsidR="00D71788" w:rsidRPr="00941FA7">
        <w:rPr>
          <w:lang w:val="fr-FR"/>
        </w:rPr>
        <w:t xml:space="preserve">d’une augmentation </w:t>
      </w:r>
      <w:r w:rsidR="004211C0" w:rsidRPr="00941FA7">
        <w:rPr>
          <w:lang w:val="fr-FR"/>
        </w:rPr>
        <w:t xml:space="preserve">de la provision pour congés du personnel de </w:t>
      </w:r>
      <w:r w:rsidR="00D71788" w:rsidRPr="00941FA7">
        <w:rPr>
          <w:lang w:val="fr-FR"/>
        </w:rPr>
        <w:t>6</w:t>
      </w:r>
      <w:r w:rsidR="004211C0" w:rsidRPr="00941FA7">
        <w:rPr>
          <w:lang w:val="fr-FR"/>
        </w:rPr>
        <w:t xml:space="preserve"> 000 CHF</w:t>
      </w:r>
      <w:r w:rsidR="00D71788" w:rsidRPr="00941FA7">
        <w:rPr>
          <w:lang w:val="fr-FR"/>
        </w:rPr>
        <w:t>.</w:t>
      </w:r>
    </w:p>
    <w:p w:rsidR="0000371F" w:rsidRPr="00941FA7" w:rsidRDefault="0000371F" w:rsidP="00FA0633">
      <w:pPr>
        <w:pStyle w:val="NoSpacing"/>
        <w:ind w:left="851"/>
        <w:rPr>
          <w:lang w:val="fr-FR"/>
        </w:rPr>
      </w:pPr>
    </w:p>
    <w:p w:rsidR="00A43DBC" w:rsidRPr="00941FA7" w:rsidRDefault="008F7FC4" w:rsidP="008F7FC4">
      <w:pPr>
        <w:pStyle w:val="NoSpacing"/>
        <w:ind w:left="851"/>
        <w:rPr>
          <w:lang w:val="fr-FR"/>
        </w:rPr>
      </w:pPr>
      <w:r w:rsidRPr="00941FA7">
        <w:rPr>
          <w:lang w:val="fr-FR"/>
        </w:rPr>
        <w:t>f.</w:t>
      </w:r>
      <w:r w:rsidRPr="00941FA7">
        <w:rPr>
          <w:lang w:val="fr-FR"/>
        </w:rPr>
        <w:tab/>
      </w:r>
      <w:r w:rsidR="00A43DBC" w:rsidRPr="00941FA7">
        <w:rPr>
          <w:lang w:val="fr-FR"/>
        </w:rPr>
        <w:t>Sur le total des provisions budgétisées pour les contribu</w:t>
      </w:r>
      <w:r w:rsidR="003A601A" w:rsidRPr="00941FA7">
        <w:rPr>
          <w:lang w:val="fr-FR"/>
        </w:rPr>
        <w:t>tions impayées de 140 000 CHF</w:t>
      </w:r>
      <w:r w:rsidR="00A43DBC" w:rsidRPr="00941FA7">
        <w:rPr>
          <w:lang w:val="fr-FR"/>
        </w:rPr>
        <w:t xml:space="preserve">, le </w:t>
      </w:r>
      <w:r w:rsidR="003E1878" w:rsidRPr="00941FA7">
        <w:rPr>
          <w:lang w:val="fr-FR"/>
        </w:rPr>
        <w:t>montant</w:t>
      </w:r>
      <w:r w:rsidR="00A43DBC" w:rsidRPr="00941FA7">
        <w:rPr>
          <w:lang w:val="fr-FR"/>
        </w:rPr>
        <w:t xml:space="preserve"> utilisé </w:t>
      </w:r>
      <w:r w:rsidR="00F769B0" w:rsidRPr="00941FA7">
        <w:rPr>
          <w:lang w:val="fr-FR"/>
        </w:rPr>
        <w:t xml:space="preserve">en 2021 </w:t>
      </w:r>
      <w:r w:rsidR="003E1878" w:rsidRPr="00941FA7">
        <w:rPr>
          <w:lang w:val="fr-FR"/>
        </w:rPr>
        <w:t>a été</w:t>
      </w:r>
      <w:r w:rsidR="00A43DBC" w:rsidRPr="00941FA7">
        <w:rPr>
          <w:lang w:val="fr-FR"/>
        </w:rPr>
        <w:t xml:space="preserve"> de 59</w:t>
      </w:r>
      <w:r w:rsidR="003A601A" w:rsidRPr="00941FA7">
        <w:rPr>
          <w:lang w:val="fr-FR"/>
        </w:rPr>
        <w:t> 000 CHF</w:t>
      </w:r>
      <w:r w:rsidR="00A43DBC" w:rsidRPr="00941FA7">
        <w:rPr>
          <w:lang w:val="fr-FR"/>
        </w:rPr>
        <w:t>, laissant un solde inutilisé de 81</w:t>
      </w:r>
      <w:r w:rsidR="003A601A" w:rsidRPr="00941FA7">
        <w:rPr>
          <w:lang w:val="fr-FR"/>
        </w:rPr>
        <w:t> 000 CHF</w:t>
      </w:r>
      <w:r w:rsidR="00A43DBC" w:rsidRPr="00941FA7">
        <w:rPr>
          <w:lang w:val="fr-FR"/>
        </w:rPr>
        <w:t xml:space="preserve">. Le Secrétariat </w:t>
      </w:r>
      <w:r w:rsidR="003A601A" w:rsidRPr="00941FA7">
        <w:rPr>
          <w:lang w:val="fr-FR"/>
        </w:rPr>
        <w:t>propose</w:t>
      </w:r>
      <w:r w:rsidR="00A43DBC" w:rsidRPr="00941FA7">
        <w:rPr>
          <w:lang w:val="fr-FR"/>
        </w:rPr>
        <w:t xml:space="preserve"> que ce solde inutilisé soit reporté à la ligne budgétaire «</w:t>
      </w:r>
      <w:r w:rsidR="003A601A" w:rsidRPr="00941FA7">
        <w:rPr>
          <w:lang w:val="fr-FR"/>
        </w:rPr>
        <w:t> </w:t>
      </w:r>
      <w:r w:rsidR="006039B6" w:rsidRPr="00941FA7">
        <w:rPr>
          <w:lang w:val="fr-FR"/>
        </w:rPr>
        <w:t>Budget 2020 - SC58 et économies non engagées reportées</w:t>
      </w:r>
      <w:r w:rsidR="003A601A" w:rsidRPr="00941FA7">
        <w:rPr>
          <w:lang w:val="fr-FR"/>
        </w:rPr>
        <w:t> </w:t>
      </w:r>
      <w:r w:rsidR="00A43DBC" w:rsidRPr="00941FA7">
        <w:rPr>
          <w:lang w:val="fr-FR"/>
        </w:rPr>
        <w:t xml:space="preserve">», </w:t>
      </w:r>
      <w:r w:rsidR="003A601A" w:rsidRPr="00941FA7">
        <w:rPr>
          <w:lang w:val="fr-FR"/>
        </w:rPr>
        <w:t>d’où il a</w:t>
      </w:r>
      <w:r w:rsidR="00CC5EED">
        <w:rPr>
          <w:lang w:val="fr-FR"/>
        </w:rPr>
        <w:t>vait</w:t>
      </w:r>
      <w:r w:rsidR="003A601A" w:rsidRPr="00941FA7">
        <w:rPr>
          <w:lang w:val="fr-FR"/>
        </w:rPr>
        <w:t xml:space="preserve"> été </w:t>
      </w:r>
      <w:r w:rsidR="00A43DBC" w:rsidRPr="00941FA7">
        <w:rPr>
          <w:lang w:val="fr-FR"/>
        </w:rPr>
        <w:t>affecté par la décision SC59-28 du Comité permanent, comme indiqué au paragraphe 15 ci-dessous dans la section intitulée «</w:t>
      </w:r>
      <w:r w:rsidR="00810392" w:rsidRPr="00941FA7">
        <w:rPr>
          <w:lang w:val="fr-FR"/>
        </w:rPr>
        <w:t> </w:t>
      </w:r>
      <w:r w:rsidR="003E1878" w:rsidRPr="00941FA7">
        <w:rPr>
          <w:i/>
          <w:lang w:val="fr-FR"/>
        </w:rPr>
        <w:t>Ajustements proposés par le Secrétariat pour les soldes de 2021</w:t>
      </w:r>
      <w:r w:rsidR="00810392" w:rsidRPr="00941FA7">
        <w:rPr>
          <w:lang w:val="fr-FR"/>
        </w:rPr>
        <w:t> </w:t>
      </w:r>
      <w:r w:rsidR="00A43DBC" w:rsidRPr="00941FA7">
        <w:rPr>
          <w:lang w:val="fr-FR"/>
        </w:rPr>
        <w:t>».</w:t>
      </w:r>
    </w:p>
    <w:p w:rsidR="000F435C" w:rsidRPr="00941FA7" w:rsidRDefault="000F435C" w:rsidP="00162710">
      <w:pPr>
        <w:pStyle w:val="NoSpacing"/>
        <w:ind w:left="850"/>
        <w:rPr>
          <w:lang w:val="fr-FR"/>
        </w:rPr>
      </w:pPr>
    </w:p>
    <w:p w:rsidR="00BD1DFC" w:rsidRPr="00941FA7" w:rsidRDefault="00523B6B" w:rsidP="00162710">
      <w:pPr>
        <w:pStyle w:val="NoSpacing"/>
        <w:rPr>
          <w:lang w:val="fr-FR"/>
        </w:rPr>
      </w:pPr>
      <w:r w:rsidRPr="00941FA7">
        <w:rPr>
          <w:lang w:val="fr-FR"/>
        </w:rPr>
        <w:t>10</w:t>
      </w:r>
      <w:r w:rsidR="000F435C" w:rsidRPr="00941FA7">
        <w:rPr>
          <w:lang w:val="fr-FR"/>
        </w:rPr>
        <w:t>.</w:t>
      </w:r>
      <w:r w:rsidR="000F435C" w:rsidRPr="00941FA7">
        <w:rPr>
          <w:lang w:val="fr-FR"/>
        </w:rPr>
        <w:tab/>
      </w:r>
      <w:r w:rsidR="003A601A" w:rsidRPr="00941FA7">
        <w:rPr>
          <w:lang w:val="fr-FR"/>
        </w:rPr>
        <w:t xml:space="preserve">Conformément aux décisions prises par le Comité permanent mentionnées au paragraphe 5 ci-dessus, le Secrétariat propose de reporter le </w:t>
      </w:r>
      <w:r w:rsidR="003E1878" w:rsidRPr="00941FA7">
        <w:rPr>
          <w:lang w:val="fr-FR"/>
        </w:rPr>
        <w:t>montant</w:t>
      </w:r>
      <w:r w:rsidR="003A601A" w:rsidRPr="00941FA7">
        <w:rPr>
          <w:lang w:val="fr-FR"/>
        </w:rPr>
        <w:t xml:space="preserve"> des fonds préengagés à 2022. Le montant total des fonds pré-engagés est de 767</w:t>
      </w:r>
      <w:r w:rsidR="00810392" w:rsidRPr="00941FA7">
        <w:rPr>
          <w:lang w:val="fr-FR"/>
        </w:rPr>
        <w:t> 000 CHF</w:t>
      </w:r>
      <w:r w:rsidR="003A601A" w:rsidRPr="00941FA7">
        <w:rPr>
          <w:lang w:val="fr-FR"/>
        </w:rPr>
        <w:t>, comme indiqué ci-dessus dans le tableau 1, colonne «</w:t>
      </w:r>
      <w:r w:rsidR="00810392" w:rsidRPr="00941FA7">
        <w:rPr>
          <w:lang w:val="fr-FR"/>
        </w:rPr>
        <w:t> </w:t>
      </w:r>
      <w:r w:rsidR="00810392" w:rsidRPr="00941FA7">
        <w:rPr>
          <w:rFonts w:eastAsia="Times New Roman" w:cs="Calibri"/>
          <w:bCs/>
          <w:lang w:val="fr-FR" w:eastAsia="en-GB"/>
        </w:rPr>
        <w:t>Fonds préengagés/ planifiés en 2021 à dépenser en 2022 </w:t>
      </w:r>
      <w:r w:rsidR="003A601A" w:rsidRPr="00941FA7">
        <w:rPr>
          <w:lang w:val="fr-FR"/>
        </w:rPr>
        <w:t>».</w:t>
      </w:r>
    </w:p>
    <w:p w:rsidR="00E02B6E" w:rsidRPr="00941FA7" w:rsidRDefault="00E02B6E" w:rsidP="00162710">
      <w:pPr>
        <w:pStyle w:val="NoSpacing"/>
        <w:rPr>
          <w:lang w:val="fr-FR"/>
        </w:rPr>
      </w:pPr>
    </w:p>
    <w:p w:rsidR="00810392" w:rsidRPr="00941FA7" w:rsidRDefault="00523B6B" w:rsidP="00162710">
      <w:pPr>
        <w:pStyle w:val="NoSpacing"/>
        <w:rPr>
          <w:lang w:val="fr-FR"/>
        </w:rPr>
      </w:pPr>
      <w:r w:rsidRPr="00941FA7">
        <w:rPr>
          <w:lang w:val="fr-FR"/>
        </w:rPr>
        <w:t>11</w:t>
      </w:r>
      <w:r w:rsidR="00A523BE" w:rsidRPr="00941FA7">
        <w:rPr>
          <w:lang w:val="fr-FR"/>
        </w:rPr>
        <w:t>.</w:t>
      </w:r>
      <w:r w:rsidR="00A523BE" w:rsidRPr="00941FA7">
        <w:rPr>
          <w:lang w:val="fr-FR"/>
        </w:rPr>
        <w:tab/>
      </w:r>
      <w:r w:rsidR="00810392" w:rsidRPr="00941FA7">
        <w:rPr>
          <w:lang w:val="fr-FR"/>
        </w:rPr>
        <w:t xml:space="preserve">Les fonds qui, avant 2017, </w:t>
      </w:r>
      <w:r w:rsidR="003E1878" w:rsidRPr="00941FA7">
        <w:rPr>
          <w:lang w:val="fr-FR"/>
        </w:rPr>
        <w:t>avaient été</w:t>
      </w:r>
      <w:r w:rsidR="00810392" w:rsidRPr="00941FA7">
        <w:rPr>
          <w:lang w:val="fr-FR"/>
        </w:rPr>
        <w:t xml:space="preserve"> transférés à des projets non administratifs restent dans la catégorie des fonds non administratifs et sont utilisés aux fins spécifiques approuvées par la décision SC54-26. Un</w:t>
      </w:r>
      <w:r w:rsidR="00AB533B" w:rsidRPr="00941FA7">
        <w:rPr>
          <w:lang w:val="fr-FR"/>
        </w:rPr>
        <w:t>e synthèse</w:t>
      </w:r>
      <w:r w:rsidR="00810392" w:rsidRPr="00941FA7">
        <w:rPr>
          <w:lang w:val="fr-FR"/>
        </w:rPr>
        <w:t xml:space="preserve"> de ces </w:t>
      </w:r>
      <w:r w:rsidR="00AB533B" w:rsidRPr="00941FA7">
        <w:rPr>
          <w:lang w:val="fr-FR"/>
        </w:rPr>
        <w:t>activités</w:t>
      </w:r>
      <w:r w:rsidR="00810392" w:rsidRPr="00941FA7">
        <w:rPr>
          <w:lang w:val="fr-FR"/>
        </w:rPr>
        <w:t xml:space="preserve"> figure dans le rapport sur les fonds non </w:t>
      </w:r>
      <w:r w:rsidR="00AB533B" w:rsidRPr="00941FA7">
        <w:rPr>
          <w:lang w:val="fr-FR"/>
        </w:rPr>
        <w:t>administratifs</w:t>
      </w:r>
      <w:r w:rsidR="003E1878" w:rsidRPr="00941FA7">
        <w:rPr>
          <w:lang w:val="fr-FR"/>
        </w:rPr>
        <w:t xml:space="preserve"> présenté à l’</w:t>
      </w:r>
      <w:r w:rsidR="00810392" w:rsidRPr="00941FA7">
        <w:rPr>
          <w:lang w:val="fr-FR"/>
        </w:rPr>
        <w:t xml:space="preserve">annexe 3. La pratique </w:t>
      </w:r>
      <w:r w:rsidR="00AB533B" w:rsidRPr="00941FA7">
        <w:rPr>
          <w:lang w:val="fr-FR"/>
        </w:rPr>
        <w:t>qui consistai</w:t>
      </w:r>
      <w:r w:rsidR="00810392" w:rsidRPr="00941FA7">
        <w:rPr>
          <w:lang w:val="fr-FR"/>
        </w:rPr>
        <w:t>t à effectuer de tels transferts a été abandonnée en 2017.</w:t>
      </w:r>
    </w:p>
    <w:p w:rsidR="004E30C5" w:rsidRPr="00941FA7" w:rsidRDefault="004E30C5" w:rsidP="005A41C9">
      <w:pPr>
        <w:pStyle w:val="NoSpacing"/>
        <w:rPr>
          <w:i/>
          <w:sz w:val="20"/>
          <w:szCs w:val="20"/>
          <w:lang w:val="fr-FR"/>
        </w:rPr>
      </w:pPr>
    </w:p>
    <w:p w:rsidR="00F1054B" w:rsidRPr="00941FA7" w:rsidRDefault="000E7F8A" w:rsidP="00FA0633">
      <w:pPr>
        <w:ind w:left="0" w:firstLine="0"/>
        <w:rPr>
          <w:i/>
          <w:lang w:val="fr-FR"/>
        </w:rPr>
      </w:pPr>
      <w:r w:rsidRPr="00941FA7">
        <w:rPr>
          <w:i/>
          <w:lang w:val="fr-FR"/>
        </w:rPr>
        <w:t>R</w:t>
      </w:r>
      <w:r w:rsidR="00AB533B" w:rsidRPr="00941FA7">
        <w:rPr>
          <w:i/>
          <w:lang w:val="fr-FR"/>
        </w:rPr>
        <w:t>é</w:t>
      </w:r>
      <w:r w:rsidR="002414B3" w:rsidRPr="00941FA7">
        <w:rPr>
          <w:i/>
          <w:lang w:val="fr-FR"/>
        </w:rPr>
        <w:t xml:space="preserve">visions </w:t>
      </w:r>
      <w:r w:rsidR="00AB533B" w:rsidRPr="00941FA7">
        <w:rPr>
          <w:i/>
          <w:lang w:val="fr-FR"/>
        </w:rPr>
        <w:t xml:space="preserve">au budget administratif </w:t>
      </w:r>
      <w:r w:rsidR="006E2CAB" w:rsidRPr="00941FA7">
        <w:rPr>
          <w:i/>
          <w:lang w:val="fr-FR"/>
        </w:rPr>
        <w:t xml:space="preserve">2021 </w:t>
      </w:r>
      <w:r w:rsidR="00AB533B" w:rsidRPr="00941FA7">
        <w:rPr>
          <w:i/>
          <w:lang w:val="fr-FR"/>
        </w:rPr>
        <w:t xml:space="preserve">approuvées par le Comité permanent </w:t>
      </w:r>
    </w:p>
    <w:p w:rsidR="00F1054B" w:rsidRPr="00941FA7" w:rsidRDefault="00F1054B" w:rsidP="00162710">
      <w:pPr>
        <w:rPr>
          <w:lang w:val="fr-FR"/>
        </w:rPr>
      </w:pPr>
    </w:p>
    <w:p w:rsidR="00F1054B" w:rsidRPr="00941FA7" w:rsidRDefault="00523B6B" w:rsidP="00162710">
      <w:pPr>
        <w:rPr>
          <w:lang w:val="fr-FR"/>
        </w:rPr>
      </w:pPr>
      <w:r w:rsidRPr="00941FA7">
        <w:rPr>
          <w:lang w:val="fr-FR"/>
        </w:rPr>
        <w:t>12</w:t>
      </w:r>
      <w:r w:rsidR="00F1054B" w:rsidRPr="00941FA7">
        <w:rPr>
          <w:lang w:val="fr-FR"/>
        </w:rPr>
        <w:t>.</w:t>
      </w:r>
      <w:r w:rsidR="00F1054B" w:rsidRPr="00941FA7">
        <w:rPr>
          <w:lang w:val="fr-FR"/>
        </w:rPr>
        <w:tab/>
      </w:r>
      <w:r w:rsidR="002C6F8E" w:rsidRPr="00941FA7">
        <w:rPr>
          <w:lang w:val="fr-FR"/>
        </w:rPr>
        <w:t xml:space="preserve">Les révisions suivantes ont été apportées au budget administratif en </w:t>
      </w:r>
      <w:r w:rsidR="00CE1519" w:rsidRPr="00941FA7">
        <w:rPr>
          <w:lang w:val="fr-FR"/>
        </w:rPr>
        <w:t>2021</w:t>
      </w:r>
      <w:r w:rsidR="002C6F8E" w:rsidRPr="00941FA7">
        <w:rPr>
          <w:lang w:val="fr-FR"/>
        </w:rPr>
        <w:t> </w:t>
      </w:r>
      <w:r w:rsidR="00FA0633" w:rsidRPr="00941FA7">
        <w:rPr>
          <w:lang w:val="fr-FR"/>
        </w:rPr>
        <w:t>:</w:t>
      </w:r>
    </w:p>
    <w:p w:rsidR="00F1054B" w:rsidRPr="00941FA7" w:rsidRDefault="00F1054B" w:rsidP="002C6F8E">
      <w:pPr>
        <w:jc w:val="center"/>
        <w:rPr>
          <w:lang w:val="fr-FR"/>
        </w:rPr>
      </w:pPr>
    </w:p>
    <w:p w:rsidR="002C6F8E" w:rsidRPr="00941FA7" w:rsidRDefault="002C6F8E" w:rsidP="002C6F8E">
      <w:pPr>
        <w:pStyle w:val="NoSpacing"/>
        <w:numPr>
          <w:ilvl w:val="0"/>
          <w:numId w:val="18"/>
        </w:numPr>
        <w:rPr>
          <w:lang w:val="fr-FR"/>
        </w:rPr>
      </w:pPr>
      <w:r w:rsidRPr="00941FA7">
        <w:rPr>
          <w:lang w:val="fr-FR"/>
        </w:rPr>
        <w:t xml:space="preserve">Le budget administratif 2021 approuvé à la COP13 a été révisé à la réunion virtuelle de la SC59 en juin 2021 (Décision SC59-27) afin de procéder à l’ajustement entre les lignes budgétaires </w:t>
      </w:r>
      <w:r w:rsidR="00A1539D" w:rsidRPr="00941FA7">
        <w:rPr>
          <w:lang w:val="fr-FR"/>
        </w:rPr>
        <w:t>concernant</w:t>
      </w:r>
      <w:r w:rsidRPr="00941FA7">
        <w:rPr>
          <w:lang w:val="fr-FR"/>
        </w:rPr>
        <w:t xml:space="preserve"> les déplacements du personnel, les salaires, les autres prestations liées à l’emploi et </w:t>
      </w:r>
      <w:r w:rsidR="00B26989" w:rsidRPr="00941FA7">
        <w:rPr>
          <w:lang w:val="fr-FR"/>
        </w:rPr>
        <w:t xml:space="preserve">les recrutements et </w:t>
      </w:r>
      <w:r w:rsidR="00A1539D" w:rsidRPr="00941FA7">
        <w:rPr>
          <w:lang w:val="fr-FR"/>
        </w:rPr>
        <w:t>départs</w:t>
      </w:r>
      <w:r w:rsidR="00B26989" w:rsidRPr="00941FA7">
        <w:rPr>
          <w:lang w:val="fr-FR"/>
        </w:rPr>
        <w:t xml:space="preserve"> des personnels</w:t>
      </w:r>
      <w:r w:rsidR="00A1539D" w:rsidRPr="00941FA7">
        <w:rPr>
          <w:lang w:val="fr-FR"/>
        </w:rPr>
        <w:t>,</w:t>
      </w:r>
      <w:r w:rsidR="00B26989" w:rsidRPr="00941FA7">
        <w:rPr>
          <w:lang w:val="fr-FR"/>
        </w:rPr>
        <w:t xml:space="preserve"> dans les limites du budget </w:t>
      </w:r>
      <w:r w:rsidR="00A1539D" w:rsidRPr="00941FA7">
        <w:rPr>
          <w:lang w:val="fr-FR"/>
        </w:rPr>
        <w:t xml:space="preserve">approuvé </w:t>
      </w:r>
      <w:r w:rsidR="00B26989" w:rsidRPr="00941FA7">
        <w:rPr>
          <w:lang w:val="fr-FR"/>
        </w:rPr>
        <w:t>du personnel.</w:t>
      </w:r>
    </w:p>
    <w:p w:rsidR="00F1054B" w:rsidRPr="00941FA7" w:rsidRDefault="00F1054B" w:rsidP="00FA0633">
      <w:pPr>
        <w:pStyle w:val="NoSpacing"/>
        <w:ind w:left="851"/>
        <w:rPr>
          <w:lang w:val="fr-FR"/>
        </w:rPr>
      </w:pPr>
    </w:p>
    <w:p w:rsidR="00F55A53" w:rsidRPr="00941FA7" w:rsidRDefault="00B26989" w:rsidP="00E3725C">
      <w:pPr>
        <w:pStyle w:val="NoSpacing"/>
        <w:numPr>
          <w:ilvl w:val="0"/>
          <w:numId w:val="18"/>
        </w:numPr>
        <w:rPr>
          <w:lang w:val="fr-FR"/>
        </w:rPr>
      </w:pPr>
      <w:bookmarkStart w:id="0" w:name="_Hlk98155519"/>
      <w:r w:rsidRPr="00941FA7">
        <w:rPr>
          <w:lang w:val="fr-FR"/>
        </w:rPr>
        <w:t>En outre, conformément aux dispositions de la même décision SC59-27, les lignes budgétaires « </w:t>
      </w:r>
      <w:r w:rsidR="00A1539D" w:rsidRPr="00941FA7">
        <w:rPr>
          <w:lang w:val="fr-FR"/>
        </w:rPr>
        <w:t>s</w:t>
      </w:r>
      <w:r w:rsidRPr="00941FA7">
        <w:rPr>
          <w:lang w:val="fr-FR"/>
        </w:rPr>
        <w:t>alaires, charges sociales autres prestations</w:t>
      </w:r>
      <w:r w:rsidR="00A1539D" w:rsidRPr="00941FA7">
        <w:rPr>
          <w:lang w:val="fr-FR"/>
        </w:rPr>
        <w:t xml:space="preserve"> liées à l’emploi</w:t>
      </w:r>
      <w:r w:rsidRPr="00941FA7">
        <w:rPr>
          <w:lang w:val="fr-FR"/>
        </w:rPr>
        <w:t xml:space="preserve"> » ont été fusionnées pour chaque poste budgétaire. </w:t>
      </w:r>
      <w:bookmarkEnd w:id="0"/>
    </w:p>
    <w:p w:rsidR="00E3725C" w:rsidRPr="00941FA7" w:rsidRDefault="00E3725C" w:rsidP="00E3725C">
      <w:pPr>
        <w:pStyle w:val="ListParagraph"/>
        <w:rPr>
          <w:lang w:val="fr-FR"/>
        </w:rPr>
      </w:pPr>
    </w:p>
    <w:p w:rsidR="00E3725C" w:rsidRPr="00941FA7" w:rsidRDefault="00E3725C" w:rsidP="00E3725C">
      <w:pPr>
        <w:pStyle w:val="NoSpacing"/>
        <w:numPr>
          <w:ilvl w:val="0"/>
          <w:numId w:val="18"/>
        </w:numPr>
        <w:rPr>
          <w:rFonts w:asciiTheme="minorHAnsi" w:hAnsiTheme="minorHAnsi" w:cstheme="minorHAnsi"/>
          <w:lang w:val="fr-FR"/>
        </w:rPr>
      </w:pPr>
      <w:r w:rsidRPr="00941FA7">
        <w:rPr>
          <w:lang w:val="fr-FR"/>
        </w:rPr>
        <w:t>Par sa décision SC59-33, le Comité permanent a approuvé « </w:t>
      </w:r>
      <w:r w:rsidRPr="00941FA7">
        <w:rPr>
          <w:rFonts w:asciiTheme="minorHAnsi" w:hAnsiTheme="minorHAnsi" w:cstheme="minorHAnsi"/>
          <w:lang w:val="fr-FR"/>
        </w:rPr>
        <w:t>l’affectation d’un montant de 25 000 CHF, à chacune des quatre Initiatives régionales Ramsar éligibles pour la réalisation de leurs activités en 2021, sous réserve que les IRR bénéficiaires se conforment à l’alinéa</w:t>
      </w:r>
      <w:r w:rsidR="009B6166" w:rsidRPr="00941FA7">
        <w:rPr>
          <w:rFonts w:asciiTheme="minorHAnsi" w:hAnsiTheme="minorHAnsi" w:cstheme="minorHAnsi"/>
          <w:lang w:val="fr-FR"/>
        </w:rPr>
        <w:t xml:space="preserve"> 8.d) de la Résolution XIII.9 »</w:t>
      </w:r>
      <w:r w:rsidR="00653DEF" w:rsidRPr="00941FA7">
        <w:rPr>
          <w:rFonts w:asciiTheme="minorHAnsi" w:hAnsiTheme="minorHAnsi" w:cstheme="minorHAnsi"/>
          <w:lang w:val="fr-FR"/>
        </w:rPr>
        <w:t>,</w:t>
      </w:r>
      <w:r w:rsidR="009B6166" w:rsidRPr="00941FA7">
        <w:rPr>
          <w:rFonts w:asciiTheme="minorHAnsi" w:hAnsiTheme="minorHAnsi" w:cstheme="minorHAnsi"/>
          <w:lang w:val="fr-FR"/>
        </w:rPr>
        <w:t xml:space="preserve"> </w:t>
      </w:r>
      <w:r w:rsidR="00653DEF" w:rsidRPr="00941FA7">
        <w:rPr>
          <w:rFonts w:asciiTheme="minorHAnsi" w:hAnsiTheme="minorHAnsi" w:cstheme="minorHAnsi"/>
          <w:lang w:val="fr-FR"/>
        </w:rPr>
        <w:t xml:space="preserve">à prendre </w:t>
      </w:r>
      <w:r w:rsidR="009B6166" w:rsidRPr="00941FA7">
        <w:rPr>
          <w:rFonts w:asciiTheme="minorHAnsi" w:hAnsiTheme="minorHAnsi" w:cstheme="minorHAnsi"/>
          <w:lang w:val="fr-FR"/>
        </w:rPr>
        <w:t xml:space="preserve">dans la ligne </w:t>
      </w:r>
      <w:r w:rsidR="00653DEF" w:rsidRPr="00941FA7">
        <w:rPr>
          <w:rFonts w:asciiTheme="minorHAnsi" w:hAnsiTheme="minorHAnsi" w:cstheme="minorHAnsi"/>
          <w:lang w:val="fr-FR"/>
        </w:rPr>
        <w:t>D « </w:t>
      </w:r>
      <w:r w:rsidR="009B6166" w:rsidRPr="00941FA7">
        <w:rPr>
          <w:rFonts w:asciiTheme="minorHAnsi" w:hAnsiTheme="minorHAnsi" w:cstheme="minorHAnsi"/>
          <w:lang w:val="fr-FR"/>
        </w:rPr>
        <w:t>Appui aux Initiatives régionales</w:t>
      </w:r>
      <w:r w:rsidR="00653DEF" w:rsidRPr="00941FA7">
        <w:rPr>
          <w:rFonts w:asciiTheme="minorHAnsi" w:hAnsiTheme="minorHAnsi" w:cstheme="minorHAnsi"/>
          <w:lang w:val="fr-FR"/>
        </w:rPr>
        <w:t> »</w:t>
      </w:r>
      <w:r w:rsidR="00F14EB2" w:rsidRPr="00941FA7">
        <w:rPr>
          <w:rFonts w:asciiTheme="minorHAnsi" w:hAnsiTheme="minorHAnsi" w:cstheme="minorHAnsi"/>
          <w:lang w:val="fr-FR"/>
        </w:rPr>
        <w:t xml:space="preserve"> </w:t>
      </w:r>
      <w:r w:rsidR="00653DEF" w:rsidRPr="00941FA7">
        <w:rPr>
          <w:rFonts w:asciiTheme="minorHAnsi" w:hAnsiTheme="minorHAnsi" w:cstheme="minorHAnsi"/>
          <w:lang w:val="fr-FR"/>
        </w:rPr>
        <w:t>du budget administratif.</w:t>
      </w:r>
    </w:p>
    <w:p w:rsidR="00662CD5" w:rsidRPr="00941FA7" w:rsidRDefault="00662CD5" w:rsidP="00FA0633">
      <w:pPr>
        <w:pStyle w:val="NoSpacing"/>
        <w:ind w:left="851"/>
        <w:rPr>
          <w:lang w:val="fr-FR"/>
        </w:rPr>
      </w:pPr>
    </w:p>
    <w:p w:rsidR="00BA1A86" w:rsidRPr="00941FA7" w:rsidRDefault="00523B6B" w:rsidP="00FA0633">
      <w:pPr>
        <w:pStyle w:val="NoSpacing"/>
        <w:ind w:left="851"/>
        <w:rPr>
          <w:lang w:val="fr-FR"/>
        </w:rPr>
      </w:pPr>
      <w:r w:rsidRPr="00941FA7">
        <w:rPr>
          <w:lang w:val="fr-FR"/>
        </w:rPr>
        <w:t>d.</w:t>
      </w:r>
      <w:r w:rsidR="00BA1A86" w:rsidRPr="00941FA7">
        <w:rPr>
          <w:lang w:val="fr-FR"/>
        </w:rPr>
        <w:tab/>
      </w:r>
      <w:r w:rsidR="00F14EB2" w:rsidRPr="00941FA7">
        <w:rPr>
          <w:lang w:val="fr-FR"/>
        </w:rPr>
        <w:t>Dans</w:t>
      </w:r>
      <w:r w:rsidR="00E3725C" w:rsidRPr="00941FA7">
        <w:rPr>
          <w:lang w:val="fr-FR"/>
        </w:rPr>
        <w:t xml:space="preserve"> la décision SC59-34, le Comité permanent a </w:t>
      </w:r>
      <w:r w:rsidR="00F14EB2" w:rsidRPr="00941FA7">
        <w:rPr>
          <w:lang w:val="fr-FR"/>
        </w:rPr>
        <w:t>également dé</w:t>
      </w:r>
      <w:r w:rsidR="00E3725C" w:rsidRPr="00941FA7">
        <w:rPr>
          <w:lang w:val="fr-FR"/>
        </w:rPr>
        <w:t xml:space="preserve">cidé que </w:t>
      </w:r>
      <w:r w:rsidR="00E3725C" w:rsidRPr="00941FA7">
        <w:rPr>
          <w:rFonts w:asciiTheme="minorHAnsi" w:hAnsiTheme="minorHAnsi" w:cstheme="minorHAnsi"/>
          <w:lang w:val="fr-FR"/>
        </w:rPr>
        <w:t xml:space="preserve">toute demande de fonds </w:t>
      </w:r>
      <w:r w:rsidR="00F14EB2" w:rsidRPr="00941FA7">
        <w:rPr>
          <w:rFonts w:asciiTheme="minorHAnsi" w:hAnsiTheme="minorHAnsi" w:cstheme="minorHAnsi"/>
          <w:lang w:val="fr-FR"/>
        </w:rPr>
        <w:t>à prendre sur le</w:t>
      </w:r>
      <w:r w:rsidR="00E3725C" w:rsidRPr="00941FA7">
        <w:rPr>
          <w:rFonts w:asciiTheme="minorHAnsi" w:hAnsiTheme="minorHAnsi" w:cstheme="minorHAnsi"/>
          <w:lang w:val="fr-FR"/>
        </w:rPr>
        <w:t xml:space="preserve"> budget administratif émanant des Initiatives régionales Ramsar s’accompagne d’un exposé sur la manière dont elles soutiennent les Parties contractantes dans la mise en œuvre de la Convention et de ses Résolutions et orientations</w:t>
      </w:r>
      <w:r w:rsidR="00F14EB2" w:rsidRPr="00941FA7">
        <w:rPr>
          <w:rFonts w:asciiTheme="minorHAnsi" w:hAnsiTheme="minorHAnsi" w:cstheme="minorHAnsi"/>
          <w:lang w:val="fr-FR"/>
        </w:rPr>
        <w:t>,</w:t>
      </w:r>
      <w:r w:rsidR="00E3725C" w:rsidRPr="00941FA7">
        <w:rPr>
          <w:rFonts w:asciiTheme="minorHAnsi" w:hAnsiTheme="minorHAnsi" w:cstheme="minorHAnsi"/>
          <w:lang w:val="fr-FR"/>
        </w:rPr>
        <w:t xml:space="preserve"> et que ces demandes soient rédigées en anglais ou accompagnées d’une traduction en anglais (les traductions informelles de type « Google Translate » revues par le Correspondant national pourront être acceptées) de façon à permettre au Sous-groupe sur les finances de prendre des décisions éclairées en temps opportun. </w:t>
      </w:r>
    </w:p>
    <w:p w:rsidR="00BA1A86" w:rsidRPr="00941FA7" w:rsidRDefault="00BA1A86" w:rsidP="00FA0633">
      <w:pPr>
        <w:pStyle w:val="NoSpacing"/>
        <w:ind w:left="851"/>
        <w:rPr>
          <w:lang w:val="fr-FR"/>
        </w:rPr>
      </w:pPr>
    </w:p>
    <w:p w:rsidR="00751FF2" w:rsidRPr="00941FA7" w:rsidRDefault="00523B6B" w:rsidP="00257D2F">
      <w:pPr>
        <w:pStyle w:val="NoSpacing"/>
        <w:ind w:left="851"/>
        <w:rPr>
          <w:lang w:val="fr-FR"/>
        </w:rPr>
      </w:pPr>
      <w:r w:rsidRPr="00941FA7">
        <w:rPr>
          <w:lang w:val="fr-FR"/>
        </w:rPr>
        <w:t>e.</w:t>
      </w:r>
      <w:r w:rsidR="00F55A53" w:rsidRPr="00941FA7">
        <w:rPr>
          <w:lang w:val="fr-FR"/>
        </w:rPr>
        <w:tab/>
      </w:r>
      <w:r w:rsidR="00653DEF" w:rsidRPr="00941FA7">
        <w:rPr>
          <w:lang w:val="fr-FR"/>
        </w:rPr>
        <w:t>L</w:t>
      </w:r>
      <w:r w:rsidR="0044539B" w:rsidRPr="00941FA7">
        <w:rPr>
          <w:lang w:val="fr-FR"/>
        </w:rPr>
        <w:t xml:space="preserve">e Comité permanent a </w:t>
      </w:r>
      <w:r w:rsidR="00653DEF" w:rsidRPr="00941FA7">
        <w:rPr>
          <w:lang w:val="fr-FR"/>
        </w:rPr>
        <w:t xml:space="preserve">également </w:t>
      </w:r>
      <w:r w:rsidR="0044539B" w:rsidRPr="00941FA7">
        <w:rPr>
          <w:lang w:val="fr-FR"/>
        </w:rPr>
        <w:t xml:space="preserve">approuvé l’utilisation des </w:t>
      </w:r>
      <w:r w:rsidR="00F75F79" w:rsidRPr="00941FA7">
        <w:rPr>
          <w:lang w:val="fr-FR"/>
        </w:rPr>
        <w:t>économies</w:t>
      </w:r>
      <w:r w:rsidR="0044539B" w:rsidRPr="00941FA7">
        <w:rPr>
          <w:lang w:val="fr-FR"/>
        </w:rPr>
        <w:t xml:space="preserve"> </w:t>
      </w:r>
      <w:r w:rsidR="00F75F79" w:rsidRPr="00941FA7">
        <w:rPr>
          <w:lang w:val="fr-FR"/>
        </w:rPr>
        <w:t>réalisées</w:t>
      </w:r>
      <w:r w:rsidR="0044539B" w:rsidRPr="00941FA7">
        <w:rPr>
          <w:lang w:val="fr-FR"/>
        </w:rPr>
        <w:t xml:space="preserve"> sur le budget 2020 pour un montant de 293</w:t>
      </w:r>
      <w:r w:rsidR="00F14EB2" w:rsidRPr="00941FA7">
        <w:rPr>
          <w:lang w:val="fr-FR"/>
        </w:rPr>
        <w:t> </w:t>
      </w:r>
      <w:r w:rsidR="0044539B" w:rsidRPr="00941FA7">
        <w:rPr>
          <w:lang w:val="fr-FR"/>
        </w:rPr>
        <w:t xml:space="preserve">000 CHF </w:t>
      </w:r>
      <w:r w:rsidR="00F75F79" w:rsidRPr="00941FA7">
        <w:rPr>
          <w:lang w:val="fr-FR"/>
        </w:rPr>
        <w:t xml:space="preserve">dans les décisions suivantes : </w:t>
      </w:r>
      <w:r w:rsidR="0044539B" w:rsidRPr="00941FA7">
        <w:rPr>
          <w:lang w:val="fr-FR"/>
        </w:rPr>
        <w:t xml:space="preserve">(i) dans la </w:t>
      </w:r>
      <w:r w:rsidR="00F75F79" w:rsidRPr="00941FA7">
        <w:rPr>
          <w:lang w:val="fr-FR"/>
        </w:rPr>
        <w:t>Dé</w:t>
      </w:r>
      <w:r w:rsidR="0044539B" w:rsidRPr="00941FA7">
        <w:rPr>
          <w:lang w:val="fr-FR"/>
        </w:rPr>
        <w:t xml:space="preserve">cision </w:t>
      </w:r>
      <w:r w:rsidR="00F14EB2" w:rsidRPr="00941FA7">
        <w:rPr>
          <w:lang w:val="fr-FR"/>
        </w:rPr>
        <w:t xml:space="preserve">SC59-35, le Comité permanent a </w:t>
      </w:r>
      <w:r w:rsidR="00F75F79" w:rsidRPr="00941FA7">
        <w:rPr>
          <w:lang w:val="fr-FR"/>
        </w:rPr>
        <w:t>a</w:t>
      </w:r>
      <w:r w:rsidR="00F14EB2" w:rsidRPr="00941FA7">
        <w:rPr>
          <w:lang w:val="fr-FR"/>
        </w:rPr>
        <w:t>pprouvé l’affectation budgétée</w:t>
      </w:r>
      <w:r w:rsidR="00F75F79" w:rsidRPr="00941FA7">
        <w:rPr>
          <w:lang w:val="fr-FR"/>
        </w:rPr>
        <w:t xml:space="preserve"> restante de 10 000 CHF à </w:t>
      </w:r>
      <w:r w:rsidR="00F14EB2" w:rsidRPr="00941FA7">
        <w:rPr>
          <w:lang w:val="fr-FR"/>
        </w:rPr>
        <w:t xml:space="preserve">chacune de </w:t>
      </w:r>
      <w:r w:rsidR="00F75F79" w:rsidRPr="00941FA7">
        <w:rPr>
          <w:lang w:val="fr-FR"/>
        </w:rPr>
        <w:t>deux IRR dans le cadre d</w:t>
      </w:r>
      <w:r w:rsidR="00F14EB2" w:rsidRPr="00941FA7">
        <w:rPr>
          <w:lang w:val="fr-FR"/>
        </w:rPr>
        <w:t>e la décision SC58-28, pour le</w:t>
      </w:r>
      <w:r w:rsidR="00F75F79" w:rsidRPr="00941FA7">
        <w:rPr>
          <w:lang w:val="fr-FR"/>
        </w:rPr>
        <w:t>s activités prévues en 2020</w:t>
      </w:r>
      <w:r w:rsidR="00F14EB2" w:rsidRPr="00941FA7">
        <w:rPr>
          <w:lang w:val="fr-FR"/>
        </w:rPr>
        <w:t>,</w:t>
      </w:r>
      <w:r w:rsidR="00F75F79" w:rsidRPr="00941FA7">
        <w:rPr>
          <w:lang w:val="fr-FR"/>
        </w:rPr>
        <w:t xml:space="preserve"> mais reportées à 2021</w:t>
      </w:r>
      <w:r w:rsidR="00F14EB2" w:rsidRPr="00941FA7">
        <w:rPr>
          <w:lang w:val="fr-FR"/>
        </w:rPr>
        <w:t>,</w:t>
      </w:r>
      <w:r w:rsidR="00F75F79" w:rsidRPr="00941FA7">
        <w:rPr>
          <w:lang w:val="fr-FR"/>
        </w:rPr>
        <w:t xml:space="preserve"> et pour décaissement en 2021, </w:t>
      </w:r>
      <w:r w:rsidR="00F14EB2" w:rsidRPr="00941FA7">
        <w:rPr>
          <w:lang w:val="fr-FR"/>
        </w:rPr>
        <w:t>sur les</w:t>
      </w:r>
      <w:r w:rsidR="00F75F79" w:rsidRPr="00941FA7">
        <w:rPr>
          <w:lang w:val="fr-FR"/>
        </w:rPr>
        <w:t xml:space="preserve"> économies réalisées sur le budget administratif 2020 </w:t>
      </w:r>
      <w:r w:rsidR="00257D2F" w:rsidRPr="00941FA7">
        <w:rPr>
          <w:lang w:val="fr-FR"/>
        </w:rPr>
        <w:t xml:space="preserve">; </w:t>
      </w:r>
      <w:r w:rsidR="00BF39D6" w:rsidRPr="00941FA7">
        <w:rPr>
          <w:lang w:val="fr-FR"/>
        </w:rPr>
        <w:t>(</w:t>
      </w:r>
      <w:r w:rsidR="00257D2F" w:rsidRPr="00941FA7">
        <w:rPr>
          <w:lang w:val="fr-FR"/>
        </w:rPr>
        <w:t xml:space="preserve">ii) </w:t>
      </w:r>
      <w:r w:rsidR="00F75F79" w:rsidRPr="00941FA7">
        <w:rPr>
          <w:lang w:val="fr-FR"/>
        </w:rPr>
        <w:t>dans la Dé</w:t>
      </w:r>
      <w:r w:rsidR="00257D2F" w:rsidRPr="00941FA7">
        <w:rPr>
          <w:lang w:val="fr-FR"/>
        </w:rPr>
        <w:t xml:space="preserve">cision SC59-28, </w:t>
      </w:r>
      <w:r w:rsidR="00F75F79" w:rsidRPr="00941FA7">
        <w:rPr>
          <w:lang w:val="fr-FR"/>
        </w:rPr>
        <w:t>l</w:t>
      </w:r>
      <w:r w:rsidR="00653DEF" w:rsidRPr="00941FA7">
        <w:rPr>
          <w:lang w:val="fr-FR"/>
        </w:rPr>
        <w:t>e Comité permanent a approuvé l’</w:t>
      </w:r>
      <w:r w:rsidR="00F75F79" w:rsidRPr="00941FA7">
        <w:rPr>
          <w:lang w:val="fr-FR"/>
        </w:rPr>
        <w:t>affectation de 72 </w:t>
      </w:r>
      <w:r w:rsidR="00F14EB2" w:rsidRPr="00941FA7">
        <w:rPr>
          <w:lang w:val="fr-FR"/>
        </w:rPr>
        <w:t>000 CHF pour faire face à l’</w:t>
      </w:r>
      <w:r w:rsidR="00F75F79" w:rsidRPr="00941FA7">
        <w:rPr>
          <w:lang w:val="fr-FR"/>
        </w:rPr>
        <w:t>augmentation des provisions pour contributions non acquittées dans le budget 2021 ;</w:t>
      </w:r>
      <w:r w:rsidR="00BF39D6" w:rsidRPr="00941FA7">
        <w:rPr>
          <w:lang w:val="fr-FR"/>
        </w:rPr>
        <w:t xml:space="preserve"> (iii) </w:t>
      </w:r>
      <w:r w:rsidR="00F75F79" w:rsidRPr="00941FA7">
        <w:rPr>
          <w:lang w:val="fr-FR"/>
        </w:rPr>
        <w:t>dans la décision SC59-29, le Comité permanent a approuvé l’utilisation de 25 000 CHF pour le développement et la production de la Journée mondiale des zones humides 2022 et de 86 000 CHF pour l’amélioration du site web de la Convention</w:t>
      </w:r>
      <w:r w:rsidR="00F14EB2" w:rsidRPr="00941FA7">
        <w:rPr>
          <w:lang w:val="fr-FR"/>
        </w:rPr>
        <w:t> </w:t>
      </w:r>
      <w:r w:rsidR="003C00FC" w:rsidRPr="00941FA7">
        <w:rPr>
          <w:lang w:val="fr-FR"/>
        </w:rPr>
        <w:t>;</w:t>
      </w:r>
      <w:r w:rsidR="00BF39D6" w:rsidRPr="00941FA7">
        <w:rPr>
          <w:lang w:val="fr-FR"/>
        </w:rPr>
        <w:t xml:space="preserve"> </w:t>
      </w:r>
      <w:r w:rsidR="00F75F79" w:rsidRPr="00941FA7">
        <w:rPr>
          <w:lang w:val="fr-FR"/>
        </w:rPr>
        <w:t>et</w:t>
      </w:r>
      <w:r w:rsidR="00BF39D6" w:rsidRPr="00941FA7">
        <w:rPr>
          <w:lang w:val="fr-FR"/>
        </w:rPr>
        <w:t xml:space="preserve"> (iv) </w:t>
      </w:r>
      <w:r w:rsidR="00F75F79" w:rsidRPr="00941FA7">
        <w:rPr>
          <w:lang w:val="fr-FR"/>
        </w:rPr>
        <w:t>dans la décision SC59-32, le Comité permanent a approuvé l’affectation de 90 000 CHF aux travaux du Groupe de travail sur l’examen du plan stratégique.</w:t>
      </w:r>
    </w:p>
    <w:p w:rsidR="00F55A53" w:rsidRPr="00941FA7" w:rsidRDefault="00F55A53" w:rsidP="008F7FC4">
      <w:pPr>
        <w:pStyle w:val="NoSpacing"/>
        <w:ind w:left="851"/>
        <w:rPr>
          <w:lang w:val="fr-FR"/>
        </w:rPr>
      </w:pPr>
    </w:p>
    <w:p w:rsidR="00F1054B" w:rsidRPr="00941FA7" w:rsidRDefault="00523B6B" w:rsidP="008F7FC4">
      <w:pPr>
        <w:pStyle w:val="NoSpacing"/>
        <w:ind w:left="851"/>
        <w:rPr>
          <w:lang w:val="fr-FR"/>
        </w:rPr>
      </w:pPr>
      <w:r w:rsidRPr="00941FA7">
        <w:rPr>
          <w:lang w:val="fr-FR"/>
        </w:rPr>
        <w:t>f</w:t>
      </w:r>
      <w:r w:rsidR="008F7FC4" w:rsidRPr="00941FA7">
        <w:rPr>
          <w:lang w:val="fr-FR"/>
        </w:rPr>
        <w:t>.</w:t>
      </w:r>
      <w:r w:rsidR="008F7FC4" w:rsidRPr="00941FA7">
        <w:rPr>
          <w:lang w:val="fr-FR"/>
        </w:rPr>
        <w:tab/>
      </w:r>
      <w:r w:rsidR="00F75F79" w:rsidRPr="00941FA7">
        <w:rPr>
          <w:lang w:val="fr-FR"/>
        </w:rPr>
        <w:t xml:space="preserve">Ces révisions figurent dans le budget 2021. Le </w:t>
      </w:r>
      <w:r w:rsidR="003203B7" w:rsidRPr="00941FA7">
        <w:rPr>
          <w:lang w:val="fr-FR"/>
        </w:rPr>
        <w:t>montant</w:t>
      </w:r>
      <w:r w:rsidR="00F75F79" w:rsidRPr="00941FA7">
        <w:rPr>
          <w:lang w:val="fr-FR"/>
        </w:rPr>
        <w:t xml:space="preserve"> des économies budgétaires restantes et non affectées pour 2020, soit 416 000 CHF, </w:t>
      </w:r>
      <w:r w:rsidR="003203B7" w:rsidRPr="00941FA7">
        <w:rPr>
          <w:lang w:val="fr-FR"/>
        </w:rPr>
        <w:t>figure</w:t>
      </w:r>
      <w:r w:rsidR="00F75F79" w:rsidRPr="00941FA7">
        <w:rPr>
          <w:lang w:val="fr-FR"/>
        </w:rPr>
        <w:t xml:space="preserve"> </w:t>
      </w:r>
      <w:r w:rsidR="003203B7" w:rsidRPr="00941FA7">
        <w:rPr>
          <w:lang w:val="fr-FR"/>
        </w:rPr>
        <w:t>sur</w:t>
      </w:r>
      <w:r w:rsidR="00F75F79" w:rsidRPr="00941FA7">
        <w:rPr>
          <w:lang w:val="fr-FR"/>
        </w:rPr>
        <w:t xml:space="preserve"> une ligne budgétaire distincte</w:t>
      </w:r>
      <w:r w:rsidR="003C7B89" w:rsidRPr="00941FA7">
        <w:rPr>
          <w:lang w:val="fr-FR"/>
        </w:rPr>
        <w:t>,</w:t>
      </w:r>
      <w:r w:rsidR="00F75F79" w:rsidRPr="00941FA7">
        <w:rPr>
          <w:lang w:val="fr-FR"/>
        </w:rPr>
        <w:t xml:space="preserve"> sous le poste K «Divers - Fond</w:t>
      </w:r>
      <w:r w:rsidR="00DB60E4" w:rsidRPr="00941FA7">
        <w:rPr>
          <w:lang w:val="fr-FR"/>
        </w:rPr>
        <w:t>s de réserve»</w:t>
      </w:r>
      <w:r w:rsidR="003C7B89" w:rsidRPr="00941FA7">
        <w:rPr>
          <w:lang w:val="fr-FR"/>
        </w:rPr>
        <w:t>,</w:t>
      </w:r>
      <w:r w:rsidR="00DB60E4" w:rsidRPr="00941FA7">
        <w:rPr>
          <w:lang w:val="fr-FR"/>
        </w:rPr>
        <w:t xml:space="preserve"> </w:t>
      </w:r>
      <w:r w:rsidR="00D749FF" w:rsidRPr="00941FA7">
        <w:rPr>
          <w:lang w:val="fr-FR"/>
        </w:rPr>
        <w:t>à</w:t>
      </w:r>
      <w:r w:rsidR="00DB60E4" w:rsidRPr="00941FA7">
        <w:rPr>
          <w:lang w:val="fr-FR"/>
        </w:rPr>
        <w:t xml:space="preserve"> la </w:t>
      </w:r>
      <w:r w:rsidR="00D749FF" w:rsidRPr="00941FA7">
        <w:rPr>
          <w:lang w:val="fr-FR"/>
        </w:rPr>
        <w:t>ligne</w:t>
      </w:r>
      <w:r w:rsidR="00DB60E4" w:rsidRPr="00941FA7">
        <w:rPr>
          <w:lang w:val="fr-FR"/>
        </w:rPr>
        <w:t xml:space="preserve"> </w:t>
      </w:r>
      <w:r w:rsidR="003C7B89" w:rsidRPr="00941FA7">
        <w:rPr>
          <w:rFonts w:cs="Calibri"/>
          <w:lang w:val="fr-FR"/>
        </w:rPr>
        <w:t xml:space="preserve">« </w:t>
      </w:r>
      <w:r w:rsidR="006039B6" w:rsidRPr="00941FA7">
        <w:rPr>
          <w:rFonts w:cs="Calibri"/>
          <w:lang w:val="fr-FR"/>
        </w:rPr>
        <w:t>Budget 2020 - SC58 et économies non engagées reportées</w:t>
      </w:r>
      <w:r w:rsidR="003C7B89" w:rsidRPr="00941FA7">
        <w:rPr>
          <w:rFonts w:cs="Calibri"/>
          <w:lang w:val="fr-FR"/>
        </w:rPr>
        <w:t xml:space="preserve"> » </w:t>
      </w:r>
      <w:r w:rsidR="00F75F79" w:rsidRPr="00941FA7">
        <w:rPr>
          <w:lang w:val="fr-FR"/>
        </w:rPr>
        <w:t>à l’annexe 2.</w:t>
      </w:r>
    </w:p>
    <w:p w:rsidR="00CE1519" w:rsidRPr="00941FA7" w:rsidRDefault="00CE1519" w:rsidP="008F7FC4">
      <w:pPr>
        <w:pStyle w:val="NoSpacing"/>
        <w:ind w:left="851"/>
        <w:rPr>
          <w:lang w:val="fr-FR"/>
        </w:rPr>
      </w:pPr>
    </w:p>
    <w:p w:rsidR="00CE1519" w:rsidRPr="00941FA7" w:rsidRDefault="00A112D3" w:rsidP="00CE1519">
      <w:pPr>
        <w:rPr>
          <w:i/>
          <w:lang w:val="fr-FR"/>
        </w:rPr>
      </w:pPr>
      <w:r w:rsidRPr="00941FA7">
        <w:rPr>
          <w:i/>
          <w:lang w:val="fr-FR"/>
        </w:rPr>
        <w:t xml:space="preserve">Ajustements proposés par le Secrétariat pour les soldes de 2021 </w:t>
      </w:r>
    </w:p>
    <w:p w:rsidR="00CE1519" w:rsidRPr="00941FA7" w:rsidRDefault="00CE1519" w:rsidP="00CE1519">
      <w:pPr>
        <w:rPr>
          <w:lang w:val="fr-FR"/>
        </w:rPr>
      </w:pPr>
      <w:r w:rsidRPr="00941FA7">
        <w:rPr>
          <w:lang w:val="fr-FR"/>
        </w:rPr>
        <w:tab/>
      </w:r>
    </w:p>
    <w:p w:rsidR="00A112D3" w:rsidRPr="00941FA7" w:rsidRDefault="004D0989" w:rsidP="004D0989">
      <w:pPr>
        <w:ind w:left="426" w:hanging="426"/>
        <w:rPr>
          <w:lang w:val="fr-FR"/>
        </w:rPr>
      </w:pPr>
      <w:r w:rsidRPr="00941FA7">
        <w:rPr>
          <w:lang w:val="fr-FR"/>
        </w:rPr>
        <w:t>13.</w:t>
      </w:r>
      <w:r w:rsidRPr="00941FA7">
        <w:rPr>
          <w:lang w:val="fr-FR"/>
        </w:rPr>
        <w:tab/>
      </w:r>
      <w:r w:rsidR="00A112D3" w:rsidRPr="00941FA7">
        <w:rPr>
          <w:lang w:val="fr-FR"/>
        </w:rPr>
        <w:t>En 2021, le budget administratif approuvé pour 2021 a été dépassé sur les lignes budgétaires suivantes : (i) dépassement de 11 000 CHF</w:t>
      </w:r>
      <w:r w:rsidR="001D6EF7" w:rsidRPr="00941FA7">
        <w:rPr>
          <w:lang w:val="fr-FR"/>
        </w:rPr>
        <w:t xml:space="preserve"> sur la ligne « R</w:t>
      </w:r>
      <w:r w:rsidR="00A112D3" w:rsidRPr="00941FA7">
        <w:rPr>
          <w:lang w:val="fr-FR"/>
        </w:rPr>
        <w:t xml:space="preserve">ecrutement et </w:t>
      </w:r>
      <w:r w:rsidR="001D6EF7" w:rsidRPr="00941FA7">
        <w:rPr>
          <w:lang w:val="fr-FR"/>
        </w:rPr>
        <w:t>indemnités de départ</w:t>
      </w:r>
      <w:r w:rsidR="00A112D3" w:rsidRPr="00941FA7">
        <w:rPr>
          <w:lang w:val="fr-FR"/>
        </w:rPr>
        <w:t xml:space="preserve"> » en raison des frais de déménagement liés au départ et au recrutement pour le poste de conseiller principal pour l’Asie en 2021 ; (ii) dépassement de 15 000 CHF </w:t>
      </w:r>
      <w:r w:rsidR="00415B9F">
        <w:rPr>
          <w:lang w:val="fr-FR"/>
        </w:rPr>
        <w:t>sur</w:t>
      </w:r>
      <w:r w:rsidR="00A112D3" w:rsidRPr="00941FA7">
        <w:rPr>
          <w:lang w:val="fr-FR"/>
        </w:rPr>
        <w:t xml:space="preserve"> la ligne budgétaire «</w:t>
      </w:r>
      <w:r w:rsidR="0013359B" w:rsidRPr="00941FA7">
        <w:rPr>
          <w:lang w:val="fr-FR"/>
        </w:rPr>
        <w:t> </w:t>
      </w:r>
      <w:r w:rsidR="0013359B" w:rsidRPr="00941FA7">
        <w:rPr>
          <w:sz w:val="20"/>
          <w:szCs w:val="20"/>
          <w:lang w:val="fr-FR"/>
        </w:rPr>
        <w:t>Services de traduction pour le CP </w:t>
      </w:r>
      <w:r w:rsidR="00A112D3" w:rsidRPr="00941FA7">
        <w:rPr>
          <w:lang w:val="fr-FR"/>
        </w:rPr>
        <w:t xml:space="preserve">» en raison du volume plus élevé des documents et rapports </w:t>
      </w:r>
      <w:r w:rsidR="006F2C53" w:rsidRPr="00941FA7">
        <w:rPr>
          <w:lang w:val="fr-FR"/>
        </w:rPr>
        <w:t>à traduire pour</w:t>
      </w:r>
      <w:r w:rsidR="00A112D3" w:rsidRPr="00941FA7">
        <w:rPr>
          <w:lang w:val="fr-FR"/>
        </w:rPr>
        <w:t xml:space="preserve"> la SC59 ; et </w:t>
      </w:r>
      <w:r w:rsidR="006F2C53" w:rsidRPr="00941FA7">
        <w:rPr>
          <w:lang w:val="fr-FR"/>
        </w:rPr>
        <w:t>(</w:t>
      </w:r>
      <w:r w:rsidR="00A112D3" w:rsidRPr="00941FA7">
        <w:rPr>
          <w:lang w:val="fr-FR"/>
        </w:rPr>
        <w:t>iii) dépassement de 23</w:t>
      </w:r>
      <w:r w:rsidR="006F2C53" w:rsidRPr="00941FA7">
        <w:rPr>
          <w:lang w:val="fr-FR"/>
        </w:rPr>
        <w:t> </w:t>
      </w:r>
      <w:r w:rsidR="00A112D3" w:rsidRPr="00941FA7">
        <w:rPr>
          <w:lang w:val="fr-FR"/>
        </w:rPr>
        <w:t xml:space="preserve">000 </w:t>
      </w:r>
      <w:r w:rsidR="006F2C53" w:rsidRPr="00941FA7">
        <w:rPr>
          <w:lang w:val="fr-FR"/>
        </w:rPr>
        <w:t xml:space="preserve">CHF </w:t>
      </w:r>
      <w:r w:rsidR="00415B9F">
        <w:rPr>
          <w:lang w:val="fr-FR"/>
        </w:rPr>
        <w:t>s</w:t>
      </w:r>
      <w:r w:rsidR="0013359B" w:rsidRPr="00941FA7">
        <w:rPr>
          <w:lang w:val="fr-FR"/>
        </w:rPr>
        <w:t xml:space="preserve">ur le poste </w:t>
      </w:r>
      <w:r w:rsidR="006F2C53" w:rsidRPr="00941FA7">
        <w:rPr>
          <w:lang w:val="fr-FR"/>
        </w:rPr>
        <w:t>« </w:t>
      </w:r>
      <w:r w:rsidR="0013359B" w:rsidRPr="00941FA7">
        <w:rPr>
          <w:rFonts w:eastAsia="Times New Roman" w:cs="Calibri"/>
          <w:sz w:val="20"/>
          <w:szCs w:val="20"/>
          <w:lang w:val="fr-FR" w:eastAsia="en-GB"/>
        </w:rPr>
        <w:t>Interprétation simultanée aux réunions du CP</w:t>
      </w:r>
      <w:r w:rsidR="006F2C53" w:rsidRPr="00941FA7">
        <w:rPr>
          <w:lang w:val="fr-FR"/>
        </w:rPr>
        <w:t> </w:t>
      </w:r>
      <w:r w:rsidR="00A112D3" w:rsidRPr="00941FA7">
        <w:rPr>
          <w:lang w:val="fr-FR"/>
        </w:rPr>
        <w:t xml:space="preserve">» </w:t>
      </w:r>
      <w:r w:rsidR="00415B9F">
        <w:rPr>
          <w:lang w:val="fr-FR"/>
        </w:rPr>
        <w:t>en raison des</w:t>
      </w:r>
      <w:r w:rsidR="00A112D3" w:rsidRPr="00941FA7">
        <w:rPr>
          <w:lang w:val="fr-FR"/>
        </w:rPr>
        <w:t xml:space="preserve"> coûts d’interprétation supplémentaires </w:t>
      </w:r>
      <w:r w:rsidR="00415B9F">
        <w:rPr>
          <w:lang w:val="fr-FR"/>
        </w:rPr>
        <w:t>à</w:t>
      </w:r>
      <w:r w:rsidR="00A112D3" w:rsidRPr="00941FA7">
        <w:rPr>
          <w:lang w:val="fr-FR"/>
        </w:rPr>
        <w:t xml:space="preserve"> la réu</w:t>
      </w:r>
      <w:r w:rsidR="006F2C53" w:rsidRPr="00941FA7">
        <w:rPr>
          <w:lang w:val="fr-FR"/>
        </w:rPr>
        <w:t>nion virtuelle de la SC</w:t>
      </w:r>
      <w:r w:rsidR="00A112D3" w:rsidRPr="00941FA7">
        <w:rPr>
          <w:lang w:val="fr-FR"/>
        </w:rPr>
        <w:t xml:space="preserve">59 et </w:t>
      </w:r>
      <w:r w:rsidR="00415B9F">
        <w:rPr>
          <w:lang w:val="fr-FR"/>
        </w:rPr>
        <w:t xml:space="preserve">à </w:t>
      </w:r>
      <w:r w:rsidR="00A112D3" w:rsidRPr="00941FA7">
        <w:rPr>
          <w:lang w:val="fr-FR"/>
        </w:rPr>
        <w:t>la troisième</w:t>
      </w:r>
      <w:r w:rsidR="0013359B" w:rsidRPr="00941FA7">
        <w:rPr>
          <w:lang w:val="fr-FR"/>
        </w:rPr>
        <w:t xml:space="preserve"> conférence extraordinaire des P</w:t>
      </w:r>
      <w:r w:rsidR="00A112D3" w:rsidRPr="00941FA7">
        <w:rPr>
          <w:lang w:val="fr-FR"/>
        </w:rPr>
        <w:t>arties contractantes (ExCOP3) en octobre 2021</w:t>
      </w:r>
      <w:r w:rsidR="006F2C53" w:rsidRPr="00941FA7">
        <w:rPr>
          <w:lang w:val="fr-FR"/>
        </w:rPr>
        <w:t>.</w:t>
      </w:r>
    </w:p>
    <w:p w:rsidR="00CE1519" w:rsidRPr="00941FA7" w:rsidRDefault="00CE1519" w:rsidP="004D0989">
      <w:pPr>
        <w:ind w:left="426" w:hanging="426"/>
        <w:rPr>
          <w:lang w:val="fr-FR"/>
        </w:rPr>
      </w:pPr>
    </w:p>
    <w:p w:rsidR="00274D17" w:rsidRPr="00941FA7" w:rsidRDefault="004D0989" w:rsidP="004D0989">
      <w:pPr>
        <w:pStyle w:val="NoSpacing"/>
        <w:ind w:left="426" w:hanging="426"/>
        <w:rPr>
          <w:lang w:val="fr-FR"/>
        </w:rPr>
      </w:pPr>
      <w:r w:rsidRPr="00941FA7">
        <w:rPr>
          <w:lang w:val="fr-FR"/>
        </w:rPr>
        <w:t>14.</w:t>
      </w:r>
      <w:r w:rsidRPr="00941FA7">
        <w:rPr>
          <w:lang w:val="fr-FR"/>
        </w:rPr>
        <w:tab/>
      </w:r>
      <w:r w:rsidR="006F2C53" w:rsidRPr="00941FA7">
        <w:rPr>
          <w:lang w:val="fr-FR"/>
        </w:rPr>
        <w:t xml:space="preserve">Le Secrétariat propose les ajustements suivants au budget administratif pour 2021, comme indiqué dans la colonne H de l’annexe 2 : </w:t>
      </w:r>
      <w:r w:rsidR="00CB3FB1" w:rsidRPr="00941FA7">
        <w:rPr>
          <w:lang w:val="fr-FR"/>
        </w:rPr>
        <w:t>(</w:t>
      </w:r>
      <w:r w:rsidR="006F2C53" w:rsidRPr="00941FA7">
        <w:rPr>
          <w:lang w:val="fr-FR"/>
        </w:rPr>
        <w:t xml:space="preserve">i) couvrir le dépassement de 11 000 </w:t>
      </w:r>
      <w:r w:rsidR="0044605A" w:rsidRPr="00941FA7">
        <w:rPr>
          <w:lang w:val="fr-FR"/>
        </w:rPr>
        <w:t>CHF d</w:t>
      </w:r>
      <w:r w:rsidR="001D6EF7" w:rsidRPr="00941FA7">
        <w:rPr>
          <w:lang w:val="fr-FR"/>
        </w:rPr>
        <w:t xml:space="preserve">u </w:t>
      </w:r>
      <w:r w:rsidR="0044605A" w:rsidRPr="00941FA7">
        <w:rPr>
          <w:lang w:val="fr-FR"/>
        </w:rPr>
        <w:t>poste</w:t>
      </w:r>
      <w:r w:rsidR="001D6EF7" w:rsidRPr="00941FA7">
        <w:rPr>
          <w:lang w:val="fr-FR"/>
        </w:rPr>
        <w:t xml:space="preserve"> «</w:t>
      </w:r>
      <w:r w:rsidR="0044605A" w:rsidRPr="00941FA7">
        <w:rPr>
          <w:lang w:val="fr-FR"/>
        </w:rPr>
        <w:t> </w:t>
      </w:r>
      <w:r w:rsidR="001D6EF7" w:rsidRPr="00941FA7">
        <w:rPr>
          <w:lang w:val="fr-FR"/>
        </w:rPr>
        <w:t>R</w:t>
      </w:r>
      <w:r w:rsidR="006F2C53" w:rsidRPr="00941FA7">
        <w:rPr>
          <w:lang w:val="fr-FR"/>
        </w:rPr>
        <w:t xml:space="preserve">ecrutement et </w:t>
      </w:r>
      <w:r w:rsidR="001D6EF7" w:rsidRPr="00941FA7">
        <w:rPr>
          <w:lang w:val="fr-FR"/>
        </w:rPr>
        <w:t xml:space="preserve">indemnités </w:t>
      </w:r>
      <w:r w:rsidR="006F2C53" w:rsidRPr="00941FA7">
        <w:rPr>
          <w:lang w:val="fr-FR"/>
        </w:rPr>
        <w:t>de départ</w:t>
      </w:r>
      <w:r w:rsidR="001D6EF7" w:rsidRPr="00941FA7">
        <w:rPr>
          <w:lang w:val="fr-FR"/>
        </w:rPr>
        <w:t> </w:t>
      </w:r>
      <w:r w:rsidR="006F2C53" w:rsidRPr="00941FA7">
        <w:rPr>
          <w:lang w:val="fr-FR"/>
        </w:rPr>
        <w:t>» en utilisant le solde non dépensé de la ligne budgétaire «</w:t>
      </w:r>
      <w:r w:rsidR="0044605A" w:rsidRPr="00941FA7">
        <w:rPr>
          <w:lang w:val="fr-FR"/>
        </w:rPr>
        <w:t> </w:t>
      </w:r>
      <w:r w:rsidR="006F2C53" w:rsidRPr="00941FA7">
        <w:rPr>
          <w:lang w:val="fr-FR"/>
        </w:rPr>
        <w:t>Salaires, charges sociales et autres prestations</w:t>
      </w:r>
      <w:r w:rsidR="0044605A" w:rsidRPr="00941FA7">
        <w:rPr>
          <w:lang w:val="fr-FR"/>
        </w:rPr>
        <w:t xml:space="preserve"> liées à l’emploi » dans le poste « </w:t>
      </w:r>
      <w:r w:rsidR="0044605A" w:rsidRPr="00941FA7">
        <w:rPr>
          <w:rFonts w:asciiTheme="minorHAnsi" w:hAnsiTheme="minorHAnsi" w:cstheme="minorHAnsi"/>
          <w:sz w:val="20"/>
          <w:szCs w:val="20"/>
          <w:lang w:val="fr-FR"/>
        </w:rPr>
        <w:t>Appui et conseils aux Régions</w:t>
      </w:r>
      <w:r w:rsidR="006F2C53" w:rsidRPr="00941FA7">
        <w:rPr>
          <w:lang w:val="fr-FR"/>
        </w:rPr>
        <w:t> »; (ii) pour couvrir le dépassement de 15 00 CHF dans la ligne budgétaire «</w:t>
      </w:r>
      <w:r w:rsidR="0044605A" w:rsidRPr="00941FA7">
        <w:rPr>
          <w:lang w:val="fr-FR"/>
        </w:rPr>
        <w:t> </w:t>
      </w:r>
      <w:r w:rsidR="0044605A" w:rsidRPr="00941FA7">
        <w:rPr>
          <w:sz w:val="20"/>
          <w:szCs w:val="20"/>
          <w:lang w:val="fr-FR"/>
        </w:rPr>
        <w:t>Services de traduction pour le CP </w:t>
      </w:r>
      <w:r w:rsidR="006F2C53" w:rsidRPr="00941FA7">
        <w:rPr>
          <w:lang w:val="fr-FR"/>
        </w:rPr>
        <w:t>» et de 23 000 CHF</w:t>
      </w:r>
      <w:r w:rsidR="0044605A" w:rsidRPr="00941FA7">
        <w:rPr>
          <w:lang w:val="fr-FR"/>
        </w:rPr>
        <w:t xml:space="preserve"> dans la ligne budgétaire « </w:t>
      </w:r>
      <w:r w:rsidR="0044605A" w:rsidRPr="00941FA7">
        <w:rPr>
          <w:rFonts w:eastAsia="Times New Roman" w:cs="Calibri"/>
          <w:sz w:val="20"/>
          <w:szCs w:val="20"/>
          <w:lang w:val="fr-FR" w:eastAsia="en-GB"/>
        </w:rPr>
        <w:t>Interprétation simultanée aux réunions du CP</w:t>
      </w:r>
      <w:r w:rsidR="0044605A" w:rsidRPr="00941FA7">
        <w:rPr>
          <w:lang w:val="fr-FR"/>
        </w:rPr>
        <w:t xml:space="preserve"> » </w:t>
      </w:r>
      <w:r w:rsidR="006F2C53" w:rsidRPr="00941FA7">
        <w:rPr>
          <w:lang w:val="fr-FR"/>
        </w:rPr>
        <w:t>et 38 000 CHF dans la ligne budgétaire « </w:t>
      </w:r>
      <w:r w:rsidR="0044605A" w:rsidRPr="00941FA7">
        <w:rPr>
          <w:sz w:val="20"/>
          <w:szCs w:val="20"/>
          <w:lang w:val="fr-FR"/>
        </w:rPr>
        <w:t>Appui aux délégués du CP</w:t>
      </w:r>
      <w:r w:rsidR="006F2C53" w:rsidRPr="00941FA7">
        <w:rPr>
          <w:lang w:val="fr-FR"/>
        </w:rPr>
        <w:t> ».</w:t>
      </w:r>
    </w:p>
    <w:p w:rsidR="00274D17" w:rsidRPr="00941FA7" w:rsidRDefault="00274D17" w:rsidP="004D0989">
      <w:pPr>
        <w:pStyle w:val="NoSpacing"/>
        <w:ind w:left="426" w:hanging="426"/>
        <w:rPr>
          <w:lang w:val="fr-FR"/>
        </w:rPr>
      </w:pPr>
    </w:p>
    <w:p w:rsidR="00CE1519" w:rsidRPr="00941FA7" w:rsidRDefault="004D0989" w:rsidP="004D0989">
      <w:pPr>
        <w:pStyle w:val="NoSpacing"/>
        <w:ind w:left="426" w:hanging="426"/>
        <w:rPr>
          <w:lang w:val="fr-FR"/>
        </w:rPr>
      </w:pPr>
      <w:r w:rsidRPr="00941FA7">
        <w:rPr>
          <w:lang w:val="fr-FR"/>
        </w:rPr>
        <w:lastRenderedPageBreak/>
        <w:t>15.</w:t>
      </w:r>
      <w:r w:rsidRPr="00941FA7">
        <w:rPr>
          <w:lang w:val="fr-FR"/>
        </w:rPr>
        <w:tab/>
      </w:r>
      <w:r w:rsidR="006039B6" w:rsidRPr="00941FA7">
        <w:rPr>
          <w:lang w:val="fr-FR"/>
        </w:rPr>
        <w:t>Par ailleurs</w:t>
      </w:r>
      <w:r w:rsidR="006F2C53" w:rsidRPr="00941FA7">
        <w:rPr>
          <w:lang w:val="fr-FR"/>
        </w:rPr>
        <w:t xml:space="preserve">, comme il est </w:t>
      </w:r>
      <w:r w:rsidR="006039B6" w:rsidRPr="00941FA7">
        <w:rPr>
          <w:lang w:val="fr-FR"/>
        </w:rPr>
        <w:t>indiqué</w:t>
      </w:r>
      <w:r w:rsidR="006F2C53" w:rsidRPr="00941FA7">
        <w:rPr>
          <w:lang w:val="fr-FR"/>
        </w:rPr>
        <w:t xml:space="preserve"> plus haut</w:t>
      </w:r>
      <w:r w:rsidR="006039B6" w:rsidRPr="00941FA7">
        <w:rPr>
          <w:lang w:val="fr-FR"/>
        </w:rPr>
        <w:t>,</w:t>
      </w:r>
      <w:r w:rsidR="006F2C53" w:rsidRPr="00941FA7">
        <w:rPr>
          <w:lang w:val="fr-FR"/>
        </w:rPr>
        <w:t xml:space="preserve"> aux paragraphes 9.f et 12.e, le Secrétariat propose de report</w:t>
      </w:r>
      <w:r w:rsidR="00A14622" w:rsidRPr="00941FA7">
        <w:rPr>
          <w:lang w:val="fr-FR"/>
        </w:rPr>
        <w:t>er le solde inutilisé de 81 000 CHF</w:t>
      </w:r>
      <w:r w:rsidR="006F2C53" w:rsidRPr="00941FA7">
        <w:rPr>
          <w:lang w:val="fr-FR"/>
        </w:rPr>
        <w:t xml:space="preserve"> </w:t>
      </w:r>
      <w:r w:rsidR="006039B6" w:rsidRPr="00941FA7">
        <w:rPr>
          <w:lang w:val="fr-FR"/>
        </w:rPr>
        <w:t>des</w:t>
      </w:r>
      <w:r w:rsidR="006F2C53" w:rsidRPr="00941FA7">
        <w:rPr>
          <w:lang w:val="fr-FR"/>
        </w:rPr>
        <w:t xml:space="preserve"> contributions non acqu</w:t>
      </w:r>
      <w:r w:rsidR="006039B6" w:rsidRPr="00941FA7">
        <w:rPr>
          <w:lang w:val="fr-FR"/>
        </w:rPr>
        <w:t xml:space="preserve">ittées sur la ligne budgétaire </w:t>
      </w:r>
      <w:r w:rsidR="002052AE" w:rsidRPr="00941FA7">
        <w:rPr>
          <w:rFonts w:cs="Calibri"/>
          <w:lang w:val="fr-FR"/>
        </w:rPr>
        <w:t>« </w:t>
      </w:r>
      <w:r w:rsidR="006039B6" w:rsidRPr="00941FA7">
        <w:rPr>
          <w:rFonts w:cs="Calibri"/>
          <w:lang w:val="fr-FR"/>
        </w:rPr>
        <w:t>Budget 2020 - SC58 et économies non engagées reportées</w:t>
      </w:r>
      <w:r w:rsidR="00045378" w:rsidRPr="00941FA7">
        <w:rPr>
          <w:rFonts w:cs="Calibri"/>
          <w:lang w:val="fr-FR"/>
        </w:rPr>
        <w:t> </w:t>
      </w:r>
      <w:r w:rsidR="002052AE" w:rsidRPr="00941FA7">
        <w:rPr>
          <w:rFonts w:cs="Calibri"/>
          <w:lang w:val="fr-FR"/>
        </w:rPr>
        <w:t>»</w:t>
      </w:r>
      <w:r w:rsidR="006F2C53" w:rsidRPr="00941FA7">
        <w:rPr>
          <w:lang w:val="fr-FR"/>
        </w:rPr>
        <w:t xml:space="preserve">, </w:t>
      </w:r>
      <w:r w:rsidR="006039B6" w:rsidRPr="00941FA7">
        <w:rPr>
          <w:lang w:val="fr-FR"/>
        </w:rPr>
        <w:t>sur</w:t>
      </w:r>
      <w:r w:rsidR="006F2C53" w:rsidRPr="00941FA7">
        <w:rPr>
          <w:lang w:val="fr-FR"/>
        </w:rPr>
        <w:t xml:space="preserve"> laquelle il a</w:t>
      </w:r>
      <w:r w:rsidR="00A14622" w:rsidRPr="00941FA7">
        <w:rPr>
          <w:lang w:val="fr-FR"/>
        </w:rPr>
        <w:t>vait</w:t>
      </w:r>
      <w:r w:rsidR="006F2C53" w:rsidRPr="00941FA7">
        <w:rPr>
          <w:lang w:val="fr-FR"/>
        </w:rPr>
        <w:t xml:space="preserve"> été initialement </w:t>
      </w:r>
      <w:r w:rsidR="00415B9F">
        <w:rPr>
          <w:lang w:val="fr-FR"/>
        </w:rPr>
        <w:t>prélevé</w:t>
      </w:r>
      <w:r w:rsidR="006F2C53" w:rsidRPr="00941FA7">
        <w:rPr>
          <w:lang w:val="fr-FR"/>
        </w:rPr>
        <w:t xml:space="preserve"> par la décision SC59-28.</w:t>
      </w:r>
    </w:p>
    <w:p w:rsidR="00CE1519" w:rsidRPr="00941FA7" w:rsidRDefault="00CE1519" w:rsidP="008F7FC4">
      <w:pPr>
        <w:pStyle w:val="NoSpacing"/>
        <w:ind w:left="851"/>
        <w:rPr>
          <w:lang w:val="fr-FR"/>
        </w:rPr>
      </w:pPr>
    </w:p>
    <w:p w:rsidR="006C2281" w:rsidRPr="00941FA7" w:rsidRDefault="004D0989" w:rsidP="004D0989">
      <w:pPr>
        <w:pStyle w:val="NoSpacing"/>
        <w:rPr>
          <w:lang w:val="fr-FR"/>
        </w:rPr>
      </w:pPr>
      <w:r w:rsidRPr="00941FA7">
        <w:rPr>
          <w:lang w:val="fr-FR"/>
        </w:rPr>
        <w:t>16.</w:t>
      </w:r>
      <w:r w:rsidRPr="00941FA7">
        <w:rPr>
          <w:lang w:val="fr-FR"/>
        </w:rPr>
        <w:tab/>
      </w:r>
      <w:r w:rsidR="00A14622" w:rsidRPr="00941FA7">
        <w:rPr>
          <w:lang w:val="fr-FR"/>
        </w:rPr>
        <w:t xml:space="preserve">Les ajustements proposés ci-dessus concernent les lignes budgétaires approuvées, tandis que le budget administratif </w:t>
      </w:r>
      <w:r w:rsidR="00653DEF" w:rsidRPr="00941FA7">
        <w:rPr>
          <w:lang w:val="fr-FR"/>
        </w:rPr>
        <w:t xml:space="preserve">global </w:t>
      </w:r>
      <w:r w:rsidR="00A14622" w:rsidRPr="00941FA7">
        <w:rPr>
          <w:lang w:val="fr-FR"/>
        </w:rPr>
        <w:t>approuvé pour 2021 reste inchangé</w:t>
      </w:r>
      <w:r w:rsidR="0029351E" w:rsidRPr="00941FA7">
        <w:rPr>
          <w:lang w:val="fr-FR"/>
        </w:rPr>
        <w:t>.</w:t>
      </w:r>
    </w:p>
    <w:p w:rsidR="0029351E" w:rsidRPr="00941FA7" w:rsidRDefault="0029351E" w:rsidP="00662CD5">
      <w:pPr>
        <w:pStyle w:val="NoSpacing"/>
        <w:ind w:left="851" w:firstLine="0"/>
        <w:rPr>
          <w:lang w:val="fr-FR"/>
        </w:rPr>
      </w:pPr>
    </w:p>
    <w:p w:rsidR="00E32440" w:rsidRPr="00941FA7" w:rsidRDefault="00FF689D" w:rsidP="00162710">
      <w:pPr>
        <w:pStyle w:val="NoSpacing"/>
        <w:keepNext/>
        <w:ind w:left="0" w:firstLine="0"/>
        <w:rPr>
          <w:b/>
          <w:lang w:val="fr-FR"/>
        </w:rPr>
      </w:pPr>
      <w:r w:rsidRPr="00941FA7">
        <w:rPr>
          <w:b/>
          <w:lang w:val="fr-FR"/>
        </w:rPr>
        <w:t>Excédent</w:t>
      </w:r>
      <w:r w:rsidR="003F5A32" w:rsidRPr="00941FA7">
        <w:rPr>
          <w:b/>
          <w:lang w:val="fr-FR"/>
        </w:rPr>
        <w:t xml:space="preserve"> </w:t>
      </w:r>
      <w:r w:rsidR="006E2CAB" w:rsidRPr="00941FA7">
        <w:rPr>
          <w:b/>
          <w:lang w:val="fr-FR"/>
        </w:rPr>
        <w:t xml:space="preserve">2021 </w:t>
      </w:r>
    </w:p>
    <w:p w:rsidR="008F4DA8" w:rsidRPr="00941FA7" w:rsidRDefault="008F4DA8" w:rsidP="00162710">
      <w:pPr>
        <w:keepNext/>
        <w:rPr>
          <w:lang w:val="fr-FR"/>
        </w:rPr>
      </w:pPr>
    </w:p>
    <w:p w:rsidR="008F4DA8" w:rsidRPr="00941FA7" w:rsidRDefault="00523B6B" w:rsidP="00162710">
      <w:pPr>
        <w:rPr>
          <w:lang w:val="fr-FR"/>
        </w:rPr>
      </w:pPr>
      <w:r w:rsidRPr="00941FA7">
        <w:rPr>
          <w:lang w:val="fr-FR"/>
        </w:rPr>
        <w:t>1</w:t>
      </w:r>
      <w:r w:rsidR="004D0989" w:rsidRPr="00941FA7">
        <w:rPr>
          <w:lang w:val="fr-FR"/>
        </w:rPr>
        <w:t>7</w:t>
      </w:r>
      <w:r w:rsidR="008F4DA8" w:rsidRPr="00941FA7">
        <w:rPr>
          <w:lang w:val="fr-FR"/>
        </w:rPr>
        <w:t>.</w:t>
      </w:r>
      <w:r w:rsidR="008F4DA8" w:rsidRPr="00941FA7">
        <w:rPr>
          <w:lang w:val="fr-FR"/>
        </w:rPr>
        <w:tab/>
      </w:r>
      <w:r w:rsidR="003F5A32" w:rsidRPr="00941FA7">
        <w:rPr>
          <w:lang w:val="fr-FR"/>
        </w:rPr>
        <w:t xml:space="preserve">Le bilan des recettes et des dépenses pour 2021 figurant dans les états financiers vérifiés (voir annexe 1, tableau II) </w:t>
      </w:r>
      <w:r w:rsidR="0032347B" w:rsidRPr="00941FA7">
        <w:rPr>
          <w:lang w:val="fr-FR"/>
        </w:rPr>
        <w:t>indique</w:t>
      </w:r>
      <w:r w:rsidR="0085391B" w:rsidRPr="00941FA7">
        <w:rPr>
          <w:lang w:val="fr-FR"/>
        </w:rPr>
        <w:t xml:space="preserve"> que le solde du fonds administratif</w:t>
      </w:r>
      <w:r w:rsidR="003F5A32" w:rsidRPr="00941FA7">
        <w:rPr>
          <w:lang w:val="fr-FR"/>
        </w:rPr>
        <w:t xml:space="preserve"> était de</w:t>
      </w:r>
      <w:r w:rsidR="006A4C5B" w:rsidRPr="00941FA7">
        <w:rPr>
          <w:lang w:val="fr-FR"/>
        </w:rPr>
        <w:t xml:space="preserve"> </w:t>
      </w:r>
      <w:r w:rsidR="003F5A32" w:rsidRPr="00941FA7">
        <w:rPr>
          <w:lang w:val="fr-FR"/>
        </w:rPr>
        <w:t>3 </w:t>
      </w:r>
      <w:r w:rsidR="00833347" w:rsidRPr="00941FA7">
        <w:rPr>
          <w:lang w:val="fr-FR"/>
        </w:rPr>
        <w:t>738</w:t>
      </w:r>
      <w:r w:rsidR="003F5A32" w:rsidRPr="00941FA7">
        <w:rPr>
          <w:lang w:val="fr-FR"/>
        </w:rPr>
        <w:t> 000 CHF</w:t>
      </w:r>
      <w:r w:rsidR="00415B9F" w:rsidRPr="00415B9F">
        <w:rPr>
          <w:lang w:val="fr-FR"/>
        </w:rPr>
        <w:t xml:space="preserve"> </w:t>
      </w:r>
      <w:r w:rsidR="00415B9F" w:rsidRPr="00941FA7">
        <w:rPr>
          <w:lang w:val="fr-FR"/>
        </w:rPr>
        <w:t>à la fin de l’année</w:t>
      </w:r>
      <w:r w:rsidR="008F4DA8" w:rsidRPr="00941FA7">
        <w:rPr>
          <w:lang w:val="fr-FR"/>
        </w:rPr>
        <w:t xml:space="preserve">. </w:t>
      </w:r>
      <w:r w:rsidR="0085391B" w:rsidRPr="00941FA7">
        <w:rPr>
          <w:lang w:val="fr-FR"/>
        </w:rPr>
        <w:t>Ce montant comprend le solde du</w:t>
      </w:r>
      <w:r w:rsidR="003F5A32" w:rsidRPr="00941FA7">
        <w:rPr>
          <w:lang w:val="fr-FR"/>
        </w:rPr>
        <w:t xml:space="preserve"> fonds administratif 2020 (</w:t>
      </w:r>
      <w:r w:rsidR="0085391B" w:rsidRPr="00941FA7">
        <w:rPr>
          <w:lang w:val="fr-FR"/>
        </w:rPr>
        <w:t xml:space="preserve">au </w:t>
      </w:r>
      <w:r w:rsidR="003F5A32" w:rsidRPr="00941FA7">
        <w:rPr>
          <w:lang w:val="fr-FR"/>
        </w:rPr>
        <w:t xml:space="preserve">début </w:t>
      </w:r>
      <w:r w:rsidR="0085391B" w:rsidRPr="00941FA7">
        <w:rPr>
          <w:lang w:val="fr-FR"/>
        </w:rPr>
        <w:t xml:space="preserve">de </w:t>
      </w:r>
      <w:r w:rsidR="003F5A32" w:rsidRPr="00941FA7">
        <w:rPr>
          <w:lang w:val="fr-FR"/>
        </w:rPr>
        <w:t>2021) d’un montant de 3 </w:t>
      </w:r>
      <w:r w:rsidR="00833347" w:rsidRPr="00941FA7">
        <w:rPr>
          <w:lang w:val="fr-FR"/>
        </w:rPr>
        <w:t>318</w:t>
      </w:r>
      <w:r w:rsidR="003F5A32" w:rsidRPr="00941FA7">
        <w:rPr>
          <w:lang w:val="fr-FR"/>
        </w:rPr>
        <w:t> 000</w:t>
      </w:r>
      <w:r w:rsidR="00A30780" w:rsidRPr="00941FA7">
        <w:rPr>
          <w:lang w:val="fr-FR"/>
        </w:rPr>
        <w:t xml:space="preserve"> </w:t>
      </w:r>
      <w:r w:rsidR="003F5A32" w:rsidRPr="00941FA7">
        <w:rPr>
          <w:lang w:val="fr-FR"/>
        </w:rPr>
        <w:t xml:space="preserve">CHF et le solde net des recettes sur les dépenses pour </w:t>
      </w:r>
      <w:r w:rsidR="00833347" w:rsidRPr="00941FA7">
        <w:rPr>
          <w:lang w:val="fr-FR"/>
        </w:rPr>
        <w:t xml:space="preserve">2021 </w:t>
      </w:r>
      <w:r w:rsidR="00415B9F">
        <w:rPr>
          <w:lang w:val="fr-FR"/>
        </w:rPr>
        <w:t xml:space="preserve">d’un montant </w:t>
      </w:r>
      <w:r w:rsidR="003F5A32" w:rsidRPr="00941FA7">
        <w:rPr>
          <w:lang w:val="fr-FR"/>
        </w:rPr>
        <w:t>de</w:t>
      </w:r>
      <w:r w:rsidR="00273EDF" w:rsidRPr="00941FA7">
        <w:rPr>
          <w:lang w:val="fr-FR"/>
        </w:rPr>
        <w:t xml:space="preserve"> </w:t>
      </w:r>
      <w:r w:rsidR="00833347" w:rsidRPr="00941FA7">
        <w:rPr>
          <w:lang w:val="fr-FR"/>
        </w:rPr>
        <w:t>420</w:t>
      </w:r>
      <w:r w:rsidR="003F5A32" w:rsidRPr="00941FA7">
        <w:rPr>
          <w:lang w:val="fr-FR"/>
        </w:rPr>
        <w:t> 000 CHF</w:t>
      </w:r>
      <w:r w:rsidR="00833347" w:rsidRPr="00941FA7">
        <w:rPr>
          <w:lang w:val="fr-FR"/>
        </w:rPr>
        <w:t xml:space="preserve"> </w:t>
      </w:r>
      <w:r w:rsidR="003F5A32" w:rsidRPr="00941FA7">
        <w:rPr>
          <w:lang w:val="fr-FR"/>
        </w:rPr>
        <w:t>selon les états financiers vérifiés et les résultats du budget administratif 2021 pour la période du 1</w:t>
      </w:r>
      <w:r w:rsidR="003F5A32" w:rsidRPr="00941FA7">
        <w:rPr>
          <w:vertAlign w:val="superscript"/>
          <w:lang w:val="fr-FR"/>
        </w:rPr>
        <w:t>er</w:t>
      </w:r>
      <w:r w:rsidR="003F5A32" w:rsidRPr="00941FA7">
        <w:rPr>
          <w:lang w:val="fr-FR"/>
        </w:rPr>
        <w:t xml:space="preserve"> janvier au 31 décembre 2021 (annexe 2).</w:t>
      </w:r>
    </w:p>
    <w:p w:rsidR="00AE5291" w:rsidRPr="00941FA7" w:rsidRDefault="00AE5291" w:rsidP="00162710">
      <w:pPr>
        <w:rPr>
          <w:lang w:val="fr-FR"/>
        </w:rPr>
      </w:pPr>
    </w:p>
    <w:p w:rsidR="00155710" w:rsidRPr="00941FA7" w:rsidRDefault="00523B6B" w:rsidP="00162710">
      <w:pPr>
        <w:rPr>
          <w:lang w:val="fr-FR"/>
        </w:rPr>
      </w:pPr>
      <w:r w:rsidRPr="00941FA7">
        <w:rPr>
          <w:lang w:val="fr-FR"/>
        </w:rPr>
        <w:t>1</w:t>
      </w:r>
      <w:r w:rsidR="004D0989" w:rsidRPr="00941FA7">
        <w:rPr>
          <w:lang w:val="fr-FR"/>
        </w:rPr>
        <w:t>8</w:t>
      </w:r>
      <w:r w:rsidR="00A523BE" w:rsidRPr="00941FA7">
        <w:rPr>
          <w:lang w:val="fr-FR"/>
        </w:rPr>
        <w:t>.</w:t>
      </w:r>
      <w:r w:rsidR="00A523BE" w:rsidRPr="00941FA7">
        <w:rPr>
          <w:lang w:val="fr-FR"/>
        </w:rPr>
        <w:tab/>
      </w:r>
      <w:r w:rsidR="00B512D2" w:rsidRPr="00941FA7">
        <w:rPr>
          <w:lang w:val="fr-FR"/>
        </w:rPr>
        <w:t>Le solde du budget administratif 2021 ci-dessus comprend le f</w:t>
      </w:r>
      <w:r w:rsidR="0085391B" w:rsidRPr="00941FA7">
        <w:rPr>
          <w:lang w:val="fr-FR"/>
        </w:rPr>
        <w:t xml:space="preserve">onds de réserve de 762 000 CHF qui </w:t>
      </w:r>
      <w:r w:rsidR="00B512D2" w:rsidRPr="00941FA7">
        <w:rPr>
          <w:lang w:val="fr-FR"/>
        </w:rPr>
        <w:t xml:space="preserve">correspond à 15 % du budget administratif annuel, </w:t>
      </w:r>
      <w:r w:rsidR="0085391B" w:rsidRPr="00941FA7">
        <w:rPr>
          <w:lang w:val="fr-FR"/>
        </w:rPr>
        <w:t xml:space="preserve">soit </w:t>
      </w:r>
      <w:r w:rsidR="00B512D2" w:rsidRPr="00941FA7">
        <w:rPr>
          <w:lang w:val="fr-FR"/>
        </w:rPr>
        <w:t>le niveau maximum approuvé par la COP13 au paragraphe 33 de la Résolution XIII.2. Il n’est donc pas nécessaire de réaffecter des ressources à cette fin.</w:t>
      </w:r>
    </w:p>
    <w:p w:rsidR="00155710" w:rsidRPr="00941FA7" w:rsidRDefault="00155710" w:rsidP="00162710">
      <w:pPr>
        <w:rPr>
          <w:lang w:val="fr-FR"/>
        </w:rPr>
      </w:pPr>
    </w:p>
    <w:p w:rsidR="00D427FC" w:rsidRPr="00941FA7" w:rsidRDefault="00523B6B" w:rsidP="00AD0650">
      <w:pPr>
        <w:rPr>
          <w:lang w:val="fr-FR"/>
        </w:rPr>
      </w:pPr>
      <w:r w:rsidRPr="00941FA7">
        <w:rPr>
          <w:lang w:val="fr-FR"/>
        </w:rPr>
        <w:t>1</w:t>
      </w:r>
      <w:r w:rsidR="004D0989" w:rsidRPr="00941FA7">
        <w:rPr>
          <w:lang w:val="fr-FR"/>
        </w:rPr>
        <w:t>9</w:t>
      </w:r>
      <w:r w:rsidR="00AD0650" w:rsidRPr="00941FA7">
        <w:rPr>
          <w:lang w:val="fr-FR"/>
        </w:rPr>
        <w:t>.</w:t>
      </w:r>
      <w:r w:rsidR="00AD0650" w:rsidRPr="00941FA7">
        <w:rPr>
          <w:lang w:val="fr-FR"/>
        </w:rPr>
        <w:tab/>
      </w:r>
      <w:r w:rsidR="00B512D2" w:rsidRPr="00941FA7">
        <w:rPr>
          <w:lang w:val="fr-FR"/>
        </w:rPr>
        <w:t>Le solde du fonds administratif comprend également les</w:t>
      </w:r>
      <w:r w:rsidR="000B711B" w:rsidRPr="00941FA7">
        <w:rPr>
          <w:lang w:val="fr-FR"/>
        </w:rPr>
        <w:t xml:space="preserve"> </w:t>
      </w:r>
      <w:r w:rsidR="00B512D2" w:rsidRPr="00941FA7">
        <w:rPr>
          <w:lang w:val="fr-FR"/>
        </w:rPr>
        <w:t>196 000</w:t>
      </w:r>
      <w:r w:rsidR="000B711B" w:rsidRPr="00941FA7">
        <w:rPr>
          <w:lang w:val="fr-FR"/>
        </w:rPr>
        <w:t xml:space="preserve"> </w:t>
      </w:r>
      <w:r w:rsidR="00B512D2" w:rsidRPr="00941FA7">
        <w:rPr>
          <w:lang w:val="fr-FR"/>
        </w:rPr>
        <w:t>CHF approuvés par l’</w:t>
      </w:r>
      <w:r w:rsidR="000B711B" w:rsidRPr="00941FA7">
        <w:rPr>
          <w:lang w:val="fr-FR"/>
        </w:rPr>
        <w:t xml:space="preserve">ExCOP3 </w:t>
      </w:r>
      <w:r w:rsidR="00B512D2" w:rsidRPr="00941FA7">
        <w:rPr>
          <w:lang w:val="fr-FR"/>
        </w:rPr>
        <w:t>sur les économies réalisées sur le budget</w:t>
      </w:r>
      <w:r w:rsidR="000B711B" w:rsidRPr="00941FA7">
        <w:rPr>
          <w:lang w:val="fr-FR"/>
        </w:rPr>
        <w:t xml:space="preserve"> 2020 (</w:t>
      </w:r>
      <w:r w:rsidR="00B512D2" w:rsidRPr="00941FA7">
        <w:rPr>
          <w:lang w:val="fr-FR"/>
        </w:rPr>
        <w:t>Résolution</w:t>
      </w:r>
      <w:r w:rsidR="000B711B" w:rsidRPr="00941FA7">
        <w:rPr>
          <w:lang w:val="fr-FR"/>
        </w:rPr>
        <w:t xml:space="preserve"> ExCOP3.2</w:t>
      </w:r>
      <w:r w:rsidR="00ED72A8" w:rsidRPr="00941FA7">
        <w:rPr>
          <w:lang w:val="fr-FR"/>
        </w:rPr>
        <w:t xml:space="preserve"> </w:t>
      </w:r>
      <w:r w:rsidR="00B512D2" w:rsidRPr="00941FA7">
        <w:rPr>
          <w:i/>
          <w:lang w:val="fr-FR"/>
        </w:rPr>
        <w:t>Questions financières et budgétaires </w:t>
      </w:r>
      <w:r w:rsidR="00ED72A8" w:rsidRPr="00941FA7">
        <w:rPr>
          <w:i/>
          <w:lang w:val="fr-FR"/>
        </w:rPr>
        <w:t xml:space="preserve">: </w:t>
      </w:r>
      <w:r w:rsidR="00B512D2" w:rsidRPr="00941FA7">
        <w:rPr>
          <w:rFonts w:asciiTheme="minorHAnsi" w:hAnsiTheme="minorHAnsi" w:cstheme="minorHAnsi"/>
          <w:i/>
          <w:lang w:val="fr-FR"/>
        </w:rPr>
        <w:t>Budget administratif de la Convention sur les zones humides pour 2022</w:t>
      </w:r>
      <w:r w:rsidR="00415B9F">
        <w:rPr>
          <w:rFonts w:asciiTheme="minorHAnsi" w:hAnsiTheme="minorHAnsi" w:cstheme="minorHAnsi"/>
          <w:lang w:val="fr-FR"/>
        </w:rPr>
        <w:t>)</w:t>
      </w:r>
      <w:r w:rsidR="00B512D2" w:rsidRPr="00941FA7">
        <w:rPr>
          <w:i/>
          <w:lang w:val="fr-FR"/>
        </w:rPr>
        <w:t xml:space="preserve"> </w:t>
      </w:r>
      <w:r w:rsidR="00B512D2" w:rsidRPr="00941FA7">
        <w:rPr>
          <w:lang w:val="fr-FR"/>
        </w:rPr>
        <w:t>qui peuvent être utilisées en</w:t>
      </w:r>
      <w:r w:rsidR="00D201A6" w:rsidRPr="00941FA7">
        <w:rPr>
          <w:lang w:val="fr-FR"/>
        </w:rPr>
        <w:t xml:space="preserve"> 2022</w:t>
      </w:r>
      <w:r w:rsidR="00C50D5E" w:rsidRPr="00941FA7">
        <w:rPr>
          <w:lang w:val="fr-FR"/>
        </w:rPr>
        <w:t xml:space="preserve">. </w:t>
      </w:r>
      <w:r w:rsidR="00B512D2" w:rsidRPr="00941FA7">
        <w:rPr>
          <w:lang w:val="fr-FR"/>
        </w:rPr>
        <w:t xml:space="preserve">Ce montant </w:t>
      </w:r>
      <w:r w:rsidR="00AD6FC1" w:rsidRPr="00941FA7">
        <w:rPr>
          <w:lang w:val="fr-FR"/>
        </w:rPr>
        <w:t>inclut</w:t>
      </w:r>
      <w:r w:rsidR="00274D17" w:rsidRPr="00941FA7">
        <w:rPr>
          <w:lang w:val="fr-FR"/>
        </w:rPr>
        <w:t xml:space="preserve"> </w:t>
      </w:r>
      <w:r w:rsidR="00B512D2" w:rsidRPr="00941FA7">
        <w:rPr>
          <w:lang w:val="fr-FR"/>
        </w:rPr>
        <w:t>76 000</w:t>
      </w:r>
      <w:r w:rsidR="00C50D5E" w:rsidRPr="00941FA7">
        <w:rPr>
          <w:lang w:val="fr-FR"/>
        </w:rPr>
        <w:t xml:space="preserve"> </w:t>
      </w:r>
      <w:r w:rsidR="00B512D2" w:rsidRPr="00941FA7">
        <w:rPr>
          <w:lang w:val="fr-FR"/>
        </w:rPr>
        <w:t>CHF</w:t>
      </w:r>
      <w:r w:rsidR="00027805" w:rsidRPr="00941FA7">
        <w:rPr>
          <w:lang w:val="fr-FR"/>
        </w:rPr>
        <w:t xml:space="preserve">, </w:t>
      </w:r>
      <w:r w:rsidR="00AD6FC1" w:rsidRPr="00941FA7">
        <w:rPr>
          <w:lang w:val="fr-FR"/>
        </w:rPr>
        <w:t>soit ce</w:t>
      </w:r>
      <w:r w:rsidR="00B512D2" w:rsidRPr="00941FA7">
        <w:rPr>
          <w:lang w:val="fr-FR"/>
        </w:rPr>
        <w:t xml:space="preserve"> qui avait été provisionné pour la période triennale 2019</w:t>
      </w:r>
      <w:r w:rsidR="00D026B6" w:rsidRPr="00941FA7">
        <w:rPr>
          <w:lang w:val="fr-FR"/>
        </w:rPr>
        <w:t xml:space="preserve">-2021 </w:t>
      </w:r>
      <w:r w:rsidR="00B512D2" w:rsidRPr="00941FA7">
        <w:rPr>
          <w:lang w:val="fr-FR"/>
        </w:rPr>
        <w:t>dans la Ré</w:t>
      </w:r>
      <w:r w:rsidR="00155710" w:rsidRPr="00941FA7">
        <w:rPr>
          <w:lang w:val="fr-FR"/>
        </w:rPr>
        <w:t>solution XIII.2, paragraph</w:t>
      </w:r>
      <w:r w:rsidR="00B512D2" w:rsidRPr="00941FA7">
        <w:rPr>
          <w:lang w:val="fr-FR"/>
        </w:rPr>
        <w:t>e</w:t>
      </w:r>
      <w:r w:rsidR="00155710" w:rsidRPr="00941FA7">
        <w:rPr>
          <w:lang w:val="fr-FR"/>
        </w:rPr>
        <w:t xml:space="preserve"> 15</w:t>
      </w:r>
      <w:r w:rsidR="0064639B" w:rsidRPr="00941FA7">
        <w:rPr>
          <w:lang w:val="fr-FR"/>
        </w:rPr>
        <w:t xml:space="preserve">, </w:t>
      </w:r>
      <w:r w:rsidR="00B512D2" w:rsidRPr="00941FA7">
        <w:rPr>
          <w:lang w:val="fr-FR"/>
        </w:rPr>
        <w:t xml:space="preserve">afin de combler le déficit créé dans le budget </w:t>
      </w:r>
      <w:r w:rsidR="007F31DE" w:rsidRPr="00941FA7">
        <w:rPr>
          <w:lang w:val="fr-FR"/>
        </w:rPr>
        <w:t>administratif</w:t>
      </w:r>
      <w:r w:rsidR="00B512D2" w:rsidRPr="00941FA7">
        <w:rPr>
          <w:lang w:val="fr-FR"/>
        </w:rPr>
        <w:t xml:space="preserve"> du Sec</w:t>
      </w:r>
      <w:r w:rsidR="007F31DE" w:rsidRPr="00941FA7">
        <w:rPr>
          <w:lang w:val="fr-FR"/>
        </w:rPr>
        <w:t>rétariat pour couvrir le coût d’un nouveau poste d’</w:t>
      </w:r>
      <w:r w:rsidR="00B512D2" w:rsidRPr="00941FA7">
        <w:rPr>
          <w:lang w:val="fr-FR"/>
        </w:rPr>
        <w:t xml:space="preserve">assistant aux finances et à la comptabilité (des réductions ont été opérées dans les postes budgétaires </w:t>
      </w:r>
      <w:r w:rsidR="00AD6FC1" w:rsidRPr="00941FA7">
        <w:rPr>
          <w:lang w:val="fr-FR"/>
        </w:rPr>
        <w:t>des</w:t>
      </w:r>
      <w:r w:rsidR="00B512D2" w:rsidRPr="00941FA7">
        <w:rPr>
          <w:lang w:val="fr-FR"/>
        </w:rPr>
        <w:t xml:space="preserve"> communications, </w:t>
      </w:r>
      <w:r w:rsidR="007F31DE" w:rsidRPr="00941FA7">
        <w:rPr>
          <w:lang w:val="fr-FR"/>
        </w:rPr>
        <w:t>déplacements</w:t>
      </w:r>
      <w:r w:rsidR="00B512D2" w:rsidRPr="00941FA7">
        <w:rPr>
          <w:lang w:val="fr-FR"/>
        </w:rPr>
        <w:t>, GEST et planification et renforcement des capacités</w:t>
      </w:r>
      <w:r w:rsidR="007F31DE" w:rsidRPr="00941FA7">
        <w:rPr>
          <w:lang w:val="fr-FR"/>
        </w:rPr>
        <w:t>, lesquels</w:t>
      </w:r>
      <w:r w:rsidR="00B512D2" w:rsidRPr="00941FA7">
        <w:rPr>
          <w:lang w:val="fr-FR"/>
        </w:rPr>
        <w:t xml:space="preserve"> ont été c</w:t>
      </w:r>
      <w:r w:rsidR="007F31DE" w:rsidRPr="00941FA7">
        <w:rPr>
          <w:lang w:val="fr-FR"/>
        </w:rPr>
        <w:t>omblés par cet excédent)</w:t>
      </w:r>
      <w:r w:rsidR="00AD6FC1" w:rsidRPr="00941FA7">
        <w:rPr>
          <w:lang w:val="fr-FR"/>
        </w:rPr>
        <w:t>,</w:t>
      </w:r>
      <w:r w:rsidR="007F31DE" w:rsidRPr="00941FA7">
        <w:rPr>
          <w:lang w:val="fr-FR"/>
        </w:rPr>
        <w:t xml:space="preserve"> et 120 000 CHF</w:t>
      </w:r>
      <w:r w:rsidR="00B512D2" w:rsidRPr="00941FA7">
        <w:rPr>
          <w:lang w:val="fr-FR"/>
        </w:rPr>
        <w:t xml:space="preserve"> pour augmenter le montant </w:t>
      </w:r>
      <w:r w:rsidR="00AD6FC1" w:rsidRPr="00941FA7">
        <w:rPr>
          <w:lang w:val="fr-FR"/>
        </w:rPr>
        <w:t xml:space="preserve">du poste </w:t>
      </w:r>
      <w:r w:rsidR="00B512D2" w:rsidRPr="00941FA7">
        <w:rPr>
          <w:lang w:val="fr-FR"/>
        </w:rPr>
        <w:t xml:space="preserve">des contributions </w:t>
      </w:r>
      <w:r w:rsidR="00415B9F">
        <w:rPr>
          <w:lang w:val="fr-FR"/>
        </w:rPr>
        <w:t>impayées</w:t>
      </w:r>
      <w:r w:rsidR="00B512D2" w:rsidRPr="00941FA7">
        <w:rPr>
          <w:lang w:val="fr-FR"/>
        </w:rPr>
        <w:t xml:space="preserve"> en 2022.</w:t>
      </w:r>
    </w:p>
    <w:p w:rsidR="008E00BF" w:rsidRPr="00941FA7" w:rsidRDefault="008E00BF" w:rsidP="00162710">
      <w:pPr>
        <w:rPr>
          <w:lang w:val="fr-FR"/>
        </w:rPr>
      </w:pPr>
    </w:p>
    <w:p w:rsidR="00772619" w:rsidRPr="00941FA7" w:rsidRDefault="004D0989" w:rsidP="00463CEC">
      <w:pPr>
        <w:rPr>
          <w:lang w:val="fr-FR"/>
        </w:rPr>
      </w:pPr>
      <w:r w:rsidRPr="00941FA7">
        <w:rPr>
          <w:lang w:val="fr-FR"/>
        </w:rPr>
        <w:t>20</w:t>
      </w:r>
      <w:r w:rsidR="00463CEC" w:rsidRPr="00941FA7">
        <w:rPr>
          <w:lang w:val="fr-FR"/>
        </w:rPr>
        <w:t>.</w:t>
      </w:r>
      <w:r w:rsidR="00463CEC" w:rsidRPr="00941FA7">
        <w:rPr>
          <w:lang w:val="fr-FR"/>
        </w:rPr>
        <w:tab/>
      </w:r>
      <w:r w:rsidR="007F31DE" w:rsidRPr="00941FA7">
        <w:rPr>
          <w:lang w:val="fr-FR"/>
        </w:rPr>
        <w:t xml:space="preserve">Par ailleurs, ce solde </w:t>
      </w:r>
      <w:r w:rsidR="00AD6FC1" w:rsidRPr="00941FA7">
        <w:rPr>
          <w:lang w:val="fr-FR"/>
        </w:rPr>
        <w:t>inclut</w:t>
      </w:r>
      <w:r w:rsidR="007F31DE" w:rsidRPr="00941FA7">
        <w:rPr>
          <w:lang w:val="fr-FR"/>
        </w:rPr>
        <w:t xml:space="preserve"> également les soldes préengagés de </w:t>
      </w:r>
      <w:r w:rsidR="00C03734" w:rsidRPr="00941FA7">
        <w:rPr>
          <w:lang w:val="fr-FR"/>
        </w:rPr>
        <w:t>767</w:t>
      </w:r>
      <w:r w:rsidR="007F31DE" w:rsidRPr="00941FA7">
        <w:rPr>
          <w:lang w:val="fr-FR"/>
        </w:rPr>
        <w:t> 000 CHF</w:t>
      </w:r>
      <w:r w:rsidR="00D535A9" w:rsidRPr="00941FA7">
        <w:rPr>
          <w:lang w:val="fr-FR"/>
        </w:rPr>
        <w:t>,</w:t>
      </w:r>
      <w:r w:rsidR="00AC5BA6" w:rsidRPr="00941FA7">
        <w:rPr>
          <w:lang w:val="fr-FR"/>
        </w:rPr>
        <w:t xml:space="preserve"> </w:t>
      </w:r>
      <w:r w:rsidR="007F31DE" w:rsidRPr="00941FA7">
        <w:rPr>
          <w:lang w:val="fr-FR"/>
        </w:rPr>
        <w:t xml:space="preserve">y compris l’utilisation autorisée des </w:t>
      </w:r>
      <w:r w:rsidR="00AD6FC1" w:rsidRPr="00941FA7">
        <w:rPr>
          <w:lang w:val="fr-FR"/>
        </w:rPr>
        <w:t>excédents</w:t>
      </w:r>
      <w:r w:rsidR="007F31DE" w:rsidRPr="00941FA7">
        <w:rPr>
          <w:lang w:val="fr-FR"/>
        </w:rPr>
        <w:t xml:space="preserve"> </w:t>
      </w:r>
      <w:r w:rsidR="00AD6FC1" w:rsidRPr="00941FA7">
        <w:rPr>
          <w:lang w:val="fr-FR"/>
        </w:rPr>
        <w:t>de</w:t>
      </w:r>
      <w:r w:rsidR="007F31DE" w:rsidRPr="00941FA7">
        <w:rPr>
          <w:lang w:val="fr-FR"/>
        </w:rPr>
        <w:t xml:space="preserve"> 2018 (Dé</w:t>
      </w:r>
      <w:r w:rsidR="00EF5E91" w:rsidRPr="00941FA7">
        <w:rPr>
          <w:lang w:val="fr-FR"/>
        </w:rPr>
        <w:t xml:space="preserve">cision </w:t>
      </w:r>
      <w:r w:rsidR="00A87BA0" w:rsidRPr="00941FA7">
        <w:rPr>
          <w:lang w:val="fr-FR"/>
        </w:rPr>
        <w:t>SC</w:t>
      </w:r>
      <w:r w:rsidR="00EF5E91" w:rsidRPr="00941FA7">
        <w:rPr>
          <w:lang w:val="fr-FR"/>
        </w:rPr>
        <w:t>57-47)</w:t>
      </w:r>
      <w:r w:rsidR="00273027" w:rsidRPr="00941FA7">
        <w:rPr>
          <w:lang w:val="fr-FR"/>
        </w:rPr>
        <w:t xml:space="preserve"> </w:t>
      </w:r>
      <w:r w:rsidR="007F31DE" w:rsidRPr="00941FA7">
        <w:rPr>
          <w:lang w:val="fr-FR"/>
        </w:rPr>
        <w:t>et</w:t>
      </w:r>
      <w:r w:rsidR="00273027" w:rsidRPr="00941FA7">
        <w:rPr>
          <w:lang w:val="fr-FR"/>
        </w:rPr>
        <w:t xml:space="preserve"> </w:t>
      </w:r>
      <w:r w:rsidR="007F31DE" w:rsidRPr="00941FA7">
        <w:rPr>
          <w:lang w:val="fr-FR"/>
        </w:rPr>
        <w:t xml:space="preserve">le budget intersessions ajusté de la </w:t>
      </w:r>
      <w:r w:rsidR="00273027" w:rsidRPr="00941FA7">
        <w:rPr>
          <w:lang w:val="fr-FR"/>
        </w:rPr>
        <w:t>SC5</w:t>
      </w:r>
      <w:r w:rsidR="0008366D" w:rsidRPr="00941FA7">
        <w:rPr>
          <w:lang w:val="fr-FR"/>
        </w:rPr>
        <w:t>9</w:t>
      </w:r>
      <w:r w:rsidR="00772619" w:rsidRPr="00941FA7">
        <w:rPr>
          <w:lang w:val="fr-FR"/>
        </w:rPr>
        <w:t>,</w:t>
      </w:r>
      <w:r w:rsidR="007F31DE" w:rsidRPr="00941FA7">
        <w:rPr>
          <w:lang w:val="fr-FR"/>
        </w:rPr>
        <w:t xml:space="preserve"> ainsi qu’il est précisé dans le tableau 1 ci-dessus</w:t>
      </w:r>
      <w:r w:rsidR="00AC5BA6" w:rsidRPr="00941FA7">
        <w:rPr>
          <w:lang w:val="fr-FR"/>
        </w:rPr>
        <w:t>,</w:t>
      </w:r>
      <w:r w:rsidR="00274FCC" w:rsidRPr="00941FA7">
        <w:rPr>
          <w:lang w:val="fr-FR"/>
        </w:rPr>
        <w:t xml:space="preserve"> </w:t>
      </w:r>
      <w:r w:rsidR="00AD6FC1" w:rsidRPr="00941FA7">
        <w:rPr>
          <w:lang w:val="fr-FR"/>
        </w:rPr>
        <w:t xml:space="preserve">sommes </w:t>
      </w:r>
      <w:r w:rsidR="007F31DE" w:rsidRPr="00941FA7">
        <w:rPr>
          <w:lang w:val="fr-FR"/>
        </w:rPr>
        <w:t>qui seront dépensé</w:t>
      </w:r>
      <w:r w:rsidR="00AD6FC1" w:rsidRPr="00941FA7">
        <w:rPr>
          <w:lang w:val="fr-FR"/>
        </w:rPr>
        <w:t>e</w:t>
      </w:r>
      <w:r w:rsidR="007F31DE" w:rsidRPr="00941FA7">
        <w:rPr>
          <w:lang w:val="fr-FR"/>
        </w:rPr>
        <w:t>s en</w:t>
      </w:r>
      <w:r w:rsidR="00D535A9" w:rsidRPr="00941FA7">
        <w:rPr>
          <w:lang w:val="fr-FR"/>
        </w:rPr>
        <w:t xml:space="preserve"> </w:t>
      </w:r>
      <w:r w:rsidR="0008366D" w:rsidRPr="00941FA7">
        <w:rPr>
          <w:lang w:val="fr-FR"/>
        </w:rPr>
        <w:t xml:space="preserve">2022 </w:t>
      </w:r>
      <w:r w:rsidR="007F31DE" w:rsidRPr="00941FA7">
        <w:rPr>
          <w:lang w:val="fr-FR"/>
        </w:rPr>
        <w:t xml:space="preserve">et ont donc </w:t>
      </w:r>
      <w:r w:rsidR="00237990" w:rsidRPr="00941FA7">
        <w:rPr>
          <w:lang w:val="fr-FR"/>
        </w:rPr>
        <w:t>été</w:t>
      </w:r>
      <w:r w:rsidR="007F31DE" w:rsidRPr="00941FA7">
        <w:rPr>
          <w:lang w:val="fr-FR"/>
        </w:rPr>
        <w:t xml:space="preserve"> inclus</w:t>
      </w:r>
      <w:r w:rsidR="00AD6FC1" w:rsidRPr="00941FA7">
        <w:rPr>
          <w:lang w:val="fr-FR"/>
        </w:rPr>
        <w:t>es</w:t>
      </w:r>
      <w:r w:rsidR="007F31DE" w:rsidRPr="00941FA7">
        <w:rPr>
          <w:lang w:val="fr-FR"/>
        </w:rPr>
        <w:t xml:space="preserve"> dans le budget 2022 (a</w:t>
      </w:r>
      <w:r w:rsidR="000931DF" w:rsidRPr="00941FA7">
        <w:rPr>
          <w:lang w:val="fr-FR"/>
        </w:rPr>
        <w:t>nnex</w:t>
      </w:r>
      <w:r w:rsidR="007F31DE" w:rsidRPr="00941FA7">
        <w:rPr>
          <w:lang w:val="fr-FR"/>
        </w:rPr>
        <w:t>e</w:t>
      </w:r>
      <w:r w:rsidR="000931DF" w:rsidRPr="00941FA7">
        <w:rPr>
          <w:lang w:val="fr-FR"/>
        </w:rPr>
        <w:t xml:space="preserve"> 4)</w:t>
      </w:r>
      <w:r w:rsidR="00D535A9" w:rsidRPr="00941FA7">
        <w:rPr>
          <w:lang w:val="fr-FR"/>
        </w:rPr>
        <w:t>.</w:t>
      </w:r>
    </w:p>
    <w:p w:rsidR="00AC5BA6" w:rsidRPr="00941FA7" w:rsidRDefault="00AC5BA6" w:rsidP="00162710">
      <w:pPr>
        <w:ind w:firstLine="0"/>
        <w:rPr>
          <w:lang w:val="fr-FR"/>
        </w:rPr>
      </w:pPr>
    </w:p>
    <w:p w:rsidR="00084E5D" w:rsidRPr="00941FA7" w:rsidRDefault="004D0989" w:rsidP="00523B6B">
      <w:pPr>
        <w:rPr>
          <w:lang w:val="fr-FR"/>
        </w:rPr>
      </w:pPr>
      <w:r w:rsidRPr="00941FA7">
        <w:rPr>
          <w:lang w:val="fr-FR"/>
        </w:rPr>
        <w:t>21</w:t>
      </w:r>
      <w:r w:rsidR="00523B6B" w:rsidRPr="00941FA7">
        <w:rPr>
          <w:lang w:val="fr-FR"/>
        </w:rPr>
        <w:t>.</w:t>
      </w:r>
      <w:r w:rsidR="00523B6B" w:rsidRPr="00941FA7">
        <w:rPr>
          <w:lang w:val="fr-FR"/>
        </w:rPr>
        <w:tab/>
      </w:r>
      <w:r w:rsidR="008F2559" w:rsidRPr="00941FA7">
        <w:rPr>
          <w:lang w:val="fr-FR"/>
        </w:rPr>
        <w:t>Par ailleurs</w:t>
      </w:r>
      <w:r w:rsidR="00CB3FB1" w:rsidRPr="00941FA7">
        <w:rPr>
          <w:lang w:val="fr-FR"/>
        </w:rPr>
        <w:t xml:space="preserve">, le solde du fonds administratif comprend </w:t>
      </w:r>
      <w:r w:rsidR="008F2559" w:rsidRPr="00941FA7">
        <w:rPr>
          <w:lang w:val="fr-FR"/>
        </w:rPr>
        <w:t>l</w:t>
      </w:r>
      <w:r w:rsidR="00CB3FB1" w:rsidRPr="00941FA7">
        <w:rPr>
          <w:lang w:val="fr-FR"/>
        </w:rPr>
        <w:t>es économies</w:t>
      </w:r>
      <w:r w:rsidR="008F2559" w:rsidRPr="00941FA7">
        <w:rPr>
          <w:lang w:val="fr-FR"/>
        </w:rPr>
        <w:t xml:space="preserve"> réalisées</w:t>
      </w:r>
      <w:r w:rsidR="00CB3FB1" w:rsidRPr="00941FA7">
        <w:rPr>
          <w:lang w:val="fr-FR"/>
        </w:rPr>
        <w:t xml:space="preserve"> sur le </w:t>
      </w:r>
      <w:r w:rsidR="008F2559" w:rsidRPr="00941FA7">
        <w:rPr>
          <w:lang w:val="fr-FR"/>
        </w:rPr>
        <w:t xml:space="preserve">poste </w:t>
      </w:r>
      <w:r w:rsidR="00CB3FB1" w:rsidRPr="00941FA7">
        <w:rPr>
          <w:lang w:val="fr-FR"/>
        </w:rPr>
        <w:t>«</w:t>
      </w:r>
      <w:r w:rsidR="008F2559" w:rsidRPr="00941FA7">
        <w:rPr>
          <w:rFonts w:cs="Calibri"/>
          <w:lang w:val="fr-FR"/>
        </w:rPr>
        <w:t> </w:t>
      </w:r>
      <w:r w:rsidR="006039B6" w:rsidRPr="00941FA7">
        <w:rPr>
          <w:rFonts w:cs="Calibri"/>
          <w:lang w:val="fr-FR"/>
        </w:rPr>
        <w:t>Budget 2020 - SC58 et économies non engagées reportées</w:t>
      </w:r>
      <w:r w:rsidR="003C7B89" w:rsidRPr="00941FA7">
        <w:rPr>
          <w:rFonts w:cs="Calibri"/>
          <w:lang w:val="fr-FR"/>
        </w:rPr>
        <w:t xml:space="preserve"> » </w:t>
      </w:r>
      <w:r w:rsidR="008F2559" w:rsidRPr="00941FA7">
        <w:rPr>
          <w:rFonts w:cs="Calibri"/>
          <w:lang w:val="fr-FR"/>
        </w:rPr>
        <w:t xml:space="preserve">pour un montant </w:t>
      </w:r>
      <w:r w:rsidR="00CB3FB1" w:rsidRPr="00941FA7">
        <w:rPr>
          <w:lang w:val="fr-FR"/>
        </w:rPr>
        <w:t>de 496</w:t>
      </w:r>
      <w:r w:rsidR="008F2559" w:rsidRPr="00941FA7">
        <w:rPr>
          <w:lang w:val="fr-FR"/>
        </w:rPr>
        <w:t> </w:t>
      </w:r>
      <w:r w:rsidR="00CB3FB1" w:rsidRPr="00941FA7">
        <w:rPr>
          <w:lang w:val="fr-FR"/>
        </w:rPr>
        <w:t>000</w:t>
      </w:r>
      <w:r w:rsidR="008F2559" w:rsidRPr="00941FA7">
        <w:rPr>
          <w:lang w:val="fr-FR"/>
        </w:rPr>
        <w:t> </w:t>
      </w:r>
      <w:r w:rsidR="00CB3FB1" w:rsidRPr="00941FA7">
        <w:rPr>
          <w:lang w:val="fr-FR"/>
        </w:rPr>
        <w:t>CHF</w:t>
      </w:r>
      <w:r w:rsidR="009259E1" w:rsidRPr="00941FA7">
        <w:rPr>
          <w:rStyle w:val="FootnoteReference"/>
          <w:lang w:val="fr-FR"/>
        </w:rPr>
        <w:footnoteReference w:id="3"/>
      </w:r>
      <w:r w:rsidR="00CB3FB1" w:rsidRPr="00941FA7">
        <w:rPr>
          <w:lang w:val="fr-FR"/>
        </w:rPr>
        <w:t xml:space="preserve"> (en application de la décision SC59-26). Ce </w:t>
      </w:r>
      <w:r w:rsidR="008F2559" w:rsidRPr="00941FA7">
        <w:rPr>
          <w:lang w:val="fr-FR"/>
        </w:rPr>
        <w:t>montant inclut</w:t>
      </w:r>
      <w:r w:rsidR="00CB3FB1" w:rsidRPr="00941FA7">
        <w:rPr>
          <w:lang w:val="fr-FR"/>
        </w:rPr>
        <w:t xml:space="preserve"> l’ajustement proposé aux paragraphes 9.f et 15 ci-dessus.</w:t>
      </w:r>
    </w:p>
    <w:p w:rsidR="00084E5D" w:rsidRPr="00941FA7" w:rsidRDefault="00084E5D" w:rsidP="00162710">
      <w:pPr>
        <w:ind w:firstLine="0"/>
        <w:rPr>
          <w:lang w:val="fr-FR"/>
        </w:rPr>
      </w:pPr>
    </w:p>
    <w:p w:rsidR="006F72F5" w:rsidRPr="00941FA7" w:rsidRDefault="004D0989" w:rsidP="00492E50">
      <w:pPr>
        <w:rPr>
          <w:lang w:val="fr-FR"/>
        </w:rPr>
      </w:pPr>
      <w:r w:rsidRPr="00941FA7">
        <w:rPr>
          <w:lang w:val="fr-FR"/>
        </w:rPr>
        <w:t>22</w:t>
      </w:r>
      <w:r w:rsidR="00523B6B" w:rsidRPr="00941FA7">
        <w:rPr>
          <w:lang w:val="fr-FR"/>
        </w:rPr>
        <w:t>.</w:t>
      </w:r>
      <w:r w:rsidR="00523B6B" w:rsidRPr="00941FA7">
        <w:rPr>
          <w:lang w:val="fr-FR"/>
        </w:rPr>
        <w:tab/>
      </w:r>
      <w:r w:rsidR="00FF689D" w:rsidRPr="00941FA7">
        <w:rPr>
          <w:lang w:val="fr-FR"/>
        </w:rPr>
        <w:t xml:space="preserve">Au début </w:t>
      </w:r>
      <w:r w:rsidR="008F2559" w:rsidRPr="00941FA7">
        <w:rPr>
          <w:lang w:val="fr-FR"/>
        </w:rPr>
        <w:t>du mois d’</w:t>
      </w:r>
      <w:r w:rsidR="00FF689D" w:rsidRPr="00941FA7">
        <w:rPr>
          <w:lang w:val="fr-FR"/>
        </w:rPr>
        <w:t xml:space="preserve">avril 2022, le Comité permanent a approuvé, entre les sessions, une affectation à partir </w:t>
      </w:r>
      <w:r w:rsidR="008F2559" w:rsidRPr="00941FA7">
        <w:rPr>
          <w:lang w:val="fr-FR"/>
        </w:rPr>
        <w:t>de cette ligne budgétaire jusqu’</w:t>
      </w:r>
      <w:r w:rsidR="00FF689D" w:rsidRPr="00941FA7">
        <w:rPr>
          <w:lang w:val="fr-FR"/>
        </w:rPr>
        <w:t xml:space="preserve">à un montant total de 89 500 CHF pour le recrutement du prochain Secrétaire général, conformément aux dispositions de la décision SC59-39 de novembre 2021. En conséquence, le </w:t>
      </w:r>
      <w:r w:rsidR="00653DEF" w:rsidRPr="00941FA7">
        <w:rPr>
          <w:lang w:val="fr-FR"/>
        </w:rPr>
        <w:t>solde de la ligne</w:t>
      </w:r>
      <w:r w:rsidR="00FF689D" w:rsidRPr="00941FA7">
        <w:rPr>
          <w:lang w:val="fr-FR"/>
        </w:rPr>
        <w:t xml:space="preserve"> «</w:t>
      </w:r>
      <w:r w:rsidR="008F2559" w:rsidRPr="00941FA7">
        <w:rPr>
          <w:lang w:val="fr-FR"/>
        </w:rPr>
        <w:t> </w:t>
      </w:r>
      <w:r w:rsidR="006039B6" w:rsidRPr="00941FA7">
        <w:rPr>
          <w:rFonts w:cs="Calibri"/>
          <w:lang w:val="fr-FR"/>
        </w:rPr>
        <w:t>Budget 2020 - SC58 et économies non engagées reportées</w:t>
      </w:r>
      <w:r w:rsidR="003C7B89" w:rsidRPr="00941FA7">
        <w:rPr>
          <w:rFonts w:cs="Calibri"/>
          <w:lang w:val="fr-FR"/>
        </w:rPr>
        <w:t xml:space="preserve"> » </w:t>
      </w:r>
      <w:r w:rsidR="00FF689D" w:rsidRPr="00941FA7">
        <w:rPr>
          <w:lang w:val="fr-FR"/>
        </w:rPr>
        <w:t xml:space="preserve">est réduit à 406 500 CHF. Le Secrétariat propose de reporter ce solde au budget 2022 à servir de fonds de réserve supplémentaire, comme il est </w:t>
      </w:r>
      <w:r w:rsidR="00FF689D" w:rsidRPr="00941FA7">
        <w:rPr>
          <w:lang w:val="fr-FR"/>
        </w:rPr>
        <w:lastRenderedPageBreak/>
        <w:t xml:space="preserve">indiqué au paragraphe 39 ci-dessous et à l'annexe 4. Le Comité permanent </w:t>
      </w:r>
      <w:r w:rsidR="008F2559" w:rsidRPr="00941FA7">
        <w:rPr>
          <w:lang w:val="fr-FR"/>
        </w:rPr>
        <w:t>doit décider de l’</w:t>
      </w:r>
      <w:r w:rsidR="00FF689D" w:rsidRPr="00941FA7">
        <w:rPr>
          <w:lang w:val="fr-FR"/>
        </w:rPr>
        <w:t xml:space="preserve">affectation future de ce fonds de réserve supplémentaire, par exemple pour des ajustements futurs sur provisions pour contributions </w:t>
      </w:r>
      <w:r w:rsidR="008F2559" w:rsidRPr="00941FA7">
        <w:rPr>
          <w:lang w:val="fr-FR"/>
        </w:rPr>
        <w:t>non acquittées</w:t>
      </w:r>
      <w:r w:rsidR="00BE1BA2" w:rsidRPr="00941FA7">
        <w:rPr>
          <w:lang w:val="fr-FR"/>
        </w:rPr>
        <w:t>.</w:t>
      </w:r>
    </w:p>
    <w:p w:rsidR="006F72F5" w:rsidRPr="00941FA7" w:rsidRDefault="006F72F5" w:rsidP="00162710">
      <w:pPr>
        <w:ind w:firstLine="0"/>
        <w:rPr>
          <w:lang w:val="fr-FR"/>
        </w:rPr>
      </w:pPr>
    </w:p>
    <w:p w:rsidR="00FF689D" w:rsidRPr="00941FA7" w:rsidRDefault="004D0989" w:rsidP="00A260F0">
      <w:pPr>
        <w:rPr>
          <w:lang w:val="fr-FR"/>
        </w:rPr>
      </w:pPr>
      <w:r w:rsidRPr="00941FA7">
        <w:rPr>
          <w:lang w:val="fr-FR"/>
        </w:rPr>
        <w:t>23</w:t>
      </w:r>
      <w:r w:rsidR="00DA6FAA" w:rsidRPr="00941FA7">
        <w:rPr>
          <w:lang w:val="fr-FR"/>
        </w:rPr>
        <w:t>.</w:t>
      </w:r>
      <w:r w:rsidR="00DA6FAA" w:rsidRPr="00941FA7">
        <w:rPr>
          <w:lang w:val="fr-FR"/>
        </w:rPr>
        <w:tab/>
      </w:r>
      <w:r w:rsidR="00FF689D" w:rsidRPr="00941FA7">
        <w:rPr>
          <w:lang w:val="fr-FR"/>
        </w:rPr>
        <w:t>L’excédent du budget administrati</w:t>
      </w:r>
      <w:r w:rsidR="000748B7" w:rsidRPr="00941FA7">
        <w:rPr>
          <w:lang w:val="fr-FR"/>
        </w:rPr>
        <w:t>f</w:t>
      </w:r>
      <w:r w:rsidR="00FF689D" w:rsidRPr="00941FA7">
        <w:rPr>
          <w:lang w:val="fr-FR"/>
        </w:rPr>
        <w:t xml:space="preserve"> 2021 </w:t>
      </w:r>
      <w:r w:rsidR="008F2559" w:rsidRPr="00941FA7">
        <w:rPr>
          <w:lang w:val="fr-FR"/>
        </w:rPr>
        <w:t>disponible, à la discrétion</w:t>
      </w:r>
      <w:r w:rsidR="000748B7" w:rsidRPr="00941FA7">
        <w:rPr>
          <w:lang w:val="fr-FR"/>
        </w:rPr>
        <w:t xml:space="preserve"> du Comité permanent</w:t>
      </w:r>
      <w:r w:rsidR="008F2559" w:rsidRPr="00941FA7">
        <w:rPr>
          <w:lang w:val="fr-FR"/>
        </w:rPr>
        <w:t>,</w:t>
      </w:r>
      <w:r w:rsidR="000748B7" w:rsidRPr="00941FA7">
        <w:rPr>
          <w:lang w:val="fr-FR"/>
        </w:rPr>
        <w:t xml:space="preserve"> est donc de 1 517 000 CHF. Le Comité perman</w:t>
      </w:r>
      <w:r w:rsidR="008F2559" w:rsidRPr="00941FA7">
        <w:rPr>
          <w:lang w:val="fr-FR"/>
        </w:rPr>
        <w:t>ent est invité à décider de l’emploi de cet excédent</w:t>
      </w:r>
      <w:r w:rsidR="000748B7" w:rsidRPr="00941FA7">
        <w:rPr>
          <w:lang w:val="fr-FR"/>
        </w:rPr>
        <w:t>. Le tableau 2 ci - dessous fournit les détails</w:t>
      </w:r>
    </w:p>
    <w:p w:rsidR="003A790E" w:rsidRPr="00941FA7" w:rsidRDefault="003A790E" w:rsidP="00DA6FAA">
      <w:pPr>
        <w:rPr>
          <w:lang w:val="fr-FR"/>
        </w:rPr>
      </w:pPr>
    </w:p>
    <w:p w:rsidR="003A790E" w:rsidRPr="00941FA7" w:rsidRDefault="003A790E" w:rsidP="000748B7">
      <w:pPr>
        <w:keepNext/>
        <w:rPr>
          <w:i/>
          <w:lang w:val="fr-FR"/>
        </w:rPr>
      </w:pPr>
      <w:r w:rsidRPr="00941FA7">
        <w:rPr>
          <w:i/>
          <w:lang w:val="fr-FR"/>
        </w:rPr>
        <w:t>Table</w:t>
      </w:r>
      <w:r w:rsidR="000748B7" w:rsidRPr="00941FA7">
        <w:rPr>
          <w:i/>
          <w:lang w:val="fr-FR"/>
        </w:rPr>
        <w:t>au</w:t>
      </w:r>
      <w:r w:rsidRPr="00941FA7">
        <w:rPr>
          <w:i/>
          <w:lang w:val="fr-FR"/>
        </w:rPr>
        <w:t xml:space="preserve"> </w:t>
      </w:r>
      <w:r w:rsidR="002058A3" w:rsidRPr="00941FA7">
        <w:rPr>
          <w:i/>
          <w:lang w:val="fr-FR"/>
        </w:rPr>
        <w:t>2</w:t>
      </w:r>
      <w:r w:rsidRPr="00941FA7">
        <w:rPr>
          <w:i/>
          <w:lang w:val="fr-FR"/>
        </w:rPr>
        <w:t xml:space="preserve">: </w:t>
      </w:r>
      <w:r w:rsidR="000748B7" w:rsidRPr="00941FA7">
        <w:rPr>
          <w:i/>
          <w:lang w:val="fr-FR"/>
        </w:rPr>
        <w:t xml:space="preserve">excédent du budget administratif </w:t>
      </w:r>
      <w:r w:rsidRPr="00941FA7">
        <w:rPr>
          <w:i/>
          <w:lang w:val="fr-FR"/>
        </w:rPr>
        <w:t xml:space="preserve">2021 </w:t>
      </w:r>
      <w:r w:rsidR="000748B7" w:rsidRPr="00941FA7">
        <w:rPr>
          <w:i/>
          <w:lang w:val="fr-FR"/>
        </w:rPr>
        <w:t>à affecter</w:t>
      </w:r>
      <w:r w:rsidRPr="00941FA7">
        <w:rPr>
          <w:i/>
          <w:lang w:val="fr-FR"/>
        </w:rPr>
        <w:t xml:space="preserve"> (</w:t>
      </w:r>
      <w:r w:rsidR="000748B7" w:rsidRPr="00941FA7">
        <w:rPr>
          <w:i/>
          <w:lang w:val="fr-FR"/>
        </w:rPr>
        <w:t>en milliers de</w:t>
      </w:r>
      <w:r w:rsidR="00F636DE" w:rsidRPr="00941FA7">
        <w:rPr>
          <w:i/>
          <w:lang w:val="fr-FR"/>
        </w:rPr>
        <w:t xml:space="preserve"> CHF</w:t>
      </w:r>
      <w:r w:rsidRPr="00941FA7">
        <w:rPr>
          <w:i/>
          <w:lang w:val="fr-FR"/>
        </w:rPr>
        <w:t>)</w:t>
      </w:r>
    </w:p>
    <w:tbl>
      <w:tblPr>
        <w:tblW w:w="8926" w:type="dxa"/>
        <w:tblLook w:val="04A0" w:firstRow="1" w:lastRow="0" w:firstColumn="1" w:lastColumn="0" w:noHBand="0" w:noVBand="1"/>
      </w:tblPr>
      <w:tblGrid>
        <w:gridCol w:w="7225"/>
        <w:gridCol w:w="1701"/>
      </w:tblGrid>
      <w:tr w:rsidR="003A790E" w:rsidRPr="00941FA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3A790E" w:rsidRPr="00941FA7" w:rsidRDefault="003A790E" w:rsidP="000748B7">
            <w:pPr>
              <w:ind w:left="0" w:firstLine="0"/>
              <w:rPr>
                <w:rFonts w:eastAsia="Times New Roman" w:cs="Calibri"/>
                <w:b/>
                <w:bCs/>
                <w:color w:val="000000"/>
                <w:lang w:val="fr-FR" w:eastAsia="en-GB"/>
              </w:rPr>
            </w:pPr>
            <w:r w:rsidRPr="00941FA7">
              <w:rPr>
                <w:rFonts w:eastAsia="Times New Roman" w:cs="Calibri"/>
                <w:b/>
                <w:bCs/>
                <w:color w:val="000000"/>
                <w:lang w:val="fr-FR" w:eastAsia="en-GB"/>
              </w:rPr>
              <w:t xml:space="preserve">(I) </w:t>
            </w:r>
            <w:r w:rsidR="000748B7" w:rsidRPr="00941FA7">
              <w:rPr>
                <w:rFonts w:eastAsia="Times New Roman" w:cs="Calibri"/>
                <w:b/>
                <w:bCs/>
                <w:color w:val="000000"/>
                <w:lang w:val="fr-FR" w:eastAsia="en-GB"/>
              </w:rPr>
              <w:t>Solde du Fonds au 31 décembre 2021 selon les états vérifiés</w:t>
            </w:r>
          </w:p>
        </w:tc>
        <w:tc>
          <w:tcPr>
            <w:tcW w:w="1701" w:type="dxa"/>
            <w:tcBorders>
              <w:top w:val="single" w:sz="4" w:space="0" w:color="auto"/>
              <w:left w:val="nil"/>
              <w:bottom w:val="single" w:sz="4" w:space="0" w:color="auto"/>
              <w:right w:val="single" w:sz="4" w:space="0" w:color="auto"/>
            </w:tcBorders>
            <w:shd w:val="clear" w:color="000000" w:fill="DBE5F1"/>
            <w:noWrap/>
            <w:vAlign w:val="center"/>
            <w:hideMark/>
          </w:tcPr>
          <w:p w:rsidR="003A790E" w:rsidRPr="00941FA7" w:rsidRDefault="00987E38" w:rsidP="003A790E">
            <w:pPr>
              <w:ind w:left="0" w:firstLine="0"/>
              <w:jc w:val="right"/>
              <w:rPr>
                <w:rFonts w:eastAsia="Times New Roman" w:cs="Calibri"/>
                <w:b/>
                <w:bCs/>
                <w:color w:val="000000"/>
                <w:lang w:val="fr-FR" w:eastAsia="en-GB"/>
              </w:rPr>
            </w:pPr>
            <w:r w:rsidRPr="00941FA7">
              <w:rPr>
                <w:rFonts w:eastAsia="Times New Roman" w:cs="Calibri"/>
                <w:b/>
                <w:bCs/>
                <w:color w:val="000000"/>
                <w:lang w:val="fr-FR" w:eastAsia="en-GB"/>
              </w:rPr>
              <w:t xml:space="preserve">3 </w:t>
            </w:r>
            <w:r w:rsidR="003A790E" w:rsidRPr="00941FA7">
              <w:rPr>
                <w:rFonts w:eastAsia="Times New Roman" w:cs="Calibri"/>
                <w:b/>
                <w:bCs/>
                <w:color w:val="000000"/>
                <w:lang w:val="fr-FR" w:eastAsia="en-GB"/>
              </w:rPr>
              <w:t>738</w:t>
            </w:r>
          </w:p>
        </w:tc>
      </w:tr>
      <w:tr w:rsidR="003A790E" w:rsidRPr="00941FA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3A790E" w:rsidRPr="00941FA7" w:rsidRDefault="003A790E" w:rsidP="000748B7">
            <w:pPr>
              <w:ind w:left="0" w:firstLine="0"/>
              <w:rPr>
                <w:rFonts w:eastAsia="Times New Roman" w:cs="Calibri"/>
                <w:b/>
                <w:bCs/>
                <w:color w:val="000000"/>
                <w:lang w:val="fr-FR" w:eastAsia="en-GB"/>
              </w:rPr>
            </w:pPr>
            <w:r w:rsidRPr="00941FA7">
              <w:rPr>
                <w:rFonts w:eastAsia="Times New Roman" w:cs="Calibri"/>
                <w:b/>
                <w:bCs/>
                <w:color w:val="000000"/>
                <w:lang w:val="fr-FR" w:eastAsia="en-GB"/>
              </w:rPr>
              <w:t>R</w:t>
            </w:r>
            <w:r w:rsidR="000748B7" w:rsidRPr="00941FA7">
              <w:rPr>
                <w:rFonts w:eastAsia="Times New Roman" w:cs="Calibri"/>
                <w:b/>
                <w:bCs/>
                <w:color w:val="000000"/>
                <w:lang w:val="fr-FR" w:eastAsia="en-GB"/>
              </w:rPr>
              <w:t>é</w:t>
            </w:r>
            <w:r w:rsidRPr="00941FA7">
              <w:rPr>
                <w:rFonts w:eastAsia="Times New Roman" w:cs="Calibri"/>
                <w:b/>
                <w:bCs/>
                <w:color w:val="000000"/>
                <w:lang w:val="fr-FR" w:eastAsia="en-GB"/>
              </w:rPr>
              <w:t>serve, appro</w:t>
            </w:r>
            <w:r w:rsidR="000748B7" w:rsidRPr="00941FA7">
              <w:rPr>
                <w:rFonts w:eastAsia="Times New Roman" w:cs="Calibri"/>
                <w:b/>
                <w:bCs/>
                <w:color w:val="000000"/>
                <w:lang w:val="fr-FR" w:eastAsia="en-GB"/>
              </w:rPr>
              <w:t xml:space="preserve">uvée et préengagée </w:t>
            </w:r>
            <w:r w:rsidR="00F4390C" w:rsidRPr="00941FA7">
              <w:rPr>
                <w:rFonts w:eastAsia="Times New Roman" w:cs="Calibri"/>
                <w:b/>
                <w:bCs/>
                <w:color w:val="000000"/>
                <w:lang w:val="fr-FR"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3A790E" w:rsidRPr="00941FA7" w:rsidRDefault="003A790E" w:rsidP="003A790E">
            <w:pPr>
              <w:ind w:left="0" w:firstLine="0"/>
              <w:jc w:val="right"/>
              <w:rPr>
                <w:rFonts w:eastAsia="Times New Roman" w:cs="Calibri"/>
                <w:color w:val="000000"/>
                <w:lang w:val="fr-FR" w:eastAsia="en-GB"/>
              </w:rPr>
            </w:pPr>
            <w:r w:rsidRPr="00941FA7">
              <w:rPr>
                <w:rFonts w:eastAsia="Times New Roman" w:cs="Calibri"/>
                <w:color w:val="000000"/>
                <w:lang w:val="fr-FR" w:eastAsia="en-GB"/>
              </w:rPr>
              <w:t> </w:t>
            </w:r>
          </w:p>
        </w:tc>
      </w:tr>
      <w:tr w:rsidR="003A790E" w:rsidRPr="00941FA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3A790E" w:rsidRPr="00941FA7" w:rsidRDefault="000748B7" w:rsidP="0015753C">
            <w:pPr>
              <w:ind w:left="0" w:firstLine="0"/>
              <w:rPr>
                <w:rFonts w:eastAsia="Times New Roman" w:cs="Calibri"/>
                <w:color w:val="000000"/>
                <w:lang w:val="fr-FR" w:eastAsia="en-GB"/>
              </w:rPr>
            </w:pPr>
            <w:r w:rsidRPr="00941FA7">
              <w:rPr>
                <w:rFonts w:eastAsia="Times New Roman" w:cs="Calibri"/>
                <w:color w:val="000000"/>
                <w:lang w:val="fr-FR" w:eastAsia="en-GB"/>
              </w:rPr>
              <w:t>Fonds de ré</w:t>
            </w:r>
            <w:r w:rsidR="003A790E" w:rsidRPr="00941FA7">
              <w:rPr>
                <w:rFonts w:eastAsia="Times New Roman" w:cs="Calibri"/>
                <w:color w:val="000000"/>
                <w:lang w:val="fr-FR" w:eastAsia="en-GB"/>
              </w:rPr>
              <w:t xml:space="preserve">serve </w:t>
            </w:r>
            <w:r w:rsidR="0015753C" w:rsidRPr="00941FA7">
              <w:rPr>
                <w:rFonts w:eastAsia="Times New Roman" w:cs="Calibri"/>
                <w:color w:val="000000"/>
                <w:lang w:val="fr-FR" w:eastAsia="en-GB"/>
              </w:rPr>
              <w:t>à 15% (Ré</w:t>
            </w:r>
            <w:r w:rsidR="003A790E" w:rsidRPr="00941FA7">
              <w:rPr>
                <w:rFonts w:eastAsia="Times New Roman" w:cs="Calibri"/>
                <w:color w:val="000000"/>
                <w:lang w:val="fr-FR" w:eastAsia="en-GB"/>
              </w:rPr>
              <w:t>solution XIII.2, paragraph</w:t>
            </w:r>
            <w:r w:rsidR="0015753C" w:rsidRPr="00941FA7">
              <w:rPr>
                <w:rFonts w:eastAsia="Times New Roman" w:cs="Calibri"/>
                <w:color w:val="000000"/>
                <w:lang w:val="fr-FR" w:eastAsia="en-GB"/>
              </w:rPr>
              <w:t>e</w:t>
            </w:r>
            <w:r w:rsidR="003A790E" w:rsidRPr="00941FA7">
              <w:rPr>
                <w:rFonts w:eastAsia="Times New Roman" w:cs="Calibri"/>
                <w:color w:val="000000"/>
                <w:lang w:val="fr-FR" w:eastAsia="en-GB"/>
              </w:rPr>
              <w:t xml:space="preserve"> 33)</w:t>
            </w:r>
          </w:p>
        </w:tc>
        <w:tc>
          <w:tcPr>
            <w:tcW w:w="1701" w:type="dxa"/>
            <w:tcBorders>
              <w:top w:val="nil"/>
              <w:left w:val="nil"/>
              <w:bottom w:val="single" w:sz="4" w:space="0" w:color="auto"/>
              <w:right w:val="single" w:sz="4" w:space="0" w:color="auto"/>
            </w:tcBorders>
            <w:shd w:val="clear" w:color="auto" w:fill="auto"/>
            <w:noWrap/>
            <w:vAlign w:val="center"/>
            <w:hideMark/>
          </w:tcPr>
          <w:p w:rsidR="003A790E" w:rsidRPr="00941FA7" w:rsidRDefault="003A790E" w:rsidP="003A790E">
            <w:pPr>
              <w:ind w:left="0" w:firstLine="0"/>
              <w:jc w:val="right"/>
              <w:rPr>
                <w:rFonts w:eastAsia="Times New Roman" w:cs="Calibri"/>
                <w:color w:val="000000"/>
                <w:lang w:val="fr-FR" w:eastAsia="en-GB"/>
              </w:rPr>
            </w:pPr>
            <w:r w:rsidRPr="00941FA7">
              <w:rPr>
                <w:rFonts w:eastAsia="Times New Roman" w:cs="Calibri"/>
                <w:color w:val="000000"/>
                <w:lang w:val="fr-FR" w:eastAsia="en-GB"/>
              </w:rPr>
              <w:t>762</w:t>
            </w:r>
          </w:p>
        </w:tc>
      </w:tr>
      <w:tr w:rsidR="003A790E" w:rsidRPr="00941FA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3A790E" w:rsidRPr="00941FA7" w:rsidRDefault="0015753C" w:rsidP="00AC6AE5">
            <w:pPr>
              <w:ind w:left="0" w:firstLine="0"/>
              <w:rPr>
                <w:rFonts w:eastAsia="Times New Roman" w:cs="Calibri"/>
                <w:lang w:val="fr-FR" w:eastAsia="en-GB"/>
              </w:rPr>
            </w:pPr>
            <w:r w:rsidRPr="00941FA7">
              <w:rPr>
                <w:rFonts w:eastAsia="Times New Roman" w:cs="Calibri"/>
                <w:lang w:val="fr-FR" w:eastAsia="en-GB"/>
              </w:rPr>
              <w:t xml:space="preserve">Utilisation des économies </w:t>
            </w:r>
            <w:r w:rsidR="00AC6AE5" w:rsidRPr="00941FA7">
              <w:rPr>
                <w:rFonts w:eastAsia="Times New Roman" w:cs="Calibri"/>
                <w:lang w:val="fr-FR" w:eastAsia="en-GB"/>
              </w:rPr>
              <w:t xml:space="preserve">réalisées </w:t>
            </w:r>
            <w:r w:rsidR="00653DEF" w:rsidRPr="00941FA7">
              <w:rPr>
                <w:rFonts w:eastAsia="Times New Roman" w:cs="Calibri"/>
                <w:lang w:val="fr-FR" w:eastAsia="en-GB"/>
              </w:rPr>
              <w:t>sur le budget</w:t>
            </w:r>
            <w:r w:rsidRPr="00941FA7">
              <w:rPr>
                <w:rFonts w:eastAsia="Times New Roman" w:cs="Calibri"/>
                <w:lang w:val="fr-FR" w:eastAsia="en-GB"/>
              </w:rPr>
              <w:t xml:space="preserve"> 2020 approuvée par l’ExCOP3 (pour combler des déficits</w:t>
            </w:r>
            <w:r w:rsidR="00AC6AE5" w:rsidRPr="00941FA7">
              <w:rPr>
                <w:rFonts w:eastAsia="Times New Roman" w:cs="Calibri"/>
                <w:lang w:val="fr-FR" w:eastAsia="en-GB"/>
              </w:rPr>
              <w:t xml:space="preserve"> et provisionner les impayés</w:t>
            </w:r>
            <w:r w:rsidRPr="00941FA7">
              <w:rPr>
                <w:rFonts w:eastAsia="Times New Roman" w:cs="Calibri"/>
                <w:lang w:val="fr-FR"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3A790E" w:rsidRPr="00941FA7" w:rsidRDefault="003A790E" w:rsidP="003A790E">
            <w:pPr>
              <w:ind w:left="0" w:firstLine="0"/>
              <w:jc w:val="right"/>
              <w:rPr>
                <w:rFonts w:eastAsia="Times New Roman" w:cs="Calibri"/>
                <w:color w:val="000000"/>
                <w:lang w:val="fr-FR" w:eastAsia="en-GB"/>
              </w:rPr>
            </w:pPr>
            <w:r w:rsidRPr="00941FA7">
              <w:rPr>
                <w:rFonts w:eastAsia="Times New Roman" w:cs="Calibri"/>
                <w:color w:val="000000"/>
                <w:lang w:val="fr-FR" w:eastAsia="en-GB"/>
              </w:rPr>
              <w:t>196</w:t>
            </w:r>
          </w:p>
        </w:tc>
      </w:tr>
      <w:tr w:rsidR="003A790E" w:rsidRPr="00941FA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3A790E" w:rsidRPr="00941FA7" w:rsidRDefault="0015753C" w:rsidP="0015753C">
            <w:pPr>
              <w:ind w:left="0" w:firstLine="0"/>
              <w:rPr>
                <w:rFonts w:eastAsia="Times New Roman" w:cs="Calibri"/>
                <w:color w:val="000000"/>
                <w:lang w:val="fr-FR" w:eastAsia="en-GB"/>
              </w:rPr>
            </w:pPr>
            <w:r w:rsidRPr="00941FA7">
              <w:rPr>
                <w:rFonts w:eastAsia="Times New Roman" w:cs="Calibri"/>
                <w:color w:val="000000"/>
                <w:lang w:val="fr-FR" w:eastAsia="en-GB"/>
              </w:rPr>
              <w:t>Soldes préengagés (t</w:t>
            </w:r>
            <w:r w:rsidR="003A790E" w:rsidRPr="00941FA7">
              <w:rPr>
                <w:rFonts w:eastAsia="Times New Roman" w:cs="Calibri"/>
                <w:color w:val="000000"/>
                <w:lang w:val="fr-FR" w:eastAsia="en-GB"/>
              </w:rPr>
              <w:t>able</w:t>
            </w:r>
            <w:r w:rsidRPr="00941FA7">
              <w:rPr>
                <w:rFonts w:eastAsia="Times New Roman" w:cs="Calibri"/>
                <w:color w:val="000000"/>
                <w:lang w:val="fr-FR" w:eastAsia="en-GB"/>
              </w:rPr>
              <w:t>au</w:t>
            </w:r>
            <w:r w:rsidR="003A790E" w:rsidRPr="00941FA7">
              <w:rPr>
                <w:rFonts w:eastAsia="Times New Roman" w:cs="Calibri"/>
                <w:color w:val="000000"/>
                <w:lang w:val="fr-FR" w:eastAsia="en-GB"/>
              </w:rPr>
              <w:t xml:space="preserve"> 1)</w:t>
            </w:r>
          </w:p>
        </w:tc>
        <w:tc>
          <w:tcPr>
            <w:tcW w:w="1701" w:type="dxa"/>
            <w:tcBorders>
              <w:top w:val="nil"/>
              <w:left w:val="nil"/>
              <w:bottom w:val="single" w:sz="4" w:space="0" w:color="auto"/>
              <w:right w:val="single" w:sz="4" w:space="0" w:color="auto"/>
            </w:tcBorders>
            <w:shd w:val="clear" w:color="auto" w:fill="auto"/>
            <w:noWrap/>
            <w:vAlign w:val="center"/>
            <w:hideMark/>
          </w:tcPr>
          <w:p w:rsidR="003A790E" w:rsidRPr="00941FA7" w:rsidRDefault="003A790E" w:rsidP="003A790E">
            <w:pPr>
              <w:ind w:left="0" w:firstLine="0"/>
              <w:jc w:val="right"/>
              <w:rPr>
                <w:rFonts w:eastAsia="Times New Roman" w:cs="Calibri"/>
                <w:color w:val="000000"/>
                <w:lang w:val="fr-FR" w:eastAsia="en-GB"/>
              </w:rPr>
            </w:pPr>
            <w:r w:rsidRPr="00941FA7">
              <w:rPr>
                <w:rFonts w:eastAsia="Times New Roman" w:cs="Calibri"/>
                <w:color w:val="000000"/>
                <w:lang w:val="fr-FR" w:eastAsia="en-GB"/>
              </w:rPr>
              <w:t xml:space="preserve">                       767 </w:t>
            </w:r>
          </w:p>
        </w:tc>
      </w:tr>
      <w:tr w:rsidR="003A790E" w:rsidRPr="00941FA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3A790E" w:rsidRPr="00941FA7" w:rsidRDefault="002052AE" w:rsidP="002052AE">
            <w:pPr>
              <w:ind w:left="0" w:firstLine="0"/>
              <w:rPr>
                <w:rFonts w:eastAsia="Times New Roman" w:cs="Calibri"/>
                <w:color w:val="000000"/>
                <w:lang w:val="fr-FR" w:eastAsia="en-GB"/>
              </w:rPr>
            </w:pPr>
            <w:r w:rsidRPr="00941FA7">
              <w:rPr>
                <w:rFonts w:cs="Calibri"/>
                <w:lang w:val="fr-FR"/>
              </w:rPr>
              <w:t>« </w:t>
            </w:r>
            <w:r w:rsidR="006039B6" w:rsidRPr="00941FA7">
              <w:rPr>
                <w:rFonts w:cs="Calibri"/>
                <w:lang w:val="fr-FR"/>
              </w:rPr>
              <w:t>Budget 2020 - SC58 et économies non engagées reportées</w:t>
            </w:r>
            <w:r w:rsidR="00AC6AE5" w:rsidRPr="00941FA7">
              <w:rPr>
                <w:rFonts w:cs="Calibri"/>
                <w:lang w:val="fr-FR"/>
              </w:rPr>
              <w:t> </w:t>
            </w:r>
            <w:r w:rsidRPr="00941FA7">
              <w:rPr>
                <w:rFonts w:cs="Calibri"/>
                <w:lang w:val="fr-FR"/>
              </w:rPr>
              <w:t>»</w:t>
            </w:r>
          </w:p>
        </w:tc>
        <w:tc>
          <w:tcPr>
            <w:tcW w:w="1701" w:type="dxa"/>
            <w:tcBorders>
              <w:top w:val="nil"/>
              <w:left w:val="nil"/>
              <w:bottom w:val="single" w:sz="4" w:space="0" w:color="auto"/>
              <w:right w:val="single" w:sz="4" w:space="0" w:color="auto"/>
            </w:tcBorders>
            <w:shd w:val="clear" w:color="auto" w:fill="auto"/>
            <w:noWrap/>
            <w:vAlign w:val="center"/>
            <w:hideMark/>
          </w:tcPr>
          <w:p w:rsidR="003A790E" w:rsidRPr="00941FA7" w:rsidRDefault="00E04803" w:rsidP="00A260F0">
            <w:pPr>
              <w:ind w:left="0" w:firstLine="0"/>
              <w:jc w:val="right"/>
              <w:rPr>
                <w:rFonts w:eastAsia="Times New Roman" w:cs="Calibri"/>
                <w:color w:val="000000"/>
                <w:lang w:val="fr-FR" w:eastAsia="en-GB"/>
              </w:rPr>
            </w:pPr>
            <w:r w:rsidRPr="00941FA7">
              <w:rPr>
                <w:rFonts w:eastAsia="Times New Roman" w:cs="Calibri"/>
                <w:color w:val="000000"/>
                <w:lang w:val="fr-FR" w:eastAsia="en-GB"/>
              </w:rPr>
              <w:t>40</w:t>
            </w:r>
            <w:r w:rsidR="00987E38" w:rsidRPr="00941FA7">
              <w:rPr>
                <w:rFonts w:eastAsia="Times New Roman" w:cs="Calibri"/>
                <w:color w:val="000000"/>
                <w:lang w:val="fr-FR" w:eastAsia="en-GB"/>
              </w:rPr>
              <w:t>6,</w:t>
            </w:r>
            <w:r w:rsidR="00723444" w:rsidRPr="00941FA7">
              <w:rPr>
                <w:rFonts w:eastAsia="Times New Roman" w:cs="Calibri"/>
                <w:color w:val="000000"/>
                <w:lang w:val="fr-FR" w:eastAsia="en-GB"/>
              </w:rPr>
              <w:t>5</w:t>
            </w:r>
          </w:p>
        </w:tc>
      </w:tr>
      <w:tr w:rsidR="00613D8C" w:rsidRPr="00941FA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tcPr>
          <w:p w:rsidR="00613D8C" w:rsidRPr="00941FA7" w:rsidRDefault="00AC6AE5" w:rsidP="00AC6AE5">
            <w:pPr>
              <w:ind w:left="0" w:firstLine="0"/>
              <w:rPr>
                <w:rFonts w:eastAsia="Times New Roman" w:cs="Calibri"/>
                <w:color w:val="000000"/>
                <w:lang w:val="fr-FR" w:eastAsia="en-GB"/>
              </w:rPr>
            </w:pPr>
            <w:r w:rsidRPr="00941FA7">
              <w:rPr>
                <w:rFonts w:eastAsia="Times New Roman" w:cs="Calibri"/>
                <w:color w:val="000000"/>
                <w:lang w:val="fr-FR" w:eastAsia="en-GB"/>
              </w:rPr>
              <w:t>Recrutement du prochain Secrétaire général approuvé en avril 2022 par le SC en</w:t>
            </w:r>
            <w:r w:rsidR="00987E38" w:rsidRPr="00941FA7">
              <w:rPr>
                <w:rFonts w:eastAsia="Times New Roman" w:cs="Calibri"/>
                <w:color w:val="000000"/>
                <w:lang w:val="fr-FR" w:eastAsia="en-GB"/>
              </w:rPr>
              <w:t xml:space="preserve"> intersessions </w:t>
            </w:r>
          </w:p>
        </w:tc>
        <w:tc>
          <w:tcPr>
            <w:tcW w:w="1701" w:type="dxa"/>
            <w:tcBorders>
              <w:top w:val="nil"/>
              <w:left w:val="nil"/>
              <w:bottom w:val="single" w:sz="4" w:space="0" w:color="auto"/>
              <w:right w:val="single" w:sz="4" w:space="0" w:color="auto"/>
            </w:tcBorders>
            <w:shd w:val="clear" w:color="auto" w:fill="auto"/>
            <w:noWrap/>
            <w:vAlign w:val="center"/>
          </w:tcPr>
          <w:p w:rsidR="00613D8C" w:rsidRPr="00941FA7" w:rsidRDefault="00987E38" w:rsidP="003A790E">
            <w:pPr>
              <w:ind w:left="0" w:firstLine="0"/>
              <w:jc w:val="right"/>
              <w:rPr>
                <w:rFonts w:eastAsia="Times New Roman" w:cs="Calibri"/>
                <w:color w:val="000000"/>
                <w:lang w:val="fr-FR" w:eastAsia="en-GB"/>
              </w:rPr>
            </w:pPr>
            <w:r w:rsidRPr="00941FA7">
              <w:rPr>
                <w:rFonts w:eastAsia="Times New Roman" w:cs="Calibri"/>
                <w:color w:val="000000"/>
                <w:lang w:val="fr-FR" w:eastAsia="en-GB"/>
              </w:rPr>
              <w:t>89,</w:t>
            </w:r>
            <w:r w:rsidR="00723444" w:rsidRPr="00941FA7">
              <w:rPr>
                <w:rFonts w:eastAsia="Times New Roman" w:cs="Calibri"/>
                <w:color w:val="000000"/>
                <w:lang w:val="fr-FR" w:eastAsia="en-GB"/>
              </w:rPr>
              <w:t>5</w:t>
            </w:r>
          </w:p>
        </w:tc>
      </w:tr>
      <w:tr w:rsidR="003A790E" w:rsidRPr="00941FA7" w:rsidTr="003A790E">
        <w:trPr>
          <w:trHeight w:val="375"/>
        </w:trPr>
        <w:tc>
          <w:tcPr>
            <w:tcW w:w="7225" w:type="dxa"/>
            <w:tcBorders>
              <w:top w:val="nil"/>
              <w:left w:val="single" w:sz="4" w:space="0" w:color="auto"/>
              <w:bottom w:val="single" w:sz="4" w:space="0" w:color="auto"/>
              <w:right w:val="single" w:sz="4" w:space="0" w:color="auto"/>
            </w:tcBorders>
            <w:shd w:val="clear" w:color="000000" w:fill="DDEBF7"/>
            <w:vAlign w:val="center"/>
            <w:hideMark/>
          </w:tcPr>
          <w:p w:rsidR="003A790E" w:rsidRPr="00941FA7" w:rsidRDefault="003A790E" w:rsidP="00987E38">
            <w:pPr>
              <w:ind w:left="0" w:firstLine="0"/>
              <w:rPr>
                <w:rFonts w:eastAsia="Times New Roman" w:cs="Calibri"/>
                <w:b/>
                <w:bCs/>
                <w:color w:val="000000"/>
                <w:lang w:val="fr-FR" w:eastAsia="en-GB"/>
              </w:rPr>
            </w:pPr>
            <w:r w:rsidRPr="00941FA7">
              <w:rPr>
                <w:rFonts w:eastAsia="Times New Roman" w:cs="Calibri"/>
                <w:b/>
                <w:bCs/>
                <w:color w:val="000000"/>
                <w:lang w:val="fr-FR" w:eastAsia="en-GB"/>
              </w:rPr>
              <w:t xml:space="preserve">(II) </w:t>
            </w:r>
            <w:r w:rsidR="00987E38" w:rsidRPr="00941FA7">
              <w:rPr>
                <w:rFonts w:eastAsia="Times New Roman" w:cs="Calibri"/>
                <w:b/>
                <w:bCs/>
                <w:color w:val="000000"/>
                <w:lang w:val="fr-FR" w:eastAsia="en-GB"/>
              </w:rPr>
              <w:t xml:space="preserve">Total de la réserve approuvée et préengagée </w:t>
            </w:r>
          </w:p>
        </w:tc>
        <w:tc>
          <w:tcPr>
            <w:tcW w:w="1701" w:type="dxa"/>
            <w:tcBorders>
              <w:top w:val="nil"/>
              <w:left w:val="nil"/>
              <w:bottom w:val="single" w:sz="4" w:space="0" w:color="auto"/>
              <w:right w:val="single" w:sz="4" w:space="0" w:color="auto"/>
            </w:tcBorders>
            <w:shd w:val="clear" w:color="000000" w:fill="DBE5F1"/>
            <w:noWrap/>
            <w:vAlign w:val="center"/>
            <w:hideMark/>
          </w:tcPr>
          <w:p w:rsidR="003A790E" w:rsidRPr="00941FA7" w:rsidRDefault="00987E38" w:rsidP="003A790E">
            <w:pPr>
              <w:ind w:left="0" w:firstLine="0"/>
              <w:jc w:val="right"/>
              <w:rPr>
                <w:rFonts w:eastAsia="Times New Roman" w:cs="Calibri"/>
                <w:b/>
                <w:bCs/>
                <w:color w:val="000000"/>
                <w:lang w:val="fr-FR" w:eastAsia="en-GB"/>
              </w:rPr>
            </w:pPr>
            <w:r w:rsidRPr="00941FA7">
              <w:rPr>
                <w:rFonts w:eastAsia="Times New Roman" w:cs="Calibri"/>
                <w:b/>
                <w:bCs/>
                <w:color w:val="000000"/>
                <w:lang w:val="fr-FR" w:eastAsia="en-GB"/>
              </w:rPr>
              <w:t xml:space="preserve">2 </w:t>
            </w:r>
            <w:r w:rsidR="00613D8C" w:rsidRPr="00941FA7">
              <w:rPr>
                <w:rFonts w:eastAsia="Times New Roman" w:cs="Calibri"/>
                <w:b/>
                <w:bCs/>
                <w:color w:val="000000"/>
                <w:lang w:val="fr-FR" w:eastAsia="en-GB"/>
              </w:rPr>
              <w:t>221</w:t>
            </w:r>
          </w:p>
        </w:tc>
      </w:tr>
      <w:tr w:rsidR="003A790E" w:rsidRPr="00941FA7" w:rsidTr="003A790E">
        <w:trPr>
          <w:trHeight w:val="495"/>
        </w:trPr>
        <w:tc>
          <w:tcPr>
            <w:tcW w:w="7225" w:type="dxa"/>
            <w:tcBorders>
              <w:top w:val="nil"/>
              <w:left w:val="single" w:sz="4" w:space="0" w:color="auto"/>
              <w:bottom w:val="single" w:sz="4" w:space="0" w:color="auto"/>
              <w:right w:val="single" w:sz="4" w:space="0" w:color="auto"/>
            </w:tcBorders>
            <w:shd w:val="clear" w:color="000000" w:fill="9BC2E6"/>
            <w:vAlign w:val="center"/>
            <w:hideMark/>
          </w:tcPr>
          <w:p w:rsidR="003A790E" w:rsidRPr="00941FA7" w:rsidRDefault="003A790E" w:rsidP="00AC6AE5">
            <w:pPr>
              <w:ind w:left="0" w:firstLine="0"/>
              <w:rPr>
                <w:rFonts w:eastAsia="Times New Roman" w:cs="Calibri"/>
                <w:b/>
                <w:bCs/>
                <w:color w:val="000000"/>
                <w:lang w:val="fr-FR" w:eastAsia="en-GB"/>
              </w:rPr>
            </w:pPr>
            <w:r w:rsidRPr="00941FA7">
              <w:rPr>
                <w:rFonts w:eastAsia="Times New Roman" w:cs="Calibri"/>
                <w:b/>
                <w:bCs/>
                <w:color w:val="000000"/>
                <w:lang w:val="fr-FR" w:eastAsia="en-GB"/>
              </w:rPr>
              <w:t xml:space="preserve">(III=I-II) </w:t>
            </w:r>
            <w:r w:rsidR="00AC6AE5" w:rsidRPr="00941FA7">
              <w:rPr>
                <w:rFonts w:eastAsia="Times New Roman" w:cs="Calibri"/>
                <w:b/>
                <w:bCs/>
                <w:color w:val="000000"/>
                <w:lang w:val="fr-FR" w:eastAsia="en-GB"/>
              </w:rPr>
              <w:t>E</w:t>
            </w:r>
            <w:r w:rsidR="00987E38" w:rsidRPr="00941FA7">
              <w:rPr>
                <w:rFonts w:eastAsia="Times New Roman" w:cs="Calibri"/>
                <w:b/>
                <w:bCs/>
                <w:color w:val="000000"/>
                <w:lang w:val="fr-FR" w:eastAsia="en-GB"/>
              </w:rPr>
              <w:t xml:space="preserve">xcédent administratif </w:t>
            </w:r>
            <w:r w:rsidR="00AC6AE5" w:rsidRPr="00941FA7">
              <w:rPr>
                <w:rFonts w:eastAsia="Times New Roman" w:cs="Calibri"/>
                <w:b/>
                <w:bCs/>
                <w:color w:val="000000"/>
                <w:lang w:val="fr-FR" w:eastAsia="en-GB"/>
              </w:rPr>
              <w:t>2021 moins</w:t>
            </w:r>
            <w:r w:rsidR="00987E38" w:rsidRPr="00941FA7">
              <w:rPr>
                <w:rFonts w:eastAsia="Times New Roman" w:cs="Calibri"/>
                <w:b/>
                <w:bCs/>
                <w:color w:val="000000"/>
                <w:lang w:val="fr-FR" w:eastAsia="en-GB"/>
              </w:rPr>
              <w:t xml:space="preserve"> réserve approuvée et préengagée </w:t>
            </w:r>
            <w:r w:rsidRPr="00941FA7">
              <w:rPr>
                <w:rFonts w:eastAsia="Times New Roman" w:cs="Calibri"/>
                <w:b/>
                <w:bCs/>
                <w:color w:val="000000"/>
                <w:lang w:val="fr-FR" w:eastAsia="en-GB"/>
              </w:rPr>
              <w:t xml:space="preserve">- </w:t>
            </w:r>
            <w:r w:rsidR="00987E38" w:rsidRPr="00941FA7">
              <w:rPr>
                <w:rFonts w:eastAsia="Times New Roman" w:cs="Calibri"/>
                <w:b/>
                <w:bCs/>
                <w:color w:val="000000"/>
                <w:lang w:val="fr-FR" w:eastAsia="en-GB"/>
              </w:rPr>
              <w:t>à affecter</w:t>
            </w:r>
            <w:r w:rsidRPr="00941FA7">
              <w:rPr>
                <w:rFonts w:eastAsia="Times New Roman" w:cs="Calibri"/>
                <w:b/>
                <w:bCs/>
                <w:color w:val="000000"/>
                <w:lang w:val="fr-FR" w:eastAsia="en-GB"/>
              </w:rPr>
              <w:t xml:space="preserve"> </w:t>
            </w:r>
          </w:p>
        </w:tc>
        <w:tc>
          <w:tcPr>
            <w:tcW w:w="1701" w:type="dxa"/>
            <w:tcBorders>
              <w:top w:val="nil"/>
              <w:left w:val="nil"/>
              <w:bottom w:val="single" w:sz="4" w:space="0" w:color="auto"/>
              <w:right w:val="single" w:sz="4" w:space="0" w:color="auto"/>
            </w:tcBorders>
            <w:shd w:val="clear" w:color="000000" w:fill="9BC2E6"/>
            <w:noWrap/>
            <w:vAlign w:val="center"/>
            <w:hideMark/>
          </w:tcPr>
          <w:p w:rsidR="003A790E" w:rsidRPr="00941FA7" w:rsidRDefault="00987E38" w:rsidP="003A790E">
            <w:pPr>
              <w:ind w:left="0" w:firstLine="0"/>
              <w:jc w:val="right"/>
              <w:rPr>
                <w:rFonts w:eastAsia="Times New Roman" w:cs="Calibri"/>
                <w:b/>
                <w:bCs/>
                <w:color w:val="000000"/>
                <w:lang w:val="fr-FR" w:eastAsia="en-GB"/>
              </w:rPr>
            </w:pPr>
            <w:r w:rsidRPr="00941FA7">
              <w:rPr>
                <w:rFonts w:eastAsia="Times New Roman" w:cs="Calibri"/>
                <w:b/>
                <w:bCs/>
                <w:color w:val="000000"/>
                <w:lang w:val="fr-FR" w:eastAsia="en-GB"/>
              </w:rPr>
              <w:t xml:space="preserve">1 </w:t>
            </w:r>
            <w:r w:rsidR="00613D8C" w:rsidRPr="00941FA7">
              <w:rPr>
                <w:rFonts w:eastAsia="Times New Roman" w:cs="Calibri"/>
                <w:b/>
                <w:bCs/>
                <w:color w:val="000000"/>
                <w:lang w:val="fr-FR" w:eastAsia="en-GB"/>
              </w:rPr>
              <w:t>51</w:t>
            </w:r>
            <w:r w:rsidR="00E04803" w:rsidRPr="00941FA7">
              <w:rPr>
                <w:rFonts w:eastAsia="Times New Roman" w:cs="Calibri"/>
                <w:b/>
                <w:bCs/>
                <w:color w:val="000000"/>
                <w:lang w:val="fr-FR" w:eastAsia="en-GB"/>
              </w:rPr>
              <w:t>7</w:t>
            </w:r>
          </w:p>
        </w:tc>
      </w:tr>
    </w:tbl>
    <w:p w:rsidR="006F72F5" w:rsidRDefault="006F72F5" w:rsidP="00DA6FAA">
      <w:pPr>
        <w:rPr>
          <w:lang w:val="fr-FR"/>
        </w:rPr>
      </w:pPr>
    </w:p>
    <w:p w:rsidR="00761962" w:rsidRPr="00941FA7" w:rsidRDefault="00761962" w:rsidP="00DA6FAA">
      <w:pPr>
        <w:rPr>
          <w:lang w:val="fr-FR"/>
        </w:rPr>
      </w:pPr>
    </w:p>
    <w:p w:rsidR="0049688C" w:rsidRPr="00941FA7" w:rsidRDefault="004D0989" w:rsidP="00DA6FAA">
      <w:pPr>
        <w:rPr>
          <w:lang w:val="fr-FR"/>
        </w:rPr>
      </w:pPr>
      <w:r w:rsidRPr="00941FA7">
        <w:rPr>
          <w:lang w:val="fr-FR"/>
        </w:rPr>
        <w:t>24</w:t>
      </w:r>
      <w:r w:rsidR="00374172" w:rsidRPr="00941FA7">
        <w:rPr>
          <w:lang w:val="fr-FR"/>
        </w:rPr>
        <w:t>.</w:t>
      </w:r>
      <w:r w:rsidR="00DC34DB" w:rsidRPr="00941FA7">
        <w:rPr>
          <w:lang w:val="fr-FR"/>
        </w:rPr>
        <w:tab/>
      </w:r>
      <w:r w:rsidR="00987E38" w:rsidRPr="00941FA7">
        <w:rPr>
          <w:lang w:val="fr-FR"/>
        </w:rPr>
        <w:t xml:space="preserve">Le Secrétariat suggère plusieurs utilisations possibles des économies réalisées dans la section ci-dessous sur le « Budget administratif 2022 » et sa sous-section sur « Utilisation possible de </w:t>
      </w:r>
      <w:r w:rsidR="00AC6AE5" w:rsidRPr="00941FA7">
        <w:rPr>
          <w:lang w:val="fr-FR"/>
        </w:rPr>
        <w:t>des économies réalisées en</w:t>
      </w:r>
      <w:r w:rsidR="00987E38" w:rsidRPr="00941FA7">
        <w:rPr>
          <w:lang w:val="fr-FR"/>
        </w:rPr>
        <w:t xml:space="preserve"> 2021 »</w:t>
      </w:r>
      <w:r w:rsidR="00A03E09" w:rsidRPr="00941FA7">
        <w:rPr>
          <w:lang w:val="fr-FR"/>
        </w:rPr>
        <w:t>.</w:t>
      </w:r>
    </w:p>
    <w:p w:rsidR="003F3307" w:rsidRPr="00941FA7" w:rsidRDefault="003F3307" w:rsidP="00162710">
      <w:pPr>
        <w:ind w:left="0" w:firstLine="0"/>
        <w:rPr>
          <w:lang w:val="fr-FR"/>
        </w:rPr>
      </w:pPr>
    </w:p>
    <w:p w:rsidR="00FF0082" w:rsidRPr="00941FA7" w:rsidRDefault="00987E38" w:rsidP="00162710">
      <w:pPr>
        <w:pStyle w:val="NoSpacing"/>
        <w:keepNext/>
        <w:rPr>
          <w:b/>
          <w:lang w:val="fr-FR"/>
        </w:rPr>
      </w:pPr>
      <w:r w:rsidRPr="00941FA7">
        <w:rPr>
          <w:b/>
          <w:lang w:val="fr-FR"/>
        </w:rPr>
        <w:t>Résultats pour 2021 : budget non administratif et contributions volontaires</w:t>
      </w:r>
      <w:r w:rsidR="00FF0082" w:rsidRPr="00941FA7">
        <w:rPr>
          <w:b/>
          <w:lang w:val="fr-FR"/>
        </w:rPr>
        <w:t xml:space="preserve"> </w:t>
      </w:r>
    </w:p>
    <w:p w:rsidR="00C73471" w:rsidRPr="00941FA7" w:rsidRDefault="00C73471" w:rsidP="00162710">
      <w:pPr>
        <w:pStyle w:val="NoSpacing"/>
        <w:keepNext/>
        <w:rPr>
          <w:b/>
          <w:lang w:val="fr-FR"/>
        </w:rPr>
      </w:pPr>
    </w:p>
    <w:p w:rsidR="002A1D70" w:rsidRPr="00941FA7" w:rsidRDefault="00523B6B" w:rsidP="00464D2B">
      <w:pPr>
        <w:rPr>
          <w:lang w:val="fr-FR"/>
        </w:rPr>
      </w:pPr>
      <w:r w:rsidRPr="00941FA7">
        <w:rPr>
          <w:lang w:val="fr-FR"/>
        </w:rPr>
        <w:t>2</w:t>
      </w:r>
      <w:r w:rsidR="004D0989" w:rsidRPr="00941FA7">
        <w:rPr>
          <w:lang w:val="fr-FR"/>
        </w:rPr>
        <w:t>5</w:t>
      </w:r>
      <w:r w:rsidR="00112F62" w:rsidRPr="00941FA7">
        <w:rPr>
          <w:lang w:val="fr-FR"/>
        </w:rPr>
        <w:t>.</w:t>
      </w:r>
      <w:r w:rsidR="00112F62" w:rsidRPr="00941FA7">
        <w:rPr>
          <w:lang w:val="fr-FR"/>
        </w:rPr>
        <w:tab/>
      </w:r>
      <w:r w:rsidR="009A7E99" w:rsidRPr="00941FA7">
        <w:rPr>
          <w:lang w:val="fr-FR"/>
        </w:rPr>
        <w:t>Ainsi qu’il est indiqué</w:t>
      </w:r>
      <w:r w:rsidR="00987E38" w:rsidRPr="00941FA7">
        <w:rPr>
          <w:lang w:val="fr-FR"/>
        </w:rPr>
        <w:t xml:space="preserve"> à l’annexe 1, section II, </w:t>
      </w:r>
      <w:r w:rsidR="00987E38" w:rsidRPr="00941FA7">
        <w:rPr>
          <w:i/>
          <w:lang w:val="fr-FR"/>
        </w:rPr>
        <w:t>État des recettes et des dépenses pour l’exercice clos au 31 décembre 202</w:t>
      </w:r>
      <w:r w:rsidR="0064030F" w:rsidRPr="00941FA7">
        <w:rPr>
          <w:i/>
          <w:lang w:val="fr-FR"/>
        </w:rPr>
        <w:t>1</w:t>
      </w:r>
      <w:r w:rsidR="00987E38" w:rsidRPr="00941FA7">
        <w:rPr>
          <w:lang w:val="fr-FR"/>
        </w:rPr>
        <w:t>,</w:t>
      </w:r>
      <w:r w:rsidR="0064030F" w:rsidRPr="00941FA7">
        <w:rPr>
          <w:lang w:val="fr-FR"/>
        </w:rPr>
        <w:t xml:space="preserve"> </w:t>
      </w:r>
      <w:r w:rsidR="00987E38" w:rsidRPr="00941FA7">
        <w:rPr>
          <w:lang w:val="fr-FR"/>
        </w:rPr>
        <w:t xml:space="preserve">des recettes de projets </w:t>
      </w:r>
      <w:r w:rsidR="00CB19D4" w:rsidRPr="00941FA7">
        <w:rPr>
          <w:lang w:val="fr-FR"/>
        </w:rPr>
        <w:t>pour un montant de</w:t>
      </w:r>
      <w:r w:rsidR="00987E38" w:rsidRPr="00941FA7">
        <w:rPr>
          <w:lang w:val="fr-FR"/>
        </w:rPr>
        <w:t xml:space="preserve"> </w:t>
      </w:r>
      <w:r w:rsidR="00C06F03" w:rsidRPr="00941FA7">
        <w:rPr>
          <w:lang w:val="fr-FR"/>
        </w:rPr>
        <w:t>462</w:t>
      </w:r>
      <w:r w:rsidR="0064030F" w:rsidRPr="00941FA7">
        <w:rPr>
          <w:lang w:val="fr-FR"/>
        </w:rPr>
        <w:t> 000</w:t>
      </w:r>
      <w:r w:rsidR="00C06F03" w:rsidRPr="00941FA7">
        <w:rPr>
          <w:lang w:val="fr-FR"/>
        </w:rPr>
        <w:t xml:space="preserve"> </w:t>
      </w:r>
      <w:r w:rsidR="0064030F" w:rsidRPr="00941FA7">
        <w:rPr>
          <w:lang w:val="fr-FR"/>
        </w:rPr>
        <w:t xml:space="preserve">CHF et </w:t>
      </w:r>
      <w:r w:rsidR="00CB19D4" w:rsidRPr="00941FA7">
        <w:rPr>
          <w:lang w:val="fr-FR"/>
        </w:rPr>
        <w:t xml:space="preserve">des </w:t>
      </w:r>
      <w:r w:rsidR="0064030F" w:rsidRPr="00941FA7">
        <w:rPr>
          <w:lang w:val="fr-FR"/>
        </w:rPr>
        <w:t>contributions volontaires de la Région Afrique</w:t>
      </w:r>
      <w:r w:rsidR="0064030F" w:rsidRPr="00941FA7">
        <w:rPr>
          <w:rStyle w:val="CommentReference"/>
          <w:lang w:val="fr-FR"/>
        </w:rPr>
        <w:t xml:space="preserve"> </w:t>
      </w:r>
      <w:r w:rsidR="00301DF1" w:rsidRPr="00941FA7">
        <w:rPr>
          <w:rStyle w:val="FootnoteReference"/>
          <w:lang w:val="fr-FR"/>
        </w:rPr>
        <w:footnoteReference w:id="4"/>
      </w:r>
      <w:r w:rsidR="002A1D70" w:rsidRPr="00941FA7">
        <w:rPr>
          <w:lang w:val="fr-FR"/>
        </w:rPr>
        <w:t xml:space="preserve"> </w:t>
      </w:r>
      <w:r w:rsidR="00CB19D4" w:rsidRPr="00941FA7">
        <w:rPr>
          <w:lang w:val="fr-FR"/>
        </w:rPr>
        <w:t>pour un montant de</w:t>
      </w:r>
      <w:r w:rsidR="002A1D70" w:rsidRPr="00941FA7">
        <w:rPr>
          <w:lang w:val="fr-FR"/>
        </w:rPr>
        <w:t xml:space="preserve"> </w:t>
      </w:r>
      <w:r w:rsidR="00C06F03" w:rsidRPr="00941FA7">
        <w:rPr>
          <w:lang w:val="fr-FR"/>
        </w:rPr>
        <w:t>11</w:t>
      </w:r>
      <w:r w:rsidR="0064030F" w:rsidRPr="00941FA7">
        <w:rPr>
          <w:lang w:val="fr-FR"/>
        </w:rPr>
        <w:t> 000</w:t>
      </w:r>
      <w:r w:rsidR="00C06F03" w:rsidRPr="00941FA7">
        <w:rPr>
          <w:lang w:val="fr-FR"/>
        </w:rPr>
        <w:t xml:space="preserve"> </w:t>
      </w:r>
      <w:r w:rsidR="0064030F" w:rsidRPr="00941FA7">
        <w:rPr>
          <w:lang w:val="fr-FR"/>
        </w:rPr>
        <w:t>CHF ont été versées en 2021</w:t>
      </w:r>
      <w:r w:rsidR="00EF5C9D" w:rsidRPr="00941FA7">
        <w:rPr>
          <w:rStyle w:val="CommentReference"/>
          <w:lang w:val="fr-FR"/>
        </w:rPr>
        <w:t>,</w:t>
      </w:r>
      <w:r w:rsidR="002A1D70" w:rsidRPr="00941FA7">
        <w:rPr>
          <w:lang w:val="fr-FR"/>
        </w:rPr>
        <w:t xml:space="preserve"> </w:t>
      </w:r>
      <w:r w:rsidR="0064030F" w:rsidRPr="00941FA7">
        <w:rPr>
          <w:lang w:val="fr-FR"/>
        </w:rPr>
        <w:t xml:space="preserve">pour un total de recettes provenant de contributions volontaires non administratives de </w:t>
      </w:r>
      <w:r w:rsidR="00C06F03" w:rsidRPr="00941FA7">
        <w:rPr>
          <w:lang w:val="fr-FR"/>
        </w:rPr>
        <w:t>473</w:t>
      </w:r>
      <w:r w:rsidR="0064030F" w:rsidRPr="00941FA7">
        <w:rPr>
          <w:lang w:val="fr-FR"/>
        </w:rPr>
        <w:t> 000 CHF</w:t>
      </w:r>
      <w:r w:rsidR="002A1D70" w:rsidRPr="00941FA7">
        <w:rPr>
          <w:lang w:val="fr-FR"/>
        </w:rPr>
        <w:t xml:space="preserve">. </w:t>
      </w:r>
      <w:r w:rsidR="0064030F" w:rsidRPr="00941FA7">
        <w:rPr>
          <w:lang w:val="fr-FR"/>
        </w:rPr>
        <w:t>Le détail des fonds non administratifs au 31 décembre 2021 figure à l’annexe 3.</w:t>
      </w:r>
    </w:p>
    <w:p w:rsidR="00112F62" w:rsidRPr="00941FA7" w:rsidRDefault="00112F62" w:rsidP="00162710">
      <w:pPr>
        <w:rPr>
          <w:lang w:val="fr-FR"/>
        </w:rPr>
      </w:pPr>
    </w:p>
    <w:p w:rsidR="008F2559" w:rsidRPr="00941FA7" w:rsidRDefault="00523B6B" w:rsidP="008F2559">
      <w:pPr>
        <w:rPr>
          <w:lang w:val="fr-FR"/>
        </w:rPr>
      </w:pPr>
      <w:r w:rsidRPr="00941FA7">
        <w:rPr>
          <w:lang w:val="fr-FR"/>
        </w:rPr>
        <w:t>2</w:t>
      </w:r>
      <w:r w:rsidR="004D0989" w:rsidRPr="00941FA7">
        <w:rPr>
          <w:lang w:val="fr-FR"/>
        </w:rPr>
        <w:t>6</w:t>
      </w:r>
      <w:r w:rsidR="00112F62" w:rsidRPr="00941FA7">
        <w:rPr>
          <w:lang w:val="fr-FR"/>
        </w:rPr>
        <w:t>.</w:t>
      </w:r>
      <w:r w:rsidR="00112F62" w:rsidRPr="00941FA7">
        <w:rPr>
          <w:lang w:val="fr-FR"/>
        </w:rPr>
        <w:tab/>
      </w:r>
      <w:r w:rsidR="0064030F" w:rsidRPr="00941FA7">
        <w:rPr>
          <w:lang w:val="fr-FR"/>
        </w:rPr>
        <w:t>Les contributions volontaires reçues en 2021</w:t>
      </w:r>
      <w:r w:rsidR="008C77E0" w:rsidRPr="00941FA7">
        <w:rPr>
          <w:lang w:val="fr-FR"/>
        </w:rPr>
        <w:t xml:space="preserve"> figurent dans le tableau 3</w:t>
      </w:r>
      <w:r w:rsidR="0064030F" w:rsidRPr="00941FA7">
        <w:rPr>
          <w:lang w:val="fr-FR"/>
        </w:rPr>
        <w:t xml:space="preserve"> ci-dessous. </w:t>
      </w:r>
      <w:r w:rsidR="008C77E0" w:rsidRPr="00941FA7">
        <w:rPr>
          <w:lang w:val="fr-FR"/>
        </w:rPr>
        <w:t>Suivant</w:t>
      </w:r>
      <w:r w:rsidR="0064030F" w:rsidRPr="00941FA7">
        <w:rPr>
          <w:lang w:val="fr-FR"/>
        </w:rPr>
        <w:t xml:space="preserve"> les instructions du Comité permanent </w:t>
      </w:r>
      <w:r w:rsidR="008C77E0" w:rsidRPr="00941FA7">
        <w:rPr>
          <w:lang w:val="fr-FR"/>
        </w:rPr>
        <w:t xml:space="preserve">précisées </w:t>
      </w:r>
      <w:r w:rsidR="0064030F" w:rsidRPr="00941FA7">
        <w:rPr>
          <w:lang w:val="fr-FR"/>
        </w:rPr>
        <w:t>dans sa Décision SC53-32, le tableau résume les contributions reçues et leur utilisation désignée. Il est fait référence aux priorités en matière de collecte de fonds des Parties contractantes indiquées à l’annexe 3 de la Résolution XII</w:t>
      </w:r>
      <w:r w:rsidR="008C77E0" w:rsidRPr="00941FA7">
        <w:rPr>
          <w:lang w:val="fr-FR"/>
        </w:rPr>
        <w:t>I</w:t>
      </w:r>
      <w:r w:rsidR="0064030F" w:rsidRPr="00941FA7">
        <w:rPr>
          <w:lang w:val="fr-FR"/>
        </w:rPr>
        <w:t>.2.</w:t>
      </w:r>
    </w:p>
    <w:p w:rsidR="008F2559" w:rsidRPr="00941FA7" w:rsidRDefault="008F2559" w:rsidP="009D2CC9">
      <w:pPr>
        <w:pStyle w:val="NoSpacing"/>
        <w:keepNext/>
        <w:ind w:left="0" w:firstLine="0"/>
        <w:rPr>
          <w:rFonts w:eastAsia="Times New Roman" w:cs="Calibri"/>
          <w:i/>
          <w:iCs/>
          <w:lang w:val="fr-FR" w:eastAsia="en-GB"/>
        </w:rPr>
      </w:pPr>
    </w:p>
    <w:p w:rsidR="00DA6FAA" w:rsidRPr="00941FA7" w:rsidRDefault="00DA6FAA" w:rsidP="009D2CC9">
      <w:pPr>
        <w:pStyle w:val="NoSpacing"/>
        <w:keepNext/>
        <w:ind w:left="0" w:firstLine="0"/>
        <w:rPr>
          <w:rFonts w:eastAsia="Times New Roman" w:cs="Calibri"/>
          <w:i/>
          <w:iCs/>
          <w:lang w:val="fr-FR" w:eastAsia="en-GB"/>
        </w:rPr>
      </w:pPr>
      <w:r w:rsidRPr="00941FA7">
        <w:rPr>
          <w:rFonts w:eastAsia="Times New Roman" w:cs="Calibri"/>
          <w:i/>
          <w:iCs/>
          <w:lang w:val="fr-FR" w:eastAsia="en-GB"/>
        </w:rPr>
        <w:t>Table</w:t>
      </w:r>
      <w:r w:rsidR="0064030F" w:rsidRPr="00941FA7">
        <w:rPr>
          <w:rFonts w:eastAsia="Times New Roman" w:cs="Calibri"/>
          <w:i/>
          <w:iCs/>
          <w:lang w:val="fr-FR" w:eastAsia="en-GB"/>
        </w:rPr>
        <w:t>au</w:t>
      </w:r>
      <w:r w:rsidRPr="00941FA7">
        <w:rPr>
          <w:rFonts w:eastAsia="Times New Roman" w:cs="Calibri"/>
          <w:i/>
          <w:iCs/>
          <w:lang w:val="fr-FR" w:eastAsia="en-GB"/>
        </w:rPr>
        <w:t xml:space="preserve"> </w:t>
      </w:r>
      <w:r w:rsidR="002058A3" w:rsidRPr="00941FA7">
        <w:rPr>
          <w:rFonts w:eastAsia="Times New Roman" w:cs="Calibri"/>
          <w:i/>
          <w:iCs/>
          <w:lang w:val="fr-FR" w:eastAsia="en-GB"/>
        </w:rPr>
        <w:t>3</w:t>
      </w:r>
      <w:r w:rsidR="0064030F" w:rsidRPr="00941FA7">
        <w:rPr>
          <w:rFonts w:eastAsia="Times New Roman" w:cs="Calibri"/>
          <w:i/>
          <w:iCs/>
          <w:lang w:val="fr-FR" w:eastAsia="en-GB"/>
        </w:rPr>
        <w:t> </w:t>
      </w:r>
      <w:r w:rsidRPr="00941FA7">
        <w:rPr>
          <w:rFonts w:eastAsia="Times New Roman" w:cs="Calibri"/>
          <w:i/>
          <w:iCs/>
          <w:lang w:val="fr-FR" w:eastAsia="en-GB"/>
        </w:rPr>
        <w:t xml:space="preserve">: </w:t>
      </w:r>
      <w:r w:rsidR="0064030F" w:rsidRPr="00941FA7">
        <w:rPr>
          <w:rFonts w:eastAsia="Times New Roman" w:cs="Calibri"/>
          <w:i/>
          <w:iCs/>
          <w:lang w:val="fr-FR" w:eastAsia="en-GB"/>
        </w:rPr>
        <w:t xml:space="preserve">Recettes des projets provenant de contributions volontaires non administratives reçues en </w:t>
      </w:r>
      <w:r w:rsidR="00C06F03" w:rsidRPr="00941FA7">
        <w:rPr>
          <w:rFonts w:eastAsia="Times New Roman" w:cs="Calibri"/>
          <w:i/>
          <w:iCs/>
          <w:lang w:val="fr-FR" w:eastAsia="en-GB"/>
        </w:rPr>
        <w:t>2021</w:t>
      </w:r>
      <w:r w:rsidR="008C77E0" w:rsidRPr="00941FA7">
        <w:rPr>
          <w:rFonts w:eastAsia="Times New Roman" w:cs="Calibri"/>
          <w:i/>
          <w:iCs/>
          <w:lang w:val="fr-FR" w:eastAsia="en-GB"/>
        </w:rPr>
        <w:br/>
      </w:r>
      <w:r w:rsidRPr="00941FA7">
        <w:rPr>
          <w:rFonts w:eastAsia="Times New Roman" w:cs="Calibri"/>
          <w:i/>
          <w:iCs/>
          <w:lang w:val="fr-FR" w:eastAsia="en-GB"/>
        </w:rPr>
        <w:t>(</w:t>
      </w:r>
      <w:r w:rsidR="0064030F" w:rsidRPr="00941FA7">
        <w:rPr>
          <w:rFonts w:eastAsia="Times New Roman" w:cs="Calibri"/>
          <w:i/>
          <w:iCs/>
          <w:lang w:val="fr-FR" w:eastAsia="en-GB"/>
        </w:rPr>
        <w:t>en milliers de CHF, incluant d’éventuels écarts d’arrondis</w:t>
      </w:r>
      <w:r w:rsidRPr="00941FA7">
        <w:rPr>
          <w:rFonts w:eastAsia="Times New Roman" w:cs="Calibri"/>
          <w:i/>
          <w:iCs/>
          <w:lang w:val="fr-FR" w:eastAsia="en-GB"/>
        </w:rPr>
        <w:t>)</w:t>
      </w: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761"/>
        <w:gridCol w:w="1275"/>
        <w:gridCol w:w="5178"/>
      </w:tblGrid>
      <w:tr w:rsidR="001F0844" w:rsidRPr="00941FA7" w:rsidTr="00733531">
        <w:trPr>
          <w:trHeight w:val="244"/>
        </w:trPr>
        <w:tc>
          <w:tcPr>
            <w:tcW w:w="2761" w:type="dxa"/>
            <w:shd w:val="clear" w:color="auto" w:fill="DBE5F1" w:themeFill="accent1" w:themeFillTint="33"/>
            <w:vAlign w:val="center"/>
          </w:tcPr>
          <w:p w:rsidR="001F0844" w:rsidRPr="00941FA7" w:rsidRDefault="001F0844" w:rsidP="00761962">
            <w:pPr>
              <w:keepNext/>
              <w:ind w:left="0" w:firstLine="0"/>
              <w:jc w:val="center"/>
              <w:rPr>
                <w:rFonts w:eastAsia="Times New Roman" w:cs="Calibri"/>
                <w:b/>
                <w:bCs/>
                <w:color w:val="000000"/>
                <w:sz w:val="20"/>
                <w:lang w:val="fr-FR" w:eastAsia="en-GB"/>
              </w:rPr>
            </w:pPr>
            <w:r w:rsidRPr="00941FA7">
              <w:rPr>
                <w:rFonts w:eastAsia="Times New Roman" w:cs="Calibri"/>
                <w:b/>
                <w:bCs/>
                <w:color w:val="000000"/>
                <w:sz w:val="20"/>
                <w:lang w:val="fr-FR" w:eastAsia="en-GB"/>
              </w:rPr>
              <w:t>Don</w:t>
            </w:r>
            <w:r w:rsidR="0064030F" w:rsidRPr="00941FA7">
              <w:rPr>
                <w:rFonts w:eastAsia="Times New Roman" w:cs="Calibri"/>
                <w:b/>
                <w:bCs/>
                <w:color w:val="000000"/>
                <w:sz w:val="20"/>
                <w:lang w:val="fr-FR" w:eastAsia="en-GB"/>
              </w:rPr>
              <w:t>ateur</w:t>
            </w:r>
          </w:p>
        </w:tc>
        <w:tc>
          <w:tcPr>
            <w:tcW w:w="1275" w:type="dxa"/>
            <w:shd w:val="clear" w:color="auto" w:fill="DBE5F1" w:themeFill="accent1" w:themeFillTint="33"/>
            <w:vAlign w:val="center"/>
          </w:tcPr>
          <w:p w:rsidR="001F0844" w:rsidRPr="00941FA7" w:rsidRDefault="0064030F" w:rsidP="00761962">
            <w:pPr>
              <w:keepNext/>
              <w:ind w:left="0" w:firstLine="0"/>
              <w:jc w:val="center"/>
              <w:rPr>
                <w:rFonts w:eastAsia="Times New Roman" w:cs="Calibri"/>
                <w:b/>
                <w:bCs/>
                <w:color w:val="000000"/>
                <w:sz w:val="20"/>
                <w:lang w:val="fr-FR" w:eastAsia="en-GB"/>
              </w:rPr>
            </w:pPr>
            <w:r w:rsidRPr="00941FA7">
              <w:rPr>
                <w:rFonts w:eastAsia="Times New Roman" w:cs="Calibri"/>
                <w:b/>
                <w:bCs/>
                <w:color w:val="000000"/>
                <w:sz w:val="20"/>
                <w:lang w:val="fr-FR" w:eastAsia="en-GB"/>
              </w:rPr>
              <w:t>Montant des recettes</w:t>
            </w:r>
          </w:p>
        </w:tc>
        <w:tc>
          <w:tcPr>
            <w:tcW w:w="5178" w:type="dxa"/>
            <w:shd w:val="clear" w:color="auto" w:fill="DBE5F1" w:themeFill="accent1" w:themeFillTint="33"/>
            <w:vAlign w:val="center"/>
          </w:tcPr>
          <w:p w:rsidR="001F0844" w:rsidRPr="00941FA7" w:rsidRDefault="001F0844" w:rsidP="00761962">
            <w:pPr>
              <w:keepNext/>
              <w:ind w:left="0" w:firstLine="0"/>
              <w:jc w:val="center"/>
              <w:rPr>
                <w:rFonts w:eastAsia="Times New Roman" w:cs="Calibri"/>
                <w:b/>
                <w:bCs/>
                <w:color w:val="000000"/>
                <w:sz w:val="20"/>
                <w:lang w:val="fr-FR" w:eastAsia="en-GB"/>
              </w:rPr>
            </w:pPr>
            <w:r w:rsidRPr="00941FA7">
              <w:rPr>
                <w:rFonts w:eastAsia="Times New Roman" w:cs="Calibri"/>
                <w:b/>
                <w:bCs/>
                <w:color w:val="000000"/>
                <w:sz w:val="20"/>
                <w:lang w:val="fr-FR" w:eastAsia="en-GB"/>
              </w:rPr>
              <w:t>Description</w:t>
            </w:r>
          </w:p>
        </w:tc>
      </w:tr>
      <w:tr w:rsidR="00032E44" w:rsidRPr="008939B8" w:rsidTr="00733531">
        <w:tc>
          <w:tcPr>
            <w:tcW w:w="2761" w:type="dxa"/>
            <w:shd w:val="clear" w:color="auto" w:fill="auto"/>
            <w:vAlign w:val="center"/>
            <w:hideMark/>
          </w:tcPr>
          <w:p w:rsidR="00032E44" w:rsidRPr="00941FA7" w:rsidRDefault="0064030F"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Allemagne</w:t>
            </w:r>
          </w:p>
        </w:tc>
        <w:tc>
          <w:tcPr>
            <w:tcW w:w="1275" w:type="dxa"/>
            <w:shd w:val="clear" w:color="auto" w:fill="auto"/>
            <w:vAlign w:val="center"/>
            <w:hideMark/>
          </w:tcPr>
          <w:p w:rsidR="00032E44" w:rsidRPr="00941FA7" w:rsidRDefault="00FD2082" w:rsidP="009D2CC9">
            <w:pPr>
              <w:keepNext/>
              <w:ind w:left="0" w:firstLine="0"/>
              <w:jc w:val="right"/>
              <w:rPr>
                <w:rFonts w:eastAsia="Times New Roman" w:cs="Calibri"/>
                <w:color w:val="000000"/>
                <w:sz w:val="20"/>
                <w:lang w:val="fr-FR" w:eastAsia="en-GB"/>
              </w:rPr>
            </w:pPr>
            <w:r w:rsidRPr="00941FA7">
              <w:rPr>
                <w:rFonts w:eastAsia="Times New Roman" w:cs="Calibri"/>
                <w:color w:val="000000"/>
                <w:sz w:val="20"/>
                <w:lang w:val="fr-FR" w:eastAsia="en-GB"/>
              </w:rPr>
              <w:t>212</w:t>
            </w:r>
          </w:p>
        </w:tc>
        <w:tc>
          <w:tcPr>
            <w:tcW w:w="5178" w:type="dxa"/>
            <w:shd w:val="clear" w:color="auto" w:fill="auto"/>
            <w:vAlign w:val="center"/>
            <w:hideMark/>
          </w:tcPr>
          <w:p w:rsidR="00032E44" w:rsidRPr="00941FA7" w:rsidRDefault="00733531" w:rsidP="00733531">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 xml:space="preserve">Utilisation judicieuse des zones humides </w:t>
            </w:r>
            <w:r w:rsidR="00FD2082" w:rsidRPr="00941FA7">
              <w:rPr>
                <w:rFonts w:eastAsia="Times New Roman" w:cs="Calibri"/>
                <w:color w:val="000000"/>
                <w:sz w:val="20"/>
                <w:lang w:val="fr-FR" w:eastAsia="en-GB"/>
              </w:rPr>
              <w:t>Carib</w:t>
            </w:r>
            <w:r w:rsidRPr="00941FA7">
              <w:rPr>
                <w:rFonts w:eastAsia="Times New Roman" w:cs="Calibri"/>
                <w:color w:val="000000"/>
                <w:sz w:val="20"/>
                <w:lang w:val="fr-FR" w:eastAsia="en-GB"/>
              </w:rPr>
              <w:t>éennes</w:t>
            </w:r>
          </w:p>
        </w:tc>
      </w:tr>
      <w:tr w:rsidR="00032E44" w:rsidRPr="008939B8" w:rsidTr="00733531">
        <w:tc>
          <w:tcPr>
            <w:tcW w:w="2761" w:type="dxa"/>
            <w:shd w:val="clear" w:color="auto" w:fill="auto"/>
            <w:vAlign w:val="center"/>
            <w:hideMark/>
          </w:tcPr>
          <w:p w:rsidR="00032E44" w:rsidRPr="00941FA7" w:rsidRDefault="003A6DE6"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N</w:t>
            </w:r>
            <w:r w:rsidR="0064030F" w:rsidRPr="00941FA7">
              <w:rPr>
                <w:rFonts w:eastAsia="Times New Roman" w:cs="Calibri"/>
                <w:color w:val="000000"/>
                <w:sz w:val="20"/>
                <w:lang w:val="fr-FR" w:eastAsia="en-GB"/>
              </w:rPr>
              <w:t>orvège</w:t>
            </w:r>
          </w:p>
        </w:tc>
        <w:tc>
          <w:tcPr>
            <w:tcW w:w="1275" w:type="dxa"/>
            <w:shd w:val="clear" w:color="auto" w:fill="auto"/>
            <w:vAlign w:val="center"/>
            <w:hideMark/>
          </w:tcPr>
          <w:p w:rsidR="00032E44" w:rsidRPr="00941FA7" w:rsidRDefault="00FD2082" w:rsidP="009D2CC9">
            <w:pPr>
              <w:keepNext/>
              <w:ind w:left="0" w:firstLine="0"/>
              <w:jc w:val="right"/>
              <w:rPr>
                <w:rFonts w:eastAsia="Times New Roman" w:cs="Calibri"/>
                <w:color w:val="000000"/>
                <w:sz w:val="20"/>
                <w:lang w:val="fr-FR" w:eastAsia="en-GB"/>
              </w:rPr>
            </w:pPr>
            <w:r w:rsidRPr="00941FA7">
              <w:rPr>
                <w:rFonts w:eastAsia="Times New Roman" w:cs="Calibri"/>
                <w:color w:val="000000"/>
                <w:sz w:val="20"/>
                <w:lang w:val="fr-FR" w:eastAsia="en-GB"/>
              </w:rPr>
              <w:t>186</w:t>
            </w:r>
          </w:p>
        </w:tc>
        <w:tc>
          <w:tcPr>
            <w:tcW w:w="5178" w:type="dxa"/>
            <w:shd w:val="clear" w:color="auto" w:fill="auto"/>
            <w:vAlign w:val="center"/>
            <w:hideMark/>
          </w:tcPr>
          <w:p w:rsidR="00032E44" w:rsidRPr="00941FA7" w:rsidRDefault="00733531" w:rsidP="008C77E0">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 xml:space="preserve">Priorités en matière de collecte de fonds </w:t>
            </w:r>
            <w:r w:rsidR="00FD2082" w:rsidRPr="00941FA7">
              <w:rPr>
                <w:rFonts w:eastAsia="Times New Roman" w:cs="Calibri"/>
                <w:color w:val="000000"/>
                <w:sz w:val="20"/>
                <w:lang w:val="fr-FR" w:eastAsia="en-GB"/>
              </w:rPr>
              <w:t xml:space="preserve">Ramsar </w:t>
            </w:r>
            <w:r w:rsidR="008C77E0" w:rsidRPr="00941FA7">
              <w:rPr>
                <w:rFonts w:eastAsia="Times New Roman" w:cs="Calibri"/>
                <w:color w:val="000000"/>
                <w:sz w:val="20"/>
                <w:lang w:val="fr-FR" w:eastAsia="en-GB"/>
              </w:rPr>
              <w:t>2021-2022 -</w:t>
            </w:r>
            <w:r w:rsidR="00B91929" w:rsidRPr="00941FA7">
              <w:rPr>
                <w:rFonts w:eastAsia="Times New Roman" w:cs="Calibri"/>
                <w:color w:val="000000"/>
                <w:sz w:val="20"/>
                <w:lang w:val="fr-FR" w:eastAsia="en-GB"/>
              </w:rPr>
              <w:t xml:space="preserve">COP13 </w:t>
            </w:r>
            <w:r w:rsidR="00FD2082" w:rsidRPr="00941FA7">
              <w:rPr>
                <w:rFonts w:eastAsia="Times New Roman" w:cs="Calibri"/>
                <w:color w:val="000000"/>
                <w:sz w:val="20"/>
                <w:lang w:val="fr-FR" w:eastAsia="en-GB"/>
              </w:rPr>
              <w:t xml:space="preserve"> </w:t>
            </w:r>
          </w:p>
        </w:tc>
      </w:tr>
      <w:tr w:rsidR="00032E44" w:rsidRPr="008939B8" w:rsidTr="00733531">
        <w:tc>
          <w:tcPr>
            <w:tcW w:w="2761" w:type="dxa"/>
            <w:shd w:val="clear" w:color="auto" w:fill="auto"/>
            <w:vAlign w:val="center"/>
            <w:hideMark/>
          </w:tcPr>
          <w:p w:rsidR="00032E44" w:rsidRPr="00941FA7" w:rsidRDefault="0064030F"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Norvège</w:t>
            </w:r>
          </w:p>
        </w:tc>
        <w:tc>
          <w:tcPr>
            <w:tcW w:w="1275" w:type="dxa"/>
            <w:shd w:val="clear" w:color="auto" w:fill="auto"/>
            <w:vAlign w:val="center"/>
            <w:hideMark/>
          </w:tcPr>
          <w:p w:rsidR="00032E44" w:rsidRPr="00941FA7" w:rsidRDefault="00FD2082" w:rsidP="009D2CC9">
            <w:pPr>
              <w:keepNext/>
              <w:ind w:left="0" w:firstLine="0"/>
              <w:jc w:val="right"/>
              <w:rPr>
                <w:rFonts w:eastAsia="Times New Roman" w:cs="Calibri"/>
                <w:color w:val="000000"/>
                <w:sz w:val="20"/>
                <w:lang w:val="fr-FR" w:eastAsia="en-GB"/>
              </w:rPr>
            </w:pPr>
            <w:r w:rsidRPr="00941FA7">
              <w:rPr>
                <w:rFonts w:eastAsia="Times New Roman" w:cs="Calibri"/>
                <w:color w:val="000000"/>
                <w:sz w:val="20"/>
                <w:lang w:val="fr-FR" w:eastAsia="en-GB"/>
              </w:rPr>
              <w:t>18</w:t>
            </w:r>
          </w:p>
        </w:tc>
        <w:tc>
          <w:tcPr>
            <w:tcW w:w="5178" w:type="dxa"/>
            <w:shd w:val="clear" w:color="auto" w:fill="auto"/>
            <w:vAlign w:val="center"/>
            <w:hideMark/>
          </w:tcPr>
          <w:p w:rsidR="00032E44" w:rsidRPr="00941FA7" w:rsidRDefault="00733531" w:rsidP="00733531">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 xml:space="preserve">Inventaire des zones humides </w:t>
            </w:r>
            <w:r w:rsidR="008C77E0" w:rsidRPr="00941FA7">
              <w:rPr>
                <w:rFonts w:eastAsia="Times New Roman" w:cs="Calibri"/>
                <w:color w:val="000000"/>
                <w:sz w:val="20"/>
                <w:lang w:val="fr-FR" w:eastAsia="en-GB"/>
              </w:rPr>
              <w:t>d’Haïti</w:t>
            </w:r>
            <w:r w:rsidRPr="00941FA7">
              <w:rPr>
                <w:rFonts w:eastAsia="Times New Roman" w:cs="Calibri"/>
                <w:color w:val="000000"/>
                <w:sz w:val="20"/>
                <w:lang w:val="fr-FR" w:eastAsia="en-GB"/>
              </w:rPr>
              <w:t xml:space="preserve"> </w:t>
            </w:r>
          </w:p>
        </w:tc>
      </w:tr>
      <w:tr w:rsidR="00C06F03" w:rsidRPr="008939B8" w:rsidTr="00733531">
        <w:tc>
          <w:tcPr>
            <w:tcW w:w="2761" w:type="dxa"/>
            <w:shd w:val="clear" w:color="auto" w:fill="auto"/>
            <w:vAlign w:val="center"/>
          </w:tcPr>
          <w:p w:rsidR="00C06F03" w:rsidRPr="00941FA7" w:rsidRDefault="0064030F"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Norvège</w:t>
            </w:r>
          </w:p>
        </w:tc>
        <w:tc>
          <w:tcPr>
            <w:tcW w:w="1275" w:type="dxa"/>
            <w:shd w:val="clear" w:color="auto" w:fill="auto"/>
            <w:vAlign w:val="center"/>
          </w:tcPr>
          <w:p w:rsidR="00C06F03" w:rsidRPr="00941FA7" w:rsidRDefault="00FD2082" w:rsidP="009D2CC9">
            <w:pPr>
              <w:keepNext/>
              <w:ind w:left="0" w:firstLine="0"/>
              <w:jc w:val="right"/>
              <w:rPr>
                <w:rFonts w:eastAsia="Times New Roman" w:cs="Calibri"/>
                <w:color w:val="000000"/>
                <w:sz w:val="20"/>
                <w:lang w:val="fr-FR" w:eastAsia="en-GB"/>
              </w:rPr>
            </w:pPr>
            <w:r w:rsidRPr="00941FA7">
              <w:rPr>
                <w:rFonts w:eastAsia="Times New Roman" w:cs="Calibri"/>
                <w:color w:val="000000"/>
                <w:sz w:val="20"/>
                <w:lang w:val="fr-FR" w:eastAsia="en-GB"/>
              </w:rPr>
              <w:t>17</w:t>
            </w:r>
          </w:p>
        </w:tc>
        <w:tc>
          <w:tcPr>
            <w:tcW w:w="5178" w:type="dxa"/>
            <w:shd w:val="clear" w:color="auto" w:fill="auto"/>
            <w:vAlign w:val="center"/>
          </w:tcPr>
          <w:p w:rsidR="00C06F03" w:rsidRPr="00941FA7" w:rsidRDefault="00733531"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Cours d’introduction à la Convention sur les zones humides</w:t>
            </w:r>
          </w:p>
        </w:tc>
      </w:tr>
      <w:tr w:rsidR="00FD2082" w:rsidRPr="00941FA7" w:rsidTr="00733531">
        <w:tc>
          <w:tcPr>
            <w:tcW w:w="2761" w:type="dxa"/>
            <w:shd w:val="clear" w:color="auto" w:fill="auto"/>
            <w:vAlign w:val="center"/>
          </w:tcPr>
          <w:p w:rsidR="00FD2082" w:rsidRPr="00941FA7" w:rsidRDefault="0064030F"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Fédération de Russie</w:t>
            </w:r>
          </w:p>
        </w:tc>
        <w:tc>
          <w:tcPr>
            <w:tcW w:w="1275" w:type="dxa"/>
            <w:shd w:val="clear" w:color="auto" w:fill="auto"/>
            <w:vAlign w:val="center"/>
          </w:tcPr>
          <w:p w:rsidR="00FD2082" w:rsidRPr="00941FA7" w:rsidRDefault="00FD2082" w:rsidP="009D2CC9">
            <w:pPr>
              <w:keepNext/>
              <w:ind w:left="0" w:firstLine="0"/>
              <w:jc w:val="right"/>
              <w:rPr>
                <w:rFonts w:eastAsia="Times New Roman" w:cs="Calibri"/>
                <w:color w:val="000000"/>
                <w:sz w:val="20"/>
                <w:lang w:val="fr-FR" w:eastAsia="en-GB"/>
              </w:rPr>
            </w:pPr>
            <w:r w:rsidRPr="00941FA7">
              <w:rPr>
                <w:rFonts w:eastAsia="Times New Roman" w:cs="Calibri"/>
                <w:color w:val="000000"/>
                <w:sz w:val="20"/>
                <w:lang w:val="fr-FR" w:eastAsia="en-GB"/>
              </w:rPr>
              <w:t>18</w:t>
            </w:r>
          </w:p>
        </w:tc>
        <w:tc>
          <w:tcPr>
            <w:tcW w:w="5178" w:type="dxa"/>
            <w:shd w:val="clear" w:color="auto" w:fill="auto"/>
            <w:vAlign w:val="center"/>
          </w:tcPr>
          <w:p w:rsidR="00FD2082" w:rsidRPr="00941FA7" w:rsidRDefault="00733531" w:rsidP="00733531">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 xml:space="preserve">Mission consultative Ramsar de </w:t>
            </w:r>
            <w:r w:rsidR="00FD2082" w:rsidRPr="00941FA7">
              <w:rPr>
                <w:rFonts w:eastAsia="Times New Roman" w:cs="Calibri"/>
                <w:color w:val="000000"/>
                <w:sz w:val="20"/>
                <w:lang w:val="fr-FR" w:eastAsia="en-GB"/>
              </w:rPr>
              <w:t xml:space="preserve">Kurgalsky </w:t>
            </w:r>
          </w:p>
        </w:tc>
      </w:tr>
      <w:tr w:rsidR="00C06F03" w:rsidRPr="008939B8" w:rsidTr="00733531">
        <w:tc>
          <w:tcPr>
            <w:tcW w:w="2761" w:type="dxa"/>
            <w:shd w:val="clear" w:color="auto" w:fill="auto"/>
            <w:vAlign w:val="center"/>
          </w:tcPr>
          <w:p w:rsidR="00C06F03" w:rsidRPr="00941FA7" w:rsidRDefault="00FD2082"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Finland</w:t>
            </w:r>
            <w:r w:rsidR="0064030F" w:rsidRPr="00941FA7">
              <w:rPr>
                <w:rFonts w:eastAsia="Times New Roman" w:cs="Calibri"/>
                <w:color w:val="000000"/>
                <w:sz w:val="20"/>
                <w:lang w:val="fr-FR" w:eastAsia="en-GB"/>
              </w:rPr>
              <w:t>e</w:t>
            </w:r>
          </w:p>
        </w:tc>
        <w:tc>
          <w:tcPr>
            <w:tcW w:w="1275" w:type="dxa"/>
            <w:shd w:val="clear" w:color="auto" w:fill="auto"/>
            <w:vAlign w:val="center"/>
          </w:tcPr>
          <w:p w:rsidR="00C06F03" w:rsidRPr="00941FA7" w:rsidRDefault="00FD2082" w:rsidP="009D2CC9">
            <w:pPr>
              <w:keepNext/>
              <w:ind w:left="0" w:firstLine="0"/>
              <w:jc w:val="right"/>
              <w:rPr>
                <w:rFonts w:eastAsia="Times New Roman" w:cs="Calibri"/>
                <w:color w:val="000000"/>
                <w:sz w:val="20"/>
                <w:lang w:val="fr-FR" w:eastAsia="en-GB"/>
              </w:rPr>
            </w:pPr>
            <w:r w:rsidRPr="00941FA7">
              <w:rPr>
                <w:rFonts w:eastAsia="Times New Roman" w:cs="Calibri"/>
                <w:color w:val="000000"/>
                <w:sz w:val="20"/>
                <w:lang w:val="fr-FR" w:eastAsia="en-GB"/>
              </w:rPr>
              <w:t>11</w:t>
            </w:r>
          </w:p>
        </w:tc>
        <w:tc>
          <w:tcPr>
            <w:tcW w:w="5178" w:type="dxa"/>
            <w:shd w:val="clear" w:color="auto" w:fill="auto"/>
            <w:vAlign w:val="center"/>
          </w:tcPr>
          <w:p w:rsidR="00C06F03" w:rsidRPr="00941FA7" w:rsidRDefault="00733531" w:rsidP="009D2CC9">
            <w:pPr>
              <w:keepNext/>
              <w:ind w:left="0" w:firstLine="0"/>
              <w:rPr>
                <w:rFonts w:eastAsia="Times New Roman" w:cs="Calibri"/>
                <w:color w:val="000000"/>
                <w:sz w:val="20"/>
                <w:lang w:val="fr-FR" w:eastAsia="en-GB"/>
              </w:rPr>
            </w:pPr>
            <w:r w:rsidRPr="00941FA7">
              <w:rPr>
                <w:rFonts w:eastAsia="Times New Roman" w:cs="Calibri"/>
                <w:color w:val="000000"/>
                <w:sz w:val="20"/>
                <w:lang w:val="fr-FR" w:eastAsia="en-GB"/>
              </w:rPr>
              <w:t>Cours d’introduction à la Convention sur les zones humides</w:t>
            </w:r>
          </w:p>
        </w:tc>
      </w:tr>
      <w:tr w:rsidR="00AD6EB6" w:rsidRPr="00941FA7" w:rsidTr="00733531">
        <w:tc>
          <w:tcPr>
            <w:tcW w:w="2761" w:type="dxa"/>
            <w:shd w:val="clear" w:color="auto" w:fill="DBE5F1" w:themeFill="accent1" w:themeFillTint="33"/>
            <w:vAlign w:val="center"/>
          </w:tcPr>
          <w:p w:rsidR="00AD6EB6" w:rsidRPr="00941FA7" w:rsidRDefault="00990677" w:rsidP="0064030F">
            <w:pPr>
              <w:ind w:left="0" w:firstLine="0"/>
              <w:rPr>
                <w:rFonts w:eastAsia="Times New Roman" w:cs="Calibri"/>
                <w:b/>
                <w:sz w:val="20"/>
                <w:lang w:val="fr-FR" w:eastAsia="en-GB"/>
              </w:rPr>
            </w:pPr>
            <w:r w:rsidRPr="00941FA7">
              <w:rPr>
                <w:rFonts w:eastAsia="Times New Roman" w:cs="Calibri"/>
                <w:b/>
                <w:sz w:val="20"/>
                <w:lang w:val="fr-FR" w:eastAsia="en-GB"/>
              </w:rPr>
              <w:t xml:space="preserve">Total </w:t>
            </w:r>
            <w:r w:rsidR="0064030F" w:rsidRPr="00941FA7">
              <w:rPr>
                <w:rFonts w:eastAsia="Times New Roman" w:cs="Calibri"/>
                <w:b/>
                <w:sz w:val="20"/>
                <w:lang w:val="fr-FR" w:eastAsia="en-GB"/>
              </w:rPr>
              <w:t>des recettes des projets</w:t>
            </w:r>
          </w:p>
        </w:tc>
        <w:tc>
          <w:tcPr>
            <w:tcW w:w="1275" w:type="dxa"/>
            <w:shd w:val="clear" w:color="auto" w:fill="DBE5F1" w:themeFill="accent1" w:themeFillTint="33"/>
            <w:vAlign w:val="center"/>
          </w:tcPr>
          <w:p w:rsidR="00AD6EB6" w:rsidRPr="00941FA7" w:rsidRDefault="00FD2082" w:rsidP="003A6DE6">
            <w:pPr>
              <w:ind w:left="0" w:firstLine="0"/>
              <w:jc w:val="right"/>
              <w:rPr>
                <w:rFonts w:eastAsia="Times New Roman" w:cs="Calibri"/>
                <w:b/>
                <w:sz w:val="20"/>
                <w:lang w:val="fr-FR" w:eastAsia="en-GB"/>
              </w:rPr>
            </w:pPr>
            <w:r w:rsidRPr="00941FA7">
              <w:rPr>
                <w:rFonts w:eastAsia="Times New Roman" w:cs="Calibri"/>
                <w:b/>
                <w:sz w:val="20"/>
                <w:lang w:val="fr-FR" w:eastAsia="en-GB"/>
              </w:rPr>
              <w:t>462</w:t>
            </w:r>
          </w:p>
        </w:tc>
        <w:tc>
          <w:tcPr>
            <w:tcW w:w="5178" w:type="dxa"/>
            <w:shd w:val="clear" w:color="auto" w:fill="DBE5F1" w:themeFill="accent1" w:themeFillTint="33"/>
            <w:vAlign w:val="center"/>
          </w:tcPr>
          <w:p w:rsidR="00AD6EB6" w:rsidRPr="00941FA7" w:rsidRDefault="00AD6EB6" w:rsidP="00162710">
            <w:pPr>
              <w:ind w:left="0" w:firstLine="0"/>
              <w:rPr>
                <w:rFonts w:eastAsia="Times New Roman" w:cs="Calibri"/>
                <w:color w:val="000000"/>
                <w:sz w:val="20"/>
                <w:lang w:val="fr-FR" w:eastAsia="en-GB"/>
              </w:rPr>
            </w:pPr>
          </w:p>
        </w:tc>
      </w:tr>
    </w:tbl>
    <w:p w:rsidR="00447BC3" w:rsidRPr="00941FA7" w:rsidRDefault="00447BC3" w:rsidP="00162710">
      <w:pPr>
        <w:rPr>
          <w:highlight w:val="yellow"/>
          <w:lang w:val="fr-FR"/>
        </w:rPr>
      </w:pPr>
    </w:p>
    <w:p w:rsidR="003B5828" w:rsidRPr="00941FA7" w:rsidRDefault="00523B6B" w:rsidP="00162710">
      <w:pPr>
        <w:rPr>
          <w:lang w:val="fr-FR"/>
        </w:rPr>
      </w:pPr>
      <w:r w:rsidRPr="00941FA7">
        <w:rPr>
          <w:lang w:val="fr-FR"/>
        </w:rPr>
        <w:t>2</w:t>
      </w:r>
      <w:r w:rsidR="004D0989" w:rsidRPr="00941FA7">
        <w:rPr>
          <w:lang w:val="fr-FR"/>
        </w:rPr>
        <w:t>7</w:t>
      </w:r>
      <w:r w:rsidR="00051ADC" w:rsidRPr="00941FA7">
        <w:rPr>
          <w:lang w:val="fr-FR"/>
        </w:rPr>
        <w:t>.</w:t>
      </w:r>
      <w:r w:rsidR="005E525C" w:rsidRPr="00941FA7">
        <w:rPr>
          <w:lang w:val="fr-FR"/>
        </w:rPr>
        <w:tab/>
      </w:r>
      <w:r w:rsidR="00733531" w:rsidRPr="00941FA7">
        <w:rPr>
          <w:lang w:val="fr-FR"/>
        </w:rPr>
        <w:t xml:space="preserve">On constate une </w:t>
      </w:r>
      <w:r w:rsidR="00A6316D">
        <w:rPr>
          <w:lang w:val="fr-FR"/>
        </w:rPr>
        <w:t>augmentation</w:t>
      </w:r>
      <w:r w:rsidR="00733531" w:rsidRPr="00941FA7">
        <w:rPr>
          <w:lang w:val="fr-FR"/>
        </w:rPr>
        <w:t xml:space="preserve"> des contributions volontaires non administrative</w:t>
      </w:r>
      <w:r w:rsidR="007F7656" w:rsidRPr="00941FA7">
        <w:rPr>
          <w:lang w:val="fr-FR"/>
        </w:rPr>
        <w:t>s</w:t>
      </w:r>
      <w:r w:rsidR="00733531" w:rsidRPr="00941FA7">
        <w:rPr>
          <w:lang w:val="fr-FR"/>
        </w:rPr>
        <w:t xml:space="preserve"> par rapport à 2020.</w:t>
      </w:r>
      <w:r w:rsidR="007F7656" w:rsidRPr="00941FA7">
        <w:rPr>
          <w:lang w:val="fr-FR"/>
        </w:rPr>
        <w:t xml:space="preserve"> Cette progression correspond à une reprise des activités (les contributions se sont élevées à 47 000</w:t>
      </w:r>
      <w:r w:rsidR="00C03734" w:rsidRPr="00941FA7">
        <w:rPr>
          <w:lang w:val="fr-FR"/>
        </w:rPr>
        <w:t xml:space="preserve"> </w:t>
      </w:r>
      <w:r w:rsidR="007F7656" w:rsidRPr="00941FA7">
        <w:rPr>
          <w:lang w:val="fr-FR"/>
        </w:rPr>
        <w:t>CHF en</w:t>
      </w:r>
      <w:r w:rsidR="00C03734" w:rsidRPr="00941FA7">
        <w:rPr>
          <w:lang w:val="fr-FR"/>
        </w:rPr>
        <w:t xml:space="preserve"> 2020</w:t>
      </w:r>
      <w:r w:rsidR="00EB1034" w:rsidRPr="00941FA7">
        <w:rPr>
          <w:lang w:val="fr-FR"/>
        </w:rPr>
        <w:t>)</w:t>
      </w:r>
      <w:r w:rsidR="00E474AC" w:rsidRPr="00941FA7">
        <w:rPr>
          <w:lang w:val="fr-FR"/>
        </w:rPr>
        <w:t>.</w:t>
      </w:r>
    </w:p>
    <w:p w:rsidR="003B5828" w:rsidRPr="00941FA7" w:rsidRDefault="003B5828" w:rsidP="00162710">
      <w:pPr>
        <w:rPr>
          <w:lang w:val="fr-FR"/>
        </w:rPr>
      </w:pPr>
    </w:p>
    <w:p w:rsidR="00210A8F" w:rsidRPr="00941FA7" w:rsidRDefault="00523B6B" w:rsidP="00051ADC">
      <w:pPr>
        <w:rPr>
          <w:lang w:val="fr-FR"/>
        </w:rPr>
      </w:pPr>
      <w:r w:rsidRPr="00941FA7">
        <w:rPr>
          <w:lang w:val="fr-FR"/>
        </w:rPr>
        <w:t>2</w:t>
      </w:r>
      <w:r w:rsidR="004D0989" w:rsidRPr="00941FA7">
        <w:rPr>
          <w:lang w:val="fr-FR"/>
        </w:rPr>
        <w:t>8</w:t>
      </w:r>
      <w:r w:rsidR="00B10EA9" w:rsidRPr="00941FA7">
        <w:rPr>
          <w:lang w:val="fr-FR"/>
        </w:rPr>
        <w:t>.</w:t>
      </w:r>
      <w:r w:rsidR="00B10EA9" w:rsidRPr="00941FA7">
        <w:rPr>
          <w:lang w:val="fr-FR"/>
        </w:rPr>
        <w:tab/>
      </w:r>
      <w:r w:rsidR="007F7656" w:rsidRPr="00941FA7">
        <w:rPr>
          <w:lang w:val="fr-FR"/>
        </w:rPr>
        <w:t>En 2</w:t>
      </w:r>
      <w:r w:rsidR="00C2206E" w:rsidRPr="00941FA7">
        <w:rPr>
          <w:lang w:val="fr-FR"/>
        </w:rPr>
        <w:t>021, l’</w:t>
      </w:r>
      <w:r w:rsidR="007F7656" w:rsidRPr="00941FA7">
        <w:rPr>
          <w:lang w:val="fr-FR"/>
        </w:rPr>
        <w:t>accord de partenariat avec Danone a ét</w:t>
      </w:r>
      <w:r w:rsidR="00C2206E" w:rsidRPr="00941FA7">
        <w:rPr>
          <w:lang w:val="fr-FR"/>
        </w:rPr>
        <w:t>é renouvelé avec la signature d’</w:t>
      </w:r>
      <w:r w:rsidR="007F7656" w:rsidRPr="00941FA7">
        <w:rPr>
          <w:lang w:val="fr-FR"/>
        </w:rPr>
        <w:t xml:space="preserve">un nouvel accord triennal visant à accroître </w:t>
      </w:r>
      <w:r w:rsidR="00A6316D" w:rsidRPr="00941FA7">
        <w:rPr>
          <w:lang w:val="fr-FR"/>
        </w:rPr>
        <w:t xml:space="preserve">parmi les décideurs des secteurs public et privé </w:t>
      </w:r>
      <w:r w:rsidR="007F7656" w:rsidRPr="00941FA7">
        <w:rPr>
          <w:lang w:val="fr-FR"/>
        </w:rPr>
        <w:t xml:space="preserve">la visibilité et la </w:t>
      </w:r>
      <w:r w:rsidR="00C2206E" w:rsidRPr="00941FA7">
        <w:rPr>
          <w:lang w:val="fr-FR"/>
        </w:rPr>
        <w:t>connaissance des zones humides à l’</w:t>
      </w:r>
      <w:r w:rsidR="007F7656" w:rsidRPr="00941FA7">
        <w:rPr>
          <w:lang w:val="fr-FR"/>
        </w:rPr>
        <w:t>échelle mondiale</w:t>
      </w:r>
      <w:r w:rsidR="00E474AC" w:rsidRPr="00941FA7">
        <w:rPr>
          <w:lang w:val="fr-FR"/>
        </w:rPr>
        <w:t>.</w:t>
      </w:r>
    </w:p>
    <w:p w:rsidR="00E012F0" w:rsidRPr="00941FA7" w:rsidRDefault="00E012F0" w:rsidP="00210A8F">
      <w:pPr>
        <w:ind w:firstLine="0"/>
        <w:rPr>
          <w:lang w:val="fr-FR"/>
        </w:rPr>
      </w:pPr>
    </w:p>
    <w:p w:rsidR="007F7656" w:rsidRPr="00941FA7" w:rsidRDefault="00523B6B" w:rsidP="006E2F73">
      <w:pPr>
        <w:rPr>
          <w:lang w:val="fr-FR"/>
        </w:rPr>
      </w:pPr>
      <w:r w:rsidRPr="00941FA7">
        <w:rPr>
          <w:lang w:val="fr-FR"/>
        </w:rPr>
        <w:t>2</w:t>
      </w:r>
      <w:r w:rsidR="004D0989" w:rsidRPr="00941FA7">
        <w:rPr>
          <w:lang w:val="fr-FR"/>
        </w:rPr>
        <w:t>9</w:t>
      </w:r>
      <w:r w:rsidR="00B10EA9" w:rsidRPr="00941FA7">
        <w:rPr>
          <w:lang w:val="fr-FR"/>
        </w:rPr>
        <w:t>.</w:t>
      </w:r>
      <w:r w:rsidR="006114F4" w:rsidRPr="00941FA7">
        <w:rPr>
          <w:lang w:val="fr-FR"/>
        </w:rPr>
        <w:tab/>
      </w:r>
      <w:r w:rsidR="00A6316D">
        <w:rPr>
          <w:lang w:val="fr-FR"/>
        </w:rPr>
        <w:t>Les Parties contractantes et d’</w:t>
      </w:r>
      <w:r w:rsidR="007F7656" w:rsidRPr="00941FA7">
        <w:rPr>
          <w:lang w:val="fr-FR"/>
        </w:rPr>
        <w:t xml:space="preserve">autres donateurs potentiels ont été sollicités </w:t>
      </w:r>
      <w:r w:rsidR="00C2206E" w:rsidRPr="00941FA7">
        <w:rPr>
          <w:lang w:val="fr-FR"/>
        </w:rPr>
        <w:t>au sujet du</w:t>
      </w:r>
      <w:r w:rsidR="007F7656" w:rsidRPr="00941FA7">
        <w:rPr>
          <w:lang w:val="fr-FR"/>
        </w:rPr>
        <w:t xml:space="preserve"> financement de</w:t>
      </w:r>
      <w:r w:rsidR="00A6316D">
        <w:rPr>
          <w:lang w:val="fr-FR"/>
        </w:rPr>
        <w:t>s</w:t>
      </w:r>
      <w:r w:rsidR="007F7656" w:rsidRPr="00941FA7">
        <w:rPr>
          <w:lang w:val="fr-FR"/>
        </w:rPr>
        <w:t xml:space="preserve"> postes budgétaires non administratifs prioritaires identifiés </w:t>
      </w:r>
      <w:r w:rsidR="00C2206E" w:rsidRPr="00941FA7">
        <w:rPr>
          <w:lang w:val="fr-FR"/>
        </w:rPr>
        <w:t>à</w:t>
      </w:r>
      <w:r w:rsidR="007F7656" w:rsidRPr="00941FA7">
        <w:rPr>
          <w:lang w:val="fr-FR"/>
        </w:rPr>
        <w:t xml:space="preserve"> </w:t>
      </w:r>
      <w:r w:rsidR="00C2206E" w:rsidRPr="00941FA7">
        <w:rPr>
          <w:lang w:val="fr-FR"/>
        </w:rPr>
        <w:t>l’annexe 3 de la Résolution XIII.2</w:t>
      </w:r>
      <w:r w:rsidR="007F7656" w:rsidRPr="00941FA7">
        <w:rPr>
          <w:lang w:val="fr-FR"/>
        </w:rPr>
        <w:t xml:space="preserve">. À cet égard, </w:t>
      </w:r>
      <w:r w:rsidR="00C2206E" w:rsidRPr="00941FA7">
        <w:rPr>
          <w:lang w:val="fr-FR"/>
        </w:rPr>
        <w:t>l’</w:t>
      </w:r>
      <w:r w:rsidR="007F7656" w:rsidRPr="00941FA7">
        <w:rPr>
          <w:lang w:val="fr-FR"/>
        </w:rPr>
        <w:t xml:space="preserve">une des principales priorités dont les Parties doivent être conscientes en 2022 est le financement de la COP14, en particulier pour </w:t>
      </w:r>
      <w:r w:rsidR="00C2206E" w:rsidRPr="00941FA7">
        <w:rPr>
          <w:lang w:val="fr-FR"/>
        </w:rPr>
        <w:t>ce qui concerne la participation de</w:t>
      </w:r>
      <w:r w:rsidR="007F7656" w:rsidRPr="00941FA7">
        <w:rPr>
          <w:lang w:val="fr-FR"/>
        </w:rPr>
        <w:t xml:space="preserve"> délégués parrainés. Le Secrétariat souhaiterait que les Parties </w:t>
      </w:r>
      <w:r w:rsidR="00C2206E" w:rsidRPr="00941FA7">
        <w:rPr>
          <w:lang w:val="fr-FR"/>
        </w:rPr>
        <w:t>lui fournissent</w:t>
      </w:r>
      <w:r w:rsidR="007F7656" w:rsidRPr="00941FA7">
        <w:rPr>
          <w:lang w:val="fr-FR"/>
        </w:rPr>
        <w:t xml:space="preserve"> des indications sur les donateurs potentiels susceptibles de couvrir les frais de </w:t>
      </w:r>
      <w:r w:rsidR="00C2206E" w:rsidRPr="00941FA7">
        <w:rPr>
          <w:lang w:val="fr-FR"/>
        </w:rPr>
        <w:t>déplacements</w:t>
      </w:r>
      <w:r w:rsidR="007F7656" w:rsidRPr="00941FA7">
        <w:rPr>
          <w:lang w:val="fr-FR"/>
        </w:rPr>
        <w:t xml:space="preserve"> afin de permettre à toutes les Parties contractantes de participer à la COP14. Le Secrétariat a fourni des estimations </w:t>
      </w:r>
      <w:r w:rsidR="00A6316D">
        <w:rPr>
          <w:lang w:val="fr-FR"/>
        </w:rPr>
        <w:t>sur</w:t>
      </w:r>
      <w:r w:rsidR="007F7656" w:rsidRPr="00941FA7">
        <w:rPr>
          <w:lang w:val="fr-FR"/>
        </w:rPr>
        <w:t xml:space="preserve"> le financement </w:t>
      </w:r>
      <w:r w:rsidR="0037647D" w:rsidRPr="00941FA7">
        <w:rPr>
          <w:lang w:val="fr-FR"/>
        </w:rPr>
        <w:t xml:space="preserve">aux paragraphes 40 et 41 ci-dessous et fera tout son possible pour mobiliser des ressources et permettre aux délégués parrainés d’être présents à la session. </w:t>
      </w:r>
      <w:r w:rsidR="00C2206E" w:rsidRPr="00941FA7">
        <w:rPr>
          <w:lang w:val="fr-FR"/>
        </w:rPr>
        <w:t xml:space="preserve">Le Secrétariat estime qu’il </w:t>
      </w:r>
      <w:r w:rsidR="00DF4AA4" w:rsidRPr="00941FA7">
        <w:rPr>
          <w:lang w:val="fr-FR"/>
        </w:rPr>
        <w:t>faudrait envisager</w:t>
      </w:r>
      <w:r w:rsidR="0037647D" w:rsidRPr="00941FA7">
        <w:rPr>
          <w:lang w:val="fr-FR"/>
        </w:rPr>
        <w:t xml:space="preserve"> diverses options pour </w:t>
      </w:r>
      <w:r w:rsidR="00DF4AA4" w:rsidRPr="00941FA7">
        <w:rPr>
          <w:lang w:val="fr-FR"/>
        </w:rPr>
        <w:t>permettre à</w:t>
      </w:r>
      <w:r w:rsidR="0037647D" w:rsidRPr="00941FA7">
        <w:rPr>
          <w:lang w:val="fr-FR"/>
        </w:rPr>
        <w:t xml:space="preserve"> toutes les Parties contractantes </w:t>
      </w:r>
      <w:r w:rsidR="00DF4AA4" w:rsidRPr="00941FA7">
        <w:rPr>
          <w:lang w:val="fr-FR"/>
        </w:rPr>
        <w:t>de</w:t>
      </w:r>
      <w:r w:rsidR="0037647D" w:rsidRPr="00941FA7">
        <w:rPr>
          <w:lang w:val="fr-FR"/>
        </w:rPr>
        <w:t xml:space="preserve"> participer à la COP14, en tenant compte du nombre élevé des réunions internationales organisées en 2022 pour lesquelles le</w:t>
      </w:r>
      <w:r w:rsidR="00DF4AA4" w:rsidRPr="00941FA7">
        <w:rPr>
          <w:lang w:val="fr-FR"/>
        </w:rPr>
        <w:t>s</w:t>
      </w:r>
      <w:r w:rsidR="0037647D" w:rsidRPr="00941FA7">
        <w:rPr>
          <w:lang w:val="fr-FR"/>
        </w:rPr>
        <w:t xml:space="preserve"> même</w:t>
      </w:r>
      <w:r w:rsidR="00DF4AA4" w:rsidRPr="00941FA7">
        <w:rPr>
          <w:lang w:val="fr-FR"/>
        </w:rPr>
        <w:t>s</w:t>
      </w:r>
      <w:r w:rsidR="0037647D" w:rsidRPr="00941FA7">
        <w:rPr>
          <w:lang w:val="fr-FR"/>
        </w:rPr>
        <w:t xml:space="preserve"> type</w:t>
      </w:r>
      <w:r w:rsidR="00DF4AA4" w:rsidRPr="00941FA7">
        <w:rPr>
          <w:lang w:val="fr-FR"/>
        </w:rPr>
        <w:t>s</w:t>
      </w:r>
      <w:r w:rsidR="0037647D" w:rsidRPr="00941FA7">
        <w:rPr>
          <w:lang w:val="fr-FR"/>
        </w:rPr>
        <w:t xml:space="preserve"> de ressources </w:t>
      </w:r>
      <w:r w:rsidR="00DF4AA4" w:rsidRPr="00941FA7">
        <w:rPr>
          <w:lang w:val="fr-FR"/>
        </w:rPr>
        <w:t>devront être mobilisé</w:t>
      </w:r>
      <w:r w:rsidR="0037647D" w:rsidRPr="00941FA7">
        <w:rPr>
          <w:lang w:val="fr-FR"/>
        </w:rPr>
        <w:t>s, et les conséquences économiques de la COVID-19.</w:t>
      </w:r>
    </w:p>
    <w:p w:rsidR="008267C6" w:rsidRPr="00941FA7" w:rsidRDefault="008267C6" w:rsidP="009F6F1D">
      <w:pPr>
        <w:ind w:firstLine="0"/>
        <w:rPr>
          <w:lang w:val="fr-FR"/>
        </w:rPr>
      </w:pPr>
    </w:p>
    <w:p w:rsidR="0037647D" w:rsidRPr="00941FA7" w:rsidRDefault="004D0989" w:rsidP="006E2F73">
      <w:pPr>
        <w:rPr>
          <w:lang w:val="fr-FR"/>
        </w:rPr>
      </w:pPr>
      <w:r w:rsidRPr="00941FA7">
        <w:rPr>
          <w:lang w:val="fr-FR"/>
        </w:rPr>
        <w:t>30</w:t>
      </w:r>
      <w:r w:rsidR="006E2F73" w:rsidRPr="00941FA7">
        <w:rPr>
          <w:lang w:val="fr-FR"/>
        </w:rPr>
        <w:t>.</w:t>
      </w:r>
      <w:r w:rsidR="006E2F73" w:rsidRPr="00941FA7">
        <w:rPr>
          <w:lang w:val="fr-FR"/>
        </w:rPr>
        <w:tab/>
      </w:r>
      <w:r w:rsidR="0037647D" w:rsidRPr="00941FA7">
        <w:rPr>
          <w:lang w:val="fr-FR"/>
        </w:rPr>
        <w:t xml:space="preserve">Conformément aux </w:t>
      </w:r>
      <w:r w:rsidR="00DF4AA4" w:rsidRPr="00941FA7">
        <w:rPr>
          <w:lang w:val="fr-FR"/>
        </w:rPr>
        <w:t>dispositions</w:t>
      </w:r>
      <w:r w:rsidR="0037647D" w:rsidRPr="00941FA7">
        <w:rPr>
          <w:lang w:val="fr-FR"/>
        </w:rPr>
        <w:t xml:space="preserve"> de la Décision SC57-51, le Secrétariat a pris des mesures pour mettre fin p</w:t>
      </w:r>
      <w:r w:rsidR="00A6316D">
        <w:rPr>
          <w:lang w:val="fr-FR"/>
        </w:rPr>
        <w:t>rogressivement au programme du f</w:t>
      </w:r>
      <w:r w:rsidR="0037647D" w:rsidRPr="00941FA7">
        <w:rPr>
          <w:lang w:val="fr-FR"/>
        </w:rPr>
        <w:t>onds de petites subventions en affectant des financements aux quatre projets approuvés dans cette décision</w:t>
      </w:r>
      <w:r w:rsidR="008267C6" w:rsidRPr="00941FA7">
        <w:rPr>
          <w:lang w:val="fr-FR"/>
        </w:rPr>
        <w:t>. T</w:t>
      </w:r>
      <w:r w:rsidR="00DF4AA4" w:rsidRPr="00941FA7">
        <w:rPr>
          <w:lang w:val="fr-FR"/>
        </w:rPr>
        <w:t xml:space="preserve">rois projets ont été réalisés </w:t>
      </w:r>
      <w:r w:rsidR="0037647D" w:rsidRPr="00941FA7">
        <w:rPr>
          <w:lang w:val="fr-FR"/>
        </w:rPr>
        <w:t xml:space="preserve">en </w:t>
      </w:r>
      <w:r w:rsidR="008267C6" w:rsidRPr="00941FA7">
        <w:rPr>
          <w:lang w:val="fr-FR"/>
        </w:rPr>
        <w:t>2021</w:t>
      </w:r>
      <w:r w:rsidR="00233BB2" w:rsidRPr="00941FA7">
        <w:rPr>
          <w:lang w:val="fr-FR"/>
        </w:rPr>
        <w:t xml:space="preserve">, </w:t>
      </w:r>
      <w:r w:rsidR="0037647D" w:rsidRPr="00941FA7">
        <w:rPr>
          <w:lang w:val="fr-FR"/>
        </w:rPr>
        <w:t>et un projet recevra la dernière tranche de financements en 2022 apr</w:t>
      </w:r>
      <w:r w:rsidR="00DF4AA4" w:rsidRPr="00941FA7">
        <w:rPr>
          <w:lang w:val="fr-FR"/>
        </w:rPr>
        <w:t>ès réception et examen du</w:t>
      </w:r>
      <w:r w:rsidR="0037647D" w:rsidRPr="00941FA7">
        <w:rPr>
          <w:lang w:val="fr-FR"/>
        </w:rPr>
        <w:t xml:space="preserve"> rapport</w:t>
      </w:r>
      <w:r w:rsidR="00DF4AA4" w:rsidRPr="00941FA7">
        <w:rPr>
          <w:lang w:val="fr-FR"/>
        </w:rPr>
        <w:t xml:space="preserve"> final, s’il</w:t>
      </w:r>
      <w:r w:rsidR="0037647D" w:rsidRPr="00941FA7">
        <w:rPr>
          <w:lang w:val="fr-FR"/>
        </w:rPr>
        <w:t xml:space="preserve"> </w:t>
      </w:r>
      <w:r w:rsidR="00DF4AA4" w:rsidRPr="00941FA7">
        <w:rPr>
          <w:lang w:val="fr-FR"/>
        </w:rPr>
        <w:t>est jugé satisfaisant</w:t>
      </w:r>
      <w:r w:rsidR="0037647D" w:rsidRPr="00941FA7">
        <w:rPr>
          <w:lang w:val="fr-FR"/>
        </w:rPr>
        <w:t>.</w:t>
      </w:r>
    </w:p>
    <w:p w:rsidR="006B6F03" w:rsidRPr="00941FA7" w:rsidRDefault="006B6F03" w:rsidP="006E2F73">
      <w:pPr>
        <w:rPr>
          <w:lang w:val="fr-FR"/>
        </w:rPr>
      </w:pPr>
    </w:p>
    <w:p w:rsidR="007768A1" w:rsidRPr="00941FA7" w:rsidRDefault="004D0989" w:rsidP="00162710">
      <w:pPr>
        <w:rPr>
          <w:lang w:val="fr-FR"/>
        </w:rPr>
      </w:pPr>
      <w:r w:rsidRPr="00941FA7">
        <w:rPr>
          <w:lang w:val="fr-FR"/>
        </w:rPr>
        <w:t>31</w:t>
      </w:r>
      <w:r w:rsidR="00B10EA9" w:rsidRPr="00941FA7">
        <w:rPr>
          <w:lang w:val="fr-FR"/>
        </w:rPr>
        <w:t>.</w:t>
      </w:r>
      <w:r w:rsidR="00B10EA9" w:rsidRPr="00941FA7">
        <w:rPr>
          <w:lang w:val="fr-FR"/>
        </w:rPr>
        <w:tab/>
      </w:r>
      <w:r w:rsidR="0037647D" w:rsidRPr="00941FA7">
        <w:rPr>
          <w:lang w:val="fr-FR"/>
        </w:rPr>
        <w:t>Le Secrétariat exprime sa sincère reconnaissance aux Parties contractantes et aux donateurs pour leurs contributions volontaires aux activités non administratives de la Convention.</w:t>
      </w:r>
    </w:p>
    <w:p w:rsidR="007768A1" w:rsidRPr="00941FA7" w:rsidRDefault="007768A1" w:rsidP="00464D2B">
      <w:pPr>
        <w:pStyle w:val="NoSpacing"/>
        <w:rPr>
          <w:b/>
          <w:lang w:val="fr-FR"/>
        </w:rPr>
      </w:pPr>
    </w:p>
    <w:p w:rsidR="0075376A" w:rsidRPr="00941FA7" w:rsidRDefault="0037647D" w:rsidP="00043287">
      <w:pPr>
        <w:pStyle w:val="NoSpacing"/>
        <w:keepNext/>
        <w:rPr>
          <w:i/>
          <w:lang w:val="fr-FR"/>
        </w:rPr>
      </w:pPr>
      <w:r w:rsidRPr="00941FA7">
        <w:rPr>
          <w:i/>
          <w:lang w:val="fr-FR"/>
        </w:rPr>
        <w:t>Contributions volontaires de la Région Afrique</w:t>
      </w:r>
    </w:p>
    <w:p w:rsidR="00A42238" w:rsidRPr="00941FA7" w:rsidRDefault="00A42238" w:rsidP="00043287">
      <w:pPr>
        <w:pStyle w:val="NoSpacing"/>
        <w:keepNext/>
        <w:rPr>
          <w:b/>
          <w:lang w:val="fr-FR"/>
        </w:rPr>
      </w:pPr>
    </w:p>
    <w:p w:rsidR="00D87A0A" w:rsidRPr="00941FA7" w:rsidRDefault="004D0989" w:rsidP="00162710">
      <w:pPr>
        <w:rPr>
          <w:lang w:val="fr-FR"/>
        </w:rPr>
      </w:pPr>
      <w:r w:rsidRPr="00941FA7">
        <w:rPr>
          <w:lang w:val="fr-FR"/>
        </w:rPr>
        <w:t>32</w:t>
      </w:r>
      <w:r w:rsidR="00B10EA9" w:rsidRPr="00941FA7">
        <w:rPr>
          <w:lang w:val="fr-FR"/>
        </w:rPr>
        <w:t>.</w:t>
      </w:r>
      <w:r w:rsidR="00B10EA9" w:rsidRPr="00941FA7">
        <w:rPr>
          <w:lang w:val="fr-FR"/>
        </w:rPr>
        <w:tab/>
      </w:r>
      <w:r w:rsidR="0037647D" w:rsidRPr="00941FA7">
        <w:rPr>
          <w:lang w:val="fr-FR"/>
        </w:rPr>
        <w:t>En</w:t>
      </w:r>
      <w:r w:rsidR="00D87A0A" w:rsidRPr="00941FA7">
        <w:rPr>
          <w:lang w:val="fr-FR"/>
        </w:rPr>
        <w:t xml:space="preserve"> </w:t>
      </w:r>
      <w:r w:rsidR="00233BB2" w:rsidRPr="00941FA7">
        <w:rPr>
          <w:lang w:val="fr-FR"/>
        </w:rPr>
        <w:t>2021</w:t>
      </w:r>
      <w:r w:rsidR="00714E11" w:rsidRPr="00941FA7">
        <w:rPr>
          <w:lang w:val="fr-FR"/>
        </w:rPr>
        <w:t>,</w:t>
      </w:r>
      <w:r w:rsidR="0037647D" w:rsidRPr="00941FA7">
        <w:rPr>
          <w:lang w:val="fr-FR"/>
        </w:rPr>
        <w:t xml:space="preserve"> </w:t>
      </w:r>
      <w:r w:rsidR="00C24303" w:rsidRPr="00941FA7">
        <w:rPr>
          <w:lang w:val="fr-FR"/>
        </w:rPr>
        <w:t xml:space="preserve">la </w:t>
      </w:r>
      <w:r w:rsidR="0037647D" w:rsidRPr="00941FA7">
        <w:rPr>
          <w:lang w:val="fr-FR"/>
        </w:rPr>
        <w:t xml:space="preserve">contribution volontaire nette des Parties contractantes de la région Afrique s’est élevée à </w:t>
      </w:r>
      <w:r w:rsidR="00233BB2" w:rsidRPr="00941FA7">
        <w:rPr>
          <w:lang w:val="fr-FR"/>
        </w:rPr>
        <w:t>11</w:t>
      </w:r>
      <w:r w:rsidR="0037647D" w:rsidRPr="00941FA7">
        <w:rPr>
          <w:lang w:val="fr-FR"/>
        </w:rPr>
        <w:t> 000 CHF</w:t>
      </w:r>
      <w:r w:rsidR="00B00E07" w:rsidRPr="00941FA7">
        <w:rPr>
          <w:lang w:val="fr-FR"/>
        </w:rPr>
        <w:t>.</w:t>
      </w:r>
    </w:p>
    <w:p w:rsidR="00D87A0A" w:rsidRPr="00941FA7" w:rsidRDefault="00D87A0A" w:rsidP="00162710">
      <w:pPr>
        <w:rPr>
          <w:lang w:val="fr-FR"/>
        </w:rPr>
      </w:pPr>
    </w:p>
    <w:p w:rsidR="008D2D48" w:rsidRPr="00941FA7" w:rsidRDefault="004D0989" w:rsidP="005213B0">
      <w:pPr>
        <w:rPr>
          <w:lang w:val="fr-FR"/>
        </w:rPr>
      </w:pPr>
      <w:r w:rsidRPr="00941FA7">
        <w:rPr>
          <w:lang w:val="fr-FR"/>
        </w:rPr>
        <w:t>33</w:t>
      </w:r>
      <w:r w:rsidR="00DA6FAA" w:rsidRPr="00941FA7">
        <w:rPr>
          <w:lang w:val="fr-FR"/>
        </w:rPr>
        <w:t>.</w:t>
      </w:r>
      <w:r w:rsidR="00DA6FAA" w:rsidRPr="00941FA7">
        <w:rPr>
          <w:lang w:val="fr-FR"/>
        </w:rPr>
        <w:tab/>
      </w:r>
      <w:r w:rsidR="0050059B" w:rsidRPr="00941FA7">
        <w:rPr>
          <w:lang w:val="fr-FR"/>
        </w:rPr>
        <w:t xml:space="preserve">Conformément </w:t>
      </w:r>
      <w:r w:rsidR="00C24303" w:rsidRPr="00941FA7">
        <w:rPr>
          <w:lang w:val="fr-FR"/>
        </w:rPr>
        <w:t>aux dispositions de</w:t>
      </w:r>
      <w:r w:rsidR="0050059B" w:rsidRPr="00941FA7">
        <w:rPr>
          <w:lang w:val="fr-FR"/>
        </w:rPr>
        <w:t xml:space="preserve"> la Décision SC58-16, et sur la base du solde des contributions examiné par le Comité permanent à la fin 2018, le Sec</w:t>
      </w:r>
      <w:r w:rsidR="00C24303" w:rsidRPr="00941FA7">
        <w:rPr>
          <w:lang w:val="fr-FR"/>
        </w:rPr>
        <w:t>rétariat a attribué des fonds pour un montant total de 91 </w:t>
      </w:r>
      <w:r w:rsidR="0050059B" w:rsidRPr="00941FA7">
        <w:rPr>
          <w:lang w:val="fr-FR"/>
        </w:rPr>
        <w:t xml:space="preserve">000 CHF aux Initiatives régionales Ramsar en Afrique </w:t>
      </w:r>
      <w:r w:rsidR="00A2612D" w:rsidRPr="00941FA7">
        <w:rPr>
          <w:lang w:val="fr-FR"/>
        </w:rPr>
        <w:t>qui ont été répartis comme suit : 30 </w:t>
      </w:r>
      <w:r w:rsidR="0050059B" w:rsidRPr="00941FA7">
        <w:rPr>
          <w:lang w:val="fr-FR"/>
        </w:rPr>
        <w:t xml:space="preserve">333 CHF au Centre Ramsar pour l'Afrique orientale (RamCEA), </w:t>
      </w:r>
      <w:r w:rsidR="00A2612D" w:rsidRPr="00941FA7">
        <w:rPr>
          <w:lang w:val="fr-FR"/>
        </w:rPr>
        <w:t>30 333 CHF à l’</w:t>
      </w:r>
      <w:r w:rsidR="0050059B" w:rsidRPr="00941FA7">
        <w:rPr>
          <w:lang w:val="fr-FR"/>
        </w:rPr>
        <w:t xml:space="preserve">Initiative régionale Ramsar pour les zones </w:t>
      </w:r>
      <w:r w:rsidR="00653DEF" w:rsidRPr="00941FA7">
        <w:rPr>
          <w:lang w:val="fr-FR"/>
        </w:rPr>
        <w:t>humides côtières d’</w:t>
      </w:r>
      <w:r w:rsidR="0050059B" w:rsidRPr="00941FA7">
        <w:rPr>
          <w:lang w:val="fr-FR"/>
        </w:rPr>
        <w:t xml:space="preserve">Afrique de l'Ouest (WaCoWet) et </w:t>
      </w:r>
      <w:r w:rsidR="00A2612D" w:rsidRPr="00941FA7">
        <w:rPr>
          <w:lang w:val="fr-FR"/>
        </w:rPr>
        <w:t>30 333 CHF à l’</w:t>
      </w:r>
      <w:r w:rsidR="0050059B" w:rsidRPr="00941FA7">
        <w:rPr>
          <w:lang w:val="fr-FR"/>
        </w:rPr>
        <w:t>Initiative régionale Ramsar pour le bassin du fleuve Niger (NigerWet).</w:t>
      </w:r>
    </w:p>
    <w:p w:rsidR="008D2D48" w:rsidRPr="00941FA7" w:rsidRDefault="008D2D48" w:rsidP="00DA6FAA">
      <w:pPr>
        <w:rPr>
          <w:lang w:val="fr-FR"/>
        </w:rPr>
      </w:pPr>
    </w:p>
    <w:p w:rsidR="00613E01" w:rsidRPr="00941FA7" w:rsidRDefault="00523B6B" w:rsidP="005213B0">
      <w:pPr>
        <w:rPr>
          <w:lang w:val="fr-FR"/>
        </w:rPr>
      </w:pPr>
      <w:r w:rsidRPr="00941FA7">
        <w:rPr>
          <w:lang w:val="fr-FR"/>
        </w:rPr>
        <w:t>3</w:t>
      </w:r>
      <w:r w:rsidR="004D0989" w:rsidRPr="00941FA7">
        <w:rPr>
          <w:lang w:val="fr-FR"/>
        </w:rPr>
        <w:t>4</w:t>
      </w:r>
      <w:r w:rsidR="002F74F9" w:rsidRPr="00941FA7">
        <w:rPr>
          <w:lang w:val="fr-FR"/>
        </w:rPr>
        <w:t>.</w:t>
      </w:r>
      <w:r w:rsidR="008D2D48" w:rsidRPr="00941FA7">
        <w:rPr>
          <w:lang w:val="fr-FR"/>
        </w:rPr>
        <w:tab/>
      </w:r>
      <w:r w:rsidR="0050059B" w:rsidRPr="00941FA7">
        <w:rPr>
          <w:lang w:val="fr-FR"/>
        </w:rPr>
        <w:t xml:space="preserve">La première tranche a été </w:t>
      </w:r>
      <w:r w:rsidR="00A2612D" w:rsidRPr="00941FA7">
        <w:rPr>
          <w:lang w:val="fr-FR"/>
        </w:rPr>
        <w:t>distribuée</w:t>
      </w:r>
      <w:r w:rsidR="0050059B" w:rsidRPr="00941FA7">
        <w:rPr>
          <w:lang w:val="fr-FR"/>
        </w:rPr>
        <w:t xml:space="preserve"> à WACoWet et NigerWet en 2020 et</w:t>
      </w:r>
      <w:r w:rsidR="00E8249B" w:rsidRPr="00941FA7">
        <w:rPr>
          <w:lang w:val="fr-FR"/>
        </w:rPr>
        <w:t xml:space="preserve"> </w:t>
      </w:r>
      <w:r w:rsidR="0050059B" w:rsidRPr="00941FA7">
        <w:rPr>
          <w:lang w:val="fr-FR"/>
        </w:rPr>
        <w:t>à RamCEA en</w:t>
      </w:r>
      <w:r w:rsidR="001B299C" w:rsidRPr="00941FA7">
        <w:rPr>
          <w:lang w:val="fr-FR"/>
        </w:rPr>
        <w:t xml:space="preserve"> </w:t>
      </w:r>
      <w:r w:rsidR="00E8249B" w:rsidRPr="00941FA7">
        <w:rPr>
          <w:lang w:val="fr-FR"/>
        </w:rPr>
        <w:t xml:space="preserve">2021. </w:t>
      </w:r>
      <w:r w:rsidR="002E2167" w:rsidRPr="00941FA7">
        <w:rPr>
          <w:lang w:val="fr-FR"/>
        </w:rPr>
        <w:t xml:space="preserve">NigerWet </w:t>
      </w:r>
      <w:r w:rsidR="0050059B" w:rsidRPr="00941FA7">
        <w:rPr>
          <w:lang w:val="fr-FR"/>
        </w:rPr>
        <w:t>et</w:t>
      </w:r>
      <w:r w:rsidR="002E2167" w:rsidRPr="00941FA7">
        <w:rPr>
          <w:lang w:val="fr-FR"/>
        </w:rPr>
        <w:t xml:space="preserve"> RAMCea </w:t>
      </w:r>
      <w:r w:rsidR="0050059B" w:rsidRPr="00941FA7">
        <w:rPr>
          <w:lang w:val="fr-FR"/>
        </w:rPr>
        <w:t xml:space="preserve">ont reçu la deuxième et dernière tranche en 2021 ; la deuxième et dernière tranche sera versée à </w:t>
      </w:r>
      <w:r w:rsidR="002E2167" w:rsidRPr="00941FA7">
        <w:rPr>
          <w:lang w:val="fr-FR"/>
        </w:rPr>
        <w:t xml:space="preserve">WACoWet </w:t>
      </w:r>
      <w:r w:rsidR="0050059B" w:rsidRPr="00941FA7">
        <w:rPr>
          <w:lang w:val="fr-FR"/>
        </w:rPr>
        <w:t>en</w:t>
      </w:r>
      <w:r w:rsidR="002E2167" w:rsidRPr="00941FA7">
        <w:rPr>
          <w:lang w:val="fr-FR"/>
        </w:rPr>
        <w:t xml:space="preserve"> 2022</w:t>
      </w:r>
      <w:r w:rsidR="002371CB" w:rsidRPr="00941FA7">
        <w:rPr>
          <w:lang w:val="fr-FR"/>
        </w:rPr>
        <w:t xml:space="preserve"> </w:t>
      </w:r>
      <w:r w:rsidR="0050059B" w:rsidRPr="00941FA7">
        <w:rPr>
          <w:lang w:val="fr-FR"/>
        </w:rPr>
        <w:t>à réception des rapports finaux</w:t>
      </w:r>
      <w:r w:rsidR="00E8249B" w:rsidRPr="00941FA7">
        <w:rPr>
          <w:lang w:val="fr-FR"/>
        </w:rPr>
        <w:t>.</w:t>
      </w:r>
    </w:p>
    <w:p w:rsidR="00613E01" w:rsidRPr="00941FA7" w:rsidRDefault="00613E01" w:rsidP="005213B0">
      <w:pPr>
        <w:rPr>
          <w:lang w:val="fr-FR"/>
        </w:rPr>
      </w:pPr>
    </w:p>
    <w:p w:rsidR="00E8249B" w:rsidRPr="00941FA7" w:rsidRDefault="00523B6B" w:rsidP="002F74F9">
      <w:pPr>
        <w:rPr>
          <w:lang w:val="fr-FR"/>
        </w:rPr>
      </w:pPr>
      <w:r w:rsidRPr="00941FA7">
        <w:rPr>
          <w:lang w:val="fr-FR"/>
        </w:rPr>
        <w:t>3</w:t>
      </w:r>
      <w:r w:rsidR="004D0989" w:rsidRPr="00941FA7">
        <w:rPr>
          <w:lang w:val="fr-FR"/>
        </w:rPr>
        <w:t>5</w:t>
      </w:r>
      <w:r w:rsidR="002F74F9" w:rsidRPr="00941FA7">
        <w:rPr>
          <w:lang w:val="fr-FR"/>
        </w:rPr>
        <w:t>.</w:t>
      </w:r>
      <w:r w:rsidR="002F74F9" w:rsidRPr="00941FA7">
        <w:rPr>
          <w:lang w:val="fr-FR"/>
        </w:rPr>
        <w:tab/>
      </w:r>
      <w:r w:rsidR="00A6316D">
        <w:rPr>
          <w:lang w:val="fr-FR"/>
        </w:rPr>
        <w:t>Les</w:t>
      </w:r>
      <w:r w:rsidR="00E8249B" w:rsidRPr="00941FA7">
        <w:rPr>
          <w:lang w:val="fr-FR"/>
        </w:rPr>
        <w:t xml:space="preserve"> f</w:t>
      </w:r>
      <w:r w:rsidR="0050059B" w:rsidRPr="00941FA7">
        <w:rPr>
          <w:lang w:val="fr-FR"/>
        </w:rPr>
        <w:t>o</w:t>
      </w:r>
      <w:r w:rsidR="00E8249B" w:rsidRPr="00941FA7">
        <w:rPr>
          <w:lang w:val="fr-FR"/>
        </w:rPr>
        <w:t xml:space="preserve">nds </w:t>
      </w:r>
      <w:r w:rsidR="00613E01" w:rsidRPr="00941FA7">
        <w:rPr>
          <w:lang w:val="fr-FR"/>
        </w:rPr>
        <w:t>re</w:t>
      </w:r>
      <w:r w:rsidR="0050059B" w:rsidRPr="00941FA7">
        <w:rPr>
          <w:lang w:val="fr-FR"/>
        </w:rPr>
        <w:t>çus en</w:t>
      </w:r>
      <w:r w:rsidR="00613E01" w:rsidRPr="00941FA7">
        <w:rPr>
          <w:lang w:val="fr-FR"/>
        </w:rPr>
        <w:t xml:space="preserve"> 2019</w:t>
      </w:r>
      <w:r w:rsidR="00233BB2" w:rsidRPr="00941FA7">
        <w:rPr>
          <w:lang w:val="fr-FR"/>
        </w:rPr>
        <w:t xml:space="preserve">, </w:t>
      </w:r>
      <w:r w:rsidR="00613E01" w:rsidRPr="00941FA7">
        <w:rPr>
          <w:lang w:val="fr-FR"/>
        </w:rPr>
        <w:t>2020</w:t>
      </w:r>
      <w:r w:rsidR="00233BB2" w:rsidRPr="00941FA7">
        <w:rPr>
          <w:lang w:val="fr-FR"/>
        </w:rPr>
        <w:t xml:space="preserve"> </w:t>
      </w:r>
      <w:r w:rsidR="0050059B" w:rsidRPr="00941FA7">
        <w:rPr>
          <w:lang w:val="fr-FR"/>
        </w:rPr>
        <w:t>et</w:t>
      </w:r>
      <w:r w:rsidR="00233BB2" w:rsidRPr="00941FA7">
        <w:rPr>
          <w:lang w:val="fr-FR"/>
        </w:rPr>
        <w:t xml:space="preserve"> 2021</w:t>
      </w:r>
      <w:r w:rsidR="0050059B" w:rsidRPr="00941FA7">
        <w:rPr>
          <w:lang w:val="fr-FR"/>
        </w:rPr>
        <w:t xml:space="preserve"> pour une affectation future s’élèvent à</w:t>
      </w:r>
      <w:r w:rsidR="00E8249B" w:rsidRPr="00941FA7">
        <w:rPr>
          <w:lang w:val="fr-FR"/>
        </w:rPr>
        <w:t xml:space="preserve"> </w:t>
      </w:r>
      <w:r w:rsidR="00233BB2" w:rsidRPr="00941FA7">
        <w:rPr>
          <w:lang w:val="fr-FR"/>
        </w:rPr>
        <w:t>25</w:t>
      </w:r>
      <w:r w:rsidR="0050059B" w:rsidRPr="00941FA7">
        <w:rPr>
          <w:lang w:val="fr-FR"/>
        </w:rPr>
        <w:t> 000 CHF</w:t>
      </w:r>
      <w:r w:rsidR="00702CD4" w:rsidRPr="00941FA7">
        <w:rPr>
          <w:lang w:val="fr-FR"/>
        </w:rPr>
        <w:t xml:space="preserve">, </w:t>
      </w:r>
      <w:r w:rsidR="0050059B" w:rsidRPr="00941FA7">
        <w:rPr>
          <w:lang w:val="fr-FR"/>
        </w:rPr>
        <w:t>ainsi qu’il est indiqué dans le</w:t>
      </w:r>
      <w:r w:rsidR="00702CD4" w:rsidRPr="00941FA7">
        <w:rPr>
          <w:lang w:val="fr-FR"/>
        </w:rPr>
        <w:t xml:space="preserve"> document SC59</w:t>
      </w:r>
      <w:r w:rsidR="00233BB2" w:rsidRPr="00941FA7">
        <w:rPr>
          <w:lang w:val="fr-FR"/>
        </w:rPr>
        <w:t>/2022</w:t>
      </w:r>
      <w:r w:rsidR="00702CD4" w:rsidRPr="00941FA7">
        <w:rPr>
          <w:lang w:val="fr-FR"/>
        </w:rPr>
        <w:t xml:space="preserve"> Doc.8.2 </w:t>
      </w:r>
      <w:r w:rsidR="0050059B" w:rsidRPr="00941FA7">
        <w:rPr>
          <w:i/>
          <w:iCs/>
          <w:lang w:val="fr-FR"/>
        </w:rPr>
        <w:t>État des contributions annuelles</w:t>
      </w:r>
      <w:r w:rsidR="0050059B" w:rsidRPr="00941FA7">
        <w:rPr>
          <w:lang w:val="fr-FR"/>
        </w:rPr>
        <w:t>, paragraphe 27.</w:t>
      </w:r>
    </w:p>
    <w:p w:rsidR="00ED64C2" w:rsidRPr="00941FA7" w:rsidRDefault="00ED64C2" w:rsidP="00162710">
      <w:pPr>
        <w:ind w:left="0" w:firstLine="0"/>
        <w:rPr>
          <w:lang w:val="fr-FR"/>
        </w:rPr>
      </w:pPr>
    </w:p>
    <w:p w:rsidR="00B6236E" w:rsidRPr="00941FA7" w:rsidRDefault="0050059B" w:rsidP="00162710">
      <w:pPr>
        <w:pStyle w:val="NoSpacing"/>
        <w:rPr>
          <w:lang w:val="fr-FR"/>
        </w:rPr>
      </w:pPr>
      <w:r w:rsidRPr="00941FA7">
        <w:rPr>
          <w:b/>
          <w:lang w:val="fr-FR"/>
        </w:rPr>
        <w:t>Budget administratif</w:t>
      </w:r>
      <w:r w:rsidR="00B6236E" w:rsidRPr="00941FA7">
        <w:rPr>
          <w:b/>
          <w:lang w:val="fr-FR"/>
        </w:rPr>
        <w:t xml:space="preserve"> </w:t>
      </w:r>
      <w:r w:rsidR="002E2167" w:rsidRPr="00941FA7">
        <w:rPr>
          <w:b/>
          <w:lang w:val="fr-FR"/>
        </w:rPr>
        <w:t>2022</w:t>
      </w:r>
    </w:p>
    <w:p w:rsidR="00B6236E" w:rsidRPr="00941FA7" w:rsidRDefault="00B6236E" w:rsidP="00162710">
      <w:pPr>
        <w:pStyle w:val="NoSpacing"/>
        <w:ind w:left="360" w:firstLine="0"/>
        <w:rPr>
          <w:lang w:val="fr-FR"/>
        </w:rPr>
      </w:pPr>
    </w:p>
    <w:p w:rsidR="0068245B" w:rsidRPr="00941FA7" w:rsidRDefault="00523B6B" w:rsidP="0068245B">
      <w:pPr>
        <w:rPr>
          <w:lang w:val="fr-FR"/>
        </w:rPr>
      </w:pPr>
      <w:r w:rsidRPr="00941FA7">
        <w:rPr>
          <w:lang w:val="fr-FR"/>
        </w:rPr>
        <w:t>3</w:t>
      </w:r>
      <w:r w:rsidR="004D0989" w:rsidRPr="00941FA7">
        <w:rPr>
          <w:lang w:val="fr-FR"/>
        </w:rPr>
        <w:t>6</w:t>
      </w:r>
      <w:r w:rsidR="00B6236E" w:rsidRPr="00941FA7">
        <w:rPr>
          <w:lang w:val="fr-FR"/>
        </w:rPr>
        <w:t>.</w:t>
      </w:r>
      <w:r w:rsidR="00B6236E" w:rsidRPr="00941FA7">
        <w:rPr>
          <w:lang w:val="fr-FR"/>
        </w:rPr>
        <w:tab/>
      </w:r>
      <w:r w:rsidR="0068245B" w:rsidRPr="00941FA7">
        <w:rPr>
          <w:lang w:val="fr-FR"/>
        </w:rPr>
        <w:t>Une synthèse du budget proposé pour 202</w:t>
      </w:r>
      <w:r w:rsidR="00C45513" w:rsidRPr="00941FA7">
        <w:rPr>
          <w:lang w:val="fr-FR"/>
        </w:rPr>
        <w:t>2</w:t>
      </w:r>
      <w:r w:rsidR="0068245B" w:rsidRPr="00941FA7">
        <w:rPr>
          <w:lang w:val="fr-FR"/>
        </w:rPr>
        <w:t xml:space="preserve"> figure à l’annexe 4</w:t>
      </w:r>
      <w:r w:rsidR="00B6236E" w:rsidRPr="00941FA7">
        <w:rPr>
          <w:lang w:val="fr-FR"/>
        </w:rPr>
        <w:t xml:space="preserve">. </w:t>
      </w:r>
      <w:r w:rsidR="0068245B" w:rsidRPr="00941FA7">
        <w:rPr>
          <w:lang w:val="fr-FR"/>
        </w:rPr>
        <w:t>Elle comprend le budget approuvé par l’ExCOP3 de 5 </w:t>
      </w:r>
      <w:r w:rsidR="00B6236E" w:rsidRPr="00941FA7">
        <w:rPr>
          <w:lang w:val="fr-FR"/>
        </w:rPr>
        <w:t>081</w:t>
      </w:r>
      <w:r w:rsidR="0068245B" w:rsidRPr="00941FA7">
        <w:rPr>
          <w:lang w:val="fr-FR"/>
        </w:rPr>
        <w:t> 000 CHF </w:t>
      </w:r>
      <w:r w:rsidR="00B6236E" w:rsidRPr="00941FA7">
        <w:rPr>
          <w:lang w:val="fr-FR"/>
        </w:rPr>
        <w:t xml:space="preserve">; </w:t>
      </w:r>
      <w:r w:rsidR="0068245B" w:rsidRPr="00941FA7">
        <w:rPr>
          <w:lang w:val="fr-FR"/>
        </w:rPr>
        <w:t xml:space="preserve">l’utilisation autorisée </w:t>
      </w:r>
      <w:r w:rsidR="00C45513" w:rsidRPr="00941FA7">
        <w:rPr>
          <w:lang w:val="fr-FR"/>
        </w:rPr>
        <w:t>des économies réalisées sur le</w:t>
      </w:r>
      <w:r w:rsidR="0068245B" w:rsidRPr="00941FA7">
        <w:rPr>
          <w:lang w:val="fr-FR"/>
        </w:rPr>
        <w:t xml:space="preserve"> budget </w:t>
      </w:r>
      <w:r w:rsidR="002E2167" w:rsidRPr="00941FA7">
        <w:rPr>
          <w:lang w:val="fr-FR"/>
        </w:rPr>
        <w:t xml:space="preserve">2020 </w:t>
      </w:r>
      <w:r w:rsidR="00C45513" w:rsidRPr="00941FA7">
        <w:rPr>
          <w:lang w:val="fr-FR"/>
        </w:rPr>
        <w:t>pour</w:t>
      </w:r>
      <w:r w:rsidR="0068245B" w:rsidRPr="00941FA7">
        <w:rPr>
          <w:lang w:val="fr-FR"/>
        </w:rPr>
        <w:t xml:space="preserve"> 196 000 CHF </w:t>
      </w:r>
      <w:r w:rsidR="00CC3282" w:rsidRPr="00941FA7">
        <w:rPr>
          <w:lang w:val="fr-FR"/>
        </w:rPr>
        <w:t>;</w:t>
      </w:r>
      <w:r w:rsidR="0068245B" w:rsidRPr="00941FA7">
        <w:rPr>
          <w:lang w:val="fr-FR"/>
        </w:rPr>
        <w:t xml:space="preserve"> les fonds pr</w:t>
      </w:r>
      <w:r w:rsidR="00C45513" w:rsidRPr="00941FA7">
        <w:rPr>
          <w:lang w:val="fr-FR"/>
        </w:rPr>
        <w:t>é</w:t>
      </w:r>
      <w:r w:rsidR="0068245B" w:rsidRPr="00941FA7">
        <w:rPr>
          <w:lang w:val="fr-FR"/>
        </w:rPr>
        <w:t>engagés du budget</w:t>
      </w:r>
      <w:r w:rsidR="000F55F2" w:rsidRPr="00941FA7">
        <w:rPr>
          <w:lang w:val="fr-FR"/>
        </w:rPr>
        <w:t xml:space="preserve"> </w:t>
      </w:r>
      <w:r w:rsidR="002E2167" w:rsidRPr="00941FA7">
        <w:rPr>
          <w:lang w:val="fr-FR"/>
        </w:rPr>
        <w:t xml:space="preserve">2021 </w:t>
      </w:r>
      <w:r w:rsidR="0068245B" w:rsidRPr="00941FA7">
        <w:rPr>
          <w:lang w:val="fr-FR"/>
        </w:rPr>
        <w:t>à dépenser en</w:t>
      </w:r>
      <w:r w:rsidR="00AD3CE9" w:rsidRPr="00941FA7">
        <w:rPr>
          <w:lang w:val="fr-FR"/>
        </w:rPr>
        <w:t xml:space="preserve"> </w:t>
      </w:r>
      <w:r w:rsidR="002E2167" w:rsidRPr="00941FA7">
        <w:rPr>
          <w:lang w:val="fr-FR"/>
        </w:rPr>
        <w:t xml:space="preserve">2022 </w:t>
      </w:r>
      <w:r w:rsidR="0068245B" w:rsidRPr="00941FA7">
        <w:rPr>
          <w:lang w:val="fr-FR"/>
        </w:rPr>
        <w:t>pour un montant de</w:t>
      </w:r>
      <w:r w:rsidR="00AD3CE9" w:rsidRPr="00941FA7">
        <w:rPr>
          <w:lang w:val="fr-FR"/>
        </w:rPr>
        <w:t xml:space="preserve"> </w:t>
      </w:r>
      <w:r w:rsidR="002371CB" w:rsidRPr="00941FA7">
        <w:rPr>
          <w:lang w:val="fr-FR"/>
        </w:rPr>
        <w:t>767</w:t>
      </w:r>
      <w:r w:rsidR="0068245B" w:rsidRPr="00941FA7">
        <w:rPr>
          <w:lang w:val="fr-FR"/>
        </w:rPr>
        <w:t> 000 CHF </w:t>
      </w:r>
      <w:r w:rsidR="00E97CCB" w:rsidRPr="00941FA7">
        <w:rPr>
          <w:lang w:val="fr-FR"/>
        </w:rPr>
        <w:t xml:space="preserve">; </w:t>
      </w:r>
      <w:r w:rsidR="0068245B" w:rsidRPr="00941FA7">
        <w:rPr>
          <w:lang w:val="fr-FR"/>
        </w:rPr>
        <w:t>l’affectation approuvée en intersession</w:t>
      </w:r>
      <w:r w:rsidR="00A6316D">
        <w:rPr>
          <w:lang w:val="fr-FR"/>
        </w:rPr>
        <w:t>s</w:t>
      </w:r>
      <w:r w:rsidR="0068245B" w:rsidRPr="00941FA7">
        <w:rPr>
          <w:lang w:val="fr-FR"/>
        </w:rPr>
        <w:t xml:space="preserve"> d’un montant po</w:t>
      </w:r>
      <w:r w:rsidR="00C45513" w:rsidRPr="00941FA7">
        <w:rPr>
          <w:lang w:val="fr-FR"/>
        </w:rPr>
        <w:t>uvant atteindre 89 500</w:t>
      </w:r>
      <w:r w:rsidR="0068245B" w:rsidRPr="00941FA7">
        <w:rPr>
          <w:lang w:val="fr-FR"/>
        </w:rPr>
        <w:t> CHF</w:t>
      </w:r>
      <w:r w:rsidR="00AA5DF5" w:rsidRPr="00941FA7">
        <w:rPr>
          <w:lang w:val="fr-FR"/>
        </w:rPr>
        <w:t xml:space="preserve"> </w:t>
      </w:r>
      <w:r w:rsidR="0068245B" w:rsidRPr="00941FA7">
        <w:rPr>
          <w:lang w:val="fr-FR"/>
        </w:rPr>
        <w:t xml:space="preserve">pour le recrutement du prochain Secrétaire général, et le fonds de réserve supplémentaire </w:t>
      </w:r>
      <w:r w:rsidR="00C45513" w:rsidRPr="00941FA7">
        <w:rPr>
          <w:lang w:val="fr-FR"/>
        </w:rPr>
        <w:t>de</w:t>
      </w:r>
      <w:r w:rsidR="00E97CCB" w:rsidRPr="00941FA7">
        <w:rPr>
          <w:lang w:val="fr-FR"/>
        </w:rPr>
        <w:t xml:space="preserve"> </w:t>
      </w:r>
      <w:r w:rsidR="0068245B" w:rsidRPr="00941FA7">
        <w:rPr>
          <w:lang w:val="fr-FR"/>
        </w:rPr>
        <w:t>406 500</w:t>
      </w:r>
      <w:r w:rsidR="00E97CCB" w:rsidRPr="00941FA7">
        <w:rPr>
          <w:lang w:val="fr-FR"/>
        </w:rPr>
        <w:t xml:space="preserve"> </w:t>
      </w:r>
      <w:r w:rsidR="0068245B" w:rsidRPr="00941FA7">
        <w:rPr>
          <w:lang w:val="fr-FR"/>
        </w:rPr>
        <w:t xml:space="preserve">CHF </w:t>
      </w:r>
      <w:r w:rsidR="00C45513" w:rsidRPr="00941FA7">
        <w:rPr>
          <w:lang w:val="fr-FR"/>
        </w:rPr>
        <w:t xml:space="preserve">sur le </w:t>
      </w:r>
      <w:r w:rsidR="0068245B" w:rsidRPr="00941FA7">
        <w:rPr>
          <w:lang w:val="fr-FR"/>
        </w:rPr>
        <w:t>« </w:t>
      </w:r>
      <w:r w:rsidR="006039B6" w:rsidRPr="00941FA7">
        <w:rPr>
          <w:rFonts w:eastAsia="Times New Roman" w:cs="Calibri"/>
          <w:color w:val="000000"/>
          <w:lang w:val="fr-FR" w:eastAsia="en-GB"/>
        </w:rPr>
        <w:t>Budget 2020 - SC58 et économies non engagées reportées</w:t>
      </w:r>
      <w:r w:rsidR="0068245B" w:rsidRPr="00941FA7">
        <w:rPr>
          <w:lang w:val="fr-FR"/>
        </w:rPr>
        <w:t xml:space="preserve"> ». Le montant total du budget administratif </w:t>
      </w:r>
      <w:r w:rsidR="00C45513" w:rsidRPr="00941FA7">
        <w:rPr>
          <w:lang w:val="fr-FR"/>
        </w:rPr>
        <w:t xml:space="preserve">proposé pour </w:t>
      </w:r>
      <w:r w:rsidR="0068245B" w:rsidRPr="00941FA7">
        <w:rPr>
          <w:lang w:val="fr-FR"/>
        </w:rPr>
        <w:t>2022 s’élève donc à 6 539 000 CHF.</w:t>
      </w:r>
    </w:p>
    <w:p w:rsidR="009B0B07" w:rsidRPr="00941FA7" w:rsidRDefault="009B0B07" w:rsidP="007D1724">
      <w:pPr>
        <w:rPr>
          <w:lang w:val="fr-FR"/>
        </w:rPr>
      </w:pPr>
    </w:p>
    <w:p w:rsidR="0068245B" w:rsidRPr="00941FA7" w:rsidRDefault="00523B6B" w:rsidP="009B0B07">
      <w:pPr>
        <w:rPr>
          <w:lang w:val="fr-FR"/>
        </w:rPr>
      </w:pPr>
      <w:r w:rsidRPr="00941FA7">
        <w:rPr>
          <w:lang w:val="fr-FR"/>
        </w:rPr>
        <w:t>3</w:t>
      </w:r>
      <w:r w:rsidR="004D0989" w:rsidRPr="00941FA7">
        <w:rPr>
          <w:lang w:val="fr-FR"/>
        </w:rPr>
        <w:t>7</w:t>
      </w:r>
      <w:r w:rsidR="009B0B07" w:rsidRPr="00941FA7">
        <w:rPr>
          <w:lang w:val="fr-FR"/>
        </w:rPr>
        <w:t>.</w:t>
      </w:r>
      <w:r w:rsidR="009B0B07" w:rsidRPr="00941FA7">
        <w:rPr>
          <w:lang w:val="fr-FR"/>
        </w:rPr>
        <w:tab/>
      </w:r>
      <w:r w:rsidR="0068245B" w:rsidRPr="00941FA7">
        <w:rPr>
          <w:lang w:val="fr-FR"/>
        </w:rPr>
        <w:t>Le d</w:t>
      </w:r>
      <w:r w:rsidR="00AA5DF5" w:rsidRPr="00941FA7">
        <w:rPr>
          <w:lang w:val="fr-FR"/>
        </w:rPr>
        <w:t xml:space="preserve">ocument </w:t>
      </w:r>
      <w:r w:rsidR="009B0B07" w:rsidRPr="00941FA7">
        <w:rPr>
          <w:lang w:val="fr-FR"/>
        </w:rPr>
        <w:t xml:space="preserve">SC59 </w:t>
      </w:r>
      <w:r w:rsidR="001F4428" w:rsidRPr="00941FA7">
        <w:rPr>
          <w:lang w:val="fr-FR"/>
        </w:rPr>
        <w:t>Doc.</w:t>
      </w:r>
      <w:r w:rsidR="009B0B07" w:rsidRPr="00941FA7">
        <w:rPr>
          <w:lang w:val="fr-FR"/>
        </w:rPr>
        <w:t xml:space="preserve">21.2 </w:t>
      </w:r>
      <w:r w:rsidR="0068245B" w:rsidRPr="00941FA7">
        <w:rPr>
          <w:i/>
          <w:iCs/>
          <w:lang w:val="fr-FR"/>
        </w:rPr>
        <w:t>Rapport du Secrétariat sur les initiatives régionales Ramsar</w:t>
      </w:r>
      <w:r w:rsidR="0068245B" w:rsidRPr="00941FA7">
        <w:rPr>
          <w:lang w:val="fr-FR"/>
        </w:rPr>
        <w:t xml:space="preserve"> n’a pas été examiné en 2021. </w:t>
      </w:r>
      <w:r w:rsidR="000F074C" w:rsidRPr="00941FA7">
        <w:rPr>
          <w:lang w:val="fr-FR"/>
        </w:rPr>
        <w:t>Les IRR</w:t>
      </w:r>
      <w:r w:rsidR="00AA7A96" w:rsidRPr="00941FA7">
        <w:rPr>
          <w:lang w:val="fr-FR"/>
        </w:rPr>
        <w:t xml:space="preserve"> ont déjà reçu l’</w:t>
      </w:r>
      <w:r w:rsidR="000F074C" w:rsidRPr="00941FA7">
        <w:rPr>
          <w:lang w:val="fr-FR"/>
        </w:rPr>
        <w:t xml:space="preserve">allocation maximale </w:t>
      </w:r>
      <w:r w:rsidR="00A6316D">
        <w:rPr>
          <w:lang w:val="fr-FR"/>
        </w:rPr>
        <w:t>au cours d</w:t>
      </w:r>
      <w:r w:rsidR="000F074C" w:rsidRPr="00941FA7">
        <w:rPr>
          <w:lang w:val="fr-FR"/>
        </w:rPr>
        <w:t xml:space="preserve">es deux périodes triennales, </w:t>
      </w:r>
      <w:r w:rsidR="00AA7A96" w:rsidRPr="00941FA7">
        <w:rPr>
          <w:lang w:val="fr-FR"/>
        </w:rPr>
        <w:t xml:space="preserve">et </w:t>
      </w:r>
      <w:r w:rsidR="000F074C" w:rsidRPr="00941FA7">
        <w:rPr>
          <w:lang w:val="fr-FR"/>
        </w:rPr>
        <w:t>aucune autre alloca</w:t>
      </w:r>
      <w:r w:rsidR="00AA7A96" w:rsidRPr="00941FA7">
        <w:rPr>
          <w:lang w:val="fr-FR"/>
        </w:rPr>
        <w:t>tion n’</w:t>
      </w:r>
      <w:r w:rsidR="000F074C" w:rsidRPr="00941FA7">
        <w:rPr>
          <w:lang w:val="fr-FR"/>
        </w:rPr>
        <w:t>est donc prévue. Le budget 2022 approuvé par l’ExCOP3 comprend un</w:t>
      </w:r>
      <w:r w:rsidR="00AA7A96" w:rsidRPr="00941FA7">
        <w:rPr>
          <w:lang w:val="fr-FR"/>
        </w:rPr>
        <w:t xml:space="preserve"> montant</w:t>
      </w:r>
      <w:r w:rsidR="000F074C" w:rsidRPr="00941FA7">
        <w:rPr>
          <w:lang w:val="fr-FR"/>
        </w:rPr>
        <w:t xml:space="preserve"> total de CHF 100 000 inscrit à la ligne budgétaire IRR « Réseau</w:t>
      </w:r>
      <w:r w:rsidR="00A6316D">
        <w:rPr>
          <w:lang w:val="fr-FR"/>
        </w:rPr>
        <w:t>x</w:t>
      </w:r>
      <w:r w:rsidR="000F074C" w:rsidRPr="00941FA7">
        <w:rPr>
          <w:lang w:val="fr-FR"/>
        </w:rPr>
        <w:t xml:space="preserve"> et centres régionaux ». Le Secrétariat propose de reporter ces fonds sur la prochaine période triennale, pour examen par la SC62 (mai-juin 2023) pour toute nouvelle IRR approuvée par la COP14.</w:t>
      </w:r>
    </w:p>
    <w:p w:rsidR="008B654C" w:rsidRPr="00941FA7" w:rsidRDefault="008B654C" w:rsidP="009B0B07">
      <w:pPr>
        <w:rPr>
          <w:lang w:val="fr-FR"/>
        </w:rPr>
      </w:pPr>
    </w:p>
    <w:p w:rsidR="00520563" w:rsidRPr="00941FA7" w:rsidRDefault="000F074C" w:rsidP="00520563">
      <w:pPr>
        <w:ind w:left="0" w:firstLine="0"/>
        <w:rPr>
          <w:i/>
          <w:lang w:val="fr-FR"/>
        </w:rPr>
      </w:pPr>
      <w:r w:rsidRPr="00941FA7">
        <w:rPr>
          <w:i/>
          <w:lang w:val="fr-FR"/>
        </w:rPr>
        <w:t>Ajustements apportés au budget approuvé à l’</w:t>
      </w:r>
      <w:r w:rsidR="008F7A15" w:rsidRPr="00941FA7">
        <w:rPr>
          <w:i/>
          <w:lang w:val="fr-FR"/>
        </w:rPr>
        <w:t>Ex</w:t>
      </w:r>
      <w:r w:rsidR="0023624E" w:rsidRPr="00941FA7">
        <w:rPr>
          <w:i/>
          <w:lang w:val="fr-FR"/>
        </w:rPr>
        <w:t>COP3</w:t>
      </w:r>
    </w:p>
    <w:p w:rsidR="00520563" w:rsidRPr="00941FA7" w:rsidRDefault="00520563" w:rsidP="00162710">
      <w:pPr>
        <w:ind w:firstLine="0"/>
        <w:rPr>
          <w:lang w:val="fr-FR"/>
        </w:rPr>
      </w:pPr>
    </w:p>
    <w:p w:rsidR="00CD1C73" w:rsidRPr="00941FA7" w:rsidRDefault="00523B6B" w:rsidP="009063E7">
      <w:pPr>
        <w:rPr>
          <w:lang w:val="fr-FR"/>
        </w:rPr>
      </w:pPr>
      <w:r w:rsidRPr="00941FA7">
        <w:rPr>
          <w:lang w:val="fr-FR"/>
        </w:rPr>
        <w:t>3</w:t>
      </w:r>
      <w:r w:rsidR="004D0989" w:rsidRPr="00941FA7">
        <w:rPr>
          <w:lang w:val="fr-FR"/>
        </w:rPr>
        <w:t>8</w:t>
      </w:r>
      <w:r w:rsidR="004A3437">
        <w:rPr>
          <w:lang w:val="fr-FR"/>
        </w:rPr>
        <w:t>.</w:t>
      </w:r>
      <w:r w:rsidR="004A3437">
        <w:rPr>
          <w:lang w:val="fr-FR"/>
        </w:rPr>
        <w:tab/>
        <w:t>Dans l</w:t>
      </w:r>
      <w:r w:rsidR="00CD1C73" w:rsidRPr="00941FA7">
        <w:rPr>
          <w:lang w:val="fr-FR"/>
        </w:rPr>
        <w:t xml:space="preserve">a décision intersessions </w:t>
      </w:r>
      <w:r w:rsidR="004A3437">
        <w:rPr>
          <w:lang w:val="fr-FR"/>
        </w:rPr>
        <w:t>d’</w:t>
      </w:r>
      <w:r w:rsidR="004A3437" w:rsidRPr="00941FA7">
        <w:rPr>
          <w:lang w:val="fr-FR"/>
        </w:rPr>
        <w:t>avril 2022</w:t>
      </w:r>
      <w:r w:rsidR="004A3437">
        <w:rPr>
          <w:lang w:val="fr-FR"/>
        </w:rPr>
        <w:t>,</w:t>
      </w:r>
      <w:r w:rsidR="004A3437" w:rsidRPr="00941FA7">
        <w:rPr>
          <w:lang w:val="fr-FR"/>
        </w:rPr>
        <w:t xml:space="preserve"> </w:t>
      </w:r>
      <w:r w:rsidR="004A3437">
        <w:rPr>
          <w:lang w:val="fr-FR"/>
        </w:rPr>
        <w:t>le</w:t>
      </w:r>
      <w:r w:rsidR="00CD1C73" w:rsidRPr="00941FA7">
        <w:rPr>
          <w:lang w:val="fr-FR"/>
        </w:rPr>
        <w:t xml:space="preserve"> Comité permanent </w:t>
      </w:r>
      <w:r w:rsidR="001F48E0" w:rsidRPr="00941FA7">
        <w:rPr>
          <w:lang w:val="fr-FR"/>
        </w:rPr>
        <w:t xml:space="preserve">a approuvé </w:t>
      </w:r>
      <w:r w:rsidR="00CD1C73" w:rsidRPr="00941FA7">
        <w:rPr>
          <w:lang w:val="fr-FR"/>
        </w:rPr>
        <w:t>une affectation supplémentaire de 89 500 CHF à la ligne budgétaire « </w:t>
      </w:r>
      <w:r w:rsidR="001F48E0" w:rsidRPr="00941FA7">
        <w:rPr>
          <w:lang w:val="fr-FR"/>
        </w:rPr>
        <w:t>Recrutement</w:t>
      </w:r>
      <w:r w:rsidR="00CD1C73" w:rsidRPr="00941FA7">
        <w:rPr>
          <w:lang w:val="fr-FR"/>
        </w:rPr>
        <w:t xml:space="preserve"> et </w:t>
      </w:r>
      <w:r w:rsidR="001F48E0" w:rsidRPr="00941FA7">
        <w:rPr>
          <w:lang w:val="fr-FR"/>
        </w:rPr>
        <w:t>indemnités de départ</w:t>
      </w:r>
      <w:r w:rsidR="00CD1C73" w:rsidRPr="00941FA7">
        <w:rPr>
          <w:lang w:val="fr-FR"/>
        </w:rPr>
        <w:t xml:space="preserve"> » </w:t>
      </w:r>
      <w:r w:rsidR="001F48E0" w:rsidRPr="00941FA7">
        <w:rPr>
          <w:lang w:val="fr-FR"/>
        </w:rPr>
        <w:t xml:space="preserve">à prendre </w:t>
      </w:r>
      <w:r w:rsidR="00CD1C73" w:rsidRPr="00941FA7">
        <w:rPr>
          <w:lang w:val="fr-FR"/>
        </w:rPr>
        <w:t xml:space="preserve">sur la ligne budgétaire approuvée </w:t>
      </w:r>
      <w:r w:rsidR="001F48E0" w:rsidRPr="00941FA7">
        <w:rPr>
          <w:lang w:val="fr-FR"/>
        </w:rPr>
        <w:t>en</w:t>
      </w:r>
      <w:r w:rsidR="00CD1C73" w:rsidRPr="00941FA7">
        <w:rPr>
          <w:lang w:val="fr-FR"/>
        </w:rPr>
        <w:t xml:space="preserve"> 2021 </w:t>
      </w:r>
      <w:r w:rsidR="004A3437">
        <w:rPr>
          <w:lang w:val="fr-FR"/>
        </w:rPr>
        <w:t>« </w:t>
      </w:r>
      <w:r w:rsidR="006039B6" w:rsidRPr="00941FA7">
        <w:rPr>
          <w:lang w:val="fr-FR"/>
        </w:rPr>
        <w:t>Budget 2020 - SC58 et économies non engagées reportées</w:t>
      </w:r>
      <w:r w:rsidR="004A3437">
        <w:rPr>
          <w:lang w:val="fr-FR"/>
        </w:rPr>
        <w:t> </w:t>
      </w:r>
      <w:r w:rsidR="003C7B89" w:rsidRPr="00941FA7">
        <w:rPr>
          <w:lang w:val="fr-FR"/>
        </w:rPr>
        <w:t xml:space="preserve">» </w:t>
      </w:r>
      <w:r w:rsidR="00CD1C73" w:rsidRPr="00941FA7">
        <w:rPr>
          <w:lang w:val="fr-FR"/>
        </w:rPr>
        <w:t>pour le recrutement du prochain Secrétaire général, conformément aux dispositions de la décision SC59-39.</w:t>
      </w:r>
    </w:p>
    <w:p w:rsidR="00C907FE" w:rsidRPr="00941FA7" w:rsidRDefault="00C907FE" w:rsidP="009063E7">
      <w:pPr>
        <w:rPr>
          <w:lang w:val="fr-FR"/>
        </w:rPr>
      </w:pPr>
    </w:p>
    <w:p w:rsidR="00CD1C73" w:rsidRPr="00941FA7" w:rsidRDefault="00523B6B" w:rsidP="00733561">
      <w:pPr>
        <w:rPr>
          <w:lang w:val="fr-FR"/>
        </w:rPr>
      </w:pPr>
      <w:r w:rsidRPr="00941FA7">
        <w:rPr>
          <w:lang w:val="fr-FR"/>
        </w:rPr>
        <w:t>3</w:t>
      </w:r>
      <w:r w:rsidR="004D0989" w:rsidRPr="00941FA7">
        <w:rPr>
          <w:lang w:val="fr-FR"/>
        </w:rPr>
        <w:t>9</w:t>
      </w:r>
      <w:r w:rsidR="00733561" w:rsidRPr="00941FA7">
        <w:rPr>
          <w:lang w:val="fr-FR"/>
        </w:rPr>
        <w:t>.</w:t>
      </w:r>
      <w:r w:rsidR="00733561" w:rsidRPr="00941FA7">
        <w:rPr>
          <w:lang w:val="fr-FR"/>
        </w:rPr>
        <w:tab/>
      </w:r>
      <w:r w:rsidR="001F48E0" w:rsidRPr="00941FA7">
        <w:rPr>
          <w:lang w:val="fr-FR"/>
        </w:rPr>
        <w:t>L</w:t>
      </w:r>
      <w:r w:rsidR="00CD1C73" w:rsidRPr="00941FA7">
        <w:rPr>
          <w:lang w:val="fr-FR"/>
        </w:rPr>
        <w:t xml:space="preserve">e Secrétariat propose que le solde de la ligne </w:t>
      </w:r>
      <w:r w:rsidR="004A3437">
        <w:rPr>
          <w:lang w:val="fr-FR"/>
        </w:rPr>
        <w:t>« </w:t>
      </w:r>
      <w:r w:rsidR="006039B6" w:rsidRPr="00941FA7">
        <w:rPr>
          <w:lang w:val="fr-FR"/>
        </w:rPr>
        <w:t>Budget 2020 - SC58 et économies non engagées reportées</w:t>
      </w:r>
      <w:r w:rsidR="004A3437">
        <w:rPr>
          <w:lang w:val="fr-FR"/>
        </w:rPr>
        <w:t> </w:t>
      </w:r>
      <w:r w:rsidR="003C7B89" w:rsidRPr="00941FA7">
        <w:rPr>
          <w:lang w:val="fr-FR"/>
        </w:rPr>
        <w:t xml:space="preserve">» </w:t>
      </w:r>
      <w:r w:rsidR="001F48E0" w:rsidRPr="00941FA7">
        <w:rPr>
          <w:lang w:val="fr-FR"/>
        </w:rPr>
        <w:t>d’un montant de 406 </w:t>
      </w:r>
      <w:r w:rsidR="00CD1C73" w:rsidRPr="00941FA7">
        <w:rPr>
          <w:lang w:val="fr-FR"/>
        </w:rPr>
        <w:t>500 CHF soit ajouté au budget 2022 sous forme de réserve supplémentaire pour une future affectation par le Comité permanent.</w:t>
      </w:r>
      <w:r w:rsidR="00653DEF" w:rsidRPr="00941FA7">
        <w:rPr>
          <w:lang w:val="fr-FR"/>
        </w:rPr>
        <w:t xml:space="preserve"> Ces ajustements sont présenté</w:t>
      </w:r>
      <w:r w:rsidR="001F48E0" w:rsidRPr="00941FA7">
        <w:rPr>
          <w:lang w:val="fr-FR"/>
        </w:rPr>
        <w:t xml:space="preserve">s dans la colonne D du tableau </w:t>
      </w:r>
      <w:r w:rsidR="00653DEF" w:rsidRPr="00941FA7">
        <w:rPr>
          <w:lang w:val="fr-FR"/>
        </w:rPr>
        <w:t>figurant à l’annexe 4.</w:t>
      </w:r>
    </w:p>
    <w:p w:rsidR="00A03E56" w:rsidRPr="00941FA7" w:rsidRDefault="00A03E56" w:rsidP="00A03E56">
      <w:pPr>
        <w:ind w:firstLine="0"/>
        <w:rPr>
          <w:lang w:val="fr-FR"/>
        </w:rPr>
      </w:pPr>
    </w:p>
    <w:p w:rsidR="00DB52BE" w:rsidRPr="00941FA7" w:rsidRDefault="00CD1C73" w:rsidP="00761962">
      <w:pPr>
        <w:keepNext/>
        <w:ind w:left="0" w:firstLine="0"/>
        <w:rPr>
          <w:i/>
          <w:lang w:val="fr-FR"/>
        </w:rPr>
      </w:pPr>
      <w:r w:rsidRPr="00941FA7">
        <w:rPr>
          <w:i/>
          <w:lang w:val="fr-FR"/>
        </w:rPr>
        <w:lastRenderedPageBreak/>
        <w:t>Utilisation possible des excédents dégagés en</w:t>
      </w:r>
      <w:r w:rsidR="00DB52BE" w:rsidRPr="00941FA7">
        <w:rPr>
          <w:i/>
          <w:lang w:val="fr-FR"/>
        </w:rPr>
        <w:t xml:space="preserve"> </w:t>
      </w:r>
      <w:r w:rsidR="00BA403E" w:rsidRPr="00941FA7">
        <w:rPr>
          <w:i/>
          <w:lang w:val="fr-FR"/>
        </w:rPr>
        <w:t>2021</w:t>
      </w:r>
    </w:p>
    <w:p w:rsidR="000603B8" w:rsidRPr="00941FA7" w:rsidRDefault="000603B8" w:rsidP="00761962">
      <w:pPr>
        <w:keepNext/>
        <w:ind w:left="0" w:firstLine="0"/>
        <w:rPr>
          <w:b/>
          <w:lang w:val="fr-FR"/>
        </w:rPr>
      </w:pPr>
    </w:p>
    <w:p w:rsidR="00DB52BE" w:rsidRPr="00941FA7" w:rsidRDefault="004D0989" w:rsidP="006728F4">
      <w:pPr>
        <w:rPr>
          <w:lang w:val="fr-FR"/>
        </w:rPr>
      </w:pPr>
      <w:r w:rsidRPr="00941FA7">
        <w:rPr>
          <w:lang w:val="fr-FR"/>
        </w:rPr>
        <w:t>40</w:t>
      </w:r>
      <w:r w:rsidR="006728F4" w:rsidRPr="00941FA7">
        <w:rPr>
          <w:lang w:val="fr-FR"/>
        </w:rPr>
        <w:t>.</w:t>
      </w:r>
      <w:r w:rsidR="00DB52BE" w:rsidRPr="00941FA7">
        <w:rPr>
          <w:lang w:val="fr-FR"/>
        </w:rPr>
        <w:tab/>
      </w:r>
      <w:r w:rsidR="00CD1C73" w:rsidRPr="00941FA7">
        <w:rPr>
          <w:lang w:val="fr-FR"/>
        </w:rPr>
        <w:t>Le Comité permanent pourrait souhaiter examiner les utilisations possibles des économies réalisées en</w:t>
      </w:r>
      <w:r w:rsidR="00005C70" w:rsidRPr="00941FA7">
        <w:rPr>
          <w:lang w:val="fr-FR"/>
        </w:rPr>
        <w:t xml:space="preserve"> 2021</w:t>
      </w:r>
      <w:r w:rsidR="00CD1C73" w:rsidRPr="00941FA7">
        <w:rPr>
          <w:lang w:val="fr-FR"/>
        </w:rPr>
        <w:t xml:space="preserve">, compte tenu du fait que le fonds de réserve est à son niveau maximal. Le Secrétariat présente ci-dessous pour examen quelques </w:t>
      </w:r>
      <w:r w:rsidR="001F48E0" w:rsidRPr="00941FA7">
        <w:rPr>
          <w:lang w:val="fr-FR"/>
        </w:rPr>
        <w:t>propositions d’emploi</w:t>
      </w:r>
      <w:r w:rsidR="00005C70" w:rsidRPr="00941FA7">
        <w:rPr>
          <w:lang w:val="fr-FR"/>
        </w:rPr>
        <w:t xml:space="preserve"> possible de</w:t>
      </w:r>
      <w:r w:rsidR="001F48E0" w:rsidRPr="00941FA7">
        <w:rPr>
          <w:lang w:val="fr-FR"/>
        </w:rPr>
        <w:t xml:space="preserve"> ce</w:t>
      </w:r>
      <w:r w:rsidR="00005C70" w:rsidRPr="00941FA7">
        <w:rPr>
          <w:lang w:val="fr-FR"/>
        </w:rPr>
        <w:t>s économies </w:t>
      </w:r>
      <w:r w:rsidR="00CD1C73" w:rsidRPr="00941FA7">
        <w:rPr>
          <w:lang w:val="fr-FR"/>
        </w:rPr>
        <w:t>:</w:t>
      </w:r>
    </w:p>
    <w:p w:rsidR="00057851" w:rsidRPr="00941FA7" w:rsidRDefault="00057851" w:rsidP="006728F4">
      <w:pPr>
        <w:rPr>
          <w:lang w:val="fr-FR"/>
        </w:rPr>
      </w:pPr>
    </w:p>
    <w:p w:rsidR="00005C70" w:rsidRPr="00941FA7" w:rsidRDefault="00ED620B" w:rsidP="00AA66D0">
      <w:pPr>
        <w:pStyle w:val="ListParagraph"/>
        <w:numPr>
          <w:ilvl w:val="0"/>
          <w:numId w:val="19"/>
        </w:numPr>
        <w:rPr>
          <w:lang w:val="fr-FR"/>
        </w:rPr>
      </w:pPr>
      <w:r w:rsidRPr="00941FA7">
        <w:rPr>
          <w:lang w:val="fr-FR"/>
        </w:rPr>
        <w:t>228</w:t>
      </w:r>
      <w:r w:rsidR="00005C70" w:rsidRPr="00941FA7">
        <w:rPr>
          <w:lang w:val="fr-FR"/>
        </w:rPr>
        <w:t> 000 CHF</w:t>
      </w:r>
      <w:r w:rsidRPr="00941FA7">
        <w:rPr>
          <w:lang w:val="fr-FR"/>
        </w:rPr>
        <w:t xml:space="preserve"> </w:t>
      </w:r>
      <w:r w:rsidR="00005C70" w:rsidRPr="00941FA7">
        <w:rPr>
          <w:lang w:val="fr-FR"/>
        </w:rPr>
        <w:t xml:space="preserve">pour couvrir le déficit du budget administratif affecté aux activités </w:t>
      </w:r>
      <w:r w:rsidR="00AA66D0" w:rsidRPr="00941FA7">
        <w:rPr>
          <w:lang w:val="fr-FR"/>
        </w:rPr>
        <w:t>administratives</w:t>
      </w:r>
      <w:r w:rsidR="00005C70" w:rsidRPr="00941FA7">
        <w:rPr>
          <w:lang w:val="fr-FR"/>
        </w:rPr>
        <w:t xml:space="preserve"> du Secrétariat (communications</w:t>
      </w:r>
      <w:r w:rsidR="00AA66D0" w:rsidRPr="00941FA7">
        <w:rPr>
          <w:lang w:val="fr-FR"/>
        </w:rPr>
        <w:t> :</w:t>
      </w:r>
      <w:r w:rsidR="00005C70" w:rsidRPr="00941FA7">
        <w:rPr>
          <w:lang w:val="fr-FR"/>
        </w:rPr>
        <w:t xml:space="preserve"> 120 000</w:t>
      </w:r>
      <w:r w:rsidR="004A3437">
        <w:rPr>
          <w:lang w:val="fr-FR"/>
        </w:rPr>
        <w:t xml:space="preserve"> CHF, déplacements du personnel : </w:t>
      </w:r>
      <w:r w:rsidR="00005C70" w:rsidRPr="00941FA7">
        <w:rPr>
          <w:lang w:val="fr-FR"/>
        </w:rPr>
        <w:t xml:space="preserve">60 000 CHF, </w:t>
      </w:r>
      <w:r w:rsidR="00AA66D0" w:rsidRPr="00941FA7">
        <w:rPr>
          <w:lang w:val="fr-FR"/>
        </w:rPr>
        <w:t xml:space="preserve">mise en œuvre du </w:t>
      </w:r>
      <w:r w:rsidR="00005C70" w:rsidRPr="00941FA7">
        <w:rPr>
          <w:lang w:val="fr-FR"/>
        </w:rPr>
        <w:t>GEST</w:t>
      </w:r>
      <w:r w:rsidR="00AA66D0" w:rsidRPr="00941FA7">
        <w:rPr>
          <w:lang w:val="fr-FR"/>
        </w:rPr>
        <w:t> :</w:t>
      </w:r>
      <w:r w:rsidR="00005C70" w:rsidRPr="00941FA7">
        <w:rPr>
          <w:lang w:val="fr-FR"/>
        </w:rPr>
        <w:t xml:space="preserve"> 15 000 CHF, et planification et renforcement des capacités</w:t>
      </w:r>
      <w:r w:rsidR="004A3437">
        <w:rPr>
          <w:lang w:val="fr-FR"/>
        </w:rPr>
        <w:t> :</w:t>
      </w:r>
      <w:r w:rsidR="00005C70" w:rsidRPr="00941FA7">
        <w:rPr>
          <w:lang w:val="fr-FR"/>
        </w:rPr>
        <w:t xml:space="preserve"> 33 000 CHF en raison de la création d’un poste d'assistant financier </w:t>
      </w:r>
      <w:r w:rsidR="00AA66D0" w:rsidRPr="00941FA7">
        <w:rPr>
          <w:lang w:val="fr-FR"/>
        </w:rPr>
        <w:t>et comptable (voir paragraphe 19</w:t>
      </w:r>
      <w:r w:rsidR="00005C70" w:rsidRPr="00941FA7">
        <w:rPr>
          <w:lang w:val="fr-FR"/>
        </w:rPr>
        <w:t xml:space="preserve"> ci-dessus) pour la période triennale 2022-2024), soit un montant identique a celui alloué pour la période triennale 2019-2021 dans la résolution XIII.2, paragraphe 15. Cette allocation est prioritaire afin de pouvoir disposer d’un budget minimum pour financer les activit</w:t>
      </w:r>
      <w:r w:rsidR="00AA66D0" w:rsidRPr="00941FA7">
        <w:rPr>
          <w:lang w:val="fr-FR"/>
        </w:rPr>
        <w:t>és du Secrétariat et le poste d</w:t>
      </w:r>
      <w:r w:rsidR="004A3437">
        <w:rPr>
          <w:lang w:val="fr-FR"/>
        </w:rPr>
        <w:t>’</w:t>
      </w:r>
      <w:r w:rsidR="00005C70" w:rsidRPr="00941FA7">
        <w:rPr>
          <w:lang w:val="fr-FR"/>
        </w:rPr>
        <w:t xml:space="preserve">assistant financier et comptable qui s’est avéré très efficace pour </w:t>
      </w:r>
      <w:r w:rsidR="004A3437">
        <w:rPr>
          <w:lang w:val="fr-FR"/>
        </w:rPr>
        <w:t>le fonctionnement</w:t>
      </w:r>
      <w:r w:rsidR="00005C70" w:rsidRPr="00941FA7">
        <w:rPr>
          <w:lang w:val="fr-FR"/>
        </w:rPr>
        <w:t xml:space="preserve"> du Secrétariat ;</w:t>
      </w:r>
    </w:p>
    <w:p w:rsidR="00523B6B" w:rsidRPr="00941FA7" w:rsidRDefault="00523B6B" w:rsidP="006728F4">
      <w:pPr>
        <w:ind w:left="851"/>
        <w:rPr>
          <w:lang w:val="fr-FR"/>
        </w:rPr>
      </w:pPr>
    </w:p>
    <w:p w:rsidR="00DB4B63" w:rsidRPr="00941FA7" w:rsidRDefault="00351E0A" w:rsidP="00DB4B63">
      <w:pPr>
        <w:pStyle w:val="ListParagraph"/>
        <w:numPr>
          <w:ilvl w:val="0"/>
          <w:numId w:val="19"/>
        </w:numPr>
        <w:rPr>
          <w:lang w:val="fr-FR"/>
        </w:rPr>
      </w:pPr>
      <w:r w:rsidRPr="00941FA7">
        <w:rPr>
          <w:lang w:val="fr-FR"/>
        </w:rPr>
        <w:t>A</w:t>
      </w:r>
      <w:r w:rsidR="00005C70" w:rsidRPr="00941FA7">
        <w:rPr>
          <w:lang w:val="fr-FR"/>
        </w:rPr>
        <w:t xml:space="preserve">insi qu’il est indiqué dans le </w:t>
      </w:r>
      <w:r w:rsidRPr="00941FA7">
        <w:rPr>
          <w:lang w:val="fr-FR"/>
        </w:rPr>
        <w:t xml:space="preserve">document SC59 Doc.13.1 </w:t>
      </w:r>
      <w:r w:rsidR="00005C70" w:rsidRPr="00941FA7">
        <w:rPr>
          <w:rFonts w:cs="Arial"/>
          <w:i/>
          <w:lang w:val="fr-FR"/>
        </w:rPr>
        <w:t>Examen de toutes les résolutions et</w:t>
      </w:r>
      <w:r w:rsidR="00AA66D0" w:rsidRPr="00941FA7">
        <w:rPr>
          <w:rFonts w:cs="Arial"/>
          <w:i/>
          <w:lang w:val="fr-FR"/>
        </w:rPr>
        <w:t xml:space="preserve"> </w:t>
      </w:r>
      <w:r w:rsidR="00005C70" w:rsidRPr="00941FA7">
        <w:rPr>
          <w:rFonts w:cs="Arial"/>
          <w:i/>
          <w:lang w:val="fr-FR"/>
        </w:rPr>
        <w:t xml:space="preserve">décisions </w:t>
      </w:r>
      <w:r w:rsidR="00AA66D0" w:rsidRPr="00941FA7">
        <w:rPr>
          <w:rFonts w:cs="Arial"/>
          <w:i/>
          <w:lang w:val="fr-FR"/>
        </w:rPr>
        <w:t>précédentes</w:t>
      </w:r>
      <w:r w:rsidR="00005C70" w:rsidRPr="00941FA7">
        <w:rPr>
          <w:rFonts w:cs="Arial"/>
          <w:i/>
          <w:lang w:val="fr-FR"/>
        </w:rPr>
        <w:t> </w:t>
      </w:r>
      <w:r w:rsidRPr="00941FA7">
        <w:rPr>
          <w:i/>
          <w:lang w:val="fr-FR"/>
        </w:rPr>
        <w:t xml:space="preserve">: </w:t>
      </w:r>
      <w:r w:rsidR="00005C70" w:rsidRPr="00941FA7">
        <w:rPr>
          <w:rFonts w:cs="Arial"/>
          <w:bCs/>
          <w:i/>
          <w:lang w:val="fr-FR"/>
        </w:rPr>
        <w:t>Processus de réalisation de l’examen</w:t>
      </w:r>
      <w:r w:rsidRPr="00941FA7">
        <w:rPr>
          <w:lang w:val="fr-FR"/>
        </w:rPr>
        <w:t xml:space="preserve">, </w:t>
      </w:r>
      <w:r w:rsidR="00DB4B63" w:rsidRPr="00941FA7">
        <w:rPr>
          <w:lang w:val="fr-FR"/>
        </w:rPr>
        <w:t>l</w:t>
      </w:r>
      <w:r w:rsidR="00005C70" w:rsidRPr="00941FA7">
        <w:rPr>
          <w:lang w:val="fr-FR"/>
        </w:rPr>
        <w:t>e</w:t>
      </w:r>
      <w:r w:rsidR="00DB4B63" w:rsidRPr="00941FA7">
        <w:rPr>
          <w:lang w:val="fr-FR"/>
        </w:rPr>
        <w:t xml:space="preserve"> Secrétariat a identifié un besoin en ressources supplémentaires pour passer aux étapes suivantes d’un montant de</w:t>
      </w:r>
      <w:r w:rsidR="00653DEF" w:rsidRPr="00941FA7">
        <w:rPr>
          <w:lang w:val="fr-FR"/>
        </w:rPr>
        <w:t xml:space="preserve"> 10</w:t>
      </w:r>
      <w:r w:rsidR="00DB4B63" w:rsidRPr="00941FA7">
        <w:rPr>
          <w:lang w:val="fr-FR"/>
        </w:rPr>
        <w:t> 000 CHF, sous réserve de l’approbation par le Comité permanent. Ce montant s’ajoute à un solde préengagé de 2 000 CHF sur le budget 2021 figurant</w:t>
      </w:r>
      <w:r w:rsidR="00653DEF" w:rsidRPr="00941FA7">
        <w:rPr>
          <w:lang w:val="fr-FR"/>
        </w:rPr>
        <w:t xml:space="preserve"> à l’annexe 4, ce qui porte à 12 </w:t>
      </w:r>
      <w:r w:rsidR="00DB4B63" w:rsidRPr="00941FA7">
        <w:rPr>
          <w:lang w:val="fr-FR"/>
        </w:rPr>
        <w:t xml:space="preserve">000 CHF le budget disponible </w:t>
      </w:r>
      <w:r w:rsidR="00AA66D0" w:rsidRPr="00941FA7">
        <w:rPr>
          <w:lang w:val="fr-FR"/>
        </w:rPr>
        <w:t xml:space="preserve">2021 </w:t>
      </w:r>
      <w:r w:rsidR="00DB4B63" w:rsidRPr="00941FA7">
        <w:rPr>
          <w:lang w:val="fr-FR"/>
        </w:rPr>
        <w:t>pour l’examen des résolutions. Le Secrétariat propose que ces ressources soient prélevées sur les économies réalisées en 2021 et prie la CS59 d’approuver cette proposition.</w:t>
      </w:r>
    </w:p>
    <w:p w:rsidR="00351E0A" w:rsidRPr="00941FA7" w:rsidRDefault="00351E0A" w:rsidP="006728F4">
      <w:pPr>
        <w:ind w:left="851"/>
        <w:rPr>
          <w:lang w:val="fr-FR"/>
        </w:rPr>
      </w:pPr>
    </w:p>
    <w:p w:rsidR="00DB4B63" w:rsidRPr="00941FA7" w:rsidRDefault="00DB4B63" w:rsidP="00DB4B63">
      <w:pPr>
        <w:pStyle w:val="ListParagraph"/>
        <w:numPr>
          <w:ilvl w:val="0"/>
          <w:numId w:val="19"/>
        </w:numPr>
        <w:rPr>
          <w:lang w:val="fr-FR"/>
        </w:rPr>
      </w:pPr>
      <w:r w:rsidRPr="00941FA7">
        <w:rPr>
          <w:lang w:val="fr-FR"/>
        </w:rPr>
        <w:t xml:space="preserve">600 000 CHF pour couvrir les frais de </w:t>
      </w:r>
      <w:r w:rsidR="00270BEE" w:rsidRPr="00941FA7">
        <w:rPr>
          <w:lang w:val="fr-FR"/>
        </w:rPr>
        <w:t xml:space="preserve">déplacement </w:t>
      </w:r>
      <w:r w:rsidRPr="00941FA7">
        <w:rPr>
          <w:lang w:val="fr-FR"/>
        </w:rPr>
        <w:t xml:space="preserve">des délégués </w:t>
      </w:r>
      <w:r w:rsidR="00AA66D0" w:rsidRPr="00941FA7">
        <w:rPr>
          <w:lang w:val="fr-FR"/>
        </w:rPr>
        <w:t>à la COP14 si le Secrétariat n’</w:t>
      </w:r>
      <w:r w:rsidRPr="00941FA7">
        <w:rPr>
          <w:lang w:val="fr-FR"/>
        </w:rPr>
        <w:t xml:space="preserve">est pas en mesure de réunir la totalité des fonds </w:t>
      </w:r>
      <w:r w:rsidR="00653DEF" w:rsidRPr="00941FA7">
        <w:rPr>
          <w:lang w:val="fr-FR"/>
        </w:rPr>
        <w:t xml:space="preserve">non administratifs </w:t>
      </w:r>
      <w:r w:rsidRPr="00941FA7">
        <w:rPr>
          <w:lang w:val="fr-FR"/>
        </w:rPr>
        <w:t>nécessaires. Le Secrétariat à lancé une opération de collecte de fonds pour la COP1</w:t>
      </w:r>
      <w:r w:rsidR="00270BEE" w:rsidRPr="00941FA7">
        <w:rPr>
          <w:lang w:val="fr-FR"/>
        </w:rPr>
        <w:t xml:space="preserve">4 pour les déplacements des délégués </w:t>
      </w:r>
      <w:r w:rsidR="00AA66D0" w:rsidRPr="00941FA7">
        <w:rPr>
          <w:lang w:val="fr-FR"/>
        </w:rPr>
        <w:t xml:space="preserve">parrainés </w:t>
      </w:r>
      <w:r w:rsidR="00270BEE" w:rsidRPr="00941FA7">
        <w:rPr>
          <w:lang w:val="fr-FR"/>
        </w:rPr>
        <w:t>et plusieurs Parties ont déjà engagé des fonds à cette fin. Il sera toutefois difficile</w:t>
      </w:r>
      <w:r w:rsidR="00AA66D0" w:rsidRPr="00941FA7">
        <w:rPr>
          <w:lang w:val="fr-FR"/>
        </w:rPr>
        <w:t xml:space="preserve"> d’</w:t>
      </w:r>
      <w:r w:rsidR="00270BEE" w:rsidRPr="00941FA7">
        <w:rPr>
          <w:lang w:val="fr-FR"/>
        </w:rPr>
        <w:t>obtenir la totalité des fonds nécessaires compte tenu de la situation économique actuelle difficile et du nombre élevé de réunions internationales prévues en 2022.</w:t>
      </w:r>
    </w:p>
    <w:p w:rsidR="00353759" w:rsidRPr="00941FA7" w:rsidRDefault="00353759" w:rsidP="006728F4">
      <w:pPr>
        <w:pStyle w:val="NoSpacing"/>
        <w:rPr>
          <w:lang w:val="fr-FR"/>
        </w:rPr>
      </w:pPr>
    </w:p>
    <w:p w:rsidR="00DB52BE" w:rsidRPr="00941FA7" w:rsidRDefault="004D0989" w:rsidP="004D0989">
      <w:pPr>
        <w:rPr>
          <w:lang w:val="fr-FR"/>
        </w:rPr>
      </w:pPr>
      <w:r w:rsidRPr="00941FA7">
        <w:rPr>
          <w:lang w:val="fr-FR"/>
        </w:rPr>
        <w:t>41</w:t>
      </w:r>
      <w:r w:rsidR="00353759" w:rsidRPr="00941FA7">
        <w:rPr>
          <w:lang w:val="fr-FR"/>
        </w:rPr>
        <w:t>.</w:t>
      </w:r>
      <w:r w:rsidRPr="00941FA7">
        <w:rPr>
          <w:lang w:val="fr-FR"/>
        </w:rPr>
        <w:tab/>
      </w:r>
      <w:r w:rsidR="008E4891" w:rsidRPr="00941FA7">
        <w:rPr>
          <w:lang w:val="fr-FR"/>
        </w:rPr>
        <w:t>Le Comité permanent est invité à examiner ces propositions concernant l’utilisation des excédents ainsi que la possibilité de constituer d’autres réserves opérationnelles lorsqu’</w:t>
      </w:r>
      <w:r w:rsidR="004A3437">
        <w:rPr>
          <w:lang w:val="fr-FR"/>
        </w:rPr>
        <w:t>il décidera de l’</w:t>
      </w:r>
      <w:r w:rsidR="008E4891" w:rsidRPr="00941FA7">
        <w:rPr>
          <w:lang w:val="fr-FR"/>
        </w:rPr>
        <w:t>affectation des économies réalisées à la fin de la période triennale</w:t>
      </w:r>
      <w:r w:rsidR="00DB52BE" w:rsidRPr="00941FA7">
        <w:rPr>
          <w:lang w:val="fr-FR"/>
        </w:rPr>
        <w:t xml:space="preserve">. </w:t>
      </w:r>
    </w:p>
    <w:p w:rsidR="00DB52BE" w:rsidRPr="00941FA7" w:rsidRDefault="00DB52BE" w:rsidP="00DB52BE">
      <w:pPr>
        <w:ind w:left="0" w:firstLine="0"/>
        <w:rPr>
          <w:b/>
          <w:lang w:val="fr-FR"/>
        </w:rPr>
      </w:pPr>
    </w:p>
    <w:p w:rsidR="00264303" w:rsidRPr="00941FA7" w:rsidRDefault="009D6345" w:rsidP="00464D2B">
      <w:pPr>
        <w:pStyle w:val="NoSpacing"/>
        <w:keepNext/>
        <w:rPr>
          <w:b/>
          <w:lang w:val="fr-FR"/>
        </w:rPr>
      </w:pPr>
      <w:r w:rsidRPr="00941FA7">
        <w:rPr>
          <w:b/>
          <w:lang w:val="fr-FR"/>
        </w:rPr>
        <w:t>Autres i</w:t>
      </w:r>
      <w:r w:rsidR="008E4891" w:rsidRPr="00941FA7">
        <w:rPr>
          <w:b/>
          <w:lang w:val="fr-FR"/>
        </w:rPr>
        <w:t>nformation</w:t>
      </w:r>
      <w:r w:rsidRPr="00941FA7">
        <w:rPr>
          <w:b/>
          <w:lang w:val="fr-FR"/>
        </w:rPr>
        <w:t>s</w:t>
      </w:r>
    </w:p>
    <w:p w:rsidR="008B2B9E" w:rsidRPr="00941FA7" w:rsidRDefault="008B2B9E" w:rsidP="00162710">
      <w:pPr>
        <w:rPr>
          <w:lang w:val="fr-FR"/>
        </w:rPr>
      </w:pPr>
    </w:p>
    <w:p w:rsidR="00CD1D81" w:rsidRPr="00941FA7" w:rsidRDefault="004D0989" w:rsidP="009573A9">
      <w:pPr>
        <w:rPr>
          <w:lang w:val="fr-FR"/>
        </w:rPr>
      </w:pPr>
      <w:r w:rsidRPr="00941FA7">
        <w:rPr>
          <w:lang w:val="fr-FR"/>
        </w:rPr>
        <w:t>42</w:t>
      </w:r>
      <w:r w:rsidR="00EE31AB" w:rsidRPr="00941FA7">
        <w:rPr>
          <w:lang w:val="fr-FR"/>
        </w:rPr>
        <w:t>.</w:t>
      </w:r>
      <w:r w:rsidR="00264303" w:rsidRPr="00941FA7">
        <w:rPr>
          <w:lang w:val="fr-FR"/>
        </w:rPr>
        <w:tab/>
      </w:r>
      <w:r w:rsidR="008E4891" w:rsidRPr="00941FA7">
        <w:rPr>
          <w:lang w:val="fr-FR"/>
        </w:rPr>
        <w:t>Au cours de l’année</w:t>
      </w:r>
      <w:r w:rsidR="00264303" w:rsidRPr="00941FA7">
        <w:rPr>
          <w:lang w:val="fr-FR"/>
        </w:rPr>
        <w:t xml:space="preserve"> </w:t>
      </w:r>
      <w:r w:rsidR="002371CB" w:rsidRPr="00941FA7">
        <w:rPr>
          <w:lang w:val="fr-FR"/>
        </w:rPr>
        <w:t>2021</w:t>
      </w:r>
      <w:r w:rsidR="00B14F8E" w:rsidRPr="00941FA7">
        <w:rPr>
          <w:lang w:val="fr-FR"/>
        </w:rPr>
        <w:t>,</w:t>
      </w:r>
      <w:r w:rsidR="00274FCC" w:rsidRPr="00941FA7">
        <w:rPr>
          <w:lang w:val="fr-FR"/>
        </w:rPr>
        <w:t xml:space="preserve"> </w:t>
      </w:r>
      <w:r w:rsidR="008E4891" w:rsidRPr="00941FA7">
        <w:rPr>
          <w:lang w:val="fr-FR"/>
        </w:rPr>
        <w:t>le</w:t>
      </w:r>
      <w:r w:rsidR="00AF539B" w:rsidRPr="00941FA7">
        <w:rPr>
          <w:lang w:val="fr-FR"/>
        </w:rPr>
        <w:t xml:space="preserve"> </w:t>
      </w:r>
      <w:r w:rsidR="009573A9" w:rsidRPr="00941FA7">
        <w:rPr>
          <w:lang w:val="fr-FR"/>
        </w:rPr>
        <w:t>Secrétariat</w:t>
      </w:r>
      <w:r w:rsidR="00AF539B" w:rsidRPr="00941FA7">
        <w:rPr>
          <w:lang w:val="fr-FR"/>
        </w:rPr>
        <w:t xml:space="preserve"> </w:t>
      </w:r>
      <w:r w:rsidR="008E4891" w:rsidRPr="00941FA7">
        <w:rPr>
          <w:lang w:val="fr-FR"/>
        </w:rPr>
        <w:t xml:space="preserve">a poursuivi </w:t>
      </w:r>
      <w:r w:rsidR="009259E1" w:rsidRPr="00941FA7">
        <w:rPr>
          <w:lang w:val="fr-FR"/>
        </w:rPr>
        <w:t>le suivi avec l’</w:t>
      </w:r>
      <w:r w:rsidR="008E4891" w:rsidRPr="00941FA7">
        <w:rPr>
          <w:lang w:val="fr-FR"/>
        </w:rPr>
        <w:t xml:space="preserve">UICN </w:t>
      </w:r>
      <w:r w:rsidR="00455C1D" w:rsidRPr="00941FA7">
        <w:rPr>
          <w:lang w:val="fr-FR"/>
        </w:rPr>
        <w:t>de la méthode d’</w:t>
      </w:r>
      <w:r w:rsidR="008E4891" w:rsidRPr="00941FA7">
        <w:rPr>
          <w:lang w:val="fr-FR"/>
        </w:rPr>
        <w:t>auto-évaluation proposée dans l'</w:t>
      </w:r>
      <w:r w:rsidR="009573A9" w:rsidRPr="00941FA7">
        <w:rPr>
          <w:i/>
          <w:lang w:val="fr-FR"/>
        </w:rPr>
        <w:t>E</w:t>
      </w:r>
      <w:r w:rsidR="008E4891" w:rsidRPr="00941FA7">
        <w:rPr>
          <w:i/>
          <w:lang w:val="fr-FR"/>
        </w:rPr>
        <w:t xml:space="preserve">xamen de la gestion financière des comptes des fonds non </w:t>
      </w:r>
      <w:r w:rsidR="009573A9" w:rsidRPr="00941FA7">
        <w:rPr>
          <w:i/>
          <w:lang w:val="fr-FR"/>
        </w:rPr>
        <w:t>administratifs</w:t>
      </w:r>
      <w:r w:rsidR="008E4891" w:rsidRPr="00941FA7">
        <w:rPr>
          <w:i/>
          <w:lang w:val="fr-FR"/>
        </w:rPr>
        <w:t xml:space="preserve"> (restreints</w:t>
      </w:r>
      <w:r w:rsidR="008E4891" w:rsidRPr="00941FA7">
        <w:rPr>
          <w:lang w:val="fr-FR"/>
        </w:rPr>
        <w:t>) de l'UICN</w:t>
      </w:r>
      <w:r w:rsidR="009259E1" w:rsidRPr="00941FA7">
        <w:rPr>
          <w:rStyle w:val="FootnoteReference"/>
          <w:lang w:val="fr-FR"/>
        </w:rPr>
        <w:footnoteReference w:id="5"/>
      </w:r>
      <w:r w:rsidR="00455C1D" w:rsidRPr="00941FA7">
        <w:rPr>
          <w:lang w:val="fr-FR"/>
        </w:rPr>
        <w:t xml:space="preserve"> </w:t>
      </w:r>
      <w:r w:rsidR="009573A9" w:rsidRPr="00941FA7">
        <w:rPr>
          <w:rFonts w:cs="Calibri"/>
          <w:lang w:val="fr-FR"/>
        </w:rPr>
        <w:t>d’</w:t>
      </w:r>
      <w:r w:rsidR="00FC26C2" w:rsidRPr="00941FA7">
        <w:rPr>
          <w:rFonts w:cs="Calibri"/>
          <w:lang w:val="fr-FR"/>
        </w:rPr>
        <w:t>octobre</w:t>
      </w:r>
      <w:r w:rsidR="000B4BB1" w:rsidRPr="00941FA7">
        <w:rPr>
          <w:rFonts w:cs="Calibri"/>
          <w:lang w:val="fr-FR"/>
        </w:rPr>
        <w:t xml:space="preserve"> 2018</w:t>
      </w:r>
      <w:r w:rsidR="0039249B" w:rsidRPr="00941FA7">
        <w:rPr>
          <w:lang w:val="fr-FR"/>
        </w:rPr>
        <w:t xml:space="preserve">. </w:t>
      </w:r>
      <w:r w:rsidR="009573A9" w:rsidRPr="00941FA7">
        <w:rPr>
          <w:lang w:val="fr-FR"/>
        </w:rPr>
        <w:t>L'UICN développe et déploie des outils en ligne</w:t>
      </w:r>
      <w:r w:rsidR="00AF539B" w:rsidRPr="00941FA7">
        <w:rPr>
          <w:lang w:val="fr-FR"/>
        </w:rPr>
        <w:t xml:space="preserve">. </w:t>
      </w:r>
      <w:r w:rsidR="009573A9" w:rsidRPr="00941FA7">
        <w:rPr>
          <w:lang w:val="fr-FR"/>
        </w:rPr>
        <w:t>Le Secrétariat suit ce processus et confirmera si une méthode similaire pourrait se révéler utile dans le contexte de la Convention</w:t>
      </w:r>
      <w:r w:rsidR="0039249B" w:rsidRPr="00941FA7">
        <w:rPr>
          <w:lang w:val="fr-FR"/>
        </w:rPr>
        <w:t>.</w:t>
      </w:r>
    </w:p>
    <w:p w:rsidR="006C7F1C" w:rsidRPr="00941FA7" w:rsidRDefault="006C7F1C" w:rsidP="006114F4">
      <w:pPr>
        <w:rPr>
          <w:lang w:val="fr-FR"/>
        </w:rPr>
      </w:pPr>
    </w:p>
    <w:p w:rsidR="00264303" w:rsidRPr="00941FA7" w:rsidRDefault="004D0989" w:rsidP="00162710">
      <w:pPr>
        <w:rPr>
          <w:lang w:val="fr-FR"/>
        </w:rPr>
      </w:pPr>
      <w:r w:rsidRPr="00941FA7">
        <w:rPr>
          <w:lang w:val="fr-FR"/>
        </w:rPr>
        <w:t>43</w:t>
      </w:r>
      <w:r w:rsidR="00264303" w:rsidRPr="00941FA7">
        <w:rPr>
          <w:lang w:val="fr-FR"/>
        </w:rPr>
        <w:t>.</w:t>
      </w:r>
      <w:r w:rsidR="00264303" w:rsidRPr="00941FA7">
        <w:rPr>
          <w:lang w:val="fr-FR"/>
        </w:rPr>
        <w:tab/>
      </w:r>
      <w:r w:rsidR="008F6B03" w:rsidRPr="00941FA7">
        <w:rPr>
          <w:lang w:val="fr-FR"/>
        </w:rPr>
        <w:t xml:space="preserve">À la suite de la demande de l’auditeur externe et de la décision SC57-39 du Comité permanent, la nouvelle méthode a été appliquée </w:t>
      </w:r>
      <w:r w:rsidR="00FC26C2" w:rsidRPr="00941FA7">
        <w:rPr>
          <w:lang w:val="fr-FR"/>
        </w:rPr>
        <w:t>au calcul de</w:t>
      </w:r>
      <w:r w:rsidR="008F6B03" w:rsidRPr="00941FA7">
        <w:rPr>
          <w:lang w:val="fr-FR"/>
        </w:rPr>
        <w:t xml:space="preserve"> la provision au titre des contributions à recevoir des Parties contractantes en 2019</w:t>
      </w:r>
      <w:r w:rsidR="00264303" w:rsidRPr="00941FA7">
        <w:rPr>
          <w:lang w:val="fr-FR"/>
        </w:rPr>
        <w:t xml:space="preserve">. </w:t>
      </w:r>
    </w:p>
    <w:p w:rsidR="00264303" w:rsidRPr="00941FA7" w:rsidRDefault="00264303" w:rsidP="00162710">
      <w:pPr>
        <w:rPr>
          <w:lang w:val="fr-FR"/>
        </w:rPr>
      </w:pPr>
    </w:p>
    <w:p w:rsidR="00264303" w:rsidRPr="00941FA7" w:rsidRDefault="004D0989" w:rsidP="00D72DDC">
      <w:pPr>
        <w:rPr>
          <w:lang w:val="fr-FR"/>
        </w:rPr>
      </w:pPr>
      <w:r w:rsidRPr="00941FA7">
        <w:rPr>
          <w:lang w:val="fr-FR"/>
        </w:rPr>
        <w:lastRenderedPageBreak/>
        <w:t>44</w:t>
      </w:r>
      <w:r w:rsidR="00414B55" w:rsidRPr="00941FA7">
        <w:rPr>
          <w:lang w:val="fr-FR"/>
        </w:rPr>
        <w:t>.</w:t>
      </w:r>
      <w:r w:rsidR="00D72DDC" w:rsidRPr="00941FA7">
        <w:rPr>
          <w:lang w:val="fr-FR"/>
        </w:rPr>
        <w:tab/>
      </w:r>
      <w:r w:rsidR="009D6345" w:rsidRPr="00941FA7">
        <w:rPr>
          <w:lang w:val="fr-FR"/>
        </w:rPr>
        <w:t xml:space="preserve">Le Secrétariat s’est efforcé d’appliquer les Décisions SC57-44 et SC57-45 visant à encourager le versement des contributions annuelles en temps </w:t>
      </w:r>
      <w:r w:rsidR="00455C1D" w:rsidRPr="00941FA7">
        <w:rPr>
          <w:lang w:val="fr-FR"/>
        </w:rPr>
        <w:t>et en heure. En 2021</w:t>
      </w:r>
      <w:r w:rsidR="009D6345" w:rsidRPr="00941FA7">
        <w:rPr>
          <w:lang w:val="fr-FR"/>
        </w:rPr>
        <w:t xml:space="preserve">, des rappels </w:t>
      </w:r>
      <w:r w:rsidR="00455C1D" w:rsidRPr="00941FA7">
        <w:rPr>
          <w:lang w:val="fr-FR"/>
        </w:rPr>
        <w:t>ont</w:t>
      </w:r>
      <w:r w:rsidR="009D6345" w:rsidRPr="00941FA7">
        <w:rPr>
          <w:lang w:val="fr-FR"/>
        </w:rPr>
        <w:t xml:space="preserve"> été envoyés par courrier électronique tous les trois mois aux Parties contractantes dont le solde des contributions annuelles </w:t>
      </w:r>
      <w:r w:rsidR="00455C1D" w:rsidRPr="00941FA7">
        <w:rPr>
          <w:lang w:val="fr-FR"/>
        </w:rPr>
        <w:t>restait impayé</w:t>
      </w:r>
      <w:r w:rsidR="009D6345" w:rsidRPr="00941FA7">
        <w:rPr>
          <w:lang w:val="fr-FR"/>
        </w:rPr>
        <w:t xml:space="preserve">. Pour plus de détails, veuillez consulter le document SC58 Doc.8.3 </w:t>
      </w:r>
      <w:r w:rsidR="009D6345" w:rsidRPr="00941FA7">
        <w:rPr>
          <w:i/>
          <w:iCs/>
          <w:lang w:val="fr-FR"/>
        </w:rPr>
        <w:t xml:space="preserve">État des </w:t>
      </w:r>
      <w:r w:rsidR="009D6345" w:rsidRPr="00941FA7">
        <w:rPr>
          <w:i/>
          <w:lang w:val="fr-FR"/>
        </w:rPr>
        <w:t>contributions annuelles</w:t>
      </w:r>
      <w:r w:rsidR="009D6345" w:rsidRPr="00941FA7">
        <w:rPr>
          <w:lang w:val="fr-FR"/>
        </w:rPr>
        <w:t>, paragraphes 16-21</w:t>
      </w:r>
      <w:r w:rsidR="00264303" w:rsidRPr="00941FA7">
        <w:rPr>
          <w:lang w:val="fr-FR"/>
        </w:rPr>
        <w:t>.</w:t>
      </w:r>
    </w:p>
    <w:p w:rsidR="00264303" w:rsidRPr="00941FA7" w:rsidRDefault="00264303" w:rsidP="00162710">
      <w:pPr>
        <w:ind w:left="0" w:firstLine="0"/>
        <w:rPr>
          <w:rFonts w:asciiTheme="minorHAnsi" w:hAnsiTheme="minorHAnsi" w:cs="Arial"/>
          <w:i/>
          <w:lang w:val="fr-FR"/>
        </w:rPr>
      </w:pPr>
    </w:p>
    <w:p w:rsidR="00FC26C2" w:rsidRPr="00941FA7" w:rsidRDefault="004D0989" w:rsidP="003C3C53">
      <w:pPr>
        <w:rPr>
          <w:lang w:val="fr-FR"/>
        </w:rPr>
      </w:pPr>
      <w:r w:rsidRPr="00941FA7">
        <w:rPr>
          <w:lang w:val="fr-FR"/>
        </w:rPr>
        <w:t>45</w:t>
      </w:r>
      <w:r w:rsidR="00630583" w:rsidRPr="00941FA7">
        <w:rPr>
          <w:lang w:val="fr-FR"/>
        </w:rPr>
        <w:t>.</w:t>
      </w:r>
      <w:r w:rsidR="00630583" w:rsidRPr="00941FA7">
        <w:rPr>
          <w:lang w:val="fr-FR"/>
        </w:rPr>
        <w:tab/>
      </w:r>
      <w:r w:rsidR="00FC26C2" w:rsidRPr="00941FA7">
        <w:rPr>
          <w:lang w:val="fr-FR"/>
        </w:rPr>
        <w:t xml:space="preserve">Conformément aux dispositions de la décision SC58-18, </w:t>
      </w:r>
      <w:r w:rsidR="00536238" w:rsidRPr="00941FA7">
        <w:rPr>
          <w:lang w:val="fr-FR"/>
        </w:rPr>
        <w:t xml:space="preserve">le Comité permanent doit prendre acte de </w:t>
      </w:r>
      <w:r w:rsidR="00FC26C2" w:rsidRPr="00941FA7">
        <w:rPr>
          <w:lang w:val="fr-FR"/>
        </w:rPr>
        <w:t>l'état des contributions annuelles entre les sessions</w:t>
      </w:r>
      <w:r w:rsidR="00455C1D" w:rsidRPr="00941FA7">
        <w:rPr>
          <w:lang w:val="fr-FR"/>
        </w:rPr>
        <w:t>,</w:t>
      </w:r>
      <w:r w:rsidR="00FC26C2" w:rsidRPr="00941FA7">
        <w:rPr>
          <w:lang w:val="fr-FR"/>
        </w:rPr>
        <w:t xml:space="preserve"> </w:t>
      </w:r>
      <w:r w:rsidR="00536238" w:rsidRPr="00941FA7">
        <w:rPr>
          <w:lang w:val="fr-FR"/>
        </w:rPr>
        <w:t xml:space="preserve">dans le cadre d’une approche de groupe </w:t>
      </w:r>
      <w:r w:rsidR="00536238" w:rsidRPr="00941FA7">
        <w:rPr>
          <w:rStyle w:val="markedcontent"/>
          <w:rFonts w:asciiTheme="minorHAnsi" w:hAnsiTheme="minorHAnsi" w:cstheme="minorHAnsi"/>
          <w:lang w:val="fr-FR"/>
        </w:rPr>
        <w:t>afin de confirmer les soldes impayés</w:t>
      </w:r>
      <w:r w:rsidR="00FC26C2" w:rsidRPr="00941FA7">
        <w:rPr>
          <w:lang w:val="fr-FR"/>
        </w:rPr>
        <w:t xml:space="preserve"> à </w:t>
      </w:r>
      <w:r w:rsidR="00536238" w:rsidRPr="00941FA7">
        <w:rPr>
          <w:lang w:val="fr-FR"/>
        </w:rPr>
        <w:t>recouvrer</w:t>
      </w:r>
      <w:r w:rsidR="00FC26C2" w:rsidRPr="00941FA7">
        <w:rPr>
          <w:lang w:val="fr-FR"/>
        </w:rPr>
        <w:t xml:space="preserve"> au cours de la période suivant la clôture des comptes et avant la signa</w:t>
      </w:r>
      <w:r w:rsidR="00455C1D" w:rsidRPr="00941FA7">
        <w:rPr>
          <w:lang w:val="fr-FR"/>
        </w:rPr>
        <w:t>ture des états financiers par l’</w:t>
      </w:r>
      <w:r w:rsidR="004A3437">
        <w:rPr>
          <w:lang w:val="fr-FR"/>
        </w:rPr>
        <w:t>audit</w:t>
      </w:r>
      <w:r w:rsidR="00536238" w:rsidRPr="00941FA7">
        <w:rPr>
          <w:lang w:val="fr-FR"/>
        </w:rPr>
        <w:t xml:space="preserve">. En conséquence, le </w:t>
      </w:r>
      <w:r w:rsidR="00455C1D" w:rsidRPr="00941FA7">
        <w:rPr>
          <w:lang w:val="fr-FR"/>
        </w:rPr>
        <w:t>Secrétariat</w:t>
      </w:r>
      <w:r w:rsidR="00536238" w:rsidRPr="00941FA7">
        <w:rPr>
          <w:lang w:val="fr-FR"/>
        </w:rPr>
        <w:t xml:space="preserve"> a adressé le 24 janvier 2022 une demande au Comité permanent priant celui-ci de prendre acte de l’état des contributions mises en recouvrement au 31 décembre 2021. Aucune observation n’ayant été reçue au cours de la période considérée, les con</w:t>
      </w:r>
      <w:r w:rsidR="00455C1D" w:rsidRPr="00941FA7">
        <w:rPr>
          <w:lang w:val="fr-FR"/>
        </w:rPr>
        <w:t>tributions non acquittées au 31 </w:t>
      </w:r>
      <w:r w:rsidR="00536238" w:rsidRPr="00941FA7">
        <w:rPr>
          <w:lang w:val="fr-FR"/>
        </w:rPr>
        <w:t xml:space="preserve">décembre 2021 sont considérées comme </w:t>
      </w:r>
      <w:r w:rsidR="004A3437">
        <w:rPr>
          <w:lang w:val="fr-FR"/>
        </w:rPr>
        <w:t>reconnues</w:t>
      </w:r>
      <w:r w:rsidR="00536238" w:rsidRPr="00941FA7">
        <w:rPr>
          <w:lang w:val="fr-FR"/>
        </w:rPr>
        <w:t>.</w:t>
      </w:r>
    </w:p>
    <w:p w:rsidR="00C13B23" w:rsidRPr="00941FA7" w:rsidRDefault="00C13B23" w:rsidP="00162710">
      <w:pPr>
        <w:ind w:left="0" w:firstLine="0"/>
        <w:rPr>
          <w:rFonts w:asciiTheme="minorHAnsi" w:hAnsiTheme="minorHAnsi" w:cs="Arial"/>
          <w:i/>
          <w:lang w:val="fr-FR"/>
        </w:rPr>
      </w:pPr>
    </w:p>
    <w:p w:rsidR="004E1C7E" w:rsidRPr="00941FA7" w:rsidRDefault="004E1C7E">
      <w:pPr>
        <w:rPr>
          <w:lang w:val="fr-FR"/>
        </w:rPr>
      </w:pPr>
      <w:r w:rsidRPr="00941FA7">
        <w:rPr>
          <w:lang w:val="fr-FR"/>
        </w:rPr>
        <w:br w:type="page"/>
      </w:r>
    </w:p>
    <w:p w:rsidR="001458BE" w:rsidRPr="00941FA7" w:rsidRDefault="001458BE" w:rsidP="00162710">
      <w:pPr>
        <w:pStyle w:val="NoSpacing"/>
        <w:ind w:left="0" w:firstLine="0"/>
        <w:rPr>
          <w:b/>
          <w:sz w:val="24"/>
          <w:szCs w:val="24"/>
          <w:lang w:val="fr-FR"/>
        </w:rPr>
      </w:pPr>
      <w:r w:rsidRPr="00941FA7">
        <w:rPr>
          <w:b/>
          <w:sz w:val="24"/>
          <w:szCs w:val="24"/>
          <w:lang w:val="fr-FR"/>
        </w:rPr>
        <w:lastRenderedPageBreak/>
        <w:t>Annex</w:t>
      </w:r>
      <w:r w:rsidR="00B76AA6" w:rsidRPr="00941FA7">
        <w:rPr>
          <w:b/>
          <w:sz w:val="24"/>
          <w:szCs w:val="24"/>
          <w:lang w:val="fr-FR"/>
        </w:rPr>
        <w:t>e</w:t>
      </w:r>
      <w:r w:rsidRPr="00941FA7">
        <w:rPr>
          <w:b/>
          <w:sz w:val="24"/>
          <w:szCs w:val="24"/>
          <w:lang w:val="fr-FR"/>
        </w:rPr>
        <w:t xml:space="preserve"> 1</w:t>
      </w:r>
    </w:p>
    <w:p w:rsidR="00C54D5B" w:rsidRPr="00941FA7" w:rsidRDefault="00B76AA6" w:rsidP="00162710">
      <w:pPr>
        <w:pStyle w:val="NoSpacing"/>
        <w:ind w:left="0" w:firstLine="0"/>
        <w:rPr>
          <w:b/>
          <w:sz w:val="24"/>
          <w:szCs w:val="24"/>
          <w:lang w:val="fr-FR"/>
        </w:rPr>
      </w:pPr>
      <w:r w:rsidRPr="00941FA7">
        <w:rPr>
          <w:b/>
          <w:sz w:val="24"/>
          <w:szCs w:val="24"/>
          <w:lang w:val="fr-FR"/>
        </w:rPr>
        <w:t>État financier vérifié au 31 décembre2021 (modèle de rapport suisse)</w:t>
      </w:r>
    </w:p>
    <w:p w:rsidR="0074567B" w:rsidRPr="00941FA7" w:rsidRDefault="0074567B" w:rsidP="00BD2863">
      <w:pPr>
        <w:pStyle w:val="NoSpacing"/>
        <w:ind w:left="0" w:firstLine="0"/>
        <w:rPr>
          <w:b/>
          <w:sz w:val="24"/>
          <w:szCs w:val="24"/>
          <w:lang w:val="fr-FR"/>
        </w:rPr>
      </w:pPr>
    </w:p>
    <w:p w:rsidR="003F135F" w:rsidRPr="00941FA7" w:rsidRDefault="003F135F" w:rsidP="00633DD5">
      <w:pPr>
        <w:pStyle w:val="NoSpacing"/>
        <w:rPr>
          <w:b/>
          <w:lang w:val="fr-FR"/>
        </w:rPr>
      </w:pPr>
    </w:p>
    <w:p w:rsidR="004C03D9" w:rsidRPr="00941FA7" w:rsidRDefault="003D733E" w:rsidP="00633DD5">
      <w:pPr>
        <w:pStyle w:val="NoSpacing"/>
        <w:rPr>
          <w:b/>
          <w:lang w:val="fr-FR"/>
        </w:rPr>
      </w:pPr>
      <w:r w:rsidRPr="00941FA7">
        <w:rPr>
          <w:b/>
          <w:lang w:val="fr-FR"/>
        </w:rPr>
        <w:t>I.</w:t>
      </w:r>
      <w:r w:rsidRPr="00941FA7">
        <w:rPr>
          <w:b/>
          <w:lang w:val="fr-FR"/>
        </w:rPr>
        <w:tab/>
      </w:r>
      <w:r w:rsidR="00B76AA6" w:rsidRPr="00941FA7">
        <w:rPr>
          <w:b/>
          <w:lang w:val="fr-FR"/>
        </w:rPr>
        <w:t>Bilan au 31 décembre</w:t>
      </w:r>
      <w:r w:rsidR="00B76AA6" w:rsidRPr="00941FA7">
        <w:rPr>
          <w:rStyle w:val="CommentReference"/>
          <w:lang w:val="fr-FR"/>
        </w:rPr>
        <w:t xml:space="preserve"> </w:t>
      </w:r>
      <w:r w:rsidR="006A24F1" w:rsidRPr="00941FA7">
        <w:rPr>
          <w:rStyle w:val="FootnoteReference"/>
          <w:lang w:val="fr-FR"/>
        </w:rPr>
        <w:footnoteReference w:id="6"/>
      </w:r>
    </w:p>
    <w:p w:rsidR="003F135F" w:rsidRPr="00941FA7" w:rsidRDefault="003F135F" w:rsidP="00633DD5">
      <w:pPr>
        <w:pStyle w:val="NoSpacing"/>
        <w:rPr>
          <w:b/>
          <w:lang w:val="fr-FR"/>
        </w:rPr>
      </w:pPr>
    </w:p>
    <w:tbl>
      <w:tblPr>
        <w:tblW w:w="8297" w:type="dxa"/>
        <w:tblLayout w:type="fixed"/>
        <w:tblLook w:val="0000" w:firstRow="0" w:lastRow="0" w:firstColumn="0" w:lastColumn="0" w:noHBand="0" w:noVBand="0"/>
      </w:tblPr>
      <w:tblGrid>
        <w:gridCol w:w="3969"/>
        <w:gridCol w:w="846"/>
        <w:gridCol w:w="1620"/>
        <w:gridCol w:w="283"/>
        <w:gridCol w:w="1579"/>
      </w:tblGrid>
      <w:tr w:rsidR="00FB66C4" w:rsidRPr="00941FA7" w:rsidTr="00FB66C4">
        <w:trPr>
          <w:trHeight w:val="426"/>
        </w:trPr>
        <w:tc>
          <w:tcPr>
            <w:tcW w:w="3969" w:type="dxa"/>
            <w:tcBorders>
              <w:top w:val="nil"/>
              <w:left w:val="nil"/>
              <w:bottom w:val="single" w:sz="12" w:space="0" w:color="auto"/>
              <w:right w:val="nil"/>
            </w:tcBorders>
            <w:shd w:val="solid" w:color="FFFFFF" w:fill="auto"/>
            <w:vAlign w:val="center"/>
          </w:tcPr>
          <w:p w:rsidR="00FB66C4" w:rsidRPr="00941FA7" w:rsidRDefault="00B76AA6" w:rsidP="00FB66C4">
            <w:pPr>
              <w:autoSpaceDE w:val="0"/>
              <w:autoSpaceDN w:val="0"/>
              <w:adjustRightInd w:val="0"/>
              <w:ind w:left="0" w:firstLine="0"/>
              <w:rPr>
                <w:rFonts w:asciiTheme="minorHAnsi" w:eastAsiaTheme="minorHAnsi" w:hAnsiTheme="minorHAnsi" w:cstheme="minorHAnsi"/>
                <w:i/>
                <w:iCs/>
                <w:color w:val="000000"/>
                <w:sz w:val="20"/>
                <w:szCs w:val="20"/>
                <w:lang w:val="fr-FR"/>
              </w:rPr>
            </w:pPr>
            <w:r w:rsidRPr="00941FA7">
              <w:rPr>
                <w:rFonts w:asciiTheme="minorHAnsi" w:eastAsiaTheme="minorHAnsi" w:hAnsiTheme="minorHAnsi" w:cstheme="minorHAnsi"/>
                <w:i/>
                <w:iCs/>
                <w:color w:val="000000"/>
                <w:sz w:val="20"/>
                <w:szCs w:val="20"/>
                <w:lang w:val="fr-FR"/>
              </w:rPr>
              <w:t>en milliers de francs suisses (CHF)</w:t>
            </w:r>
          </w:p>
        </w:tc>
        <w:tc>
          <w:tcPr>
            <w:tcW w:w="846" w:type="dxa"/>
            <w:tcBorders>
              <w:top w:val="nil"/>
              <w:left w:val="nil"/>
              <w:bottom w:val="single" w:sz="12" w:space="0" w:color="auto"/>
              <w:right w:val="nil"/>
            </w:tcBorders>
            <w:shd w:val="solid" w:color="FFFFFF" w:fill="auto"/>
            <w:vAlign w:val="center"/>
          </w:tcPr>
          <w:p w:rsidR="00FB66C4" w:rsidRPr="00941FA7" w:rsidRDefault="00FB66C4" w:rsidP="00FB66C4">
            <w:pPr>
              <w:autoSpaceDE w:val="0"/>
              <w:autoSpaceDN w:val="0"/>
              <w:adjustRightInd w:val="0"/>
              <w:ind w:left="0" w:firstLine="0"/>
              <w:jc w:val="center"/>
              <w:rPr>
                <w:rFonts w:asciiTheme="minorHAnsi" w:eastAsiaTheme="minorHAnsi" w:hAnsiTheme="minorHAnsi" w:cstheme="minorHAnsi"/>
                <w:b/>
                <w:bCs/>
                <w:color w:val="000000"/>
                <w:sz w:val="20"/>
                <w:szCs w:val="20"/>
                <w:lang w:val="fr-FR"/>
              </w:rPr>
            </w:pPr>
            <w:r w:rsidRPr="00941FA7">
              <w:rPr>
                <w:rFonts w:asciiTheme="minorHAnsi" w:eastAsiaTheme="minorHAnsi" w:hAnsiTheme="minorHAnsi" w:cstheme="minorHAnsi"/>
                <w:b/>
                <w:bCs/>
                <w:color w:val="000000"/>
                <w:sz w:val="20"/>
                <w:szCs w:val="20"/>
                <w:lang w:val="fr-FR"/>
              </w:rPr>
              <w:t>Notes</w:t>
            </w:r>
          </w:p>
        </w:tc>
        <w:tc>
          <w:tcPr>
            <w:tcW w:w="1620" w:type="dxa"/>
            <w:tcBorders>
              <w:top w:val="nil"/>
              <w:left w:val="nil"/>
              <w:bottom w:val="single" w:sz="12" w:space="0" w:color="auto"/>
              <w:right w:val="nil"/>
            </w:tcBorders>
            <w:shd w:val="clear" w:color="auto" w:fill="B8CCE4" w:themeFill="accent1" w:themeFillTint="66"/>
            <w:vAlign w:val="center"/>
          </w:tcPr>
          <w:p w:rsidR="00FB66C4" w:rsidRPr="00941FA7" w:rsidRDefault="0014538A" w:rsidP="00FB66C4">
            <w:pPr>
              <w:autoSpaceDE w:val="0"/>
              <w:autoSpaceDN w:val="0"/>
              <w:adjustRightInd w:val="0"/>
              <w:ind w:left="0" w:firstLine="0"/>
              <w:jc w:val="center"/>
              <w:rPr>
                <w:rFonts w:asciiTheme="minorHAnsi" w:eastAsiaTheme="minorHAnsi" w:hAnsiTheme="minorHAnsi" w:cstheme="minorHAnsi"/>
                <w:b/>
                <w:bCs/>
                <w:color w:val="000000"/>
                <w:sz w:val="20"/>
                <w:szCs w:val="20"/>
                <w:lang w:val="fr-FR"/>
              </w:rPr>
            </w:pPr>
            <w:r w:rsidRPr="00941FA7">
              <w:rPr>
                <w:rFonts w:asciiTheme="minorHAnsi" w:eastAsiaTheme="minorHAnsi" w:hAnsiTheme="minorHAnsi" w:cstheme="minorHAnsi"/>
                <w:b/>
                <w:bCs/>
                <w:color w:val="000000"/>
                <w:sz w:val="20"/>
                <w:szCs w:val="20"/>
                <w:lang w:val="fr-FR"/>
              </w:rPr>
              <w:t>2021</w:t>
            </w:r>
          </w:p>
        </w:tc>
        <w:tc>
          <w:tcPr>
            <w:tcW w:w="283" w:type="dxa"/>
            <w:tcBorders>
              <w:top w:val="nil"/>
              <w:left w:val="nil"/>
              <w:bottom w:val="single" w:sz="12" w:space="0" w:color="auto"/>
              <w:right w:val="nil"/>
            </w:tcBorders>
            <w:shd w:val="clear" w:color="auto" w:fill="F2F2F2" w:themeFill="background1" w:themeFillShade="F2"/>
            <w:vAlign w:val="center"/>
          </w:tcPr>
          <w:p w:rsidR="00FB66C4" w:rsidRPr="00941FA7" w:rsidRDefault="00FB66C4" w:rsidP="00FB66C4">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579" w:type="dxa"/>
            <w:tcBorders>
              <w:top w:val="nil"/>
              <w:left w:val="nil"/>
              <w:bottom w:val="single" w:sz="12" w:space="0" w:color="auto"/>
              <w:right w:val="nil"/>
            </w:tcBorders>
            <w:shd w:val="clear" w:color="auto" w:fill="D6E3BC" w:themeFill="accent3" w:themeFillTint="66"/>
            <w:vAlign w:val="center"/>
          </w:tcPr>
          <w:p w:rsidR="00FB66C4" w:rsidRPr="00941FA7" w:rsidRDefault="0014538A" w:rsidP="00FB66C4">
            <w:pPr>
              <w:autoSpaceDE w:val="0"/>
              <w:autoSpaceDN w:val="0"/>
              <w:adjustRightInd w:val="0"/>
              <w:ind w:left="0" w:firstLine="0"/>
              <w:jc w:val="center"/>
              <w:rPr>
                <w:rFonts w:asciiTheme="minorHAnsi" w:eastAsiaTheme="minorHAnsi" w:hAnsiTheme="minorHAnsi" w:cstheme="minorHAnsi"/>
                <w:b/>
                <w:bCs/>
                <w:color w:val="000000"/>
                <w:sz w:val="20"/>
                <w:szCs w:val="20"/>
                <w:lang w:val="fr-FR"/>
              </w:rPr>
            </w:pPr>
            <w:r w:rsidRPr="00941FA7">
              <w:rPr>
                <w:rFonts w:asciiTheme="minorHAnsi" w:eastAsiaTheme="minorHAnsi" w:hAnsiTheme="minorHAnsi" w:cstheme="minorHAnsi"/>
                <w:b/>
                <w:bCs/>
                <w:color w:val="000000"/>
                <w:sz w:val="20"/>
                <w:szCs w:val="20"/>
                <w:lang w:val="fr-FR"/>
              </w:rPr>
              <w:t>2020</w:t>
            </w:r>
          </w:p>
        </w:tc>
      </w:tr>
      <w:tr w:rsidR="00FB66C4" w:rsidRPr="00941FA7" w:rsidTr="00FB66C4">
        <w:tc>
          <w:tcPr>
            <w:tcW w:w="3969"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rPr>
                <w:rFonts w:asciiTheme="minorHAnsi" w:eastAsiaTheme="minorHAnsi" w:hAnsiTheme="minorHAnsi" w:cstheme="minorHAnsi"/>
                <w:b/>
                <w:bCs/>
                <w:color w:val="000000"/>
                <w:sz w:val="20"/>
                <w:szCs w:val="20"/>
                <w:lang w:val="fr-FR"/>
              </w:rPr>
            </w:pPr>
          </w:p>
          <w:p w:rsidR="00FB66C4" w:rsidRPr="008939B8" w:rsidRDefault="00B76AA6">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ACTIFS</w:t>
            </w:r>
          </w:p>
        </w:tc>
        <w:tc>
          <w:tcPr>
            <w:tcW w:w="846"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tcPr>
          <w:p w:rsidR="00FB66C4" w:rsidRPr="008939B8" w:rsidRDefault="00FB66C4">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FB66C4" w:rsidRPr="00941FA7" w:rsidTr="00FB66C4">
        <w:tc>
          <w:tcPr>
            <w:tcW w:w="3969" w:type="dxa"/>
            <w:tcBorders>
              <w:top w:val="nil"/>
              <w:left w:val="nil"/>
              <w:bottom w:val="nil"/>
              <w:right w:val="nil"/>
            </w:tcBorders>
            <w:shd w:val="solid" w:color="FFFFFF" w:fill="auto"/>
          </w:tcPr>
          <w:p w:rsidR="00FB66C4" w:rsidRPr="008939B8" w:rsidRDefault="00B76AA6">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Actifs courants</w:t>
            </w:r>
          </w:p>
        </w:tc>
        <w:tc>
          <w:tcPr>
            <w:tcW w:w="846"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tcPr>
          <w:p w:rsidR="00FB66C4" w:rsidRPr="008939B8" w:rsidRDefault="00FB66C4">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FB66C4" w:rsidRPr="008939B8" w:rsidRDefault="00FB66C4">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Liquidités et dépôts bancaires à court terme</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6,946</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5,634</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Comptes à recevoir de Parties contractantes (net)</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6</w:t>
            </w: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484</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680</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Autres comptes à recevoir</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7</w:t>
            </w:r>
          </w:p>
        </w:tc>
        <w:tc>
          <w:tcPr>
            <w:tcW w:w="1620" w:type="dxa"/>
            <w:tcBorders>
              <w:top w:val="nil"/>
              <w:left w:val="nil"/>
              <w:bottom w:val="single" w:sz="6" w:space="0" w:color="auto"/>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49</w:t>
            </w:r>
          </w:p>
        </w:tc>
        <w:tc>
          <w:tcPr>
            <w:tcW w:w="283" w:type="dxa"/>
            <w:tcBorders>
              <w:top w:val="nil"/>
              <w:left w:val="nil"/>
              <w:bottom w:val="single" w:sz="6" w:space="0" w:color="auto"/>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single" w:sz="6" w:space="0" w:color="auto"/>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85</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sz w:val="20"/>
                <w:szCs w:val="20"/>
                <w:lang w:val="fr-FR"/>
              </w:rPr>
              <w:t>Total actifs courants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7,479</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6,399</w:t>
            </w:r>
          </w:p>
        </w:tc>
      </w:tr>
      <w:tr w:rsidR="0014538A" w:rsidRPr="00941FA7" w:rsidTr="002538A3">
        <w:tc>
          <w:tcPr>
            <w:tcW w:w="396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bCs/>
                <w:sz w:val="20"/>
                <w:szCs w:val="20"/>
                <w:lang w:val="fr-FR"/>
              </w:rPr>
              <w:t>Immobilisations (nettes)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9</w:t>
            </w: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17</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13</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bCs/>
                <w:sz w:val="20"/>
                <w:szCs w:val="20"/>
                <w:lang w:val="fr-FR"/>
              </w:rPr>
              <w:t>Total actifs non courants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single" w:sz="6" w:space="0" w:color="auto"/>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17</w:t>
            </w:r>
          </w:p>
        </w:tc>
        <w:tc>
          <w:tcPr>
            <w:tcW w:w="283" w:type="dxa"/>
            <w:tcBorders>
              <w:top w:val="single" w:sz="6" w:space="0" w:color="auto"/>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single" w:sz="6" w:space="0" w:color="auto"/>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13</w:t>
            </w:r>
          </w:p>
        </w:tc>
      </w:tr>
      <w:tr w:rsidR="0014538A" w:rsidRPr="00941FA7" w:rsidTr="002538A3">
        <w:tc>
          <w:tcPr>
            <w:tcW w:w="396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rPr>
                <w:rFonts w:asciiTheme="minorHAnsi" w:eastAsiaTheme="minorHAnsi" w:hAnsiTheme="minorHAnsi" w:cstheme="minorHAnsi"/>
                <w:color w:val="000000"/>
                <w:sz w:val="20"/>
                <w:szCs w:val="20"/>
                <w:lang w:val="fr-FR"/>
              </w:rPr>
            </w:pP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941FA7" w:rsidTr="002538A3">
        <w:tc>
          <w:tcPr>
            <w:tcW w:w="3969" w:type="dxa"/>
            <w:tcBorders>
              <w:top w:val="nil"/>
              <w:left w:val="nil"/>
              <w:bottom w:val="nil"/>
              <w:right w:val="nil"/>
            </w:tcBorders>
            <w:shd w:val="solid" w:color="FFFFFF" w:fill="auto"/>
          </w:tcPr>
          <w:p w:rsidR="0014538A" w:rsidRPr="008939B8" w:rsidRDefault="0014538A" w:rsidP="00B76AA6">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TOTAL A</w:t>
            </w:r>
            <w:r w:rsidR="00B76AA6" w:rsidRPr="008939B8">
              <w:rPr>
                <w:rFonts w:asciiTheme="minorHAnsi" w:eastAsiaTheme="minorHAnsi" w:hAnsiTheme="minorHAnsi" w:cstheme="minorHAnsi"/>
                <w:b/>
                <w:bCs/>
                <w:color w:val="000000"/>
                <w:sz w:val="20"/>
                <w:szCs w:val="20"/>
                <w:lang w:val="fr-FR"/>
              </w:rPr>
              <w:t>CTIFS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single" w:sz="6" w:space="0" w:color="auto"/>
              <w:left w:val="nil"/>
              <w:bottom w:val="single" w:sz="6" w:space="0" w:color="auto"/>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7,496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single" w:sz="6" w:space="0" w:color="auto"/>
              <w:left w:val="nil"/>
              <w:bottom w:val="single" w:sz="6" w:space="0" w:color="auto"/>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6,412</w:t>
            </w:r>
          </w:p>
        </w:tc>
      </w:tr>
      <w:tr w:rsidR="0014538A" w:rsidRPr="00941FA7" w:rsidTr="002538A3">
        <w:tc>
          <w:tcPr>
            <w:tcW w:w="396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rPr>
                <w:rFonts w:asciiTheme="minorHAnsi" w:eastAsiaTheme="minorHAnsi" w:hAnsiTheme="minorHAnsi" w:cstheme="minorHAnsi"/>
                <w:color w:val="000000"/>
                <w:sz w:val="20"/>
                <w:szCs w:val="20"/>
                <w:lang w:val="fr-FR"/>
              </w:rPr>
            </w:pP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8939B8"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bCs/>
                <w:sz w:val="20"/>
                <w:szCs w:val="20"/>
                <w:lang w:val="fr-FR"/>
              </w:rPr>
              <w:t>PASSIF ET SOLDE DE</w:t>
            </w:r>
            <w:r w:rsidR="00367519" w:rsidRPr="008939B8">
              <w:rPr>
                <w:rFonts w:asciiTheme="minorHAnsi" w:hAnsiTheme="minorHAnsi" w:cstheme="minorHAnsi"/>
                <w:b/>
                <w:bCs/>
                <w:sz w:val="20"/>
                <w:szCs w:val="20"/>
                <w:lang w:val="fr-FR"/>
              </w:rPr>
              <w:t>S</w:t>
            </w:r>
            <w:r w:rsidRPr="008939B8">
              <w:rPr>
                <w:rFonts w:asciiTheme="minorHAnsi" w:hAnsiTheme="minorHAnsi" w:cstheme="minorHAnsi"/>
                <w:b/>
                <w:bCs/>
                <w:sz w:val="20"/>
                <w:szCs w:val="20"/>
                <w:lang w:val="fr-FR"/>
              </w:rPr>
              <w:t xml:space="preserve"> FONDS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bCs/>
                <w:sz w:val="20"/>
                <w:szCs w:val="20"/>
                <w:lang w:val="fr-FR"/>
              </w:rPr>
              <w:t>Passifs courants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Sommes dues à l’UICN</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135</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61</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Autres comptes à payer</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8</w:t>
            </w: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1,054</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655</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Charges à payer</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single" w:sz="6" w:space="0" w:color="auto"/>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121</w:t>
            </w:r>
          </w:p>
        </w:tc>
        <w:tc>
          <w:tcPr>
            <w:tcW w:w="283" w:type="dxa"/>
            <w:tcBorders>
              <w:top w:val="nil"/>
              <w:left w:val="nil"/>
              <w:bottom w:val="single" w:sz="6" w:space="0" w:color="auto"/>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single" w:sz="6" w:space="0" w:color="auto"/>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83</w:t>
            </w:r>
          </w:p>
        </w:tc>
      </w:tr>
      <w:tr w:rsidR="0014538A" w:rsidRPr="00941FA7" w:rsidTr="002538A3">
        <w:tc>
          <w:tcPr>
            <w:tcW w:w="3969" w:type="dxa"/>
            <w:tcBorders>
              <w:top w:val="nil"/>
              <w:left w:val="nil"/>
              <w:bottom w:val="nil"/>
              <w:right w:val="nil"/>
            </w:tcBorders>
            <w:shd w:val="solid" w:color="FFFFFF" w:fill="auto"/>
          </w:tcPr>
          <w:p w:rsidR="0014538A"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bCs/>
                <w:sz w:val="20"/>
                <w:szCs w:val="20"/>
                <w:lang w:val="fr-FR"/>
              </w:rPr>
              <w:t>Total passifs courants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1,310</w:t>
            </w: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799</w:t>
            </w:r>
          </w:p>
        </w:tc>
      </w:tr>
      <w:tr w:rsidR="0014538A" w:rsidRPr="00941FA7" w:rsidTr="002538A3">
        <w:tc>
          <w:tcPr>
            <w:tcW w:w="396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14538A" w:rsidRPr="00941FA7" w:rsidTr="002538A3">
        <w:tc>
          <w:tcPr>
            <w:tcW w:w="396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Provisions</w:t>
            </w:r>
          </w:p>
        </w:tc>
        <w:tc>
          <w:tcPr>
            <w:tcW w:w="846"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14538A" w:rsidRPr="008939B8"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B76AA6" w:rsidRPr="00941FA7" w:rsidTr="00B76AA6">
        <w:tc>
          <w:tcPr>
            <w:tcW w:w="3969" w:type="dxa"/>
            <w:tcBorders>
              <w:top w:val="nil"/>
              <w:left w:val="nil"/>
              <w:bottom w:val="nil"/>
              <w:right w:val="nil"/>
            </w:tcBorders>
            <w:shd w:val="solid" w:color="FFFFFF" w:fill="auto"/>
            <w:vAlign w:val="bottom"/>
          </w:tcPr>
          <w:p w:rsidR="00B76AA6" w:rsidRPr="008939B8" w:rsidRDefault="00B76AA6" w:rsidP="00B76AA6">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eastAsia="en-GB"/>
              </w:rPr>
              <w:t>Rapatriement de personnel</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5</w:t>
            </w: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133</w:t>
            </w: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121</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 xml:space="preserve">Congés </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5</w:t>
            </w: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132</w:t>
            </w: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125</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eastAsia="en-GB"/>
              </w:rPr>
              <w:t>Résiliation de contrats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5</w:t>
            </w:r>
          </w:p>
        </w:tc>
        <w:tc>
          <w:tcPr>
            <w:tcW w:w="1620" w:type="dxa"/>
            <w:tcBorders>
              <w:top w:val="nil"/>
              <w:left w:val="nil"/>
              <w:bottom w:val="single" w:sz="6" w:space="0" w:color="auto"/>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192</w:t>
            </w:r>
          </w:p>
        </w:tc>
        <w:tc>
          <w:tcPr>
            <w:tcW w:w="283" w:type="dxa"/>
            <w:tcBorders>
              <w:top w:val="nil"/>
              <w:left w:val="nil"/>
              <w:bottom w:val="single" w:sz="6" w:space="0" w:color="auto"/>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single" w:sz="6" w:space="0" w:color="auto"/>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172</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Total provisions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457</w:t>
            </w: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418</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B76AA6">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Fonds et réserves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Fonds de réserve administratifs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11</w:t>
            </w: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3,738</w:t>
            </w: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3,318</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Fonds non administratifs - projets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r w:rsidRPr="008939B8">
              <w:rPr>
                <w:rFonts w:asciiTheme="minorHAnsi" w:eastAsiaTheme="minorHAnsi" w:hAnsiTheme="minorHAnsi" w:cstheme="minorHAnsi"/>
                <w:color w:val="000000"/>
                <w:sz w:val="20"/>
                <w:szCs w:val="20"/>
                <w:lang w:val="fr-FR"/>
              </w:rPr>
              <w:t>12</w:t>
            </w:r>
          </w:p>
        </w:tc>
        <w:tc>
          <w:tcPr>
            <w:tcW w:w="1620" w:type="dxa"/>
            <w:tcBorders>
              <w:top w:val="nil"/>
              <w:left w:val="nil"/>
              <w:bottom w:val="single" w:sz="6" w:space="0" w:color="auto"/>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1,991</w:t>
            </w:r>
          </w:p>
        </w:tc>
        <w:tc>
          <w:tcPr>
            <w:tcW w:w="283" w:type="dxa"/>
            <w:tcBorders>
              <w:top w:val="nil"/>
              <w:left w:val="nil"/>
              <w:bottom w:val="single" w:sz="6" w:space="0" w:color="auto"/>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p>
        </w:tc>
        <w:tc>
          <w:tcPr>
            <w:tcW w:w="1579" w:type="dxa"/>
            <w:tcBorders>
              <w:top w:val="nil"/>
              <w:left w:val="nil"/>
              <w:bottom w:val="single" w:sz="6" w:space="0" w:color="auto"/>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color w:val="000000"/>
                <w:sz w:val="20"/>
                <w:szCs w:val="20"/>
                <w:lang w:val="fr-FR"/>
              </w:rPr>
            </w:pPr>
            <w:r w:rsidRPr="008939B8">
              <w:rPr>
                <w:rFonts w:asciiTheme="minorHAnsi" w:hAnsiTheme="minorHAnsi" w:cstheme="minorHAnsi"/>
                <w:sz w:val="20"/>
                <w:szCs w:val="20"/>
                <w:lang w:val="fr-FR"/>
              </w:rPr>
              <w:t>1,877</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hAnsiTheme="minorHAnsi" w:cstheme="minorHAnsi"/>
                <w:b/>
                <w:sz w:val="20"/>
                <w:szCs w:val="20"/>
                <w:lang w:val="fr-FR"/>
              </w:rPr>
              <w:t>Total Fonds et réserves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5,729</w:t>
            </w: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5,195</w:t>
            </w: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283" w:type="dxa"/>
            <w:tcBorders>
              <w:top w:val="nil"/>
              <w:left w:val="nil"/>
              <w:bottom w:val="nil"/>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r>
      <w:tr w:rsidR="00B76AA6" w:rsidRPr="00941FA7" w:rsidTr="002538A3">
        <w:tc>
          <w:tcPr>
            <w:tcW w:w="3969"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rPr>
                <w:rFonts w:asciiTheme="minorHAnsi" w:eastAsiaTheme="minorHAnsi" w:hAnsiTheme="minorHAnsi" w:cstheme="minorHAnsi"/>
                <w:b/>
                <w:bCs/>
                <w:color w:val="000000"/>
                <w:sz w:val="20"/>
                <w:szCs w:val="20"/>
                <w:lang w:val="fr-FR"/>
              </w:rPr>
            </w:pPr>
            <w:r w:rsidRPr="008939B8">
              <w:rPr>
                <w:rFonts w:asciiTheme="minorHAnsi" w:eastAsiaTheme="minorHAnsi" w:hAnsiTheme="minorHAnsi" w:cstheme="minorHAnsi"/>
                <w:b/>
                <w:bCs/>
                <w:color w:val="000000"/>
                <w:sz w:val="20"/>
                <w:szCs w:val="20"/>
                <w:lang w:val="fr-FR"/>
              </w:rPr>
              <w:t>TOTAL PASSIF ET SOLDE DE FONDS</w:t>
            </w:r>
          </w:p>
        </w:tc>
        <w:tc>
          <w:tcPr>
            <w:tcW w:w="846" w:type="dxa"/>
            <w:tcBorders>
              <w:top w:val="nil"/>
              <w:left w:val="nil"/>
              <w:bottom w:val="nil"/>
              <w:right w:val="nil"/>
            </w:tcBorders>
            <w:shd w:val="solid" w:color="FFFFFF" w:fill="auto"/>
          </w:tcPr>
          <w:p w:rsidR="00B76AA6" w:rsidRPr="008939B8" w:rsidRDefault="00B76AA6" w:rsidP="0014538A">
            <w:pPr>
              <w:autoSpaceDE w:val="0"/>
              <w:autoSpaceDN w:val="0"/>
              <w:adjustRightInd w:val="0"/>
              <w:ind w:left="0" w:firstLine="0"/>
              <w:jc w:val="center"/>
              <w:rPr>
                <w:rFonts w:asciiTheme="minorHAnsi" w:eastAsiaTheme="minorHAnsi" w:hAnsiTheme="minorHAnsi" w:cstheme="minorHAnsi"/>
                <w:color w:val="000000"/>
                <w:sz w:val="20"/>
                <w:szCs w:val="20"/>
                <w:lang w:val="fr-FR"/>
              </w:rPr>
            </w:pPr>
          </w:p>
        </w:tc>
        <w:tc>
          <w:tcPr>
            <w:tcW w:w="1620" w:type="dxa"/>
            <w:tcBorders>
              <w:top w:val="single" w:sz="6" w:space="0" w:color="auto"/>
              <w:left w:val="nil"/>
              <w:bottom w:val="single" w:sz="6" w:space="0" w:color="auto"/>
              <w:right w:val="nil"/>
            </w:tcBorders>
            <w:shd w:val="clear" w:color="auto" w:fill="B8CCE4" w:themeFill="accent1" w:themeFillTint="66"/>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7,496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p>
        </w:tc>
        <w:tc>
          <w:tcPr>
            <w:tcW w:w="1579" w:type="dxa"/>
            <w:tcBorders>
              <w:top w:val="single" w:sz="6" w:space="0" w:color="auto"/>
              <w:left w:val="nil"/>
              <w:bottom w:val="single" w:sz="6" w:space="0" w:color="auto"/>
              <w:right w:val="nil"/>
            </w:tcBorders>
            <w:shd w:val="clear" w:color="auto" w:fill="D6E3BC" w:themeFill="accent3" w:themeFillTint="66"/>
          </w:tcPr>
          <w:p w:rsidR="00B76AA6" w:rsidRPr="008939B8" w:rsidRDefault="00B76AA6" w:rsidP="0014538A">
            <w:pPr>
              <w:autoSpaceDE w:val="0"/>
              <w:autoSpaceDN w:val="0"/>
              <w:adjustRightInd w:val="0"/>
              <w:ind w:left="0" w:firstLine="0"/>
              <w:jc w:val="right"/>
              <w:rPr>
                <w:rFonts w:asciiTheme="minorHAnsi" w:eastAsiaTheme="minorHAnsi" w:hAnsiTheme="minorHAnsi" w:cstheme="minorHAnsi"/>
                <w:b/>
                <w:bCs/>
                <w:color w:val="000000"/>
                <w:sz w:val="20"/>
                <w:szCs w:val="20"/>
                <w:lang w:val="fr-FR"/>
              </w:rPr>
            </w:pPr>
            <w:r w:rsidRPr="008939B8">
              <w:rPr>
                <w:rFonts w:asciiTheme="minorHAnsi" w:hAnsiTheme="minorHAnsi" w:cstheme="minorHAnsi"/>
                <w:sz w:val="20"/>
                <w:szCs w:val="20"/>
                <w:lang w:val="fr-FR"/>
              </w:rPr>
              <w:t>6,412</w:t>
            </w:r>
          </w:p>
        </w:tc>
      </w:tr>
    </w:tbl>
    <w:p w:rsidR="00FB66C4" w:rsidRPr="00941FA7" w:rsidRDefault="00FB66C4">
      <w:pPr>
        <w:rPr>
          <w:rFonts w:eastAsia="Times New Roman" w:cs="Arial"/>
          <w:b/>
          <w:bCs/>
          <w:lang w:val="fr-FR" w:eastAsia="en-GB"/>
        </w:rPr>
      </w:pPr>
    </w:p>
    <w:p w:rsidR="00FB66C4" w:rsidRPr="00941FA7" w:rsidRDefault="00FB66C4">
      <w:pPr>
        <w:rPr>
          <w:rFonts w:eastAsia="Times New Roman" w:cs="Arial"/>
          <w:b/>
          <w:bCs/>
          <w:lang w:val="fr-FR" w:eastAsia="en-GB"/>
        </w:rPr>
      </w:pPr>
    </w:p>
    <w:p w:rsidR="00FB66C4" w:rsidRPr="00941FA7" w:rsidRDefault="00FB66C4">
      <w:pPr>
        <w:rPr>
          <w:rFonts w:eastAsia="Times New Roman" w:cs="Arial"/>
          <w:b/>
          <w:bCs/>
          <w:lang w:val="fr-FR" w:eastAsia="en-GB"/>
        </w:rPr>
      </w:pPr>
      <w:r w:rsidRPr="00941FA7">
        <w:rPr>
          <w:rFonts w:eastAsia="Times New Roman" w:cs="Arial"/>
          <w:b/>
          <w:bCs/>
          <w:lang w:val="fr-FR" w:eastAsia="en-GB"/>
        </w:rPr>
        <w:br w:type="page"/>
      </w:r>
    </w:p>
    <w:p w:rsidR="006C1657" w:rsidRPr="00941FA7" w:rsidRDefault="003D733E" w:rsidP="00CB5586">
      <w:pPr>
        <w:ind w:left="0" w:firstLine="0"/>
        <w:rPr>
          <w:rFonts w:eastAsia="Times New Roman" w:cs="Arial"/>
          <w:b/>
          <w:bCs/>
          <w:lang w:val="fr-FR" w:eastAsia="en-GB"/>
        </w:rPr>
      </w:pPr>
      <w:r w:rsidRPr="00941FA7">
        <w:rPr>
          <w:rFonts w:eastAsia="Times New Roman" w:cs="Arial"/>
          <w:b/>
          <w:bCs/>
          <w:lang w:val="fr-FR" w:eastAsia="en-GB"/>
        </w:rPr>
        <w:lastRenderedPageBreak/>
        <w:t>II.</w:t>
      </w:r>
      <w:r w:rsidR="002B478C" w:rsidRPr="00941FA7">
        <w:rPr>
          <w:rFonts w:eastAsia="Times New Roman" w:cs="Arial"/>
          <w:b/>
          <w:bCs/>
          <w:lang w:val="fr-FR" w:eastAsia="en-GB"/>
        </w:rPr>
        <w:tab/>
      </w:r>
      <w:r w:rsidR="0004364D" w:rsidRPr="00941FA7">
        <w:rPr>
          <w:rFonts w:eastAsia="Times New Roman" w:cs="Arial"/>
          <w:b/>
          <w:bCs/>
          <w:lang w:val="fr-FR" w:eastAsia="en-GB"/>
        </w:rPr>
        <w:t xml:space="preserve">État des recettes et des dépenses pour l’exercice clos au 31 décembre </w:t>
      </w:r>
      <w:r w:rsidR="007C6B16" w:rsidRPr="00941FA7">
        <w:rPr>
          <w:rFonts w:eastAsia="Times New Roman" w:cs="Arial"/>
          <w:b/>
          <w:bCs/>
          <w:lang w:val="fr-FR" w:eastAsia="en-GB"/>
        </w:rPr>
        <w:t>2021</w:t>
      </w:r>
    </w:p>
    <w:p w:rsidR="003F135F" w:rsidRPr="00941FA7" w:rsidRDefault="003F135F" w:rsidP="00633DD5">
      <w:pPr>
        <w:pStyle w:val="NoSpacing"/>
        <w:rPr>
          <w:rFonts w:eastAsia="Times New Roman" w:cs="Arial"/>
          <w:b/>
          <w:bCs/>
          <w:lang w:val="fr-FR" w:eastAsia="en-GB"/>
        </w:rPr>
      </w:pPr>
    </w:p>
    <w:tbl>
      <w:tblPr>
        <w:tblW w:w="10376" w:type="dxa"/>
        <w:tblInd w:w="-567" w:type="dxa"/>
        <w:tblLayout w:type="fixed"/>
        <w:tblLook w:val="0000" w:firstRow="0" w:lastRow="0" w:firstColumn="0" w:lastColumn="0" w:noHBand="0" w:noVBand="0"/>
      </w:tblPr>
      <w:tblGrid>
        <w:gridCol w:w="3288"/>
        <w:gridCol w:w="708"/>
        <w:gridCol w:w="851"/>
        <w:gridCol w:w="284"/>
        <w:gridCol w:w="850"/>
        <w:gridCol w:w="244"/>
        <w:gridCol w:w="887"/>
        <w:gridCol w:w="236"/>
        <w:gridCol w:w="901"/>
        <w:gridCol w:w="242"/>
        <w:gridCol w:w="793"/>
        <w:gridCol w:w="236"/>
        <w:gridCol w:w="856"/>
      </w:tblGrid>
      <w:tr w:rsidR="00161871" w:rsidRPr="00941FA7" w:rsidTr="00161871">
        <w:tc>
          <w:tcPr>
            <w:tcW w:w="3288" w:type="dxa"/>
            <w:tcBorders>
              <w:top w:val="nil"/>
              <w:left w:val="nil"/>
              <w:right w:val="nil"/>
            </w:tcBorders>
            <w:shd w:val="solid" w:color="FFFFFF" w:fill="auto"/>
          </w:tcPr>
          <w:p w:rsidR="005219C3" w:rsidRPr="00941FA7" w:rsidRDefault="005219C3">
            <w:pPr>
              <w:autoSpaceDE w:val="0"/>
              <w:autoSpaceDN w:val="0"/>
              <w:adjustRightInd w:val="0"/>
              <w:ind w:left="0" w:firstLine="0"/>
              <w:rPr>
                <w:rFonts w:asciiTheme="minorHAnsi" w:eastAsiaTheme="minorHAnsi" w:hAnsiTheme="minorHAnsi" w:cstheme="minorHAnsi"/>
                <w:b/>
                <w:bCs/>
                <w:color w:val="000000"/>
                <w:sz w:val="19"/>
                <w:szCs w:val="19"/>
                <w:lang w:val="fr-FR"/>
              </w:rPr>
            </w:pPr>
          </w:p>
        </w:tc>
        <w:tc>
          <w:tcPr>
            <w:tcW w:w="708" w:type="dxa"/>
            <w:tcBorders>
              <w:top w:val="nil"/>
              <w:left w:val="nil"/>
              <w:right w:val="nil"/>
            </w:tcBorders>
            <w:shd w:val="solid" w:color="FFFFFF" w:fill="auto"/>
          </w:tcPr>
          <w:p w:rsidR="005219C3" w:rsidRPr="00941FA7" w:rsidRDefault="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3116" w:type="dxa"/>
            <w:gridSpan w:val="5"/>
            <w:tcBorders>
              <w:top w:val="nil"/>
              <w:left w:val="nil"/>
              <w:right w:val="nil"/>
            </w:tcBorders>
            <w:shd w:val="clear" w:color="auto" w:fill="B8CCE4" w:themeFill="accent1" w:themeFillTint="66"/>
            <w:vAlign w:val="center"/>
          </w:tcPr>
          <w:p w:rsidR="005219C3" w:rsidRPr="00941FA7" w:rsidRDefault="007C6B16"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2021</w:t>
            </w:r>
          </w:p>
        </w:tc>
        <w:tc>
          <w:tcPr>
            <w:tcW w:w="236" w:type="dxa"/>
            <w:tcBorders>
              <w:top w:val="nil"/>
              <w:left w:val="nil"/>
              <w:right w:val="nil"/>
            </w:tcBorders>
            <w:shd w:val="clear" w:color="auto" w:fill="F2F2F2" w:themeFill="background1" w:themeFillShade="F2"/>
            <w:vAlign w:val="center"/>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3028" w:type="dxa"/>
            <w:gridSpan w:val="5"/>
            <w:tcBorders>
              <w:top w:val="nil"/>
              <w:left w:val="nil"/>
              <w:right w:val="nil"/>
            </w:tcBorders>
            <w:shd w:val="clear" w:color="auto" w:fill="D6E3BC" w:themeFill="accent3" w:themeFillTint="66"/>
            <w:vAlign w:val="center"/>
          </w:tcPr>
          <w:p w:rsidR="005219C3" w:rsidRPr="00941FA7" w:rsidRDefault="007C6B16"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shd w:val="clear" w:color="auto" w:fill="D6E3BC" w:themeFill="accent3" w:themeFillTint="66"/>
                <w:lang w:val="fr-FR"/>
              </w:rPr>
              <w:t>2020</w:t>
            </w:r>
          </w:p>
        </w:tc>
      </w:tr>
      <w:tr w:rsidR="00161871" w:rsidRPr="00941FA7" w:rsidTr="0014156A">
        <w:tc>
          <w:tcPr>
            <w:tcW w:w="3288" w:type="dxa"/>
            <w:tcBorders>
              <w:top w:val="nil"/>
              <w:left w:val="nil"/>
              <w:bottom w:val="single" w:sz="4" w:space="0" w:color="auto"/>
              <w:right w:val="nil"/>
            </w:tcBorders>
            <w:shd w:val="solid" w:color="FFFFFF" w:fill="auto"/>
          </w:tcPr>
          <w:p w:rsidR="005219C3" w:rsidRPr="00941FA7" w:rsidRDefault="0004364D" w:rsidP="005219C3">
            <w:pPr>
              <w:autoSpaceDE w:val="0"/>
              <w:autoSpaceDN w:val="0"/>
              <w:adjustRightInd w:val="0"/>
              <w:ind w:left="0" w:firstLine="0"/>
              <w:rPr>
                <w:rFonts w:asciiTheme="minorHAnsi" w:eastAsiaTheme="minorHAnsi" w:hAnsiTheme="minorHAnsi" w:cstheme="minorHAnsi"/>
                <w:b/>
                <w:bCs/>
                <w:color w:val="000000"/>
                <w:sz w:val="19"/>
                <w:szCs w:val="19"/>
                <w:lang w:val="fr-FR"/>
              </w:rPr>
            </w:pPr>
            <w:r w:rsidRPr="00941FA7">
              <w:rPr>
                <w:rFonts w:asciiTheme="minorHAnsi" w:eastAsiaTheme="minorHAnsi" w:hAnsiTheme="minorHAnsi" w:cstheme="minorHAnsi"/>
                <w:i/>
                <w:iCs/>
                <w:color w:val="000000"/>
                <w:sz w:val="19"/>
                <w:szCs w:val="19"/>
                <w:lang w:val="fr-FR"/>
              </w:rPr>
              <w:t>en milliers de francs suisses (CHF)</w:t>
            </w:r>
          </w:p>
        </w:tc>
        <w:tc>
          <w:tcPr>
            <w:tcW w:w="708" w:type="dxa"/>
            <w:tcBorders>
              <w:top w:val="nil"/>
              <w:left w:val="nil"/>
              <w:bottom w:val="single" w:sz="4" w:space="0" w:color="auto"/>
              <w:right w:val="nil"/>
            </w:tcBorders>
            <w:shd w:val="solid" w:color="FFFFFF" w:fill="auto"/>
            <w:vAlign w:val="center"/>
          </w:tcPr>
          <w:p w:rsidR="005219C3" w:rsidRPr="00941FA7"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Notes</w:t>
            </w:r>
          </w:p>
        </w:tc>
        <w:tc>
          <w:tcPr>
            <w:tcW w:w="851" w:type="dxa"/>
            <w:tcBorders>
              <w:top w:val="nil"/>
              <w:left w:val="nil"/>
              <w:bottom w:val="single" w:sz="4" w:space="0" w:color="auto"/>
              <w:right w:val="nil"/>
            </w:tcBorders>
            <w:shd w:val="solid" w:color="FFFFFF" w:fill="auto"/>
            <w:vAlign w:val="center"/>
          </w:tcPr>
          <w:p w:rsidR="005219C3" w:rsidRPr="00941FA7" w:rsidRDefault="0004364D"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Fonds administratifs</w:t>
            </w:r>
          </w:p>
        </w:tc>
        <w:tc>
          <w:tcPr>
            <w:tcW w:w="1134" w:type="dxa"/>
            <w:gridSpan w:val="2"/>
            <w:tcBorders>
              <w:top w:val="nil"/>
              <w:left w:val="nil"/>
              <w:bottom w:val="single" w:sz="4" w:space="0" w:color="auto"/>
              <w:right w:val="nil"/>
            </w:tcBorders>
            <w:shd w:val="solid" w:color="FFFFFF" w:fill="auto"/>
            <w:vAlign w:val="center"/>
          </w:tcPr>
          <w:p w:rsidR="005219C3" w:rsidRPr="00941FA7" w:rsidRDefault="0004364D"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Projets non administratifs</w:t>
            </w:r>
          </w:p>
        </w:tc>
        <w:tc>
          <w:tcPr>
            <w:tcW w:w="244" w:type="dxa"/>
            <w:tcBorders>
              <w:top w:val="nil"/>
              <w:left w:val="nil"/>
              <w:bottom w:val="single" w:sz="4" w:space="0" w:color="auto"/>
              <w:right w:val="nil"/>
            </w:tcBorders>
            <w:shd w:val="solid" w:color="FFFFFF" w:fill="auto"/>
            <w:vAlign w:val="center"/>
          </w:tcPr>
          <w:p w:rsidR="005219C3" w:rsidRPr="00941FA7"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87" w:type="dxa"/>
            <w:tcBorders>
              <w:top w:val="nil"/>
              <w:left w:val="nil"/>
              <w:bottom w:val="single" w:sz="4" w:space="0" w:color="auto"/>
              <w:right w:val="nil"/>
            </w:tcBorders>
            <w:shd w:val="solid" w:color="FFFFFF" w:fill="auto"/>
            <w:vAlign w:val="center"/>
          </w:tcPr>
          <w:p w:rsidR="005219C3" w:rsidRPr="00941FA7"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Total</w:t>
            </w:r>
          </w:p>
        </w:tc>
        <w:tc>
          <w:tcPr>
            <w:tcW w:w="236" w:type="dxa"/>
            <w:tcBorders>
              <w:top w:val="nil"/>
              <w:left w:val="nil"/>
              <w:bottom w:val="single" w:sz="4" w:space="0" w:color="auto"/>
              <w:right w:val="nil"/>
            </w:tcBorders>
            <w:shd w:val="clear" w:color="auto" w:fill="F2F2F2" w:themeFill="background1" w:themeFillShade="F2"/>
            <w:vAlign w:val="center"/>
          </w:tcPr>
          <w:p w:rsidR="005219C3" w:rsidRPr="00941FA7"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901" w:type="dxa"/>
            <w:tcBorders>
              <w:top w:val="nil"/>
              <w:left w:val="nil"/>
              <w:bottom w:val="single" w:sz="4" w:space="0" w:color="auto"/>
              <w:right w:val="nil"/>
            </w:tcBorders>
            <w:shd w:val="solid" w:color="FFFFFF" w:fill="auto"/>
            <w:vAlign w:val="center"/>
          </w:tcPr>
          <w:p w:rsidR="005219C3" w:rsidRPr="00941FA7" w:rsidRDefault="0004364D"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Fonds administratifs</w:t>
            </w:r>
          </w:p>
        </w:tc>
        <w:tc>
          <w:tcPr>
            <w:tcW w:w="1035" w:type="dxa"/>
            <w:gridSpan w:val="2"/>
            <w:tcBorders>
              <w:top w:val="nil"/>
              <w:left w:val="nil"/>
              <w:bottom w:val="single" w:sz="4" w:space="0" w:color="auto"/>
              <w:right w:val="nil"/>
            </w:tcBorders>
            <w:shd w:val="solid" w:color="FFFFFF" w:fill="auto"/>
            <w:vAlign w:val="center"/>
          </w:tcPr>
          <w:p w:rsidR="005219C3" w:rsidRPr="00941FA7" w:rsidRDefault="0004364D"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Projets non administratifs</w:t>
            </w:r>
          </w:p>
        </w:tc>
        <w:tc>
          <w:tcPr>
            <w:tcW w:w="236" w:type="dxa"/>
            <w:tcBorders>
              <w:top w:val="nil"/>
              <w:left w:val="nil"/>
              <w:bottom w:val="single" w:sz="4" w:space="0" w:color="auto"/>
              <w:right w:val="nil"/>
            </w:tcBorders>
            <w:shd w:val="solid" w:color="FFFFFF" w:fill="auto"/>
            <w:vAlign w:val="center"/>
          </w:tcPr>
          <w:p w:rsidR="005219C3" w:rsidRPr="00941FA7"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6" w:type="dxa"/>
            <w:tcBorders>
              <w:top w:val="nil"/>
              <w:left w:val="nil"/>
              <w:bottom w:val="single" w:sz="4" w:space="0" w:color="auto"/>
              <w:right w:val="nil"/>
            </w:tcBorders>
            <w:shd w:val="solid" w:color="FFFFFF" w:fill="auto"/>
            <w:vAlign w:val="center"/>
          </w:tcPr>
          <w:p w:rsidR="005219C3" w:rsidRPr="00941FA7"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Total</w:t>
            </w:r>
          </w:p>
        </w:tc>
      </w:tr>
      <w:tr w:rsidR="00161871" w:rsidRPr="00941FA7" w:rsidTr="0014156A">
        <w:tc>
          <w:tcPr>
            <w:tcW w:w="3288" w:type="dxa"/>
            <w:tcBorders>
              <w:top w:val="single" w:sz="4" w:space="0" w:color="auto"/>
              <w:left w:val="nil"/>
              <w:bottom w:val="nil"/>
              <w:right w:val="nil"/>
            </w:tcBorders>
            <w:shd w:val="solid" w:color="FFFFFF" w:fill="auto"/>
          </w:tcPr>
          <w:p w:rsidR="001E4A43" w:rsidRPr="00941FA7" w:rsidRDefault="001E4A43" w:rsidP="00161871">
            <w:pPr>
              <w:autoSpaceDE w:val="0"/>
              <w:autoSpaceDN w:val="0"/>
              <w:adjustRightInd w:val="0"/>
              <w:ind w:left="0" w:firstLine="0"/>
              <w:rPr>
                <w:rFonts w:asciiTheme="minorHAnsi" w:eastAsiaTheme="minorHAnsi" w:hAnsiTheme="minorHAnsi" w:cstheme="minorHAnsi"/>
                <w:b/>
                <w:bCs/>
                <w:color w:val="000000"/>
                <w:sz w:val="19"/>
                <w:szCs w:val="19"/>
                <w:lang w:val="fr-FR"/>
              </w:rPr>
            </w:pPr>
          </w:p>
          <w:p w:rsidR="005219C3" w:rsidRPr="00941FA7" w:rsidRDefault="0004364D" w:rsidP="00161871">
            <w:pPr>
              <w:autoSpaceDE w:val="0"/>
              <w:autoSpaceDN w:val="0"/>
              <w:adjustRightInd w:val="0"/>
              <w:ind w:left="0" w:firstLine="0"/>
              <w:rPr>
                <w:rFonts w:asciiTheme="minorHAnsi" w:eastAsiaTheme="minorHAnsi" w:hAnsiTheme="minorHAnsi" w:cstheme="minorHAnsi"/>
                <w:b/>
                <w:bCs/>
                <w:color w:val="000000"/>
                <w:sz w:val="19"/>
                <w:szCs w:val="19"/>
                <w:lang w:val="fr-FR"/>
              </w:rPr>
            </w:pPr>
            <w:r w:rsidRPr="00941FA7">
              <w:rPr>
                <w:rFonts w:asciiTheme="minorHAnsi" w:eastAsiaTheme="minorHAnsi" w:hAnsiTheme="minorHAnsi" w:cstheme="minorHAnsi"/>
                <w:b/>
                <w:bCs/>
                <w:color w:val="000000"/>
                <w:sz w:val="19"/>
                <w:szCs w:val="19"/>
                <w:lang w:val="fr-FR"/>
              </w:rPr>
              <w:t>Recettes</w:t>
            </w:r>
          </w:p>
        </w:tc>
        <w:tc>
          <w:tcPr>
            <w:tcW w:w="708"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clear" w:color="auto" w:fill="F2F2F2" w:themeFill="background1" w:themeFillShade="F2"/>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242"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r>
      <w:tr w:rsidR="00161871" w:rsidRPr="00941FA7" w:rsidTr="0014156A">
        <w:tc>
          <w:tcPr>
            <w:tcW w:w="3288" w:type="dxa"/>
            <w:tcBorders>
              <w:top w:val="nil"/>
              <w:left w:val="nil"/>
              <w:bottom w:val="nil"/>
              <w:right w:val="nil"/>
            </w:tcBorders>
            <w:shd w:val="solid" w:color="FFFFFF" w:fill="auto"/>
          </w:tcPr>
          <w:p w:rsidR="005219C3" w:rsidRPr="00941FA7" w:rsidRDefault="0004364D" w:rsidP="00161871">
            <w:pPr>
              <w:autoSpaceDE w:val="0"/>
              <w:autoSpaceDN w:val="0"/>
              <w:adjustRightInd w:val="0"/>
              <w:ind w:left="0" w:firstLine="0"/>
              <w:rPr>
                <w:rFonts w:asciiTheme="minorHAnsi" w:eastAsiaTheme="minorHAnsi" w:hAnsiTheme="minorHAnsi" w:cstheme="minorHAnsi"/>
                <w:i/>
                <w:iCs/>
                <w:color w:val="000000"/>
                <w:sz w:val="19"/>
                <w:szCs w:val="19"/>
                <w:lang w:val="fr-FR"/>
              </w:rPr>
            </w:pPr>
            <w:r w:rsidRPr="00941FA7">
              <w:rPr>
                <w:rFonts w:asciiTheme="minorHAnsi" w:eastAsiaTheme="minorHAnsi" w:hAnsiTheme="minorHAnsi" w:cstheme="minorHAnsi"/>
                <w:i/>
                <w:iCs/>
                <w:color w:val="000000"/>
                <w:sz w:val="19"/>
                <w:szCs w:val="19"/>
                <w:lang w:val="fr-FR"/>
              </w:rPr>
              <w:t>Revenus externes :</w:t>
            </w:r>
          </w:p>
        </w:tc>
        <w:tc>
          <w:tcPr>
            <w:tcW w:w="708"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Contributions des Parties contractantes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3,779 </w:t>
            </w:r>
          </w:p>
        </w:tc>
        <w:tc>
          <w:tcPr>
            <w:tcW w:w="28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w:t>
            </w:r>
          </w:p>
        </w:tc>
        <w:tc>
          <w:tcPr>
            <w:tcW w:w="24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3,779 </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3,779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3,779 </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Contributions volontaires des États-Unis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1,066 </w:t>
            </w:r>
          </w:p>
        </w:tc>
        <w:tc>
          <w:tcPr>
            <w:tcW w:w="28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w:t>
            </w:r>
          </w:p>
        </w:tc>
        <w:tc>
          <w:tcPr>
            <w:tcW w:w="24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1,066 </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1,066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1,066 </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Contributions volontaires de la Région Afrique</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w:t>
            </w:r>
          </w:p>
        </w:tc>
        <w:tc>
          <w:tcPr>
            <w:tcW w:w="28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vAlign w:val="center"/>
          </w:tcPr>
          <w:p w:rsidR="007C6B16" w:rsidRPr="00941FA7"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11</w:t>
            </w:r>
          </w:p>
        </w:tc>
        <w:tc>
          <w:tcPr>
            <w:tcW w:w="24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7C6B16" w:rsidRPr="00941FA7"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11</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12 </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12 </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Revenus de projets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w:t>
            </w:r>
          </w:p>
        </w:tc>
        <w:tc>
          <w:tcPr>
            <w:tcW w:w="28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7C6B16" w:rsidRPr="00941FA7"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462</w:t>
            </w:r>
          </w:p>
        </w:tc>
        <w:tc>
          <w:tcPr>
            <w:tcW w:w="244" w:type="dxa"/>
            <w:tcBorders>
              <w:top w:val="nil"/>
              <w:left w:val="nil"/>
              <w:bottom w:val="nil"/>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7C6B16" w:rsidRPr="00941FA7"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462</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47 </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47 </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Dégrèvements fiscaux suisses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10</w:t>
            </w:r>
          </w:p>
        </w:tc>
        <w:tc>
          <w:tcPr>
            <w:tcW w:w="851" w:type="dxa"/>
            <w:tcBorders>
              <w:top w:val="nil"/>
              <w:left w:val="nil"/>
              <w:bottom w:val="single" w:sz="6" w:space="0" w:color="auto"/>
              <w:right w:val="nil"/>
            </w:tcBorders>
            <w:shd w:val="solid" w:color="FFFFFF" w:fill="auto"/>
            <w:vAlign w:val="center"/>
          </w:tcPr>
          <w:p w:rsidR="007C6B16" w:rsidRPr="00941FA7"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227</w:t>
            </w:r>
          </w:p>
        </w:tc>
        <w:tc>
          <w:tcPr>
            <w:tcW w:w="284" w:type="dxa"/>
            <w:tcBorders>
              <w:top w:val="nil"/>
              <w:left w:val="nil"/>
              <w:bottom w:val="single" w:sz="6" w:space="0" w:color="auto"/>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single" w:sz="6" w:space="0" w:color="auto"/>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 xml:space="preserve">-   </w:t>
            </w:r>
          </w:p>
        </w:tc>
        <w:tc>
          <w:tcPr>
            <w:tcW w:w="244" w:type="dxa"/>
            <w:tcBorders>
              <w:top w:val="nil"/>
              <w:left w:val="nil"/>
              <w:bottom w:val="single" w:sz="6" w:space="0" w:color="auto"/>
              <w:right w:val="nil"/>
            </w:tcBorders>
            <w:shd w:val="solid" w:color="FFFFFF" w:fill="auto"/>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single" w:sz="6" w:space="0" w:color="auto"/>
              <w:right w:val="nil"/>
            </w:tcBorders>
            <w:shd w:val="solid" w:color="FFFFFF" w:fill="auto"/>
            <w:vAlign w:val="center"/>
          </w:tcPr>
          <w:p w:rsidR="007C6B16" w:rsidRPr="00941FA7"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227</w:t>
            </w:r>
          </w:p>
        </w:tc>
        <w:tc>
          <w:tcPr>
            <w:tcW w:w="236" w:type="dxa"/>
            <w:tcBorders>
              <w:top w:val="nil"/>
              <w:left w:val="nil"/>
              <w:bottom w:val="single" w:sz="6" w:space="0" w:color="auto"/>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185 </w:t>
            </w:r>
          </w:p>
        </w:tc>
        <w:tc>
          <w:tcPr>
            <w:tcW w:w="242"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w:t>
            </w:r>
          </w:p>
        </w:tc>
        <w:tc>
          <w:tcPr>
            <w:tcW w:w="236"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lang w:val="fr-FR"/>
              </w:rPr>
              <w:t xml:space="preserve">   185 </w:t>
            </w:r>
          </w:p>
        </w:tc>
      </w:tr>
      <w:tr w:rsidR="007C6B16" w:rsidRPr="008939B8" w:rsidTr="0014156A">
        <w:tc>
          <w:tcPr>
            <w:tcW w:w="3288" w:type="dxa"/>
            <w:tcBorders>
              <w:top w:val="nil"/>
              <w:left w:val="nil"/>
              <w:bottom w:val="nil"/>
              <w:right w:val="nil"/>
            </w:tcBorders>
            <w:shd w:val="solid" w:color="FFFFFF" w:fill="auto"/>
          </w:tcPr>
          <w:p w:rsidR="007C6B16" w:rsidRPr="008939B8" w:rsidRDefault="007C6B16" w:rsidP="0004364D">
            <w:pPr>
              <w:autoSpaceDE w:val="0"/>
              <w:autoSpaceDN w:val="0"/>
              <w:adjustRightInd w:val="0"/>
              <w:ind w:left="0" w:firstLine="0"/>
              <w:rPr>
                <w:rFonts w:asciiTheme="minorHAnsi" w:eastAsiaTheme="minorHAnsi" w:hAnsiTheme="minorHAnsi" w:cstheme="minorHAnsi"/>
                <w:b/>
                <w:bCs/>
                <w:color w:val="000000"/>
                <w:sz w:val="19"/>
                <w:szCs w:val="19"/>
                <w:lang w:val="fr-FR"/>
              </w:rPr>
            </w:pPr>
            <w:r w:rsidRPr="008939B8">
              <w:rPr>
                <w:rFonts w:asciiTheme="minorHAnsi" w:eastAsiaTheme="minorHAnsi" w:hAnsiTheme="minorHAnsi" w:cstheme="minorHAnsi"/>
                <w:b/>
                <w:bCs/>
                <w:color w:val="000000"/>
                <w:sz w:val="19"/>
                <w:szCs w:val="19"/>
                <w:lang w:val="fr-FR"/>
              </w:rPr>
              <w:t xml:space="preserve">Total </w:t>
            </w:r>
            <w:r w:rsidR="0004364D" w:rsidRPr="008939B8">
              <w:rPr>
                <w:rFonts w:asciiTheme="minorHAnsi" w:eastAsiaTheme="minorHAnsi" w:hAnsiTheme="minorHAnsi" w:cstheme="minorHAnsi"/>
                <w:b/>
                <w:bCs/>
                <w:color w:val="000000"/>
                <w:sz w:val="19"/>
                <w:szCs w:val="19"/>
                <w:lang w:val="fr-FR"/>
              </w:rPr>
              <w:t xml:space="preserve">recettes </w:t>
            </w:r>
          </w:p>
        </w:tc>
        <w:tc>
          <w:tcPr>
            <w:tcW w:w="708" w:type="dxa"/>
            <w:tcBorders>
              <w:top w:val="nil"/>
              <w:left w:val="nil"/>
              <w:bottom w:val="nil"/>
              <w:right w:val="nil"/>
            </w:tcBorders>
            <w:shd w:val="solid" w:color="FFFFFF" w:fill="auto"/>
          </w:tcPr>
          <w:p w:rsidR="007C6B16" w:rsidRPr="008939B8" w:rsidRDefault="007C6B16" w:rsidP="007C6B16">
            <w:pPr>
              <w:autoSpaceDE w:val="0"/>
              <w:autoSpaceDN w:val="0"/>
              <w:adjustRightInd w:val="0"/>
              <w:ind w:left="0" w:firstLine="0"/>
              <w:jc w:val="center"/>
              <w:rPr>
                <w:rFonts w:asciiTheme="minorHAnsi" w:eastAsiaTheme="minorHAnsi" w:hAnsiTheme="minorHAnsi" w:cstheme="minorHAnsi"/>
                <w:b/>
                <w:color w:val="000000"/>
                <w:sz w:val="19"/>
                <w:szCs w:val="19"/>
                <w:lang w:val="fr-FR"/>
              </w:rPr>
            </w:pPr>
          </w:p>
        </w:tc>
        <w:tc>
          <w:tcPr>
            <w:tcW w:w="851" w:type="dxa"/>
            <w:tcBorders>
              <w:top w:val="single" w:sz="6" w:space="0" w:color="auto"/>
              <w:left w:val="nil"/>
              <w:bottom w:val="single" w:sz="6" w:space="0" w:color="auto"/>
              <w:right w:val="nil"/>
            </w:tcBorders>
            <w:shd w:val="solid" w:color="FFFFFF" w:fill="auto"/>
            <w:vAlign w:val="center"/>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rFonts w:asciiTheme="minorHAnsi" w:eastAsiaTheme="minorHAnsi" w:hAnsiTheme="minorHAnsi" w:cstheme="minorHAnsi"/>
                <w:b/>
                <w:bCs/>
                <w:color w:val="000000"/>
                <w:sz w:val="19"/>
                <w:szCs w:val="19"/>
                <w:lang w:val="fr-FR"/>
              </w:rPr>
              <w:t xml:space="preserve">  5,</w:t>
            </w:r>
            <w:r w:rsidR="00A925A3" w:rsidRPr="008939B8">
              <w:rPr>
                <w:rFonts w:asciiTheme="minorHAnsi" w:eastAsiaTheme="minorHAnsi" w:hAnsiTheme="minorHAnsi" w:cstheme="minorHAnsi"/>
                <w:b/>
                <w:bCs/>
                <w:color w:val="000000"/>
                <w:sz w:val="19"/>
                <w:szCs w:val="19"/>
                <w:lang w:val="fr-FR"/>
              </w:rPr>
              <w:t>072</w:t>
            </w:r>
          </w:p>
        </w:tc>
        <w:tc>
          <w:tcPr>
            <w:tcW w:w="284" w:type="dxa"/>
            <w:tcBorders>
              <w:top w:val="single" w:sz="6" w:space="0" w:color="auto"/>
              <w:left w:val="nil"/>
              <w:bottom w:val="single" w:sz="6" w:space="0" w:color="auto"/>
              <w:right w:val="nil"/>
            </w:tcBorders>
            <w:shd w:val="solid" w:color="FFFFFF" w:fill="auto"/>
            <w:vAlign w:val="center"/>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50" w:type="dxa"/>
            <w:tcBorders>
              <w:top w:val="single" w:sz="6" w:space="0" w:color="auto"/>
              <w:left w:val="nil"/>
              <w:bottom w:val="single" w:sz="6" w:space="0" w:color="auto"/>
              <w:right w:val="nil"/>
            </w:tcBorders>
            <w:shd w:val="solid" w:color="FFFFFF" w:fill="auto"/>
            <w:vAlign w:val="center"/>
          </w:tcPr>
          <w:p w:rsidR="007C6B16" w:rsidRPr="008939B8" w:rsidRDefault="00A925A3"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rFonts w:asciiTheme="minorHAnsi" w:eastAsiaTheme="minorHAnsi" w:hAnsiTheme="minorHAnsi" w:cstheme="minorHAnsi"/>
                <w:b/>
                <w:bCs/>
                <w:color w:val="000000"/>
                <w:sz w:val="19"/>
                <w:szCs w:val="19"/>
                <w:lang w:val="fr-FR"/>
              </w:rPr>
              <w:t>473</w:t>
            </w:r>
          </w:p>
        </w:tc>
        <w:tc>
          <w:tcPr>
            <w:tcW w:w="244" w:type="dxa"/>
            <w:tcBorders>
              <w:top w:val="single" w:sz="6" w:space="0" w:color="auto"/>
              <w:left w:val="nil"/>
              <w:bottom w:val="single" w:sz="6" w:space="0" w:color="auto"/>
              <w:right w:val="nil"/>
            </w:tcBorders>
            <w:shd w:val="solid" w:color="FFFFFF" w:fill="auto"/>
            <w:vAlign w:val="center"/>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87" w:type="dxa"/>
            <w:tcBorders>
              <w:top w:val="single" w:sz="6" w:space="0" w:color="auto"/>
              <w:left w:val="nil"/>
              <w:bottom w:val="single" w:sz="6" w:space="0" w:color="auto"/>
              <w:right w:val="nil"/>
            </w:tcBorders>
            <w:shd w:val="solid" w:color="FFFFFF" w:fill="auto"/>
            <w:vAlign w:val="center"/>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rFonts w:asciiTheme="minorHAnsi" w:eastAsiaTheme="minorHAnsi" w:hAnsiTheme="minorHAnsi" w:cstheme="minorHAnsi"/>
                <w:b/>
                <w:bCs/>
                <w:color w:val="000000"/>
                <w:sz w:val="19"/>
                <w:szCs w:val="19"/>
                <w:lang w:val="fr-FR"/>
              </w:rPr>
              <w:t xml:space="preserve">  5,</w:t>
            </w:r>
            <w:r w:rsidR="00A925A3" w:rsidRPr="008939B8">
              <w:rPr>
                <w:rFonts w:asciiTheme="minorHAnsi" w:eastAsiaTheme="minorHAnsi" w:hAnsiTheme="minorHAnsi" w:cstheme="minorHAnsi"/>
                <w:b/>
                <w:bCs/>
                <w:color w:val="000000"/>
                <w:sz w:val="19"/>
                <w:szCs w:val="19"/>
                <w:lang w:val="fr-FR"/>
              </w:rPr>
              <w:t>545</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901" w:type="dxa"/>
            <w:tcBorders>
              <w:top w:val="single" w:sz="6" w:space="0" w:color="auto"/>
              <w:left w:val="nil"/>
              <w:bottom w:val="single" w:sz="6" w:space="0" w:color="auto"/>
              <w:right w:val="nil"/>
            </w:tcBorders>
            <w:shd w:val="solid" w:color="FFFFFF" w:fill="auto"/>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lang w:val="fr-FR"/>
              </w:rPr>
              <w:t xml:space="preserve">  5,030 </w:t>
            </w:r>
          </w:p>
        </w:tc>
        <w:tc>
          <w:tcPr>
            <w:tcW w:w="242" w:type="dxa"/>
            <w:tcBorders>
              <w:top w:val="single" w:sz="6" w:space="0" w:color="auto"/>
              <w:left w:val="nil"/>
              <w:bottom w:val="single" w:sz="6" w:space="0" w:color="auto"/>
              <w:right w:val="nil"/>
            </w:tcBorders>
            <w:shd w:val="solid" w:color="FFFFFF" w:fill="auto"/>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793" w:type="dxa"/>
            <w:tcBorders>
              <w:top w:val="single" w:sz="6" w:space="0" w:color="auto"/>
              <w:left w:val="nil"/>
              <w:bottom w:val="single" w:sz="6" w:space="0" w:color="auto"/>
              <w:right w:val="nil"/>
            </w:tcBorders>
            <w:shd w:val="solid" w:color="FFFFFF" w:fill="auto"/>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lang w:val="fr-FR"/>
              </w:rPr>
              <w:t xml:space="preserve">59 </w:t>
            </w:r>
          </w:p>
        </w:tc>
        <w:tc>
          <w:tcPr>
            <w:tcW w:w="236" w:type="dxa"/>
            <w:tcBorders>
              <w:top w:val="single" w:sz="6" w:space="0" w:color="auto"/>
              <w:left w:val="nil"/>
              <w:bottom w:val="single" w:sz="6" w:space="0" w:color="auto"/>
              <w:right w:val="nil"/>
            </w:tcBorders>
            <w:shd w:val="solid" w:color="FFFFFF" w:fill="auto"/>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56" w:type="dxa"/>
            <w:tcBorders>
              <w:top w:val="single" w:sz="6" w:space="0" w:color="auto"/>
              <w:left w:val="nil"/>
              <w:bottom w:val="single" w:sz="6" w:space="0" w:color="auto"/>
              <w:right w:val="nil"/>
            </w:tcBorders>
            <w:shd w:val="solid" w:color="FFFFFF" w:fill="auto"/>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lang w:val="fr-FR"/>
              </w:rPr>
              <w:t xml:space="preserve">  5,089 </w:t>
            </w:r>
          </w:p>
        </w:tc>
      </w:tr>
      <w:tr w:rsidR="00161871" w:rsidRPr="00941FA7" w:rsidTr="0014156A">
        <w:tc>
          <w:tcPr>
            <w:tcW w:w="3288" w:type="dxa"/>
            <w:tcBorders>
              <w:top w:val="nil"/>
              <w:left w:val="nil"/>
              <w:bottom w:val="nil"/>
              <w:right w:val="nil"/>
            </w:tcBorders>
            <w:shd w:val="solid" w:color="FFFFFF" w:fill="auto"/>
          </w:tcPr>
          <w:p w:rsidR="005219C3" w:rsidRPr="00941FA7" w:rsidRDefault="005219C3" w:rsidP="00161871">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161871" w:rsidRPr="00941FA7" w:rsidTr="0014156A">
        <w:tc>
          <w:tcPr>
            <w:tcW w:w="3288" w:type="dxa"/>
            <w:tcBorders>
              <w:top w:val="nil"/>
              <w:left w:val="nil"/>
              <w:bottom w:val="nil"/>
              <w:right w:val="nil"/>
            </w:tcBorders>
            <w:shd w:val="solid" w:color="FFFFFF" w:fill="auto"/>
          </w:tcPr>
          <w:p w:rsidR="005219C3" w:rsidRPr="00941FA7" w:rsidRDefault="0004364D" w:rsidP="00161871">
            <w:pPr>
              <w:autoSpaceDE w:val="0"/>
              <w:autoSpaceDN w:val="0"/>
              <w:adjustRightInd w:val="0"/>
              <w:ind w:left="0" w:firstLine="0"/>
              <w:rPr>
                <w:rFonts w:asciiTheme="minorHAnsi" w:eastAsiaTheme="minorHAnsi" w:hAnsiTheme="minorHAnsi" w:cstheme="minorHAnsi"/>
                <w:b/>
                <w:bCs/>
                <w:color w:val="000000"/>
                <w:sz w:val="19"/>
                <w:szCs w:val="19"/>
                <w:lang w:val="fr-FR"/>
              </w:rPr>
            </w:pPr>
            <w:r w:rsidRPr="00941FA7">
              <w:rPr>
                <w:rFonts w:asciiTheme="minorHAnsi" w:eastAsiaTheme="minorHAnsi" w:hAnsiTheme="minorHAnsi" w:cstheme="minorHAnsi"/>
                <w:b/>
                <w:bCs/>
                <w:color w:val="000000"/>
                <w:sz w:val="19"/>
                <w:szCs w:val="19"/>
                <w:lang w:val="fr-FR"/>
              </w:rPr>
              <w:t>Dépenses</w:t>
            </w:r>
          </w:p>
        </w:tc>
        <w:tc>
          <w:tcPr>
            <w:tcW w:w="708"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161871" w:rsidRPr="00941FA7" w:rsidTr="0014156A">
        <w:tc>
          <w:tcPr>
            <w:tcW w:w="3288" w:type="dxa"/>
            <w:tcBorders>
              <w:top w:val="nil"/>
              <w:left w:val="nil"/>
              <w:bottom w:val="nil"/>
              <w:right w:val="nil"/>
            </w:tcBorders>
            <w:shd w:val="solid" w:color="FFFFFF" w:fill="auto"/>
          </w:tcPr>
          <w:p w:rsidR="005219C3" w:rsidRPr="00941FA7" w:rsidRDefault="0004364D" w:rsidP="00161871">
            <w:pPr>
              <w:autoSpaceDE w:val="0"/>
              <w:autoSpaceDN w:val="0"/>
              <w:adjustRightInd w:val="0"/>
              <w:ind w:left="0" w:firstLine="0"/>
              <w:rPr>
                <w:rFonts w:asciiTheme="minorHAnsi" w:eastAsiaTheme="minorHAnsi" w:hAnsiTheme="minorHAnsi" w:cstheme="minorHAnsi"/>
                <w:i/>
                <w:iCs/>
                <w:color w:val="000000"/>
                <w:sz w:val="19"/>
                <w:szCs w:val="19"/>
                <w:lang w:val="fr-FR"/>
              </w:rPr>
            </w:pPr>
            <w:r w:rsidRPr="00941FA7">
              <w:rPr>
                <w:sz w:val="19"/>
                <w:szCs w:val="19"/>
                <w:lang w:val="fr-FR"/>
              </w:rPr>
              <w:t xml:space="preserve">Dépenses d’exploitation </w:t>
            </w:r>
            <w:r w:rsidR="005219C3" w:rsidRPr="00941FA7">
              <w:rPr>
                <w:rFonts w:asciiTheme="minorHAnsi" w:eastAsiaTheme="minorHAnsi" w:hAnsiTheme="minorHAnsi" w:cstheme="minorHAnsi"/>
                <w:i/>
                <w:iCs/>
                <w:color w:val="000000"/>
                <w:sz w:val="19"/>
                <w:szCs w:val="19"/>
                <w:lang w:val="fr-FR"/>
              </w:rPr>
              <w:t>:</w:t>
            </w:r>
          </w:p>
        </w:tc>
        <w:tc>
          <w:tcPr>
            <w:tcW w:w="708"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Mobilisation des ressources et sensibilisation</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(518)</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(136)</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(654)</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(416)</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(75)</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(491)</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Initiatives régionales, appui et conseils aux régions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(1,258)</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(155)</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(1,413)</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(1,126)</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(110)</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(1,236)</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Services scientifiques et techniques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(588)</w:t>
            </w:r>
          </w:p>
        </w:tc>
        <w:tc>
          <w:tcPr>
            <w:tcW w:w="284"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(48)</w:t>
            </w:r>
          </w:p>
        </w:tc>
        <w:tc>
          <w:tcPr>
            <w:tcW w:w="244"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(636)</w:t>
            </w:r>
          </w:p>
        </w:tc>
        <w:tc>
          <w:tcPr>
            <w:tcW w:w="236" w:type="dxa"/>
            <w:tcBorders>
              <w:top w:val="nil"/>
              <w:left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(527)</w:t>
            </w:r>
          </w:p>
        </w:tc>
        <w:tc>
          <w:tcPr>
            <w:tcW w:w="242"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w:t>
            </w:r>
          </w:p>
        </w:tc>
        <w:tc>
          <w:tcPr>
            <w:tcW w:w="236"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(527)</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Gestion, gouvernance, opérations et appui</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(2,234)</w:t>
            </w:r>
          </w:p>
        </w:tc>
        <w:tc>
          <w:tcPr>
            <w:tcW w:w="284"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   </w:t>
            </w:r>
          </w:p>
        </w:tc>
        <w:tc>
          <w:tcPr>
            <w:tcW w:w="244"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(2,234)</w:t>
            </w:r>
          </w:p>
        </w:tc>
        <w:tc>
          <w:tcPr>
            <w:tcW w:w="236" w:type="dxa"/>
            <w:tcBorders>
              <w:top w:val="nil"/>
              <w:left w:val="nil"/>
              <w:bottom w:val="single" w:sz="4" w:space="0" w:color="auto"/>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(2,129)</w:t>
            </w:r>
          </w:p>
        </w:tc>
        <w:tc>
          <w:tcPr>
            <w:tcW w:w="242"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(67)</w:t>
            </w:r>
          </w:p>
        </w:tc>
        <w:tc>
          <w:tcPr>
            <w:tcW w:w="236"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(2,196)</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ind w:left="0" w:firstLine="0"/>
              <w:rPr>
                <w:rFonts w:asciiTheme="minorHAnsi" w:eastAsiaTheme="minorHAnsi" w:hAnsiTheme="minorHAnsi" w:cstheme="minorHAnsi"/>
                <w:i/>
                <w:iCs/>
                <w:color w:val="000000"/>
                <w:sz w:val="19"/>
                <w:szCs w:val="19"/>
                <w:lang w:val="fr-FR"/>
              </w:rPr>
            </w:pPr>
            <w:r w:rsidRPr="00941FA7">
              <w:rPr>
                <w:i/>
                <w:sz w:val="19"/>
                <w:szCs w:val="19"/>
                <w:lang w:val="fr-FR"/>
              </w:rPr>
              <w:t>Total dépenses d’exploitation</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(4,598)</w:t>
            </w:r>
          </w:p>
        </w:tc>
        <w:tc>
          <w:tcPr>
            <w:tcW w:w="284"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50" w:type="dxa"/>
            <w:tcBorders>
              <w:top w:val="single" w:sz="4" w:space="0" w:color="auto"/>
              <w:left w:val="nil"/>
              <w:bottom w:val="single" w:sz="4" w:space="0" w:color="auto"/>
              <w:right w:val="nil"/>
            </w:tcBorders>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(339)</w:t>
            </w:r>
          </w:p>
        </w:tc>
        <w:tc>
          <w:tcPr>
            <w:tcW w:w="244"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87"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(4,937)</w:t>
            </w:r>
          </w:p>
        </w:tc>
        <w:tc>
          <w:tcPr>
            <w:tcW w:w="236" w:type="dxa"/>
            <w:tcBorders>
              <w:top w:val="single" w:sz="4" w:space="0" w:color="auto"/>
              <w:left w:val="nil"/>
              <w:bottom w:val="single" w:sz="4" w:space="0" w:color="auto"/>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(4,198)</w:t>
            </w:r>
          </w:p>
        </w:tc>
        <w:tc>
          <w:tcPr>
            <w:tcW w:w="242"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(252)</w:t>
            </w:r>
          </w:p>
        </w:tc>
        <w:tc>
          <w:tcPr>
            <w:tcW w:w="236"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single" w:sz="4" w:space="0" w:color="auto"/>
              <w:left w:val="nil"/>
              <w:bottom w:val="single" w:sz="4"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(4,450)</w:t>
            </w:r>
          </w:p>
        </w:tc>
      </w:tr>
      <w:tr w:rsidR="007C6B16" w:rsidRPr="00941FA7" w:rsidTr="0014156A">
        <w:tc>
          <w:tcPr>
            <w:tcW w:w="328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7C6B16" w:rsidRPr="008939B8" w:rsidTr="008939B8">
        <w:tc>
          <w:tcPr>
            <w:tcW w:w="3288" w:type="dxa"/>
            <w:tcBorders>
              <w:top w:val="nil"/>
              <w:left w:val="nil"/>
              <w:bottom w:val="nil"/>
              <w:right w:val="nil"/>
            </w:tcBorders>
            <w:shd w:val="solid" w:color="FFFFFF" w:fill="auto"/>
          </w:tcPr>
          <w:p w:rsidR="007C6B16" w:rsidRPr="008939B8" w:rsidRDefault="0004364D" w:rsidP="007C6B16">
            <w:pPr>
              <w:autoSpaceDE w:val="0"/>
              <w:autoSpaceDN w:val="0"/>
              <w:adjustRightInd w:val="0"/>
              <w:ind w:left="0" w:firstLine="0"/>
              <w:rPr>
                <w:rFonts w:asciiTheme="minorHAnsi" w:eastAsiaTheme="minorHAnsi" w:hAnsiTheme="minorHAnsi" w:cstheme="minorHAnsi"/>
                <w:b/>
                <w:color w:val="000000"/>
                <w:sz w:val="19"/>
                <w:szCs w:val="19"/>
                <w:lang w:val="fr-FR"/>
              </w:rPr>
            </w:pPr>
            <w:r w:rsidRPr="008939B8">
              <w:rPr>
                <w:rFonts w:cs="Calibri"/>
                <w:b/>
                <w:bCs/>
                <w:sz w:val="20"/>
                <w:szCs w:val="20"/>
                <w:lang w:val="fr-FR" w:eastAsia="en-GB"/>
              </w:rPr>
              <w:t>Excédent/(Déficit) net avant autres recettes/dépenses</w:t>
            </w:r>
          </w:p>
        </w:tc>
        <w:tc>
          <w:tcPr>
            <w:tcW w:w="708" w:type="dxa"/>
            <w:tcBorders>
              <w:top w:val="nil"/>
              <w:left w:val="nil"/>
              <w:bottom w:val="nil"/>
              <w:right w:val="nil"/>
            </w:tcBorders>
            <w:shd w:val="solid" w:color="FFFFFF" w:fill="auto"/>
          </w:tcPr>
          <w:p w:rsidR="007C6B16" w:rsidRPr="008939B8" w:rsidRDefault="007C6B16" w:rsidP="007C6B16">
            <w:pPr>
              <w:autoSpaceDE w:val="0"/>
              <w:autoSpaceDN w:val="0"/>
              <w:adjustRightInd w:val="0"/>
              <w:ind w:left="0" w:firstLine="0"/>
              <w:jc w:val="center"/>
              <w:rPr>
                <w:rFonts w:asciiTheme="minorHAnsi" w:eastAsiaTheme="minorHAnsi" w:hAnsiTheme="minorHAnsi" w:cstheme="minorHAnsi"/>
                <w:b/>
                <w:color w:val="000000"/>
                <w:sz w:val="19"/>
                <w:szCs w:val="19"/>
                <w:lang w:val="fr-FR"/>
              </w:rPr>
            </w:pPr>
          </w:p>
        </w:tc>
        <w:tc>
          <w:tcPr>
            <w:tcW w:w="851"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474 </w:t>
            </w:r>
          </w:p>
        </w:tc>
        <w:tc>
          <w:tcPr>
            <w:tcW w:w="284"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50"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134 </w:t>
            </w:r>
          </w:p>
        </w:tc>
        <w:tc>
          <w:tcPr>
            <w:tcW w:w="244"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87"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608 </w:t>
            </w:r>
          </w:p>
        </w:tc>
        <w:tc>
          <w:tcPr>
            <w:tcW w:w="236" w:type="dxa"/>
            <w:tcBorders>
              <w:top w:val="nil"/>
              <w:left w:val="nil"/>
              <w:bottom w:val="single" w:sz="4" w:space="0" w:color="auto"/>
              <w:right w:val="nil"/>
            </w:tcBorders>
            <w:shd w:val="clear" w:color="auto" w:fill="F2F2F2" w:themeFill="background1" w:themeFillShade="F2"/>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901"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832 </w:t>
            </w:r>
          </w:p>
        </w:tc>
        <w:tc>
          <w:tcPr>
            <w:tcW w:w="242"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793"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(193)</w:t>
            </w:r>
          </w:p>
        </w:tc>
        <w:tc>
          <w:tcPr>
            <w:tcW w:w="236"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56" w:type="dxa"/>
            <w:tcBorders>
              <w:top w:val="nil"/>
              <w:left w:val="nil"/>
              <w:bottom w:val="single" w:sz="4" w:space="0" w:color="auto"/>
              <w:right w:val="nil"/>
            </w:tcBorders>
            <w:shd w:val="solid" w:color="FFFFFF" w:fill="auto"/>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639 </w:t>
            </w:r>
          </w:p>
        </w:tc>
      </w:tr>
      <w:tr w:rsidR="007C6B16" w:rsidRPr="00941FA7" w:rsidTr="0014156A">
        <w:tc>
          <w:tcPr>
            <w:tcW w:w="328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single" w:sz="4" w:space="0" w:color="auto"/>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ind w:left="0" w:firstLine="0"/>
              <w:rPr>
                <w:rFonts w:asciiTheme="minorHAnsi" w:eastAsiaTheme="minorHAnsi" w:hAnsiTheme="minorHAnsi" w:cstheme="minorHAnsi"/>
                <w:i/>
                <w:iCs/>
                <w:color w:val="000000"/>
                <w:sz w:val="19"/>
                <w:szCs w:val="19"/>
                <w:lang w:val="fr-FR"/>
              </w:rPr>
            </w:pPr>
            <w:r w:rsidRPr="00941FA7">
              <w:rPr>
                <w:i/>
                <w:iCs/>
                <w:sz w:val="19"/>
                <w:szCs w:val="19"/>
                <w:lang w:val="fr-FR"/>
              </w:rPr>
              <w:t>Autres recettes (dépenses) :</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4</w:t>
            </w: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Produits/(charges) financier(e)s net(te)s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7 </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(14)</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(7)</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(66)</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(3)</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(69)</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Charges non récurrentes ou de la période précédente</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0 </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   </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rPr>
                <w:rFonts w:asciiTheme="minorHAnsi" w:eastAsiaTheme="minorHAnsi" w:hAnsiTheme="minorHAnsi" w:cstheme="minorHAnsi"/>
                <w:color w:val="000000"/>
                <w:sz w:val="19"/>
                <w:szCs w:val="19"/>
                <w:lang w:val="fr-FR"/>
              </w:rPr>
            </w:pPr>
            <w:r w:rsidRPr="00941FA7">
              <w:rPr>
                <w:sz w:val="19"/>
                <w:szCs w:val="19"/>
                <w:lang w:val="fr-FR"/>
              </w:rPr>
              <w:t>Provisions et amortissements (charges)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(61)</w:t>
            </w:r>
          </w:p>
        </w:tc>
        <w:tc>
          <w:tcPr>
            <w:tcW w:w="284"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   </w:t>
            </w:r>
          </w:p>
        </w:tc>
        <w:tc>
          <w:tcPr>
            <w:tcW w:w="244"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(61)</w:t>
            </w:r>
          </w:p>
        </w:tc>
        <w:tc>
          <w:tcPr>
            <w:tcW w:w="236" w:type="dxa"/>
            <w:tcBorders>
              <w:top w:val="nil"/>
              <w:left w:val="nil"/>
              <w:bottom w:val="single" w:sz="6" w:space="0" w:color="auto"/>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(96)</w:t>
            </w:r>
          </w:p>
        </w:tc>
        <w:tc>
          <w:tcPr>
            <w:tcW w:w="242"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0 </w:t>
            </w:r>
          </w:p>
        </w:tc>
        <w:tc>
          <w:tcPr>
            <w:tcW w:w="236"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single" w:sz="6" w:space="0" w:color="auto"/>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(96)</w:t>
            </w:r>
          </w:p>
        </w:tc>
      </w:tr>
      <w:tr w:rsidR="007C6B16" w:rsidRPr="00941FA7" w:rsidTr="0014156A">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ind w:left="0" w:firstLine="0"/>
              <w:rPr>
                <w:rFonts w:asciiTheme="minorHAnsi" w:eastAsiaTheme="minorHAnsi" w:hAnsiTheme="minorHAnsi" w:cstheme="minorHAnsi"/>
                <w:i/>
                <w:iCs/>
                <w:color w:val="000000"/>
                <w:sz w:val="19"/>
                <w:szCs w:val="19"/>
                <w:lang w:val="fr-FR"/>
              </w:rPr>
            </w:pPr>
            <w:r w:rsidRPr="00941FA7">
              <w:rPr>
                <w:i/>
                <w:sz w:val="19"/>
                <w:szCs w:val="19"/>
                <w:lang w:val="fr-FR"/>
              </w:rPr>
              <w:t>Total des autres revenus/dépenses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(54)</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(20)</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(74)</w:t>
            </w: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 xml:space="preserve"> (162)</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(3)</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941FA7">
              <w:rPr>
                <w:sz w:val="19"/>
                <w:szCs w:val="19"/>
                <w:lang w:val="fr-FR"/>
              </w:rPr>
              <w:t>(165)</w:t>
            </w:r>
          </w:p>
        </w:tc>
      </w:tr>
      <w:tr w:rsidR="007C6B16" w:rsidRPr="00941FA7" w:rsidTr="0014156A">
        <w:tc>
          <w:tcPr>
            <w:tcW w:w="328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7C6B16" w:rsidRPr="00941FA7" w:rsidTr="008939B8">
        <w:tc>
          <w:tcPr>
            <w:tcW w:w="3288" w:type="dxa"/>
            <w:tcBorders>
              <w:top w:val="nil"/>
              <w:left w:val="nil"/>
              <w:bottom w:val="nil"/>
              <w:right w:val="nil"/>
            </w:tcBorders>
            <w:shd w:val="solid" w:color="FFFFFF" w:fill="auto"/>
          </w:tcPr>
          <w:p w:rsidR="007C6B16" w:rsidRPr="00941FA7" w:rsidRDefault="0004364D" w:rsidP="007C6B16">
            <w:pPr>
              <w:autoSpaceDE w:val="0"/>
              <w:autoSpaceDN w:val="0"/>
              <w:adjustRightInd w:val="0"/>
              <w:ind w:left="0" w:firstLine="0"/>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Excédent/(Déficit) net avant autres recettes/dépenses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clear" w:color="auto" w:fill="B8CCE4" w:themeFill="accent1"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420 </w:t>
            </w:r>
          </w:p>
        </w:tc>
        <w:tc>
          <w:tcPr>
            <w:tcW w:w="284" w:type="dxa"/>
            <w:tcBorders>
              <w:top w:val="nil"/>
              <w:left w:val="nil"/>
              <w:bottom w:val="nil"/>
              <w:right w:val="nil"/>
            </w:tcBorders>
            <w:shd w:val="clear" w:color="auto" w:fill="B8CCE4" w:themeFill="accent1"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50" w:type="dxa"/>
            <w:tcBorders>
              <w:top w:val="nil"/>
              <w:left w:val="nil"/>
              <w:bottom w:val="nil"/>
              <w:right w:val="nil"/>
            </w:tcBorders>
            <w:shd w:val="clear" w:color="auto" w:fill="B8CCE4" w:themeFill="accent1"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114 </w:t>
            </w:r>
          </w:p>
        </w:tc>
        <w:tc>
          <w:tcPr>
            <w:tcW w:w="244" w:type="dxa"/>
            <w:tcBorders>
              <w:top w:val="nil"/>
              <w:left w:val="nil"/>
              <w:bottom w:val="nil"/>
              <w:right w:val="nil"/>
            </w:tcBorders>
            <w:shd w:val="clear" w:color="auto" w:fill="B8CCE4" w:themeFill="accent1"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87" w:type="dxa"/>
            <w:tcBorders>
              <w:top w:val="nil"/>
              <w:left w:val="nil"/>
              <w:bottom w:val="nil"/>
              <w:right w:val="nil"/>
            </w:tcBorders>
            <w:shd w:val="clear" w:color="auto" w:fill="B8CCE4" w:themeFill="accent1"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534 </w:t>
            </w:r>
          </w:p>
        </w:tc>
        <w:tc>
          <w:tcPr>
            <w:tcW w:w="236" w:type="dxa"/>
            <w:tcBorders>
              <w:top w:val="nil"/>
              <w:left w:val="nil"/>
              <w:bottom w:val="nil"/>
              <w:right w:val="nil"/>
            </w:tcBorders>
            <w:shd w:val="clear" w:color="auto" w:fill="F2F2F2" w:themeFill="background1" w:themeFillShade="F2"/>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901" w:type="dxa"/>
            <w:tcBorders>
              <w:top w:val="nil"/>
              <w:left w:val="nil"/>
              <w:bottom w:val="nil"/>
              <w:right w:val="nil"/>
            </w:tcBorders>
            <w:shd w:val="clear" w:color="auto" w:fill="D6E3BC" w:themeFill="accent3"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670 </w:t>
            </w:r>
          </w:p>
        </w:tc>
        <w:tc>
          <w:tcPr>
            <w:tcW w:w="242" w:type="dxa"/>
            <w:tcBorders>
              <w:top w:val="nil"/>
              <w:left w:val="nil"/>
              <w:bottom w:val="nil"/>
              <w:right w:val="nil"/>
            </w:tcBorders>
            <w:shd w:val="clear" w:color="auto" w:fill="D6E3BC" w:themeFill="accent3"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793" w:type="dxa"/>
            <w:tcBorders>
              <w:top w:val="nil"/>
              <w:left w:val="nil"/>
              <w:bottom w:val="nil"/>
              <w:right w:val="nil"/>
            </w:tcBorders>
            <w:shd w:val="clear" w:color="auto" w:fill="D6E3BC" w:themeFill="accent3"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(196)</w:t>
            </w:r>
          </w:p>
        </w:tc>
        <w:tc>
          <w:tcPr>
            <w:tcW w:w="236" w:type="dxa"/>
            <w:tcBorders>
              <w:top w:val="nil"/>
              <w:left w:val="nil"/>
              <w:bottom w:val="nil"/>
              <w:right w:val="nil"/>
            </w:tcBorders>
            <w:shd w:val="clear" w:color="auto" w:fill="D6E3BC" w:themeFill="accent3"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p>
        </w:tc>
        <w:tc>
          <w:tcPr>
            <w:tcW w:w="856" w:type="dxa"/>
            <w:tcBorders>
              <w:top w:val="nil"/>
              <w:left w:val="nil"/>
              <w:bottom w:val="nil"/>
              <w:right w:val="nil"/>
            </w:tcBorders>
            <w:shd w:val="clear" w:color="auto" w:fill="D6E3BC" w:themeFill="accent3" w:themeFillTint="66"/>
            <w:vAlign w:val="center"/>
          </w:tcPr>
          <w:p w:rsidR="007C6B16" w:rsidRPr="008939B8" w:rsidRDefault="007C6B16" w:rsidP="008939B8">
            <w:pPr>
              <w:autoSpaceDE w:val="0"/>
              <w:autoSpaceDN w:val="0"/>
              <w:adjustRightInd w:val="0"/>
              <w:ind w:left="0" w:firstLine="0"/>
              <w:jc w:val="right"/>
              <w:rPr>
                <w:rFonts w:asciiTheme="minorHAnsi" w:eastAsiaTheme="minorHAnsi" w:hAnsiTheme="minorHAnsi" w:cstheme="minorHAnsi"/>
                <w:b/>
                <w:color w:val="000000"/>
                <w:sz w:val="19"/>
                <w:szCs w:val="19"/>
                <w:lang w:val="fr-FR"/>
              </w:rPr>
            </w:pPr>
            <w:r w:rsidRPr="008939B8">
              <w:rPr>
                <w:b/>
                <w:sz w:val="19"/>
                <w:szCs w:val="19"/>
                <w:lang w:val="fr-FR"/>
              </w:rPr>
              <w:t xml:space="preserve">  474 </w:t>
            </w:r>
          </w:p>
        </w:tc>
      </w:tr>
      <w:tr w:rsidR="00161871" w:rsidRPr="00941FA7" w:rsidTr="0014156A">
        <w:tc>
          <w:tcPr>
            <w:tcW w:w="3288" w:type="dxa"/>
            <w:tcBorders>
              <w:top w:val="nil"/>
              <w:left w:val="nil"/>
              <w:bottom w:val="nil"/>
              <w:right w:val="nil"/>
            </w:tcBorders>
            <w:shd w:val="solid" w:color="FFFFFF" w:fill="auto"/>
          </w:tcPr>
          <w:p w:rsidR="005219C3" w:rsidRPr="00941FA7" w:rsidRDefault="005219C3" w:rsidP="00161871">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161871" w:rsidRPr="00941FA7" w:rsidTr="0014156A">
        <w:tc>
          <w:tcPr>
            <w:tcW w:w="3288" w:type="dxa"/>
            <w:tcBorders>
              <w:top w:val="nil"/>
              <w:left w:val="nil"/>
              <w:bottom w:val="nil"/>
              <w:right w:val="nil"/>
            </w:tcBorders>
            <w:shd w:val="solid" w:color="FFFFFF" w:fill="auto"/>
          </w:tcPr>
          <w:p w:rsidR="005219C3" w:rsidRPr="00941FA7" w:rsidRDefault="005219C3" w:rsidP="00161871">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nil"/>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9803E8" w:rsidRPr="00941FA7" w:rsidTr="0014156A">
        <w:tc>
          <w:tcPr>
            <w:tcW w:w="3288" w:type="dxa"/>
            <w:tcBorders>
              <w:top w:val="nil"/>
              <w:left w:val="nil"/>
              <w:bottom w:val="nil"/>
              <w:right w:val="nil"/>
            </w:tcBorders>
            <w:shd w:val="solid" w:color="FFFFFF" w:fill="auto"/>
          </w:tcPr>
          <w:p w:rsidR="009803E8" w:rsidRPr="00941FA7" w:rsidRDefault="0004364D" w:rsidP="009803E8">
            <w:pPr>
              <w:autoSpaceDE w:val="0"/>
              <w:autoSpaceDN w:val="0"/>
              <w:adjustRightInd w:val="0"/>
              <w:ind w:left="0" w:firstLine="0"/>
              <w:rPr>
                <w:rFonts w:asciiTheme="minorHAnsi" w:eastAsiaTheme="minorHAnsi" w:hAnsiTheme="minorHAnsi" w:cstheme="minorHAnsi"/>
                <w:color w:val="000000"/>
                <w:sz w:val="19"/>
                <w:szCs w:val="19"/>
                <w:lang w:val="fr-FR"/>
              </w:rPr>
            </w:pPr>
            <w:r w:rsidRPr="00941FA7">
              <w:rPr>
                <w:b/>
                <w:bCs/>
                <w:sz w:val="19"/>
                <w:szCs w:val="19"/>
                <w:lang w:val="fr-FR"/>
              </w:rPr>
              <w:t>ÉTAT DES SOLDES</w:t>
            </w:r>
          </w:p>
        </w:tc>
        <w:tc>
          <w:tcPr>
            <w:tcW w:w="708" w:type="dxa"/>
            <w:tcBorders>
              <w:top w:val="nil"/>
              <w:left w:val="nil"/>
              <w:bottom w:val="nil"/>
              <w:right w:val="nil"/>
            </w:tcBorders>
            <w:shd w:val="solid" w:color="FFFFFF" w:fill="auto"/>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9803E8" w:rsidRPr="008939B8" w:rsidTr="0014156A">
        <w:tc>
          <w:tcPr>
            <w:tcW w:w="3288" w:type="dxa"/>
            <w:tcBorders>
              <w:top w:val="nil"/>
              <w:left w:val="nil"/>
              <w:bottom w:val="nil"/>
              <w:right w:val="nil"/>
            </w:tcBorders>
            <w:shd w:val="solid" w:color="FFFFFF" w:fill="auto"/>
          </w:tcPr>
          <w:p w:rsidR="009803E8" w:rsidRPr="00941FA7" w:rsidRDefault="0004364D" w:rsidP="009803E8">
            <w:pPr>
              <w:autoSpaceDE w:val="0"/>
              <w:autoSpaceDN w:val="0"/>
              <w:adjustRightInd w:val="0"/>
              <w:ind w:left="0" w:firstLine="0"/>
              <w:rPr>
                <w:rFonts w:asciiTheme="minorHAnsi" w:eastAsiaTheme="minorHAnsi" w:hAnsiTheme="minorHAnsi" w:cstheme="minorHAnsi"/>
                <w:color w:val="000000"/>
                <w:sz w:val="19"/>
                <w:szCs w:val="19"/>
                <w:lang w:val="fr-FR"/>
              </w:rPr>
            </w:pPr>
            <w:r w:rsidRPr="00941FA7">
              <w:rPr>
                <w:b/>
                <w:bCs/>
                <w:sz w:val="19"/>
                <w:szCs w:val="19"/>
                <w:lang w:val="fr-FR"/>
              </w:rPr>
              <w:t>pour l’exercice clos le 31 décembre</w:t>
            </w:r>
          </w:p>
        </w:tc>
        <w:tc>
          <w:tcPr>
            <w:tcW w:w="708" w:type="dxa"/>
            <w:tcBorders>
              <w:top w:val="nil"/>
              <w:left w:val="nil"/>
              <w:bottom w:val="nil"/>
              <w:right w:val="nil"/>
            </w:tcBorders>
            <w:shd w:val="solid" w:color="FFFFFF" w:fill="auto"/>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clear" w:color="auto" w:fill="F2F2F2" w:themeFill="background1" w:themeFillShade="F2"/>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vAlign w:val="center"/>
          </w:tcPr>
          <w:p w:rsidR="009803E8" w:rsidRPr="00941FA7"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161871" w:rsidRPr="00941FA7" w:rsidTr="00161871">
        <w:tc>
          <w:tcPr>
            <w:tcW w:w="3288" w:type="dxa"/>
            <w:tcBorders>
              <w:top w:val="nil"/>
              <w:left w:val="nil"/>
              <w:right w:val="nil"/>
            </w:tcBorders>
            <w:shd w:val="solid" w:color="FFFFFF" w:fill="auto"/>
          </w:tcPr>
          <w:p w:rsidR="00F244A3" w:rsidRPr="00941FA7" w:rsidRDefault="00F244A3" w:rsidP="00161871">
            <w:pPr>
              <w:autoSpaceDE w:val="0"/>
              <w:autoSpaceDN w:val="0"/>
              <w:adjustRightInd w:val="0"/>
              <w:ind w:left="0" w:firstLine="0"/>
              <w:rPr>
                <w:rFonts w:asciiTheme="minorHAnsi" w:eastAsiaTheme="minorHAnsi" w:hAnsiTheme="minorHAnsi" w:cstheme="minorHAnsi"/>
                <w:b/>
                <w:bCs/>
                <w:color w:val="000000"/>
                <w:sz w:val="19"/>
                <w:szCs w:val="19"/>
                <w:lang w:val="fr-FR"/>
              </w:rPr>
            </w:pPr>
          </w:p>
        </w:tc>
        <w:tc>
          <w:tcPr>
            <w:tcW w:w="708" w:type="dxa"/>
            <w:tcBorders>
              <w:top w:val="nil"/>
              <w:left w:val="nil"/>
              <w:right w:val="nil"/>
            </w:tcBorders>
            <w:shd w:val="solid" w:color="FFFFFF" w:fill="auto"/>
          </w:tcPr>
          <w:p w:rsidR="00F244A3" w:rsidRPr="00941FA7" w:rsidRDefault="00F244A3" w:rsidP="00F244A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3116" w:type="dxa"/>
            <w:gridSpan w:val="5"/>
            <w:tcBorders>
              <w:top w:val="nil"/>
              <w:left w:val="nil"/>
              <w:right w:val="nil"/>
            </w:tcBorders>
            <w:shd w:val="clear" w:color="auto" w:fill="B8CCE4" w:themeFill="accent1" w:themeFillTint="66"/>
            <w:vAlign w:val="center"/>
          </w:tcPr>
          <w:p w:rsidR="00F244A3" w:rsidRPr="00941FA7" w:rsidRDefault="00F244A3" w:rsidP="00F244A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202</w:t>
            </w:r>
            <w:r w:rsidR="007C6B16" w:rsidRPr="00941FA7">
              <w:rPr>
                <w:rFonts w:asciiTheme="minorHAnsi" w:eastAsiaTheme="minorHAnsi" w:hAnsiTheme="minorHAnsi" w:cstheme="minorHAnsi"/>
                <w:b/>
                <w:bCs/>
                <w:color w:val="000000"/>
                <w:sz w:val="19"/>
                <w:szCs w:val="19"/>
                <w:lang w:val="fr-FR"/>
              </w:rPr>
              <w:t>1</w:t>
            </w:r>
          </w:p>
        </w:tc>
        <w:tc>
          <w:tcPr>
            <w:tcW w:w="236" w:type="dxa"/>
            <w:tcBorders>
              <w:top w:val="nil"/>
              <w:left w:val="nil"/>
              <w:right w:val="nil"/>
            </w:tcBorders>
            <w:shd w:val="clear" w:color="auto" w:fill="F2F2F2" w:themeFill="background1" w:themeFillShade="F2"/>
            <w:vAlign w:val="center"/>
          </w:tcPr>
          <w:p w:rsidR="00F244A3" w:rsidRPr="00941FA7" w:rsidRDefault="00F244A3" w:rsidP="00F244A3">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3028" w:type="dxa"/>
            <w:gridSpan w:val="5"/>
            <w:tcBorders>
              <w:top w:val="nil"/>
              <w:left w:val="nil"/>
              <w:right w:val="nil"/>
            </w:tcBorders>
            <w:shd w:val="clear" w:color="auto" w:fill="D6E3BC" w:themeFill="accent3" w:themeFillTint="66"/>
            <w:vAlign w:val="center"/>
          </w:tcPr>
          <w:p w:rsidR="00F244A3" w:rsidRPr="00941FA7" w:rsidRDefault="007C6B16" w:rsidP="00F244A3">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2020</w:t>
            </w:r>
          </w:p>
        </w:tc>
      </w:tr>
      <w:tr w:rsidR="00161871" w:rsidRPr="00941FA7" w:rsidTr="0014156A">
        <w:tc>
          <w:tcPr>
            <w:tcW w:w="3288" w:type="dxa"/>
            <w:tcBorders>
              <w:top w:val="nil"/>
              <w:left w:val="nil"/>
              <w:bottom w:val="single" w:sz="4" w:space="0" w:color="auto"/>
              <w:right w:val="nil"/>
            </w:tcBorders>
            <w:shd w:val="solid" w:color="FFFFFF" w:fill="auto"/>
          </w:tcPr>
          <w:p w:rsidR="00161871" w:rsidRPr="00941FA7" w:rsidRDefault="0004364D" w:rsidP="0004364D">
            <w:pPr>
              <w:autoSpaceDE w:val="0"/>
              <w:autoSpaceDN w:val="0"/>
              <w:adjustRightInd w:val="0"/>
              <w:ind w:left="0" w:firstLine="0"/>
              <w:rPr>
                <w:rFonts w:asciiTheme="minorHAnsi" w:eastAsiaTheme="minorHAnsi" w:hAnsiTheme="minorHAnsi" w:cstheme="minorHAnsi"/>
                <w:b/>
                <w:bCs/>
                <w:color w:val="000000"/>
                <w:sz w:val="19"/>
                <w:szCs w:val="19"/>
                <w:lang w:val="fr-FR"/>
              </w:rPr>
            </w:pPr>
            <w:r w:rsidRPr="00941FA7">
              <w:rPr>
                <w:rFonts w:asciiTheme="minorHAnsi" w:eastAsiaTheme="minorHAnsi" w:hAnsiTheme="minorHAnsi" w:cstheme="minorHAnsi"/>
                <w:i/>
                <w:iCs/>
                <w:color w:val="000000"/>
                <w:sz w:val="19"/>
                <w:szCs w:val="19"/>
                <w:lang w:val="fr-FR"/>
              </w:rPr>
              <w:t>en milliers de francs suisses (CHF)</w:t>
            </w:r>
          </w:p>
        </w:tc>
        <w:tc>
          <w:tcPr>
            <w:tcW w:w="708" w:type="dxa"/>
            <w:tcBorders>
              <w:top w:val="nil"/>
              <w:left w:val="nil"/>
              <w:bottom w:val="single" w:sz="4" w:space="0" w:color="auto"/>
              <w:right w:val="nil"/>
            </w:tcBorders>
            <w:shd w:val="solid" w:color="FFFFFF" w:fill="auto"/>
            <w:vAlign w:val="center"/>
          </w:tcPr>
          <w:p w:rsidR="00161871" w:rsidRPr="00941FA7" w:rsidRDefault="00161871" w:rsidP="00161871">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single" w:sz="4" w:space="0" w:color="auto"/>
              <w:right w:val="nil"/>
            </w:tcBorders>
            <w:shd w:val="solid" w:color="FFFFFF" w:fill="auto"/>
            <w:vAlign w:val="center"/>
          </w:tcPr>
          <w:p w:rsidR="00161871" w:rsidRPr="00941FA7" w:rsidRDefault="00CF1AE6"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Fonds administratifs</w:t>
            </w:r>
          </w:p>
        </w:tc>
        <w:tc>
          <w:tcPr>
            <w:tcW w:w="1134" w:type="dxa"/>
            <w:gridSpan w:val="2"/>
            <w:tcBorders>
              <w:top w:val="nil"/>
              <w:left w:val="nil"/>
              <w:bottom w:val="single" w:sz="4" w:space="0" w:color="auto"/>
              <w:right w:val="nil"/>
            </w:tcBorders>
            <w:shd w:val="solid" w:color="FFFFFF" w:fill="auto"/>
            <w:vAlign w:val="center"/>
          </w:tcPr>
          <w:p w:rsidR="00161871" w:rsidRPr="00941FA7" w:rsidRDefault="00CF1AE6"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Projets non administratifs</w:t>
            </w:r>
          </w:p>
        </w:tc>
        <w:tc>
          <w:tcPr>
            <w:tcW w:w="244" w:type="dxa"/>
            <w:tcBorders>
              <w:top w:val="nil"/>
              <w:left w:val="nil"/>
              <w:bottom w:val="single" w:sz="4" w:space="0" w:color="auto"/>
              <w:right w:val="nil"/>
            </w:tcBorders>
            <w:shd w:val="solid" w:color="FFFFFF" w:fill="auto"/>
            <w:vAlign w:val="center"/>
          </w:tcPr>
          <w:p w:rsidR="00161871" w:rsidRPr="00941FA7"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87" w:type="dxa"/>
            <w:tcBorders>
              <w:top w:val="nil"/>
              <w:left w:val="nil"/>
              <w:bottom w:val="single" w:sz="4" w:space="0" w:color="auto"/>
              <w:right w:val="nil"/>
            </w:tcBorders>
            <w:shd w:val="solid" w:color="FFFFFF" w:fill="auto"/>
            <w:vAlign w:val="center"/>
          </w:tcPr>
          <w:p w:rsidR="00161871" w:rsidRPr="00941FA7"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Total</w:t>
            </w:r>
          </w:p>
        </w:tc>
        <w:tc>
          <w:tcPr>
            <w:tcW w:w="236" w:type="dxa"/>
            <w:tcBorders>
              <w:top w:val="nil"/>
              <w:left w:val="nil"/>
              <w:bottom w:val="single" w:sz="4" w:space="0" w:color="auto"/>
              <w:right w:val="nil"/>
            </w:tcBorders>
            <w:shd w:val="clear" w:color="auto" w:fill="F2F2F2" w:themeFill="background1" w:themeFillShade="F2"/>
            <w:vAlign w:val="center"/>
          </w:tcPr>
          <w:p w:rsidR="00161871" w:rsidRPr="00941FA7"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901" w:type="dxa"/>
            <w:tcBorders>
              <w:top w:val="nil"/>
              <w:left w:val="nil"/>
              <w:bottom w:val="single" w:sz="4" w:space="0" w:color="auto"/>
              <w:right w:val="nil"/>
            </w:tcBorders>
            <w:shd w:val="solid" w:color="FFFFFF" w:fill="auto"/>
            <w:vAlign w:val="center"/>
          </w:tcPr>
          <w:p w:rsidR="00161871" w:rsidRPr="00941FA7" w:rsidRDefault="00CF1AE6"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Fonds administratifs</w:t>
            </w:r>
          </w:p>
        </w:tc>
        <w:tc>
          <w:tcPr>
            <w:tcW w:w="1035" w:type="dxa"/>
            <w:gridSpan w:val="2"/>
            <w:tcBorders>
              <w:top w:val="nil"/>
              <w:left w:val="nil"/>
              <w:bottom w:val="single" w:sz="4" w:space="0" w:color="auto"/>
              <w:right w:val="nil"/>
            </w:tcBorders>
            <w:shd w:val="solid" w:color="FFFFFF" w:fill="auto"/>
            <w:vAlign w:val="center"/>
          </w:tcPr>
          <w:p w:rsidR="00161871" w:rsidRPr="00941FA7" w:rsidRDefault="00CF1AE6"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Projets non administratifs</w:t>
            </w:r>
          </w:p>
        </w:tc>
        <w:tc>
          <w:tcPr>
            <w:tcW w:w="236" w:type="dxa"/>
            <w:tcBorders>
              <w:top w:val="nil"/>
              <w:left w:val="nil"/>
              <w:bottom w:val="single" w:sz="4" w:space="0" w:color="auto"/>
              <w:right w:val="nil"/>
            </w:tcBorders>
            <w:shd w:val="solid" w:color="FFFFFF" w:fill="auto"/>
            <w:vAlign w:val="center"/>
          </w:tcPr>
          <w:p w:rsidR="00161871" w:rsidRPr="00941FA7"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p>
        </w:tc>
        <w:tc>
          <w:tcPr>
            <w:tcW w:w="856" w:type="dxa"/>
            <w:tcBorders>
              <w:top w:val="nil"/>
              <w:left w:val="nil"/>
              <w:bottom w:val="single" w:sz="4" w:space="0" w:color="auto"/>
              <w:right w:val="nil"/>
            </w:tcBorders>
            <w:shd w:val="solid" w:color="FFFFFF" w:fill="auto"/>
            <w:vAlign w:val="center"/>
          </w:tcPr>
          <w:p w:rsidR="00161871" w:rsidRPr="00941FA7"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b/>
                <w:bCs/>
                <w:color w:val="000000"/>
                <w:sz w:val="19"/>
                <w:szCs w:val="19"/>
                <w:lang w:val="fr-FR"/>
              </w:rPr>
              <w:t>Total</w:t>
            </w:r>
          </w:p>
        </w:tc>
      </w:tr>
      <w:tr w:rsidR="00161871" w:rsidRPr="00941FA7" w:rsidTr="0014156A">
        <w:tc>
          <w:tcPr>
            <w:tcW w:w="3288" w:type="dxa"/>
            <w:tcBorders>
              <w:top w:val="single" w:sz="4" w:space="0" w:color="auto"/>
              <w:left w:val="nil"/>
              <w:bottom w:val="nil"/>
              <w:right w:val="nil"/>
            </w:tcBorders>
            <w:shd w:val="solid" w:color="FFFFFF" w:fill="auto"/>
          </w:tcPr>
          <w:p w:rsidR="005219C3" w:rsidRPr="00941FA7" w:rsidRDefault="005219C3" w:rsidP="00161871">
            <w:pPr>
              <w:autoSpaceDE w:val="0"/>
              <w:autoSpaceDN w:val="0"/>
              <w:adjustRightInd w:val="0"/>
              <w:ind w:left="0" w:firstLine="0"/>
              <w:rPr>
                <w:rFonts w:asciiTheme="minorHAnsi" w:eastAsiaTheme="minorHAnsi" w:hAnsiTheme="minorHAnsi" w:cstheme="minorHAnsi"/>
                <w:color w:val="000000"/>
                <w:sz w:val="19"/>
                <w:szCs w:val="19"/>
                <w:lang w:val="fr-FR"/>
              </w:rPr>
            </w:pPr>
          </w:p>
        </w:tc>
        <w:tc>
          <w:tcPr>
            <w:tcW w:w="708"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84"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4"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clear" w:color="auto" w:fill="F2F2F2" w:themeFill="background1" w:themeFillShade="F2"/>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42"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236"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single" w:sz="4" w:space="0" w:color="auto"/>
              <w:left w:val="nil"/>
              <w:bottom w:val="nil"/>
              <w:right w:val="nil"/>
            </w:tcBorders>
            <w:shd w:val="solid" w:color="FFFFFF" w:fill="auto"/>
          </w:tcPr>
          <w:p w:rsidR="005219C3" w:rsidRPr="00941FA7"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r>
      <w:tr w:rsidR="007C6B16" w:rsidRPr="00941FA7" w:rsidTr="0014156A">
        <w:tc>
          <w:tcPr>
            <w:tcW w:w="3288" w:type="dxa"/>
            <w:tcBorders>
              <w:top w:val="nil"/>
              <w:left w:val="nil"/>
              <w:bottom w:val="nil"/>
              <w:right w:val="nil"/>
            </w:tcBorders>
            <w:shd w:val="solid" w:color="FFFFFF" w:fill="auto"/>
          </w:tcPr>
          <w:p w:rsidR="007C6B16" w:rsidRPr="00941FA7" w:rsidRDefault="00CF1AE6" w:rsidP="007C6B16">
            <w:pPr>
              <w:autoSpaceDE w:val="0"/>
              <w:autoSpaceDN w:val="0"/>
              <w:adjustRightInd w:val="0"/>
              <w:ind w:left="0" w:firstLine="0"/>
              <w:rPr>
                <w:rFonts w:asciiTheme="minorHAnsi" w:eastAsiaTheme="minorHAnsi" w:hAnsiTheme="minorHAnsi" w:cstheme="minorHAnsi"/>
                <w:color w:val="000000"/>
                <w:sz w:val="19"/>
                <w:szCs w:val="19"/>
                <w:lang w:val="fr-FR"/>
              </w:rPr>
            </w:pPr>
            <w:r w:rsidRPr="00941FA7">
              <w:rPr>
                <w:sz w:val="19"/>
                <w:szCs w:val="19"/>
                <w:lang w:val="fr-FR"/>
              </w:rPr>
              <w:t>Solde du fonds au début de l’exercice</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3,318 </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1,877 </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5,195 </w:t>
            </w:r>
          </w:p>
        </w:tc>
        <w:tc>
          <w:tcPr>
            <w:tcW w:w="236" w:type="dxa"/>
            <w:tcBorders>
              <w:top w:val="nil"/>
              <w:left w:val="nil"/>
              <w:bottom w:val="nil"/>
              <w:right w:val="nil"/>
            </w:tcBorders>
            <w:shd w:val="clear" w:color="auto" w:fill="F2F2F2" w:themeFill="background1" w:themeFillShade="F2"/>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2,648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2,073 </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4,721 </w:t>
            </w:r>
          </w:p>
        </w:tc>
      </w:tr>
      <w:tr w:rsidR="007C6B16" w:rsidRPr="00941FA7" w:rsidTr="0014156A">
        <w:tc>
          <w:tcPr>
            <w:tcW w:w="3288" w:type="dxa"/>
            <w:tcBorders>
              <w:top w:val="nil"/>
              <w:left w:val="nil"/>
              <w:bottom w:val="nil"/>
              <w:right w:val="nil"/>
            </w:tcBorders>
            <w:shd w:val="solid" w:color="FFFFFF" w:fill="auto"/>
          </w:tcPr>
          <w:p w:rsidR="007C6B16" w:rsidRPr="00941FA7" w:rsidRDefault="00CF1AE6" w:rsidP="007C6B16">
            <w:pPr>
              <w:autoSpaceDE w:val="0"/>
              <w:autoSpaceDN w:val="0"/>
              <w:adjustRightInd w:val="0"/>
              <w:ind w:left="0" w:firstLine="0"/>
              <w:rPr>
                <w:rFonts w:asciiTheme="minorHAnsi" w:eastAsiaTheme="minorHAnsi" w:hAnsiTheme="minorHAnsi" w:cstheme="minorHAnsi"/>
                <w:color w:val="000000"/>
                <w:sz w:val="19"/>
                <w:szCs w:val="19"/>
                <w:lang w:val="fr-FR"/>
              </w:rPr>
            </w:pPr>
            <w:r w:rsidRPr="00941FA7">
              <w:rPr>
                <w:sz w:val="19"/>
                <w:szCs w:val="19"/>
                <w:lang w:val="fr-FR"/>
              </w:rPr>
              <w:t>Résultat net de l’exercice (recettes et dépenses)</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lang w:val="fr-FR"/>
              </w:rPr>
            </w:pPr>
            <w:r w:rsidRPr="00941FA7">
              <w:rPr>
                <w:rFonts w:asciiTheme="minorHAnsi" w:eastAsiaTheme="minorHAnsi" w:hAnsiTheme="minorHAnsi" w:cstheme="minorHAnsi"/>
                <w:color w:val="000000"/>
                <w:sz w:val="19"/>
                <w:szCs w:val="19"/>
                <w:lang w:val="fr-FR"/>
              </w:rPr>
              <w:t>11</w:t>
            </w:r>
          </w:p>
        </w:tc>
        <w:tc>
          <w:tcPr>
            <w:tcW w:w="85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420 </w:t>
            </w:r>
          </w:p>
        </w:tc>
        <w:tc>
          <w:tcPr>
            <w:tcW w:w="28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0"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114 </w:t>
            </w:r>
          </w:p>
        </w:tc>
        <w:tc>
          <w:tcPr>
            <w:tcW w:w="244"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87" w:type="dxa"/>
            <w:tcBorders>
              <w:top w:val="nil"/>
              <w:left w:val="nil"/>
              <w:bottom w:val="nil"/>
              <w:right w:val="nil"/>
            </w:tcBorders>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534 </w:t>
            </w:r>
          </w:p>
        </w:tc>
        <w:tc>
          <w:tcPr>
            <w:tcW w:w="236" w:type="dxa"/>
            <w:tcBorders>
              <w:top w:val="nil"/>
              <w:left w:val="nil"/>
              <w:bottom w:val="nil"/>
              <w:right w:val="nil"/>
            </w:tcBorders>
            <w:shd w:val="clear" w:color="auto" w:fill="F2F2F2" w:themeFill="background1" w:themeFillShade="F2"/>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901"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670 </w:t>
            </w:r>
          </w:p>
        </w:tc>
        <w:tc>
          <w:tcPr>
            <w:tcW w:w="242"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793"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(196)</w:t>
            </w:r>
          </w:p>
        </w:tc>
        <w:tc>
          <w:tcPr>
            <w:tcW w:w="23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p>
        </w:tc>
        <w:tc>
          <w:tcPr>
            <w:tcW w:w="856"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lang w:val="fr-FR"/>
              </w:rPr>
            </w:pPr>
            <w:r w:rsidRPr="00941FA7">
              <w:rPr>
                <w:sz w:val="19"/>
                <w:szCs w:val="19"/>
                <w:lang w:val="fr-FR"/>
              </w:rPr>
              <w:t xml:space="preserve">  474 </w:t>
            </w:r>
          </w:p>
        </w:tc>
      </w:tr>
      <w:tr w:rsidR="007C6B16" w:rsidRPr="00941FA7" w:rsidTr="0014156A">
        <w:tc>
          <w:tcPr>
            <w:tcW w:w="3288" w:type="dxa"/>
            <w:tcBorders>
              <w:top w:val="nil"/>
              <w:left w:val="nil"/>
              <w:bottom w:val="nil"/>
              <w:right w:val="nil"/>
            </w:tcBorders>
            <w:shd w:val="solid" w:color="FFFFFF" w:fill="auto"/>
          </w:tcPr>
          <w:p w:rsidR="007C6B16" w:rsidRPr="00941FA7" w:rsidRDefault="00CF1AE6" w:rsidP="007C6B16">
            <w:pPr>
              <w:autoSpaceDE w:val="0"/>
              <w:autoSpaceDN w:val="0"/>
              <w:adjustRightInd w:val="0"/>
              <w:ind w:left="0" w:firstLine="0"/>
              <w:rPr>
                <w:rFonts w:asciiTheme="minorHAnsi" w:eastAsiaTheme="minorHAnsi" w:hAnsiTheme="minorHAnsi" w:cstheme="minorHAnsi"/>
                <w:b/>
                <w:bCs/>
                <w:color w:val="000000"/>
                <w:sz w:val="19"/>
                <w:szCs w:val="19"/>
                <w:lang w:val="fr-FR"/>
              </w:rPr>
            </w:pPr>
            <w:r w:rsidRPr="00941FA7">
              <w:rPr>
                <w:b/>
                <w:bCs/>
                <w:sz w:val="19"/>
                <w:szCs w:val="19"/>
                <w:lang w:val="fr-FR"/>
              </w:rPr>
              <w:t>Solde en fin d’exercice</w:t>
            </w:r>
          </w:p>
        </w:tc>
        <w:tc>
          <w:tcPr>
            <w:tcW w:w="708" w:type="dxa"/>
            <w:tcBorders>
              <w:top w:val="nil"/>
              <w:left w:val="nil"/>
              <w:bottom w:val="nil"/>
              <w:right w:val="nil"/>
            </w:tcBorders>
            <w:shd w:val="solid" w:color="FFFFFF" w:fill="auto"/>
          </w:tcPr>
          <w:p w:rsidR="007C6B16" w:rsidRPr="00941FA7"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51" w:type="dxa"/>
            <w:tcBorders>
              <w:top w:val="single" w:sz="6" w:space="0" w:color="auto"/>
              <w:left w:val="nil"/>
              <w:bottom w:val="single" w:sz="6" w:space="0" w:color="auto"/>
              <w:right w:val="nil"/>
            </w:tcBorders>
            <w:shd w:val="clear" w:color="auto" w:fill="B8CCE4" w:themeFill="accent1"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sz w:val="19"/>
                <w:szCs w:val="19"/>
                <w:lang w:val="fr-FR"/>
              </w:rPr>
              <w:t xml:space="preserve"> 3,738 </w:t>
            </w:r>
          </w:p>
        </w:tc>
        <w:tc>
          <w:tcPr>
            <w:tcW w:w="284" w:type="dxa"/>
            <w:tcBorders>
              <w:top w:val="single" w:sz="6" w:space="0" w:color="auto"/>
              <w:left w:val="nil"/>
              <w:bottom w:val="single" w:sz="6" w:space="0" w:color="auto"/>
              <w:right w:val="nil"/>
            </w:tcBorders>
            <w:shd w:val="clear" w:color="auto" w:fill="B8CCE4" w:themeFill="accent1"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50" w:type="dxa"/>
            <w:tcBorders>
              <w:top w:val="single" w:sz="6" w:space="0" w:color="auto"/>
              <w:left w:val="nil"/>
              <w:bottom w:val="single" w:sz="6" w:space="0" w:color="auto"/>
              <w:right w:val="nil"/>
            </w:tcBorders>
            <w:shd w:val="clear" w:color="auto" w:fill="B8CCE4" w:themeFill="accent1"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sz w:val="19"/>
                <w:szCs w:val="19"/>
                <w:lang w:val="fr-FR"/>
              </w:rPr>
              <w:t xml:space="preserve"> 1,991 </w:t>
            </w:r>
          </w:p>
        </w:tc>
        <w:tc>
          <w:tcPr>
            <w:tcW w:w="244" w:type="dxa"/>
            <w:tcBorders>
              <w:top w:val="single" w:sz="6" w:space="0" w:color="auto"/>
              <w:left w:val="nil"/>
              <w:bottom w:val="single" w:sz="6" w:space="0" w:color="auto"/>
              <w:right w:val="nil"/>
            </w:tcBorders>
            <w:shd w:val="clear" w:color="auto" w:fill="B8CCE4" w:themeFill="accent1"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87" w:type="dxa"/>
            <w:tcBorders>
              <w:top w:val="single" w:sz="6" w:space="0" w:color="auto"/>
              <w:left w:val="nil"/>
              <w:bottom w:val="single" w:sz="6" w:space="0" w:color="auto"/>
              <w:right w:val="nil"/>
            </w:tcBorders>
            <w:shd w:val="clear" w:color="auto" w:fill="B8CCE4" w:themeFill="accent1"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sz w:val="19"/>
                <w:szCs w:val="19"/>
                <w:lang w:val="fr-FR"/>
              </w:rPr>
              <w:t xml:space="preserve"> 5,729 </w:t>
            </w:r>
          </w:p>
        </w:tc>
        <w:tc>
          <w:tcPr>
            <w:tcW w:w="236" w:type="dxa"/>
            <w:tcBorders>
              <w:top w:val="single" w:sz="6" w:space="0" w:color="auto"/>
              <w:left w:val="nil"/>
              <w:bottom w:val="single" w:sz="6" w:space="0" w:color="auto"/>
              <w:right w:val="nil"/>
            </w:tcBorders>
            <w:shd w:val="clear" w:color="auto" w:fill="F2F2F2" w:themeFill="background1" w:themeFillShade="F2"/>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901" w:type="dxa"/>
            <w:tcBorders>
              <w:top w:val="single" w:sz="6" w:space="0" w:color="auto"/>
              <w:left w:val="nil"/>
              <w:bottom w:val="single" w:sz="6" w:space="0" w:color="auto"/>
              <w:right w:val="nil"/>
            </w:tcBorders>
            <w:shd w:val="clear" w:color="auto" w:fill="D6E3BC" w:themeFill="accent3"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sz w:val="19"/>
                <w:szCs w:val="19"/>
                <w:lang w:val="fr-FR"/>
              </w:rPr>
              <w:t xml:space="preserve">3,318 </w:t>
            </w:r>
          </w:p>
        </w:tc>
        <w:tc>
          <w:tcPr>
            <w:tcW w:w="242" w:type="dxa"/>
            <w:tcBorders>
              <w:top w:val="single" w:sz="6" w:space="0" w:color="auto"/>
              <w:left w:val="nil"/>
              <w:bottom w:val="single" w:sz="6" w:space="0" w:color="auto"/>
              <w:right w:val="nil"/>
            </w:tcBorders>
            <w:shd w:val="clear" w:color="auto" w:fill="D6E3BC" w:themeFill="accent3"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793" w:type="dxa"/>
            <w:tcBorders>
              <w:top w:val="single" w:sz="6" w:space="0" w:color="auto"/>
              <w:left w:val="nil"/>
              <w:bottom w:val="single" w:sz="6" w:space="0" w:color="auto"/>
              <w:right w:val="nil"/>
            </w:tcBorders>
            <w:shd w:val="clear" w:color="auto" w:fill="D6E3BC" w:themeFill="accent3"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sz w:val="19"/>
                <w:szCs w:val="19"/>
                <w:lang w:val="fr-FR"/>
              </w:rPr>
              <w:t xml:space="preserve">1,877 </w:t>
            </w:r>
          </w:p>
        </w:tc>
        <w:tc>
          <w:tcPr>
            <w:tcW w:w="236" w:type="dxa"/>
            <w:tcBorders>
              <w:top w:val="single" w:sz="6" w:space="0" w:color="auto"/>
              <w:left w:val="nil"/>
              <w:bottom w:val="single" w:sz="6" w:space="0" w:color="auto"/>
              <w:right w:val="nil"/>
            </w:tcBorders>
            <w:shd w:val="clear" w:color="auto" w:fill="D6E3BC" w:themeFill="accent3"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p>
        </w:tc>
        <w:tc>
          <w:tcPr>
            <w:tcW w:w="856" w:type="dxa"/>
            <w:tcBorders>
              <w:top w:val="single" w:sz="6" w:space="0" w:color="auto"/>
              <w:left w:val="nil"/>
              <w:bottom w:val="single" w:sz="6" w:space="0" w:color="auto"/>
              <w:right w:val="nil"/>
            </w:tcBorders>
            <w:shd w:val="clear" w:color="auto" w:fill="D6E3BC" w:themeFill="accent3" w:themeFillTint="66"/>
          </w:tcPr>
          <w:p w:rsidR="007C6B16" w:rsidRPr="008939B8"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lang w:val="fr-FR"/>
              </w:rPr>
            </w:pPr>
            <w:r w:rsidRPr="008939B8">
              <w:rPr>
                <w:b/>
                <w:sz w:val="19"/>
                <w:szCs w:val="19"/>
                <w:lang w:val="fr-FR"/>
              </w:rPr>
              <w:t xml:space="preserve">  5,195 </w:t>
            </w:r>
          </w:p>
        </w:tc>
      </w:tr>
    </w:tbl>
    <w:p w:rsidR="00FB66C4" w:rsidRPr="00941FA7" w:rsidRDefault="00FB66C4">
      <w:pPr>
        <w:rPr>
          <w:rFonts w:eastAsia="Times New Roman" w:cs="Arial"/>
          <w:b/>
          <w:bCs/>
          <w:lang w:val="fr-FR" w:eastAsia="en-GB"/>
        </w:rPr>
      </w:pPr>
      <w:r w:rsidRPr="00941FA7">
        <w:rPr>
          <w:rFonts w:eastAsia="Times New Roman" w:cs="Arial"/>
          <w:b/>
          <w:bCs/>
          <w:lang w:val="fr-FR" w:eastAsia="en-GB"/>
        </w:rPr>
        <w:br w:type="page"/>
      </w:r>
    </w:p>
    <w:p w:rsidR="00F96BA5" w:rsidRPr="00941FA7" w:rsidRDefault="00F96BA5" w:rsidP="00F96BA5">
      <w:pPr>
        <w:pStyle w:val="NoSpacing"/>
        <w:rPr>
          <w:rFonts w:eastAsia="Times New Roman" w:cs="Arial"/>
          <w:b/>
          <w:bCs/>
          <w:lang w:val="fr-FR" w:eastAsia="en-GB"/>
        </w:rPr>
      </w:pPr>
      <w:r w:rsidRPr="00941FA7">
        <w:rPr>
          <w:rFonts w:eastAsia="Times New Roman" w:cs="Arial"/>
          <w:b/>
          <w:bCs/>
          <w:lang w:val="fr-FR" w:eastAsia="en-GB"/>
        </w:rPr>
        <w:lastRenderedPageBreak/>
        <w:t>III.</w:t>
      </w:r>
      <w:r w:rsidRPr="00941FA7">
        <w:rPr>
          <w:rFonts w:eastAsia="Times New Roman" w:cs="Arial"/>
          <w:b/>
          <w:bCs/>
          <w:lang w:val="fr-FR" w:eastAsia="en-GB"/>
        </w:rPr>
        <w:tab/>
      </w:r>
      <w:r w:rsidR="00920641" w:rsidRPr="00941FA7">
        <w:rPr>
          <w:rFonts w:eastAsia="Times New Roman" w:cs="Arial"/>
          <w:b/>
          <w:bCs/>
          <w:lang w:val="fr-FR" w:eastAsia="en-GB"/>
        </w:rPr>
        <w:t xml:space="preserve">États des flux de trésorerie pour l’exercice clos le 31 décembre </w:t>
      </w:r>
      <w:r w:rsidR="000B2A00" w:rsidRPr="00941FA7">
        <w:rPr>
          <w:rFonts w:eastAsia="Times New Roman" w:cs="Arial"/>
          <w:b/>
          <w:bCs/>
          <w:lang w:val="fr-FR" w:eastAsia="en-GB"/>
        </w:rPr>
        <w:t>202</w:t>
      </w:r>
      <w:r w:rsidR="007C6B16" w:rsidRPr="00941FA7">
        <w:rPr>
          <w:rFonts w:eastAsia="Times New Roman" w:cs="Arial"/>
          <w:b/>
          <w:bCs/>
          <w:lang w:val="fr-FR" w:eastAsia="en-GB"/>
        </w:rPr>
        <w:t>1</w:t>
      </w:r>
    </w:p>
    <w:p w:rsidR="00A545D6" w:rsidRPr="00941FA7" w:rsidRDefault="00A545D6">
      <w:pPr>
        <w:rPr>
          <w:rFonts w:eastAsia="Times New Roman" w:cs="Arial"/>
          <w:b/>
          <w:bCs/>
          <w:lang w:val="fr-FR" w:eastAsia="en-GB"/>
        </w:rPr>
      </w:pPr>
    </w:p>
    <w:tbl>
      <w:tblPr>
        <w:tblpPr w:leftFromText="180" w:rightFromText="180" w:vertAnchor="text" w:horzAnchor="margin" w:tblpX="-567" w:tblpY="76"/>
        <w:tblW w:w="9498" w:type="dxa"/>
        <w:tblLook w:val="04A0" w:firstRow="1" w:lastRow="0" w:firstColumn="1" w:lastColumn="0" w:noHBand="0" w:noVBand="1"/>
      </w:tblPr>
      <w:tblGrid>
        <w:gridCol w:w="5954"/>
        <w:gridCol w:w="1400"/>
        <w:gridCol w:w="262"/>
        <w:gridCol w:w="284"/>
        <w:gridCol w:w="1598"/>
      </w:tblGrid>
      <w:tr w:rsidR="0079083B" w:rsidRPr="00941FA7" w:rsidTr="00CB5586">
        <w:trPr>
          <w:trHeight w:val="324"/>
        </w:trPr>
        <w:tc>
          <w:tcPr>
            <w:tcW w:w="5954" w:type="dxa"/>
            <w:tcBorders>
              <w:top w:val="nil"/>
              <w:left w:val="nil"/>
              <w:bottom w:val="single" w:sz="8" w:space="0" w:color="auto"/>
              <w:right w:val="nil"/>
            </w:tcBorders>
            <w:shd w:val="clear" w:color="000000" w:fill="FFFFFF"/>
            <w:noWrap/>
            <w:vAlign w:val="bottom"/>
            <w:hideMark/>
          </w:tcPr>
          <w:p w:rsidR="0079083B" w:rsidRPr="00941FA7" w:rsidRDefault="00920641" w:rsidP="0079083B">
            <w:pPr>
              <w:ind w:left="0" w:firstLine="0"/>
              <w:rPr>
                <w:rFonts w:asciiTheme="minorHAnsi" w:eastAsia="Times New Roman" w:hAnsiTheme="minorHAnsi" w:cstheme="minorHAnsi"/>
                <w:i/>
                <w:iCs/>
                <w:sz w:val="20"/>
                <w:szCs w:val="20"/>
                <w:lang w:val="fr-FR" w:eastAsia="en-GB"/>
              </w:rPr>
            </w:pPr>
            <w:r w:rsidRPr="00941FA7">
              <w:rPr>
                <w:rFonts w:asciiTheme="minorHAnsi" w:eastAsia="Times New Roman" w:hAnsiTheme="minorHAnsi" w:cstheme="minorHAnsi"/>
                <w:i/>
                <w:iCs/>
                <w:sz w:val="20"/>
                <w:szCs w:val="20"/>
                <w:lang w:val="fr-FR" w:eastAsia="en-GB"/>
              </w:rPr>
              <w:t>en milliers de francs suisses (CHF)</w:t>
            </w:r>
          </w:p>
        </w:tc>
        <w:tc>
          <w:tcPr>
            <w:tcW w:w="1662" w:type="dxa"/>
            <w:gridSpan w:val="2"/>
            <w:tcBorders>
              <w:top w:val="nil"/>
              <w:left w:val="nil"/>
              <w:bottom w:val="single" w:sz="8" w:space="0" w:color="auto"/>
              <w:right w:val="nil"/>
            </w:tcBorders>
            <w:shd w:val="clear" w:color="000000" w:fill="8DB4E2"/>
            <w:noWrap/>
            <w:vAlign w:val="center"/>
            <w:hideMark/>
          </w:tcPr>
          <w:p w:rsidR="0079083B" w:rsidRPr="00941FA7" w:rsidRDefault="0079083B" w:rsidP="0079083B">
            <w:pPr>
              <w:ind w:left="0" w:firstLine="0"/>
              <w:jc w:val="center"/>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202</w:t>
            </w:r>
            <w:r w:rsidR="007C6B16" w:rsidRPr="00941FA7">
              <w:rPr>
                <w:rFonts w:asciiTheme="minorHAnsi" w:eastAsia="Times New Roman" w:hAnsiTheme="minorHAnsi" w:cstheme="minorHAnsi"/>
                <w:b/>
                <w:bCs/>
                <w:sz w:val="20"/>
                <w:szCs w:val="20"/>
                <w:lang w:val="fr-FR" w:eastAsia="en-GB"/>
              </w:rPr>
              <w:t>1</w:t>
            </w:r>
          </w:p>
        </w:tc>
        <w:tc>
          <w:tcPr>
            <w:tcW w:w="284" w:type="dxa"/>
            <w:tcBorders>
              <w:top w:val="nil"/>
              <w:left w:val="nil"/>
              <w:bottom w:val="single" w:sz="8" w:space="0" w:color="auto"/>
              <w:right w:val="nil"/>
            </w:tcBorders>
            <w:shd w:val="clear" w:color="000000" w:fill="D9D9D9"/>
            <w:noWrap/>
            <w:vAlign w:val="center"/>
            <w:hideMark/>
          </w:tcPr>
          <w:p w:rsidR="0079083B" w:rsidRPr="00941FA7" w:rsidRDefault="0079083B" w:rsidP="0079083B">
            <w:pPr>
              <w:ind w:left="0" w:firstLine="0"/>
              <w:jc w:val="center"/>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nil"/>
              <w:left w:val="nil"/>
              <w:bottom w:val="single" w:sz="8" w:space="0" w:color="auto"/>
              <w:right w:val="nil"/>
            </w:tcBorders>
            <w:shd w:val="clear" w:color="000000" w:fill="D8E4BC"/>
            <w:noWrap/>
            <w:vAlign w:val="center"/>
            <w:hideMark/>
          </w:tcPr>
          <w:p w:rsidR="0079083B" w:rsidRPr="00941FA7" w:rsidRDefault="007C6B16" w:rsidP="0079083B">
            <w:pPr>
              <w:ind w:left="0" w:firstLine="0"/>
              <w:jc w:val="center"/>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2020</w:t>
            </w:r>
          </w:p>
        </w:tc>
      </w:tr>
      <w:tr w:rsidR="0079083B" w:rsidRPr="00941FA7" w:rsidTr="00CB5586">
        <w:trPr>
          <w:trHeight w:val="288"/>
        </w:trPr>
        <w:tc>
          <w:tcPr>
            <w:tcW w:w="5954"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r>
      <w:tr w:rsidR="0079083B" w:rsidRPr="008939B8" w:rsidTr="00CB5586">
        <w:trPr>
          <w:trHeight w:val="288"/>
        </w:trPr>
        <w:tc>
          <w:tcPr>
            <w:tcW w:w="5954" w:type="dxa"/>
            <w:tcBorders>
              <w:top w:val="nil"/>
              <w:left w:val="nil"/>
              <w:bottom w:val="nil"/>
              <w:right w:val="nil"/>
            </w:tcBorders>
            <w:shd w:val="clear" w:color="000000" w:fill="FFFFFF"/>
            <w:noWrap/>
            <w:vAlign w:val="center"/>
            <w:hideMark/>
          </w:tcPr>
          <w:p w:rsidR="0079083B" w:rsidRPr="00941FA7" w:rsidRDefault="00920641" w:rsidP="0079083B">
            <w:pPr>
              <w:ind w:left="0" w:firstLine="0"/>
              <w:rPr>
                <w:rFonts w:asciiTheme="minorHAnsi" w:eastAsia="Times New Roman" w:hAnsiTheme="minorHAnsi" w:cstheme="minorHAnsi"/>
                <w:b/>
                <w:bCs/>
                <w:sz w:val="20"/>
                <w:szCs w:val="20"/>
                <w:lang w:val="fr-FR" w:eastAsia="en-GB"/>
              </w:rPr>
            </w:pPr>
            <w:r w:rsidRPr="00941FA7">
              <w:rPr>
                <w:b/>
                <w:bCs/>
                <w:sz w:val="20"/>
                <w:szCs w:val="20"/>
                <w:lang w:val="fr-FR"/>
              </w:rPr>
              <w:t>Flux de trésorerie liés à l’exploitation</w:t>
            </w:r>
          </w:p>
        </w:tc>
        <w:tc>
          <w:tcPr>
            <w:tcW w:w="1400"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r>
      <w:tr w:rsidR="0079083B" w:rsidRPr="008939B8" w:rsidTr="00CB5586">
        <w:trPr>
          <w:trHeight w:val="288"/>
        </w:trPr>
        <w:tc>
          <w:tcPr>
            <w:tcW w:w="5954"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79083B" w:rsidRPr="00941FA7" w:rsidRDefault="0079083B" w:rsidP="0079083B">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r>
      <w:tr w:rsidR="007C6B16" w:rsidRPr="00941FA7" w:rsidTr="002538A3">
        <w:trPr>
          <w:trHeight w:val="288"/>
        </w:trPr>
        <w:tc>
          <w:tcPr>
            <w:tcW w:w="5954" w:type="dxa"/>
            <w:tcBorders>
              <w:top w:val="nil"/>
              <w:left w:val="nil"/>
              <w:bottom w:val="nil"/>
              <w:right w:val="nil"/>
            </w:tcBorders>
            <w:shd w:val="clear" w:color="000000" w:fill="FFFFFF"/>
            <w:noWrap/>
            <w:vAlign w:val="center"/>
            <w:hideMark/>
          </w:tcPr>
          <w:p w:rsidR="007C6B16" w:rsidRPr="00941FA7" w:rsidRDefault="00920641" w:rsidP="007C6B16">
            <w:pPr>
              <w:ind w:left="0" w:firstLine="0"/>
              <w:rPr>
                <w:rFonts w:asciiTheme="minorHAnsi" w:eastAsia="Times New Roman" w:hAnsiTheme="minorHAnsi" w:cstheme="minorHAnsi"/>
                <w:b/>
                <w:bCs/>
                <w:sz w:val="20"/>
                <w:szCs w:val="20"/>
                <w:lang w:val="fr-FR" w:eastAsia="en-GB"/>
              </w:rPr>
            </w:pPr>
            <w:r w:rsidRPr="00941FA7">
              <w:rPr>
                <w:b/>
                <w:bCs/>
                <w:sz w:val="20"/>
                <w:szCs w:val="20"/>
                <w:lang w:val="fr-FR"/>
              </w:rPr>
              <w:t>Excédent/(Déficit) des activités liées à l’exploitation</w:t>
            </w:r>
          </w:p>
        </w:tc>
        <w:tc>
          <w:tcPr>
            <w:tcW w:w="1400" w:type="dxa"/>
            <w:tcBorders>
              <w:top w:val="nil"/>
              <w:left w:val="nil"/>
              <w:bottom w:val="single" w:sz="4" w:space="0" w:color="auto"/>
              <w:right w:val="nil"/>
            </w:tcBorders>
            <w:shd w:val="clear" w:color="000000" w:fill="FFFFFF"/>
            <w:noWrap/>
            <w:vAlign w:val="center"/>
            <w:hideMark/>
          </w:tcPr>
          <w:p w:rsidR="007C6B16" w:rsidRPr="00941FA7" w:rsidRDefault="007C6B16" w:rsidP="007C6B16">
            <w:pPr>
              <w:ind w:left="0" w:firstLine="0"/>
              <w:jc w:val="right"/>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534</w:t>
            </w:r>
          </w:p>
        </w:tc>
        <w:tc>
          <w:tcPr>
            <w:tcW w:w="262" w:type="dxa"/>
            <w:tcBorders>
              <w:top w:val="nil"/>
              <w:left w:val="nil"/>
              <w:bottom w:val="single" w:sz="4" w:space="0" w:color="auto"/>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84" w:type="dxa"/>
            <w:tcBorders>
              <w:top w:val="nil"/>
              <w:left w:val="nil"/>
              <w:bottom w:val="single" w:sz="4" w:space="0" w:color="auto"/>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nil"/>
              <w:left w:val="nil"/>
              <w:bottom w:val="single" w:sz="4" w:space="0" w:color="auto"/>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b/>
                <w:bCs/>
                <w:sz w:val="20"/>
                <w:szCs w:val="20"/>
                <w:lang w:val="fr-FR" w:eastAsia="en-GB"/>
              </w:rPr>
            </w:pPr>
            <w:r w:rsidRPr="00941FA7">
              <w:rPr>
                <w:b/>
                <w:sz w:val="20"/>
                <w:szCs w:val="20"/>
                <w:lang w:val="fr-FR"/>
              </w:rPr>
              <w:t>474</w:t>
            </w:r>
          </w:p>
        </w:tc>
      </w:tr>
      <w:tr w:rsidR="007C6B16" w:rsidRPr="00941FA7" w:rsidTr="002538A3">
        <w:trPr>
          <w:trHeight w:val="288"/>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rPr>
                <w:rFonts w:asciiTheme="minorHAnsi" w:eastAsia="Times New Roman" w:hAnsiTheme="minorHAnsi" w:cstheme="minorHAnsi"/>
                <w:b/>
                <w:bCs/>
                <w:sz w:val="20"/>
                <w:szCs w:val="20"/>
                <w:lang w:val="fr-FR" w:eastAsia="en-GB"/>
              </w:rPr>
            </w:pPr>
          </w:p>
        </w:tc>
      </w:tr>
      <w:tr w:rsidR="007C6B16" w:rsidRPr="00941FA7" w:rsidTr="002538A3">
        <w:trPr>
          <w:trHeight w:val="288"/>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color w:val="000000"/>
                <w:sz w:val="20"/>
                <w:szCs w:val="20"/>
                <w:lang w:val="fr-FR" w:eastAsia="en-GB"/>
              </w:rPr>
            </w:pPr>
            <w:r w:rsidRPr="00941FA7">
              <w:rPr>
                <w:rFonts w:asciiTheme="minorHAnsi" w:eastAsia="Times New Roman" w:hAnsiTheme="minorHAnsi" w:cstheme="minorHAnsi"/>
                <w:color w:val="000000"/>
                <w:sz w:val="20"/>
                <w:szCs w:val="20"/>
                <w:lang w:val="fr-FR" w:eastAsia="en-GB"/>
              </w:rPr>
              <w:t xml:space="preserve">    </w:t>
            </w:r>
            <w:r w:rsidR="00920641" w:rsidRPr="00941FA7">
              <w:rPr>
                <w:sz w:val="20"/>
                <w:szCs w:val="20"/>
                <w:lang w:val="fr-FR"/>
              </w:rPr>
              <w:t xml:space="preserve"> Amortissement des actifs immobilisés</w:t>
            </w:r>
          </w:p>
        </w:tc>
        <w:tc>
          <w:tcPr>
            <w:tcW w:w="1400"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lang w:val="fr-FR"/>
              </w:rPr>
              <w:t>6</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sz w:val="20"/>
                <w:szCs w:val="20"/>
                <w:lang w:val="fr-FR"/>
              </w:rPr>
              <w:t>7</w:t>
            </w:r>
          </w:p>
        </w:tc>
      </w:tr>
      <w:tr w:rsidR="007C6B16" w:rsidRPr="00941FA7" w:rsidTr="002538A3">
        <w:trPr>
          <w:trHeight w:val="288"/>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920641" w:rsidRPr="00941FA7">
              <w:rPr>
                <w:sz w:val="20"/>
                <w:szCs w:val="20"/>
                <w:lang w:val="fr-FR"/>
              </w:rPr>
              <w:t xml:space="preserve"> Augmentation/(diminution) des provisions pour arriérés de contributions</w:t>
            </w:r>
          </w:p>
        </w:tc>
        <w:tc>
          <w:tcPr>
            <w:tcW w:w="1400"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lang w:val="fr-FR"/>
              </w:rPr>
              <w:t>60</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sz w:val="20"/>
                <w:szCs w:val="20"/>
                <w:lang w:val="fr-FR"/>
              </w:rPr>
              <w:t>95</w:t>
            </w:r>
          </w:p>
        </w:tc>
      </w:tr>
      <w:tr w:rsidR="007C6B16" w:rsidRPr="00941FA7" w:rsidTr="002538A3">
        <w:trPr>
          <w:trHeight w:val="312"/>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920641" w:rsidRPr="00941FA7">
              <w:rPr>
                <w:sz w:val="20"/>
                <w:szCs w:val="20"/>
                <w:lang w:val="fr-FR"/>
              </w:rPr>
              <w:t xml:space="preserve"> Augmentation/(diminution) des engagements au titre des congés du personnel et des rapatriements</w:t>
            </w:r>
          </w:p>
        </w:tc>
        <w:tc>
          <w:tcPr>
            <w:tcW w:w="1400"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lang w:val="fr-FR"/>
              </w:rPr>
              <w:t>19</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sz w:val="20"/>
                <w:szCs w:val="20"/>
                <w:lang w:val="fr-FR"/>
              </w:rPr>
              <w:t>(41)</w:t>
            </w:r>
          </w:p>
        </w:tc>
      </w:tr>
      <w:tr w:rsidR="007C6B16" w:rsidRPr="00941FA7" w:rsidTr="002538A3">
        <w:trPr>
          <w:trHeight w:val="312"/>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920641" w:rsidRPr="00941FA7">
              <w:rPr>
                <w:sz w:val="20"/>
                <w:szCs w:val="20"/>
                <w:lang w:val="fr-FR"/>
              </w:rPr>
              <w:t xml:space="preserve"> Augmentation/(diminution) de la provision pour licenciement</w:t>
            </w:r>
          </w:p>
        </w:tc>
        <w:tc>
          <w:tcPr>
            <w:tcW w:w="1400"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lang w:val="fr-FR"/>
              </w:rPr>
              <w:t>20</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sz w:val="20"/>
                <w:szCs w:val="20"/>
                <w:lang w:val="fr-FR"/>
              </w:rPr>
              <w:t>18</w:t>
            </w:r>
          </w:p>
        </w:tc>
      </w:tr>
      <w:tr w:rsidR="007C6B16" w:rsidRPr="00941FA7" w:rsidTr="002538A3">
        <w:trPr>
          <w:trHeight w:val="312"/>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920641" w:rsidRPr="00941FA7">
              <w:rPr>
                <w:sz w:val="20"/>
                <w:szCs w:val="20"/>
                <w:lang w:val="fr-FR"/>
              </w:rPr>
              <w:t>(Augmentation)/diminution des contributions à recevoir (montant brut)</w:t>
            </w:r>
          </w:p>
        </w:tc>
        <w:tc>
          <w:tcPr>
            <w:tcW w:w="1400"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lang w:val="fr-FR"/>
              </w:rPr>
              <w:t>136</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sz w:val="20"/>
                <w:szCs w:val="20"/>
                <w:lang w:val="fr-FR"/>
              </w:rPr>
              <w:t>1,590</w:t>
            </w:r>
          </w:p>
        </w:tc>
      </w:tr>
      <w:tr w:rsidR="007C6B16" w:rsidRPr="00941FA7" w:rsidTr="002538A3">
        <w:trPr>
          <w:trHeight w:val="288"/>
        </w:trPr>
        <w:tc>
          <w:tcPr>
            <w:tcW w:w="5954"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920641" w:rsidRPr="00941FA7">
              <w:rPr>
                <w:sz w:val="20"/>
                <w:szCs w:val="20"/>
                <w:lang w:val="fr-FR"/>
              </w:rPr>
              <w:t xml:space="preserve"> Augmentation/(diminution) des dettes envers les organisations partenaires</w:t>
            </w:r>
          </w:p>
        </w:tc>
        <w:tc>
          <w:tcPr>
            <w:tcW w:w="1400"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lang w:val="fr-FR"/>
              </w:rPr>
              <w:t>74</w:t>
            </w:r>
          </w:p>
        </w:tc>
        <w:tc>
          <w:tcPr>
            <w:tcW w:w="262" w:type="dxa"/>
            <w:tcBorders>
              <w:top w:val="nil"/>
              <w:left w:val="nil"/>
              <w:bottom w:val="nil"/>
              <w:right w:val="nil"/>
            </w:tcBorders>
            <w:shd w:val="clear" w:color="000000" w:fill="FFFFFF"/>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7C6B16" w:rsidRPr="00941FA7" w:rsidRDefault="007C6B16" w:rsidP="007C6B16">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7C6B16" w:rsidRPr="00941FA7" w:rsidRDefault="007C6B16" w:rsidP="007C6B16">
            <w:pPr>
              <w:ind w:left="0" w:firstLine="0"/>
              <w:jc w:val="right"/>
              <w:rPr>
                <w:rFonts w:asciiTheme="minorHAnsi" w:eastAsia="Times New Roman" w:hAnsiTheme="minorHAnsi" w:cstheme="minorHAnsi"/>
                <w:sz w:val="20"/>
                <w:szCs w:val="20"/>
                <w:lang w:val="fr-FR" w:eastAsia="en-GB"/>
              </w:rPr>
            </w:pPr>
            <w:r w:rsidRPr="00941FA7">
              <w:rPr>
                <w:sz w:val="20"/>
                <w:szCs w:val="20"/>
                <w:lang w:val="fr-FR"/>
              </w:rPr>
              <w:t>(307)</w:t>
            </w:r>
          </w:p>
        </w:tc>
      </w:tr>
      <w:tr w:rsidR="00920641" w:rsidRPr="00941FA7" w:rsidTr="00920641">
        <w:trPr>
          <w:trHeight w:val="288"/>
        </w:trPr>
        <w:tc>
          <w:tcPr>
            <w:tcW w:w="5954" w:type="dxa"/>
            <w:tcBorders>
              <w:top w:val="nil"/>
              <w:left w:val="nil"/>
              <w:bottom w:val="nil"/>
              <w:right w:val="nil"/>
            </w:tcBorders>
            <w:shd w:val="clear" w:color="000000" w:fill="FFFFFF"/>
            <w:noWrap/>
            <w:hideMark/>
          </w:tcPr>
          <w:p w:rsidR="00920641" w:rsidRPr="00941FA7" w:rsidRDefault="00404FC1" w:rsidP="00920641">
            <w:pPr>
              <w:ind w:left="0" w:firstLine="0"/>
              <w:rPr>
                <w:rFonts w:asciiTheme="minorHAnsi" w:eastAsia="Times New Roman" w:hAnsiTheme="minorHAnsi" w:cstheme="minorHAnsi"/>
                <w:sz w:val="20"/>
                <w:szCs w:val="20"/>
                <w:lang w:val="fr-FR" w:eastAsia="en-GB"/>
              </w:rPr>
            </w:pPr>
            <w:r w:rsidRPr="00941FA7">
              <w:rPr>
                <w:sz w:val="20"/>
                <w:szCs w:val="20"/>
                <w:lang w:val="fr-FR"/>
              </w:rPr>
              <w:t xml:space="preserve">   (Augmentation)/diminution des autres débiteurs</w:t>
            </w:r>
          </w:p>
        </w:tc>
        <w:tc>
          <w:tcPr>
            <w:tcW w:w="1400"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lang w:val="fr-FR"/>
              </w:rPr>
              <w:t>36</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sz w:val="20"/>
                <w:szCs w:val="20"/>
                <w:lang w:val="fr-FR"/>
              </w:rPr>
              <w:t>57</w:t>
            </w:r>
          </w:p>
        </w:tc>
      </w:tr>
      <w:tr w:rsidR="00920641" w:rsidRPr="00941FA7" w:rsidTr="002538A3">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404FC1" w:rsidRPr="00941FA7">
              <w:rPr>
                <w:sz w:val="20"/>
                <w:szCs w:val="20"/>
                <w:lang w:val="fr-FR"/>
              </w:rPr>
              <w:t>Augmentation/(diminution) des contributions payées d’avance</w:t>
            </w:r>
          </w:p>
        </w:tc>
        <w:tc>
          <w:tcPr>
            <w:tcW w:w="1400"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lang w:val="fr-FR"/>
              </w:rPr>
              <w:t>227</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sz w:val="20"/>
                <w:szCs w:val="20"/>
                <w:lang w:val="fr-FR"/>
              </w:rPr>
              <w:t>(183)</w:t>
            </w:r>
          </w:p>
        </w:tc>
      </w:tr>
      <w:tr w:rsidR="00920641" w:rsidRPr="00941FA7" w:rsidTr="002538A3">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404FC1" w:rsidRPr="00941FA7">
              <w:rPr>
                <w:sz w:val="20"/>
                <w:szCs w:val="20"/>
                <w:lang w:val="fr-FR"/>
              </w:rPr>
              <w:t xml:space="preserve"> Augmentation/(diminution) des créditeurs et charges à payer</w:t>
            </w:r>
          </w:p>
        </w:tc>
        <w:tc>
          <w:tcPr>
            <w:tcW w:w="1400"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lang w:val="fr-FR"/>
              </w:rPr>
              <w:t>48</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sz w:val="20"/>
                <w:szCs w:val="20"/>
                <w:lang w:val="fr-FR"/>
              </w:rPr>
              <w:t>54</w:t>
            </w:r>
          </w:p>
        </w:tc>
      </w:tr>
      <w:tr w:rsidR="00920641" w:rsidRPr="00941FA7" w:rsidTr="002538A3">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    </w:t>
            </w:r>
            <w:r w:rsidR="00404FC1" w:rsidRPr="00941FA7">
              <w:rPr>
                <w:sz w:val="20"/>
                <w:szCs w:val="20"/>
                <w:lang w:val="fr-FR"/>
              </w:rPr>
              <w:t xml:space="preserve"> Augmentation/(diminution) des charges sociales à payer</w:t>
            </w:r>
          </w:p>
        </w:tc>
        <w:tc>
          <w:tcPr>
            <w:tcW w:w="1400"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lang w:val="fr-FR"/>
              </w:rPr>
              <w:t>163</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sz w:val="20"/>
                <w:szCs w:val="20"/>
                <w:lang w:val="fr-FR"/>
              </w:rPr>
              <w:t>47</w:t>
            </w:r>
          </w:p>
        </w:tc>
      </w:tr>
      <w:tr w:rsidR="00920641" w:rsidRPr="00941FA7" w:rsidTr="002538A3">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p>
        </w:tc>
      </w:tr>
      <w:tr w:rsidR="00920641" w:rsidRPr="00941FA7" w:rsidTr="008939B8">
        <w:trPr>
          <w:trHeight w:val="492"/>
        </w:trPr>
        <w:tc>
          <w:tcPr>
            <w:tcW w:w="5954" w:type="dxa"/>
            <w:tcBorders>
              <w:top w:val="nil"/>
              <w:left w:val="nil"/>
              <w:bottom w:val="nil"/>
              <w:right w:val="nil"/>
            </w:tcBorders>
            <w:shd w:val="clear" w:color="000000" w:fill="FFFFFF"/>
            <w:noWrap/>
            <w:vAlign w:val="center"/>
            <w:hideMark/>
          </w:tcPr>
          <w:p w:rsidR="00920641" w:rsidRPr="00941FA7" w:rsidRDefault="00404FC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Montant total des flux de trésorerie liés à l’exploitation</w:t>
            </w:r>
          </w:p>
        </w:tc>
        <w:tc>
          <w:tcPr>
            <w:tcW w:w="1400" w:type="dxa"/>
            <w:tcBorders>
              <w:top w:val="single" w:sz="4" w:space="0" w:color="auto"/>
              <w:left w:val="nil"/>
              <w:bottom w:val="nil"/>
              <w:right w:val="nil"/>
            </w:tcBorders>
            <w:shd w:val="clear" w:color="000000" w:fill="FFFFFF"/>
            <w:noWrap/>
            <w:vAlign w:val="center"/>
            <w:hideMark/>
          </w:tcPr>
          <w:p w:rsidR="00920641" w:rsidRPr="00941FA7" w:rsidRDefault="00920641" w:rsidP="00920641">
            <w:pPr>
              <w:ind w:left="0" w:firstLine="0"/>
              <w:jc w:val="right"/>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1,323</w:t>
            </w:r>
          </w:p>
        </w:tc>
        <w:tc>
          <w:tcPr>
            <w:tcW w:w="262" w:type="dxa"/>
            <w:tcBorders>
              <w:top w:val="single" w:sz="4" w:space="0" w:color="auto"/>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84" w:type="dxa"/>
            <w:tcBorders>
              <w:top w:val="single" w:sz="4" w:space="0" w:color="auto"/>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single" w:sz="4" w:space="0" w:color="auto"/>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b/>
                <w:bCs/>
                <w:sz w:val="20"/>
                <w:szCs w:val="20"/>
                <w:lang w:val="fr-FR" w:eastAsia="en-GB"/>
              </w:rPr>
            </w:pPr>
            <w:r w:rsidRPr="00941FA7">
              <w:rPr>
                <w:b/>
                <w:sz w:val="20"/>
                <w:szCs w:val="20"/>
                <w:lang w:val="fr-FR"/>
              </w:rPr>
              <w:t>1,811</w:t>
            </w:r>
          </w:p>
        </w:tc>
      </w:tr>
      <w:tr w:rsidR="00920641" w:rsidRPr="00941FA7" w:rsidTr="008939B8">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sz w:val="20"/>
                <w:szCs w:val="20"/>
                <w:lang w:val="fr-FR" w:eastAsia="en-GB"/>
              </w:rPr>
            </w:pPr>
          </w:p>
        </w:tc>
      </w:tr>
      <w:tr w:rsidR="00920641" w:rsidRPr="008939B8" w:rsidTr="008939B8">
        <w:trPr>
          <w:trHeight w:val="288"/>
        </w:trPr>
        <w:tc>
          <w:tcPr>
            <w:tcW w:w="5954" w:type="dxa"/>
            <w:tcBorders>
              <w:top w:val="nil"/>
              <w:left w:val="nil"/>
              <w:bottom w:val="nil"/>
              <w:right w:val="nil"/>
            </w:tcBorders>
            <w:shd w:val="clear" w:color="000000" w:fill="FFFFFF"/>
            <w:noWrap/>
            <w:vAlign w:val="center"/>
            <w:hideMark/>
          </w:tcPr>
          <w:p w:rsidR="00920641" w:rsidRPr="00941FA7" w:rsidRDefault="00404FC1" w:rsidP="00920641">
            <w:pPr>
              <w:ind w:left="0" w:firstLine="0"/>
              <w:rPr>
                <w:rFonts w:asciiTheme="minorHAnsi" w:eastAsia="Times New Roman" w:hAnsiTheme="minorHAnsi" w:cstheme="minorHAnsi"/>
                <w:b/>
                <w:bCs/>
                <w:sz w:val="20"/>
                <w:szCs w:val="20"/>
                <w:lang w:val="fr-FR" w:eastAsia="en-GB"/>
              </w:rPr>
            </w:pPr>
            <w:r w:rsidRPr="00941FA7">
              <w:rPr>
                <w:b/>
                <w:bCs/>
                <w:sz w:val="20"/>
                <w:szCs w:val="20"/>
                <w:lang w:val="fr-FR"/>
              </w:rPr>
              <w:t>Flux de trésorerie provenant des activités d’investissement</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sz w:val="20"/>
                <w:szCs w:val="20"/>
                <w:lang w:val="fr-FR" w:eastAsia="en-GB"/>
              </w:rPr>
            </w:pPr>
          </w:p>
        </w:tc>
      </w:tr>
      <w:tr w:rsidR="00920641" w:rsidRPr="00941FA7" w:rsidTr="008939B8">
        <w:trPr>
          <w:trHeight w:val="312"/>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color w:val="000000"/>
                <w:sz w:val="20"/>
                <w:szCs w:val="20"/>
                <w:lang w:val="fr-FR" w:eastAsia="en-GB"/>
              </w:rPr>
            </w:pPr>
            <w:r w:rsidRPr="00941FA7">
              <w:rPr>
                <w:rFonts w:asciiTheme="minorHAnsi" w:eastAsia="Times New Roman" w:hAnsiTheme="minorHAnsi" w:cstheme="minorHAnsi"/>
                <w:color w:val="000000"/>
                <w:sz w:val="20"/>
                <w:szCs w:val="20"/>
                <w:lang w:val="fr-FR" w:eastAsia="en-GB"/>
              </w:rPr>
              <w:t xml:space="preserve">    </w:t>
            </w:r>
            <w:r w:rsidR="00404FC1" w:rsidRPr="00941FA7">
              <w:rPr>
                <w:lang w:val="fr-FR"/>
              </w:rPr>
              <w:t xml:space="preserve"> Acquisitions d’immobilisations</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jc w:val="right"/>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(11)</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sz w:val="20"/>
                <w:szCs w:val="20"/>
                <w:lang w:val="fr-FR" w:eastAsia="en-GB"/>
              </w:rPr>
            </w:pPr>
            <w:r w:rsidRPr="00941FA7">
              <w:rPr>
                <w:sz w:val="20"/>
                <w:szCs w:val="20"/>
                <w:lang w:val="fr-FR"/>
              </w:rPr>
              <w:t>(4)</w:t>
            </w:r>
          </w:p>
        </w:tc>
      </w:tr>
      <w:tr w:rsidR="00920641" w:rsidRPr="00941FA7" w:rsidTr="008939B8">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sz w:val="20"/>
                <w:szCs w:val="20"/>
                <w:lang w:val="fr-FR" w:eastAsia="en-GB"/>
              </w:rPr>
            </w:pPr>
          </w:p>
        </w:tc>
      </w:tr>
      <w:tr w:rsidR="00920641" w:rsidRPr="00941FA7" w:rsidTr="008939B8">
        <w:trPr>
          <w:trHeight w:val="480"/>
        </w:trPr>
        <w:tc>
          <w:tcPr>
            <w:tcW w:w="5954" w:type="dxa"/>
            <w:tcBorders>
              <w:top w:val="nil"/>
              <w:left w:val="nil"/>
              <w:bottom w:val="nil"/>
              <w:right w:val="nil"/>
            </w:tcBorders>
            <w:shd w:val="clear" w:color="000000" w:fill="FFFFFF"/>
            <w:noWrap/>
            <w:vAlign w:val="center"/>
            <w:hideMark/>
          </w:tcPr>
          <w:p w:rsidR="00920641" w:rsidRPr="00941FA7" w:rsidRDefault="00404FC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Montant total des flux de trésorerie provenant des activités d’investissement</w:t>
            </w:r>
          </w:p>
        </w:tc>
        <w:tc>
          <w:tcPr>
            <w:tcW w:w="1400" w:type="dxa"/>
            <w:tcBorders>
              <w:top w:val="single" w:sz="4" w:space="0" w:color="auto"/>
              <w:left w:val="nil"/>
              <w:bottom w:val="nil"/>
              <w:right w:val="nil"/>
            </w:tcBorders>
            <w:shd w:val="clear" w:color="000000" w:fill="FFFFFF"/>
            <w:noWrap/>
            <w:vAlign w:val="center"/>
            <w:hideMark/>
          </w:tcPr>
          <w:p w:rsidR="00920641" w:rsidRPr="00941FA7" w:rsidRDefault="00920641" w:rsidP="00920641">
            <w:pPr>
              <w:ind w:left="0" w:firstLine="0"/>
              <w:jc w:val="right"/>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(11)</w:t>
            </w:r>
          </w:p>
        </w:tc>
        <w:tc>
          <w:tcPr>
            <w:tcW w:w="262" w:type="dxa"/>
            <w:tcBorders>
              <w:top w:val="single" w:sz="4" w:space="0" w:color="auto"/>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84" w:type="dxa"/>
            <w:tcBorders>
              <w:top w:val="single" w:sz="4" w:space="0" w:color="auto"/>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single" w:sz="4" w:space="0" w:color="auto"/>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b/>
                <w:bCs/>
                <w:sz w:val="20"/>
                <w:szCs w:val="20"/>
                <w:lang w:val="fr-FR" w:eastAsia="en-GB"/>
              </w:rPr>
            </w:pPr>
            <w:r w:rsidRPr="00941FA7">
              <w:rPr>
                <w:sz w:val="20"/>
                <w:szCs w:val="20"/>
                <w:lang w:val="fr-FR"/>
              </w:rPr>
              <w:t>(4)</w:t>
            </w:r>
          </w:p>
        </w:tc>
      </w:tr>
      <w:tr w:rsidR="00920641" w:rsidRPr="00941FA7" w:rsidTr="008939B8">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sz w:val="20"/>
                <w:szCs w:val="20"/>
                <w:lang w:val="fr-FR" w:eastAsia="en-GB"/>
              </w:rPr>
            </w:pPr>
          </w:p>
        </w:tc>
      </w:tr>
      <w:tr w:rsidR="00920641" w:rsidRPr="00941FA7" w:rsidTr="008939B8">
        <w:trPr>
          <w:trHeight w:val="480"/>
        </w:trPr>
        <w:tc>
          <w:tcPr>
            <w:tcW w:w="5954" w:type="dxa"/>
            <w:tcBorders>
              <w:top w:val="nil"/>
              <w:left w:val="nil"/>
              <w:bottom w:val="nil"/>
              <w:right w:val="nil"/>
            </w:tcBorders>
            <w:shd w:val="clear" w:color="000000" w:fill="FFFFFF"/>
            <w:noWrap/>
            <w:vAlign w:val="center"/>
            <w:hideMark/>
          </w:tcPr>
          <w:p w:rsidR="00920641" w:rsidRPr="00941FA7" w:rsidRDefault="00404FC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Entrées (sorties) nettes de trésorerie de l’exercice</w:t>
            </w:r>
          </w:p>
        </w:tc>
        <w:tc>
          <w:tcPr>
            <w:tcW w:w="1400" w:type="dxa"/>
            <w:tcBorders>
              <w:top w:val="single" w:sz="4" w:space="0" w:color="auto"/>
              <w:left w:val="nil"/>
              <w:bottom w:val="single" w:sz="4" w:space="0" w:color="auto"/>
              <w:right w:val="nil"/>
            </w:tcBorders>
            <w:shd w:val="clear" w:color="000000" w:fill="FFFFFF"/>
            <w:noWrap/>
            <w:vAlign w:val="center"/>
            <w:hideMark/>
          </w:tcPr>
          <w:p w:rsidR="00920641" w:rsidRPr="00941FA7" w:rsidRDefault="00920641" w:rsidP="00920641">
            <w:pPr>
              <w:ind w:left="0" w:firstLine="0"/>
              <w:jc w:val="right"/>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1,312</w:t>
            </w:r>
          </w:p>
        </w:tc>
        <w:tc>
          <w:tcPr>
            <w:tcW w:w="262" w:type="dxa"/>
            <w:tcBorders>
              <w:top w:val="single" w:sz="4" w:space="0" w:color="auto"/>
              <w:left w:val="nil"/>
              <w:bottom w:val="single" w:sz="4" w:space="0" w:color="auto"/>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single" w:sz="4" w:space="0" w:color="auto"/>
              <w:left w:val="nil"/>
              <w:bottom w:val="single" w:sz="4" w:space="0" w:color="auto"/>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b/>
                <w:bCs/>
                <w:sz w:val="20"/>
                <w:szCs w:val="20"/>
                <w:lang w:val="fr-FR" w:eastAsia="en-GB"/>
              </w:rPr>
            </w:pPr>
            <w:r w:rsidRPr="00941FA7">
              <w:rPr>
                <w:b/>
                <w:sz w:val="20"/>
                <w:szCs w:val="20"/>
                <w:lang w:val="fr-FR"/>
              </w:rPr>
              <w:t>1,807</w:t>
            </w:r>
          </w:p>
        </w:tc>
      </w:tr>
      <w:tr w:rsidR="00920641" w:rsidRPr="00941FA7" w:rsidTr="008939B8">
        <w:trPr>
          <w:trHeight w:val="288"/>
        </w:trPr>
        <w:tc>
          <w:tcPr>
            <w:tcW w:w="5954"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920641" w:rsidRPr="00941FA7" w:rsidRDefault="00920641" w:rsidP="0092064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920641" w:rsidRPr="00941FA7" w:rsidRDefault="00920641" w:rsidP="008939B8">
            <w:pPr>
              <w:ind w:left="0" w:firstLine="0"/>
              <w:jc w:val="right"/>
              <w:rPr>
                <w:rFonts w:asciiTheme="minorHAnsi" w:eastAsia="Times New Roman" w:hAnsiTheme="minorHAnsi" w:cstheme="minorHAnsi"/>
                <w:sz w:val="20"/>
                <w:szCs w:val="20"/>
                <w:lang w:val="fr-FR" w:eastAsia="en-GB"/>
              </w:rPr>
            </w:pPr>
          </w:p>
        </w:tc>
      </w:tr>
      <w:tr w:rsidR="00404FC1" w:rsidRPr="00941FA7" w:rsidTr="008939B8">
        <w:trPr>
          <w:trHeight w:val="288"/>
        </w:trPr>
        <w:tc>
          <w:tcPr>
            <w:tcW w:w="5954" w:type="dxa"/>
            <w:tcBorders>
              <w:top w:val="nil"/>
              <w:left w:val="nil"/>
              <w:bottom w:val="nil"/>
              <w:right w:val="nil"/>
            </w:tcBorders>
            <w:shd w:val="clear" w:color="000000" w:fill="FFFFFF"/>
            <w:noWrap/>
            <w:vAlign w:val="center"/>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Encaisse et dépôts à court terme au début de l’exercice</w:t>
            </w:r>
          </w:p>
        </w:tc>
        <w:tc>
          <w:tcPr>
            <w:tcW w:w="1400" w:type="dxa"/>
            <w:tcBorders>
              <w:top w:val="nil"/>
              <w:left w:val="nil"/>
              <w:bottom w:val="nil"/>
              <w:right w:val="nil"/>
            </w:tcBorders>
            <w:shd w:val="clear" w:color="000000" w:fill="FFFFFF"/>
            <w:noWrap/>
            <w:vAlign w:val="center"/>
            <w:hideMark/>
          </w:tcPr>
          <w:p w:rsidR="00404FC1" w:rsidRPr="00941FA7" w:rsidRDefault="00404FC1" w:rsidP="00404FC1">
            <w:pPr>
              <w:ind w:left="0" w:firstLine="0"/>
              <w:jc w:val="right"/>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5,634</w:t>
            </w:r>
          </w:p>
        </w:tc>
        <w:tc>
          <w:tcPr>
            <w:tcW w:w="262" w:type="dxa"/>
            <w:tcBorders>
              <w:top w:val="nil"/>
              <w:left w:val="nil"/>
              <w:bottom w:val="nil"/>
              <w:right w:val="nil"/>
            </w:tcBorders>
            <w:shd w:val="clear" w:color="000000" w:fill="FFFFFF"/>
            <w:noWrap/>
            <w:vAlign w:val="center"/>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vAlign w:val="center"/>
            <w:hideMark/>
          </w:tcPr>
          <w:p w:rsidR="00404FC1" w:rsidRPr="00941FA7" w:rsidRDefault="00404FC1" w:rsidP="008939B8">
            <w:pPr>
              <w:ind w:left="0" w:firstLine="0"/>
              <w:jc w:val="right"/>
              <w:rPr>
                <w:rFonts w:asciiTheme="minorHAnsi" w:eastAsia="Times New Roman" w:hAnsiTheme="minorHAnsi" w:cstheme="minorHAnsi"/>
                <w:sz w:val="20"/>
                <w:szCs w:val="20"/>
                <w:lang w:val="fr-FR" w:eastAsia="en-GB"/>
              </w:rPr>
            </w:pPr>
            <w:r w:rsidRPr="00941FA7">
              <w:rPr>
                <w:sz w:val="20"/>
                <w:szCs w:val="20"/>
                <w:lang w:val="fr-FR"/>
              </w:rPr>
              <w:t>3,827</w:t>
            </w:r>
          </w:p>
        </w:tc>
      </w:tr>
      <w:tr w:rsidR="00404FC1" w:rsidRPr="00941FA7" w:rsidTr="002538A3">
        <w:trPr>
          <w:trHeight w:val="288"/>
        </w:trPr>
        <w:tc>
          <w:tcPr>
            <w:tcW w:w="5954" w:type="dxa"/>
            <w:tcBorders>
              <w:top w:val="nil"/>
              <w:left w:val="nil"/>
              <w:bottom w:val="nil"/>
              <w:right w:val="nil"/>
            </w:tcBorders>
            <w:shd w:val="clear" w:color="000000" w:fill="FFFFFF"/>
            <w:noWrap/>
            <w:vAlign w:val="center"/>
            <w:hideMark/>
          </w:tcPr>
          <w:p w:rsidR="00404FC1" w:rsidRPr="00941FA7" w:rsidRDefault="00404FC1" w:rsidP="00404FC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400" w:type="dxa"/>
            <w:tcBorders>
              <w:top w:val="nil"/>
              <w:left w:val="nil"/>
              <w:bottom w:val="nil"/>
              <w:right w:val="nil"/>
            </w:tcBorders>
            <w:shd w:val="clear" w:color="000000" w:fill="FFFFFF"/>
            <w:noWrap/>
            <w:vAlign w:val="center"/>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62" w:type="dxa"/>
            <w:tcBorders>
              <w:top w:val="nil"/>
              <w:left w:val="nil"/>
              <w:bottom w:val="nil"/>
              <w:right w:val="nil"/>
            </w:tcBorders>
            <w:shd w:val="clear" w:color="000000" w:fill="FFFFFF"/>
            <w:noWrap/>
            <w:vAlign w:val="center"/>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284" w:type="dxa"/>
            <w:tcBorders>
              <w:top w:val="nil"/>
              <w:left w:val="nil"/>
              <w:bottom w:val="nil"/>
              <w:right w:val="nil"/>
            </w:tcBorders>
            <w:shd w:val="clear" w:color="000000" w:fill="D9D9D9"/>
            <w:noWrap/>
            <w:vAlign w:val="center"/>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w:t>
            </w:r>
          </w:p>
        </w:tc>
        <w:tc>
          <w:tcPr>
            <w:tcW w:w="1598" w:type="dxa"/>
            <w:tcBorders>
              <w:top w:val="nil"/>
              <w:left w:val="nil"/>
              <w:bottom w:val="nil"/>
              <w:right w:val="nil"/>
            </w:tcBorders>
            <w:shd w:val="clear" w:color="000000" w:fill="FFFFFF"/>
            <w:noWrap/>
            <w:hideMark/>
          </w:tcPr>
          <w:p w:rsidR="00404FC1" w:rsidRPr="00941FA7" w:rsidRDefault="00404FC1" w:rsidP="00404FC1">
            <w:pPr>
              <w:ind w:left="0" w:firstLine="0"/>
              <w:rPr>
                <w:rFonts w:asciiTheme="minorHAnsi" w:eastAsia="Times New Roman" w:hAnsiTheme="minorHAnsi" w:cstheme="minorHAnsi"/>
                <w:sz w:val="20"/>
                <w:szCs w:val="20"/>
                <w:lang w:val="fr-FR" w:eastAsia="en-GB"/>
              </w:rPr>
            </w:pPr>
          </w:p>
        </w:tc>
      </w:tr>
      <w:tr w:rsidR="00404FC1" w:rsidRPr="00941FA7" w:rsidTr="002538A3">
        <w:trPr>
          <w:trHeight w:val="480"/>
        </w:trPr>
        <w:tc>
          <w:tcPr>
            <w:tcW w:w="5954" w:type="dxa"/>
            <w:tcBorders>
              <w:top w:val="nil"/>
              <w:left w:val="nil"/>
              <w:bottom w:val="nil"/>
              <w:right w:val="nil"/>
            </w:tcBorders>
            <w:shd w:val="clear" w:color="auto" w:fill="auto"/>
            <w:noWrap/>
            <w:vAlign w:val="center"/>
            <w:hideMark/>
          </w:tcPr>
          <w:p w:rsidR="00404FC1" w:rsidRPr="00941FA7" w:rsidRDefault="00404FC1" w:rsidP="00404FC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Encaisse et dépôts à court terme à la fin de l’exercice</w:t>
            </w:r>
          </w:p>
        </w:tc>
        <w:tc>
          <w:tcPr>
            <w:tcW w:w="1400" w:type="dxa"/>
            <w:tcBorders>
              <w:top w:val="single" w:sz="4" w:space="0" w:color="auto"/>
              <w:left w:val="nil"/>
              <w:bottom w:val="single" w:sz="4" w:space="0" w:color="auto"/>
              <w:right w:val="nil"/>
            </w:tcBorders>
            <w:shd w:val="clear" w:color="000000" w:fill="C5D9F1"/>
            <w:noWrap/>
            <w:vAlign w:val="center"/>
            <w:hideMark/>
          </w:tcPr>
          <w:p w:rsidR="00404FC1" w:rsidRPr="00941FA7" w:rsidRDefault="00404FC1" w:rsidP="00404FC1">
            <w:pPr>
              <w:ind w:left="0" w:firstLine="0"/>
              <w:jc w:val="right"/>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6,946</w:t>
            </w:r>
          </w:p>
        </w:tc>
        <w:tc>
          <w:tcPr>
            <w:tcW w:w="262" w:type="dxa"/>
            <w:tcBorders>
              <w:top w:val="single" w:sz="4" w:space="0" w:color="auto"/>
              <w:left w:val="nil"/>
              <w:bottom w:val="single" w:sz="4" w:space="0" w:color="auto"/>
              <w:right w:val="nil"/>
            </w:tcBorders>
            <w:shd w:val="clear" w:color="000000" w:fill="C5D9F1"/>
            <w:noWrap/>
            <w:vAlign w:val="center"/>
            <w:hideMark/>
          </w:tcPr>
          <w:p w:rsidR="00404FC1" w:rsidRPr="00941FA7" w:rsidRDefault="00404FC1" w:rsidP="00404FC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rsidR="00404FC1" w:rsidRPr="00941FA7" w:rsidRDefault="00404FC1" w:rsidP="00404FC1">
            <w:pPr>
              <w:ind w:left="0" w:firstLine="0"/>
              <w:rPr>
                <w:rFonts w:asciiTheme="minorHAnsi" w:eastAsia="Times New Roman" w:hAnsiTheme="minorHAnsi" w:cstheme="minorHAnsi"/>
                <w:b/>
                <w:bCs/>
                <w:sz w:val="20"/>
                <w:szCs w:val="20"/>
                <w:lang w:val="fr-FR" w:eastAsia="en-GB"/>
              </w:rPr>
            </w:pPr>
            <w:r w:rsidRPr="00941FA7">
              <w:rPr>
                <w:rFonts w:asciiTheme="minorHAnsi" w:eastAsia="Times New Roman" w:hAnsiTheme="minorHAnsi" w:cstheme="minorHAnsi"/>
                <w:b/>
                <w:bCs/>
                <w:sz w:val="20"/>
                <w:szCs w:val="20"/>
                <w:lang w:val="fr-FR" w:eastAsia="en-GB"/>
              </w:rPr>
              <w:t> </w:t>
            </w:r>
          </w:p>
        </w:tc>
        <w:tc>
          <w:tcPr>
            <w:tcW w:w="1598" w:type="dxa"/>
            <w:tcBorders>
              <w:top w:val="single" w:sz="4" w:space="0" w:color="auto"/>
              <w:left w:val="nil"/>
              <w:bottom w:val="single" w:sz="4" w:space="0" w:color="auto"/>
              <w:right w:val="nil"/>
            </w:tcBorders>
            <w:shd w:val="clear" w:color="000000" w:fill="EBF1DE"/>
            <w:noWrap/>
            <w:hideMark/>
          </w:tcPr>
          <w:p w:rsidR="00404FC1" w:rsidRPr="00941FA7" w:rsidRDefault="00404FC1" w:rsidP="00404FC1">
            <w:pPr>
              <w:ind w:left="0" w:firstLine="0"/>
              <w:jc w:val="right"/>
              <w:rPr>
                <w:rFonts w:asciiTheme="minorHAnsi" w:eastAsia="Times New Roman" w:hAnsiTheme="minorHAnsi" w:cstheme="minorHAnsi"/>
                <w:b/>
                <w:bCs/>
                <w:sz w:val="20"/>
                <w:szCs w:val="20"/>
                <w:lang w:val="fr-FR" w:eastAsia="en-GB"/>
              </w:rPr>
            </w:pPr>
            <w:r w:rsidRPr="00941FA7">
              <w:rPr>
                <w:b/>
                <w:sz w:val="20"/>
                <w:szCs w:val="20"/>
                <w:lang w:val="fr-FR"/>
              </w:rPr>
              <w:t>5,634</w:t>
            </w:r>
          </w:p>
        </w:tc>
      </w:tr>
    </w:tbl>
    <w:p w:rsidR="00A545D6" w:rsidRPr="00941FA7" w:rsidRDefault="00A545D6" w:rsidP="00C26079">
      <w:pPr>
        <w:pStyle w:val="NoSpacing"/>
        <w:ind w:left="0" w:firstLine="0"/>
        <w:rPr>
          <w:rFonts w:eastAsia="Times New Roman" w:cs="Arial"/>
          <w:b/>
          <w:bCs/>
          <w:lang w:val="fr-FR" w:eastAsia="en-GB"/>
        </w:rPr>
      </w:pPr>
    </w:p>
    <w:p w:rsidR="00A545D6" w:rsidRPr="00941FA7" w:rsidRDefault="00A545D6" w:rsidP="00C26079">
      <w:pPr>
        <w:pStyle w:val="NoSpacing"/>
        <w:ind w:left="0" w:firstLine="0"/>
        <w:rPr>
          <w:rFonts w:eastAsia="Times New Roman" w:cs="Arial"/>
          <w:b/>
          <w:bCs/>
          <w:lang w:val="fr-FR" w:eastAsia="en-GB"/>
        </w:rPr>
        <w:sectPr w:rsidR="00A545D6" w:rsidRPr="00941FA7" w:rsidSect="00761962">
          <w:footerReference w:type="default" r:id="rId11"/>
          <w:pgSz w:w="11906" w:h="16838" w:code="9"/>
          <w:pgMar w:top="1440" w:right="1440" w:bottom="1440" w:left="1440" w:header="709" w:footer="709" w:gutter="0"/>
          <w:cols w:space="708"/>
          <w:titlePg/>
          <w:docGrid w:linePitch="360"/>
        </w:sectPr>
      </w:pPr>
    </w:p>
    <w:p w:rsidR="001404C4" w:rsidRPr="00941FA7" w:rsidRDefault="001404C4" w:rsidP="001404C4">
      <w:pPr>
        <w:pStyle w:val="NoSpacing"/>
        <w:ind w:left="0" w:firstLine="0"/>
        <w:rPr>
          <w:b/>
          <w:sz w:val="24"/>
          <w:szCs w:val="24"/>
          <w:lang w:val="fr-FR"/>
        </w:rPr>
      </w:pPr>
      <w:r w:rsidRPr="00941FA7">
        <w:rPr>
          <w:b/>
          <w:sz w:val="24"/>
          <w:szCs w:val="24"/>
          <w:lang w:val="fr-FR"/>
        </w:rPr>
        <w:lastRenderedPageBreak/>
        <w:t>Annex</w:t>
      </w:r>
      <w:r w:rsidR="00404FC1" w:rsidRPr="00941FA7">
        <w:rPr>
          <w:b/>
          <w:sz w:val="24"/>
          <w:szCs w:val="24"/>
          <w:lang w:val="fr-FR"/>
        </w:rPr>
        <w:t>e</w:t>
      </w:r>
      <w:r w:rsidRPr="00941FA7">
        <w:rPr>
          <w:b/>
          <w:sz w:val="24"/>
          <w:szCs w:val="24"/>
          <w:lang w:val="fr-FR"/>
        </w:rPr>
        <w:t xml:space="preserve"> 2</w:t>
      </w:r>
    </w:p>
    <w:p w:rsidR="001404C4" w:rsidRPr="00941FA7" w:rsidRDefault="00404FC1" w:rsidP="001404C4">
      <w:pPr>
        <w:pStyle w:val="NoSpacing"/>
        <w:ind w:left="0" w:firstLine="0"/>
        <w:rPr>
          <w:b/>
          <w:lang w:val="fr-FR"/>
        </w:rPr>
      </w:pPr>
      <w:r w:rsidRPr="00941FA7">
        <w:rPr>
          <w:b/>
          <w:bCs/>
          <w:lang w:val="fr-FR"/>
        </w:rPr>
        <w:t>Résultats du budget administratif 2021 pour la période du 1</w:t>
      </w:r>
      <w:r w:rsidRPr="00941FA7">
        <w:rPr>
          <w:b/>
          <w:bCs/>
          <w:vertAlign w:val="superscript"/>
          <w:lang w:val="fr-FR"/>
        </w:rPr>
        <w:t>er</w:t>
      </w:r>
      <w:r w:rsidRPr="00941FA7">
        <w:rPr>
          <w:b/>
          <w:bCs/>
          <w:lang w:val="fr-FR"/>
        </w:rPr>
        <w:t> janvier au 31 décembre </w:t>
      </w:r>
      <w:r w:rsidRPr="00941FA7">
        <w:rPr>
          <w:b/>
          <w:lang w:val="fr-FR"/>
        </w:rPr>
        <w:t xml:space="preserve"> </w:t>
      </w:r>
      <w:r w:rsidR="00F15D4B" w:rsidRPr="00941FA7">
        <w:rPr>
          <w:b/>
          <w:lang w:val="fr-FR"/>
        </w:rPr>
        <w:t>202</w:t>
      </w:r>
      <w:r w:rsidR="007C6B16" w:rsidRPr="00941FA7">
        <w:rPr>
          <w:b/>
          <w:lang w:val="fr-FR"/>
        </w:rPr>
        <w:t>1</w:t>
      </w:r>
    </w:p>
    <w:p w:rsidR="001404C4" w:rsidRPr="00941FA7" w:rsidRDefault="00404FC1" w:rsidP="001404C4">
      <w:pPr>
        <w:pStyle w:val="NoSpacing"/>
        <w:ind w:left="0" w:firstLine="0"/>
        <w:rPr>
          <w:rFonts w:asciiTheme="minorHAnsi" w:eastAsia="Times New Roman" w:hAnsiTheme="minorHAnsi" w:cs="Arial"/>
          <w:bCs/>
          <w:i/>
          <w:sz w:val="20"/>
          <w:szCs w:val="20"/>
          <w:lang w:val="fr-FR" w:eastAsia="en-GB"/>
        </w:rPr>
      </w:pPr>
      <w:r w:rsidRPr="00941FA7">
        <w:rPr>
          <w:bCs/>
          <w:i/>
          <w:iCs/>
          <w:sz w:val="20"/>
          <w:szCs w:val="20"/>
          <w:lang w:val="fr-FR"/>
        </w:rPr>
        <w:t>(en milliers de CHF, incluant d’éventuels écarts d’arrondis</w:t>
      </w:r>
      <w:r w:rsidRPr="00941FA7">
        <w:rPr>
          <w:rFonts w:asciiTheme="minorHAnsi" w:eastAsia="Times New Roman" w:hAnsiTheme="minorHAnsi" w:cs="Arial"/>
          <w:bCs/>
          <w:i/>
          <w:sz w:val="20"/>
          <w:szCs w:val="20"/>
          <w:lang w:val="fr-FR" w:eastAsia="en-GB"/>
        </w:rPr>
        <w:t>)</w:t>
      </w:r>
    </w:p>
    <w:tbl>
      <w:tblPr>
        <w:tblW w:w="14884" w:type="dxa"/>
        <w:tblInd w:w="-8" w:type="dxa"/>
        <w:tblLayout w:type="fixed"/>
        <w:tblLook w:val="04A0" w:firstRow="1" w:lastRow="0" w:firstColumn="1" w:lastColumn="0" w:noHBand="0" w:noVBand="1"/>
      </w:tblPr>
      <w:tblGrid>
        <w:gridCol w:w="3119"/>
        <w:gridCol w:w="1417"/>
        <w:gridCol w:w="1276"/>
        <w:gridCol w:w="1134"/>
        <w:gridCol w:w="1276"/>
        <w:gridCol w:w="1417"/>
        <w:gridCol w:w="1276"/>
        <w:gridCol w:w="1276"/>
        <w:gridCol w:w="1417"/>
        <w:gridCol w:w="1276"/>
      </w:tblGrid>
      <w:tr w:rsidR="00F270A8" w:rsidRPr="00941FA7" w:rsidTr="0014156A">
        <w:trPr>
          <w:trHeight w:val="555"/>
          <w:tblHeader/>
        </w:trPr>
        <w:tc>
          <w:tcPr>
            <w:tcW w:w="3119" w:type="dxa"/>
            <w:tcBorders>
              <w:top w:val="single" w:sz="4" w:space="0" w:color="auto"/>
              <w:left w:val="single" w:sz="4" w:space="0" w:color="auto"/>
              <w:bottom w:val="nil"/>
              <w:right w:val="nil"/>
            </w:tcBorders>
            <w:shd w:val="clear" w:color="000000" w:fill="D6E3BC"/>
            <w:vAlign w:val="center"/>
            <w:hideMark/>
          </w:tcPr>
          <w:p w:rsidR="00F270A8" w:rsidRPr="00941FA7" w:rsidRDefault="00404FC1" w:rsidP="0014156A">
            <w:pPr>
              <w:ind w:left="0" w:firstLine="0"/>
              <w:jc w:val="center"/>
              <w:rPr>
                <w:rFonts w:eastAsia="Times New Roman" w:cs="Calibri"/>
                <w:b/>
                <w:bCs/>
                <w:sz w:val="20"/>
                <w:szCs w:val="20"/>
                <w:lang w:val="fr-FR" w:eastAsia="en-GB"/>
              </w:rPr>
            </w:pPr>
            <w:r w:rsidRPr="00941FA7">
              <w:rPr>
                <w:rFonts w:asciiTheme="minorHAnsi" w:eastAsiaTheme="minorHAnsi" w:hAnsiTheme="minorHAnsi" w:cstheme="minorHAnsi"/>
                <w:b/>
                <w:bCs/>
                <w:color w:val="000000"/>
                <w:sz w:val="20"/>
                <w:szCs w:val="20"/>
                <w:lang w:val="fr-FR"/>
              </w:rPr>
              <w:t>Budget Ramsar 202</w:t>
            </w:r>
            <w:r w:rsidR="001C21C5" w:rsidRPr="00941FA7">
              <w:rPr>
                <w:rFonts w:asciiTheme="minorHAnsi" w:eastAsiaTheme="minorHAnsi" w:hAnsiTheme="minorHAnsi" w:cstheme="minorHAnsi"/>
                <w:b/>
                <w:bCs/>
                <w:color w:val="000000"/>
                <w:sz w:val="20"/>
                <w:szCs w:val="20"/>
                <w:lang w:val="fr-FR"/>
              </w:rPr>
              <w:t>1</w:t>
            </w:r>
          </w:p>
        </w:tc>
        <w:tc>
          <w:tcPr>
            <w:tcW w:w="1417"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6B058F"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Budget approuvé </w:t>
            </w:r>
            <w:r w:rsidR="00AD2992" w:rsidRPr="00941FA7">
              <w:rPr>
                <w:rFonts w:eastAsia="Times New Roman" w:cs="Calibri"/>
                <w:b/>
                <w:bCs/>
                <w:sz w:val="20"/>
                <w:szCs w:val="20"/>
                <w:lang w:val="fr-FR" w:eastAsia="en-GB"/>
              </w:rPr>
              <w:t>(</w:t>
            </w:r>
            <w:r w:rsidRPr="00941FA7">
              <w:rPr>
                <w:rFonts w:eastAsia="Times New Roman" w:cs="Calibri"/>
                <w:b/>
                <w:bCs/>
                <w:sz w:val="20"/>
                <w:szCs w:val="20"/>
                <w:lang w:val="fr-FR" w:eastAsia="en-GB"/>
              </w:rPr>
              <w:t xml:space="preserve">par la </w:t>
            </w:r>
            <w:r w:rsidR="00F270A8" w:rsidRPr="00941FA7">
              <w:rPr>
                <w:rFonts w:eastAsia="Times New Roman" w:cs="Calibri"/>
                <w:b/>
                <w:bCs/>
                <w:sz w:val="20"/>
                <w:szCs w:val="20"/>
                <w:lang w:val="fr-FR" w:eastAsia="en-GB"/>
              </w:rPr>
              <w:t>COP13-</w:t>
            </w:r>
            <w:r w:rsidRPr="00941FA7">
              <w:rPr>
                <w:rFonts w:eastAsia="Times New Roman" w:cs="Calibri"/>
                <w:b/>
                <w:bCs/>
                <w:sz w:val="20"/>
                <w:szCs w:val="20"/>
                <w:lang w:val="fr-FR" w:eastAsia="en-GB"/>
              </w:rPr>
              <w:t xml:space="preserve">avec les ajustements du Secrétariat autorisés par la </w:t>
            </w:r>
            <w:r w:rsidR="00F270A8" w:rsidRPr="00941FA7">
              <w:rPr>
                <w:rFonts w:eastAsia="Times New Roman" w:cs="Calibri"/>
                <w:b/>
                <w:bCs/>
                <w:sz w:val="20"/>
                <w:szCs w:val="20"/>
                <w:lang w:val="fr-FR" w:eastAsia="en-GB"/>
              </w:rPr>
              <w:t>SC59)</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6B058F" w:rsidP="0014156A">
            <w:pPr>
              <w:ind w:left="0" w:firstLine="0"/>
              <w:jc w:val="center"/>
              <w:rPr>
                <w:rFonts w:eastAsia="Times New Roman" w:cs="Calibri"/>
                <w:b/>
                <w:bCs/>
                <w:sz w:val="20"/>
                <w:szCs w:val="20"/>
                <w:lang w:val="fr-FR" w:eastAsia="en-GB"/>
              </w:rPr>
            </w:pPr>
            <w:r w:rsidRPr="00941FA7">
              <w:rPr>
                <w:rFonts w:asciiTheme="minorHAnsi" w:eastAsiaTheme="minorHAnsi" w:hAnsiTheme="minorHAnsi" w:cstheme="minorHAnsi"/>
                <w:b/>
                <w:bCs/>
                <w:color w:val="000000"/>
                <w:sz w:val="20"/>
                <w:szCs w:val="20"/>
                <w:lang w:val="fr-FR"/>
              </w:rPr>
              <w:t xml:space="preserve">Utilisation autorisée de l’excédent </w:t>
            </w:r>
            <w:r w:rsidR="00F270A8" w:rsidRPr="00941FA7">
              <w:rPr>
                <w:rFonts w:eastAsia="Times New Roman" w:cs="Calibri"/>
                <w:b/>
                <w:bCs/>
                <w:sz w:val="20"/>
                <w:szCs w:val="20"/>
                <w:lang w:val="fr-FR" w:eastAsia="en-GB"/>
              </w:rPr>
              <w:t>COP13 XIII.2 (</w:t>
            </w:r>
            <w:r w:rsidRPr="00941FA7">
              <w:rPr>
                <w:rFonts w:eastAsia="Times New Roman" w:cs="Calibri"/>
                <w:b/>
                <w:bCs/>
                <w:sz w:val="20"/>
                <w:szCs w:val="20"/>
                <w:lang w:val="fr-FR" w:eastAsia="en-GB"/>
              </w:rPr>
              <w:t>pour</w:t>
            </w:r>
            <w:r w:rsidR="00F270A8" w:rsidRPr="00941FA7">
              <w:rPr>
                <w:rFonts w:eastAsia="Times New Roman" w:cs="Calibri"/>
                <w:b/>
                <w:bCs/>
                <w:sz w:val="20"/>
                <w:szCs w:val="20"/>
                <w:lang w:val="fr-FR" w:eastAsia="en-GB"/>
              </w:rPr>
              <w:t xml:space="preserve"> 2020)</w:t>
            </w:r>
          </w:p>
        </w:tc>
        <w:tc>
          <w:tcPr>
            <w:tcW w:w="1134"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6B058F" w:rsidP="0014156A">
            <w:pPr>
              <w:ind w:left="0" w:firstLine="0"/>
              <w:jc w:val="center"/>
              <w:rPr>
                <w:rFonts w:eastAsia="Times New Roman" w:cs="Calibri"/>
                <w:b/>
                <w:bCs/>
                <w:sz w:val="20"/>
                <w:szCs w:val="20"/>
                <w:lang w:val="fr-FR" w:eastAsia="en-GB"/>
              </w:rPr>
            </w:pPr>
            <w:r w:rsidRPr="00941FA7">
              <w:rPr>
                <w:rFonts w:asciiTheme="minorHAnsi" w:eastAsiaTheme="minorHAnsi" w:hAnsiTheme="minorHAnsi" w:cstheme="minorHAnsi"/>
                <w:b/>
                <w:bCs/>
                <w:color w:val="000000"/>
                <w:sz w:val="20"/>
                <w:szCs w:val="20"/>
                <w:lang w:val="fr-FR"/>
              </w:rPr>
              <w:t xml:space="preserve">Solde préengagé en </w:t>
            </w:r>
            <w:r w:rsidR="00F270A8" w:rsidRPr="00941FA7">
              <w:rPr>
                <w:rFonts w:eastAsia="Times New Roman" w:cs="Calibri"/>
                <w:b/>
                <w:bCs/>
                <w:sz w:val="20"/>
                <w:szCs w:val="20"/>
                <w:lang w:val="fr-FR" w:eastAsia="en-GB"/>
              </w:rPr>
              <w:t xml:space="preserve">2020 </w:t>
            </w:r>
            <w:r w:rsidRPr="00941FA7">
              <w:rPr>
                <w:rFonts w:eastAsia="Times New Roman" w:cs="Calibri"/>
                <w:b/>
                <w:bCs/>
                <w:sz w:val="20"/>
                <w:szCs w:val="20"/>
                <w:lang w:val="fr-FR" w:eastAsia="en-GB"/>
              </w:rPr>
              <w:t>à</w:t>
            </w:r>
            <w:r w:rsidR="00F270A8" w:rsidRPr="00941FA7">
              <w:rPr>
                <w:rFonts w:eastAsia="Times New Roman" w:cs="Calibri"/>
                <w:b/>
                <w:bCs/>
                <w:sz w:val="20"/>
                <w:szCs w:val="20"/>
                <w:lang w:val="fr-FR" w:eastAsia="en-GB"/>
              </w:rPr>
              <w:t xml:space="preserve"> </w:t>
            </w:r>
            <w:r w:rsidRPr="00941FA7">
              <w:rPr>
                <w:rFonts w:eastAsia="Times New Roman" w:cs="Calibri"/>
                <w:b/>
                <w:bCs/>
                <w:sz w:val="20"/>
                <w:szCs w:val="20"/>
                <w:lang w:val="fr-FR" w:eastAsia="en-GB"/>
              </w:rPr>
              <w:t>dépenser en</w:t>
            </w:r>
            <w:r w:rsidR="00F270A8" w:rsidRPr="00941FA7">
              <w:rPr>
                <w:rFonts w:eastAsia="Times New Roman" w:cs="Calibri"/>
                <w:b/>
                <w:bCs/>
                <w:sz w:val="20"/>
                <w:szCs w:val="20"/>
                <w:lang w:val="fr-FR" w:eastAsia="en-GB"/>
              </w:rPr>
              <w:t xml:space="preserve"> 2021</w:t>
            </w:r>
            <w:r w:rsidR="00E95D43" w:rsidRPr="00941FA7">
              <w:rPr>
                <w:rFonts w:eastAsia="Times New Roman" w:cs="Calibri"/>
                <w:bCs/>
                <w:sz w:val="20"/>
                <w:szCs w:val="20"/>
                <w:vertAlign w:val="superscript"/>
                <w:lang w:val="fr-FR" w:eastAsia="en-GB"/>
              </w:rPr>
              <w:t>1</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6B058F"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Utilisation autorisée par la SC59 des économies sur le budget </w:t>
            </w:r>
            <w:r w:rsidR="00F270A8" w:rsidRPr="00941FA7">
              <w:rPr>
                <w:rFonts w:eastAsia="Times New Roman" w:cs="Calibri"/>
                <w:b/>
                <w:bCs/>
                <w:sz w:val="20"/>
                <w:szCs w:val="20"/>
                <w:lang w:val="fr-FR" w:eastAsia="en-GB"/>
              </w:rPr>
              <w:t>2020</w:t>
            </w:r>
            <w:r w:rsidR="00E95D43" w:rsidRPr="00941FA7">
              <w:rPr>
                <w:rFonts w:eastAsia="Times New Roman" w:cs="Calibri"/>
                <w:bCs/>
                <w:sz w:val="20"/>
                <w:szCs w:val="20"/>
                <w:vertAlign w:val="superscript"/>
                <w:lang w:val="fr-FR" w:eastAsia="en-GB"/>
              </w:rPr>
              <w:t>2</w:t>
            </w:r>
          </w:p>
        </w:tc>
        <w:tc>
          <w:tcPr>
            <w:tcW w:w="1417"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8E03FD"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Solde non engagé des économies de 2020 reportées </w:t>
            </w:r>
            <w:r w:rsidR="00AD2992" w:rsidRPr="00941FA7">
              <w:rPr>
                <w:rFonts w:eastAsia="Times New Roman" w:cs="Calibri"/>
                <w:b/>
                <w:bCs/>
                <w:sz w:val="20"/>
                <w:szCs w:val="20"/>
                <w:lang w:val="fr-FR" w:eastAsia="en-GB"/>
              </w:rPr>
              <w:t>sur</w:t>
            </w:r>
            <w:r w:rsidRPr="00941FA7">
              <w:rPr>
                <w:rFonts w:eastAsia="Times New Roman" w:cs="Calibri"/>
                <w:b/>
                <w:bCs/>
                <w:sz w:val="20"/>
                <w:szCs w:val="20"/>
                <w:lang w:val="fr-FR" w:eastAsia="en-GB"/>
              </w:rPr>
              <w:t xml:space="preserve"> 2021</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8E03FD" w:rsidP="0014156A">
            <w:pPr>
              <w:ind w:left="0" w:firstLine="0"/>
              <w:jc w:val="center"/>
              <w:rPr>
                <w:rFonts w:eastAsia="Times New Roman" w:cs="Calibri"/>
                <w:b/>
                <w:bCs/>
                <w:sz w:val="20"/>
                <w:szCs w:val="20"/>
                <w:lang w:val="fr-FR" w:eastAsia="en-GB"/>
              </w:rPr>
            </w:pPr>
            <w:r w:rsidRPr="00941FA7">
              <w:rPr>
                <w:rFonts w:asciiTheme="minorHAnsi" w:eastAsiaTheme="minorHAnsi" w:hAnsiTheme="minorHAnsi" w:cstheme="minorHAnsi"/>
                <w:b/>
                <w:bCs/>
                <w:color w:val="000000"/>
                <w:sz w:val="20"/>
                <w:szCs w:val="20"/>
                <w:lang w:val="fr-FR"/>
              </w:rPr>
              <w:t>Budget total disponible</w:t>
            </w:r>
            <w:r w:rsidRPr="00941FA7">
              <w:rPr>
                <w:rFonts w:eastAsia="Times New Roman" w:cs="Calibri"/>
                <w:b/>
                <w:bCs/>
                <w:sz w:val="20"/>
                <w:szCs w:val="20"/>
                <w:lang w:val="fr-FR" w:eastAsia="en-GB"/>
              </w:rPr>
              <w:t xml:space="preserve"> </w:t>
            </w:r>
            <w:r w:rsidR="00F270A8" w:rsidRPr="00941FA7">
              <w:rPr>
                <w:rFonts w:eastAsia="Times New Roman" w:cs="Calibri"/>
                <w:b/>
                <w:bCs/>
                <w:sz w:val="20"/>
                <w:szCs w:val="20"/>
                <w:lang w:val="fr-FR" w:eastAsia="en-GB"/>
              </w:rPr>
              <w:t>(</w:t>
            </w:r>
            <w:r w:rsidRPr="00941FA7">
              <w:rPr>
                <w:rFonts w:eastAsia="Times New Roman" w:cs="Calibri"/>
                <w:b/>
                <w:bCs/>
                <w:sz w:val="20"/>
                <w:szCs w:val="20"/>
                <w:lang w:val="fr-FR" w:eastAsia="en-GB"/>
              </w:rPr>
              <w:t>avec report des fonds non engagés)</w:t>
            </w:r>
          </w:p>
        </w:tc>
        <w:tc>
          <w:tcPr>
            <w:tcW w:w="1276" w:type="dxa"/>
            <w:vMerge w:val="restart"/>
            <w:tcBorders>
              <w:top w:val="single" w:sz="4" w:space="0" w:color="auto"/>
              <w:left w:val="nil"/>
              <w:bottom w:val="nil"/>
              <w:right w:val="nil"/>
            </w:tcBorders>
            <w:shd w:val="clear" w:color="000000" w:fill="D6E3BC"/>
            <w:vAlign w:val="center"/>
            <w:hideMark/>
          </w:tcPr>
          <w:p w:rsidR="00F270A8" w:rsidRPr="00941FA7" w:rsidRDefault="008E03FD" w:rsidP="0014156A">
            <w:pPr>
              <w:ind w:left="0" w:firstLine="0"/>
              <w:jc w:val="center"/>
              <w:rPr>
                <w:rFonts w:eastAsia="Times New Roman" w:cs="Calibri"/>
                <w:b/>
                <w:bCs/>
                <w:sz w:val="20"/>
                <w:szCs w:val="20"/>
                <w:lang w:val="fr-FR" w:eastAsia="en-GB"/>
              </w:rPr>
            </w:pPr>
            <w:r w:rsidRPr="00941FA7">
              <w:rPr>
                <w:rFonts w:asciiTheme="minorHAnsi" w:eastAsiaTheme="minorHAnsi" w:hAnsiTheme="minorHAnsi" w:cstheme="minorHAnsi"/>
                <w:b/>
                <w:bCs/>
                <w:color w:val="000000"/>
                <w:sz w:val="20"/>
                <w:szCs w:val="20"/>
                <w:lang w:val="fr-FR"/>
              </w:rPr>
              <w:t>Dépenses effectives</w:t>
            </w:r>
          </w:p>
        </w:tc>
        <w:tc>
          <w:tcPr>
            <w:tcW w:w="1417" w:type="dxa"/>
            <w:vMerge w:val="restart"/>
            <w:tcBorders>
              <w:top w:val="single" w:sz="4" w:space="0" w:color="auto"/>
              <w:left w:val="single" w:sz="4" w:space="0" w:color="auto"/>
              <w:bottom w:val="nil"/>
              <w:right w:val="single" w:sz="4" w:space="0" w:color="auto"/>
            </w:tcBorders>
            <w:shd w:val="clear" w:color="auto" w:fill="D6E3BC" w:themeFill="accent3" w:themeFillTint="66"/>
            <w:vAlign w:val="center"/>
            <w:hideMark/>
          </w:tcPr>
          <w:p w:rsidR="00F270A8" w:rsidRPr="00941FA7" w:rsidRDefault="008E03FD"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Ajustements proposés par le Secrétariat</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rsidR="00F270A8" w:rsidRPr="00941FA7" w:rsidRDefault="008E03FD"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Solde</w:t>
            </w:r>
          </w:p>
        </w:tc>
      </w:tr>
      <w:tr w:rsidR="00F270A8" w:rsidRPr="00941FA7" w:rsidTr="0014156A">
        <w:trPr>
          <w:trHeight w:val="900"/>
          <w:tblHeader/>
        </w:trPr>
        <w:tc>
          <w:tcPr>
            <w:tcW w:w="3119" w:type="dxa"/>
            <w:tcBorders>
              <w:top w:val="nil"/>
              <w:left w:val="single" w:sz="4" w:space="0" w:color="auto"/>
              <w:bottom w:val="nil"/>
              <w:right w:val="nil"/>
            </w:tcBorders>
            <w:shd w:val="clear" w:color="000000" w:fill="D6E3BC"/>
            <w:vAlign w:val="center"/>
            <w:hideMark/>
          </w:tcPr>
          <w:p w:rsidR="00F270A8" w:rsidRPr="00941FA7" w:rsidRDefault="00404FC1"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Approuvé par la </w:t>
            </w:r>
            <w:r w:rsidR="00F270A8" w:rsidRPr="00941FA7">
              <w:rPr>
                <w:rFonts w:eastAsia="Times New Roman" w:cs="Calibri"/>
                <w:b/>
                <w:bCs/>
                <w:sz w:val="20"/>
                <w:szCs w:val="20"/>
                <w:lang w:val="fr-FR" w:eastAsia="en-GB"/>
              </w:rPr>
              <w:t>SC59</w:t>
            </w:r>
          </w:p>
        </w:tc>
        <w:tc>
          <w:tcPr>
            <w:tcW w:w="1417"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276"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134"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276"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417"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276"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276" w:type="dxa"/>
            <w:vMerge/>
            <w:tcBorders>
              <w:top w:val="single" w:sz="4" w:space="0" w:color="auto"/>
              <w:left w:val="nil"/>
              <w:bottom w:val="nil"/>
              <w:right w:val="nil"/>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417" w:type="dxa"/>
            <w:vMerge/>
            <w:tcBorders>
              <w:top w:val="single" w:sz="4" w:space="0" w:color="auto"/>
              <w:left w:val="single" w:sz="4" w:space="0" w:color="auto"/>
              <w:bottom w:val="nil"/>
              <w:right w:val="single" w:sz="4" w:space="0" w:color="auto"/>
            </w:tcBorders>
            <w:shd w:val="clear" w:color="auto" w:fill="D6E3BC" w:themeFill="accent3" w:themeFillTint="66"/>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c>
          <w:tcPr>
            <w:tcW w:w="1276" w:type="dxa"/>
            <w:vMerge/>
            <w:tcBorders>
              <w:top w:val="single" w:sz="4" w:space="0" w:color="auto"/>
              <w:left w:val="single" w:sz="4" w:space="0" w:color="auto"/>
              <w:bottom w:val="nil"/>
              <w:right w:val="single" w:sz="4" w:space="0" w:color="auto"/>
            </w:tcBorders>
            <w:vAlign w:val="center"/>
            <w:hideMark/>
          </w:tcPr>
          <w:p w:rsidR="00F270A8" w:rsidRPr="00941FA7" w:rsidRDefault="00F270A8" w:rsidP="0014156A">
            <w:pPr>
              <w:ind w:left="0" w:firstLine="0"/>
              <w:jc w:val="center"/>
              <w:rPr>
                <w:rFonts w:eastAsia="Times New Roman" w:cs="Calibri"/>
                <w:b/>
                <w:bCs/>
                <w:sz w:val="20"/>
                <w:szCs w:val="20"/>
                <w:lang w:val="fr-FR" w:eastAsia="en-GB"/>
              </w:rPr>
            </w:pPr>
          </w:p>
        </w:tc>
      </w:tr>
      <w:tr w:rsidR="0014156A" w:rsidRPr="008939B8" w:rsidTr="0014156A">
        <w:trPr>
          <w:trHeight w:val="225"/>
          <w:tblHeader/>
        </w:trPr>
        <w:tc>
          <w:tcPr>
            <w:tcW w:w="3119" w:type="dxa"/>
            <w:tcBorders>
              <w:top w:val="nil"/>
              <w:left w:val="single" w:sz="4" w:space="0" w:color="auto"/>
              <w:bottom w:val="nil"/>
              <w:right w:val="nil"/>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En milliers de CHF</w:t>
            </w:r>
          </w:p>
        </w:tc>
        <w:tc>
          <w:tcPr>
            <w:tcW w:w="1417" w:type="dxa"/>
            <w:vMerge w:val="restart"/>
            <w:tcBorders>
              <w:top w:val="nil"/>
              <w:left w:val="single" w:sz="4" w:space="0" w:color="auto"/>
              <w:bottom w:val="single" w:sz="4" w:space="0" w:color="000000"/>
              <w:right w:val="single" w:sz="4" w:space="0" w:color="auto"/>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(A)</w:t>
            </w:r>
          </w:p>
        </w:tc>
        <w:tc>
          <w:tcPr>
            <w:tcW w:w="1276" w:type="dxa"/>
            <w:vMerge w:val="restart"/>
            <w:tcBorders>
              <w:top w:val="nil"/>
              <w:left w:val="single" w:sz="4" w:space="0" w:color="auto"/>
              <w:bottom w:val="single" w:sz="4" w:space="0" w:color="000000"/>
              <w:right w:val="single" w:sz="4" w:space="0" w:color="auto"/>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(B)</w:t>
            </w:r>
          </w:p>
        </w:tc>
        <w:tc>
          <w:tcPr>
            <w:tcW w:w="1134" w:type="dxa"/>
            <w:vMerge w:val="restart"/>
            <w:tcBorders>
              <w:top w:val="nil"/>
              <w:left w:val="single" w:sz="4" w:space="0" w:color="auto"/>
              <w:bottom w:val="single" w:sz="4" w:space="0" w:color="000000"/>
              <w:right w:val="single" w:sz="4" w:space="0" w:color="auto"/>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(C)</w:t>
            </w:r>
          </w:p>
        </w:tc>
        <w:tc>
          <w:tcPr>
            <w:tcW w:w="1276" w:type="dxa"/>
            <w:vMerge w:val="restart"/>
            <w:tcBorders>
              <w:top w:val="nil"/>
              <w:left w:val="single" w:sz="4" w:space="0" w:color="auto"/>
              <w:bottom w:val="single" w:sz="4" w:space="0" w:color="000000"/>
              <w:right w:val="single" w:sz="4" w:space="0" w:color="auto"/>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(D)</w:t>
            </w:r>
          </w:p>
        </w:tc>
        <w:tc>
          <w:tcPr>
            <w:tcW w:w="1417" w:type="dxa"/>
            <w:vMerge w:val="restart"/>
            <w:tcBorders>
              <w:top w:val="nil"/>
              <w:left w:val="single" w:sz="4" w:space="0" w:color="auto"/>
              <w:bottom w:val="single" w:sz="4" w:space="0" w:color="000000"/>
              <w:right w:val="single" w:sz="4" w:space="0" w:color="auto"/>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(E)</w:t>
            </w:r>
          </w:p>
        </w:tc>
        <w:tc>
          <w:tcPr>
            <w:tcW w:w="1276" w:type="dxa"/>
            <w:vMerge w:val="restart"/>
            <w:tcBorders>
              <w:top w:val="nil"/>
              <w:left w:val="single" w:sz="4" w:space="0" w:color="auto"/>
              <w:bottom w:val="single" w:sz="4" w:space="0" w:color="000000"/>
              <w:right w:val="single" w:sz="4" w:space="0" w:color="auto"/>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(F)=A+B+C</w:t>
            </w:r>
            <w:r w:rsidR="008939B8">
              <w:rPr>
                <w:rFonts w:eastAsia="Times New Roman" w:cs="Calibri"/>
                <w:b/>
                <w:bCs/>
                <w:sz w:val="20"/>
                <w:szCs w:val="20"/>
                <w:lang w:val="fr-FR" w:eastAsia="en-GB"/>
              </w:rPr>
              <w:br/>
            </w:r>
            <w:r w:rsidRPr="00941FA7">
              <w:rPr>
                <w:rFonts w:eastAsia="Times New Roman" w:cs="Calibri"/>
                <w:b/>
                <w:bCs/>
                <w:sz w:val="20"/>
                <w:szCs w:val="20"/>
                <w:lang w:val="fr-FR" w:eastAsia="en-GB"/>
              </w:rPr>
              <w:t>+D+E</w:t>
            </w:r>
          </w:p>
        </w:tc>
        <w:tc>
          <w:tcPr>
            <w:tcW w:w="1276" w:type="dxa"/>
            <w:vMerge w:val="restart"/>
            <w:tcBorders>
              <w:top w:val="nil"/>
              <w:left w:val="nil"/>
              <w:bottom w:val="single" w:sz="4" w:space="0" w:color="000000"/>
              <w:right w:val="nil"/>
            </w:tcBorders>
            <w:shd w:val="clear" w:color="000000" w:fill="D6E3BC"/>
            <w:vAlign w:val="center"/>
            <w:hideMark/>
          </w:tcPr>
          <w:p w:rsidR="0014156A" w:rsidRPr="00941FA7" w:rsidRDefault="0014156A" w:rsidP="00F270A8">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(G)</w:t>
            </w:r>
          </w:p>
        </w:tc>
        <w:tc>
          <w:tcPr>
            <w:tcW w:w="1417" w:type="dxa"/>
            <w:vMerge w:val="restart"/>
            <w:tcBorders>
              <w:top w:val="nil"/>
              <w:left w:val="single" w:sz="4" w:space="0" w:color="auto"/>
              <w:right w:val="single" w:sz="4" w:space="0" w:color="auto"/>
            </w:tcBorders>
            <w:shd w:val="clear" w:color="auto" w:fill="D6E3BC" w:themeFill="accent3" w:themeFillTint="66"/>
            <w:vAlign w:val="center"/>
            <w:hideMark/>
          </w:tcPr>
          <w:p w:rsidR="0014156A" w:rsidRPr="00941FA7" w:rsidRDefault="0014156A"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(H)</w:t>
            </w:r>
          </w:p>
        </w:tc>
        <w:tc>
          <w:tcPr>
            <w:tcW w:w="1276" w:type="dxa"/>
            <w:vMerge w:val="restart"/>
            <w:tcBorders>
              <w:top w:val="nil"/>
              <w:left w:val="single" w:sz="4" w:space="0" w:color="auto"/>
              <w:bottom w:val="single" w:sz="4" w:space="0" w:color="000000"/>
              <w:right w:val="single" w:sz="4" w:space="0" w:color="auto"/>
            </w:tcBorders>
            <w:shd w:val="clear" w:color="auto" w:fill="D6E3BC" w:themeFill="accent3" w:themeFillTint="66"/>
            <w:vAlign w:val="center"/>
            <w:hideMark/>
          </w:tcPr>
          <w:p w:rsidR="0014156A" w:rsidRPr="00941FA7" w:rsidRDefault="008939B8" w:rsidP="00F270A8">
            <w:pPr>
              <w:ind w:left="0" w:firstLine="0"/>
              <w:jc w:val="center"/>
              <w:rPr>
                <w:rFonts w:eastAsia="Times New Roman" w:cs="Calibri"/>
                <w:b/>
                <w:bCs/>
                <w:sz w:val="20"/>
                <w:szCs w:val="20"/>
                <w:lang w:val="fr-FR" w:eastAsia="en-GB"/>
              </w:rPr>
            </w:pPr>
            <w:r>
              <w:rPr>
                <w:rFonts w:eastAsia="Times New Roman" w:cs="Calibri"/>
                <w:b/>
                <w:bCs/>
                <w:sz w:val="20"/>
                <w:szCs w:val="20"/>
                <w:lang w:val="fr-FR" w:eastAsia="en-GB"/>
              </w:rPr>
              <w:t>(I)</w:t>
            </w:r>
            <w:r>
              <w:rPr>
                <w:rFonts w:eastAsia="Times New Roman" w:cs="Calibri"/>
                <w:b/>
                <w:bCs/>
                <w:sz w:val="20"/>
                <w:szCs w:val="20"/>
                <w:lang w:val="fr-FR" w:eastAsia="en-GB"/>
              </w:rPr>
              <w:br/>
              <w:t>=(F)-(G)+</w:t>
            </w:r>
            <w:r w:rsidR="0014156A" w:rsidRPr="00941FA7">
              <w:rPr>
                <w:rFonts w:eastAsia="Times New Roman" w:cs="Calibri"/>
                <w:b/>
                <w:bCs/>
                <w:sz w:val="20"/>
                <w:szCs w:val="20"/>
                <w:lang w:val="fr-FR" w:eastAsia="en-GB"/>
              </w:rPr>
              <w:t>(H)</w:t>
            </w:r>
          </w:p>
        </w:tc>
      </w:tr>
      <w:tr w:rsidR="0014156A" w:rsidRPr="008939B8" w:rsidTr="008939B8">
        <w:trPr>
          <w:trHeight w:val="240"/>
        </w:trPr>
        <w:tc>
          <w:tcPr>
            <w:tcW w:w="3119" w:type="dxa"/>
            <w:tcBorders>
              <w:top w:val="nil"/>
              <w:left w:val="single" w:sz="4" w:space="0" w:color="auto"/>
              <w:bottom w:val="single" w:sz="4" w:space="0" w:color="auto"/>
              <w:right w:val="nil"/>
            </w:tcBorders>
            <w:shd w:val="clear" w:color="000000" w:fill="D6E3BC"/>
            <w:vAlign w:val="center"/>
            <w:hideMark/>
          </w:tcPr>
          <w:p w:rsidR="0014156A" w:rsidRPr="00941FA7" w:rsidRDefault="0014156A" w:rsidP="00F270A8">
            <w:pPr>
              <w:ind w:left="0" w:firstLine="0"/>
              <w:rPr>
                <w:rFonts w:ascii="Arial" w:eastAsia="Times New Roman" w:hAnsi="Arial" w:cs="Arial"/>
                <w:sz w:val="20"/>
                <w:szCs w:val="20"/>
                <w:lang w:val="fr-FR" w:eastAsia="en-GB"/>
              </w:rPr>
            </w:pPr>
            <w:r w:rsidRPr="00941FA7">
              <w:rPr>
                <w:rFonts w:ascii="Arial" w:eastAsia="Times New Roman" w:hAnsi="Arial" w:cs="Arial"/>
                <w:sz w:val="20"/>
                <w:szCs w:val="20"/>
                <w:lang w:val="fr-FR" w:eastAsia="en-GB"/>
              </w:rPr>
              <w:t> </w:t>
            </w:r>
          </w:p>
        </w:tc>
        <w:tc>
          <w:tcPr>
            <w:tcW w:w="1417" w:type="dxa"/>
            <w:vMerge/>
            <w:tcBorders>
              <w:top w:val="nil"/>
              <w:left w:val="single" w:sz="4" w:space="0" w:color="auto"/>
              <w:bottom w:val="single" w:sz="4" w:space="0" w:color="000000"/>
              <w:right w:val="single" w:sz="4" w:space="0" w:color="auto"/>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single" w:sz="4" w:space="0" w:color="000000"/>
              <w:right w:val="single" w:sz="4" w:space="0" w:color="auto"/>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134" w:type="dxa"/>
            <w:vMerge/>
            <w:tcBorders>
              <w:top w:val="nil"/>
              <w:left w:val="single" w:sz="4" w:space="0" w:color="auto"/>
              <w:bottom w:val="single" w:sz="4" w:space="0" w:color="000000"/>
              <w:right w:val="single" w:sz="4" w:space="0" w:color="auto"/>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single" w:sz="4" w:space="0" w:color="000000"/>
              <w:right w:val="single" w:sz="4" w:space="0" w:color="auto"/>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417" w:type="dxa"/>
            <w:vMerge/>
            <w:tcBorders>
              <w:top w:val="nil"/>
              <w:left w:val="single" w:sz="4" w:space="0" w:color="auto"/>
              <w:bottom w:val="single" w:sz="4" w:space="0" w:color="000000"/>
              <w:right w:val="single" w:sz="4" w:space="0" w:color="auto"/>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single" w:sz="4" w:space="0" w:color="000000"/>
              <w:right w:val="single" w:sz="4" w:space="0" w:color="auto"/>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276" w:type="dxa"/>
            <w:vMerge/>
            <w:tcBorders>
              <w:top w:val="nil"/>
              <w:left w:val="nil"/>
              <w:bottom w:val="single" w:sz="4" w:space="0" w:color="000000"/>
              <w:right w:val="nil"/>
            </w:tcBorders>
            <w:vAlign w:val="center"/>
            <w:hideMark/>
          </w:tcPr>
          <w:p w:rsidR="0014156A" w:rsidRPr="00941FA7" w:rsidRDefault="0014156A" w:rsidP="00F270A8">
            <w:pPr>
              <w:ind w:left="0" w:firstLine="0"/>
              <w:rPr>
                <w:rFonts w:eastAsia="Times New Roman" w:cs="Calibri"/>
                <w:b/>
                <w:bCs/>
                <w:sz w:val="20"/>
                <w:szCs w:val="20"/>
                <w:lang w:val="fr-FR" w:eastAsia="en-GB"/>
              </w:rPr>
            </w:pPr>
          </w:p>
        </w:tc>
        <w:tc>
          <w:tcPr>
            <w:tcW w:w="1417" w:type="dxa"/>
            <w:vMerge/>
            <w:tcBorders>
              <w:left w:val="single" w:sz="4" w:space="0" w:color="auto"/>
              <w:bottom w:val="single" w:sz="4" w:space="0" w:color="auto"/>
              <w:right w:val="single" w:sz="4" w:space="0" w:color="auto"/>
            </w:tcBorders>
            <w:shd w:val="clear" w:color="auto" w:fill="D6E3BC" w:themeFill="accent3" w:themeFillTint="66"/>
            <w:vAlign w:val="center"/>
            <w:hideMark/>
          </w:tcPr>
          <w:p w:rsidR="0014156A" w:rsidRPr="00941FA7" w:rsidRDefault="0014156A" w:rsidP="00F270A8">
            <w:pPr>
              <w:ind w:left="0" w:firstLine="0"/>
              <w:jc w:val="center"/>
              <w:rPr>
                <w:rFonts w:eastAsia="Times New Roman" w:cs="Calibri"/>
                <w:b/>
                <w:bCs/>
                <w:sz w:val="20"/>
                <w:szCs w:val="20"/>
                <w:lang w:val="fr-FR" w:eastAsia="en-GB"/>
              </w:rPr>
            </w:pPr>
          </w:p>
        </w:tc>
        <w:tc>
          <w:tcPr>
            <w:tcW w:w="1276"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rsidR="0014156A" w:rsidRPr="00941FA7" w:rsidRDefault="0014156A" w:rsidP="00F270A8">
            <w:pPr>
              <w:ind w:left="0" w:firstLine="0"/>
              <w:rPr>
                <w:rFonts w:eastAsia="Times New Roman" w:cs="Calibri"/>
                <w:b/>
                <w:bCs/>
                <w:sz w:val="20"/>
                <w:szCs w:val="20"/>
                <w:lang w:val="fr-FR" w:eastAsia="en-GB"/>
              </w:rPr>
            </w:pPr>
          </w:p>
        </w:tc>
      </w:tr>
      <w:tr w:rsidR="00F270A8" w:rsidRPr="008939B8" w:rsidTr="009A2FB6">
        <w:trPr>
          <w:trHeight w:val="105"/>
        </w:trPr>
        <w:tc>
          <w:tcPr>
            <w:tcW w:w="3119"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417" w:type="dxa"/>
            <w:vMerge w:val="restart"/>
            <w:tcBorders>
              <w:top w:val="nil"/>
              <w:left w:val="nil"/>
              <w:bottom w:val="nil"/>
              <w:right w:val="nil"/>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nil"/>
              <w:bottom w:val="nil"/>
              <w:right w:val="nil"/>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r>
      <w:tr w:rsidR="00F270A8" w:rsidRPr="008939B8" w:rsidTr="009A2FB6">
        <w:trPr>
          <w:trHeight w:val="163"/>
        </w:trPr>
        <w:tc>
          <w:tcPr>
            <w:tcW w:w="3119" w:type="dxa"/>
            <w:tcBorders>
              <w:top w:val="nil"/>
              <w:left w:val="single" w:sz="4" w:space="0" w:color="auto"/>
              <w:bottom w:val="nil"/>
              <w:right w:val="nil"/>
            </w:tcBorders>
            <w:shd w:val="clear" w:color="auto" w:fill="auto"/>
            <w:noWrap/>
            <w:vAlign w:val="center"/>
            <w:hideMark/>
          </w:tcPr>
          <w:p w:rsidR="00F270A8" w:rsidRPr="00941FA7" w:rsidRDefault="00313563"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RECETTES</w:t>
            </w:r>
          </w:p>
        </w:tc>
        <w:tc>
          <w:tcPr>
            <w:tcW w:w="1417"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134"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417" w:type="dxa"/>
            <w:vMerge/>
            <w:tcBorders>
              <w:top w:val="nil"/>
              <w:left w:val="nil"/>
              <w:bottom w:val="nil"/>
              <w:right w:val="nil"/>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nil"/>
              <w:bottom w:val="nil"/>
              <w:right w:val="nil"/>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r>
      <w:tr w:rsidR="008E03FD" w:rsidRPr="008939B8" w:rsidTr="000B3853">
        <w:trPr>
          <w:trHeight w:val="255"/>
        </w:trPr>
        <w:tc>
          <w:tcPr>
            <w:tcW w:w="3119" w:type="dxa"/>
            <w:tcBorders>
              <w:top w:val="single" w:sz="4" w:space="0" w:color="auto"/>
              <w:left w:val="single" w:sz="4" w:space="0" w:color="auto"/>
              <w:bottom w:val="single" w:sz="4" w:space="0" w:color="auto"/>
              <w:right w:val="nil"/>
            </w:tcBorders>
            <w:shd w:val="clear" w:color="auto" w:fill="auto"/>
            <w:noWrap/>
            <w:hideMark/>
          </w:tcPr>
          <w:p w:rsidR="008E03FD" w:rsidRPr="00941FA7" w:rsidRDefault="008E03FD" w:rsidP="000B3853">
            <w:pPr>
              <w:autoSpaceDE w:val="0"/>
              <w:autoSpaceDN w:val="0"/>
              <w:adjustRightInd w:val="0"/>
              <w:ind w:left="0" w:firstLine="0"/>
              <w:rPr>
                <w:rFonts w:asciiTheme="minorHAnsi" w:eastAsiaTheme="minorHAnsi" w:hAnsiTheme="minorHAnsi" w:cstheme="minorHAnsi"/>
                <w:color w:val="000000"/>
                <w:sz w:val="20"/>
                <w:szCs w:val="20"/>
                <w:lang w:val="fr-FR"/>
              </w:rPr>
            </w:pPr>
            <w:r w:rsidRPr="00941FA7">
              <w:rPr>
                <w:sz w:val="20"/>
                <w:szCs w:val="20"/>
                <w:lang w:val="fr-FR"/>
              </w:rPr>
              <w:t>Contributions des Parties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3,779</w:t>
            </w:r>
          </w:p>
        </w:tc>
        <w:tc>
          <w:tcPr>
            <w:tcW w:w="1276" w:type="dxa"/>
            <w:tcBorders>
              <w:top w:val="single" w:sz="4" w:space="0" w:color="auto"/>
              <w:left w:val="nil"/>
              <w:bottom w:val="single" w:sz="4" w:space="0" w:color="auto"/>
              <w:right w:val="nil"/>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E03FD" w:rsidRPr="00941FA7" w:rsidRDefault="008E03FD"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8E03FD" w:rsidP="008E03FD">
            <w:pPr>
              <w:ind w:left="0" w:firstLine="0"/>
              <w:rPr>
                <w:rFonts w:eastAsia="Times New Roman" w:cs="Calibri"/>
                <w:sz w:val="20"/>
                <w:szCs w:val="20"/>
                <w:lang w:val="fr-FR" w:eastAsia="en-GB"/>
              </w:rPr>
            </w:pPr>
            <w:r w:rsidRPr="00941FA7">
              <w:rPr>
                <w:rFonts w:eastAsia="Times New Roman" w:cs="Calibri"/>
                <w:sz w:val="20"/>
                <w:szCs w:val="20"/>
                <w:lang w:val="fr-FR" w:eastAsia="en-GB"/>
              </w:rPr>
              <w:t>Contributions volontaires</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1,065</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1,065</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1,065</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E95D43"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r w:rsidR="00F270A8" w:rsidRPr="00941FA7">
              <w:rPr>
                <w:rFonts w:eastAsia="Times New Roman" w:cs="Calibri"/>
                <w:sz w:val="20"/>
                <w:szCs w:val="20"/>
                <w:lang w:val="fr-FR"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300"/>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Impôts sur le revenu</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225</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E95D43"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r w:rsidR="00F270A8" w:rsidRPr="00941FA7">
              <w:rPr>
                <w:rFonts w:eastAsia="Times New Roman" w:cs="Calibri"/>
                <w:sz w:val="20"/>
                <w:szCs w:val="20"/>
                <w:lang w:val="fr-FR"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sz w:val="20"/>
                <w:szCs w:val="20"/>
                <w:lang w:val="fr-FR"/>
              </w:rPr>
              <w:t>Autres revenus (y compris revenu</w:t>
            </w:r>
            <w:r w:rsidR="00AD2992" w:rsidRPr="00941FA7">
              <w:rPr>
                <w:sz w:val="20"/>
                <w:szCs w:val="20"/>
                <w:lang w:val="fr-FR"/>
              </w:rPr>
              <w:t>s</w:t>
            </w:r>
            <w:r w:rsidRPr="00941FA7">
              <w:rPr>
                <w:sz w:val="20"/>
                <w:szCs w:val="20"/>
                <w:lang w:val="fr-FR"/>
              </w:rPr>
              <w:t xml:space="preserve"> d’intérêt</w:t>
            </w:r>
            <w:r w:rsidR="00AD2992" w:rsidRPr="00941FA7">
              <w:rPr>
                <w:sz w:val="20"/>
                <w:szCs w:val="20"/>
                <w:lang w:val="fr-FR"/>
              </w:rPr>
              <w:t>s</w:t>
            </w:r>
            <w:r w:rsidRPr="00941FA7">
              <w:rPr>
                <w:sz w:val="20"/>
                <w:szCs w:val="20"/>
                <w:lang w:val="fr-FR"/>
              </w:rPr>
              <w:t>)</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E95D43"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r w:rsidR="00F270A8" w:rsidRPr="00941FA7">
              <w:rPr>
                <w:rFonts w:eastAsia="Times New Roman" w:cs="Calibri"/>
                <w:sz w:val="20"/>
                <w:szCs w:val="20"/>
                <w:lang w:val="fr-FR" w:eastAsia="en-GB"/>
              </w:rPr>
              <w:t> </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r>
      <w:tr w:rsidR="00F270A8" w:rsidRPr="00941FA7" w:rsidTr="009A2FB6">
        <w:trPr>
          <w:trHeight w:val="462"/>
        </w:trPr>
        <w:tc>
          <w:tcPr>
            <w:tcW w:w="3119" w:type="dxa"/>
            <w:tcBorders>
              <w:top w:val="single" w:sz="4" w:space="0" w:color="auto"/>
              <w:left w:val="single" w:sz="4" w:space="0" w:color="auto"/>
              <w:bottom w:val="single" w:sz="4" w:space="0" w:color="auto"/>
              <w:right w:val="nil"/>
            </w:tcBorders>
            <w:shd w:val="clear" w:color="000000" w:fill="D6E3BC"/>
            <w:noWrap/>
            <w:vAlign w:val="center"/>
            <w:hideMark/>
          </w:tcPr>
          <w:p w:rsidR="00F270A8" w:rsidRPr="00941FA7" w:rsidRDefault="000A2C45"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TOTAL DES REVENUS</w:t>
            </w:r>
          </w:p>
        </w:tc>
        <w:tc>
          <w:tcPr>
            <w:tcW w:w="141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5,081</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5,081</w:t>
            </w:r>
          </w:p>
        </w:tc>
        <w:tc>
          <w:tcPr>
            <w:tcW w:w="1276" w:type="dxa"/>
            <w:tcBorders>
              <w:top w:val="single" w:sz="4" w:space="0" w:color="auto"/>
              <w:left w:val="nil"/>
              <w:bottom w:val="single" w:sz="4" w:space="0" w:color="auto"/>
              <w:right w:val="nil"/>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5,071</w:t>
            </w:r>
          </w:p>
        </w:tc>
        <w:tc>
          <w:tcPr>
            <w:tcW w:w="141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rsidR="00F270A8" w:rsidRPr="00941FA7" w:rsidRDefault="00E95D43"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r w:rsidR="00F270A8" w:rsidRPr="00941FA7">
              <w:rPr>
                <w:rFonts w:eastAsia="Times New Roman" w:cs="Calibri"/>
                <w:b/>
                <w:bCs/>
                <w:sz w:val="20"/>
                <w:szCs w:val="20"/>
                <w:lang w:val="fr-FR" w:eastAsia="en-GB"/>
              </w:rPr>
              <w:t> </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10</w:t>
            </w:r>
          </w:p>
        </w:tc>
      </w:tr>
      <w:tr w:rsidR="00F270A8" w:rsidRPr="00941FA7" w:rsidTr="009A2FB6">
        <w:trPr>
          <w:trHeight w:val="75"/>
        </w:trPr>
        <w:tc>
          <w:tcPr>
            <w:tcW w:w="3119"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417"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417" w:type="dxa"/>
            <w:vMerge w:val="restart"/>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vMerge w:val="restart"/>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p>
        </w:tc>
        <w:tc>
          <w:tcPr>
            <w:tcW w:w="1417"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ascii="Times New Roman" w:eastAsia="Times New Roman" w:hAnsi="Times New Roman"/>
                <w:sz w:val="20"/>
                <w:szCs w:val="20"/>
                <w:lang w:val="fr-FR" w:eastAsia="en-GB"/>
              </w:rPr>
            </w:pP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r>
      <w:tr w:rsidR="00F270A8" w:rsidRPr="00941FA7" w:rsidTr="009A2FB6">
        <w:trPr>
          <w:trHeight w:val="125"/>
        </w:trPr>
        <w:tc>
          <w:tcPr>
            <w:tcW w:w="3119" w:type="dxa"/>
            <w:tcBorders>
              <w:top w:val="nil"/>
              <w:left w:val="single" w:sz="4" w:space="0" w:color="auto"/>
              <w:bottom w:val="nil"/>
              <w:right w:val="nil"/>
            </w:tcBorders>
            <w:shd w:val="clear" w:color="auto" w:fill="auto"/>
            <w:noWrap/>
            <w:vAlign w:val="center"/>
            <w:hideMark/>
          </w:tcPr>
          <w:p w:rsidR="00F270A8" w:rsidRPr="00941FA7" w:rsidRDefault="000A2C45"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DÉPENSES</w:t>
            </w:r>
          </w:p>
        </w:tc>
        <w:tc>
          <w:tcPr>
            <w:tcW w:w="1417"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134"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417" w:type="dxa"/>
            <w:vMerge/>
            <w:tcBorders>
              <w:top w:val="nil"/>
              <w:left w:val="nil"/>
              <w:bottom w:val="nil"/>
              <w:right w:val="nil"/>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nil"/>
              <w:bottom w:val="nil"/>
              <w:right w:val="nil"/>
            </w:tcBorders>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417" w:type="dxa"/>
            <w:tcBorders>
              <w:top w:val="nil"/>
              <w:left w:val="nil"/>
              <w:bottom w:val="nil"/>
              <w:right w:val="nil"/>
            </w:tcBorders>
            <w:shd w:val="clear" w:color="auto" w:fill="auto"/>
            <w:noWrap/>
            <w:vAlign w:val="center"/>
            <w:hideMark/>
          </w:tcPr>
          <w:p w:rsidR="00F270A8" w:rsidRPr="00941FA7" w:rsidRDefault="00F270A8" w:rsidP="00F270A8">
            <w:pPr>
              <w:ind w:left="0" w:firstLine="0"/>
              <w:rPr>
                <w:rFonts w:eastAsia="Times New Roman" w:cs="Calibri"/>
                <w:b/>
                <w:bCs/>
                <w:sz w:val="20"/>
                <w:szCs w:val="20"/>
                <w:lang w:val="fr-FR" w:eastAsia="en-GB"/>
              </w:rPr>
            </w:pPr>
          </w:p>
        </w:tc>
        <w:tc>
          <w:tcPr>
            <w:tcW w:w="1276" w:type="dxa"/>
            <w:vMerge/>
            <w:tcBorders>
              <w:top w:val="nil"/>
              <w:left w:val="single" w:sz="4" w:space="0" w:color="auto"/>
              <w:bottom w:val="nil"/>
              <w:right w:val="single" w:sz="4" w:space="0" w:color="auto"/>
            </w:tcBorders>
            <w:vAlign w:val="center"/>
            <w:hideMark/>
          </w:tcPr>
          <w:p w:rsidR="00F270A8" w:rsidRPr="00941FA7" w:rsidRDefault="00F270A8" w:rsidP="00F270A8">
            <w:pPr>
              <w:ind w:left="0" w:firstLine="0"/>
              <w:rPr>
                <w:rFonts w:eastAsia="Times New Roman" w:cs="Calibri"/>
                <w:b/>
                <w:bCs/>
                <w:sz w:val="20"/>
                <w:szCs w:val="20"/>
                <w:lang w:val="fr-FR" w:eastAsia="en-GB"/>
              </w:rPr>
            </w:pP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A.  </w:t>
            </w:r>
            <w:r w:rsidR="000A2C45" w:rsidRPr="00941FA7">
              <w:rPr>
                <w:sz w:val="20"/>
                <w:szCs w:val="20"/>
                <w:lang w:val="fr-FR"/>
              </w:rPr>
              <w:t>Cadres supérieurs du Secrétariat &amp; gouvernance</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1,051</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175</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1,231</w:t>
            </w:r>
          </w:p>
        </w:tc>
        <w:tc>
          <w:tcPr>
            <w:tcW w:w="1276" w:type="dxa"/>
            <w:tcBorders>
              <w:top w:val="single" w:sz="4" w:space="0" w:color="auto"/>
              <w:left w:val="nil"/>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957</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274</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0A2C45">
            <w:pPr>
              <w:ind w:left="0" w:firstLine="0"/>
              <w:rPr>
                <w:rFonts w:eastAsia="Times New Roman" w:cs="Calibri"/>
                <w:sz w:val="20"/>
                <w:szCs w:val="20"/>
                <w:lang w:val="fr-FR" w:eastAsia="en-GB"/>
              </w:rPr>
            </w:pPr>
            <w:r w:rsidRPr="00941FA7">
              <w:rPr>
                <w:rFonts w:eastAsia="Times New Roman" w:cs="Calibri"/>
                <w:sz w:val="20"/>
                <w:szCs w:val="20"/>
                <w:lang w:val="fr-FR" w:eastAsia="en-GB"/>
              </w:rPr>
              <w:t>Sala</w:t>
            </w:r>
            <w:r w:rsidR="000A2C45" w:rsidRPr="00941FA7">
              <w:rPr>
                <w:rFonts w:eastAsia="Times New Roman" w:cs="Calibri"/>
                <w:sz w:val="20"/>
                <w:szCs w:val="20"/>
                <w:lang w:val="fr-FR" w:eastAsia="en-GB"/>
              </w:rPr>
              <w:t>ires, charges sociales et autres prestations liées à l’emploi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1,162</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953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209</w:t>
            </w:r>
          </w:p>
        </w:tc>
      </w:tr>
      <w:tr w:rsidR="00F270A8" w:rsidRPr="00941FA7" w:rsidTr="009A2FB6">
        <w:trPr>
          <w:trHeight w:val="255"/>
        </w:trPr>
        <w:tc>
          <w:tcPr>
            <w:tcW w:w="3119" w:type="dxa"/>
            <w:tcBorders>
              <w:top w:val="single" w:sz="4" w:space="0" w:color="auto"/>
              <w:left w:val="single" w:sz="4" w:space="0" w:color="auto"/>
              <w:bottom w:val="nil"/>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Déplacements</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40</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134"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24</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69</w:t>
            </w:r>
          </w:p>
        </w:tc>
        <w:tc>
          <w:tcPr>
            <w:tcW w:w="1276" w:type="dxa"/>
            <w:tcBorders>
              <w:top w:val="single" w:sz="4" w:space="0" w:color="auto"/>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w:t>
            </w:r>
          </w:p>
        </w:tc>
        <w:tc>
          <w:tcPr>
            <w:tcW w:w="1417" w:type="dxa"/>
            <w:tcBorders>
              <w:top w:val="single" w:sz="4" w:space="0" w:color="auto"/>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65</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B.  </w:t>
            </w:r>
            <w:r w:rsidR="000A2C45" w:rsidRPr="00941FA7">
              <w:rPr>
                <w:sz w:val="20"/>
                <w:szCs w:val="20"/>
                <w:lang w:val="fr-FR"/>
              </w:rPr>
              <w:t>Mobilisation des ressources et sensibilisation</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532</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164</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111</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902</w:t>
            </w:r>
          </w:p>
        </w:tc>
        <w:tc>
          <w:tcPr>
            <w:tcW w:w="1276" w:type="dxa"/>
            <w:tcBorders>
              <w:top w:val="single" w:sz="4" w:space="0" w:color="auto"/>
              <w:left w:val="nil"/>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540</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362</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Salaires, charges sociales et autres prestations liées à l’emploi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441</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132</w:t>
            </w:r>
          </w:p>
        </w:tc>
      </w:tr>
      <w:tr w:rsidR="00F270A8" w:rsidRPr="00941FA7" w:rsidTr="009A2FB6">
        <w:trPr>
          <w:trHeight w:val="255"/>
        </w:trPr>
        <w:tc>
          <w:tcPr>
            <w:tcW w:w="3119" w:type="dxa"/>
            <w:tcBorders>
              <w:top w:val="single" w:sz="4" w:space="0" w:color="auto"/>
              <w:left w:val="single" w:sz="4" w:space="0" w:color="auto"/>
              <w:bottom w:val="nil"/>
              <w:right w:val="nil"/>
            </w:tcBorders>
            <w:shd w:val="clear" w:color="auto" w:fill="auto"/>
            <w:noWrap/>
            <w:vAlign w:val="center"/>
            <w:hideMark/>
          </w:tcPr>
          <w:p w:rsidR="00F270A8" w:rsidRPr="00941FA7" w:rsidRDefault="000A2C45" w:rsidP="000A2C45">
            <w:pPr>
              <w:ind w:left="0" w:firstLine="0"/>
              <w:rPr>
                <w:rFonts w:eastAsia="Times New Roman" w:cs="Calibri"/>
                <w:sz w:val="20"/>
                <w:szCs w:val="20"/>
                <w:lang w:val="fr-FR" w:eastAsia="en-GB"/>
              </w:rPr>
            </w:pPr>
            <w:r w:rsidRPr="00941FA7">
              <w:rPr>
                <w:rFonts w:eastAsia="Times New Roman" w:cs="Calibri"/>
                <w:sz w:val="20"/>
                <w:szCs w:val="20"/>
                <w:lang w:val="fr-FR" w:eastAsia="en-GB"/>
              </w:rPr>
              <w:t>Programme de CESP</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30</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53</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83</w:t>
            </w:r>
          </w:p>
        </w:tc>
        <w:tc>
          <w:tcPr>
            <w:tcW w:w="1276" w:type="dxa"/>
            <w:tcBorders>
              <w:top w:val="single" w:sz="4" w:space="0" w:color="auto"/>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27</w:t>
            </w:r>
          </w:p>
        </w:tc>
        <w:tc>
          <w:tcPr>
            <w:tcW w:w="1417" w:type="dxa"/>
            <w:tcBorders>
              <w:top w:val="single" w:sz="4" w:space="0" w:color="auto"/>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sz w:val="20"/>
                <w:szCs w:val="20"/>
                <w:lang w:val="fr-FR"/>
              </w:rPr>
              <w:t xml:space="preserve">Communications, traductions, </w:t>
            </w:r>
            <w:r w:rsidRPr="00941FA7">
              <w:rPr>
                <w:sz w:val="20"/>
                <w:szCs w:val="20"/>
                <w:lang w:val="fr-FR"/>
              </w:rPr>
              <w:lastRenderedPageBreak/>
              <w:t>publications et rapports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lastRenderedPageBreak/>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179</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57</w:t>
            </w:r>
          </w:p>
        </w:tc>
      </w:tr>
      <w:tr w:rsidR="00F270A8" w:rsidRPr="00941FA7" w:rsidTr="009A2FB6">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F270A8" w:rsidRPr="00941FA7" w:rsidRDefault="000A2C45" w:rsidP="000A2C45">
            <w:pPr>
              <w:ind w:left="0" w:firstLine="0"/>
              <w:rPr>
                <w:rFonts w:eastAsia="Times New Roman" w:cs="Calibri"/>
                <w:sz w:val="20"/>
                <w:szCs w:val="20"/>
                <w:lang w:val="fr-FR" w:eastAsia="en-GB"/>
              </w:rPr>
            </w:pPr>
            <w:r w:rsidRPr="00941FA7">
              <w:rPr>
                <w:rFonts w:eastAsia="Times New Roman" w:cs="Calibri"/>
                <w:sz w:val="20"/>
                <w:szCs w:val="20"/>
                <w:lang w:val="fr-FR" w:eastAsia="en-GB"/>
              </w:rPr>
              <w:t>Journée mondiale des zones humides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33</w:t>
            </w:r>
          </w:p>
        </w:tc>
        <w:tc>
          <w:tcPr>
            <w:tcW w:w="1417" w:type="dxa"/>
            <w:tcBorders>
              <w:top w:val="nil"/>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50</w:t>
            </w:r>
            <w:r w:rsidRPr="00941FA7">
              <w:rPr>
                <w:rFonts w:asciiTheme="minorHAnsi" w:eastAsiaTheme="minorHAnsi" w:hAnsiTheme="minorHAnsi" w:cstheme="minorHAnsi"/>
                <w:color w:val="000000"/>
                <w:sz w:val="20"/>
                <w:szCs w:val="20"/>
                <w:vertAlign w:val="superscript"/>
                <w:lang w:val="fr-FR"/>
              </w:rPr>
              <w:t xml:space="preserve">e </w:t>
            </w:r>
            <w:r w:rsidRPr="00941FA7">
              <w:rPr>
                <w:rFonts w:asciiTheme="minorHAnsi" w:eastAsiaTheme="minorHAnsi" w:hAnsiTheme="minorHAnsi" w:cstheme="minorHAnsi"/>
                <w:color w:val="000000"/>
                <w:sz w:val="20"/>
                <w:szCs w:val="20"/>
                <w:lang w:val="fr-FR"/>
              </w:rPr>
              <w:t>anniversaire en 2021</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sz w:val="20"/>
                <w:szCs w:val="20"/>
                <w:lang w:val="fr-FR"/>
              </w:rPr>
              <w:t>Appui et développement Web/TI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40</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40</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F270A8" w:rsidRPr="00941FA7" w:rsidRDefault="00B37BA4"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Redévelopp</w:t>
            </w:r>
            <w:r w:rsidR="000A2C45" w:rsidRPr="00941FA7">
              <w:rPr>
                <w:rFonts w:eastAsia="Times New Roman" w:cs="Calibri"/>
                <w:sz w:val="20"/>
                <w:szCs w:val="20"/>
                <w:lang w:val="fr-FR" w:eastAsia="en-GB"/>
              </w:rPr>
              <w:t>ement web</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86</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86</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86</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A2C45"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Déplacements</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18</w:t>
            </w:r>
          </w:p>
        </w:tc>
      </w:tr>
      <w:tr w:rsidR="00F270A8" w:rsidRPr="00941FA7" w:rsidTr="00F17DB8">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C.  </w:t>
            </w:r>
            <w:r w:rsidR="000B3853" w:rsidRPr="00941FA7">
              <w:rPr>
                <w:rFonts w:asciiTheme="minorHAnsi" w:eastAsiaTheme="minorHAnsi" w:hAnsiTheme="minorHAnsi" w:cstheme="minorHAnsi"/>
                <w:color w:val="000000"/>
                <w:sz w:val="20"/>
                <w:szCs w:val="20"/>
                <w:lang w:val="fr-FR"/>
              </w:rPr>
              <w:t>Appui et conseils aux Régions</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1,316</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225</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1,647</w:t>
            </w:r>
          </w:p>
        </w:tc>
        <w:tc>
          <w:tcPr>
            <w:tcW w:w="1276" w:type="dxa"/>
            <w:tcBorders>
              <w:top w:val="single" w:sz="4" w:space="0" w:color="auto"/>
              <w:left w:val="nil"/>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1,086</w:t>
            </w:r>
          </w:p>
        </w:tc>
        <w:tc>
          <w:tcPr>
            <w:tcW w:w="1417"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550</w:t>
            </w:r>
          </w:p>
        </w:tc>
      </w:tr>
      <w:tr w:rsidR="00F270A8" w:rsidRPr="00941FA7" w:rsidTr="0014156A">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Salaires, charges sociales et autres prestations liées à l’emploi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1,451</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1,079</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361</w:t>
            </w:r>
          </w:p>
        </w:tc>
      </w:tr>
      <w:tr w:rsidR="00F270A8" w:rsidRPr="00941FA7" w:rsidTr="009A2FB6">
        <w:trPr>
          <w:trHeight w:val="255"/>
        </w:trPr>
        <w:tc>
          <w:tcPr>
            <w:tcW w:w="3119" w:type="dxa"/>
            <w:tcBorders>
              <w:top w:val="single" w:sz="4" w:space="0" w:color="auto"/>
              <w:left w:val="single" w:sz="4" w:space="0" w:color="auto"/>
              <w:bottom w:val="nil"/>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Déplacements</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65</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134"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single" w:sz="4" w:space="0" w:color="auto"/>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100</w:t>
            </w:r>
          </w:p>
        </w:tc>
        <w:tc>
          <w:tcPr>
            <w:tcW w:w="1276" w:type="dxa"/>
            <w:tcBorders>
              <w:top w:val="single" w:sz="4" w:space="0" w:color="auto"/>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w:t>
            </w:r>
          </w:p>
        </w:tc>
        <w:tc>
          <w:tcPr>
            <w:tcW w:w="1417" w:type="dxa"/>
            <w:tcBorders>
              <w:top w:val="single" w:sz="4" w:space="0" w:color="auto"/>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93</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Missions consultatives Ramsar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r>
      <w:tr w:rsidR="00F270A8" w:rsidRPr="00941FA7" w:rsidTr="009A2FB6">
        <w:trPr>
          <w:trHeight w:val="255"/>
        </w:trPr>
        <w:tc>
          <w:tcPr>
            <w:tcW w:w="3119" w:type="dxa"/>
            <w:tcBorders>
              <w:top w:val="nil"/>
              <w:left w:val="single" w:sz="4" w:space="0" w:color="auto"/>
              <w:bottom w:val="nil"/>
              <w:right w:val="nil"/>
            </w:tcBorders>
            <w:shd w:val="clear" w:color="000000" w:fill="EAF1DD"/>
            <w:noWrap/>
            <w:vAlign w:val="center"/>
            <w:hideMark/>
          </w:tcPr>
          <w:p w:rsidR="00F270A8" w:rsidRPr="00941FA7" w:rsidRDefault="00F270A8"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D.  </w:t>
            </w:r>
            <w:r w:rsidR="000B3853" w:rsidRPr="00941FA7">
              <w:rPr>
                <w:rFonts w:asciiTheme="minorHAnsi" w:eastAsiaTheme="minorHAnsi" w:hAnsiTheme="minorHAnsi" w:cstheme="minorHAnsi"/>
                <w:color w:val="000000"/>
                <w:sz w:val="20"/>
                <w:szCs w:val="20"/>
                <w:lang w:val="fr-FR"/>
              </w:rPr>
              <w:t>Appui aux Initiatives régionales (IR)</w:t>
            </w:r>
          </w:p>
        </w:tc>
        <w:tc>
          <w:tcPr>
            <w:tcW w:w="1417" w:type="dxa"/>
            <w:tcBorders>
              <w:top w:val="nil"/>
              <w:left w:val="single" w:sz="4" w:space="0" w:color="auto"/>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100</w:t>
            </w:r>
          </w:p>
        </w:tc>
        <w:tc>
          <w:tcPr>
            <w:tcW w:w="1276" w:type="dxa"/>
            <w:tcBorders>
              <w:top w:val="nil"/>
              <w:left w:val="nil"/>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97</w:t>
            </w:r>
          </w:p>
        </w:tc>
        <w:tc>
          <w:tcPr>
            <w:tcW w:w="1276" w:type="dxa"/>
            <w:tcBorders>
              <w:top w:val="nil"/>
              <w:left w:val="nil"/>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w:t>
            </w:r>
          </w:p>
        </w:tc>
        <w:tc>
          <w:tcPr>
            <w:tcW w:w="1417" w:type="dxa"/>
            <w:tcBorders>
              <w:top w:val="nil"/>
              <w:left w:val="nil"/>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217</w:t>
            </w:r>
          </w:p>
        </w:tc>
        <w:tc>
          <w:tcPr>
            <w:tcW w:w="1276" w:type="dxa"/>
            <w:tcBorders>
              <w:top w:val="nil"/>
              <w:left w:val="nil"/>
              <w:bottom w:val="nil"/>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140</w:t>
            </w:r>
          </w:p>
        </w:tc>
        <w:tc>
          <w:tcPr>
            <w:tcW w:w="1417" w:type="dxa"/>
            <w:tcBorders>
              <w:top w:val="nil"/>
              <w:left w:val="single" w:sz="4" w:space="0" w:color="auto"/>
              <w:bottom w:val="nil"/>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77</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Groupe de travail sur les IR Res.XIII. 9, par. 9, par.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21</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w:t>
            </w:r>
          </w:p>
        </w:tc>
      </w:tr>
      <w:tr w:rsidR="00F270A8" w:rsidRPr="00941FA7" w:rsidTr="009A2FB6">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Rédaction de propositions pour les IRR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Activité</w:t>
            </w:r>
            <w:r w:rsidR="00F270A8" w:rsidRPr="00941FA7">
              <w:rPr>
                <w:rFonts w:eastAsia="Times New Roman" w:cs="Calibri"/>
                <w:sz w:val="20"/>
                <w:szCs w:val="20"/>
                <w:lang w:val="fr-FR" w:eastAsia="en-GB"/>
              </w:rPr>
              <w:t xml:space="preserve"> 1: </w:t>
            </w:r>
            <w:r w:rsidRPr="00941FA7">
              <w:rPr>
                <w:rFonts w:asciiTheme="minorHAnsi" w:eastAsiaTheme="minorHAnsi" w:hAnsiTheme="minorHAnsi" w:cstheme="minorHAnsi"/>
                <w:color w:val="000000"/>
                <w:sz w:val="20"/>
                <w:szCs w:val="20"/>
                <w:lang w:val="fr-FR"/>
              </w:rPr>
              <w:t>Bassin du fleuve Sénégal</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0B3853">
            <w:pPr>
              <w:ind w:left="0" w:firstLine="0"/>
              <w:rPr>
                <w:rFonts w:eastAsia="Times New Roman" w:cs="Calibri"/>
                <w:sz w:val="20"/>
                <w:szCs w:val="20"/>
                <w:lang w:val="fr-FR" w:eastAsia="en-GB"/>
              </w:rPr>
            </w:pPr>
            <w:r w:rsidRPr="00941FA7">
              <w:rPr>
                <w:rFonts w:eastAsia="Times New Roman" w:cs="Calibri"/>
                <w:sz w:val="20"/>
                <w:szCs w:val="20"/>
                <w:lang w:val="fr-FR" w:eastAsia="en-GB"/>
              </w:rPr>
              <w:t>Activité</w:t>
            </w:r>
            <w:r w:rsidR="00F270A8" w:rsidRPr="00941FA7">
              <w:rPr>
                <w:rFonts w:eastAsia="Times New Roman" w:cs="Calibri"/>
                <w:sz w:val="20"/>
                <w:szCs w:val="20"/>
                <w:lang w:val="fr-FR" w:eastAsia="en-GB"/>
              </w:rPr>
              <w:t xml:space="preserve"> 2: </w:t>
            </w:r>
            <w:r w:rsidRPr="00941FA7">
              <w:rPr>
                <w:rFonts w:eastAsia="Times New Roman" w:cs="Calibri"/>
                <w:sz w:val="20"/>
                <w:szCs w:val="20"/>
                <w:lang w:val="fr-FR" w:eastAsia="en-GB"/>
              </w:rPr>
              <w:t>Bassin de l’</w:t>
            </w:r>
            <w:r w:rsidR="00F270A8" w:rsidRPr="00941FA7">
              <w:rPr>
                <w:rFonts w:eastAsia="Times New Roman" w:cs="Calibri"/>
                <w:sz w:val="20"/>
                <w:szCs w:val="20"/>
                <w:lang w:val="fr-FR" w:eastAsia="en-GB"/>
              </w:rPr>
              <w:t>Amazon</w:t>
            </w:r>
            <w:r w:rsidRPr="00941FA7">
              <w:rPr>
                <w:rFonts w:eastAsia="Times New Roman" w:cs="Calibri"/>
                <w:sz w:val="20"/>
                <w:szCs w:val="20"/>
                <w:lang w:val="fr-FR" w:eastAsia="en-GB"/>
              </w:rPr>
              <w:t>e</w:t>
            </w:r>
            <w:r w:rsidR="00F270A8" w:rsidRPr="00941FA7">
              <w:rPr>
                <w:rFonts w:eastAsia="Times New Roman" w:cs="Calibri"/>
                <w:sz w:val="20"/>
                <w:szCs w:val="20"/>
                <w:lang w:val="fr-FR" w:eastAsia="en-G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111</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76</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Activité 3: Asie c</w:t>
            </w:r>
            <w:r w:rsidR="00F270A8" w:rsidRPr="00941FA7">
              <w:rPr>
                <w:rFonts w:eastAsia="Times New Roman" w:cs="Calibri"/>
                <w:sz w:val="20"/>
                <w:szCs w:val="20"/>
                <w:lang w:val="fr-FR" w:eastAsia="en-GB"/>
              </w:rPr>
              <w:t>entral</w:t>
            </w:r>
            <w:r w:rsidRPr="00941FA7">
              <w:rPr>
                <w:rFonts w:eastAsia="Times New Roman" w:cs="Calibri"/>
                <w:sz w:val="20"/>
                <w:szCs w:val="20"/>
                <w:lang w:val="fr-FR" w:eastAsia="en-GB"/>
              </w:rPr>
              <w:t xml:space="preserve">e </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Activité 4: Indo-Birmanie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nil"/>
              <w:left w:val="single" w:sz="4" w:space="0" w:color="auto"/>
              <w:bottom w:val="single" w:sz="4" w:space="0" w:color="auto"/>
              <w:right w:val="single" w:sz="4" w:space="0" w:color="auto"/>
            </w:tcBorders>
            <w:shd w:val="clear" w:color="000000" w:fill="EAF1DD"/>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E. </w:t>
            </w:r>
            <w:r w:rsidRPr="00941FA7">
              <w:rPr>
                <w:rFonts w:asciiTheme="minorHAnsi" w:eastAsiaTheme="minorHAnsi" w:hAnsiTheme="minorHAnsi" w:cstheme="minorHAnsi"/>
                <w:color w:val="000000"/>
                <w:sz w:val="20"/>
                <w:szCs w:val="20"/>
                <w:lang w:val="fr-FR"/>
              </w:rPr>
              <w:t>Services scientifiques et techniques</w:t>
            </w:r>
          </w:p>
        </w:tc>
        <w:tc>
          <w:tcPr>
            <w:tcW w:w="1417"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774</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134"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114</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90</w:t>
            </w:r>
          </w:p>
        </w:tc>
        <w:tc>
          <w:tcPr>
            <w:tcW w:w="1417"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328</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1,311</w:t>
            </w:r>
          </w:p>
        </w:tc>
        <w:tc>
          <w:tcPr>
            <w:tcW w:w="1276" w:type="dxa"/>
            <w:tcBorders>
              <w:top w:val="nil"/>
              <w:left w:val="nil"/>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633</w:t>
            </w:r>
          </w:p>
        </w:tc>
        <w:tc>
          <w:tcPr>
            <w:tcW w:w="1417" w:type="dxa"/>
            <w:tcBorders>
              <w:top w:val="nil"/>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677</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Salaires, charges sociales et autres prestations liées à l’emploi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854</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558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296</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lastRenderedPageBreak/>
              <w:t>Déplacements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24</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19</w:t>
            </w:r>
          </w:p>
        </w:tc>
      </w:tr>
      <w:tr w:rsidR="00F270A8" w:rsidRPr="00941FA7" w:rsidTr="009A2FB6">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Déplacements Président du GEST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Mise en œuvre du GEST</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24</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99</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34</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65</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Réunions du GEST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94</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94</w:t>
            </w:r>
          </w:p>
        </w:tc>
      </w:tr>
      <w:tr w:rsidR="00F270A8" w:rsidRPr="00941FA7" w:rsidTr="009A2FB6">
        <w:trPr>
          <w:trHeight w:val="25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 xml:space="preserve">Plan stratégique </w:t>
            </w:r>
            <w:r w:rsidR="00F270A8" w:rsidRPr="00941FA7">
              <w:rPr>
                <w:rFonts w:eastAsia="Times New Roman" w:cs="Calibri"/>
                <w:sz w:val="20"/>
                <w:szCs w:val="20"/>
                <w:lang w:val="fr-FR" w:eastAsia="en-GB"/>
              </w:rPr>
              <w:t>SP5 (2022 - 2024)</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90</w:t>
            </w:r>
          </w:p>
        </w:tc>
        <w:tc>
          <w:tcPr>
            <w:tcW w:w="1417"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90</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90</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B3853" w:rsidP="000B3853">
            <w:pPr>
              <w:ind w:left="0" w:firstLine="0"/>
              <w:rPr>
                <w:rFonts w:eastAsia="Times New Roman" w:cs="Calibri"/>
                <w:sz w:val="20"/>
                <w:szCs w:val="20"/>
                <w:lang w:val="fr-FR" w:eastAsia="en-GB"/>
              </w:rPr>
            </w:pPr>
            <w:r w:rsidRPr="00941FA7">
              <w:rPr>
                <w:rFonts w:eastAsia="Times New Roman" w:cs="Calibri"/>
                <w:sz w:val="20"/>
                <w:szCs w:val="20"/>
                <w:lang w:val="fr-FR" w:eastAsia="en-GB"/>
              </w:rPr>
              <w:t>ODD</w:t>
            </w:r>
            <w:r w:rsidR="00F270A8" w:rsidRPr="00941FA7">
              <w:rPr>
                <w:rFonts w:eastAsia="Times New Roman" w:cs="Calibri"/>
                <w:sz w:val="20"/>
                <w:szCs w:val="20"/>
                <w:lang w:val="fr-FR" w:eastAsia="en-GB"/>
              </w:rPr>
              <w:t xml:space="preserve"> 6.61 (Invent</w:t>
            </w:r>
            <w:r w:rsidRPr="00941FA7">
              <w:rPr>
                <w:rFonts w:eastAsia="Times New Roman" w:cs="Calibri"/>
                <w:sz w:val="20"/>
                <w:szCs w:val="20"/>
                <w:lang w:val="fr-FR" w:eastAsia="en-GB"/>
              </w:rPr>
              <w:t>aires</w:t>
            </w:r>
            <w:r w:rsidR="00F270A8" w:rsidRPr="00941FA7">
              <w:rPr>
                <w:rFonts w:eastAsia="Times New Roman" w:cs="Calibri"/>
                <w:sz w:val="20"/>
                <w:szCs w:val="20"/>
                <w:lang w:val="fr-FR" w:eastAsia="en-GB"/>
              </w:rPr>
              <w:t>)</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72</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72</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72</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Service d’information sur les Sites Ramsar (entretien et développement)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66</w:t>
            </w:r>
          </w:p>
        </w:tc>
        <w:tc>
          <w:tcPr>
            <w:tcW w:w="1276" w:type="dxa"/>
            <w:tcBorders>
              <w:top w:val="nil"/>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36</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30</w:t>
            </w:r>
          </w:p>
        </w:tc>
      </w:tr>
      <w:tr w:rsidR="00F270A8" w:rsidRPr="00941FA7" w:rsidTr="009A2FB6">
        <w:trPr>
          <w:trHeight w:val="255"/>
        </w:trPr>
        <w:tc>
          <w:tcPr>
            <w:tcW w:w="3119" w:type="dxa"/>
            <w:tcBorders>
              <w:top w:val="nil"/>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G.  </w:t>
            </w:r>
            <w:r w:rsidR="000B3853" w:rsidRPr="00941FA7">
              <w:rPr>
                <w:sz w:val="20"/>
                <w:szCs w:val="20"/>
                <w:lang w:val="fr-FR"/>
              </w:rPr>
              <w:t>Administration/SISR/Web</w:t>
            </w:r>
          </w:p>
        </w:tc>
        <w:tc>
          <w:tcPr>
            <w:tcW w:w="1417"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489</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134"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95</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16</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611</w:t>
            </w:r>
          </w:p>
        </w:tc>
        <w:tc>
          <w:tcPr>
            <w:tcW w:w="1276" w:type="dxa"/>
            <w:tcBorders>
              <w:top w:val="nil"/>
              <w:left w:val="nil"/>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505</w:t>
            </w:r>
          </w:p>
        </w:tc>
        <w:tc>
          <w:tcPr>
            <w:tcW w:w="1417" w:type="dxa"/>
            <w:tcBorders>
              <w:top w:val="nil"/>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276" w:type="dxa"/>
            <w:tcBorders>
              <w:top w:val="nil"/>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118</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Salaires, charges sociales et autres prestations liées à l’emploi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337</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335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w:t>
            </w:r>
          </w:p>
        </w:tc>
      </w:tr>
      <w:tr w:rsidR="00F270A8" w:rsidRPr="00941FA7" w:rsidTr="0014156A">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Recrutement et indemnités de départ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70</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Déplacements</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Équipements/fournitures de bureau</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108</w:t>
            </w:r>
          </w:p>
        </w:tc>
        <w:tc>
          <w:tcPr>
            <w:tcW w:w="1276" w:type="dxa"/>
            <w:tcBorders>
              <w:top w:val="single" w:sz="4" w:space="0" w:color="auto"/>
              <w:left w:val="nil"/>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43</w:t>
            </w:r>
          </w:p>
        </w:tc>
      </w:tr>
      <w:tr w:rsidR="00F270A8" w:rsidRPr="00941FA7" w:rsidTr="009A2FB6">
        <w:trPr>
          <w:trHeight w:val="255"/>
        </w:trPr>
        <w:tc>
          <w:tcPr>
            <w:tcW w:w="3119" w:type="dxa"/>
            <w:tcBorders>
              <w:top w:val="nil"/>
              <w:left w:val="single" w:sz="4" w:space="0" w:color="auto"/>
              <w:bottom w:val="nil"/>
              <w:right w:val="nil"/>
            </w:tcBorders>
            <w:shd w:val="clear" w:color="auto" w:fill="auto"/>
            <w:noWrap/>
            <w:vAlign w:val="center"/>
            <w:hideMark/>
          </w:tcPr>
          <w:p w:rsidR="00F270A8" w:rsidRPr="00941FA7" w:rsidRDefault="000B3853" w:rsidP="00F270A8">
            <w:pPr>
              <w:ind w:left="0" w:firstLine="0"/>
              <w:rPr>
                <w:rFonts w:eastAsia="Times New Roman" w:cs="Calibri"/>
                <w:sz w:val="20"/>
                <w:szCs w:val="20"/>
                <w:lang w:val="fr-FR" w:eastAsia="en-GB"/>
              </w:rPr>
            </w:pPr>
            <w:r w:rsidRPr="00941FA7">
              <w:rPr>
                <w:sz w:val="20"/>
                <w:szCs w:val="20"/>
                <w:lang w:val="fr-FR"/>
              </w:rPr>
              <w:t>Planification et renforcement des capacités</w:t>
            </w:r>
          </w:p>
        </w:tc>
        <w:tc>
          <w:tcPr>
            <w:tcW w:w="1417"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134"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85</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c>
          <w:tcPr>
            <w:tcW w:w="1276" w:type="dxa"/>
            <w:tcBorders>
              <w:top w:val="nil"/>
              <w:left w:val="nil"/>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23</w:t>
            </w:r>
          </w:p>
        </w:tc>
        <w:tc>
          <w:tcPr>
            <w:tcW w:w="1417" w:type="dxa"/>
            <w:tcBorders>
              <w:top w:val="nil"/>
              <w:left w:val="single" w:sz="4" w:space="0" w:color="auto"/>
              <w:bottom w:val="nil"/>
              <w:right w:val="nil"/>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73</w:t>
            </w:r>
          </w:p>
        </w:tc>
      </w:tr>
      <w:tr w:rsidR="00F270A8" w:rsidRPr="00941FA7" w:rsidTr="009A2FB6">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H. </w:t>
            </w:r>
            <w:r w:rsidR="000B3853" w:rsidRPr="00941FA7">
              <w:rPr>
                <w:sz w:val="20"/>
                <w:szCs w:val="20"/>
                <w:lang w:val="fr-FR"/>
              </w:rPr>
              <w:t>Services au Comité permanent</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17</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83</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250</w:t>
            </w:r>
          </w:p>
        </w:tc>
        <w:tc>
          <w:tcPr>
            <w:tcW w:w="1276" w:type="dxa"/>
            <w:tcBorders>
              <w:top w:val="single" w:sz="4" w:space="0" w:color="auto"/>
              <w:left w:val="nil"/>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168</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270A8" w:rsidRPr="00941FA7" w:rsidRDefault="00F270A8"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82</w:t>
            </w:r>
          </w:p>
        </w:tc>
      </w:tr>
      <w:tr w:rsidR="00AD2992" w:rsidRPr="00941FA7" w:rsidTr="0014156A">
        <w:trPr>
          <w:trHeight w:val="255"/>
        </w:trPr>
        <w:tc>
          <w:tcPr>
            <w:tcW w:w="3119" w:type="dxa"/>
            <w:tcBorders>
              <w:top w:val="nil"/>
              <w:left w:val="single" w:sz="4" w:space="0" w:color="auto"/>
              <w:bottom w:val="nil"/>
              <w:right w:val="nil"/>
            </w:tcBorders>
            <w:shd w:val="clear" w:color="auto" w:fill="auto"/>
            <w:noWrap/>
            <w:vAlign w:val="center"/>
            <w:hideMark/>
          </w:tcPr>
          <w:p w:rsidR="00AD2992" w:rsidRPr="00941FA7" w:rsidRDefault="00AD2992" w:rsidP="00761962">
            <w:pPr>
              <w:ind w:left="0" w:firstLine="0"/>
              <w:rPr>
                <w:rFonts w:eastAsia="Times New Roman" w:cs="Calibri"/>
                <w:sz w:val="20"/>
                <w:szCs w:val="20"/>
                <w:lang w:val="fr-FR" w:eastAsia="en-GB"/>
              </w:rPr>
            </w:pPr>
            <w:r w:rsidRPr="00941FA7">
              <w:rPr>
                <w:sz w:val="20"/>
                <w:szCs w:val="20"/>
                <w:lang w:val="fr-FR"/>
              </w:rPr>
              <w:t>Appui aux délégués du CP</w:t>
            </w:r>
          </w:p>
        </w:tc>
        <w:tc>
          <w:tcPr>
            <w:tcW w:w="1417" w:type="dxa"/>
            <w:tcBorders>
              <w:top w:val="nil"/>
              <w:left w:val="single" w:sz="4" w:space="0" w:color="auto"/>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51</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96</w:t>
            </w:r>
          </w:p>
        </w:tc>
        <w:tc>
          <w:tcPr>
            <w:tcW w:w="1276" w:type="dxa"/>
            <w:tcBorders>
              <w:top w:val="nil"/>
              <w:left w:val="nil"/>
              <w:bottom w:val="nil"/>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nil"/>
              <w:right w:val="nil"/>
            </w:tcBorders>
            <w:shd w:val="clear" w:color="auto" w:fill="FFFFFF" w:themeFill="background1"/>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(38)</w:t>
            </w:r>
          </w:p>
        </w:tc>
        <w:tc>
          <w:tcPr>
            <w:tcW w:w="1276" w:type="dxa"/>
            <w:tcBorders>
              <w:top w:val="nil"/>
              <w:left w:val="single" w:sz="4" w:space="0" w:color="auto"/>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58</w:t>
            </w:r>
          </w:p>
        </w:tc>
      </w:tr>
      <w:tr w:rsidR="00AD2992" w:rsidRPr="00941FA7" w:rsidTr="0014156A">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524A33">
            <w:pPr>
              <w:ind w:left="0" w:firstLine="0"/>
              <w:rPr>
                <w:rFonts w:eastAsia="Times New Roman" w:cs="Calibri"/>
                <w:sz w:val="20"/>
                <w:szCs w:val="20"/>
                <w:lang w:val="fr-FR" w:eastAsia="en-GB"/>
              </w:rPr>
            </w:pPr>
            <w:r w:rsidRPr="00941FA7">
              <w:rPr>
                <w:sz w:val="20"/>
                <w:szCs w:val="20"/>
                <w:lang w:val="fr-FR"/>
              </w:rPr>
              <w:t>Réunions du CP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16</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w:t>
            </w:r>
          </w:p>
        </w:tc>
      </w:tr>
      <w:tr w:rsidR="00AD2992" w:rsidRPr="00941FA7" w:rsidTr="0014156A">
        <w:trPr>
          <w:trHeight w:val="255"/>
        </w:trPr>
        <w:tc>
          <w:tcPr>
            <w:tcW w:w="3119" w:type="dxa"/>
            <w:tcBorders>
              <w:top w:val="nil"/>
              <w:left w:val="single" w:sz="4" w:space="0" w:color="auto"/>
              <w:bottom w:val="nil"/>
              <w:right w:val="nil"/>
            </w:tcBorders>
            <w:shd w:val="clear" w:color="auto" w:fill="auto"/>
            <w:noWrap/>
            <w:vAlign w:val="center"/>
            <w:hideMark/>
          </w:tcPr>
          <w:p w:rsidR="00AD2992" w:rsidRPr="00941FA7" w:rsidRDefault="00AD2992" w:rsidP="0028147F">
            <w:pPr>
              <w:ind w:left="0" w:firstLine="0"/>
              <w:rPr>
                <w:rFonts w:eastAsia="Times New Roman" w:cs="Calibri"/>
                <w:sz w:val="20"/>
                <w:szCs w:val="20"/>
                <w:lang w:val="fr-FR" w:eastAsia="en-GB"/>
              </w:rPr>
            </w:pPr>
            <w:r w:rsidRPr="00941FA7">
              <w:rPr>
                <w:rFonts w:eastAsia="Times New Roman" w:cs="Calibri"/>
                <w:sz w:val="20"/>
                <w:szCs w:val="20"/>
                <w:lang w:val="fr-FR" w:eastAsia="en-GB"/>
              </w:rPr>
              <w:t>Services de traduction pour le CP</w:t>
            </w:r>
          </w:p>
        </w:tc>
        <w:tc>
          <w:tcPr>
            <w:tcW w:w="1417" w:type="dxa"/>
            <w:tcBorders>
              <w:top w:val="nil"/>
              <w:left w:val="single" w:sz="4" w:space="0" w:color="auto"/>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60</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64</w:t>
            </w:r>
          </w:p>
        </w:tc>
        <w:tc>
          <w:tcPr>
            <w:tcW w:w="1276" w:type="dxa"/>
            <w:tcBorders>
              <w:top w:val="nil"/>
              <w:left w:val="nil"/>
              <w:bottom w:val="nil"/>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79</w:t>
            </w:r>
          </w:p>
        </w:tc>
        <w:tc>
          <w:tcPr>
            <w:tcW w:w="1417" w:type="dxa"/>
            <w:tcBorders>
              <w:top w:val="nil"/>
              <w:left w:val="single" w:sz="4" w:space="0" w:color="auto"/>
              <w:bottom w:val="nil"/>
              <w:right w:val="nil"/>
            </w:tcBorders>
            <w:shd w:val="clear" w:color="auto" w:fill="FFFFFF" w:themeFill="background1"/>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15</w:t>
            </w:r>
          </w:p>
        </w:tc>
        <w:tc>
          <w:tcPr>
            <w:tcW w:w="1276" w:type="dxa"/>
            <w:tcBorders>
              <w:top w:val="nil"/>
              <w:left w:val="single" w:sz="4" w:space="0" w:color="auto"/>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AD2992" w:rsidRPr="00941FA7" w:rsidTr="0014156A">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Interprétation simultanée aux réunions du CP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57</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80</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AD2992" w:rsidRPr="00941FA7" w:rsidTr="0014156A">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sz w:val="20"/>
                <w:szCs w:val="20"/>
                <w:lang w:val="fr-FR"/>
              </w:rPr>
              <w:t>Groupe de travail sur l’efficacité</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w:t>
            </w:r>
          </w:p>
        </w:tc>
        <w:tc>
          <w:tcPr>
            <w:tcW w:w="1276"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w:t>
            </w:r>
          </w:p>
        </w:tc>
      </w:tr>
      <w:tr w:rsidR="00AD2992" w:rsidRPr="00941FA7" w:rsidTr="0014156A">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sz w:val="20"/>
                <w:szCs w:val="20"/>
                <w:lang w:val="fr-FR"/>
              </w:rPr>
              <w:lastRenderedPageBreak/>
              <w:t xml:space="preserve">Examen des résolutions </w:t>
            </w:r>
            <w:r w:rsidRPr="00941FA7">
              <w:rPr>
                <w:rFonts w:eastAsia="Times New Roman" w:cs="Calibri"/>
                <w:sz w:val="20"/>
                <w:szCs w:val="20"/>
                <w:lang w:val="fr-FR" w:eastAsia="en-GB"/>
              </w:rPr>
              <w:t>(Res. XIII.4)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w:t>
            </w:r>
          </w:p>
        </w:tc>
      </w:tr>
      <w:tr w:rsidR="00AD2992" w:rsidRPr="00941FA7" w:rsidTr="009A2FB6">
        <w:trPr>
          <w:trHeight w:val="270"/>
        </w:trPr>
        <w:tc>
          <w:tcPr>
            <w:tcW w:w="3119" w:type="dxa"/>
            <w:tcBorders>
              <w:top w:val="nil"/>
              <w:left w:val="single" w:sz="4" w:space="0" w:color="auto"/>
              <w:bottom w:val="nil"/>
              <w:right w:val="nil"/>
            </w:tcBorders>
            <w:shd w:val="clear" w:color="000000" w:fill="EAF1DD"/>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J.  </w:t>
            </w:r>
            <w:r w:rsidRPr="00941FA7">
              <w:rPr>
                <w:sz w:val="20"/>
                <w:szCs w:val="20"/>
                <w:lang w:val="fr-FR"/>
              </w:rPr>
              <w:t>Coûts des services administratifs de l’UICN (maximum)</w:t>
            </w:r>
          </w:p>
        </w:tc>
        <w:tc>
          <w:tcPr>
            <w:tcW w:w="1417" w:type="dxa"/>
            <w:tcBorders>
              <w:top w:val="nil"/>
              <w:left w:val="single" w:sz="4" w:space="0" w:color="auto"/>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560</w:t>
            </w:r>
          </w:p>
        </w:tc>
        <w:tc>
          <w:tcPr>
            <w:tcW w:w="1276"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560</w:t>
            </w:r>
          </w:p>
        </w:tc>
        <w:tc>
          <w:tcPr>
            <w:tcW w:w="1276" w:type="dxa"/>
            <w:tcBorders>
              <w:top w:val="nil"/>
              <w:left w:val="nil"/>
              <w:bottom w:val="nil"/>
              <w:right w:val="nil"/>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513</w:t>
            </w:r>
          </w:p>
        </w:tc>
        <w:tc>
          <w:tcPr>
            <w:tcW w:w="1417" w:type="dxa"/>
            <w:tcBorders>
              <w:top w:val="nil"/>
              <w:left w:val="single" w:sz="4" w:space="0" w:color="auto"/>
              <w:bottom w:val="nil"/>
              <w:right w:val="nil"/>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47</w:t>
            </w:r>
          </w:p>
        </w:tc>
      </w:tr>
      <w:tr w:rsidR="00AD2992"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sz w:val="20"/>
                <w:szCs w:val="20"/>
                <w:lang w:val="fr-FR"/>
              </w:rPr>
              <w:t>Administration, ressources humaines, services financiers et services informatiques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560</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513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47</w:t>
            </w:r>
          </w:p>
        </w:tc>
      </w:tr>
      <w:tr w:rsidR="00AD2992" w:rsidRPr="00941FA7" w:rsidTr="009A2FB6">
        <w:trPr>
          <w:trHeight w:val="255"/>
        </w:trPr>
        <w:tc>
          <w:tcPr>
            <w:tcW w:w="3119" w:type="dxa"/>
            <w:tcBorders>
              <w:top w:val="nil"/>
              <w:left w:val="single" w:sz="4" w:space="0" w:color="auto"/>
              <w:bottom w:val="nil"/>
              <w:right w:val="nil"/>
            </w:tcBorders>
            <w:shd w:val="clear" w:color="000000" w:fill="EAF1DD"/>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xml:space="preserve">K.  </w:t>
            </w:r>
            <w:r w:rsidRPr="00941FA7">
              <w:rPr>
                <w:rFonts w:asciiTheme="minorHAnsi" w:eastAsiaTheme="minorHAnsi" w:hAnsiTheme="minorHAnsi" w:cstheme="minorHAnsi"/>
                <w:color w:val="000000"/>
                <w:sz w:val="20"/>
                <w:szCs w:val="20"/>
                <w:lang w:val="fr-FR"/>
              </w:rPr>
              <w:t>Divers - Fonds de réserve</w:t>
            </w:r>
          </w:p>
        </w:tc>
        <w:tc>
          <w:tcPr>
            <w:tcW w:w="1417" w:type="dxa"/>
            <w:tcBorders>
              <w:top w:val="nil"/>
              <w:left w:val="single" w:sz="4" w:space="0" w:color="auto"/>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109</w:t>
            </w:r>
          </w:p>
        </w:tc>
        <w:tc>
          <w:tcPr>
            <w:tcW w:w="1276"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129</w:t>
            </w:r>
          </w:p>
        </w:tc>
        <w:tc>
          <w:tcPr>
            <w:tcW w:w="1276"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72</w:t>
            </w:r>
          </w:p>
        </w:tc>
        <w:tc>
          <w:tcPr>
            <w:tcW w:w="1417"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420</w:t>
            </w:r>
          </w:p>
        </w:tc>
        <w:tc>
          <w:tcPr>
            <w:tcW w:w="1276" w:type="dxa"/>
            <w:tcBorders>
              <w:top w:val="nil"/>
              <w:left w:val="nil"/>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730</w:t>
            </w:r>
          </w:p>
        </w:tc>
        <w:tc>
          <w:tcPr>
            <w:tcW w:w="1276" w:type="dxa"/>
            <w:tcBorders>
              <w:top w:val="nil"/>
              <w:left w:val="nil"/>
              <w:bottom w:val="nil"/>
              <w:right w:val="nil"/>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109</w:t>
            </w:r>
          </w:p>
        </w:tc>
        <w:tc>
          <w:tcPr>
            <w:tcW w:w="1417" w:type="dxa"/>
            <w:tcBorders>
              <w:top w:val="nil"/>
              <w:left w:val="single" w:sz="4" w:space="0" w:color="auto"/>
              <w:bottom w:val="nil"/>
              <w:right w:val="nil"/>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single" w:sz="4" w:space="0" w:color="auto"/>
              <w:bottom w:val="nil"/>
              <w:right w:val="single" w:sz="4" w:space="0" w:color="auto"/>
            </w:tcBorders>
            <w:shd w:val="clear" w:color="000000" w:fill="EAF1DD"/>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622</w:t>
            </w:r>
          </w:p>
        </w:tc>
      </w:tr>
      <w:tr w:rsidR="00AD2992" w:rsidRPr="00941FA7" w:rsidTr="00AD0EFD">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Provisions pour le personnel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123</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85</w:t>
            </w:r>
          </w:p>
        </w:tc>
      </w:tr>
      <w:tr w:rsidR="00AD2992" w:rsidRPr="00941FA7" w:rsidTr="0014156A">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Provision au titre des contributions impayées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68</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72</w:t>
            </w:r>
          </w:p>
        </w:tc>
        <w:tc>
          <w:tcPr>
            <w:tcW w:w="1417"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140</w:t>
            </w:r>
          </w:p>
        </w:tc>
        <w:tc>
          <w:tcPr>
            <w:tcW w:w="1276"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59</w:t>
            </w:r>
          </w:p>
        </w:tc>
        <w:tc>
          <w:tcPr>
            <w:tcW w:w="1417" w:type="dxa"/>
            <w:tcBorders>
              <w:top w:val="nil"/>
              <w:left w:val="single" w:sz="4" w:space="0" w:color="auto"/>
              <w:bottom w:val="single" w:sz="4" w:space="0" w:color="auto"/>
              <w:right w:val="nil"/>
            </w:tcBorders>
            <w:shd w:val="clear" w:color="auto" w:fill="FFFFFF" w:themeFill="background1"/>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r>
      <w:tr w:rsidR="00AD2992" w:rsidRPr="00941FA7" w:rsidTr="0014156A">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AD2992" w:rsidRPr="00941FA7" w:rsidRDefault="00AD2992" w:rsidP="00D749FF">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Budget 2020 - SC58 et économies non engagées reportées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416</w:t>
            </w:r>
          </w:p>
        </w:tc>
        <w:tc>
          <w:tcPr>
            <w:tcW w:w="1276" w:type="dxa"/>
            <w:tcBorders>
              <w:top w:val="nil"/>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416</w:t>
            </w:r>
          </w:p>
        </w:tc>
        <w:tc>
          <w:tcPr>
            <w:tcW w:w="1276"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single" w:sz="4" w:space="0" w:color="auto"/>
              <w:bottom w:val="single" w:sz="4" w:space="0" w:color="auto"/>
              <w:right w:val="nil"/>
            </w:tcBorders>
            <w:shd w:val="clear" w:color="auto" w:fill="FFFFFF" w:themeFill="background1"/>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496</w:t>
            </w:r>
          </w:p>
        </w:tc>
      </w:tr>
      <w:tr w:rsidR="00AD2992" w:rsidRPr="00941FA7" w:rsidTr="00AD0EFD">
        <w:trPr>
          <w:trHeight w:val="255"/>
        </w:trPr>
        <w:tc>
          <w:tcPr>
            <w:tcW w:w="3119" w:type="dxa"/>
            <w:tcBorders>
              <w:top w:val="nil"/>
              <w:left w:val="single" w:sz="4" w:space="0" w:color="auto"/>
              <w:bottom w:val="nil"/>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sz w:val="20"/>
                <w:szCs w:val="20"/>
                <w:lang w:val="fr-FR"/>
              </w:rPr>
              <w:t>Gains/pertes liés au change</w:t>
            </w:r>
          </w:p>
        </w:tc>
        <w:tc>
          <w:tcPr>
            <w:tcW w:w="1417" w:type="dxa"/>
            <w:tcBorders>
              <w:top w:val="nil"/>
              <w:left w:val="single" w:sz="4" w:space="0" w:color="auto"/>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(94)</w:t>
            </w:r>
          </w:p>
        </w:tc>
        <w:tc>
          <w:tcPr>
            <w:tcW w:w="1276" w:type="dxa"/>
            <w:tcBorders>
              <w:top w:val="nil"/>
              <w:left w:val="nil"/>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(94)</w:t>
            </w:r>
          </w:p>
        </w:tc>
        <w:tc>
          <w:tcPr>
            <w:tcW w:w="1276" w:type="dxa"/>
            <w:tcBorders>
              <w:top w:val="nil"/>
              <w:left w:val="nil"/>
              <w:bottom w:val="nil"/>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w:t>
            </w:r>
          </w:p>
        </w:tc>
        <w:tc>
          <w:tcPr>
            <w:tcW w:w="1417" w:type="dxa"/>
            <w:tcBorders>
              <w:top w:val="nil"/>
              <w:left w:val="single" w:sz="4" w:space="0" w:color="auto"/>
              <w:bottom w:val="nil"/>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(80)</w:t>
            </w:r>
          </w:p>
        </w:tc>
      </w:tr>
      <w:tr w:rsidR="00AD2992"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sz w:val="20"/>
                <w:szCs w:val="20"/>
                <w:lang w:val="fr-FR"/>
              </w:rPr>
              <w:t>Services juridiques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145</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121</w:t>
            </w:r>
          </w:p>
        </w:tc>
      </w:tr>
      <w:tr w:rsidR="00AD2992" w:rsidRPr="00941FA7" w:rsidTr="009A2FB6">
        <w:trPr>
          <w:trHeight w:val="255"/>
        </w:trPr>
        <w:tc>
          <w:tcPr>
            <w:tcW w:w="3119" w:type="dxa"/>
            <w:tcBorders>
              <w:top w:val="nil"/>
              <w:left w:val="single" w:sz="4" w:space="0" w:color="auto"/>
              <w:bottom w:val="nil"/>
              <w:right w:val="nil"/>
            </w:tcBorders>
            <w:shd w:val="clear" w:color="000000" w:fill="D6E3BC"/>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asciiTheme="minorHAnsi" w:eastAsiaTheme="minorHAnsi" w:hAnsiTheme="minorHAnsi" w:cstheme="minorHAnsi"/>
                <w:color w:val="000000"/>
                <w:sz w:val="20"/>
                <w:szCs w:val="20"/>
                <w:lang w:val="fr-FR"/>
              </w:rPr>
              <w:t>TOTAL DÉPENSES</w:t>
            </w:r>
          </w:p>
        </w:tc>
        <w:tc>
          <w:tcPr>
            <w:tcW w:w="1417" w:type="dxa"/>
            <w:tcBorders>
              <w:top w:val="nil"/>
              <w:left w:val="single" w:sz="4" w:space="0" w:color="auto"/>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5,081</w:t>
            </w:r>
          </w:p>
        </w:tc>
        <w:tc>
          <w:tcPr>
            <w:tcW w:w="1276" w:type="dxa"/>
            <w:tcBorders>
              <w:top w:val="nil"/>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76</w:t>
            </w:r>
          </w:p>
        </w:tc>
        <w:tc>
          <w:tcPr>
            <w:tcW w:w="1134" w:type="dxa"/>
            <w:tcBorders>
              <w:top w:val="nil"/>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712</w:t>
            </w:r>
          </w:p>
        </w:tc>
        <w:tc>
          <w:tcPr>
            <w:tcW w:w="1276" w:type="dxa"/>
            <w:tcBorders>
              <w:top w:val="nil"/>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293</w:t>
            </w:r>
          </w:p>
        </w:tc>
        <w:tc>
          <w:tcPr>
            <w:tcW w:w="1417" w:type="dxa"/>
            <w:tcBorders>
              <w:top w:val="nil"/>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1,297</w:t>
            </w:r>
          </w:p>
        </w:tc>
        <w:tc>
          <w:tcPr>
            <w:tcW w:w="1276" w:type="dxa"/>
            <w:tcBorders>
              <w:top w:val="nil"/>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7,459</w:t>
            </w:r>
          </w:p>
        </w:tc>
        <w:tc>
          <w:tcPr>
            <w:tcW w:w="1276" w:type="dxa"/>
            <w:tcBorders>
              <w:top w:val="nil"/>
              <w:left w:val="nil"/>
              <w:bottom w:val="nil"/>
              <w:right w:val="nil"/>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4,651</w:t>
            </w:r>
          </w:p>
        </w:tc>
        <w:tc>
          <w:tcPr>
            <w:tcW w:w="1417" w:type="dxa"/>
            <w:tcBorders>
              <w:top w:val="nil"/>
              <w:left w:val="nil"/>
              <w:bottom w:val="nil"/>
              <w:right w:val="nil"/>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276" w:type="dxa"/>
            <w:tcBorders>
              <w:top w:val="nil"/>
              <w:left w:val="nil"/>
              <w:bottom w:val="nil"/>
              <w:right w:val="nil"/>
            </w:tcBorders>
            <w:shd w:val="clear" w:color="000000" w:fill="D6E3BC"/>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2,808</w:t>
            </w:r>
          </w:p>
        </w:tc>
      </w:tr>
      <w:tr w:rsidR="00AD2992" w:rsidRPr="00941FA7" w:rsidTr="009A2FB6">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AD2992" w:rsidRPr="00941FA7" w:rsidRDefault="00AD2992" w:rsidP="00F270A8">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417"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134"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417"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nil"/>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417" w:type="dxa"/>
            <w:tcBorders>
              <w:top w:val="single" w:sz="4" w:space="0" w:color="auto"/>
              <w:left w:val="nil"/>
              <w:bottom w:val="single" w:sz="4" w:space="0" w:color="auto"/>
              <w:right w:val="nil"/>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992" w:rsidRPr="00941FA7" w:rsidRDefault="00AD2992" w:rsidP="00F270A8">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 </w:t>
            </w:r>
          </w:p>
        </w:tc>
      </w:tr>
      <w:tr w:rsidR="00AD2992" w:rsidRPr="00941FA7" w:rsidTr="009A2FB6">
        <w:trPr>
          <w:trHeight w:val="255"/>
        </w:trPr>
        <w:tc>
          <w:tcPr>
            <w:tcW w:w="3119" w:type="dxa"/>
            <w:tcBorders>
              <w:top w:val="single" w:sz="4" w:space="0" w:color="auto"/>
              <w:left w:val="single" w:sz="4" w:space="0" w:color="auto"/>
              <w:bottom w:val="single" w:sz="4" w:space="0" w:color="auto"/>
              <w:right w:val="nil"/>
            </w:tcBorders>
            <w:shd w:val="clear" w:color="000000" w:fill="D6E3BC"/>
            <w:vAlign w:val="center"/>
            <w:hideMark/>
          </w:tcPr>
          <w:p w:rsidR="00AD2992" w:rsidRPr="00941FA7" w:rsidRDefault="00AD2992" w:rsidP="00F270A8">
            <w:pPr>
              <w:ind w:left="0" w:firstLine="0"/>
              <w:rPr>
                <w:rFonts w:eastAsia="Times New Roman" w:cs="Calibri"/>
                <w:b/>
                <w:bCs/>
                <w:sz w:val="20"/>
                <w:szCs w:val="20"/>
                <w:lang w:val="fr-FR" w:eastAsia="en-GB"/>
              </w:rPr>
            </w:pPr>
            <w:r w:rsidRPr="00941FA7">
              <w:rPr>
                <w:rFonts w:eastAsia="Times New Roman" w:cs="Calibri"/>
                <w:b/>
                <w:bCs/>
                <w:sz w:val="20"/>
                <w:szCs w:val="20"/>
                <w:lang w:val="fr-FR" w:eastAsia="en-GB"/>
              </w:rPr>
              <w:t>EXCÉDENT/(DEFICIT)</w:t>
            </w:r>
          </w:p>
        </w:tc>
        <w:tc>
          <w:tcPr>
            <w:tcW w:w="1417" w:type="dxa"/>
            <w:tcBorders>
              <w:top w:val="single" w:sz="4" w:space="0" w:color="auto"/>
              <w:left w:val="single" w:sz="4" w:space="0" w:color="auto"/>
              <w:bottom w:val="single" w:sz="4" w:space="0" w:color="auto"/>
              <w:right w:val="nil"/>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134" w:type="dxa"/>
            <w:tcBorders>
              <w:top w:val="single" w:sz="4" w:space="0" w:color="auto"/>
              <w:left w:val="nil"/>
              <w:bottom w:val="single" w:sz="4" w:space="0" w:color="auto"/>
              <w:right w:val="nil"/>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417" w:type="dxa"/>
            <w:tcBorders>
              <w:top w:val="single" w:sz="4" w:space="0" w:color="auto"/>
              <w:left w:val="nil"/>
              <w:bottom w:val="single" w:sz="4" w:space="0" w:color="auto"/>
              <w:right w:val="nil"/>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420</w:t>
            </w:r>
          </w:p>
        </w:tc>
        <w:tc>
          <w:tcPr>
            <w:tcW w:w="1417" w:type="dxa"/>
            <w:tcBorders>
              <w:top w:val="single" w:sz="4" w:space="0" w:color="auto"/>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 </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rsidR="00AD2992" w:rsidRPr="00941FA7" w:rsidRDefault="00AD2992" w:rsidP="00F270A8">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2,798</w:t>
            </w:r>
          </w:p>
        </w:tc>
      </w:tr>
      <w:tr w:rsidR="00AD2992" w:rsidRPr="00941FA7" w:rsidTr="009A2FB6">
        <w:trPr>
          <w:trHeight w:val="255"/>
        </w:trPr>
        <w:tc>
          <w:tcPr>
            <w:tcW w:w="3119" w:type="dxa"/>
            <w:tcBorders>
              <w:top w:val="single" w:sz="4" w:space="0" w:color="auto"/>
              <w:left w:val="nil"/>
              <w:bottom w:val="nil"/>
              <w:right w:val="nil"/>
            </w:tcBorders>
            <w:shd w:val="clear" w:color="auto" w:fill="auto"/>
            <w:noWrap/>
            <w:vAlign w:val="center"/>
            <w:hideMark/>
          </w:tcPr>
          <w:p w:rsidR="00AD2992" w:rsidRPr="0014156A" w:rsidRDefault="00AD2992" w:rsidP="00F270A8">
            <w:pPr>
              <w:ind w:left="0" w:firstLine="0"/>
              <w:rPr>
                <w:rFonts w:eastAsia="Times New Roman" w:cs="Calibri"/>
                <w:sz w:val="20"/>
                <w:szCs w:val="20"/>
                <w:lang w:val="fr-FR" w:eastAsia="en-GB"/>
              </w:rPr>
            </w:pPr>
          </w:p>
          <w:p w:rsidR="00AD2992" w:rsidRPr="0014156A" w:rsidRDefault="00AD2992" w:rsidP="00F270A8">
            <w:pPr>
              <w:ind w:left="0" w:firstLine="0"/>
              <w:rPr>
                <w:rFonts w:eastAsia="Times New Roman" w:cs="Calibri"/>
                <w:sz w:val="20"/>
                <w:szCs w:val="20"/>
                <w:lang w:val="fr-FR" w:eastAsia="en-GB"/>
              </w:rPr>
            </w:pPr>
            <w:r w:rsidRPr="0014156A">
              <w:rPr>
                <w:rFonts w:eastAsia="Times New Roman" w:cs="Calibri"/>
                <w:sz w:val="20"/>
                <w:szCs w:val="20"/>
                <w:lang w:val="fr-FR" w:eastAsia="en-GB"/>
              </w:rPr>
              <w:t xml:space="preserve">Notes: </w:t>
            </w:r>
          </w:p>
        </w:tc>
        <w:tc>
          <w:tcPr>
            <w:tcW w:w="1417"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eastAsia="Times New Roman" w:cs="Calibri"/>
                <w:color w:val="000000"/>
                <w:sz w:val="20"/>
                <w:szCs w:val="20"/>
                <w:lang w:val="fr-FR" w:eastAsia="en-GB"/>
              </w:rPr>
            </w:pPr>
          </w:p>
        </w:tc>
        <w:tc>
          <w:tcPr>
            <w:tcW w:w="1276"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134"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276"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417"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276"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276"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417"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c>
          <w:tcPr>
            <w:tcW w:w="1276" w:type="dxa"/>
            <w:tcBorders>
              <w:top w:val="single" w:sz="4" w:space="0" w:color="auto"/>
              <w:left w:val="nil"/>
              <w:bottom w:val="nil"/>
              <w:right w:val="nil"/>
            </w:tcBorders>
            <w:shd w:val="clear" w:color="auto" w:fill="auto"/>
            <w:noWrap/>
            <w:vAlign w:val="bottom"/>
            <w:hideMark/>
          </w:tcPr>
          <w:p w:rsidR="00AD2992" w:rsidRPr="00941FA7" w:rsidRDefault="00AD2992" w:rsidP="00F270A8">
            <w:pPr>
              <w:ind w:left="0" w:firstLine="0"/>
              <w:rPr>
                <w:rFonts w:ascii="Times New Roman" w:eastAsia="Times New Roman" w:hAnsi="Times New Roman"/>
                <w:sz w:val="20"/>
                <w:szCs w:val="20"/>
                <w:lang w:val="fr-FR" w:eastAsia="en-GB"/>
              </w:rPr>
            </w:pPr>
          </w:p>
        </w:tc>
      </w:tr>
      <w:tr w:rsidR="00AD2992" w:rsidRPr="008939B8" w:rsidTr="009A2FB6">
        <w:trPr>
          <w:trHeight w:val="255"/>
        </w:trPr>
        <w:tc>
          <w:tcPr>
            <w:tcW w:w="14884" w:type="dxa"/>
            <w:gridSpan w:val="10"/>
            <w:tcBorders>
              <w:top w:val="nil"/>
              <w:left w:val="nil"/>
              <w:bottom w:val="nil"/>
              <w:right w:val="nil"/>
            </w:tcBorders>
            <w:shd w:val="clear" w:color="auto" w:fill="auto"/>
            <w:noWrap/>
            <w:vAlign w:val="center"/>
            <w:hideMark/>
          </w:tcPr>
          <w:p w:rsidR="00AD2992" w:rsidRPr="0014156A" w:rsidRDefault="00AD2992" w:rsidP="00AD2992">
            <w:pPr>
              <w:ind w:left="0" w:firstLine="0"/>
              <w:rPr>
                <w:rFonts w:ascii="Times New Roman" w:eastAsia="Times New Roman" w:hAnsi="Times New Roman"/>
                <w:sz w:val="20"/>
                <w:szCs w:val="20"/>
                <w:lang w:val="fr-FR" w:eastAsia="en-GB"/>
              </w:rPr>
            </w:pPr>
            <w:r w:rsidRPr="0014156A">
              <w:rPr>
                <w:rFonts w:eastAsia="Times New Roman" w:cs="Calibri"/>
                <w:sz w:val="20"/>
                <w:szCs w:val="20"/>
                <w:lang w:val="fr-FR" w:eastAsia="en-GB"/>
              </w:rPr>
              <w:t>1)</w:t>
            </w:r>
            <w:r w:rsidRPr="0014156A">
              <w:rPr>
                <w:rFonts w:ascii="Times New Roman" w:eastAsia="Times New Roman" w:hAnsi="Times New Roman"/>
                <w:sz w:val="14"/>
                <w:szCs w:val="14"/>
                <w:lang w:val="fr-FR" w:eastAsia="en-GB"/>
              </w:rPr>
              <w:t xml:space="preserve">       </w:t>
            </w:r>
            <w:r w:rsidRPr="0014156A">
              <w:rPr>
                <w:rFonts w:eastAsia="Times New Roman" w:cs="Calibri"/>
                <w:sz w:val="20"/>
                <w:szCs w:val="20"/>
                <w:lang w:val="fr-FR" w:eastAsia="en-GB"/>
              </w:rPr>
              <w:t>Voir le Tableau 1 pour le détail des fonds préengagés en 2021 à dépenser en 2022</w:t>
            </w:r>
          </w:p>
        </w:tc>
      </w:tr>
      <w:tr w:rsidR="00AD2992" w:rsidRPr="008939B8" w:rsidTr="0014156A">
        <w:trPr>
          <w:trHeight w:val="100"/>
        </w:trPr>
        <w:tc>
          <w:tcPr>
            <w:tcW w:w="14884" w:type="dxa"/>
            <w:gridSpan w:val="10"/>
            <w:tcBorders>
              <w:top w:val="nil"/>
              <w:left w:val="nil"/>
              <w:bottom w:val="nil"/>
              <w:right w:val="nil"/>
            </w:tcBorders>
            <w:shd w:val="clear" w:color="auto" w:fill="auto"/>
            <w:noWrap/>
            <w:vAlign w:val="center"/>
            <w:hideMark/>
          </w:tcPr>
          <w:p w:rsidR="00AD2992" w:rsidRPr="0014156A" w:rsidRDefault="00AD2992" w:rsidP="004D3405">
            <w:pPr>
              <w:ind w:left="0" w:firstLine="0"/>
              <w:rPr>
                <w:rFonts w:ascii="Times New Roman" w:eastAsia="Times New Roman" w:hAnsi="Times New Roman"/>
                <w:sz w:val="20"/>
                <w:szCs w:val="20"/>
                <w:lang w:val="fr-FR" w:eastAsia="en-GB"/>
              </w:rPr>
            </w:pPr>
            <w:r w:rsidRPr="0014156A">
              <w:rPr>
                <w:rFonts w:eastAsia="Times New Roman" w:cs="Calibri"/>
                <w:sz w:val="20"/>
                <w:szCs w:val="20"/>
                <w:lang w:val="fr-FR" w:eastAsia="en-GB"/>
              </w:rPr>
              <w:t>2)</w:t>
            </w:r>
            <w:r w:rsidRPr="0014156A">
              <w:rPr>
                <w:rFonts w:eastAsia="Times New Roman" w:cs="Calibri"/>
                <w:sz w:val="14"/>
                <w:szCs w:val="14"/>
                <w:lang w:val="fr-FR" w:eastAsia="en-GB"/>
              </w:rPr>
              <w:t>      </w:t>
            </w:r>
            <w:r w:rsidRPr="0014156A">
              <w:rPr>
                <w:rFonts w:eastAsia="Times New Roman" w:cs="Calibri"/>
                <w:sz w:val="20"/>
                <w:szCs w:val="20"/>
                <w:lang w:val="fr-FR" w:eastAsia="en-GB"/>
              </w:rPr>
              <w:t>Approuvée par les décisions de la SC59.</w:t>
            </w:r>
          </w:p>
        </w:tc>
      </w:tr>
    </w:tbl>
    <w:p w:rsidR="00F270A8" w:rsidRPr="00941FA7" w:rsidRDefault="00F270A8" w:rsidP="007114B2">
      <w:pPr>
        <w:ind w:left="0" w:firstLine="0"/>
        <w:rPr>
          <w:rFonts w:eastAsia="Times New Roman" w:cs="Calibri"/>
          <w:color w:val="000000"/>
          <w:sz w:val="20"/>
          <w:szCs w:val="20"/>
          <w:lang w:val="fr-FR" w:eastAsia="en-GB"/>
        </w:rPr>
      </w:pPr>
    </w:p>
    <w:p w:rsidR="007A4B88" w:rsidRPr="00941FA7" w:rsidRDefault="007A4B88" w:rsidP="007A4B88">
      <w:pPr>
        <w:ind w:left="426" w:hanging="426"/>
        <w:rPr>
          <w:rFonts w:eastAsia="Times New Roman" w:cs="Calibri"/>
          <w:color w:val="000000"/>
          <w:sz w:val="20"/>
          <w:szCs w:val="20"/>
          <w:lang w:val="fr-FR" w:eastAsia="en-GB"/>
        </w:rPr>
      </w:pPr>
      <w:r w:rsidRPr="00941FA7">
        <w:rPr>
          <w:rFonts w:eastAsia="Times New Roman" w:cs="Calibri"/>
          <w:color w:val="000000"/>
          <w:sz w:val="20"/>
          <w:szCs w:val="20"/>
          <w:lang w:val="fr-FR" w:eastAsia="en-GB"/>
        </w:rPr>
        <w:br w:type="page"/>
      </w:r>
    </w:p>
    <w:p w:rsidR="00C26079" w:rsidRPr="00941FA7" w:rsidRDefault="00C26079" w:rsidP="007A4B88">
      <w:pPr>
        <w:ind w:left="426" w:hanging="426"/>
        <w:rPr>
          <w:rFonts w:eastAsia="Times New Roman" w:cs="Calibri"/>
          <w:color w:val="000000"/>
          <w:sz w:val="20"/>
          <w:szCs w:val="20"/>
          <w:lang w:val="fr-FR" w:eastAsia="en-GB"/>
        </w:rPr>
        <w:sectPr w:rsidR="00C26079" w:rsidRPr="00941FA7" w:rsidSect="00761962">
          <w:footerReference w:type="default" r:id="rId12"/>
          <w:pgSz w:w="16838" w:h="11906" w:orient="landscape" w:code="9"/>
          <w:pgMar w:top="1440" w:right="1440" w:bottom="1440" w:left="1440" w:header="709" w:footer="709" w:gutter="0"/>
          <w:cols w:space="708"/>
          <w:docGrid w:linePitch="360"/>
        </w:sectPr>
      </w:pPr>
    </w:p>
    <w:p w:rsidR="00BA0F3C" w:rsidRPr="00941FA7" w:rsidRDefault="001458BE" w:rsidP="007114B2">
      <w:pPr>
        <w:ind w:left="0" w:firstLine="0"/>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lastRenderedPageBreak/>
        <w:t>Annex</w:t>
      </w:r>
      <w:r w:rsidR="00D749FF" w:rsidRPr="00941FA7">
        <w:rPr>
          <w:rFonts w:asciiTheme="minorHAnsi" w:eastAsia="Times New Roman" w:hAnsiTheme="minorHAnsi" w:cs="Arial"/>
          <w:b/>
          <w:bCs/>
          <w:sz w:val="24"/>
          <w:szCs w:val="24"/>
          <w:lang w:val="fr-FR" w:eastAsia="en-GB"/>
        </w:rPr>
        <w:t>e</w:t>
      </w:r>
      <w:r w:rsidRPr="00941FA7">
        <w:rPr>
          <w:rFonts w:asciiTheme="minorHAnsi" w:eastAsia="Times New Roman" w:hAnsiTheme="minorHAnsi" w:cs="Arial"/>
          <w:b/>
          <w:bCs/>
          <w:sz w:val="24"/>
          <w:szCs w:val="24"/>
          <w:lang w:val="fr-FR" w:eastAsia="en-GB"/>
        </w:rPr>
        <w:t xml:space="preserve"> 3</w:t>
      </w:r>
    </w:p>
    <w:p w:rsidR="00330040" w:rsidRPr="00941FA7" w:rsidRDefault="00D749FF" w:rsidP="007114B2">
      <w:pPr>
        <w:ind w:left="0" w:firstLine="0"/>
        <w:rPr>
          <w:rFonts w:asciiTheme="minorHAnsi" w:eastAsia="Times New Roman" w:hAnsiTheme="minorHAnsi" w:cs="Arial"/>
          <w:b/>
          <w:bCs/>
          <w:lang w:val="fr-FR" w:eastAsia="en-GB"/>
        </w:rPr>
      </w:pPr>
      <w:r w:rsidRPr="00941FA7">
        <w:rPr>
          <w:rFonts w:asciiTheme="minorHAnsi" w:eastAsia="Times New Roman" w:hAnsiTheme="minorHAnsi" w:cs="Arial"/>
          <w:b/>
          <w:bCs/>
          <w:lang w:val="fr-FR" w:eastAsia="en-GB"/>
        </w:rPr>
        <w:t xml:space="preserve">Projets financés à partir de fonds affectés, du 1er janvier </w:t>
      </w:r>
      <w:r w:rsidR="007C6B16" w:rsidRPr="00941FA7">
        <w:rPr>
          <w:rFonts w:asciiTheme="minorHAnsi" w:eastAsia="Times New Roman" w:hAnsiTheme="minorHAnsi" w:cs="Arial"/>
          <w:b/>
          <w:bCs/>
          <w:lang w:val="fr-FR" w:eastAsia="en-GB"/>
        </w:rPr>
        <w:t>2021</w:t>
      </w:r>
      <w:r w:rsidRPr="00941FA7">
        <w:rPr>
          <w:rFonts w:asciiTheme="minorHAnsi" w:eastAsia="Times New Roman" w:hAnsiTheme="minorHAnsi" w:cs="Arial"/>
          <w:b/>
          <w:bCs/>
          <w:lang w:val="fr-FR" w:eastAsia="en-GB"/>
        </w:rPr>
        <w:t xml:space="preserve"> au</w:t>
      </w:r>
      <w:r w:rsidR="001458BE" w:rsidRPr="00941FA7">
        <w:rPr>
          <w:rFonts w:asciiTheme="minorHAnsi" w:eastAsia="Times New Roman" w:hAnsiTheme="minorHAnsi" w:cs="Arial"/>
          <w:b/>
          <w:bCs/>
          <w:lang w:val="fr-FR" w:eastAsia="en-GB"/>
        </w:rPr>
        <w:t xml:space="preserve"> 31 </w:t>
      </w:r>
      <w:r w:rsidRPr="00941FA7">
        <w:rPr>
          <w:rFonts w:asciiTheme="minorHAnsi" w:eastAsia="Times New Roman" w:hAnsiTheme="minorHAnsi" w:cs="Arial"/>
          <w:b/>
          <w:bCs/>
          <w:lang w:val="fr-FR" w:eastAsia="en-GB"/>
        </w:rPr>
        <w:t>décembre</w:t>
      </w:r>
      <w:r w:rsidR="001458BE" w:rsidRPr="00941FA7">
        <w:rPr>
          <w:rFonts w:asciiTheme="minorHAnsi" w:eastAsia="Times New Roman" w:hAnsiTheme="minorHAnsi" w:cs="Arial"/>
          <w:b/>
          <w:bCs/>
          <w:lang w:val="fr-FR" w:eastAsia="en-GB"/>
        </w:rPr>
        <w:t xml:space="preserve"> </w:t>
      </w:r>
      <w:r w:rsidR="007C6B16" w:rsidRPr="00941FA7">
        <w:rPr>
          <w:rFonts w:asciiTheme="minorHAnsi" w:eastAsia="Times New Roman" w:hAnsiTheme="minorHAnsi" w:cs="Arial"/>
          <w:b/>
          <w:bCs/>
          <w:lang w:val="fr-FR" w:eastAsia="en-GB"/>
        </w:rPr>
        <w:t>2021</w:t>
      </w:r>
    </w:p>
    <w:p w:rsidR="00413AEE" w:rsidRPr="00941FA7" w:rsidRDefault="00D749FF" w:rsidP="007114B2">
      <w:pPr>
        <w:ind w:left="0" w:firstLine="0"/>
        <w:rPr>
          <w:rFonts w:asciiTheme="minorHAnsi" w:eastAsia="Times New Roman" w:hAnsiTheme="minorHAnsi" w:cs="Arial"/>
          <w:bCs/>
          <w:i/>
          <w:sz w:val="20"/>
          <w:szCs w:val="20"/>
          <w:lang w:val="fr-FR" w:eastAsia="en-GB"/>
        </w:rPr>
      </w:pPr>
      <w:r w:rsidRPr="00941FA7">
        <w:rPr>
          <w:rFonts w:asciiTheme="minorHAnsi" w:eastAsia="Times New Roman" w:hAnsiTheme="minorHAnsi" w:cs="Arial"/>
          <w:bCs/>
          <w:i/>
          <w:sz w:val="20"/>
          <w:szCs w:val="20"/>
          <w:lang w:val="fr-FR" w:eastAsia="en-GB"/>
        </w:rPr>
        <w:t>(en milliers de CHF, incluant d’éventuels écarts d’arrondis)</w:t>
      </w:r>
    </w:p>
    <w:p w:rsidR="00666EE5" w:rsidRPr="00941FA7" w:rsidRDefault="00666EE5" w:rsidP="00BC15DE">
      <w:pPr>
        <w:rPr>
          <w:rFonts w:asciiTheme="minorHAnsi" w:eastAsia="Times New Roman" w:hAnsiTheme="minorHAnsi" w:cs="Arial"/>
          <w:bCs/>
          <w:lang w:val="fr-FR" w:eastAsia="en-GB"/>
        </w:rPr>
      </w:pPr>
    </w:p>
    <w:tbl>
      <w:tblPr>
        <w:tblW w:w="9576" w:type="dxa"/>
        <w:tblInd w:w="-30" w:type="dxa"/>
        <w:tblLayout w:type="fixed"/>
        <w:tblLook w:val="0000" w:firstRow="0" w:lastRow="0" w:firstColumn="0" w:lastColumn="0" w:noHBand="0" w:noVBand="0"/>
      </w:tblPr>
      <w:tblGrid>
        <w:gridCol w:w="1306"/>
        <w:gridCol w:w="709"/>
        <w:gridCol w:w="2375"/>
        <w:gridCol w:w="1072"/>
        <w:gridCol w:w="68"/>
        <w:gridCol w:w="1005"/>
        <w:gridCol w:w="1006"/>
        <w:gridCol w:w="7"/>
        <w:gridCol w:w="998"/>
        <w:gridCol w:w="16"/>
        <w:gridCol w:w="1014"/>
      </w:tblGrid>
      <w:tr w:rsidR="0012707B" w:rsidRPr="00941FA7" w:rsidTr="00E53CE6">
        <w:tc>
          <w:tcPr>
            <w:tcW w:w="1306" w:type="dxa"/>
            <w:tcBorders>
              <w:top w:val="single" w:sz="12" w:space="0" w:color="auto"/>
              <w:left w:val="nil"/>
              <w:bottom w:val="nil"/>
              <w:right w:val="nil"/>
            </w:tcBorders>
            <w:shd w:val="clear" w:color="auto" w:fill="D6E3BC" w:themeFill="accent3" w:themeFillTint="66"/>
          </w:tcPr>
          <w:p w:rsidR="0012707B" w:rsidRPr="00941FA7" w:rsidRDefault="00D749FF" w:rsidP="001F03B5">
            <w:pPr>
              <w:ind w:left="0" w:firstLine="0"/>
              <w:jc w:val="center"/>
              <w:rPr>
                <w:rFonts w:eastAsiaTheme="minorHAnsi" w:cs="Calibri"/>
                <w:b/>
                <w:bCs/>
                <w:color w:val="000000"/>
                <w:sz w:val="20"/>
                <w:szCs w:val="20"/>
                <w:lang w:val="fr-FR"/>
              </w:rPr>
            </w:pPr>
            <w:r w:rsidRPr="00941FA7">
              <w:rPr>
                <w:rFonts w:eastAsiaTheme="minorHAnsi" w:cs="Calibri"/>
                <w:b/>
                <w:bCs/>
                <w:color w:val="000000"/>
                <w:sz w:val="20"/>
                <w:szCs w:val="20"/>
                <w:lang w:val="fr-FR"/>
              </w:rPr>
              <w:t>Numéro du projet</w:t>
            </w:r>
          </w:p>
        </w:tc>
        <w:tc>
          <w:tcPr>
            <w:tcW w:w="3084" w:type="dxa"/>
            <w:gridSpan w:val="2"/>
            <w:tcBorders>
              <w:top w:val="single" w:sz="12" w:space="0" w:color="auto"/>
              <w:left w:val="nil"/>
              <w:bottom w:val="nil"/>
              <w:right w:val="nil"/>
            </w:tcBorders>
            <w:shd w:val="clear" w:color="auto" w:fill="D6E3BC" w:themeFill="accent3" w:themeFillTint="66"/>
          </w:tcPr>
          <w:p w:rsidR="0012707B" w:rsidRPr="00941FA7" w:rsidRDefault="001F03B5" w:rsidP="001F03B5">
            <w:pPr>
              <w:ind w:left="0" w:firstLine="0"/>
              <w:jc w:val="center"/>
              <w:rPr>
                <w:rFonts w:eastAsiaTheme="minorHAnsi" w:cs="Calibri"/>
                <w:b/>
                <w:bCs/>
                <w:color w:val="000000"/>
                <w:sz w:val="20"/>
                <w:szCs w:val="20"/>
                <w:lang w:val="fr-FR"/>
              </w:rPr>
            </w:pPr>
            <w:r w:rsidRPr="00941FA7">
              <w:rPr>
                <w:rFonts w:eastAsiaTheme="minorHAnsi" w:cs="Calibri"/>
                <w:b/>
                <w:bCs/>
                <w:color w:val="000000"/>
                <w:sz w:val="20"/>
                <w:szCs w:val="20"/>
                <w:lang w:val="fr-FR"/>
              </w:rPr>
              <w:t>Nom du projet</w:t>
            </w:r>
          </w:p>
        </w:tc>
        <w:tc>
          <w:tcPr>
            <w:tcW w:w="1072" w:type="dxa"/>
            <w:tcBorders>
              <w:top w:val="single" w:sz="12" w:space="0" w:color="auto"/>
              <w:left w:val="nil"/>
              <w:bottom w:val="nil"/>
              <w:right w:val="nil"/>
            </w:tcBorders>
            <w:shd w:val="clear" w:color="auto" w:fill="D6E3BC" w:themeFill="accent3" w:themeFillTint="66"/>
          </w:tcPr>
          <w:p w:rsidR="0012707B" w:rsidRPr="00941FA7" w:rsidRDefault="001F03B5" w:rsidP="001F03B5">
            <w:pPr>
              <w:ind w:left="0" w:firstLine="0"/>
              <w:jc w:val="center"/>
              <w:rPr>
                <w:rFonts w:eastAsiaTheme="minorHAnsi" w:cs="Calibri"/>
                <w:b/>
                <w:bCs/>
                <w:color w:val="000000"/>
                <w:sz w:val="20"/>
                <w:szCs w:val="20"/>
                <w:lang w:val="fr-FR"/>
              </w:rPr>
            </w:pPr>
            <w:r w:rsidRPr="00941FA7">
              <w:rPr>
                <w:rFonts w:eastAsiaTheme="minorHAnsi" w:cs="Calibri"/>
                <w:b/>
                <w:bCs/>
                <w:color w:val="000000"/>
                <w:sz w:val="20"/>
                <w:szCs w:val="20"/>
                <w:lang w:val="fr-FR"/>
              </w:rPr>
              <w:t>Solde (dé</w:t>
            </w:r>
            <w:r w:rsidR="0012707B" w:rsidRPr="00941FA7">
              <w:rPr>
                <w:rFonts w:eastAsiaTheme="minorHAnsi" w:cs="Calibri"/>
                <w:b/>
                <w:bCs/>
                <w:color w:val="000000"/>
                <w:sz w:val="20"/>
                <w:szCs w:val="20"/>
                <w:lang w:val="fr-FR"/>
              </w:rPr>
              <w:t xml:space="preserve">ficit) </w:t>
            </w:r>
            <w:r w:rsidRPr="00941FA7">
              <w:rPr>
                <w:rFonts w:eastAsiaTheme="minorHAnsi" w:cs="Calibri"/>
                <w:b/>
                <w:bCs/>
                <w:color w:val="000000"/>
                <w:sz w:val="20"/>
                <w:szCs w:val="20"/>
                <w:lang w:val="fr-FR"/>
              </w:rPr>
              <w:t>au 31 Dé</w:t>
            </w:r>
            <w:r w:rsidR="0012707B" w:rsidRPr="00941FA7">
              <w:rPr>
                <w:rFonts w:eastAsiaTheme="minorHAnsi" w:cs="Calibri"/>
                <w:b/>
                <w:bCs/>
                <w:color w:val="000000"/>
                <w:sz w:val="20"/>
                <w:szCs w:val="20"/>
                <w:lang w:val="fr-FR"/>
              </w:rPr>
              <w:t>cemb</w:t>
            </w:r>
            <w:r w:rsidRPr="00941FA7">
              <w:rPr>
                <w:rFonts w:eastAsiaTheme="minorHAnsi" w:cs="Calibri"/>
                <w:b/>
                <w:bCs/>
                <w:color w:val="000000"/>
                <w:sz w:val="20"/>
                <w:szCs w:val="20"/>
                <w:lang w:val="fr-FR"/>
              </w:rPr>
              <w:t xml:space="preserve">re </w:t>
            </w:r>
            <w:r w:rsidR="0012707B" w:rsidRPr="00941FA7">
              <w:rPr>
                <w:rFonts w:eastAsiaTheme="minorHAnsi" w:cs="Calibri"/>
                <w:b/>
                <w:bCs/>
                <w:color w:val="000000"/>
                <w:sz w:val="20"/>
                <w:szCs w:val="20"/>
                <w:lang w:val="fr-FR"/>
              </w:rPr>
              <w:t>2020</w:t>
            </w:r>
          </w:p>
        </w:tc>
        <w:tc>
          <w:tcPr>
            <w:tcW w:w="1073" w:type="dxa"/>
            <w:gridSpan w:val="2"/>
            <w:tcBorders>
              <w:top w:val="single" w:sz="12" w:space="0" w:color="auto"/>
              <w:left w:val="nil"/>
              <w:bottom w:val="nil"/>
              <w:right w:val="nil"/>
            </w:tcBorders>
            <w:shd w:val="clear" w:color="auto" w:fill="D6E3BC" w:themeFill="accent3" w:themeFillTint="66"/>
          </w:tcPr>
          <w:p w:rsidR="0012707B" w:rsidRPr="00941FA7" w:rsidRDefault="001F03B5" w:rsidP="001F03B5">
            <w:pPr>
              <w:ind w:left="0" w:firstLine="0"/>
              <w:jc w:val="center"/>
              <w:rPr>
                <w:rFonts w:eastAsiaTheme="minorHAnsi" w:cs="Calibri"/>
                <w:b/>
                <w:bCs/>
                <w:color w:val="000000"/>
                <w:sz w:val="20"/>
                <w:szCs w:val="20"/>
                <w:lang w:val="fr-FR"/>
              </w:rPr>
            </w:pPr>
            <w:r w:rsidRPr="00941FA7">
              <w:rPr>
                <w:rFonts w:eastAsiaTheme="minorHAnsi" w:cs="Calibri"/>
                <w:b/>
                <w:bCs/>
                <w:color w:val="000000"/>
                <w:sz w:val="20"/>
                <w:szCs w:val="20"/>
                <w:lang w:val="fr-FR"/>
              </w:rPr>
              <w:t>Recettes en</w:t>
            </w:r>
            <w:r w:rsidR="0012707B" w:rsidRPr="00941FA7">
              <w:rPr>
                <w:rFonts w:eastAsiaTheme="minorHAnsi" w:cs="Calibri"/>
                <w:b/>
                <w:bCs/>
                <w:color w:val="000000"/>
                <w:sz w:val="20"/>
                <w:szCs w:val="20"/>
                <w:lang w:val="fr-FR"/>
              </w:rPr>
              <w:t xml:space="preserve"> 2021</w:t>
            </w:r>
          </w:p>
        </w:tc>
        <w:tc>
          <w:tcPr>
            <w:tcW w:w="1013" w:type="dxa"/>
            <w:gridSpan w:val="2"/>
            <w:tcBorders>
              <w:top w:val="single" w:sz="12" w:space="0" w:color="auto"/>
              <w:left w:val="nil"/>
              <w:bottom w:val="nil"/>
              <w:right w:val="nil"/>
            </w:tcBorders>
            <w:shd w:val="clear" w:color="auto" w:fill="D6E3BC" w:themeFill="accent3" w:themeFillTint="66"/>
          </w:tcPr>
          <w:p w:rsidR="0012707B" w:rsidRPr="00941FA7" w:rsidRDefault="001F03B5" w:rsidP="001F03B5">
            <w:pPr>
              <w:ind w:left="0" w:firstLine="0"/>
              <w:jc w:val="center"/>
              <w:rPr>
                <w:rFonts w:eastAsiaTheme="minorHAnsi" w:cs="Calibri"/>
                <w:b/>
                <w:bCs/>
                <w:color w:val="000000"/>
                <w:sz w:val="20"/>
                <w:szCs w:val="20"/>
                <w:lang w:val="fr-FR"/>
              </w:rPr>
            </w:pPr>
            <w:r w:rsidRPr="00941FA7">
              <w:rPr>
                <w:rFonts w:eastAsiaTheme="minorHAnsi" w:cs="Calibri"/>
                <w:b/>
                <w:bCs/>
                <w:color w:val="000000"/>
                <w:sz w:val="20"/>
                <w:szCs w:val="20"/>
                <w:lang w:val="fr-FR"/>
              </w:rPr>
              <w:t>Dépenses en</w:t>
            </w:r>
            <w:r w:rsidR="0012707B" w:rsidRPr="00941FA7">
              <w:rPr>
                <w:rFonts w:eastAsiaTheme="minorHAnsi" w:cs="Calibri"/>
                <w:b/>
                <w:bCs/>
                <w:color w:val="000000"/>
                <w:sz w:val="20"/>
                <w:szCs w:val="20"/>
                <w:lang w:val="fr-FR"/>
              </w:rPr>
              <w:t xml:space="preserve"> 2021</w:t>
            </w:r>
          </w:p>
        </w:tc>
        <w:tc>
          <w:tcPr>
            <w:tcW w:w="1014" w:type="dxa"/>
            <w:gridSpan w:val="2"/>
            <w:tcBorders>
              <w:top w:val="single" w:sz="12" w:space="0" w:color="auto"/>
              <w:left w:val="nil"/>
              <w:bottom w:val="nil"/>
              <w:right w:val="nil"/>
            </w:tcBorders>
            <w:shd w:val="clear" w:color="auto" w:fill="D6E3BC" w:themeFill="accent3" w:themeFillTint="66"/>
          </w:tcPr>
          <w:p w:rsidR="0012707B" w:rsidRPr="00941FA7" w:rsidRDefault="001F03B5" w:rsidP="001F03B5">
            <w:pPr>
              <w:ind w:left="0" w:firstLine="0"/>
              <w:jc w:val="center"/>
              <w:rPr>
                <w:rFonts w:eastAsiaTheme="minorHAnsi" w:cs="Calibri"/>
                <w:b/>
                <w:bCs/>
                <w:color w:val="000000"/>
                <w:sz w:val="20"/>
                <w:szCs w:val="20"/>
                <w:lang w:val="fr-FR"/>
              </w:rPr>
            </w:pPr>
            <w:r w:rsidRPr="00941FA7">
              <w:rPr>
                <w:rFonts w:eastAsiaTheme="minorHAnsi" w:cs="Calibri"/>
                <w:b/>
                <w:bCs/>
                <w:color w:val="000000"/>
                <w:sz w:val="20"/>
                <w:szCs w:val="20"/>
                <w:lang w:val="fr-FR"/>
              </w:rPr>
              <w:t>Transferts de projet et imputations croisées</w:t>
            </w:r>
          </w:p>
        </w:tc>
        <w:tc>
          <w:tcPr>
            <w:tcW w:w="1014" w:type="dxa"/>
            <w:tcBorders>
              <w:top w:val="single" w:sz="12" w:space="0" w:color="auto"/>
              <w:left w:val="nil"/>
              <w:bottom w:val="nil"/>
              <w:right w:val="nil"/>
            </w:tcBorders>
            <w:shd w:val="clear" w:color="auto" w:fill="D6E3BC" w:themeFill="accent3" w:themeFillTint="66"/>
          </w:tcPr>
          <w:p w:rsidR="0012707B" w:rsidRPr="00941FA7" w:rsidRDefault="001F03B5" w:rsidP="001F03B5">
            <w:pPr>
              <w:ind w:left="0" w:firstLine="0"/>
              <w:rPr>
                <w:rFonts w:eastAsiaTheme="minorHAnsi" w:cs="Calibri"/>
                <w:b/>
                <w:bCs/>
                <w:color w:val="000000"/>
                <w:sz w:val="20"/>
                <w:szCs w:val="20"/>
                <w:lang w:val="fr-FR"/>
              </w:rPr>
            </w:pPr>
            <w:r w:rsidRPr="00941FA7">
              <w:rPr>
                <w:rFonts w:eastAsiaTheme="minorHAnsi" w:cs="Calibri"/>
                <w:b/>
                <w:bCs/>
                <w:color w:val="000000"/>
                <w:sz w:val="20"/>
                <w:szCs w:val="20"/>
                <w:lang w:val="fr-FR"/>
              </w:rPr>
              <w:t>Solde (déficit) au 31 décembre 2021</w:t>
            </w:r>
          </w:p>
        </w:tc>
      </w:tr>
      <w:tr w:rsidR="00740865" w:rsidRPr="00941FA7" w:rsidTr="00740865">
        <w:tc>
          <w:tcPr>
            <w:tcW w:w="1306" w:type="dxa"/>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lang w:val="fr-FR"/>
              </w:rPr>
            </w:pPr>
          </w:p>
        </w:tc>
        <w:tc>
          <w:tcPr>
            <w:tcW w:w="3084" w:type="dxa"/>
            <w:gridSpan w:val="2"/>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lang w:val="fr-FR"/>
              </w:rPr>
            </w:pPr>
          </w:p>
        </w:tc>
        <w:tc>
          <w:tcPr>
            <w:tcW w:w="1140" w:type="dxa"/>
            <w:gridSpan w:val="2"/>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(DR)/CR</w:t>
            </w:r>
          </w:p>
        </w:tc>
        <w:tc>
          <w:tcPr>
            <w:tcW w:w="1005" w:type="dxa"/>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(DR)/CR</w:t>
            </w:r>
          </w:p>
        </w:tc>
        <w:tc>
          <w:tcPr>
            <w:tcW w:w="1006" w:type="dxa"/>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(DR)/CR</w:t>
            </w:r>
          </w:p>
        </w:tc>
        <w:tc>
          <w:tcPr>
            <w:tcW w:w="1005" w:type="dxa"/>
            <w:gridSpan w:val="2"/>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(DR)/CR</w:t>
            </w:r>
          </w:p>
        </w:tc>
        <w:tc>
          <w:tcPr>
            <w:tcW w:w="1030" w:type="dxa"/>
            <w:gridSpan w:val="2"/>
            <w:tcBorders>
              <w:top w:val="nil"/>
              <w:left w:val="nil"/>
              <w:bottom w:val="single" w:sz="12" w:space="0" w:color="auto"/>
              <w:right w:val="nil"/>
            </w:tcBorders>
            <w:shd w:val="clear" w:color="auto" w:fill="D6E3BC" w:themeFill="accent3" w:themeFillTint="66"/>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(DR)/CR</w:t>
            </w:r>
          </w:p>
        </w:tc>
      </w:tr>
      <w:tr w:rsidR="00740865" w:rsidRPr="00941FA7" w:rsidTr="00740865">
        <w:tc>
          <w:tcPr>
            <w:tcW w:w="1306" w:type="dxa"/>
            <w:tcBorders>
              <w:top w:val="single" w:sz="12" w:space="0" w:color="auto"/>
              <w:left w:val="nil"/>
              <w:bottom w:val="nil"/>
              <w:right w:val="nil"/>
            </w:tcBorders>
          </w:tcPr>
          <w:p w:rsidR="00740865" w:rsidRPr="00941FA7" w:rsidRDefault="00740865" w:rsidP="00BC15DE">
            <w:pPr>
              <w:rPr>
                <w:rFonts w:eastAsiaTheme="minorHAnsi" w:cs="Calibri"/>
                <w:b/>
                <w:bCs/>
                <w:color w:val="000000"/>
                <w:sz w:val="20"/>
                <w:szCs w:val="20"/>
                <w:lang w:val="fr-FR"/>
              </w:rPr>
            </w:pPr>
          </w:p>
        </w:tc>
        <w:tc>
          <w:tcPr>
            <w:tcW w:w="3084" w:type="dxa"/>
            <w:gridSpan w:val="2"/>
            <w:tcBorders>
              <w:top w:val="single" w:sz="12" w:space="0" w:color="auto"/>
              <w:left w:val="nil"/>
              <w:bottom w:val="nil"/>
              <w:right w:val="nil"/>
            </w:tcBorders>
          </w:tcPr>
          <w:p w:rsidR="00740865" w:rsidRPr="00941FA7" w:rsidRDefault="00740865" w:rsidP="00BC15DE">
            <w:pPr>
              <w:rPr>
                <w:rFonts w:eastAsiaTheme="minorHAnsi" w:cs="Calibri"/>
                <w:b/>
                <w:bCs/>
                <w:color w:val="000000"/>
                <w:sz w:val="20"/>
                <w:szCs w:val="20"/>
                <w:lang w:val="fr-FR"/>
              </w:rPr>
            </w:pPr>
          </w:p>
        </w:tc>
        <w:tc>
          <w:tcPr>
            <w:tcW w:w="1140" w:type="dxa"/>
            <w:gridSpan w:val="2"/>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c>
          <w:tcPr>
            <w:tcW w:w="1005" w:type="dxa"/>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c>
          <w:tcPr>
            <w:tcW w:w="1006" w:type="dxa"/>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c>
          <w:tcPr>
            <w:tcW w:w="1005" w:type="dxa"/>
            <w:gridSpan w:val="2"/>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c>
          <w:tcPr>
            <w:tcW w:w="1030" w:type="dxa"/>
            <w:gridSpan w:val="2"/>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r>
      <w:tr w:rsidR="00740865" w:rsidRPr="00941FA7" w:rsidTr="00740865">
        <w:tc>
          <w:tcPr>
            <w:tcW w:w="4390" w:type="dxa"/>
            <w:gridSpan w:val="3"/>
            <w:tcBorders>
              <w:top w:val="nil"/>
              <w:left w:val="nil"/>
              <w:bottom w:val="nil"/>
              <w:right w:val="nil"/>
            </w:tcBorders>
          </w:tcPr>
          <w:p w:rsidR="00740865" w:rsidRPr="00941FA7" w:rsidRDefault="001F03B5" w:rsidP="001F03B5">
            <w:pPr>
              <w:rPr>
                <w:rFonts w:eastAsiaTheme="minorHAnsi" w:cs="Calibri"/>
                <w:b/>
                <w:bCs/>
                <w:color w:val="000000"/>
                <w:sz w:val="20"/>
                <w:szCs w:val="20"/>
                <w:u w:val="single"/>
                <w:lang w:val="fr-FR"/>
              </w:rPr>
            </w:pPr>
            <w:r w:rsidRPr="00941FA7">
              <w:rPr>
                <w:rFonts w:eastAsiaTheme="minorHAnsi" w:cs="Calibri"/>
                <w:b/>
                <w:bCs/>
                <w:color w:val="000000"/>
                <w:sz w:val="20"/>
                <w:szCs w:val="20"/>
                <w:u w:val="single"/>
                <w:lang w:val="fr-FR"/>
              </w:rPr>
              <w:t>Cooperation i</w:t>
            </w:r>
            <w:r w:rsidR="00740865" w:rsidRPr="00941FA7">
              <w:rPr>
                <w:rFonts w:eastAsiaTheme="minorHAnsi" w:cs="Calibri"/>
                <w:b/>
                <w:bCs/>
                <w:color w:val="000000"/>
                <w:sz w:val="20"/>
                <w:szCs w:val="20"/>
                <w:u w:val="single"/>
                <w:lang w:val="fr-FR"/>
              </w:rPr>
              <w:t>nternational</w:t>
            </w:r>
            <w:r w:rsidRPr="00941FA7">
              <w:rPr>
                <w:rFonts w:eastAsiaTheme="minorHAnsi" w:cs="Calibri"/>
                <w:b/>
                <w:bCs/>
                <w:color w:val="000000"/>
                <w:sz w:val="20"/>
                <w:szCs w:val="20"/>
                <w:u w:val="single"/>
                <w:lang w:val="fr-FR"/>
              </w:rPr>
              <w:t>e</w:t>
            </w:r>
            <w:r w:rsidR="00740865" w:rsidRPr="00941FA7">
              <w:rPr>
                <w:rFonts w:eastAsiaTheme="minorHAnsi" w:cs="Calibri"/>
                <w:b/>
                <w:bCs/>
                <w:color w:val="000000"/>
                <w:sz w:val="20"/>
                <w:szCs w:val="20"/>
                <w:u w:val="single"/>
                <w:lang w:val="fr-FR"/>
              </w:rPr>
              <w:t xml:space="preserve"> </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5" w:type="dxa"/>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6" w:type="dxa"/>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R100163</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SGF-2009-2020</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54</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12707B" w:rsidRPr="00941FA7">
              <w:rPr>
                <w:rFonts w:eastAsiaTheme="minorHAnsi" w:cs="Calibri"/>
                <w:color w:val="000000"/>
                <w:sz w:val="20"/>
                <w:szCs w:val="20"/>
                <w:lang w:val="fr-FR"/>
              </w:rPr>
              <w:t>36</w:t>
            </w: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18</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R100265</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SGA-Pre-2016</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231</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231</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R100266</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SGA-2016</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22</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22</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R100364</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WFF-2014</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26</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26</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R100365</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WFF - 2015-</w:t>
            </w:r>
            <w:r w:rsidR="004356A8" w:rsidRPr="00941FA7">
              <w:rPr>
                <w:rFonts w:eastAsiaTheme="minorHAnsi" w:cs="Calibri"/>
                <w:color w:val="000000"/>
                <w:sz w:val="20"/>
                <w:szCs w:val="20"/>
                <w:lang w:val="fr-FR"/>
              </w:rPr>
              <w:t>2021</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188</w:t>
            </w:r>
          </w:p>
        </w:tc>
        <w:tc>
          <w:tcPr>
            <w:tcW w:w="1005"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19</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12707B" w:rsidRPr="00941FA7">
              <w:rPr>
                <w:rFonts w:eastAsiaTheme="minorHAnsi" w:cs="Calibri"/>
                <w:color w:val="000000"/>
                <w:sz w:val="20"/>
                <w:szCs w:val="20"/>
                <w:lang w:val="fr-FR"/>
              </w:rPr>
              <w:t>56</w:t>
            </w: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150</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R100407</w:t>
            </w:r>
          </w:p>
        </w:tc>
        <w:tc>
          <w:tcPr>
            <w:tcW w:w="3084" w:type="dxa"/>
            <w:gridSpan w:val="2"/>
            <w:tcBorders>
              <w:top w:val="nil"/>
              <w:left w:val="nil"/>
              <w:bottom w:val="nil"/>
              <w:right w:val="nil"/>
            </w:tcBorders>
          </w:tcPr>
          <w:p w:rsidR="00740865" w:rsidRPr="00941FA7" w:rsidRDefault="001F03B5" w:rsidP="001F03B5">
            <w:pPr>
              <w:rPr>
                <w:rFonts w:eastAsiaTheme="minorHAnsi" w:cs="Calibri"/>
                <w:color w:val="000000"/>
                <w:sz w:val="20"/>
                <w:szCs w:val="20"/>
                <w:lang w:val="fr-FR"/>
              </w:rPr>
            </w:pPr>
            <w:r w:rsidRPr="00941FA7">
              <w:rPr>
                <w:rFonts w:eastAsiaTheme="minorHAnsi" w:cs="Calibri"/>
                <w:color w:val="000000"/>
                <w:sz w:val="20"/>
                <w:szCs w:val="20"/>
                <w:lang w:val="fr-FR"/>
              </w:rPr>
              <w:t>IR Asie centrale (Norvège)</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3</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(2)</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0</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R100408</w:t>
            </w:r>
          </w:p>
        </w:tc>
        <w:tc>
          <w:tcPr>
            <w:tcW w:w="3084" w:type="dxa"/>
            <w:gridSpan w:val="2"/>
            <w:tcBorders>
              <w:top w:val="nil"/>
              <w:left w:val="nil"/>
              <w:bottom w:val="nil"/>
              <w:right w:val="nil"/>
            </w:tcBorders>
          </w:tcPr>
          <w:p w:rsidR="00740865" w:rsidRPr="00941FA7" w:rsidRDefault="001F03B5" w:rsidP="001F03B5">
            <w:pPr>
              <w:ind w:left="0" w:firstLine="0"/>
              <w:rPr>
                <w:rFonts w:eastAsiaTheme="minorHAnsi" w:cs="Calibri"/>
                <w:color w:val="000000"/>
                <w:sz w:val="20"/>
                <w:szCs w:val="20"/>
                <w:lang w:val="fr-FR"/>
              </w:rPr>
            </w:pPr>
            <w:r w:rsidRPr="00941FA7">
              <w:rPr>
                <w:rFonts w:eastAsiaTheme="minorHAnsi" w:cs="Calibri"/>
                <w:color w:val="000000"/>
                <w:sz w:val="20"/>
                <w:szCs w:val="20"/>
                <w:lang w:val="fr-FR"/>
              </w:rPr>
              <w:t>Fonds Nagao pour les zones humides (NEF Japon)</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159</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(19)</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140</w:t>
            </w:r>
          </w:p>
        </w:tc>
      </w:tr>
      <w:tr w:rsidR="00740865" w:rsidRPr="00941FA7" w:rsidTr="00740865">
        <w:tc>
          <w:tcPr>
            <w:tcW w:w="1306" w:type="dxa"/>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3084"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140"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05" w:type="dxa"/>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06" w:type="dxa"/>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05"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30"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r>
      <w:tr w:rsidR="00740865" w:rsidRPr="00941FA7" w:rsidTr="00740865">
        <w:tc>
          <w:tcPr>
            <w:tcW w:w="4390" w:type="dxa"/>
            <w:gridSpan w:val="3"/>
            <w:tcBorders>
              <w:top w:val="single" w:sz="12" w:space="0" w:color="auto"/>
              <w:left w:val="nil"/>
              <w:bottom w:val="single" w:sz="12" w:space="0" w:color="auto"/>
              <w:right w:val="nil"/>
            </w:tcBorders>
            <w:shd w:val="clear" w:color="auto" w:fill="EAF1DD" w:themeFill="accent3" w:themeFillTint="33"/>
          </w:tcPr>
          <w:p w:rsidR="00740865" w:rsidRPr="00941FA7" w:rsidRDefault="00740865" w:rsidP="00B37BA4">
            <w:pPr>
              <w:rPr>
                <w:rFonts w:eastAsiaTheme="minorHAnsi" w:cs="Calibri"/>
                <w:b/>
                <w:bCs/>
                <w:color w:val="000000"/>
                <w:sz w:val="20"/>
                <w:szCs w:val="20"/>
                <w:lang w:val="fr-FR"/>
              </w:rPr>
            </w:pPr>
            <w:r w:rsidRPr="00941FA7">
              <w:rPr>
                <w:rFonts w:eastAsiaTheme="minorHAnsi" w:cs="Calibri"/>
                <w:b/>
                <w:bCs/>
                <w:color w:val="000000"/>
                <w:sz w:val="20"/>
                <w:szCs w:val="20"/>
                <w:lang w:val="fr-FR"/>
              </w:rPr>
              <w:t xml:space="preserve">Total </w:t>
            </w:r>
            <w:r w:rsidR="00B37BA4" w:rsidRPr="00941FA7">
              <w:rPr>
                <w:rFonts w:eastAsiaTheme="minorHAnsi" w:cs="Calibri"/>
                <w:b/>
                <w:bCs/>
                <w:color w:val="000000"/>
                <w:sz w:val="20"/>
                <w:szCs w:val="20"/>
                <w:lang w:val="fr-FR"/>
              </w:rPr>
              <w:t xml:space="preserve">de la </w:t>
            </w:r>
            <w:r w:rsidR="003F7878" w:rsidRPr="00941FA7">
              <w:rPr>
                <w:rFonts w:eastAsiaTheme="minorHAnsi" w:cs="Calibri"/>
                <w:b/>
                <w:bCs/>
                <w:color w:val="000000"/>
                <w:sz w:val="20"/>
                <w:szCs w:val="20"/>
                <w:lang w:val="fr-FR"/>
              </w:rPr>
              <w:t>coopération</w:t>
            </w:r>
            <w:r w:rsidR="00B37BA4" w:rsidRPr="00941FA7">
              <w:rPr>
                <w:rFonts w:eastAsiaTheme="minorHAnsi" w:cs="Calibri"/>
                <w:b/>
                <w:bCs/>
                <w:color w:val="000000"/>
                <w:sz w:val="20"/>
                <w:szCs w:val="20"/>
                <w:lang w:val="fr-FR"/>
              </w:rPr>
              <w:t xml:space="preserve"> internationale</w:t>
            </w:r>
          </w:p>
        </w:tc>
        <w:tc>
          <w:tcPr>
            <w:tcW w:w="1140" w:type="dxa"/>
            <w:gridSpan w:val="2"/>
            <w:tcBorders>
              <w:top w:val="nil"/>
              <w:left w:val="nil"/>
              <w:bottom w:val="single" w:sz="12" w:space="0" w:color="auto"/>
              <w:right w:val="nil"/>
            </w:tcBorders>
            <w:shd w:val="clear" w:color="auto" w:fill="EAF1DD" w:themeFill="accent3" w:themeFillTint="33"/>
          </w:tcPr>
          <w:p w:rsidR="00740865" w:rsidRPr="00941FA7" w:rsidRDefault="0012707B"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681</w:t>
            </w:r>
          </w:p>
        </w:tc>
        <w:tc>
          <w:tcPr>
            <w:tcW w:w="1005" w:type="dxa"/>
            <w:tcBorders>
              <w:top w:val="nil"/>
              <w:left w:val="nil"/>
              <w:bottom w:val="single" w:sz="12" w:space="0" w:color="auto"/>
              <w:right w:val="nil"/>
            </w:tcBorders>
            <w:shd w:val="clear" w:color="auto" w:fill="EAF1DD" w:themeFill="accent3" w:themeFillTint="33"/>
          </w:tcPr>
          <w:p w:rsidR="00740865" w:rsidRPr="00941FA7" w:rsidRDefault="0012707B"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19</w:t>
            </w:r>
          </w:p>
        </w:tc>
        <w:tc>
          <w:tcPr>
            <w:tcW w:w="1006" w:type="dxa"/>
            <w:tcBorders>
              <w:top w:val="single" w:sz="12" w:space="0" w:color="auto"/>
              <w:left w:val="nil"/>
              <w:bottom w:val="single" w:sz="12" w:space="0" w:color="auto"/>
              <w:right w:val="nil"/>
            </w:tcBorders>
            <w:shd w:val="clear" w:color="auto" w:fill="EAF1DD" w:themeFill="accent3" w:themeFillTint="33"/>
          </w:tcPr>
          <w:p w:rsidR="00740865" w:rsidRPr="00941FA7" w:rsidRDefault="00740865"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w:t>
            </w:r>
            <w:r w:rsidR="0012707B" w:rsidRPr="00941FA7">
              <w:rPr>
                <w:rFonts w:eastAsiaTheme="minorHAnsi" w:cs="Calibri"/>
                <w:b/>
                <w:bCs/>
                <w:color w:val="000000"/>
                <w:sz w:val="20"/>
                <w:szCs w:val="20"/>
                <w:lang w:val="fr-FR"/>
              </w:rPr>
              <w:t>114</w:t>
            </w:r>
            <w:r w:rsidRPr="00941FA7">
              <w:rPr>
                <w:rFonts w:eastAsiaTheme="minorHAnsi" w:cs="Calibri"/>
                <w:b/>
                <w:bCs/>
                <w:color w:val="000000"/>
                <w:sz w:val="20"/>
                <w:szCs w:val="20"/>
                <w:lang w:val="fr-FR"/>
              </w:rPr>
              <w:t>)</w:t>
            </w:r>
          </w:p>
        </w:tc>
        <w:tc>
          <w:tcPr>
            <w:tcW w:w="1005" w:type="dxa"/>
            <w:gridSpan w:val="2"/>
            <w:tcBorders>
              <w:top w:val="single" w:sz="12" w:space="0" w:color="auto"/>
              <w:left w:val="nil"/>
              <w:bottom w:val="single" w:sz="12" w:space="0" w:color="auto"/>
              <w:right w:val="nil"/>
            </w:tcBorders>
            <w:shd w:val="clear" w:color="auto" w:fill="EAF1DD" w:themeFill="accent3" w:themeFillTint="33"/>
          </w:tcPr>
          <w:p w:rsidR="00740865" w:rsidRPr="00941FA7" w:rsidRDefault="0012707B"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rsidR="00740865" w:rsidRPr="00941FA7" w:rsidRDefault="0012707B"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586</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5" w:type="dxa"/>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6" w:type="dxa"/>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c>
          <w:tcPr>
            <w:tcW w:w="1005" w:type="dxa"/>
            <w:gridSpan w:val="2"/>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c>
          <w:tcPr>
            <w:tcW w:w="1030" w:type="dxa"/>
            <w:gridSpan w:val="2"/>
            <w:tcBorders>
              <w:top w:val="single" w:sz="12" w:space="0" w:color="auto"/>
              <w:left w:val="nil"/>
              <w:bottom w:val="nil"/>
              <w:right w:val="nil"/>
            </w:tcBorders>
          </w:tcPr>
          <w:p w:rsidR="00740865" w:rsidRPr="00941FA7" w:rsidRDefault="00740865" w:rsidP="00BC15DE">
            <w:pPr>
              <w:rPr>
                <w:rFonts w:eastAsiaTheme="minorHAnsi" w:cs="Calibri"/>
                <w:color w:val="000000"/>
                <w:lang w:val="fr-FR"/>
              </w:rPr>
            </w:pPr>
          </w:p>
        </w:tc>
      </w:tr>
      <w:tr w:rsidR="0014156A" w:rsidRPr="008939B8" w:rsidTr="000B367E">
        <w:tc>
          <w:tcPr>
            <w:tcW w:w="4390" w:type="dxa"/>
            <w:gridSpan w:val="3"/>
            <w:tcBorders>
              <w:top w:val="nil"/>
              <w:left w:val="nil"/>
              <w:bottom w:val="nil"/>
              <w:right w:val="nil"/>
            </w:tcBorders>
          </w:tcPr>
          <w:p w:rsidR="0014156A" w:rsidRPr="00941FA7" w:rsidRDefault="0014156A" w:rsidP="00BC15DE">
            <w:pPr>
              <w:rPr>
                <w:rFonts w:eastAsiaTheme="minorHAnsi" w:cs="Calibri"/>
                <w:b/>
                <w:bCs/>
                <w:color w:val="000000"/>
                <w:sz w:val="20"/>
                <w:szCs w:val="20"/>
                <w:u w:val="single"/>
                <w:lang w:val="fr-FR"/>
              </w:rPr>
            </w:pPr>
            <w:r w:rsidRPr="00941FA7">
              <w:rPr>
                <w:rFonts w:eastAsiaTheme="minorHAnsi" w:cs="Calibri"/>
                <w:b/>
                <w:bCs/>
                <w:color w:val="000000"/>
                <w:sz w:val="20"/>
                <w:szCs w:val="20"/>
                <w:u w:val="single"/>
                <w:lang w:val="fr-FR"/>
              </w:rPr>
              <w:t>Sites inscrits sur la LIste Ramsar</w:t>
            </w:r>
          </w:p>
        </w:tc>
        <w:tc>
          <w:tcPr>
            <w:tcW w:w="1140" w:type="dxa"/>
            <w:gridSpan w:val="2"/>
            <w:tcBorders>
              <w:top w:val="nil"/>
              <w:left w:val="nil"/>
              <w:bottom w:val="nil"/>
              <w:right w:val="nil"/>
            </w:tcBorders>
          </w:tcPr>
          <w:p w:rsidR="0014156A" w:rsidRPr="00941FA7" w:rsidRDefault="0014156A" w:rsidP="00BC15DE">
            <w:pPr>
              <w:rPr>
                <w:rFonts w:eastAsiaTheme="minorHAnsi" w:cs="Calibri"/>
                <w:color w:val="000000"/>
                <w:lang w:val="fr-FR"/>
              </w:rPr>
            </w:pPr>
          </w:p>
        </w:tc>
        <w:tc>
          <w:tcPr>
            <w:tcW w:w="1005" w:type="dxa"/>
            <w:tcBorders>
              <w:top w:val="nil"/>
              <w:left w:val="nil"/>
              <w:bottom w:val="nil"/>
              <w:right w:val="nil"/>
            </w:tcBorders>
          </w:tcPr>
          <w:p w:rsidR="0014156A" w:rsidRPr="00941FA7" w:rsidRDefault="0014156A" w:rsidP="00BC15DE">
            <w:pPr>
              <w:rPr>
                <w:rFonts w:eastAsiaTheme="minorHAnsi" w:cs="Calibri"/>
                <w:color w:val="000000"/>
                <w:lang w:val="fr-FR"/>
              </w:rPr>
            </w:pPr>
          </w:p>
        </w:tc>
        <w:tc>
          <w:tcPr>
            <w:tcW w:w="1006" w:type="dxa"/>
            <w:tcBorders>
              <w:top w:val="nil"/>
              <w:left w:val="nil"/>
              <w:bottom w:val="nil"/>
              <w:right w:val="nil"/>
            </w:tcBorders>
          </w:tcPr>
          <w:p w:rsidR="0014156A" w:rsidRPr="00941FA7" w:rsidRDefault="0014156A" w:rsidP="00BC15DE">
            <w:pPr>
              <w:rPr>
                <w:rFonts w:eastAsiaTheme="minorHAnsi" w:cs="Calibri"/>
                <w:color w:val="000000"/>
                <w:lang w:val="fr-FR"/>
              </w:rPr>
            </w:pPr>
          </w:p>
        </w:tc>
        <w:tc>
          <w:tcPr>
            <w:tcW w:w="1005" w:type="dxa"/>
            <w:gridSpan w:val="2"/>
            <w:tcBorders>
              <w:top w:val="nil"/>
              <w:left w:val="nil"/>
              <w:bottom w:val="nil"/>
              <w:right w:val="nil"/>
            </w:tcBorders>
          </w:tcPr>
          <w:p w:rsidR="0014156A" w:rsidRPr="00941FA7" w:rsidRDefault="0014156A" w:rsidP="00BC15DE">
            <w:pPr>
              <w:rPr>
                <w:rFonts w:eastAsiaTheme="minorHAnsi" w:cs="Calibri"/>
                <w:color w:val="000000"/>
                <w:lang w:val="fr-FR"/>
              </w:rPr>
            </w:pPr>
          </w:p>
        </w:tc>
        <w:tc>
          <w:tcPr>
            <w:tcW w:w="1030" w:type="dxa"/>
            <w:gridSpan w:val="2"/>
            <w:tcBorders>
              <w:top w:val="nil"/>
              <w:left w:val="nil"/>
              <w:bottom w:val="nil"/>
              <w:right w:val="nil"/>
            </w:tcBorders>
          </w:tcPr>
          <w:p w:rsidR="0014156A" w:rsidRPr="00941FA7" w:rsidRDefault="0014156A" w:rsidP="00BC15DE">
            <w:pPr>
              <w:rPr>
                <w:rFonts w:eastAsiaTheme="minorHAnsi" w:cs="Calibri"/>
                <w:color w:val="000000"/>
                <w:lang w:val="fr-FR"/>
              </w:rPr>
            </w:pP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R100110</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RAM</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53</w:t>
            </w:r>
          </w:p>
        </w:tc>
        <w:tc>
          <w:tcPr>
            <w:tcW w:w="1005"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12</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w:t>
            </w:r>
            <w:r w:rsidR="0012707B" w:rsidRPr="00941FA7">
              <w:rPr>
                <w:rFonts w:eastAsiaTheme="minorHAnsi" w:cs="Calibri"/>
                <w:color w:val="000000"/>
                <w:sz w:val="20"/>
                <w:szCs w:val="20"/>
                <w:lang w:val="fr-FR"/>
              </w:rPr>
              <w:t>0</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12707B" w:rsidRPr="00941FA7">
              <w:rPr>
                <w:rFonts w:eastAsiaTheme="minorHAnsi" w:cs="Calibri"/>
                <w:color w:val="000000"/>
                <w:sz w:val="20"/>
                <w:szCs w:val="20"/>
                <w:lang w:val="fr-FR"/>
              </w:rPr>
              <w:t>16</w:t>
            </w: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60</w:t>
            </w:r>
          </w:p>
        </w:tc>
      </w:tr>
      <w:tr w:rsidR="00740865" w:rsidRPr="00941FA7" w:rsidTr="00740865">
        <w:tc>
          <w:tcPr>
            <w:tcW w:w="1306" w:type="dxa"/>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3084"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140"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05" w:type="dxa"/>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06" w:type="dxa"/>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05"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c>
          <w:tcPr>
            <w:tcW w:w="1030" w:type="dxa"/>
            <w:gridSpan w:val="2"/>
            <w:tcBorders>
              <w:top w:val="nil"/>
              <w:left w:val="nil"/>
              <w:bottom w:val="single" w:sz="12" w:space="0" w:color="auto"/>
              <w:right w:val="nil"/>
            </w:tcBorders>
          </w:tcPr>
          <w:p w:rsidR="00740865" w:rsidRPr="00941FA7" w:rsidRDefault="00740865" w:rsidP="00BC15DE">
            <w:pPr>
              <w:rPr>
                <w:rFonts w:eastAsiaTheme="minorHAnsi" w:cs="Calibri"/>
                <w:color w:val="000000"/>
                <w:lang w:val="fr-FR"/>
              </w:rPr>
            </w:pPr>
          </w:p>
        </w:tc>
      </w:tr>
      <w:tr w:rsidR="007E27A5" w:rsidRPr="00941FA7" w:rsidTr="00E53CE6">
        <w:tc>
          <w:tcPr>
            <w:tcW w:w="4390" w:type="dxa"/>
            <w:gridSpan w:val="3"/>
            <w:tcBorders>
              <w:top w:val="single" w:sz="12" w:space="0" w:color="auto"/>
              <w:left w:val="nil"/>
              <w:bottom w:val="single" w:sz="12" w:space="0" w:color="auto"/>
              <w:right w:val="nil"/>
            </w:tcBorders>
            <w:shd w:val="clear" w:color="auto" w:fill="EAF1DD" w:themeFill="accent3" w:themeFillTint="33"/>
          </w:tcPr>
          <w:p w:rsidR="007E27A5" w:rsidRPr="0014156A" w:rsidRDefault="0014156A" w:rsidP="00BC15DE">
            <w:pPr>
              <w:rPr>
                <w:rFonts w:eastAsiaTheme="minorHAnsi" w:cs="Calibri"/>
                <w:b/>
                <w:bCs/>
                <w:color w:val="000000"/>
                <w:sz w:val="20"/>
                <w:szCs w:val="20"/>
                <w:lang w:val="fr-FR"/>
              </w:rPr>
            </w:pPr>
            <w:r w:rsidRPr="0014156A">
              <w:rPr>
                <w:rFonts w:eastAsiaTheme="minorHAnsi" w:cs="Calibri"/>
                <w:b/>
                <w:bCs/>
                <w:color w:val="000000"/>
                <w:sz w:val="20"/>
                <w:szCs w:val="20"/>
                <w:lang w:val="fr-FR"/>
              </w:rPr>
              <w:t>Total des Sites inscrits sur la LIste Ramsar</w:t>
            </w:r>
          </w:p>
        </w:tc>
        <w:tc>
          <w:tcPr>
            <w:tcW w:w="1140" w:type="dxa"/>
            <w:gridSpan w:val="2"/>
            <w:tcBorders>
              <w:top w:val="nil"/>
              <w:left w:val="nil"/>
              <w:bottom w:val="single" w:sz="12" w:space="0" w:color="auto"/>
              <w:right w:val="nil"/>
            </w:tcBorders>
            <w:shd w:val="clear" w:color="auto" w:fill="EAF1DD" w:themeFill="accent3" w:themeFillTint="33"/>
          </w:tcPr>
          <w:p w:rsidR="007E27A5" w:rsidRPr="00941FA7" w:rsidRDefault="007E27A5"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53</w:t>
            </w:r>
          </w:p>
        </w:tc>
        <w:tc>
          <w:tcPr>
            <w:tcW w:w="1005" w:type="dxa"/>
            <w:tcBorders>
              <w:top w:val="nil"/>
              <w:left w:val="nil"/>
              <w:bottom w:val="single" w:sz="12" w:space="0" w:color="auto"/>
              <w:right w:val="nil"/>
            </w:tcBorders>
            <w:shd w:val="clear" w:color="auto" w:fill="EAF1DD" w:themeFill="accent3" w:themeFillTint="33"/>
          </w:tcPr>
          <w:p w:rsidR="007E27A5" w:rsidRPr="00941FA7" w:rsidRDefault="007E27A5"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12</w:t>
            </w:r>
          </w:p>
        </w:tc>
        <w:tc>
          <w:tcPr>
            <w:tcW w:w="1006" w:type="dxa"/>
            <w:tcBorders>
              <w:top w:val="single" w:sz="12" w:space="0" w:color="auto"/>
              <w:left w:val="nil"/>
              <w:bottom w:val="single" w:sz="12" w:space="0" w:color="auto"/>
              <w:right w:val="nil"/>
            </w:tcBorders>
            <w:shd w:val="clear" w:color="auto" w:fill="EAF1DD" w:themeFill="accent3" w:themeFillTint="33"/>
          </w:tcPr>
          <w:p w:rsidR="007E27A5" w:rsidRPr="00941FA7" w:rsidRDefault="007E27A5"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10</w:t>
            </w:r>
          </w:p>
        </w:tc>
        <w:tc>
          <w:tcPr>
            <w:tcW w:w="1005" w:type="dxa"/>
            <w:gridSpan w:val="2"/>
            <w:tcBorders>
              <w:top w:val="nil"/>
              <w:left w:val="nil"/>
              <w:bottom w:val="single" w:sz="12" w:space="0" w:color="auto"/>
              <w:right w:val="nil"/>
            </w:tcBorders>
            <w:shd w:val="clear" w:color="auto" w:fill="EAF1DD" w:themeFill="accent3" w:themeFillTint="33"/>
          </w:tcPr>
          <w:p w:rsidR="007E27A5" w:rsidRPr="00941FA7" w:rsidRDefault="007E27A5"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(16)</w:t>
            </w:r>
          </w:p>
        </w:tc>
        <w:tc>
          <w:tcPr>
            <w:tcW w:w="1030" w:type="dxa"/>
            <w:gridSpan w:val="2"/>
            <w:tcBorders>
              <w:top w:val="single" w:sz="12" w:space="0" w:color="auto"/>
              <w:left w:val="nil"/>
              <w:bottom w:val="single" w:sz="12" w:space="0" w:color="auto"/>
              <w:right w:val="nil"/>
            </w:tcBorders>
            <w:shd w:val="clear" w:color="auto" w:fill="EAF1DD" w:themeFill="accent3" w:themeFillTint="33"/>
          </w:tcPr>
          <w:p w:rsidR="007E27A5" w:rsidRPr="00941FA7" w:rsidRDefault="007E27A5"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60</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b/>
                <w:bCs/>
                <w:color w:val="000000"/>
                <w:sz w:val="20"/>
                <w:szCs w:val="20"/>
                <w:u w:val="single"/>
                <w:lang w:val="fr-FR"/>
              </w:rPr>
            </w:pPr>
            <w:r w:rsidRPr="00941FA7">
              <w:rPr>
                <w:rFonts w:eastAsiaTheme="minorHAnsi" w:cs="Calibri"/>
                <w:b/>
                <w:bCs/>
                <w:color w:val="000000"/>
                <w:sz w:val="20"/>
                <w:szCs w:val="20"/>
                <w:u w:val="single"/>
                <w:lang w:val="fr-FR"/>
              </w:rPr>
              <w:t>Other</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5" w:type="dxa"/>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6" w:type="dxa"/>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lang w:val="fr-FR"/>
              </w:rPr>
            </w:pP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R100100</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Admin</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396</w:t>
            </w:r>
          </w:p>
        </w:tc>
        <w:tc>
          <w:tcPr>
            <w:tcW w:w="1005"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19</w:t>
            </w:r>
          </w:p>
        </w:tc>
        <w:tc>
          <w:tcPr>
            <w:tcW w:w="10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(59)</w:t>
            </w:r>
          </w:p>
        </w:tc>
        <w:tc>
          <w:tcPr>
            <w:tcW w:w="1005"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359</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R100102</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Redéveloppemenrt SISR</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39</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38</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R100103</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Redéveloppement Web</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64</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64</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R100104</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Dé</w:t>
            </w:r>
            <w:r w:rsidR="00740865" w:rsidRPr="00941FA7">
              <w:rPr>
                <w:rFonts w:eastAsiaTheme="minorHAnsi" w:cs="Calibri"/>
                <w:color w:val="000000"/>
                <w:sz w:val="20"/>
                <w:szCs w:val="20"/>
                <w:lang w:val="fr-FR"/>
              </w:rPr>
              <w:t>velop</w:t>
            </w:r>
            <w:r w:rsidRPr="00941FA7">
              <w:rPr>
                <w:rFonts w:eastAsiaTheme="minorHAnsi" w:cs="Calibri"/>
                <w:color w:val="000000"/>
                <w:sz w:val="20"/>
                <w:szCs w:val="20"/>
                <w:lang w:val="fr-FR"/>
              </w:rPr>
              <w:t>pe</w:t>
            </w:r>
            <w:r w:rsidR="00740865" w:rsidRPr="00941FA7">
              <w:rPr>
                <w:rFonts w:eastAsiaTheme="minorHAnsi" w:cs="Calibri"/>
                <w:color w:val="000000"/>
                <w:sz w:val="20"/>
                <w:szCs w:val="20"/>
                <w:lang w:val="fr-FR"/>
              </w:rPr>
              <w:t>ment</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27</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27</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R100105</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Examen scientifique</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33</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33</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R100106</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Plan stratégique 2016</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18</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18</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R100108</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Traduction COP12 (FOEN-CH)</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45</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45</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R100190</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Cycle de l’eau</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R100311</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Rio Cruces</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52</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52</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R100640</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COP14 - Chin</w:t>
            </w:r>
            <w:r w:rsidR="003F7878" w:rsidRPr="00941FA7">
              <w:rPr>
                <w:rFonts w:eastAsiaTheme="minorHAnsi" w:cs="Calibri"/>
                <w:color w:val="000000"/>
                <w:sz w:val="20"/>
                <w:szCs w:val="20"/>
                <w:lang w:val="fr-FR"/>
              </w:rPr>
              <w:t>e</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(4)</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(4)</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R100700</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CESP</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R100816</w:t>
            </w:r>
          </w:p>
        </w:tc>
        <w:tc>
          <w:tcPr>
            <w:tcW w:w="3084"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Danone 2016-</w:t>
            </w:r>
            <w:r w:rsidR="004356A8" w:rsidRPr="00941FA7">
              <w:rPr>
                <w:rFonts w:eastAsiaTheme="minorHAnsi" w:cs="Calibri"/>
                <w:color w:val="000000"/>
                <w:sz w:val="20"/>
                <w:szCs w:val="20"/>
                <w:lang w:val="fr-FR"/>
              </w:rPr>
              <w:t>2021</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131</w:t>
            </w:r>
          </w:p>
        </w:tc>
        <w:tc>
          <w:tcPr>
            <w:tcW w:w="1005"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2</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12707B" w:rsidRPr="00941FA7">
              <w:rPr>
                <w:rFonts w:eastAsiaTheme="minorHAnsi" w:cs="Calibri"/>
                <w:color w:val="000000"/>
                <w:sz w:val="20"/>
                <w:szCs w:val="20"/>
                <w:lang w:val="fr-FR"/>
              </w:rPr>
              <w:t>75</w:t>
            </w: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57</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R100904</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GEST NON ADMINISTRATIF</w:t>
            </w:r>
          </w:p>
        </w:tc>
        <w:tc>
          <w:tcPr>
            <w:tcW w:w="114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145</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145</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R100915</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TRAVAUX LIÉS AU GENRE</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12707B" w:rsidRPr="00941FA7">
              <w:rPr>
                <w:rFonts w:eastAsiaTheme="minorHAnsi" w:cs="Calibri"/>
                <w:color w:val="000000"/>
                <w:sz w:val="20"/>
                <w:szCs w:val="20"/>
                <w:lang w:val="fr-FR"/>
              </w:rPr>
              <w:t>18</w:t>
            </w: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5</w:t>
            </w:r>
          </w:p>
        </w:tc>
      </w:tr>
      <w:tr w:rsidR="00740865" w:rsidRPr="00941FA7" w:rsidTr="00740865">
        <w:tc>
          <w:tcPr>
            <w:tcW w:w="13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R100916</w:t>
            </w:r>
          </w:p>
        </w:tc>
        <w:tc>
          <w:tcPr>
            <w:tcW w:w="3084" w:type="dxa"/>
            <w:gridSpan w:val="2"/>
            <w:tcBorders>
              <w:top w:val="nil"/>
              <w:left w:val="nil"/>
              <w:bottom w:val="nil"/>
              <w:right w:val="nil"/>
            </w:tcBorders>
          </w:tcPr>
          <w:p w:rsidR="00740865" w:rsidRPr="00941FA7" w:rsidRDefault="00B37BA4" w:rsidP="00B37BA4">
            <w:pPr>
              <w:ind w:left="0" w:firstLine="0"/>
              <w:rPr>
                <w:rFonts w:eastAsiaTheme="minorHAnsi" w:cs="Calibri"/>
                <w:color w:val="000000"/>
                <w:sz w:val="20"/>
                <w:szCs w:val="20"/>
                <w:lang w:val="fr-FR"/>
              </w:rPr>
            </w:pPr>
            <w:r w:rsidRPr="00941FA7">
              <w:rPr>
                <w:rFonts w:eastAsiaTheme="minorHAnsi" w:cs="Calibri"/>
                <w:color w:val="000000"/>
                <w:sz w:val="20"/>
                <w:szCs w:val="20"/>
                <w:lang w:val="fr-FR"/>
              </w:rPr>
              <w:t>Renforcement des capacités non administratives</w:t>
            </w:r>
            <w:r w:rsidR="0012707B" w:rsidRPr="00941FA7">
              <w:rPr>
                <w:rFonts w:eastAsiaTheme="minorHAnsi" w:cs="Calibri"/>
                <w:color w:val="000000"/>
                <w:sz w:val="20"/>
                <w:szCs w:val="20"/>
                <w:lang w:val="fr-FR"/>
              </w:rPr>
              <w:t xml:space="preserve"> </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37</w:t>
            </w:r>
          </w:p>
        </w:tc>
        <w:tc>
          <w:tcPr>
            <w:tcW w:w="10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37</w:t>
            </w:r>
          </w:p>
        </w:tc>
      </w:tr>
      <w:tr w:rsidR="00740865" w:rsidRPr="00941FA7" w:rsidTr="00740865">
        <w:tc>
          <w:tcPr>
            <w:tcW w:w="13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R100917</w:t>
            </w:r>
          </w:p>
        </w:tc>
        <w:tc>
          <w:tcPr>
            <w:tcW w:w="3084" w:type="dxa"/>
            <w:gridSpan w:val="2"/>
            <w:tcBorders>
              <w:top w:val="nil"/>
              <w:left w:val="nil"/>
              <w:bottom w:val="nil"/>
              <w:right w:val="nil"/>
            </w:tcBorders>
          </w:tcPr>
          <w:p w:rsidR="00740865" w:rsidRPr="00941FA7" w:rsidRDefault="00B37BA4" w:rsidP="00B37BA4">
            <w:pPr>
              <w:ind w:left="0" w:firstLine="0"/>
              <w:rPr>
                <w:rFonts w:eastAsiaTheme="minorHAnsi" w:cs="Calibri"/>
                <w:color w:val="000000"/>
                <w:sz w:val="20"/>
                <w:szCs w:val="20"/>
                <w:lang w:val="fr-FR"/>
              </w:rPr>
            </w:pPr>
            <w:r w:rsidRPr="00941FA7">
              <w:rPr>
                <w:rFonts w:eastAsiaTheme="minorHAnsi" w:cs="Calibri"/>
                <w:color w:val="000000"/>
                <w:sz w:val="20"/>
                <w:szCs w:val="20"/>
                <w:lang w:val="fr-FR"/>
              </w:rPr>
              <w:t xml:space="preserve">Inventaires nationaux des zones humides </w:t>
            </w:r>
          </w:p>
        </w:tc>
        <w:tc>
          <w:tcPr>
            <w:tcW w:w="1140" w:type="dxa"/>
            <w:gridSpan w:val="2"/>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143</w:t>
            </w:r>
          </w:p>
        </w:tc>
        <w:tc>
          <w:tcPr>
            <w:tcW w:w="1006" w:type="dxa"/>
            <w:tcBorders>
              <w:top w:val="nil"/>
              <w:left w:val="nil"/>
              <w:bottom w:val="nil"/>
              <w:right w:val="nil"/>
            </w:tcBorders>
          </w:tcPr>
          <w:p w:rsidR="00740865" w:rsidRPr="00941FA7" w:rsidRDefault="0012707B"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E27A5" w:rsidP="00BC15DE">
            <w:pPr>
              <w:rPr>
                <w:rFonts w:eastAsiaTheme="minorHAnsi" w:cs="Calibri"/>
                <w:color w:val="000000"/>
                <w:sz w:val="20"/>
                <w:szCs w:val="20"/>
                <w:lang w:val="fr-FR"/>
              </w:rPr>
            </w:pPr>
            <w:r w:rsidRPr="00941FA7">
              <w:rPr>
                <w:rFonts w:eastAsiaTheme="minorHAnsi" w:cs="Calibri"/>
                <w:color w:val="000000"/>
                <w:sz w:val="20"/>
                <w:szCs w:val="20"/>
                <w:lang w:val="fr-FR"/>
              </w:rPr>
              <w:t>143</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R101006</w:t>
            </w:r>
          </w:p>
        </w:tc>
        <w:tc>
          <w:tcPr>
            <w:tcW w:w="3084" w:type="dxa"/>
            <w:gridSpan w:val="2"/>
            <w:tcBorders>
              <w:top w:val="nil"/>
              <w:left w:val="nil"/>
              <w:bottom w:val="nil"/>
              <w:right w:val="nil"/>
            </w:tcBorders>
          </w:tcPr>
          <w:p w:rsidR="00740865"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Changement climatique</w:t>
            </w:r>
          </w:p>
        </w:tc>
        <w:tc>
          <w:tcPr>
            <w:tcW w:w="1140" w:type="dxa"/>
            <w:gridSpan w:val="2"/>
            <w:tcBorders>
              <w:top w:val="nil"/>
              <w:left w:val="nil"/>
              <w:bottom w:val="nil"/>
              <w:right w:val="nil"/>
            </w:tcBorders>
          </w:tcPr>
          <w:p w:rsidR="00740865" w:rsidRPr="00941FA7" w:rsidRDefault="007E27A5" w:rsidP="00BC15DE">
            <w:pPr>
              <w:rPr>
                <w:rFonts w:eastAsiaTheme="minorHAnsi" w:cs="Calibri"/>
                <w:color w:val="000000"/>
                <w:sz w:val="20"/>
                <w:szCs w:val="20"/>
                <w:lang w:val="fr-FR"/>
              </w:rPr>
            </w:pPr>
            <w:r w:rsidRPr="00941FA7">
              <w:rPr>
                <w:rFonts w:eastAsiaTheme="minorHAnsi" w:cs="Calibri"/>
                <w:color w:val="000000"/>
                <w:sz w:val="20"/>
                <w:szCs w:val="20"/>
                <w:lang w:val="fr-FR"/>
              </w:rPr>
              <w:t>28</w:t>
            </w:r>
          </w:p>
        </w:tc>
        <w:tc>
          <w:tcPr>
            <w:tcW w:w="1005" w:type="dxa"/>
            <w:tcBorders>
              <w:top w:val="nil"/>
              <w:left w:val="nil"/>
              <w:bottom w:val="nil"/>
              <w:right w:val="nil"/>
            </w:tcBorders>
          </w:tcPr>
          <w:p w:rsidR="00740865" w:rsidRPr="00941FA7" w:rsidRDefault="007E27A5" w:rsidP="00BC15DE">
            <w:pPr>
              <w:rPr>
                <w:rFonts w:eastAsiaTheme="minorHAnsi" w:cs="Calibri"/>
                <w:color w:val="000000"/>
                <w:sz w:val="20"/>
                <w:szCs w:val="20"/>
                <w:lang w:val="fr-FR"/>
              </w:rPr>
            </w:pPr>
            <w:r w:rsidRPr="00941FA7">
              <w:rPr>
                <w:rFonts w:eastAsiaTheme="minorHAnsi" w:cs="Calibri"/>
                <w:color w:val="000000"/>
                <w:sz w:val="20"/>
                <w:szCs w:val="20"/>
                <w:lang w:val="fr-FR"/>
              </w:rPr>
              <w:t>15</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7E27A5" w:rsidRPr="00941FA7">
              <w:rPr>
                <w:rFonts w:eastAsiaTheme="minorHAnsi" w:cs="Calibri"/>
                <w:color w:val="000000"/>
                <w:sz w:val="20"/>
                <w:szCs w:val="20"/>
                <w:lang w:val="fr-FR"/>
              </w:rPr>
              <w:t>3</w:t>
            </w: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E27A5" w:rsidP="00BC15DE">
            <w:pPr>
              <w:rPr>
                <w:rFonts w:eastAsiaTheme="minorHAnsi" w:cs="Calibri"/>
                <w:color w:val="000000"/>
                <w:sz w:val="20"/>
                <w:szCs w:val="20"/>
                <w:lang w:val="fr-FR"/>
              </w:rPr>
            </w:pPr>
            <w:r w:rsidRPr="00941FA7">
              <w:rPr>
                <w:rFonts w:eastAsiaTheme="minorHAnsi" w:cs="Calibri"/>
                <w:color w:val="000000"/>
                <w:sz w:val="20"/>
                <w:szCs w:val="20"/>
                <w:lang w:val="fr-FR"/>
              </w:rPr>
              <w:t>40</w:t>
            </w:r>
          </w:p>
        </w:tc>
      </w:tr>
      <w:tr w:rsidR="00740865" w:rsidRPr="00941FA7" w:rsidTr="00740865">
        <w:tc>
          <w:tcPr>
            <w:tcW w:w="13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R101007</w:t>
            </w:r>
          </w:p>
        </w:tc>
        <w:tc>
          <w:tcPr>
            <w:tcW w:w="3084" w:type="dxa"/>
            <w:gridSpan w:val="2"/>
            <w:tcBorders>
              <w:top w:val="nil"/>
              <w:left w:val="nil"/>
              <w:bottom w:val="nil"/>
              <w:right w:val="nil"/>
            </w:tcBorders>
          </w:tcPr>
          <w:p w:rsidR="00740865" w:rsidRPr="00941FA7" w:rsidRDefault="00740865" w:rsidP="00B37BA4">
            <w:pPr>
              <w:rPr>
                <w:rFonts w:eastAsiaTheme="minorHAnsi" w:cs="Calibri"/>
                <w:color w:val="000000"/>
                <w:sz w:val="20"/>
                <w:szCs w:val="20"/>
                <w:lang w:val="fr-FR"/>
              </w:rPr>
            </w:pPr>
            <w:r w:rsidRPr="00941FA7">
              <w:rPr>
                <w:rFonts w:eastAsiaTheme="minorHAnsi" w:cs="Calibri"/>
                <w:color w:val="000000"/>
                <w:sz w:val="20"/>
                <w:szCs w:val="20"/>
                <w:lang w:val="fr-FR"/>
              </w:rPr>
              <w:t>T</w:t>
            </w:r>
            <w:r w:rsidR="00B37BA4" w:rsidRPr="00941FA7">
              <w:rPr>
                <w:rFonts w:eastAsiaTheme="minorHAnsi" w:cs="Calibri"/>
                <w:color w:val="000000"/>
                <w:sz w:val="20"/>
                <w:szCs w:val="20"/>
                <w:lang w:val="fr-FR"/>
              </w:rPr>
              <w:t>ourbières t</w:t>
            </w:r>
            <w:r w:rsidRPr="00941FA7">
              <w:rPr>
                <w:rFonts w:eastAsiaTheme="minorHAnsi" w:cs="Calibri"/>
                <w:color w:val="000000"/>
                <w:sz w:val="20"/>
                <w:szCs w:val="20"/>
                <w:lang w:val="fr-FR"/>
              </w:rPr>
              <w:t>ropical</w:t>
            </w:r>
            <w:r w:rsidR="00B37BA4" w:rsidRPr="00941FA7">
              <w:rPr>
                <w:rFonts w:eastAsiaTheme="minorHAnsi" w:cs="Calibri"/>
                <w:color w:val="000000"/>
                <w:sz w:val="20"/>
                <w:szCs w:val="20"/>
                <w:lang w:val="fr-FR"/>
              </w:rPr>
              <w:t>es</w:t>
            </w:r>
            <w:r w:rsidRPr="00941FA7">
              <w:rPr>
                <w:rFonts w:eastAsiaTheme="minorHAnsi" w:cs="Calibri"/>
                <w:color w:val="000000"/>
                <w:sz w:val="20"/>
                <w:szCs w:val="20"/>
                <w:lang w:val="fr-FR"/>
              </w:rPr>
              <w:t xml:space="preserve"> </w:t>
            </w:r>
          </w:p>
        </w:tc>
        <w:tc>
          <w:tcPr>
            <w:tcW w:w="1140" w:type="dxa"/>
            <w:gridSpan w:val="2"/>
            <w:tcBorders>
              <w:top w:val="nil"/>
              <w:left w:val="nil"/>
              <w:bottom w:val="nil"/>
              <w:right w:val="nil"/>
            </w:tcBorders>
          </w:tcPr>
          <w:p w:rsidR="00740865" w:rsidRPr="00941FA7" w:rsidRDefault="007E27A5" w:rsidP="00BC15DE">
            <w:pPr>
              <w:rPr>
                <w:rFonts w:eastAsiaTheme="minorHAnsi" w:cs="Calibri"/>
                <w:color w:val="000000"/>
                <w:sz w:val="20"/>
                <w:szCs w:val="20"/>
                <w:lang w:val="fr-FR"/>
              </w:rPr>
            </w:pPr>
            <w:r w:rsidRPr="00941FA7">
              <w:rPr>
                <w:rFonts w:eastAsiaTheme="minorHAnsi" w:cs="Calibri"/>
                <w:color w:val="000000"/>
                <w:sz w:val="20"/>
                <w:szCs w:val="20"/>
                <w:lang w:val="fr-FR"/>
              </w:rPr>
              <w:t>53</w:t>
            </w:r>
          </w:p>
        </w:tc>
        <w:tc>
          <w:tcPr>
            <w:tcW w:w="1005"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r w:rsidR="007E27A5" w:rsidRPr="00941FA7">
              <w:rPr>
                <w:rFonts w:eastAsiaTheme="minorHAnsi" w:cs="Calibri"/>
                <w:color w:val="000000"/>
                <w:sz w:val="20"/>
                <w:szCs w:val="20"/>
                <w:lang w:val="fr-FR"/>
              </w:rPr>
              <w:t>27</w:t>
            </w:r>
            <w:r w:rsidRPr="00941FA7">
              <w:rPr>
                <w:rFonts w:eastAsiaTheme="minorHAnsi" w:cs="Calibri"/>
                <w:color w:val="000000"/>
                <w:sz w:val="20"/>
                <w:szCs w:val="20"/>
                <w:lang w:val="fr-FR"/>
              </w:rPr>
              <w:t>)</w:t>
            </w:r>
          </w:p>
        </w:tc>
        <w:tc>
          <w:tcPr>
            <w:tcW w:w="1005" w:type="dxa"/>
            <w:gridSpan w:val="2"/>
            <w:tcBorders>
              <w:top w:val="nil"/>
              <w:left w:val="nil"/>
              <w:bottom w:val="nil"/>
              <w:right w:val="nil"/>
            </w:tcBorders>
          </w:tcPr>
          <w:p w:rsidR="00740865" w:rsidRPr="00941FA7" w:rsidRDefault="00740865"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740865" w:rsidRPr="00941FA7" w:rsidRDefault="007E27A5" w:rsidP="00BC15DE">
            <w:pPr>
              <w:rPr>
                <w:rFonts w:eastAsiaTheme="minorHAnsi" w:cs="Calibri"/>
                <w:color w:val="000000"/>
                <w:sz w:val="20"/>
                <w:szCs w:val="20"/>
                <w:lang w:val="fr-FR"/>
              </w:rPr>
            </w:pPr>
            <w:r w:rsidRPr="00941FA7">
              <w:rPr>
                <w:rFonts w:eastAsiaTheme="minorHAnsi" w:cs="Calibri"/>
                <w:color w:val="000000"/>
                <w:sz w:val="20"/>
                <w:szCs w:val="20"/>
                <w:lang w:val="fr-FR"/>
              </w:rPr>
              <w:t>27</w:t>
            </w:r>
          </w:p>
        </w:tc>
      </w:tr>
      <w:tr w:rsidR="00B37BA4" w:rsidRPr="00941FA7" w:rsidTr="00740865">
        <w:tc>
          <w:tcPr>
            <w:tcW w:w="1306" w:type="dxa"/>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R101108</w:t>
            </w:r>
          </w:p>
        </w:tc>
        <w:tc>
          <w:tcPr>
            <w:tcW w:w="3084" w:type="dxa"/>
            <w:gridSpan w:val="2"/>
            <w:tcBorders>
              <w:top w:val="nil"/>
              <w:left w:val="nil"/>
              <w:bottom w:val="nil"/>
              <w:right w:val="nil"/>
            </w:tcBorders>
          </w:tcPr>
          <w:p w:rsidR="00B37BA4" w:rsidRPr="00941FA7" w:rsidRDefault="00B37BA4" w:rsidP="00313563">
            <w:pPr>
              <w:autoSpaceDE w:val="0"/>
              <w:autoSpaceDN w:val="0"/>
              <w:adjustRightInd w:val="0"/>
              <w:ind w:left="0" w:firstLine="0"/>
              <w:rPr>
                <w:rFonts w:eastAsiaTheme="minorHAnsi" w:cs="Calibri"/>
                <w:color w:val="000000"/>
                <w:sz w:val="20"/>
                <w:szCs w:val="20"/>
                <w:lang w:val="fr-FR"/>
              </w:rPr>
            </w:pPr>
            <w:r w:rsidRPr="00941FA7">
              <w:rPr>
                <w:rFonts w:eastAsiaTheme="minorHAnsi" w:cs="Calibri"/>
                <w:color w:val="000000"/>
                <w:sz w:val="20"/>
                <w:szCs w:val="20"/>
                <w:lang w:val="fr-FR"/>
              </w:rPr>
              <w:t>50</w:t>
            </w:r>
            <w:r w:rsidRPr="00941FA7">
              <w:rPr>
                <w:rFonts w:eastAsiaTheme="minorHAnsi" w:cs="Calibri"/>
                <w:color w:val="000000"/>
                <w:sz w:val="20"/>
                <w:szCs w:val="20"/>
                <w:vertAlign w:val="superscript"/>
                <w:lang w:val="fr-FR"/>
              </w:rPr>
              <w:t xml:space="preserve">e </w:t>
            </w:r>
            <w:r w:rsidRPr="00941FA7">
              <w:rPr>
                <w:rFonts w:eastAsiaTheme="minorHAnsi" w:cs="Calibri"/>
                <w:color w:val="000000"/>
                <w:sz w:val="20"/>
                <w:szCs w:val="20"/>
                <w:lang w:val="fr-FR"/>
              </w:rPr>
              <w:t>anniversaire Ramsar 2021</w:t>
            </w:r>
          </w:p>
        </w:tc>
        <w:tc>
          <w:tcPr>
            <w:tcW w:w="1140" w:type="dxa"/>
            <w:gridSpan w:val="2"/>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16</w:t>
            </w:r>
          </w:p>
        </w:tc>
        <w:tc>
          <w:tcPr>
            <w:tcW w:w="1005" w:type="dxa"/>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06" w:type="dxa"/>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(16)</w:t>
            </w:r>
          </w:p>
        </w:tc>
        <w:tc>
          <w:tcPr>
            <w:tcW w:w="1005" w:type="dxa"/>
            <w:gridSpan w:val="2"/>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r>
      <w:tr w:rsidR="00B37BA4" w:rsidRPr="00941FA7" w:rsidTr="00E53CE6">
        <w:tc>
          <w:tcPr>
            <w:tcW w:w="4390" w:type="dxa"/>
            <w:gridSpan w:val="3"/>
            <w:tcBorders>
              <w:top w:val="single" w:sz="12" w:space="0" w:color="auto"/>
              <w:left w:val="nil"/>
              <w:bottom w:val="single" w:sz="12" w:space="0" w:color="auto"/>
              <w:right w:val="nil"/>
            </w:tcBorders>
            <w:shd w:val="clear" w:color="auto" w:fill="EAF1DD" w:themeFill="accent3" w:themeFillTint="33"/>
          </w:tcPr>
          <w:p w:rsidR="00B37BA4" w:rsidRPr="00941FA7" w:rsidRDefault="007F3F49" w:rsidP="007F3F49">
            <w:pPr>
              <w:rPr>
                <w:rFonts w:eastAsiaTheme="minorHAnsi" w:cs="Calibri"/>
                <w:b/>
                <w:bCs/>
                <w:color w:val="000000"/>
                <w:sz w:val="20"/>
                <w:szCs w:val="20"/>
                <w:lang w:val="fr-FR"/>
              </w:rPr>
            </w:pPr>
            <w:r w:rsidRPr="00941FA7">
              <w:rPr>
                <w:rFonts w:eastAsiaTheme="minorHAnsi" w:cs="Calibri"/>
                <w:b/>
                <w:bCs/>
                <w:color w:val="000000"/>
                <w:sz w:val="20"/>
                <w:szCs w:val="20"/>
                <w:lang w:val="fr-FR"/>
              </w:rPr>
              <w:t>Total pour autres</w:t>
            </w:r>
          </w:p>
        </w:tc>
        <w:tc>
          <w:tcPr>
            <w:tcW w:w="1140" w:type="dxa"/>
            <w:gridSpan w:val="2"/>
            <w:tcBorders>
              <w:top w:val="nil"/>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1,076</w:t>
            </w:r>
          </w:p>
        </w:tc>
        <w:tc>
          <w:tcPr>
            <w:tcW w:w="1005" w:type="dxa"/>
            <w:tcBorders>
              <w:top w:val="nil"/>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215</w:t>
            </w:r>
          </w:p>
        </w:tc>
        <w:tc>
          <w:tcPr>
            <w:tcW w:w="1006" w:type="dxa"/>
            <w:tcBorders>
              <w:top w:val="single" w:sz="12" w:space="0" w:color="auto"/>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(199)</w:t>
            </w:r>
          </w:p>
        </w:tc>
        <w:tc>
          <w:tcPr>
            <w:tcW w:w="1005" w:type="dxa"/>
            <w:gridSpan w:val="2"/>
            <w:tcBorders>
              <w:top w:val="single" w:sz="12" w:space="0" w:color="auto"/>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16</w:t>
            </w:r>
          </w:p>
        </w:tc>
        <w:tc>
          <w:tcPr>
            <w:tcW w:w="1030" w:type="dxa"/>
            <w:gridSpan w:val="2"/>
            <w:tcBorders>
              <w:top w:val="single" w:sz="12" w:space="0" w:color="auto"/>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1,108</w:t>
            </w:r>
          </w:p>
        </w:tc>
      </w:tr>
      <w:tr w:rsidR="00B37BA4" w:rsidRPr="00941FA7" w:rsidTr="00740865">
        <w:tc>
          <w:tcPr>
            <w:tcW w:w="1306" w:type="dxa"/>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3084"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140"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5" w:type="dxa"/>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6" w:type="dxa"/>
            <w:tcBorders>
              <w:top w:val="single" w:sz="12" w:space="0" w:color="auto"/>
              <w:left w:val="nil"/>
              <w:bottom w:val="nil"/>
              <w:right w:val="nil"/>
            </w:tcBorders>
          </w:tcPr>
          <w:p w:rsidR="00B37BA4" w:rsidRPr="00941FA7" w:rsidRDefault="00B37BA4" w:rsidP="00BC15DE">
            <w:pPr>
              <w:rPr>
                <w:rFonts w:ascii="Arial" w:eastAsiaTheme="minorHAnsi" w:hAnsi="Arial" w:cs="Arial"/>
                <w:color w:val="000000"/>
                <w:sz w:val="20"/>
                <w:szCs w:val="20"/>
                <w:lang w:val="fr-FR"/>
              </w:rPr>
            </w:pPr>
          </w:p>
        </w:tc>
        <w:tc>
          <w:tcPr>
            <w:tcW w:w="1005" w:type="dxa"/>
            <w:gridSpan w:val="2"/>
            <w:tcBorders>
              <w:top w:val="single" w:sz="12" w:space="0" w:color="auto"/>
              <w:left w:val="nil"/>
              <w:bottom w:val="nil"/>
              <w:right w:val="nil"/>
            </w:tcBorders>
          </w:tcPr>
          <w:p w:rsidR="00B37BA4" w:rsidRPr="00941FA7" w:rsidRDefault="00B37BA4" w:rsidP="00BC15DE">
            <w:pPr>
              <w:rPr>
                <w:rFonts w:eastAsiaTheme="minorHAnsi" w:cs="Calibri"/>
                <w:color w:val="000000"/>
                <w:lang w:val="fr-FR"/>
              </w:rPr>
            </w:pPr>
          </w:p>
        </w:tc>
        <w:tc>
          <w:tcPr>
            <w:tcW w:w="1030" w:type="dxa"/>
            <w:gridSpan w:val="2"/>
            <w:tcBorders>
              <w:top w:val="single" w:sz="12" w:space="0" w:color="auto"/>
              <w:left w:val="nil"/>
              <w:bottom w:val="nil"/>
              <w:right w:val="nil"/>
            </w:tcBorders>
          </w:tcPr>
          <w:p w:rsidR="00B37BA4" w:rsidRPr="00941FA7" w:rsidRDefault="00B37BA4" w:rsidP="00BC15DE">
            <w:pPr>
              <w:rPr>
                <w:rFonts w:ascii="Arial" w:eastAsiaTheme="minorHAnsi" w:hAnsi="Arial" w:cs="Arial"/>
                <w:color w:val="000000"/>
                <w:sz w:val="20"/>
                <w:szCs w:val="20"/>
                <w:lang w:val="fr-FR"/>
              </w:rPr>
            </w:pPr>
          </w:p>
        </w:tc>
      </w:tr>
      <w:tr w:rsidR="00B37BA4" w:rsidRPr="00941FA7" w:rsidTr="00740865">
        <w:tc>
          <w:tcPr>
            <w:tcW w:w="2015" w:type="dxa"/>
            <w:gridSpan w:val="2"/>
            <w:tcBorders>
              <w:top w:val="nil"/>
              <w:left w:val="nil"/>
              <w:bottom w:val="nil"/>
              <w:right w:val="nil"/>
            </w:tcBorders>
          </w:tcPr>
          <w:p w:rsidR="00B37BA4" w:rsidRPr="00941FA7" w:rsidRDefault="00B37BA4" w:rsidP="00BC15DE">
            <w:pPr>
              <w:rPr>
                <w:rFonts w:eastAsiaTheme="minorHAnsi" w:cs="Calibri"/>
                <w:b/>
                <w:bCs/>
                <w:color w:val="000000"/>
                <w:sz w:val="20"/>
                <w:szCs w:val="20"/>
                <w:u w:val="single"/>
                <w:lang w:val="fr-FR"/>
              </w:rPr>
            </w:pPr>
            <w:r w:rsidRPr="00941FA7">
              <w:rPr>
                <w:rFonts w:eastAsiaTheme="minorHAnsi" w:cs="Calibri"/>
                <w:b/>
                <w:bCs/>
                <w:color w:val="000000"/>
                <w:sz w:val="20"/>
                <w:szCs w:val="20"/>
                <w:u w:val="single"/>
                <w:lang w:val="fr-FR"/>
              </w:rPr>
              <w:t>Initiatives</w:t>
            </w:r>
            <w:r w:rsidR="007F3F49" w:rsidRPr="00941FA7">
              <w:rPr>
                <w:rFonts w:eastAsiaTheme="minorHAnsi" w:cs="Calibri"/>
                <w:b/>
                <w:bCs/>
                <w:color w:val="000000"/>
                <w:sz w:val="20"/>
                <w:szCs w:val="20"/>
                <w:u w:val="single"/>
                <w:lang w:val="fr-FR"/>
              </w:rPr>
              <w:t xml:space="preserve"> régionales</w:t>
            </w:r>
          </w:p>
        </w:tc>
        <w:tc>
          <w:tcPr>
            <w:tcW w:w="2375" w:type="dxa"/>
            <w:tcBorders>
              <w:top w:val="nil"/>
              <w:left w:val="nil"/>
              <w:bottom w:val="nil"/>
              <w:right w:val="nil"/>
            </w:tcBorders>
          </w:tcPr>
          <w:p w:rsidR="00B37BA4" w:rsidRPr="00941FA7" w:rsidRDefault="00B37BA4" w:rsidP="00BC15DE">
            <w:pPr>
              <w:rPr>
                <w:rFonts w:eastAsiaTheme="minorHAnsi" w:cs="Calibri"/>
                <w:b/>
                <w:bCs/>
                <w:color w:val="000000"/>
                <w:sz w:val="20"/>
                <w:szCs w:val="20"/>
                <w:u w:val="single"/>
                <w:lang w:val="fr-FR"/>
              </w:rPr>
            </w:pPr>
          </w:p>
        </w:tc>
        <w:tc>
          <w:tcPr>
            <w:tcW w:w="1140"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5" w:type="dxa"/>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6" w:type="dxa"/>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5"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30"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r>
      <w:tr w:rsidR="00B37BA4" w:rsidRPr="00941FA7" w:rsidTr="00740865">
        <w:tc>
          <w:tcPr>
            <w:tcW w:w="1306" w:type="dxa"/>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R100146</w:t>
            </w:r>
          </w:p>
        </w:tc>
        <w:tc>
          <w:tcPr>
            <w:tcW w:w="3084" w:type="dxa"/>
            <w:gridSpan w:val="2"/>
            <w:tcBorders>
              <w:top w:val="nil"/>
              <w:left w:val="nil"/>
              <w:bottom w:val="nil"/>
              <w:right w:val="nil"/>
            </w:tcBorders>
          </w:tcPr>
          <w:p w:rsidR="00B37BA4" w:rsidRPr="00941FA7" w:rsidRDefault="007F3F49" w:rsidP="00BC15DE">
            <w:pPr>
              <w:rPr>
                <w:rFonts w:eastAsiaTheme="minorHAnsi" w:cs="Calibri"/>
                <w:color w:val="000000"/>
                <w:sz w:val="20"/>
                <w:szCs w:val="20"/>
                <w:lang w:val="fr-FR"/>
              </w:rPr>
            </w:pPr>
            <w:r w:rsidRPr="00941FA7">
              <w:rPr>
                <w:rFonts w:eastAsiaTheme="minorHAnsi" w:cs="Calibri"/>
                <w:color w:val="000000"/>
                <w:sz w:val="20"/>
                <w:szCs w:val="20"/>
                <w:lang w:val="fr-FR"/>
              </w:rPr>
              <w:t>Zones humides des Caraïbes</w:t>
            </w:r>
          </w:p>
        </w:tc>
        <w:tc>
          <w:tcPr>
            <w:tcW w:w="1140" w:type="dxa"/>
            <w:gridSpan w:val="2"/>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(2)</w:t>
            </w:r>
          </w:p>
        </w:tc>
        <w:tc>
          <w:tcPr>
            <w:tcW w:w="1005" w:type="dxa"/>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212</w:t>
            </w:r>
          </w:p>
        </w:tc>
        <w:tc>
          <w:tcPr>
            <w:tcW w:w="1006" w:type="dxa"/>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c>
          <w:tcPr>
            <w:tcW w:w="1005" w:type="dxa"/>
            <w:gridSpan w:val="2"/>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(200)</w:t>
            </w:r>
          </w:p>
        </w:tc>
      </w:tr>
      <w:tr w:rsidR="00B37BA4" w:rsidRPr="00941FA7" w:rsidTr="00740865">
        <w:tc>
          <w:tcPr>
            <w:tcW w:w="1306" w:type="dxa"/>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bookmarkStart w:id="1" w:name="_GoBack" w:colFirst="1" w:colLast="1"/>
            <w:r w:rsidRPr="00941FA7">
              <w:rPr>
                <w:rFonts w:eastAsiaTheme="minorHAnsi" w:cs="Calibri"/>
                <w:color w:val="000000"/>
                <w:sz w:val="20"/>
                <w:szCs w:val="20"/>
                <w:lang w:val="fr-FR"/>
              </w:rPr>
              <w:lastRenderedPageBreak/>
              <w:t>R100200</w:t>
            </w:r>
          </w:p>
        </w:tc>
        <w:tc>
          <w:tcPr>
            <w:tcW w:w="3084" w:type="dxa"/>
            <w:gridSpan w:val="2"/>
            <w:tcBorders>
              <w:top w:val="nil"/>
              <w:left w:val="nil"/>
              <w:bottom w:val="nil"/>
              <w:right w:val="nil"/>
            </w:tcBorders>
          </w:tcPr>
          <w:p w:rsidR="00B37BA4" w:rsidRPr="00941FA7" w:rsidRDefault="007F3F49" w:rsidP="008939B8">
            <w:pPr>
              <w:ind w:left="0" w:firstLine="0"/>
              <w:rPr>
                <w:rFonts w:eastAsiaTheme="minorHAnsi" w:cs="Calibri"/>
                <w:color w:val="000000"/>
                <w:sz w:val="20"/>
                <w:szCs w:val="20"/>
                <w:lang w:val="fr-FR"/>
              </w:rPr>
            </w:pPr>
            <w:r w:rsidRPr="00941FA7">
              <w:rPr>
                <w:rFonts w:eastAsiaTheme="minorHAnsi" w:cs="Calibri"/>
                <w:color w:val="000000"/>
                <w:sz w:val="20"/>
                <w:szCs w:val="20"/>
                <w:lang w:val="fr-FR"/>
              </w:rPr>
              <w:t>AVC, Initiatives régionales africaines</w:t>
            </w:r>
          </w:p>
        </w:tc>
        <w:tc>
          <w:tcPr>
            <w:tcW w:w="1140" w:type="dxa"/>
            <w:gridSpan w:val="2"/>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68</w:t>
            </w:r>
          </w:p>
        </w:tc>
        <w:tc>
          <w:tcPr>
            <w:tcW w:w="1005" w:type="dxa"/>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11</w:t>
            </w:r>
          </w:p>
        </w:tc>
        <w:tc>
          <w:tcPr>
            <w:tcW w:w="1006" w:type="dxa"/>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(42)</w:t>
            </w:r>
          </w:p>
        </w:tc>
        <w:tc>
          <w:tcPr>
            <w:tcW w:w="1005" w:type="dxa"/>
            <w:gridSpan w:val="2"/>
            <w:tcBorders>
              <w:top w:val="nil"/>
              <w:left w:val="nil"/>
              <w:bottom w:val="single" w:sz="12" w:space="0" w:color="auto"/>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w:t>
            </w:r>
          </w:p>
        </w:tc>
        <w:tc>
          <w:tcPr>
            <w:tcW w:w="1030" w:type="dxa"/>
            <w:gridSpan w:val="2"/>
            <w:tcBorders>
              <w:top w:val="nil"/>
              <w:left w:val="nil"/>
              <w:bottom w:val="nil"/>
              <w:right w:val="nil"/>
            </w:tcBorders>
          </w:tcPr>
          <w:p w:rsidR="00B37BA4" w:rsidRPr="00941FA7" w:rsidRDefault="00B37BA4" w:rsidP="00BC15DE">
            <w:pPr>
              <w:rPr>
                <w:rFonts w:eastAsiaTheme="minorHAnsi" w:cs="Calibri"/>
                <w:color w:val="000000"/>
                <w:sz w:val="20"/>
                <w:szCs w:val="20"/>
                <w:lang w:val="fr-FR"/>
              </w:rPr>
            </w:pPr>
            <w:r w:rsidRPr="00941FA7">
              <w:rPr>
                <w:rFonts w:eastAsiaTheme="minorHAnsi" w:cs="Calibri"/>
                <w:color w:val="000000"/>
                <w:sz w:val="20"/>
                <w:szCs w:val="20"/>
                <w:lang w:val="fr-FR"/>
              </w:rPr>
              <w:t>37</w:t>
            </w:r>
          </w:p>
        </w:tc>
      </w:tr>
      <w:bookmarkEnd w:id="1"/>
      <w:tr w:rsidR="00B37BA4" w:rsidRPr="00941FA7" w:rsidTr="00740865">
        <w:tc>
          <w:tcPr>
            <w:tcW w:w="4390" w:type="dxa"/>
            <w:gridSpan w:val="3"/>
            <w:tcBorders>
              <w:top w:val="single" w:sz="12" w:space="0" w:color="auto"/>
              <w:left w:val="nil"/>
              <w:bottom w:val="single" w:sz="12" w:space="0" w:color="auto"/>
              <w:right w:val="nil"/>
            </w:tcBorders>
            <w:shd w:val="clear" w:color="auto" w:fill="EAF1DD" w:themeFill="accent3" w:themeFillTint="33"/>
          </w:tcPr>
          <w:p w:rsidR="00B37BA4" w:rsidRPr="00941FA7" w:rsidRDefault="007F3F49"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Total des Initiatives régionales</w:t>
            </w:r>
          </w:p>
        </w:tc>
        <w:tc>
          <w:tcPr>
            <w:tcW w:w="1140" w:type="dxa"/>
            <w:gridSpan w:val="2"/>
            <w:tcBorders>
              <w:top w:val="nil"/>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66</w:t>
            </w:r>
          </w:p>
        </w:tc>
        <w:tc>
          <w:tcPr>
            <w:tcW w:w="1005" w:type="dxa"/>
            <w:tcBorders>
              <w:top w:val="nil"/>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224</w:t>
            </w:r>
          </w:p>
        </w:tc>
        <w:tc>
          <w:tcPr>
            <w:tcW w:w="1006" w:type="dxa"/>
            <w:tcBorders>
              <w:top w:val="nil"/>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(53)</w:t>
            </w:r>
          </w:p>
        </w:tc>
        <w:tc>
          <w:tcPr>
            <w:tcW w:w="1005" w:type="dxa"/>
            <w:gridSpan w:val="2"/>
            <w:tcBorders>
              <w:top w:val="nil"/>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236</w:t>
            </w:r>
          </w:p>
        </w:tc>
      </w:tr>
      <w:tr w:rsidR="00B37BA4" w:rsidRPr="00941FA7" w:rsidTr="00740865">
        <w:tc>
          <w:tcPr>
            <w:tcW w:w="1306" w:type="dxa"/>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3084"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140"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5" w:type="dxa"/>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06" w:type="dxa"/>
            <w:tcBorders>
              <w:top w:val="single" w:sz="12" w:space="0" w:color="auto"/>
              <w:left w:val="nil"/>
              <w:bottom w:val="double" w:sz="6" w:space="0" w:color="auto"/>
              <w:right w:val="nil"/>
            </w:tcBorders>
          </w:tcPr>
          <w:p w:rsidR="00B37BA4" w:rsidRPr="00941FA7" w:rsidRDefault="00B37BA4" w:rsidP="00BC15DE">
            <w:pPr>
              <w:rPr>
                <w:rFonts w:eastAsiaTheme="minorHAnsi" w:cs="Calibri"/>
                <w:color w:val="000000"/>
                <w:lang w:val="fr-FR"/>
              </w:rPr>
            </w:pPr>
          </w:p>
        </w:tc>
        <w:tc>
          <w:tcPr>
            <w:tcW w:w="1005" w:type="dxa"/>
            <w:gridSpan w:val="2"/>
            <w:tcBorders>
              <w:top w:val="nil"/>
              <w:left w:val="nil"/>
              <w:bottom w:val="nil"/>
              <w:right w:val="nil"/>
            </w:tcBorders>
          </w:tcPr>
          <w:p w:rsidR="00B37BA4" w:rsidRPr="00941FA7" w:rsidRDefault="00B37BA4" w:rsidP="00BC15DE">
            <w:pPr>
              <w:rPr>
                <w:rFonts w:eastAsiaTheme="minorHAnsi" w:cs="Calibri"/>
                <w:color w:val="000000"/>
                <w:lang w:val="fr-FR"/>
              </w:rPr>
            </w:pPr>
          </w:p>
        </w:tc>
        <w:tc>
          <w:tcPr>
            <w:tcW w:w="1030" w:type="dxa"/>
            <w:gridSpan w:val="2"/>
            <w:tcBorders>
              <w:top w:val="single" w:sz="12" w:space="0" w:color="auto"/>
              <w:left w:val="nil"/>
              <w:bottom w:val="nil"/>
              <w:right w:val="nil"/>
            </w:tcBorders>
          </w:tcPr>
          <w:p w:rsidR="00B37BA4" w:rsidRPr="00941FA7" w:rsidRDefault="00B37BA4" w:rsidP="00BC15DE">
            <w:pPr>
              <w:rPr>
                <w:rFonts w:eastAsiaTheme="minorHAnsi" w:cs="Calibri"/>
                <w:color w:val="000000"/>
                <w:lang w:val="fr-FR"/>
              </w:rPr>
            </w:pPr>
          </w:p>
        </w:tc>
      </w:tr>
      <w:tr w:rsidR="00B37BA4" w:rsidRPr="00941FA7" w:rsidTr="00740865">
        <w:tc>
          <w:tcPr>
            <w:tcW w:w="1306" w:type="dxa"/>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Grand Total</w:t>
            </w:r>
          </w:p>
        </w:tc>
        <w:tc>
          <w:tcPr>
            <w:tcW w:w="3084" w:type="dxa"/>
            <w:gridSpan w:val="2"/>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p>
        </w:tc>
        <w:tc>
          <w:tcPr>
            <w:tcW w:w="1140" w:type="dxa"/>
            <w:gridSpan w:val="2"/>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1,876</w:t>
            </w:r>
          </w:p>
        </w:tc>
        <w:tc>
          <w:tcPr>
            <w:tcW w:w="1005" w:type="dxa"/>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470</w:t>
            </w:r>
          </w:p>
        </w:tc>
        <w:tc>
          <w:tcPr>
            <w:tcW w:w="1006" w:type="dxa"/>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(356)</w:t>
            </w:r>
          </w:p>
        </w:tc>
        <w:tc>
          <w:tcPr>
            <w:tcW w:w="1005" w:type="dxa"/>
            <w:gridSpan w:val="2"/>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w:t>
            </w:r>
          </w:p>
        </w:tc>
        <w:tc>
          <w:tcPr>
            <w:tcW w:w="1030" w:type="dxa"/>
            <w:gridSpan w:val="2"/>
            <w:tcBorders>
              <w:top w:val="double" w:sz="6" w:space="0" w:color="auto"/>
              <w:left w:val="nil"/>
              <w:bottom w:val="double" w:sz="6" w:space="0" w:color="auto"/>
              <w:right w:val="nil"/>
            </w:tcBorders>
            <w:shd w:val="clear" w:color="auto" w:fill="D6E3BC" w:themeFill="accent3" w:themeFillTint="66"/>
          </w:tcPr>
          <w:p w:rsidR="00B37BA4" w:rsidRPr="00941FA7" w:rsidRDefault="00B37BA4" w:rsidP="00BC15DE">
            <w:pPr>
              <w:rPr>
                <w:rFonts w:eastAsiaTheme="minorHAnsi" w:cs="Calibri"/>
                <w:b/>
                <w:bCs/>
                <w:color w:val="000000"/>
                <w:sz w:val="20"/>
                <w:szCs w:val="20"/>
                <w:lang w:val="fr-FR"/>
              </w:rPr>
            </w:pPr>
            <w:r w:rsidRPr="00941FA7">
              <w:rPr>
                <w:rFonts w:eastAsiaTheme="minorHAnsi" w:cs="Calibri"/>
                <w:b/>
                <w:bCs/>
                <w:color w:val="000000"/>
                <w:sz w:val="20"/>
                <w:szCs w:val="20"/>
                <w:lang w:val="fr-FR"/>
              </w:rPr>
              <w:t>1,990</w:t>
            </w:r>
          </w:p>
        </w:tc>
      </w:tr>
    </w:tbl>
    <w:p w:rsidR="00740865" w:rsidRPr="00941FA7" w:rsidRDefault="00740865" w:rsidP="00BC15DE">
      <w:pPr>
        <w:rPr>
          <w:rFonts w:asciiTheme="minorHAnsi" w:eastAsia="Times New Roman" w:hAnsiTheme="minorHAnsi" w:cs="Arial"/>
          <w:bCs/>
          <w:lang w:val="fr-FR" w:eastAsia="en-GB"/>
        </w:rPr>
        <w:sectPr w:rsidR="00740865" w:rsidRPr="00941FA7" w:rsidSect="00761962">
          <w:footerReference w:type="default" r:id="rId13"/>
          <w:pgSz w:w="11906" w:h="16838" w:code="9"/>
          <w:pgMar w:top="1440" w:right="1440" w:bottom="1440" w:left="1440" w:header="709" w:footer="709" w:gutter="0"/>
          <w:cols w:space="708"/>
          <w:docGrid w:linePitch="360"/>
        </w:sectPr>
      </w:pPr>
    </w:p>
    <w:p w:rsidR="0074567B" w:rsidRPr="00941FA7" w:rsidRDefault="0035205F" w:rsidP="00666EE5">
      <w:pPr>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lastRenderedPageBreak/>
        <w:t>Annex</w:t>
      </w:r>
      <w:r w:rsidR="0048169C" w:rsidRPr="00941FA7">
        <w:rPr>
          <w:rFonts w:asciiTheme="minorHAnsi" w:eastAsia="Times New Roman" w:hAnsiTheme="minorHAnsi" w:cs="Arial"/>
          <w:b/>
          <w:bCs/>
          <w:sz w:val="24"/>
          <w:szCs w:val="24"/>
          <w:lang w:val="fr-FR" w:eastAsia="en-GB"/>
        </w:rPr>
        <w:t xml:space="preserve">e </w:t>
      </w:r>
      <w:r w:rsidR="007E0A1A" w:rsidRPr="00941FA7">
        <w:rPr>
          <w:rFonts w:asciiTheme="minorHAnsi" w:eastAsia="Times New Roman" w:hAnsiTheme="minorHAnsi" w:cs="Arial"/>
          <w:b/>
          <w:bCs/>
          <w:sz w:val="24"/>
          <w:szCs w:val="24"/>
          <w:lang w:val="fr-FR" w:eastAsia="en-GB"/>
        </w:rPr>
        <w:t>4</w:t>
      </w:r>
    </w:p>
    <w:p w:rsidR="001404C4" w:rsidRPr="00941FA7" w:rsidRDefault="0048169C" w:rsidP="00E42F5B">
      <w:pPr>
        <w:ind w:left="0" w:firstLine="0"/>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t xml:space="preserve">Budget administratif proposé pour </w:t>
      </w:r>
      <w:r w:rsidR="005946B6" w:rsidRPr="00941FA7">
        <w:rPr>
          <w:rFonts w:asciiTheme="minorHAnsi" w:eastAsia="Times New Roman" w:hAnsiTheme="minorHAnsi" w:cs="Arial"/>
          <w:b/>
          <w:bCs/>
          <w:sz w:val="24"/>
          <w:szCs w:val="24"/>
          <w:lang w:val="fr-FR" w:eastAsia="en-GB"/>
        </w:rPr>
        <w:t>2022</w:t>
      </w:r>
    </w:p>
    <w:p w:rsidR="006A5240" w:rsidRPr="00941FA7" w:rsidRDefault="0048169C" w:rsidP="00E42F5B">
      <w:pPr>
        <w:ind w:left="0" w:firstLine="0"/>
        <w:rPr>
          <w:rFonts w:asciiTheme="minorHAnsi" w:eastAsia="Times New Roman" w:hAnsiTheme="minorHAnsi" w:cs="Arial"/>
          <w:bCs/>
          <w:i/>
          <w:sz w:val="20"/>
          <w:szCs w:val="20"/>
          <w:lang w:val="fr-FR" w:eastAsia="en-GB"/>
        </w:rPr>
      </w:pPr>
      <w:r w:rsidRPr="00941FA7">
        <w:rPr>
          <w:rFonts w:asciiTheme="minorHAnsi" w:eastAsia="Times New Roman" w:hAnsiTheme="minorHAnsi" w:cs="Arial"/>
          <w:i/>
          <w:iCs/>
          <w:sz w:val="24"/>
          <w:szCs w:val="24"/>
          <w:lang w:val="fr-FR" w:eastAsia="en-GB"/>
        </w:rPr>
        <w:t>(en milliers de CHF incluant d’éventuels écarts d’arrondis)</w:t>
      </w:r>
    </w:p>
    <w:tbl>
      <w:tblPr>
        <w:tblW w:w="13858" w:type="dxa"/>
        <w:tblLayout w:type="fixed"/>
        <w:tblLook w:val="04A0" w:firstRow="1" w:lastRow="0" w:firstColumn="1" w:lastColumn="0" w:noHBand="0" w:noVBand="1"/>
      </w:tblPr>
      <w:tblGrid>
        <w:gridCol w:w="4962"/>
        <w:gridCol w:w="1757"/>
        <w:gridCol w:w="1757"/>
        <w:gridCol w:w="1757"/>
        <w:gridCol w:w="1757"/>
        <w:gridCol w:w="1868"/>
      </w:tblGrid>
      <w:tr w:rsidR="003360DC" w:rsidRPr="00941FA7" w:rsidTr="00591CDE">
        <w:trPr>
          <w:tblHeader/>
        </w:trPr>
        <w:tc>
          <w:tcPr>
            <w:tcW w:w="4962" w:type="dxa"/>
            <w:tcBorders>
              <w:top w:val="single" w:sz="4" w:space="0" w:color="auto"/>
              <w:left w:val="single" w:sz="4" w:space="0" w:color="auto"/>
              <w:bottom w:val="nil"/>
              <w:right w:val="nil"/>
            </w:tcBorders>
            <w:shd w:val="clear" w:color="000000" w:fill="D6E3BC"/>
            <w:vAlign w:val="center"/>
            <w:hideMark/>
          </w:tcPr>
          <w:p w:rsidR="003360DC" w:rsidRPr="00941FA7" w:rsidRDefault="0048169C"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Budget Ramsar </w:t>
            </w:r>
            <w:r w:rsidR="003360DC" w:rsidRPr="00941FA7">
              <w:rPr>
                <w:rFonts w:eastAsia="Times New Roman" w:cs="Calibri"/>
                <w:b/>
                <w:bCs/>
                <w:sz w:val="20"/>
                <w:szCs w:val="20"/>
                <w:lang w:val="fr-FR" w:eastAsia="en-GB"/>
              </w:rPr>
              <w:t xml:space="preserve">2022 </w:t>
            </w:r>
            <w:r w:rsidR="003360DC" w:rsidRPr="00941FA7">
              <w:rPr>
                <w:rFonts w:eastAsia="Times New Roman" w:cs="Calibri"/>
                <w:b/>
                <w:bCs/>
                <w:sz w:val="20"/>
                <w:szCs w:val="20"/>
                <w:lang w:val="fr-FR" w:eastAsia="en-GB"/>
              </w:rPr>
              <w:br/>
            </w:r>
            <w:r w:rsidR="003360DC" w:rsidRPr="00941FA7">
              <w:rPr>
                <w:rFonts w:eastAsia="Times New Roman" w:cs="Calibri"/>
                <w:b/>
                <w:bCs/>
                <w:sz w:val="20"/>
                <w:szCs w:val="20"/>
                <w:lang w:val="fr-FR" w:eastAsia="en-GB"/>
              </w:rPr>
              <w:br/>
            </w:r>
            <w:r w:rsidRPr="00941FA7">
              <w:rPr>
                <w:rFonts w:eastAsia="Times New Roman" w:cs="Calibri"/>
                <w:b/>
                <w:bCs/>
                <w:sz w:val="20"/>
                <w:szCs w:val="20"/>
                <w:lang w:val="fr-FR" w:eastAsia="en-GB"/>
              </w:rPr>
              <w:t>Approuvé par l’Ex</w:t>
            </w:r>
            <w:r w:rsidR="003360DC" w:rsidRPr="00941FA7">
              <w:rPr>
                <w:rFonts w:eastAsia="Times New Roman" w:cs="Calibri"/>
                <w:b/>
                <w:bCs/>
                <w:sz w:val="20"/>
                <w:szCs w:val="20"/>
                <w:lang w:val="fr-FR" w:eastAsia="en-GB"/>
              </w:rPr>
              <w:t>COP3</w:t>
            </w:r>
          </w:p>
        </w:tc>
        <w:tc>
          <w:tcPr>
            <w:tcW w:w="1757" w:type="dxa"/>
            <w:tcBorders>
              <w:top w:val="single" w:sz="4" w:space="0" w:color="auto"/>
              <w:left w:val="single" w:sz="4" w:space="0" w:color="auto"/>
              <w:bottom w:val="nil"/>
              <w:right w:val="single" w:sz="4" w:space="0" w:color="auto"/>
            </w:tcBorders>
            <w:shd w:val="clear" w:color="000000" w:fill="D6E3BC"/>
            <w:vAlign w:val="center"/>
            <w:hideMark/>
          </w:tcPr>
          <w:p w:rsidR="003360DC" w:rsidRPr="00941FA7" w:rsidRDefault="00DD17D4" w:rsidP="0014156A">
            <w:pPr>
              <w:ind w:left="0" w:firstLine="0"/>
              <w:jc w:val="center"/>
              <w:rPr>
                <w:rFonts w:eastAsia="Times New Roman" w:cs="Calibri"/>
                <w:b/>
                <w:bCs/>
                <w:sz w:val="20"/>
                <w:szCs w:val="20"/>
                <w:lang w:val="fr-FR" w:eastAsia="en-GB"/>
              </w:rPr>
            </w:pPr>
            <w:r w:rsidRPr="00941FA7">
              <w:rPr>
                <w:rFonts w:eastAsia="Times New Roman" w:cs="Calibri"/>
                <w:b/>
                <w:bCs/>
                <w:color w:val="000000"/>
                <w:sz w:val="20"/>
                <w:szCs w:val="20"/>
                <w:lang w:val="fr-FR" w:eastAsia="en-GB"/>
              </w:rPr>
              <w:t xml:space="preserve">Budget approuvé </w:t>
            </w:r>
            <w:r w:rsidR="003360DC" w:rsidRPr="00941FA7">
              <w:rPr>
                <w:rFonts w:eastAsia="Times New Roman" w:cs="Calibri"/>
                <w:b/>
                <w:bCs/>
                <w:sz w:val="20"/>
                <w:szCs w:val="20"/>
                <w:lang w:val="fr-FR" w:eastAsia="en-GB"/>
              </w:rPr>
              <w:t>(</w:t>
            </w:r>
            <w:r w:rsidRPr="00941FA7">
              <w:rPr>
                <w:rFonts w:eastAsia="Times New Roman" w:cs="Calibri"/>
                <w:b/>
                <w:bCs/>
                <w:sz w:val="20"/>
                <w:szCs w:val="20"/>
                <w:lang w:val="fr-FR" w:eastAsia="en-GB"/>
              </w:rPr>
              <w:t>approuvé par l’</w:t>
            </w:r>
            <w:r w:rsidR="003360DC" w:rsidRPr="00941FA7">
              <w:rPr>
                <w:rFonts w:eastAsia="Times New Roman" w:cs="Calibri"/>
                <w:b/>
                <w:bCs/>
                <w:sz w:val="20"/>
                <w:szCs w:val="20"/>
                <w:lang w:val="fr-FR" w:eastAsia="en-GB"/>
              </w:rPr>
              <w:t>ExCOP3</w:t>
            </w:r>
            <w:r w:rsidRPr="00941FA7">
              <w:rPr>
                <w:rFonts w:eastAsia="Times New Roman" w:cs="Calibri"/>
                <w:b/>
                <w:bCs/>
                <w:sz w:val="20"/>
                <w:szCs w:val="20"/>
                <w:lang w:val="fr-FR" w:eastAsia="en-GB"/>
              </w:rPr>
              <w:t>)</w:t>
            </w:r>
          </w:p>
        </w:tc>
        <w:tc>
          <w:tcPr>
            <w:tcW w:w="1757" w:type="dxa"/>
            <w:tcBorders>
              <w:top w:val="single" w:sz="4" w:space="0" w:color="auto"/>
              <w:left w:val="nil"/>
              <w:bottom w:val="nil"/>
              <w:right w:val="single" w:sz="4" w:space="0" w:color="auto"/>
            </w:tcBorders>
            <w:shd w:val="clear" w:color="000000" w:fill="D6E3BC"/>
            <w:vAlign w:val="center"/>
            <w:hideMark/>
          </w:tcPr>
          <w:p w:rsidR="003360DC" w:rsidRPr="00941FA7" w:rsidRDefault="00DD17D4"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Utilisation autorisée par la </w:t>
            </w:r>
            <w:r w:rsidR="003360DC" w:rsidRPr="00941FA7">
              <w:rPr>
                <w:rFonts w:eastAsia="Times New Roman" w:cs="Calibri"/>
                <w:b/>
                <w:bCs/>
                <w:sz w:val="20"/>
                <w:szCs w:val="20"/>
                <w:lang w:val="fr-FR" w:eastAsia="en-GB"/>
              </w:rPr>
              <w:t xml:space="preserve">SC59 </w:t>
            </w:r>
            <w:r w:rsidRPr="00941FA7">
              <w:rPr>
                <w:rFonts w:eastAsia="Times New Roman" w:cs="Calibri"/>
                <w:b/>
                <w:bCs/>
                <w:sz w:val="20"/>
                <w:szCs w:val="20"/>
                <w:lang w:val="fr-FR" w:eastAsia="en-GB"/>
              </w:rPr>
              <w:t>des économies sur le budget 2020 (approuvée par l’ExCOP3)</w:t>
            </w:r>
          </w:p>
        </w:tc>
        <w:tc>
          <w:tcPr>
            <w:tcW w:w="1757" w:type="dxa"/>
            <w:tcBorders>
              <w:top w:val="single" w:sz="4" w:space="0" w:color="auto"/>
              <w:left w:val="single" w:sz="4" w:space="0" w:color="auto"/>
              <w:bottom w:val="nil"/>
              <w:right w:val="single" w:sz="4" w:space="0" w:color="auto"/>
            </w:tcBorders>
            <w:shd w:val="clear" w:color="000000" w:fill="D6E3BC"/>
            <w:vAlign w:val="center"/>
            <w:hideMark/>
          </w:tcPr>
          <w:p w:rsidR="003360DC" w:rsidRPr="00941FA7" w:rsidRDefault="00DD17D4"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Fonds préengagés de 2021 à dépenser en 2022</w:t>
            </w:r>
          </w:p>
        </w:tc>
        <w:tc>
          <w:tcPr>
            <w:tcW w:w="1757" w:type="dxa"/>
            <w:tcBorders>
              <w:top w:val="single" w:sz="4" w:space="0" w:color="auto"/>
              <w:left w:val="nil"/>
              <w:bottom w:val="nil"/>
              <w:right w:val="single" w:sz="4" w:space="0" w:color="auto"/>
            </w:tcBorders>
            <w:shd w:val="clear" w:color="auto" w:fill="D6E3BC" w:themeFill="accent3" w:themeFillTint="66"/>
            <w:vAlign w:val="center"/>
            <w:hideMark/>
          </w:tcPr>
          <w:p w:rsidR="003360DC" w:rsidRPr="00941FA7" w:rsidRDefault="00DD17D4"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A</w:t>
            </w:r>
            <w:r w:rsidR="003360DC" w:rsidRPr="00941FA7">
              <w:rPr>
                <w:rFonts w:eastAsia="Times New Roman" w:cs="Calibri"/>
                <w:b/>
                <w:bCs/>
                <w:sz w:val="20"/>
                <w:szCs w:val="20"/>
                <w:lang w:val="fr-FR" w:eastAsia="en-GB"/>
              </w:rPr>
              <w:t>just</w:t>
            </w:r>
            <w:r w:rsidRPr="00941FA7">
              <w:rPr>
                <w:rFonts w:eastAsia="Times New Roman" w:cs="Calibri"/>
                <w:b/>
                <w:bCs/>
                <w:sz w:val="20"/>
                <w:szCs w:val="20"/>
                <w:lang w:val="fr-FR" w:eastAsia="en-GB"/>
              </w:rPr>
              <w:t>e</w:t>
            </w:r>
            <w:r w:rsidR="003360DC" w:rsidRPr="00941FA7">
              <w:rPr>
                <w:rFonts w:eastAsia="Times New Roman" w:cs="Calibri"/>
                <w:b/>
                <w:bCs/>
                <w:sz w:val="20"/>
                <w:szCs w:val="20"/>
                <w:lang w:val="fr-FR" w:eastAsia="en-GB"/>
              </w:rPr>
              <w:t xml:space="preserve">ments </w:t>
            </w:r>
            <w:r w:rsidRPr="00941FA7">
              <w:rPr>
                <w:rFonts w:eastAsia="Times New Roman" w:cs="Calibri"/>
                <w:b/>
                <w:bCs/>
                <w:sz w:val="20"/>
                <w:szCs w:val="20"/>
                <w:lang w:val="fr-FR" w:eastAsia="en-GB"/>
              </w:rPr>
              <w:t>au budget</w:t>
            </w:r>
            <w:r w:rsidR="003360DC" w:rsidRPr="00941FA7">
              <w:rPr>
                <w:rFonts w:eastAsia="Times New Roman" w:cs="Calibri"/>
                <w:b/>
                <w:bCs/>
                <w:sz w:val="20"/>
                <w:szCs w:val="20"/>
                <w:lang w:val="fr-FR" w:eastAsia="en-GB"/>
              </w:rPr>
              <w:t xml:space="preserve"> 2022 </w:t>
            </w:r>
            <w:r w:rsidRPr="00941FA7">
              <w:rPr>
                <w:rFonts w:eastAsia="Times New Roman" w:cs="Calibri"/>
                <w:b/>
                <w:bCs/>
                <w:sz w:val="20"/>
                <w:szCs w:val="20"/>
                <w:lang w:val="fr-FR" w:eastAsia="en-GB"/>
              </w:rPr>
              <w:t>approuvés à l’</w:t>
            </w:r>
            <w:r w:rsidR="003360DC" w:rsidRPr="00941FA7">
              <w:rPr>
                <w:rFonts w:eastAsia="Times New Roman" w:cs="Calibri"/>
                <w:b/>
                <w:bCs/>
                <w:sz w:val="20"/>
                <w:szCs w:val="20"/>
                <w:lang w:val="fr-FR" w:eastAsia="en-GB"/>
              </w:rPr>
              <w:t>ExCOP3 *</w:t>
            </w:r>
          </w:p>
        </w:tc>
        <w:tc>
          <w:tcPr>
            <w:tcW w:w="1868" w:type="dxa"/>
            <w:tcBorders>
              <w:top w:val="single" w:sz="4" w:space="0" w:color="auto"/>
              <w:left w:val="nil"/>
              <w:bottom w:val="nil"/>
              <w:right w:val="single" w:sz="4" w:space="0" w:color="auto"/>
            </w:tcBorders>
            <w:shd w:val="clear" w:color="auto" w:fill="D6E3BC" w:themeFill="accent3" w:themeFillTint="66"/>
            <w:vAlign w:val="center"/>
            <w:hideMark/>
          </w:tcPr>
          <w:p w:rsidR="003360DC" w:rsidRPr="00941FA7" w:rsidRDefault="003360DC" w:rsidP="0014156A">
            <w:pPr>
              <w:ind w:left="0" w:firstLine="0"/>
              <w:jc w:val="center"/>
              <w:rPr>
                <w:rFonts w:eastAsia="Times New Roman" w:cs="Calibri"/>
                <w:b/>
                <w:bCs/>
                <w:sz w:val="20"/>
                <w:szCs w:val="20"/>
                <w:lang w:val="fr-FR" w:eastAsia="en-GB"/>
              </w:rPr>
            </w:pPr>
            <w:r w:rsidRPr="00941FA7">
              <w:rPr>
                <w:rFonts w:eastAsia="Times New Roman" w:cs="Calibri"/>
                <w:b/>
                <w:bCs/>
                <w:sz w:val="20"/>
                <w:szCs w:val="20"/>
                <w:lang w:val="fr-FR" w:eastAsia="en-GB"/>
              </w:rPr>
              <w:t xml:space="preserve">Total </w:t>
            </w:r>
            <w:r w:rsidR="00DD17D4" w:rsidRPr="00941FA7">
              <w:rPr>
                <w:rFonts w:eastAsia="Times New Roman" w:cs="Calibri"/>
                <w:b/>
                <w:bCs/>
                <w:sz w:val="20"/>
                <w:szCs w:val="20"/>
                <w:lang w:val="fr-FR" w:eastAsia="en-GB"/>
              </w:rPr>
              <w:t xml:space="preserve">du budget </w:t>
            </w:r>
            <w:r w:rsidRPr="00941FA7">
              <w:rPr>
                <w:rFonts w:eastAsia="Times New Roman" w:cs="Calibri"/>
                <w:b/>
                <w:bCs/>
                <w:sz w:val="20"/>
                <w:szCs w:val="20"/>
                <w:lang w:val="fr-FR" w:eastAsia="en-GB"/>
              </w:rPr>
              <w:t>2022</w:t>
            </w:r>
          </w:p>
        </w:tc>
      </w:tr>
      <w:tr w:rsidR="003360DC" w:rsidRPr="0014156A" w:rsidTr="00591CDE">
        <w:trPr>
          <w:tblHeader/>
        </w:trPr>
        <w:tc>
          <w:tcPr>
            <w:tcW w:w="4962" w:type="dxa"/>
            <w:tcBorders>
              <w:top w:val="nil"/>
              <w:left w:val="single" w:sz="4" w:space="0" w:color="auto"/>
              <w:bottom w:val="nil"/>
              <w:right w:val="nil"/>
            </w:tcBorders>
            <w:shd w:val="clear" w:color="000000" w:fill="D6E3BC"/>
            <w:vAlign w:val="center"/>
            <w:hideMark/>
          </w:tcPr>
          <w:p w:rsidR="003360DC" w:rsidRPr="00941FA7" w:rsidRDefault="00DD17D4" w:rsidP="003360DC">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en milliers de francs suisses (CHF)</w:t>
            </w:r>
          </w:p>
        </w:tc>
        <w:tc>
          <w:tcPr>
            <w:tcW w:w="1757" w:type="dxa"/>
            <w:vMerge w:val="restart"/>
            <w:tcBorders>
              <w:top w:val="nil"/>
              <w:left w:val="single" w:sz="4" w:space="0" w:color="auto"/>
              <w:bottom w:val="single" w:sz="4" w:space="0" w:color="000000"/>
              <w:right w:val="single" w:sz="4" w:space="0" w:color="auto"/>
            </w:tcBorders>
            <w:shd w:val="clear" w:color="000000" w:fill="D6E3BC"/>
            <w:vAlign w:val="center"/>
            <w:hideMark/>
          </w:tcPr>
          <w:p w:rsidR="003360DC" w:rsidRPr="00941FA7" w:rsidRDefault="003360DC" w:rsidP="003360DC">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(A)</w:t>
            </w:r>
          </w:p>
        </w:tc>
        <w:tc>
          <w:tcPr>
            <w:tcW w:w="1757" w:type="dxa"/>
            <w:vMerge w:val="restart"/>
            <w:tcBorders>
              <w:top w:val="nil"/>
              <w:left w:val="single" w:sz="4" w:space="0" w:color="auto"/>
              <w:bottom w:val="single" w:sz="4" w:space="0" w:color="000000"/>
              <w:right w:val="single" w:sz="4" w:space="0" w:color="auto"/>
            </w:tcBorders>
            <w:shd w:val="clear" w:color="000000" w:fill="D6E3BC"/>
            <w:vAlign w:val="center"/>
            <w:hideMark/>
          </w:tcPr>
          <w:p w:rsidR="003360DC" w:rsidRPr="00941FA7" w:rsidRDefault="003360DC" w:rsidP="003360DC">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(B)</w:t>
            </w:r>
          </w:p>
        </w:tc>
        <w:tc>
          <w:tcPr>
            <w:tcW w:w="1757" w:type="dxa"/>
            <w:vMerge w:val="restart"/>
            <w:tcBorders>
              <w:top w:val="nil"/>
              <w:left w:val="single" w:sz="4" w:space="0" w:color="auto"/>
              <w:bottom w:val="single" w:sz="4" w:space="0" w:color="000000"/>
              <w:right w:val="single" w:sz="4" w:space="0" w:color="auto"/>
            </w:tcBorders>
            <w:shd w:val="clear" w:color="000000" w:fill="D6E3BC"/>
            <w:vAlign w:val="center"/>
            <w:hideMark/>
          </w:tcPr>
          <w:p w:rsidR="003360DC" w:rsidRPr="00941FA7" w:rsidRDefault="003360DC" w:rsidP="003360DC">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(C)</w:t>
            </w:r>
          </w:p>
        </w:tc>
        <w:tc>
          <w:tcPr>
            <w:tcW w:w="1757" w:type="dxa"/>
            <w:vMerge w:val="restart"/>
            <w:tcBorders>
              <w:top w:val="nil"/>
              <w:left w:val="nil"/>
              <w:bottom w:val="single" w:sz="4" w:space="0" w:color="000000"/>
              <w:right w:val="single" w:sz="4" w:space="0" w:color="auto"/>
            </w:tcBorders>
            <w:shd w:val="clear" w:color="auto" w:fill="D6E3BC" w:themeFill="accent3" w:themeFillTint="66"/>
            <w:vAlign w:val="center"/>
            <w:hideMark/>
          </w:tcPr>
          <w:p w:rsidR="003360DC" w:rsidRPr="00941FA7" w:rsidRDefault="003360DC" w:rsidP="003360DC">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w:t>
            </w:r>
            <w:r w:rsidR="007E27A5" w:rsidRPr="00941FA7">
              <w:rPr>
                <w:rFonts w:eastAsia="Times New Roman" w:cs="Calibri"/>
                <w:b/>
                <w:bCs/>
                <w:color w:val="000000"/>
                <w:sz w:val="20"/>
                <w:szCs w:val="20"/>
                <w:lang w:val="fr-FR" w:eastAsia="en-GB"/>
              </w:rPr>
              <w:t>D</w:t>
            </w:r>
            <w:r w:rsidRPr="00941FA7">
              <w:rPr>
                <w:rFonts w:eastAsia="Times New Roman" w:cs="Calibri"/>
                <w:b/>
                <w:bCs/>
                <w:color w:val="000000"/>
                <w:sz w:val="20"/>
                <w:szCs w:val="20"/>
                <w:lang w:val="fr-FR" w:eastAsia="en-GB"/>
              </w:rPr>
              <w:t>)</w:t>
            </w:r>
          </w:p>
        </w:tc>
        <w:tc>
          <w:tcPr>
            <w:tcW w:w="1868" w:type="dxa"/>
            <w:vMerge w:val="restart"/>
            <w:tcBorders>
              <w:top w:val="nil"/>
              <w:left w:val="nil"/>
              <w:bottom w:val="single" w:sz="4" w:space="0" w:color="000000"/>
              <w:right w:val="single" w:sz="4" w:space="0" w:color="auto"/>
            </w:tcBorders>
            <w:shd w:val="clear" w:color="auto" w:fill="D6E3BC" w:themeFill="accent3" w:themeFillTint="66"/>
            <w:vAlign w:val="center"/>
            <w:hideMark/>
          </w:tcPr>
          <w:p w:rsidR="003360DC" w:rsidRPr="00941FA7" w:rsidRDefault="007E27A5" w:rsidP="00591CDE">
            <w:pPr>
              <w:ind w:left="0" w:firstLine="0"/>
              <w:jc w:val="center"/>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(E)=</w:t>
            </w:r>
            <w:r w:rsidR="003B5498" w:rsidRPr="00941FA7">
              <w:rPr>
                <w:rFonts w:eastAsia="Times New Roman" w:cs="Calibri"/>
                <w:b/>
                <w:bCs/>
                <w:color w:val="000000"/>
                <w:sz w:val="20"/>
                <w:szCs w:val="20"/>
                <w:lang w:val="fr-FR" w:eastAsia="en-GB"/>
              </w:rPr>
              <w:t>(</w:t>
            </w:r>
            <w:r w:rsidR="003360DC" w:rsidRPr="00941FA7">
              <w:rPr>
                <w:rFonts w:eastAsia="Times New Roman" w:cs="Calibri"/>
                <w:b/>
                <w:bCs/>
                <w:color w:val="000000"/>
                <w:sz w:val="20"/>
                <w:szCs w:val="20"/>
                <w:lang w:val="fr-FR" w:eastAsia="en-GB"/>
              </w:rPr>
              <w:t>A</w:t>
            </w:r>
            <w:r w:rsidR="003B5498" w:rsidRPr="00941FA7">
              <w:rPr>
                <w:rFonts w:eastAsia="Times New Roman" w:cs="Calibri"/>
                <w:b/>
                <w:bCs/>
                <w:color w:val="000000"/>
                <w:sz w:val="20"/>
                <w:szCs w:val="20"/>
                <w:lang w:val="fr-FR" w:eastAsia="en-GB"/>
              </w:rPr>
              <w:t>)</w:t>
            </w:r>
            <w:r w:rsidR="003360DC" w:rsidRPr="00941FA7">
              <w:rPr>
                <w:rFonts w:eastAsia="Times New Roman" w:cs="Calibri"/>
                <w:b/>
                <w:bCs/>
                <w:color w:val="000000"/>
                <w:sz w:val="20"/>
                <w:szCs w:val="20"/>
                <w:lang w:val="fr-FR" w:eastAsia="en-GB"/>
              </w:rPr>
              <w:t>+</w:t>
            </w:r>
            <w:r w:rsidR="003B5498" w:rsidRPr="00941FA7">
              <w:rPr>
                <w:rFonts w:eastAsia="Times New Roman" w:cs="Calibri"/>
                <w:b/>
                <w:bCs/>
                <w:color w:val="000000"/>
                <w:sz w:val="20"/>
                <w:szCs w:val="20"/>
                <w:lang w:val="fr-FR" w:eastAsia="en-GB"/>
              </w:rPr>
              <w:t>(</w:t>
            </w:r>
            <w:r w:rsidR="003360DC" w:rsidRPr="00941FA7">
              <w:rPr>
                <w:rFonts w:eastAsia="Times New Roman" w:cs="Calibri"/>
                <w:b/>
                <w:bCs/>
                <w:color w:val="000000"/>
                <w:sz w:val="20"/>
                <w:szCs w:val="20"/>
                <w:lang w:val="fr-FR" w:eastAsia="en-GB"/>
              </w:rPr>
              <w:t>B</w:t>
            </w:r>
            <w:r w:rsidR="003B5498" w:rsidRPr="00941FA7">
              <w:rPr>
                <w:rFonts w:eastAsia="Times New Roman" w:cs="Calibri"/>
                <w:b/>
                <w:bCs/>
                <w:color w:val="000000"/>
                <w:sz w:val="20"/>
                <w:szCs w:val="20"/>
                <w:lang w:val="fr-FR" w:eastAsia="en-GB"/>
              </w:rPr>
              <w:t>)</w:t>
            </w:r>
            <w:r w:rsidR="003360DC" w:rsidRPr="00941FA7">
              <w:rPr>
                <w:rFonts w:eastAsia="Times New Roman" w:cs="Calibri"/>
                <w:b/>
                <w:bCs/>
                <w:color w:val="000000"/>
                <w:sz w:val="20"/>
                <w:szCs w:val="20"/>
                <w:lang w:val="fr-FR" w:eastAsia="en-GB"/>
              </w:rPr>
              <w:t>+</w:t>
            </w:r>
            <w:r w:rsidR="003B5498" w:rsidRPr="00941FA7">
              <w:rPr>
                <w:rFonts w:eastAsia="Times New Roman" w:cs="Calibri"/>
                <w:b/>
                <w:bCs/>
                <w:color w:val="000000"/>
                <w:sz w:val="20"/>
                <w:szCs w:val="20"/>
                <w:lang w:val="fr-FR" w:eastAsia="en-GB"/>
              </w:rPr>
              <w:t>(</w:t>
            </w:r>
            <w:r w:rsidR="003360DC" w:rsidRPr="00941FA7">
              <w:rPr>
                <w:rFonts w:eastAsia="Times New Roman" w:cs="Calibri"/>
                <w:b/>
                <w:bCs/>
                <w:color w:val="000000"/>
                <w:sz w:val="20"/>
                <w:szCs w:val="20"/>
                <w:lang w:val="fr-FR" w:eastAsia="en-GB"/>
              </w:rPr>
              <w:t>C</w:t>
            </w:r>
            <w:r w:rsidR="003B5498" w:rsidRPr="00941FA7">
              <w:rPr>
                <w:rFonts w:eastAsia="Times New Roman" w:cs="Calibri"/>
                <w:b/>
                <w:bCs/>
                <w:color w:val="000000"/>
                <w:sz w:val="20"/>
                <w:szCs w:val="20"/>
                <w:lang w:val="fr-FR" w:eastAsia="en-GB"/>
              </w:rPr>
              <w:t>)</w:t>
            </w:r>
            <w:r w:rsidR="003360DC" w:rsidRPr="00941FA7">
              <w:rPr>
                <w:rFonts w:eastAsia="Times New Roman" w:cs="Calibri"/>
                <w:b/>
                <w:bCs/>
                <w:color w:val="000000"/>
                <w:sz w:val="20"/>
                <w:szCs w:val="20"/>
                <w:lang w:val="fr-FR" w:eastAsia="en-GB"/>
              </w:rPr>
              <w:t>+</w:t>
            </w:r>
            <w:r w:rsidR="003B5498" w:rsidRPr="00941FA7">
              <w:rPr>
                <w:rFonts w:eastAsia="Times New Roman" w:cs="Calibri"/>
                <w:b/>
                <w:bCs/>
                <w:color w:val="000000"/>
                <w:sz w:val="20"/>
                <w:szCs w:val="20"/>
                <w:lang w:val="fr-FR" w:eastAsia="en-GB"/>
              </w:rPr>
              <w:t>(</w:t>
            </w:r>
            <w:r w:rsidRPr="00941FA7">
              <w:rPr>
                <w:rFonts w:eastAsia="Times New Roman" w:cs="Calibri"/>
                <w:b/>
                <w:bCs/>
                <w:color w:val="000000"/>
                <w:sz w:val="20"/>
                <w:szCs w:val="20"/>
                <w:lang w:val="fr-FR" w:eastAsia="en-GB"/>
              </w:rPr>
              <w:t>D</w:t>
            </w:r>
            <w:r w:rsidR="003B5498" w:rsidRPr="00941FA7">
              <w:rPr>
                <w:rFonts w:eastAsia="Times New Roman" w:cs="Calibri"/>
                <w:b/>
                <w:bCs/>
                <w:color w:val="000000"/>
                <w:sz w:val="20"/>
                <w:szCs w:val="20"/>
                <w:lang w:val="fr-FR" w:eastAsia="en-GB"/>
              </w:rPr>
              <w:t>)</w:t>
            </w:r>
          </w:p>
        </w:tc>
      </w:tr>
      <w:tr w:rsidR="003360DC" w:rsidRPr="0014156A" w:rsidTr="00591CDE">
        <w:trPr>
          <w:trHeight w:val="70"/>
          <w:tblHeader/>
        </w:trPr>
        <w:tc>
          <w:tcPr>
            <w:tcW w:w="4962" w:type="dxa"/>
            <w:tcBorders>
              <w:top w:val="nil"/>
              <w:left w:val="single" w:sz="4" w:space="0" w:color="auto"/>
              <w:bottom w:val="single" w:sz="4" w:space="0" w:color="auto"/>
              <w:right w:val="nil"/>
            </w:tcBorders>
            <w:shd w:val="clear" w:color="000000" w:fill="D6E3BC"/>
            <w:vAlign w:val="center"/>
            <w:hideMark/>
          </w:tcPr>
          <w:p w:rsidR="003360DC" w:rsidRPr="00941FA7" w:rsidRDefault="003360DC" w:rsidP="003360DC">
            <w:pPr>
              <w:ind w:left="0" w:firstLine="0"/>
              <w:rPr>
                <w:rFonts w:ascii="Arial" w:eastAsia="Times New Roman" w:hAnsi="Arial" w:cs="Arial"/>
                <w:color w:val="000000"/>
                <w:sz w:val="20"/>
                <w:szCs w:val="20"/>
                <w:lang w:val="fr-FR" w:eastAsia="en-GB"/>
              </w:rPr>
            </w:pPr>
          </w:p>
        </w:tc>
        <w:tc>
          <w:tcPr>
            <w:tcW w:w="1757" w:type="dxa"/>
            <w:vMerge/>
            <w:tcBorders>
              <w:top w:val="nil"/>
              <w:left w:val="single" w:sz="4" w:space="0" w:color="auto"/>
              <w:bottom w:val="single" w:sz="4" w:space="0" w:color="000000"/>
              <w:right w:val="single" w:sz="4" w:space="0" w:color="auto"/>
            </w:tcBorders>
            <w:vAlign w:val="center"/>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757" w:type="dxa"/>
            <w:vMerge/>
            <w:tcBorders>
              <w:top w:val="nil"/>
              <w:left w:val="single" w:sz="4" w:space="0" w:color="auto"/>
              <w:bottom w:val="single" w:sz="4" w:space="0" w:color="000000"/>
              <w:right w:val="single" w:sz="4" w:space="0" w:color="auto"/>
            </w:tcBorders>
            <w:vAlign w:val="center"/>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757" w:type="dxa"/>
            <w:vMerge/>
            <w:tcBorders>
              <w:top w:val="nil"/>
              <w:left w:val="single" w:sz="4" w:space="0" w:color="auto"/>
              <w:bottom w:val="single" w:sz="4" w:space="0" w:color="000000"/>
              <w:right w:val="single" w:sz="4" w:space="0" w:color="auto"/>
            </w:tcBorders>
            <w:vAlign w:val="center"/>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757" w:type="dxa"/>
            <w:vMerge/>
            <w:tcBorders>
              <w:top w:val="nil"/>
              <w:left w:val="nil"/>
              <w:bottom w:val="single" w:sz="4" w:space="0" w:color="000000"/>
              <w:right w:val="single" w:sz="4" w:space="0" w:color="auto"/>
            </w:tcBorders>
            <w:shd w:val="clear" w:color="auto" w:fill="D6E3BC" w:themeFill="accent3" w:themeFillTint="66"/>
            <w:vAlign w:val="center"/>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868" w:type="dxa"/>
            <w:vMerge/>
            <w:tcBorders>
              <w:top w:val="nil"/>
              <w:left w:val="nil"/>
              <w:bottom w:val="single" w:sz="4" w:space="0" w:color="000000"/>
              <w:right w:val="single" w:sz="4" w:space="0" w:color="auto"/>
            </w:tcBorders>
            <w:shd w:val="clear" w:color="auto" w:fill="D6E3BC" w:themeFill="accent3" w:themeFillTint="66"/>
            <w:vAlign w:val="center"/>
            <w:hideMark/>
          </w:tcPr>
          <w:p w:rsidR="003360DC" w:rsidRPr="00941FA7" w:rsidRDefault="003360DC" w:rsidP="003360DC">
            <w:pPr>
              <w:ind w:left="0" w:firstLine="0"/>
              <w:rPr>
                <w:rFonts w:eastAsia="Times New Roman" w:cs="Calibri"/>
                <w:b/>
                <w:bCs/>
                <w:color w:val="000000"/>
                <w:sz w:val="20"/>
                <w:szCs w:val="20"/>
                <w:lang w:val="fr-FR" w:eastAsia="en-GB"/>
              </w:rPr>
            </w:pPr>
          </w:p>
        </w:tc>
      </w:tr>
      <w:tr w:rsidR="003360DC" w:rsidRPr="0014156A" w:rsidTr="00591CD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14156A" w:rsidRDefault="0014156A" w:rsidP="003360DC">
            <w:pPr>
              <w:ind w:left="0" w:firstLine="0"/>
              <w:rPr>
                <w:rFonts w:asciiTheme="minorHAnsi" w:eastAsia="Times New Roman" w:hAnsiTheme="minorHAnsi" w:cstheme="minorHAnsi"/>
                <w:b/>
                <w:bCs/>
                <w:color w:val="000000"/>
                <w:sz w:val="20"/>
                <w:szCs w:val="20"/>
                <w:lang w:val="fr-FR" w:eastAsia="en-GB"/>
              </w:rPr>
            </w:pPr>
          </w:p>
          <w:p w:rsidR="003360DC" w:rsidRPr="00941FA7" w:rsidRDefault="001569D5" w:rsidP="003360DC">
            <w:pPr>
              <w:ind w:left="0" w:firstLine="0"/>
              <w:rPr>
                <w:rFonts w:asciiTheme="minorHAnsi" w:eastAsia="Times New Roman" w:hAnsiTheme="minorHAnsi" w:cstheme="minorHAnsi"/>
                <w:b/>
                <w:bCs/>
                <w:color w:val="000000"/>
                <w:sz w:val="20"/>
                <w:szCs w:val="20"/>
                <w:lang w:val="fr-FR" w:eastAsia="en-GB"/>
              </w:rPr>
            </w:pPr>
            <w:r w:rsidRPr="00941FA7">
              <w:rPr>
                <w:rFonts w:asciiTheme="minorHAnsi" w:eastAsia="Times New Roman" w:hAnsiTheme="minorHAnsi" w:cstheme="minorHAnsi"/>
                <w:b/>
                <w:bCs/>
                <w:color w:val="000000"/>
                <w:sz w:val="20"/>
                <w:szCs w:val="20"/>
                <w:lang w:val="fr-FR" w:eastAsia="en-GB"/>
              </w:rPr>
              <w:t>RECETTES</w:t>
            </w:r>
          </w:p>
        </w:tc>
        <w:tc>
          <w:tcPr>
            <w:tcW w:w="1757" w:type="dxa"/>
            <w:tcBorders>
              <w:top w:val="nil"/>
              <w:left w:val="nil"/>
              <w:bottom w:val="nil"/>
              <w:right w:val="nil"/>
            </w:tcBorders>
            <w:shd w:val="clear" w:color="auto" w:fill="auto"/>
            <w:noWrap/>
            <w:vAlign w:val="center"/>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757" w:type="dxa"/>
            <w:tcBorders>
              <w:top w:val="nil"/>
              <w:left w:val="nil"/>
              <w:bottom w:val="nil"/>
              <w:right w:val="nil"/>
            </w:tcBorders>
            <w:shd w:val="clear" w:color="auto" w:fill="auto"/>
            <w:noWrap/>
            <w:vAlign w:val="center"/>
            <w:hideMark/>
          </w:tcPr>
          <w:p w:rsidR="003360DC" w:rsidRPr="00941FA7" w:rsidRDefault="003360DC" w:rsidP="003360DC">
            <w:pPr>
              <w:ind w:left="0" w:firstLine="0"/>
              <w:rPr>
                <w:rFonts w:ascii="Times New Roman" w:eastAsia="Times New Roman" w:hAnsi="Times New Roman"/>
                <w:sz w:val="20"/>
                <w:szCs w:val="20"/>
                <w:lang w:val="fr-FR" w:eastAsia="en-GB"/>
              </w:rPr>
            </w:pPr>
          </w:p>
        </w:tc>
        <w:tc>
          <w:tcPr>
            <w:tcW w:w="1757" w:type="dxa"/>
            <w:tcBorders>
              <w:top w:val="nil"/>
              <w:left w:val="single" w:sz="4" w:space="0" w:color="auto"/>
              <w:bottom w:val="nil"/>
              <w:right w:val="nil"/>
            </w:tcBorders>
            <w:shd w:val="clear" w:color="auto" w:fill="auto"/>
            <w:noWrap/>
            <w:vAlign w:val="bottom"/>
            <w:hideMark/>
          </w:tcPr>
          <w:p w:rsidR="003360DC" w:rsidRPr="00941FA7" w:rsidRDefault="003360DC" w:rsidP="003360DC">
            <w:pPr>
              <w:ind w:left="0" w:firstLine="0"/>
              <w:rPr>
                <w:rFonts w:ascii="Arial" w:eastAsia="Times New Roman" w:hAnsi="Arial" w:cs="Arial"/>
                <w:color w:val="000000"/>
                <w:sz w:val="20"/>
                <w:szCs w:val="20"/>
                <w:lang w:val="fr-FR" w:eastAsia="en-GB"/>
              </w:rPr>
            </w:pPr>
            <w:r w:rsidRPr="00941FA7">
              <w:rPr>
                <w:rFonts w:ascii="Arial" w:eastAsia="Times New Roman" w:hAnsi="Arial" w:cs="Arial"/>
                <w:color w:val="000000"/>
                <w:sz w:val="20"/>
                <w:szCs w:val="20"/>
                <w:lang w:val="fr-FR" w:eastAsia="en-GB"/>
              </w:rPr>
              <w:t> </w:t>
            </w: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ascii="Arial" w:eastAsia="Times New Roman" w:hAnsi="Arial" w:cs="Arial"/>
                <w:color w:val="000000"/>
                <w:sz w:val="20"/>
                <w:szCs w:val="20"/>
                <w:lang w:val="fr-FR" w:eastAsia="en-GB"/>
              </w:rPr>
            </w:pPr>
          </w:p>
        </w:tc>
        <w:tc>
          <w:tcPr>
            <w:tcW w:w="1868" w:type="dxa"/>
            <w:tcBorders>
              <w:top w:val="single" w:sz="4" w:space="0" w:color="000000"/>
              <w:left w:val="nil"/>
              <w:bottom w:val="single" w:sz="4" w:space="0" w:color="auto"/>
              <w:right w:val="single" w:sz="4" w:space="0" w:color="auto"/>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r>
      <w:tr w:rsidR="001E336E" w:rsidRPr="0014156A"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569D5" w:rsidP="001E336E">
            <w:pPr>
              <w:ind w:left="0" w:firstLine="0"/>
              <w:rPr>
                <w:rFonts w:asciiTheme="minorHAnsi" w:eastAsia="Times New Roman" w:hAnsiTheme="minorHAnsi" w:cstheme="minorHAnsi"/>
                <w:color w:val="000000"/>
                <w:sz w:val="20"/>
                <w:szCs w:val="20"/>
                <w:lang w:val="fr-FR" w:eastAsia="en-GB"/>
              </w:rPr>
            </w:pPr>
            <w:r w:rsidRPr="00941FA7">
              <w:rPr>
                <w:rFonts w:asciiTheme="minorHAnsi" w:hAnsiTheme="minorHAnsi" w:cstheme="minorHAnsi"/>
                <w:sz w:val="20"/>
                <w:szCs w:val="20"/>
                <w:lang w:val="fr-FR"/>
              </w:rPr>
              <w:t>Contributions des Parties</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3,779</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3,779</w:t>
            </w:r>
          </w:p>
        </w:tc>
      </w:tr>
      <w:tr w:rsidR="001E336E" w:rsidRPr="0014156A"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569D5" w:rsidP="001E336E">
            <w:pPr>
              <w:ind w:left="0" w:firstLine="0"/>
              <w:rPr>
                <w:rFonts w:asciiTheme="minorHAnsi" w:eastAsia="Times New Roman" w:hAnsiTheme="minorHAnsi" w:cstheme="minorHAnsi"/>
                <w:color w:val="000000"/>
                <w:sz w:val="20"/>
                <w:szCs w:val="20"/>
                <w:lang w:val="fr-FR" w:eastAsia="en-GB"/>
              </w:rPr>
            </w:pPr>
            <w:r w:rsidRPr="00941FA7">
              <w:rPr>
                <w:rFonts w:asciiTheme="minorHAnsi" w:hAnsiTheme="minorHAnsi" w:cstheme="minorHAnsi"/>
                <w:sz w:val="20"/>
                <w:szCs w:val="20"/>
                <w:lang w:val="fr-FR"/>
              </w:rPr>
              <w:t>Contributions volontaires</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1,065</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1,065</w:t>
            </w:r>
          </w:p>
        </w:tc>
      </w:tr>
      <w:tr w:rsidR="001E336E"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569D5" w:rsidP="001E336E">
            <w:pPr>
              <w:ind w:left="0" w:firstLine="0"/>
              <w:rPr>
                <w:rFonts w:asciiTheme="minorHAnsi" w:eastAsia="Times New Roman" w:hAnsiTheme="minorHAnsi" w:cstheme="minorHAnsi"/>
                <w:color w:val="000000"/>
                <w:sz w:val="20"/>
                <w:szCs w:val="20"/>
                <w:lang w:val="fr-FR" w:eastAsia="en-GB"/>
              </w:rPr>
            </w:pPr>
            <w:r w:rsidRPr="00941FA7">
              <w:rPr>
                <w:rFonts w:asciiTheme="minorHAnsi" w:hAnsiTheme="minorHAnsi" w:cstheme="minorHAnsi"/>
                <w:sz w:val="20"/>
                <w:szCs w:val="20"/>
                <w:lang w:val="fr-FR"/>
              </w:rPr>
              <w:t>Impôts sur le revenu</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225</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225</w:t>
            </w:r>
          </w:p>
        </w:tc>
      </w:tr>
      <w:tr w:rsidR="001E336E"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569D5" w:rsidP="001E336E">
            <w:pPr>
              <w:ind w:left="0" w:firstLine="0"/>
              <w:rPr>
                <w:rFonts w:asciiTheme="minorHAnsi" w:eastAsia="Times New Roman" w:hAnsiTheme="minorHAnsi" w:cstheme="minorHAnsi"/>
                <w:color w:val="000000"/>
                <w:sz w:val="20"/>
                <w:szCs w:val="20"/>
                <w:lang w:val="fr-FR" w:eastAsia="en-GB"/>
              </w:rPr>
            </w:pPr>
            <w:r w:rsidRPr="00941FA7">
              <w:rPr>
                <w:rFonts w:asciiTheme="minorHAnsi" w:hAnsiTheme="minorHAnsi" w:cstheme="minorHAnsi"/>
                <w:sz w:val="20"/>
                <w:szCs w:val="20"/>
                <w:lang w:val="fr-FR"/>
              </w:rPr>
              <w:t>Autres revenus (y compris revenu</w:t>
            </w:r>
            <w:r w:rsidR="00313563" w:rsidRPr="00941FA7">
              <w:rPr>
                <w:rFonts w:asciiTheme="minorHAnsi" w:hAnsiTheme="minorHAnsi" w:cstheme="minorHAnsi"/>
                <w:sz w:val="20"/>
                <w:szCs w:val="20"/>
                <w:lang w:val="fr-FR"/>
              </w:rPr>
              <w:t>s</w:t>
            </w:r>
            <w:r w:rsidRPr="00941FA7">
              <w:rPr>
                <w:rFonts w:asciiTheme="minorHAnsi" w:hAnsiTheme="minorHAnsi" w:cstheme="minorHAnsi"/>
                <w:sz w:val="20"/>
                <w:szCs w:val="20"/>
                <w:lang w:val="fr-FR"/>
              </w:rPr>
              <w:t xml:space="preserve"> d’intérêt</w:t>
            </w:r>
            <w:r w:rsidR="00313563" w:rsidRPr="00941FA7">
              <w:rPr>
                <w:rFonts w:asciiTheme="minorHAnsi" w:hAnsiTheme="minorHAnsi" w:cstheme="minorHAnsi"/>
                <w:sz w:val="20"/>
                <w:szCs w:val="20"/>
                <w:lang w:val="fr-FR"/>
              </w:rPr>
              <w:t>s</w:t>
            </w:r>
            <w:r w:rsidRPr="00941FA7">
              <w:rPr>
                <w:rFonts w:asciiTheme="minorHAnsi" w:hAnsiTheme="minorHAnsi" w:cstheme="minorHAnsi"/>
                <w:sz w:val="20"/>
                <w:szCs w:val="20"/>
                <w:lang w:val="fr-FR"/>
              </w:rPr>
              <w:t>)</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12</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auto"/>
            <w:noWrap/>
            <w:vAlign w:val="center"/>
            <w:hideMark/>
          </w:tcPr>
          <w:p w:rsidR="001E336E" w:rsidRPr="00941FA7" w:rsidRDefault="001E336E" w:rsidP="001E336E">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12</w:t>
            </w:r>
          </w:p>
        </w:tc>
      </w:tr>
      <w:tr w:rsidR="001E336E" w:rsidRPr="00941FA7" w:rsidTr="00591CDE">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1E336E" w:rsidRPr="00941FA7" w:rsidRDefault="001E336E" w:rsidP="001569D5">
            <w:pPr>
              <w:ind w:left="0" w:firstLine="0"/>
              <w:rPr>
                <w:rFonts w:asciiTheme="minorHAnsi" w:eastAsia="Times New Roman" w:hAnsiTheme="minorHAnsi" w:cstheme="minorHAnsi"/>
                <w:b/>
                <w:bCs/>
                <w:color w:val="000000"/>
                <w:sz w:val="20"/>
                <w:szCs w:val="20"/>
                <w:lang w:val="fr-FR" w:eastAsia="en-GB"/>
              </w:rPr>
            </w:pPr>
            <w:r w:rsidRPr="00941FA7">
              <w:rPr>
                <w:rFonts w:asciiTheme="minorHAnsi" w:eastAsia="Times New Roman" w:hAnsiTheme="minorHAnsi" w:cstheme="minorHAnsi"/>
                <w:b/>
                <w:bCs/>
                <w:color w:val="000000"/>
                <w:sz w:val="20"/>
                <w:szCs w:val="20"/>
                <w:lang w:val="fr-FR" w:eastAsia="en-GB"/>
              </w:rPr>
              <w:t xml:space="preserve">TOTAL </w:t>
            </w:r>
            <w:r w:rsidR="001569D5" w:rsidRPr="00941FA7">
              <w:rPr>
                <w:rFonts w:asciiTheme="minorHAnsi" w:eastAsia="Times New Roman" w:hAnsiTheme="minorHAnsi" w:cstheme="minorHAnsi"/>
                <w:b/>
                <w:bCs/>
                <w:color w:val="000000"/>
                <w:sz w:val="20"/>
                <w:szCs w:val="20"/>
                <w:lang w:val="fr-FR" w:eastAsia="en-GB"/>
              </w:rPr>
              <w:t>RECETTES</w:t>
            </w:r>
          </w:p>
        </w:tc>
        <w:tc>
          <w:tcPr>
            <w:tcW w:w="1757" w:type="dxa"/>
            <w:tcBorders>
              <w:top w:val="nil"/>
              <w:left w:val="nil"/>
              <w:bottom w:val="single" w:sz="4" w:space="0" w:color="auto"/>
              <w:right w:val="single" w:sz="4" w:space="0" w:color="auto"/>
            </w:tcBorders>
            <w:shd w:val="clear" w:color="000000" w:fill="EAF1DD"/>
            <w:noWrap/>
            <w:vAlign w:val="center"/>
            <w:hideMark/>
          </w:tcPr>
          <w:p w:rsidR="001E336E" w:rsidRPr="00941FA7" w:rsidRDefault="001E336E" w:rsidP="001E336E">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5,081</w:t>
            </w:r>
          </w:p>
        </w:tc>
        <w:tc>
          <w:tcPr>
            <w:tcW w:w="1757" w:type="dxa"/>
            <w:tcBorders>
              <w:top w:val="nil"/>
              <w:left w:val="nil"/>
              <w:bottom w:val="single" w:sz="4" w:space="0" w:color="auto"/>
              <w:right w:val="single" w:sz="4" w:space="0" w:color="auto"/>
            </w:tcBorders>
            <w:shd w:val="clear" w:color="000000" w:fill="EAF1DD"/>
            <w:noWrap/>
            <w:vAlign w:val="center"/>
            <w:hideMark/>
          </w:tcPr>
          <w:p w:rsidR="001E336E" w:rsidRPr="00941FA7" w:rsidRDefault="001E336E" w:rsidP="001E336E">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1E336E" w:rsidRPr="00941FA7" w:rsidRDefault="001E336E" w:rsidP="001E336E">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757" w:type="dxa"/>
            <w:tcBorders>
              <w:top w:val="nil"/>
              <w:left w:val="nil"/>
              <w:bottom w:val="single" w:sz="4" w:space="0" w:color="auto"/>
              <w:right w:val="single" w:sz="4" w:space="0" w:color="auto"/>
            </w:tcBorders>
            <w:shd w:val="clear" w:color="000000" w:fill="EAF1DD"/>
            <w:noWrap/>
            <w:vAlign w:val="center"/>
            <w:hideMark/>
          </w:tcPr>
          <w:p w:rsidR="001E336E" w:rsidRPr="00941FA7" w:rsidRDefault="001E336E" w:rsidP="001E336E">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1E336E" w:rsidRPr="00941FA7" w:rsidRDefault="001E336E" w:rsidP="001E336E">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5,081</w:t>
            </w:r>
          </w:p>
        </w:tc>
      </w:tr>
      <w:tr w:rsidR="003360DC" w:rsidRPr="00941FA7" w:rsidTr="00591CDE">
        <w:trPr>
          <w:trHeight w:val="270"/>
        </w:trPr>
        <w:tc>
          <w:tcPr>
            <w:tcW w:w="4962" w:type="dxa"/>
            <w:tcBorders>
              <w:top w:val="single" w:sz="4" w:space="0" w:color="auto"/>
              <w:left w:val="single" w:sz="4" w:space="0" w:color="auto"/>
            </w:tcBorders>
            <w:shd w:val="clear" w:color="auto" w:fill="auto"/>
            <w:noWrap/>
            <w:vAlign w:val="center"/>
            <w:hideMark/>
          </w:tcPr>
          <w:p w:rsidR="003360DC" w:rsidRPr="00941FA7" w:rsidRDefault="003360DC" w:rsidP="003360DC">
            <w:pPr>
              <w:ind w:left="0" w:firstLine="0"/>
              <w:rPr>
                <w:rFonts w:asciiTheme="minorHAnsi" w:eastAsia="Times New Roman" w:hAnsiTheme="minorHAnsi" w:cstheme="minorHAnsi"/>
                <w:b/>
                <w:bCs/>
                <w:color w:val="000000"/>
                <w:sz w:val="20"/>
                <w:szCs w:val="20"/>
                <w:lang w:val="fr-FR" w:eastAsia="en-GB"/>
              </w:rPr>
            </w:pPr>
            <w:r w:rsidRPr="00941FA7">
              <w:rPr>
                <w:rFonts w:asciiTheme="minorHAnsi" w:eastAsia="Times New Roman" w:hAnsiTheme="minorHAnsi" w:cstheme="minorHAnsi"/>
                <w:b/>
                <w:bCs/>
                <w:color w:val="000000"/>
                <w:sz w:val="20"/>
                <w:szCs w:val="20"/>
                <w:lang w:val="fr-FR" w:eastAsia="en-GB"/>
              </w:rPr>
              <w:t> </w:t>
            </w: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757" w:type="dxa"/>
            <w:tcBorders>
              <w:top w:val="nil"/>
              <w:left w:val="nil"/>
              <w:right w:val="nil"/>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c>
          <w:tcPr>
            <w:tcW w:w="1868" w:type="dxa"/>
            <w:tcBorders>
              <w:top w:val="single" w:sz="4" w:space="0" w:color="auto"/>
              <w:left w:val="nil"/>
              <w:right w:val="single" w:sz="4" w:space="0" w:color="auto"/>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r>
      <w:tr w:rsidR="003360DC" w:rsidRPr="00941FA7" w:rsidTr="00591CDE">
        <w:trPr>
          <w:trHeight w:val="270"/>
        </w:trPr>
        <w:tc>
          <w:tcPr>
            <w:tcW w:w="4962" w:type="dxa"/>
            <w:tcBorders>
              <w:left w:val="single" w:sz="4" w:space="0" w:color="auto"/>
              <w:bottom w:val="single" w:sz="4" w:space="0" w:color="auto"/>
              <w:right w:val="nil"/>
            </w:tcBorders>
            <w:shd w:val="clear" w:color="auto" w:fill="auto"/>
            <w:noWrap/>
            <w:vAlign w:val="center"/>
            <w:hideMark/>
          </w:tcPr>
          <w:p w:rsidR="003360DC" w:rsidRPr="00941FA7" w:rsidRDefault="001569D5" w:rsidP="003360DC">
            <w:pPr>
              <w:ind w:left="0" w:firstLine="0"/>
              <w:rPr>
                <w:rFonts w:asciiTheme="minorHAnsi" w:eastAsia="Times New Roman" w:hAnsiTheme="minorHAnsi" w:cstheme="minorHAnsi"/>
                <w:b/>
                <w:bCs/>
                <w:color w:val="000000"/>
                <w:sz w:val="20"/>
                <w:szCs w:val="20"/>
                <w:lang w:val="fr-FR" w:eastAsia="en-GB"/>
              </w:rPr>
            </w:pPr>
            <w:r w:rsidRPr="00941FA7">
              <w:rPr>
                <w:rFonts w:asciiTheme="minorHAnsi" w:eastAsia="Times New Roman" w:hAnsiTheme="minorHAnsi" w:cstheme="minorHAnsi"/>
                <w:b/>
                <w:bCs/>
                <w:color w:val="000000"/>
                <w:sz w:val="20"/>
                <w:szCs w:val="20"/>
                <w:lang w:val="fr-FR" w:eastAsia="en-GB"/>
              </w:rPr>
              <w:t>DÉPENSES</w:t>
            </w: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eastAsia="Times New Roman" w:cs="Calibri"/>
                <w:b/>
                <w:bCs/>
                <w:color w:val="000000"/>
                <w:sz w:val="20"/>
                <w:szCs w:val="20"/>
                <w:lang w:val="fr-FR" w:eastAsia="en-GB"/>
              </w:rPr>
            </w:pPr>
          </w:p>
        </w:tc>
        <w:tc>
          <w:tcPr>
            <w:tcW w:w="1757" w:type="dxa"/>
            <w:tcBorders>
              <w:top w:val="nil"/>
              <w:left w:val="nil"/>
              <w:bottom w:val="nil"/>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ascii="Arial" w:eastAsia="Times New Roman" w:hAnsi="Arial" w:cs="Arial"/>
                <w:color w:val="000000"/>
                <w:sz w:val="20"/>
                <w:szCs w:val="20"/>
                <w:lang w:val="fr-FR" w:eastAsia="en-GB"/>
              </w:rPr>
            </w:pPr>
            <w:r w:rsidRPr="00941FA7">
              <w:rPr>
                <w:rFonts w:ascii="Arial" w:eastAsia="Times New Roman" w:hAnsi="Arial" w:cs="Arial"/>
                <w:color w:val="000000"/>
                <w:sz w:val="20"/>
                <w:szCs w:val="20"/>
                <w:lang w:val="fr-FR" w:eastAsia="en-GB"/>
              </w:rPr>
              <w:t> </w:t>
            </w:r>
          </w:p>
        </w:tc>
        <w:tc>
          <w:tcPr>
            <w:tcW w:w="1757" w:type="dxa"/>
            <w:tcBorders>
              <w:top w:val="nil"/>
              <w:left w:val="nil"/>
              <w:bottom w:val="nil"/>
              <w:right w:val="nil"/>
            </w:tcBorders>
            <w:shd w:val="clear" w:color="auto" w:fill="auto"/>
            <w:noWrap/>
            <w:vAlign w:val="bottom"/>
            <w:hideMark/>
          </w:tcPr>
          <w:p w:rsidR="003360DC" w:rsidRPr="00941FA7" w:rsidRDefault="003360DC" w:rsidP="003360DC">
            <w:pPr>
              <w:ind w:left="0" w:firstLine="0"/>
              <w:rPr>
                <w:rFonts w:ascii="Arial" w:eastAsia="Times New Roman" w:hAnsi="Arial" w:cs="Arial"/>
                <w:color w:val="000000"/>
                <w:sz w:val="20"/>
                <w:szCs w:val="20"/>
                <w:lang w:val="fr-FR" w:eastAsia="en-GB"/>
              </w:rPr>
            </w:pPr>
          </w:p>
        </w:tc>
        <w:tc>
          <w:tcPr>
            <w:tcW w:w="1868" w:type="dxa"/>
            <w:tcBorders>
              <w:top w:val="nil"/>
              <w:left w:val="nil"/>
              <w:bottom w:val="single" w:sz="4" w:space="0" w:color="auto"/>
              <w:right w:val="single" w:sz="4" w:space="0" w:color="auto"/>
            </w:tcBorders>
            <w:shd w:val="clear" w:color="auto" w:fill="auto"/>
            <w:noWrap/>
            <w:vAlign w:val="bottom"/>
            <w:hideMark/>
          </w:tcPr>
          <w:p w:rsidR="003360DC" w:rsidRPr="00941FA7" w:rsidRDefault="003360DC" w:rsidP="003360DC">
            <w:pPr>
              <w:ind w:left="0" w:firstLine="0"/>
              <w:rPr>
                <w:rFonts w:ascii="Times New Roman" w:eastAsia="Times New Roman" w:hAnsi="Times New Roman"/>
                <w:sz w:val="20"/>
                <w:szCs w:val="20"/>
                <w:lang w:val="fr-FR" w:eastAsia="en-GB"/>
              </w:rPr>
            </w:pPr>
          </w:p>
        </w:tc>
      </w:tr>
      <w:tr w:rsidR="003360DC" w:rsidRPr="00941FA7" w:rsidTr="00591CDE">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3360DC" w:rsidRPr="00941FA7" w:rsidRDefault="003360DC" w:rsidP="001569D5">
            <w:pPr>
              <w:ind w:left="0" w:firstLine="0"/>
              <w:rPr>
                <w:rFonts w:asciiTheme="minorHAnsi" w:eastAsia="Times New Roman" w:hAnsiTheme="minorHAnsi" w:cstheme="minorHAnsi"/>
                <w:color w:val="000000"/>
                <w:sz w:val="20"/>
                <w:szCs w:val="20"/>
                <w:lang w:val="fr-FR" w:eastAsia="en-GB"/>
              </w:rPr>
            </w:pPr>
            <w:r w:rsidRPr="00941FA7">
              <w:rPr>
                <w:rFonts w:asciiTheme="minorHAnsi" w:eastAsia="Times New Roman" w:hAnsiTheme="minorHAnsi" w:cstheme="minorHAnsi"/>
                <w:color w:val="000000"/>
                <w:sz w:val="20"/>
                <w:szCs w:val="20"/>
                <w:lang w:val="fr-FR" w:eastAsia="en-GB"/>
              </w:rPr>
              <w:t xml:space="preserve">A.  </w:t>
            </w:r>
            <w:r w:rsidR="001569D5" w:rsidRPr="00941FA7">
              <w:rPr>
                <w:rFonts w:asciiTheme="minorHAnsi" w:eastAsia="Times New Roman" w:hAnsiTheme="minorHAnsi" w:cstheme="minorHAnsi"/>
                <w:color w:val="000000"/>
                <w:sz w:val="20"/>
                <w:szCs w:val="20"/>
                <w:lang w:val="fr-FR" w:eastAsia="en-GB"/>
              </w:rPr>
              <w:t>Cadres supérieurs du Secrétariat</w:t>
            </w:r>
          </w:p>
        </w:tc>
        <w:tc>
          <w:tcPr>
            <w:tcW w:w="1757" w:type="dxa"/>
            <w:tcBorders>
              <w:top w:val="single" w:sz="4" w:space="0" w:color="auto"/>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1,030</w:t>
            </w:r>
          </w:p>
        </w:tc>
        <w:tc>
          <w:tcPr>
            <w:tcW w:w="1757" w:type="dxa"/>
            <w:tcBorders>
              <w:top w:val="single" w:sz="4" w:space="0" w:color="auto"/>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5</w:t>
            </w:r>
          </w:p>
        </w:tc>
        <w:tc>
          <w:tcPr>
            <w:tcW w:w="175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757" w:type="dxa"/>
            <w:tcBorders>
              <w:top w:val="single" w:sz="4" w:space="0" w:color="auto"/>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single" w:sz="4" w:space="0" w:color="auto"/>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1,035</w:t>
            </w:r>
          </w:p>
        </w:tc>
      </w:tr>
      <w:tr w:rsidR="003360DC" w:rsidRPr="00941FA7" w:rsidTr="00591CD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990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990</w:t>
            </w:r>
          </w:p>
        </w:tc>
      </w:tr>
      <w:tr w:rsidR="003360DC" w:rsidRPr="00941FA7" w:rsidTr="00591CD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45</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rsidR="003360DC" w:rsidRPr="00941FA7" w:rsidRDefault="003360DC" w:rsidP="003360DC">
            <w:pPr>
              <w:ind w:left="0" w:firstLine="0"/>
              <w:rPr>
                <w:rFonts w:asciiTheme="minorHAnsi" w:eastAsia="Times New Roman" w:hAnsiTheme="minorHAnsi" w:cstheme="minorHAnsi"/>
                <w:color w:val="000000"/>
                <w:sz w:val="20"/>
                <w:szCs w:val="20"/>
                <w:lang w:val="fr-FR" w:eastAsia="en-GB"/>
              </w:rPr>
            </w:pPr>
            <w:r w:rsidRPr="00941FA7">
              <w:rPr>
                <w:rFonts w:asciiTheme="minorHAnsi" w:eastAsia="Times New Roman" w:hAnsiTheme="minorHAnsi" w:cstheme="minorHAnsi"/>
                <w:color w:val="000000"/>
                <w:sz w:val="20"/>
                <w:szCs w:val="20"/>
                <w:lang w:val="fr-FR" w:eastAsia="en-GB"/>
              </w:rPr>
              <w:t xml:space="preserve">B.  </w:t>
            </w:r>
            <w:r w:rsidR="00313563" w:rsidRPr="00941FA7">
              <w:rPr>
                <w:rFonts w:asciiTheme="minorHAnsi" w:hAnsiTheme="minorHAnsi" w:cstheme="minorHAnsi"/>
                <w:sz w:val="20"/>
                <w:szCs w:val="20"/>
                <w:lang w:val="fr-FR"/>
              </w:rPr>
              <w:t>Mobilisation des ressources et sensibilisation</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594</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45</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211</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850</w:t>
            </w:r>
          </w:p>
        </w:tc>
      </w:tr>
      <w:tr w:rsidR="003360DC" w:rsidRPr="00941FA7" w:rsidTr="00591CD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438</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438</w:t>
            </w:r>
          </w:p>
        </w:tc>
      </w:tr>
      <w:tr w:rsidR="003360DC" w:rsidRPr="00941FA7" w:rsidTr="00591CDE">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Programme de CESP</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70C0"/>
                <w:sz w:val="20"/>
                <w:szCs w:val="20"/>
                <w:lang w:val="fr-FR" w:eastAsia="en-GB"/>
              </w:rPr>
            </w:pPr>
            <w:r w:rsidRPr="00941FA7">
              <w:rPr>
                <w:rFonts w:eastAsia="Times New Roman" w:cs="Calibri"/>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86</w:t>
            </w:r>
          </w:p>
        </w:tc>
      </w:tr>
      <w:tr w:rsidR="003360DC" w:rsidRPr="00941FA7" w:rsidTr="00591CDE">
        <w:trPr>
          <w:trHeight w:val="52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Communications, traductions, publications et rapports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57</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157</w:t>
            </w:r>
          </w:p>
        </w:tc>
      </w:tr>
      <w:tr w:rsidR="003360DC" w:rsidRPr="00941FA7" w:rsidTr="00591CD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Journée mondiale des zones humides</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70C0"/>
                <w:sz w:val="20"/>
                <w:szCs w:val="20"/>
                <w:lang w:val="fr-FR" w:eastAsia="en-GB"/>
              </w:rPr>
            </w:pPr>
            <w:r w:rsidRPr="00941FA7">
              <w:rPr>
                <w:rFonts w:eastAsia="Times New Roman" w:cs="Calibri"/>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12</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Appui et développement Web/TI</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56</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70C0"/>
                <w:sz w:val="20"/>
                <w:szCs w:val="20"/>
                <w:lang w:val="fr-FR" w:eastAsia="en-GB"/>
              </w:rPr>
            </w:pPr>
            <w:r w:rsidRPr="00941FA7">
              <w:rPr>
                <w:rFonts w:eastAsia="Times New Roman" w:cs="Calibri"/>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56</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Redéveloppement Web</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86</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70C0"/>
                <w:sz w:val="20"/>
                <w:szCs w:val="20"/>
                <w:lang w:val="fr-FR" w:eastAsia="en-GB"/>
              </w:rPr>
            </w:pPr>
            <w:r w:rsidRPr="00941FA7">
              <w:rPr>
                <w:rFonts w:eastAsia="Times New Roman" w:cs="Calibri"/>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86</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lastRenderedPageBreak/>
              <w:t>Déplacements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15</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rsidR="003360DC" w:rsidRPr="00941FA7" w:rsidRDefault="003360DC"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C.  </w:t>
            </w:r>
            <w:r w:rsidR="00313563" w:rsidRPr="00941FA7">
              <w:rPr>
                <w:rFonts w:asciiTheme="minorHAnsi" w:hAnsiTheme="minorHAnsi" w:cstheme="minorHAnsi"/>
                <w:sz w:val="20"/>
                <w:szCs w:val="20"/>
                <w:lang w:val="fr-FR"/>
              </w:rPr>
              <w:t>Appui et conseils aux Régions</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1,237</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10</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96</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1,343</w:t>
            </w:r>
          </w:p>
        </w:tc>
      </w:tr>
      <w:tr w:rsidR="003360DC" w:rsidRPr="00941FA7" w:rsidTr="00591CD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1,170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1,170</w:t>
            </w:r>
          </w:p>
        </w:tc>
      </w:tr>
      <w:tr w:rsidR="003360DC" w:rsidRPr="00941FA7" w:rsidTr="00591CD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67</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77</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Missions consultatives Ramsar</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96</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96</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rsidR="003360DC" w:rsidRPr="00941FA7" w:rsidRDefault="003360DC"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D.  </w:t>
            </w:r>
            <w:r w:rsidR="00313563" w:rsidRPr="00941FA7">
              <w:rPr>
                <w:rFonts w:asciiTheme="minorHAnsi" w:hAnsiTheme="minorHAnsi" w:cstheme="minorHAnsi"/>
                <w:sz w:val="20"/>
                <w:szCs w:val="20"/>
                <w:lang w:val="fr-FR"/>
              </w:rPr>
              <w:t>Appui aux Initiatives régionales (IR)</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100</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76</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176</w:t>
            </w:r>
          </w:p>
        </w:tc>
      </w:tr>
      <w:tr w:rsidR="003360DC" w:rsidRPr="00941FA7" w:rsidTr="00591CD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rsidR="003360DC" w:rsidRPr="00941FA7" w:rsidRDefault="00313563" w:rsidP="00313563">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Réseaux et centres régionaux </w:t>
            </w:r>
            <w:r w:rsidR="003360DC" w:rsidRPr="00941FA7">
              <w:rPr>
                <w:rFonts w:asciiTheme="minorHAnsi" w:eastAsia="Times New Roman" w:hAnsiTheme="minorHAnsi" w:cstheme="minorHAnsi"/>
                <w:sz w:val="20"/>
                <w:szCs w:val="20"/>
                <w:lang w:val="fr-FR" w:eastAsia="en-GB"/>
              </w:rPr>
              <w:t>**</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100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13563" w:rsidP="00313563">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Report Bassin de l’Amazone 2021</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76</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70C0"/>
                <w:sz w:val="20"/>
                <w:szCs w:val="20"/>
                <w:lang w:val="fr-FR" w:eastAsia="en-GB"/>
              </w:rPr>
            </w:pPr>
            <w:r w:rsidRPr="00941FA7">
              <w:rPr>
                <w:rFonts w:eastAsia="Times New Roman" w:cs="Calibri"/>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76</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rsidR="003360DC" w:rsidRPr="00941FA7" w:rsidRDefault="003360DC"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E.  </w:t>
            </w:r>
            <w:r w:rsidR="0028147F" w:rsidRPr="00941FA7">
              <w:rPr>
                <w:rFonts w:asciiTheme="minorHAnsi" w:hAnsiTheme="minorHAnsi" w:cstheme="minorHAnsi"/>
                <w:sz w:val="20"/>
                <w:szCs w:val="20"/>
                <w:lang w:val="fr-FR"/>
              </w:rPr>
              <w:t>Services scientifiques et techniques</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839</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224</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1,068</w:t>
            </w:r>
          </w:p>
        </w:tc>
      </w:tr>
      <w:tr w:rsidR="003360DC" w:rsidRPr="00941FA7" w:rsidTr="00591CD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651</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651</w:t>
            </w:r>
          </w:p>
        </w:tc>
      </w:tr>
      <w:tr w:rsidR="003360DC" w:rsidRPr="00941FA7" w:rsidTr="00591CD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18</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28</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Déplacements Président du GEST</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12</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17</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Mise en œuvre du GEST</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40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80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Réunions du GEST</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50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8D2E59" w:rsidP="0028147F">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Plan stratégiqu</w:t>
            </w:r>
            <w:r w:rsidR="0028147F" w:rsidRPr="00941FA7">
              <w:rPr>
                <w:rFonts w:asciiTheme="minorHAnsi" w:eastAsia="Times New Roman" w:hAnsiTheme="minorHAnsi" w:cstheme="minorHAnsi"/>
                <w:sz w:val="20"/>
                <w:szCs w:val="20"/>
                <w:lang w:val="fr-FR" w:eastAsia="en-GB"/>
              </w:rPr>
              <w:t xml:space="preserve">e </w:t>
            </w:r>
            <w:r w:rsidR="003360DC" w:rsidRPr="00941FA7">
              <w:rPr>
                <w:rFonts w:asciiTheme="minorHAnsi" w:eastAsia="Times New Roman" w:hAnsiTheme="minorHAnsi" w:cstheme="minorHAnsi"/>
                <w:sz w:val="20"/>
                <w:szCs w:val="20"/>
                <w:lang w:val="fr-FR" w:eastAsia="en-GB"/>
              </w:rPr>
              <w:t>SP5 (2022 - 2024)</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ascii="Calibri Light" w:eastAsia="Times New Roman" w:hAnsi="Calibri Light" w:cs="Calibri Light"/>
                <w:color w:val="FF0000"/>
                <w:sz w:val="20"/>
                <w:szCs w:val="20"/>
                <w:lang w:val="fr-FR" w:eastAsia="en-GB"/>
              </w:rPr>
            </w:pPr>
            <w:r w:rsidRPr="00941FA7">
              <w:rPr>
                <w:rFonts w:ascii="Calibri Light" w:eastAsia="Times New Roman" w:hAnsi="Calibri Light" w:cs="Calibri Light"/>
                <w:strike/>
                <w:color w:val="FF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ODD 6.61 (Inventaires)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72</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72</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Service d’information sur les Sites Ramsar (entretien et développement)</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80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80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G.  </w:t>
            </w:r>
            <w:r w:rsidR="0028147F" w:rsidRPr="00941FA7">
              <w:rPr>
                <w:rFonts w:asciiTheme="minorHAnsi" w:hAnsiTheme="minorHAnsi" w:cstheme="minorHAnsi"/>
                <w:sz w:val="20"/>
                <w:szCs w:val="20"/>
                <w:lang w:val="fr-FR"/>
              </w:rPr>
              <w:t>. Administration/Web</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481</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11</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73</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89.5</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654</w:t>
            </w:r>
          </w:p>
        </w:tc>
      </w:tr>
      <w:tr w:rsidR="003360DC" w:rsidRPr="00941FA7" w:rsidTr="00591CD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337</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337</w:t>
            </w:r>
          </w:p>
        </w:tc>
      </w:tr>
      <w:tr w:rsidR="003360DC" w:rsidRPr="00941FA7" w:rsidTr="00591CD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Recrutement et indemnités de départ</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49</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89.5</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138</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lastRenderedPageBreak/>
              <w:t>Équipements/fournitures de bureau</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95</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95</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hAnsiTheme="minorHAnsi" w:cstheme="minorHAnsi"/>
                <w:sz w:val="20"/>
                <w:szCs w:val="20"/>
                <w:lang w:val="fr-FR"/>
              </w:rPr>
              <w:t>Planification et renforcement des capacités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11</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73</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84</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rsidR="003360DC" w:rsidRPr="00941FA7" w:rsidRDefault="003360DC"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H. </w:t>
            </w:r>
            <w:r w:rsidR="0028147F" w:rsidRPr="00941FA7">
              <w:rPr>
                <w:sz w:val="20"/>
                <w:szCs w:val="20"/>
                <w:lang w:val="fr-FR"/>
              </w:rPr>
              <w:t>Services au Comité permanent</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150</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25</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175</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sz w:val="20"/>
                <w:szCs w:val="20"/>
                <w:lang w:val="fr-FR"/>
              </w:rPr>
              <w:t>Appui aux délégués du CP</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45</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45</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Réunions du CP</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9</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19</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sz w:val="20"/>
                <w:szCs w:val="20"/>
                <w:lang w:val="fr-FR"/>
              </w:rPr>
              <w:t>Services de traduction pour le CP</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60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60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sz w:val="20"/>
                <w:szCs w:val="20"/>
                <w:lang w:val="fr-FR"/>
              </w:rPr>
              <w:t>Interprétation simultanée aux réunions du CP</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35</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35</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sz w:val="20"/>
                <w:szCs w:val="20"/>
                <w:lang w:val="fr-FR"/>
              </w:rPr>
              <w:t>Groupe de travail sur l’efficacité</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14</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14</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sz w:val="20"/>
                <w:szCs w:val="20"/>
                <w:lang w:val="fr-FR"/>
              </w:rPr>
              <w:t xml:space="preserve">Examen des résolutions </w:t>
            </w:r>
            <w:r w:rsidR="003360DC" w:rsidRPr="00941FA7">
              <w:rPr>
                <w:rFonts w:asciiTheme="minorHAnsi" w:eastAsia="Times New Roman" w:hAnsiTheme="minorHAnsi" w:cstheme="minorHAnsi"/>
                <w:sz w:val="20"/>
                <w:szCs w:val="20"/>
                <w:lang w:val="fr-FR" w:eastAsia="en-GB"/>
              </w:rPr>
              <w:t>(Res. XIII.4)</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70C0"/>
                <w:sz w:val="20"/>
                <w:szCs w:val="20"/>
                <w:lang w:val="fr-FR" w:eastAsia="en-GB"/>
              </w:rPr>
            </w:pPr>
            <w:r w:rsidRPr="00941FA7">
              <w:rPr>
                <w:rFonts w:eastAsia="Times New Roman" w:cs="Calibri"/>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w:t>
            </w:r>
          </w:p>
        </w:tc>
      </w:tr>
      <w:tr w:rsidR="003360DC" w:rsidRPr="00941FA7" w:rsidTr="00591CDE">
        <w:trPr>
          <w:trHeight w:val="255"/>
        </w:trPr>
        <w:tc>
          <w:tcPr>
            <w:tcW w:w="4962" w:type="dxa"/>
            <w:tcBorders>
              <w:top w:val="nil"/>
              <w:left w:val="single" w:sz="4" w:space="0" w:color="auto"/>
              <w:bottom w:val="single" w:sz="4" w:space="0" w:color="auto"/>
              <w:right w:val="single" w:sz="4" w:space="0" w:color="auto"/>
            </w:tcBorders>
            <w:shd w:val="clear" w:color="000000" w:fill="EAF1DD"/>
            <w:vAlign w:val="center"/>
            <w:hideMark/>
          </w:tcPr>
          <w:p w:rsidR="003360DC" w:rsidRPr="00941FA7" w:rsidRDefault="003360DC"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J.  </w:t>
            </w:r>
            <w:r w:rsidR="0028147F" w:rsidRPr="00941FA7">
              <w:rPr>
                <w:sz w:val="20"/>
                <w:szCs w:val="20"/>
                <w:lang w:val="fr-FR"/>
              </w:rPr>
              <w:t>Coûts des services administratifs de l’UICN (maximum)</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541</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541</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sz w:val="20"/>
                <w:lang w:val="fr-FR"/>
              </w:rPr>
              <w:t>Administration, ressources humaines, services financiers et services informatiques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541</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541</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28147F">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K.  </w:t>
            </w:r>
            <w:r w:rsidR="0028147F" w:rsidRPr="00941FA7">
              <w:rPr>
                <w:rFonts w:asciiTheme="minorHAnsi" w:eastAsia="Times New Roman" w:hAnsiTheme="minorHAnsi" w:cstheme="minorHAnsi"/>
                <w:sz w:val="20"/>
                <w:szCs w:val="20"/>
                <w:lang w:val="fr-FR" w:eastAsia="en-GB"/>
              </w:rPr>
              <w:t>Divers - Fonds de réserve</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109</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sz w:val="20"/>
                <w:szCs w:val="20"/>
                <w:lang w:val="fr-FR" w:eastAsia="en-GB"/>
              </w:rPr>
            </w:pPr>
            <w:r w:rsidRPr="00941FA7">
              <w:rPr>
                <w:rFonts w:eastAsia="Times New Roman" w:cs="Calibri"/>
                <w:b/>
                <w:bCs/>
                <w:sz w:val="20"/>
                <w:szCs w:val="20"/>
                <w:lang w:val="fr-FR" w:eastAsia="en-GB"/>
              </w:rPr>
              <w:t>120</w:t>
            </w:r>
          </w:p>
        </w:tc>
        <w:tc>
          <w:tcPr>
            <w:tcW w:w="1757" w:type="dxa"/>
            <w:tcBorders>
              <w:top w:val="nil"/>
              <w:left w:val="single" w:sz="4" w:space="0" w:color="auto"/>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62</w:t>
            </w:r>
          </w:p>
        </w:tc>
        <w:tc>
          <w:tcPr>
            <w:tcW w:w="1757"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406.5</w:t>
            </w:r>
          </w:p>
        </w:tc>
        <w:tc>
          <w:tcPr>
            <w:tcW w:w="1868" w:type="dxa"/>
            <w:tcBorders>
              <w:top w:val="nil"/>
              <w:left w:val="nil"/>
              <w:bottom w:val="single" w:sz="4" w:space="0" w:color="auto"/>
              <w:right w:val="single" w:sz="4" w:space="0" w:color="auto"/>
            </w:tcBorders>
            <w:shd w:val="clear" w:color="000000" w:fill="EAF1DD"/>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697</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28147F">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Provisions</w:t>
            </w:r>
            <w:r w:rsidR="0028147F" w:rsidRPr="00941FA7">
              <w:rPr>
                <w:rFonts w:asciiTheme="minorHAnsi" w:eastAsia="Times New Roman" w:hAnsiTheme="minorHAnsi" w:cstheme="minorHAnsi"/>
                <w:sz w:val="20"/>
                <w:szCs w:val="20"/>
                <w:lang w:val="fr-FR" w:eastAsia="en-GB"/>
              </w:rPr>
              <w:t xml:space="preserve"> pour les </w:t>
            </w:r>
            <w:r w:rsidR="008D2E59" w:rsidRPr="00941FA7">
              <w:rPr>
                <w:rFonts w:asciiTheme="minorHAnsi" w:eastAsia="Times New Roman" w:hAnsiTheme="minorHAnsi" w:cstheme="minorHAnsi"/>
                <w:sz w:val="20"/>
                <w:szCs w:val="20"/>
                <w:lang w:val="fr-FR" w:eastAsia="en-GB"/>
              </w:rPr>
              <w:t>personnels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20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20</w:t>
            </w:r>
          </w:p>
        </w:tc>
      </w:tr>
      <w:tr w:rsidR="003360DC" w:rsidRPr="00941FA7" w:rsidTr="00591CD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rsidR="003360DC" w:rsidRPr="00941FA7" w:rsidRDefault="003360DC" w:rsidP="0028147F">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Provision </w:t>
            </w:r>
            <w:r w:rsidR="0028147F" w:rsidRPr="00941FA7">
              <w:rPr>
                <w:rFonts w:asciiTheme="minorHAnsi" w:eastAsia="Times New Roman" w:hAnsiTheme="minorHAnsi" w:cstheme="minorHAnsi"/>
                <w:sz w:val="20"/>
                <w:szCs w:val="20"/>
                <w:lang w:val="fr-FR" w:eastAsia="en-GB"/>
              </w:rPr>
              <w:t>au titre des contributions impayées</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30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120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sz w:val="20"/>
                <w:szCs w:val="20"/>
                <w:lang w:val="fr-FR" w:eastAsia="en-GB"/>
              </w:rPr>
            </w:pPr>
            <w:r w:rsidRPr="00941FA7">
              <w:rPr>
                <w:rFonts w:eastAsia="Times New Roman" w:cs="Calibri"/>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150</w:t>
            </w:r>
          </w:p>
        </w:tc>
      </w:tr>
      <w:tr w:rsidR="003360DC" w:rsidRPr="00941FA7" w:rsidTr="00591CD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rsidR="003360DC" w:rsidRPr="00941FA7" w:rsidRDefault="0028147F" w:rsidP="003360DC">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 xml:space="preserve">Fonds de réserve supplémentaire </w:t>
            </w:r>
            <w:r w:rsidR="00003FF3" w:rsidRPr="00941FA7">
              <w:rPr>
                <w:rFonts w:asciiTheme="minorHAnsi" w:eastAsia="Times New Roman" w:hAnsiTheme="minorHAnsi" w:cstheme="minorHAnsi"/>
                <w:sz w:val="20"/>
                <w:szCs w:val="20"/>
                <w:lang w:val="fr-FR" w:eastAsia="en-GB"/>
              </w:rPr>
              <w:t>***</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406.5</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407</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A13F62" w:rsidP="003360DC">
            <w:pPr>
              <w:ind w:left="0" w:firstLine="0"/>
              <w:rPr>
                <w:rFonts w:asciiTheme="minorHAnsi" w:eastAsia="Times New Roman" w:hAnsiTheme="minorHAnsi" w:cstheme="minorHAnsi"/>
                <w:sz w:val="20"/>
                <w:szCs w:val="20"/>
                <w:lang w:val="fr-FR" w:eastAsia="en-GB"/>
              </w:rPr>
            </w:pPr>
            <w:r w:rsidRPr="00941FA7">
              <w:rPr>
                <w:sz w:val="20"/>
                <w:lang w:val="fr-FR"/>
              </w:rPr>
              <w:t>Gains/pertes liés au change</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0</w:t>
            </w:r>
          </w:p>
        </w:tc>
      </w:tr>
      <w:tr w:rsidR="003360DC" w:rsidRPr="00941FA7" w:rsidTr="00591C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A13F62" w:rsidP="00A13F62">
            <w:pPr>
              <w:ind w:left="0" w:firstLine="0"/>
              <w:rPr>
                <w:rFonts w:asciiTheme="minorHAnsi" w:eastAsia="Times New Roman" w:hAnsiTheme="minorHAnsi" w:cstheme="minorHAnsi"/>
                <w:sz w:val="20"/>
                <w:szCs w:val="20"/>
                <w:lang w:val="fr-FR" w:eastAsia="en-GB"/>
              </w:rPr>
            </w:pPr>
            <w:r w:rsidRPr="00941FA7">
              <w:rPr>
                <w:rFonts w:asciiTheme="minorHAnsi" w:eastAsia="Times New Roman" w:hAnsiTheme="minorHAnsi" w:cstheme="minorHAnsi"/>
                <w:sz w:val="20"/>
                <w:szCs w:val="20"/>
                <w:lang w:val="fr-FR" w:eastAsia="en-GB"/>
              </w:rPr>
              <w:t>Services juridiques</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59</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sz w:val="20"/>
                <w:szCs w:val="20"/>
                <w:lang w:val="fr-FR" w:eastAsia="en-GB"/>
              </w:rPr>
            </w:pPr>
            <w:r w:rsidRPr="00941FA7">
              <w:rPr>
                <w:rFonts w:eastAsia="Times New Roman" w:cs="Calibri"/>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62</w:t>
            </w:r>
          </w:p>
        </w:tc>
        <w:tc>
          <w:tcPr>
            <w:tcW w:w="1757"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rPr>
                <w:rFonts w:eastAsia="Times New Roman" w:cs="Calibri"/>
                <w:color w:val="000000"/>
                <w:sz w:val="20"/>
                <w:szCs w:val="20"/>
                <w:lang w:val="fr-FR" w:eastAsia="en-GB"/>
              </w:rPr>
            </w:pPr>
            <w:r w:rsidRPr="00941FA7">
              <w:rPr>
                <w:rFonts w:eastAsia="Times New Roman" w:cs="Calibri"/>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rsidR="003360DC" w:rsidRPr="00941FA7" w:rsidRDefault="003360DC" w:rsidP="003360DC">
            <w:pPr>
              <w:ind w:left="0" w:firstLine="0"/>
              <w:jc w:val="right"/>
              <w:rPr>
                <w:rFonts w:eastAsia="Times New Roman" w:cs="Calibri"/>
                <w:color w:val="000000"/>
                <w:sz w:val="20"/>
                <w:szCs w:val="20"/>
                <w:lang w:val="fr-FR" w:eastAsia="en-GB"/>
              </w:rPr>
            </w:pPr>
            <w:r w:rsidRPr="00941FA7">
              <w:rPr>
                <w:rFonts w:eastAsia="Times New Roman" w:cs="Calibri"/>
                <w:color w:val="000000"/>
                <w:sz w:val="20"/>
                <w:szCs w:val="20"/>
                <w:lang w:val="fr-FR" w:eastAsia="en-GB"/>
              </w:rPr>
              <w:t>121</w:t>
            </w:r>
          </w:p>
        </w:tc>
      </w:tr>
      <w:tr w:rsidR="003360DC" w:rsidRPr="00941FA7" w:rsidTr="00591CDE">
        <w:trPr>
          <w:trHeight w:val="300"/>
        </w:trPr>
        <w:tc>
          <w:tcPr>
            <w:tcW w:w="4962" w:type="dxa"/>
            <w:tcBorders>
              <w:top w:val="nil"/>
              <w:left w:val="single" w:sz="4" w:space="0" w:color="auto"/>
              <w:bottom w:val="single" w:sz="4" w:space="0" w:color="auto"/>
              <w:right w:val="single" w:sz="4" w:space="0" w:color="auto"/>
            </w:tcBorders>
            <w:shd w:val="clear" w:color="000000" w:fill="D6E3BC"/>
            <w:noWrap/>
            <w:vAlign w:val="center"/>
            <w:hideMark/>
          </w:tcPr>
          <w:p w:rsidR="003360DC" w:rsidRPr="00941FA7" w:rsidRDefault="003360DC" w:rsidP="00A13F62">
            <w:pPr>
              <w:ind w:left="0" w:firstLine="0"/>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 xml:space="preserve">TOTAL </w:t>
            </w:r>
            <w:r w:rsidR="00A13F62" w:rsidRPr="00941FA7">
              <w:rPr>
                <w:rFonts w:eastAsia="Times New Roman" w:cs="Calibri"/>
                <w:b/>
                <w:bCs/>
                <w:color w:val="000000"/>
                <w:sz w:val="20"/>
                <w:szCs w:val="20"/>
                <w:lang w:val="fr-FR" w:eastAsia="en-GB"/>
              </w:rPr>
              <w:t>DÉPENSES</w:t>
            </w:r>
          </w:p>
        </w:tc>
        <w:tc>
          <w:tcPr>
            <w:tcW w:w="1757" w:type="dxa"/>
            <w:tcBorders>
              <w:top w:val="nil"/>
              <w:left w:val="nil"/>
              <w:bottom w:val="single" w:sz="4" w:space="0" w:color="auto"/>
              <w:right w:val="single" w:sz="4" w:space="0" w:color="auto"/>
            </w:tcBorders>
            <w:shd w:val="clear" w:color="000000" w:fill="D6E3BC"/>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5,081</w:t>
            </w:r>
          </w:p>
        </w:tc>
        <w:tc>
          <w:tcPr>
            <w:tcW w:w="1757" w:type="dxa"/>
            <w:tcBorders>
              <w:top w:val="nil"/>
              <w:left w:val="nil"/>
              <w:bottom w:val="single" w:sz="4" w:space="0" w:color="auto"/>
              <w:right w:val="single" w:sz="4" w:space="0" w:color="auto"/>
            </w:tcBorders>
            <w:shd w:val="clear" w:color="000000" w:fill="D6E3BC"/>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196</w:t>
            </w:r>
          </w:p>
        </w:tc>
        <w:tc>
          <w:tcPr>
            <w:tcW w:w="1757" w:type="dxa"/>
            <w:tcBorders>
              <w:top w:val="nil"/>
              <w:left w:val="single" w:sz="4" w:space="0" w:color="auto"/>
              <w:bottom w:val="single" w:sz="4" w:space="0" w:color="auto"/>
              <w:right w:val="single" w:sz="4" w:space="0" w:color="auto"/>
            </w:tcBorders>
            <w:shd w:val="clear" w:color="000000" w:fill="D6E3BC"/>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767</w:t>
            </w:r>
          </w:p>
        </w:tc>
        <w:tc>
          <w:tcPr>
            <w:tcW w:w="1757" w:type="dxa"/>
            <w:tcBorders>
              <w:top w:val="nil"/>
              <w:left w:val="nil"/>
              <w:bottom w:val="single" w:sz="4" w:space="0" w:color="auto"/>
              <w:right w:val="single" w:sz="4" w:space="0" w:color="auto"/>
            </w:tcBorders>
            <w:shd w:val="clear" w:color="000000" w:fill="D6E3BC"/>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496</w:t>
            </w:r>
          </w:p>
        </w:tc>
        <w:tc>
          <w:tcPr>
            <w:tcW w:w="1868" w:type="dxa"/>
            <w:tcBorders>
              <w:top w:val="nil"/>
              <w:left w:val="nil"/>
              <w:bottom w:val="single" w:sz="4" w:space="0" w:color="auto"/>
              <w:right w:val="single" w:sz="4" w:space="0" w:color="auto"/>
            </w:tcBorders>
            <w:shd w:val="clear" w:color="000000" w:fill="D6E3BC"/>
            <w:noWrap/>
            <w:vAlign w:val="center"/>
            <w:hideMark/>
          </w:tcPr>
          <w:p w:rsidR="003360DC" w:rsidRPr="00941FA7" w:rsidRDefault="003360DC" w:rsidP="003360DC">
            <w:pPr>
              <w:ind w:left="0" w:firstLine="0"/>
              <w:jc w:val="right"/>
              <w:rPr>
                <w:rFonts w:eastAsia="Times New Roman" w:cs="Calibri"/>
                <w:b/>
                <w:bCs/>
                <w:color w:val="000000"/>
                <w:sz w:val="20"/>
                <w:szCs w:val="20"/>
                <w:lang w:val="fr-FR" w:eastAsia="en-GB"/>
              </w:rPr>
            </w:pPr>
            <w:r w:rsidRPr="00941FA7">
              <w:rPr>
                <w:rFonts w:eastAsia="Times New Roman" w:cs="Calibri"/>
                <w:b/>
                <w:bCs/>
                <w:color w:val="000000"/>
                <w:sz w:val="20"/>
                <w:szCs w:val="20"/>
                <w:lang w:val="fr-FR" w:eastAsia="en-GB"/>
              </w:rPr>
              <w:t>6,539</w:t>
            </w:r>
          </w:p>
        </w:tc>
      </w:tr>
    </w:tbl>
    <w:p w:rsidR="0036778B" w:rsidRPr="00941FA7" w:rsidRDefault="00834FE6" w:rsidP="00E42F5B">
      <w:pPr>
        <w:ind w:left="0" w:firstLine="0"/>
        <w:rPr>
          <w:rFonts w:asciiTheme="minorHAnsi" w:eastAsia="Times New Roman" w:hAnsiTheme="minorHAnsi" w:cstheme="minorHAnsi"/>
          <w:b/>
          <w:bCs/>
          <w:lang w:val="fr-FR" w:eastAsia="en-GB"/>
        </w:rPr>
      </w:pPr>
      <w:r w:rsidRPr="00941FA7">
        <w:rPr>
          <w:rFonts w:asciiTheme="minorHAnsi" w:eastAsia="Times New Roman" w:hAnsiTheme="minorHAnsi" w:cstheme="minorHAnsi"/>
          <w:b/>
          <w:bCs/>
          <w:color w:val="000000"/>
          <w:sz w:val="20"/>
          <w:szCs w:val="20"/>
          <w:lang w:val="fr-FR" w:eastAsia="en-GB"/>
        </w:rPr>
        <w:t>Note</w:t>
      </w:r>
      <w:r w:rsidR="00A13F62" w:rsidRPr="00941FA7">
        <w:rPr>
          <w:rFonts w:asciiTheme="minorHAnsi" w:eastAsia="Times New Roman" w:hAnsiTheme="minorHAnsi" w:cstheme="minorHAnsi"/>
          <w:b/>
          <w:bCs/>
          <w:color w:val="000000"/>
          <w:sz w:val="20"/>
          <w:szCs w:val="20"/>
          <w:lang w:val="fr-FR" w:eastAsia="en-GB"/>
        </w:rPr>
        <w:t xml:space="preserve">s </w:t>
      </w:r>
      <w:r w:rsidRPr="00941FA7">
        <w:rPr>
          <w:rFonts w:asciiTheme="minorHAnsi" w:eastAsia="Times New Roman" w:hAnsiTheme="minorHAnsi" w:cstheme="minorHAnsi"/>
          <w:b/>
          <w:bCs/>
          <w:color w:val="000000"/>
          <w:sz w:val="20"/>
          <w:szCs w:val="20"/>
          <w:lang w:val="fr-FR" w:eastAsia="en-GB"/>
        </w:rPr>
        <w:t>:</w:t>
      </w:r>
    </w:p>
    <w:p w:rsidR="007E27A5" w:rsidRPr="00941FA7" w:rsidRDefault="007E27A5" w:rsidP="00834FE6">
      <w:pPr>
        <w:ind w:left="0" w:firstLine="0"/>
        <w:rPr>
          <w:rFonts w:asciiTheme="minorHAnsi" w:eastAsia="Times New Roman" w:hAnsiTheme="minorHAnsi" w:cstheme="minorHAnsi"/>
          <w:color w:val="000000"/>
          <w:sz w:val="20"/>
          <w:szCs w:val="20"/>
          <w:lang w:val="fr-FR" w:eastAsia="en-GB"/>
        </w:rPr>
      </w:pPr>
      <w:r w:rsidRPr="00941FA7">
        <w:rPr>
          <w:rFonts w:asciiTheme="minorHAnsi" w:eastAsia="Times New Roman" w:hAnsiTheme="minorHAnsi" w:cstheme="minorHAnsi"/>
          <w:color w:val="000000"/>
          <w:sz w:val="20"/>
          <w:szCs w:val="20"/>
          <w:lang w:val="fr-FR" w:eastAsia="en-GB"/>
        </w:rPr>
        <w:t>*</w:t>
      </w:r>
      <w:r w:rsidR="00A13F62" w:rsidRPr="00941FA7">
        <w:rPr>
          <w:rFonts w:asciiTheme="minorHAnsi" w:eastAsia="Times New Roman" w:hAnsiTheme="minorHAnsi" w:cstheme="minorHAnsi"/>
          <w:color w:val="000000"/>
          <w:sz w:val="20"/>
          <w:szCs w:val="20"/>
          <w:lang w:val="fr-FR" w:eastAsia="en-GB"/>
        </w:rPr>
        <w:t xml:space="preserve">suivant la </w:t>
      </w:r>
      <w:r w:rsidR="008D2E59" w:rsidRPr="00941FA7">
        <w:rPr>
          <w:rFonts w:asciiTheme="minorHAnsi" w:eastAsia="Times New Roman" w:hAnsiTheme="minorHAnsi" w:cstheme="minorHAnsi"/>
          <w:color w:val="000000"/>
          <w:sz w:val="20"/>
          <w:szCs w:val="20"/>
          <w:lang w:val="fr-FR" w:eastAsia="en-GB"/>
        </w:rPr>
        <w:t>décision</w:t>
      </w:r>
      <w:r w:rsidR="00A13F62" w:rsidRPr="00941FA7">
        <w:rPr>
          <w:rFonts w:asciiTheme="minorHAnsi" w:eastAsia="Times New Roman" w:hAnsiTheme="minorHAnsi" w:cstheme="minorHAnsi"/>
          <w:color w:val="000000"/>
          <w:sz w:val="20"/>
          <w:szCs w:val="20"/>
          <w:lang w:val="fr-FR" w:eastAsia="en-GB"/>
        </w:rPr>
        <w:t xml:space="preserve"> intersessions du Comité permanent du début avril 2022 </w:t>
      </w:r>
    </w:p>
    <w:p w:rsidR="00B32336" w:rsidRPr="00941FA7" w:rsidRDefault="007E27A5" w:rsidP="007E27A5">
      <w:pPr>
        <w:ind w:left="0" w:firstLine="0"/>
        <w:rPr>
          <w:sz w:val="20"/>
          <w:szCs w:val="20"/>
          <w:lang w:val="fr-FR"/>
        </w:rPr>
      </w:pPr>
      <w:r w:rsidRPr="00941FA7">
        <w:rPr>
          <w:sz w:val="20"/>
          <w:szCs w:val="20"/>
          <w:lang w:val="fr-FR"/>
        </w:rPr>
        <w:t>**</w:t>
      </w:r>
      <w:r w:rsidR="00A13F62" w:rsidRPr="00941FA7">
        <w:rPr>
          <w:sz w:val="20"/>
          <w:szCs w:val="20"/>
          <w:lang w:val="fr-FR"/>
        </w:rPr>
        <w:t xml:space="preserve"> pour examen par la SC62 (mai-juin 2023) pour toute nouvelle Initiative régionale approuvée par la COP14. </w:t>
      </w:r>
    </w:p>
    <w:p w:rsidR="007E27A5" w:rsidRPr="00941FA7" w:rsidRDefault="007E27A5" w:rsidP="007E27A5">
      <w:pPr>
        <w:ind w:left="0" w:firstLine="0"/>
        <w:rPr>
          <w:sz w:val="20"/>
          <w:szCs w:val="20"/>
          <w:lang w:val="fr-FR"/>
        </w:rPr>
      </w:pPr>
      <w:r w:rsidRPr="00941FA7">
        <w:rPr>
          <w:sz w:val="20"/>
          <w:szCs w:val="20"/>
          <w:lang w:val="fr-FR"/>
        </w:rPr>
        <w:t xml:space="preserve">*** </w:t>
      </w:r>
      <w:r w:rsidR="00A13F62" w:rsidRPr="00941FA7">
        <w:rPr>
          <w:sz w:val="20"/>
          <w:szCs w:val="20"/>
          <w:lang w:val="fr-FR"/>
        </w:rPr>
        <w:t xml:space="preserve">pris sur le poste </w:t>
      </w:r>
      <w:r w:rsidR="00415B9F" w:rsidRPr="00941FA7">
        <w:rPr>
          <w:rFonts w:asciiTheme="minorHAnsi" w:eastAsiaTheme="minorHAnsi" w:hAnsiTheme="minorHAnsi" w:cstheme="minorHAnsi"/>
          <w:color w:val="000000"/>
          <w:sz w:val="20"/>
          <w:szCs w:val="20"/>
          <w:lang w:val="fr-FR"/>
        </w:rPr>
        <w:t>Budget 2020 - SC58 et économies non engagées reportées</w:t>
      </w:r>
    </w:p>
    <w:sectPr w:rsidR="007E27A5" w:rsidRPr="00941FA7" w:rsidSect="00761962">
      <w:footerReference w:type="default" r:id="rId14"/>
      <w:pgSz w:w="16838" w:h="11906" w:orient="landscape"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87352" w16cid:durableId="26212D8C"/>
  <w16cid:commentId w16cid:paraId="502CA32F" w16cid:durableId="261FD103"/>
  <w16cid:commentId w16cid:paraId="27CAADC3" w16cid:durableId="25E872E2"/>
  <w16cid:commentId w16cid:paraId="716693BB" w16cid:durableId="25DB1BF5"/>
  <w16cid:commentId w16cid:paraId="2A965D58" w16cid:durableId="26213581"/>
  <w16cid:commentId w16cid:paraId="436D026E" w16cid:durableId="25DB1C02"/>
  <w16cid:commentId w16cid:paraId="7346E5E9" w16cid:durableId="25E85DEE"/>
  <w16cid:commentId w16cid:paraId="1777C1EA" w16cid:durableId="26211B78"/>
  <w16cid:commentId w16cid:paraId="44B2D9A5" w16cid:durableId="25E85E21"/>
  <w16cid:commentId w16cid:paraId="17627781" w16cid:durableId="25DB1C0C"/>
  <w16cid:commentId w16cid:paraId="378F45BD" w16cid:durableId="25DB1C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B8" w:rsidRDefault="008939B8" w:rsidP="00DF2386">
      <w:r>
        <w:separator/>
      </w:r>
    </w:p>
  </w:endnote>
  <w:endnote w:type="continuationSeparator" w:id="0">
    <w:p w:rsidR="008939B8" w:rsidRDefault="008939B8"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B8" w:rsidRDefault="008939B8" w:rsidP="002137E0">
    <w:pPr>
      <w:pStyle w:val="Header"/>
      <w:rPr>
        <w:noProof/>
      </w:rPr>
    </w:pPr>
    <w:r>
      <w:rPr>
        <w:sz w:val="20"/>
        <w:szCs w:val="20"/>
      </w:rPr>
      <w:t>SC59/2022 Doc.8.1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84C61">
          <w:rPr>
            <w:noProof/>
            <w:sz w:val="20"/>
            <w:szCs w:val="20"/>
          </w:rPr>
          <w:t>15</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B8" w:rsidRDefault="008939B8" w:rsidP="00C26079">
    <w:pPr>
      <w:pStyle w:val="Header"/>
      <w:tabs>
        <w:tab w:val="clear" w:pos="9026"/>
        <w:tab w:val="right" w:pos="13892"/>
      </w:tabs>
      <w:rPr>
        <w:noProof/>
      </w:rPr>
    </w:pPr>
    <w:r>
      <w:rPr>
        <w:sz w:val="20"/>
        <w:szCs w:val="20"/>
      </w:rPr>
      <w:t>SC59/2022 Doc.8.1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84C61">
          <w:rPr>
            <w:noProof/>
            <w:sz w:val="20"/>
            <w:szCs w:val="20"/>
          </w:rPr>
          <w:t>19</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B8" w:rsidRDefault="008939B8" w:rsidP="002137E0">
    <w:pPr>
      <w:pStyle w:val="Header"/>
      <w:rPr>
        <w:noProof/>
      </w:rPr>
    </w:pPr>
    <w:r>
      <w:rPr>
        <w:sz w:val="20"/>
        <w:szCs w:val="20"/>
      </w:rPr>
      <w:t>SC59/2022 Doc.8.1</w:t>
    </w:r>
    <w:r>
      <w:tab/>
    </w:r>
    <w:r>
      <w:tab/>
    </w:r>
    <w:sdt>
      <w:sdtPr>
        <w:id w:val="-1878082740"/>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84C61">
          <w:rPr>
            <w:noProof/>
            <w:sz w:val="20"/>
            <w:szCs w:val="20"/>
          </w:rPr>
          <w:t>21</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B8" w:rsidRDefault="008939B8" w:rsidP="00834FE6">
    <w:pPr>
      <w:pStyle w:val="Header"/>
      <w:tabs>
        <w:tab w:val="clear" w:pos="9026"/>
        <w:tab w:val="right" w:pos="13892"/>
      </w:tabs>
      <w:rPr>
        <w:noProof/>
      </w:rPr>
    </w:pPr>
    <w:r>
      <w:rPr>
        <w:sz w:val="20"/>
        <w:szCs w:val="20"/>
      </w:rPr>
      <w:t>SC59/2022 Doc.8.1</w:t>
    </w:r>
    <w:r>
      <w:tab/>
    </w:r>
    <w:r>
      <w:tab/>
    </w:r>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84C61">
      <w:rPr>
        <w:noProof/>
        <w:sz w:val="20"/>
        <w:szCs w:val="20"/>
      </w:rPr>
      <w:t>22</w:t>
    </w:r>
    <w:r w:rsidRPr="00F344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B8" w:rsidRDefault="008939B8" w:rsidP="00DF2386">
      <w:r>
        <w:separator/>
      </w:r>
    </w:p>
  </w:footnote>
  <w:footnote w:type="continuationSeparator" w:id="0">
    <w:p w:rsidR="008939B8" w:rsidRDefault="008939B8" w:rsidP="00DF2386">
      <w:r>
        <w:continuationSeparator/>
      </w:r>
    </w:p>
  </w:footnote>
  <w:footnote w:id="1">
    <w:p w:rsidR="008939B8" w:rsidRPr="00660FDF" w:rsidRDefault="008939B8" w:rsidP="00DE37B5">
      <w:pPr>
        <w:pStyle w:val="FootnoteText"/>
        <w:ind w:left="0" w:firstLine="0"/>
        <w:rPr>
          <w:lang w:val="fr-FR"/>
        </w:rPr>
      </w:pPr>
      <w:r>
        <w:rPr>
          <w:rStyle w:val="FootnoteReference"/>
        </w:rPr>
        <w:footnoteRef/>
      </w:r>
      <w:r w:rsidRPr="00660FDF">
        <w:rPr>
          <w:lang w:val="fr-FR"/>
        </w:rPr>
        <w:t xml:space="preserve"> Voi</w:t>
      </w:r>
      <w:r>
        <w:rPr>
          <w:lang w:val="fr-FR"/>
        </w:rPr>
        <w:t>r</w:t>
      </w:r>
      <w:r w:rsidRPr="00660FDF">
        <w:rPr>
          <w:lang w:val="fr-FR"/>
        </w:rPr>
        <w:t xml:space="preserve"> </w:t>
      </w:r>
      <w:hyperlink r:id="rId1" w:history="1">
        <w:r w:rsidRPr="00660FDF">
          <w:rPr>
            <w:rStyle w:val="Hyperlink"/>
            <w:lang w:val="fr-FR"/>
          </w:rPr>
          <w:t>https://www.ramsar.org/sites/default/files/documents/library/report_auditor_ramsar_2021_e.pdf</w:t>
        </w:r>
      </w:hyperlink>
      <w:r w:rsidRPr="00660FDF">
        <w:rPr>
          <w:lang w:val="fr-FR"/>
        </w:rPr>
        <w:t>.</w:t>
      </w:r>
    </w:p>
  </w:footnote>
  <w:footnote w:id="2">
    <w:p w:rsidR="008939B8" w:rsidRPr="008C234D" w:rsidRDefault="008939B8" w:rsidP="008C234D">
      <w:pPr>
        <w:pStyle w:val="FootnoteText"/>
        <w:ind w:left="0" w:firstLine="0"/>
        <w:rPr>
          <w:lang w:val="fr-FR"/>
        </w:rPr>
      </w:pPr>
      <w:r>
        <w:rPr>
          <w:rStyle w:val="FootnoteReference"/>
        </w:rPr>
        <w:footnoteRef/>
      </w:r>
      <w:r w:rsidRPr="008C234D">
        <w:rPr>
          <w:lang w:val="fr-FR"/>
        </w:rPr>
        <w:t xml:space="preserve"> </w:t>
      </w:r>
      <w:r w:rsidRPr="008C234D">
        <w:rPr>
          <w:rFonts w:asciiTheme="minorHAnsi" w:hAnsiTheme="minorHAnsi" w:cstheme="minorHAnsi"/>
          <w:lang w:val="fr-FR"/>
        </w:rPr>
        <w:t xml:space="preserve">Décision SC57-50 : « Conformément aux responsabilités définies dans la Résolution 5.2, </w:t>
      </w:r>
      <w:r w:rsidRPr="008C234D">
        <w:rPr>
          <w:rFonts w:asciiTheme="minorHAnsi" w:hAnsiTheme="minorHAnsi" w:cstheme="minorHAnsi"/>
          <w:i/>
          <w:iCs/>
          <w:lang w:val="fr-FR"/>
        </w:rPr>
        <w:t>Questions financières et budgétaires</w:t>
      </w:r>
      <w:r w:rsidRPr="008C234D">
        <w:rPr>
          <w:rFonts w:asciiTheme="minorHAnsi" w:hAnsiTheme="minorHAnsi" w:cstheme="minorHAnsi"/>
          <w:lang w:val="fr-FR"/>
        </w:rPr>
        <w:t>, annexe 3, paragraphe 8, le Comité permanent décide que les soldes non engagés/non dépensés des lignes budgét</w:t>
      </w:r>
      <w:r>
        <w:rPr>
          <w:rFonts w:asciiTheme="minorHAnsi" w:hAnsiTheme="minorHAnsi" w:cstheme="minorHAnsi"/>
          <w:lang w:val="fr-FR"/>
        </w:rPr>
        <w:t>aires peuvent être reportés à l’</w:t>
      </w:r>
      <w:r w:rsidRPr="008C234D">
        <w:rPr>
          <w:rFonts w:asciiTheme="minorHAnsi" w:hAnsiTheme="minorHAnsi" w:cstheme="minorHAnsi"/>
          <w:lang w:val="fr-FR"/>
        </w:rPr>
        <w:t>année suivante pendant la période triennale et présentés à la réunion suivante du Sous-groupe sur les finances. »</w:t>
      </w:r>
    </w:p>
  </w:footnote>
  <w:footnote w:id="3">
    <w:p w:rsidR="008939B8" w:rsidRPr="009259E1" w:rsidRDefault="008939B8">
      <w:pPr>
        <w:pStyle w:val="FootnoteText"/>
        <w:rPr>
          <w:lang w:val="fr-FR"/>
        </w:rPr>
      </w:pPr>
      <w:r>
        <w:rPr>
          <w:rStyle w:val="FootnoteReference"/>
        </w:rPr>
        <w:footnoteRef/>
      </w:r>
      <w:r w:rsidRPr="009259E1">
        <w:rPr>
          <w:lang w:val="fr-FR"/>
        </w:rPr>
        <w:t xml:space="preserve"> </w:t>
      </w:r>
      <w:r>
        <w:rPr>
          <w:lang w:val="fr-FR"/>
        </w:rPr>
        <w:t>Ce montant a été réduit de 89 500 CHF pour obtenir un total de 406 500 CHF (ainsi qu’il est expliqué au paragraphe 22).</w:t>
      </w:r>
    </w:p>
  </w:footnote>
  <w:footnote w:id="4">
    <w:p w:rsidR="008939B8" w:rsidRPr="0064030F" w:rsidRDefault="008939B8" w:rsidP="00301DF1">
      <w:pPr>
        <w:pStyle w:val="FootnoteText"/>
        <w:ind w:left="0" w:firstLine="0"/>
        <w:rPr>
          <w:lang w:val="fr-FR"/>
        </w:rPr>
      </w:pPr>
      <w:r>
        <w:rPr>
          <w:rStyle w:val="FootnoteReference"/>
        </w:rPr>
        <w:footnoteRef/>
      </w:r>
      <w:r w:rsidRPr="0064030F">
        <w:rPr>
          <w:lang w:val="fr-FR"/>
        </w:rPr>
        <w:t xml:space="preserve"> Voir le paragraphe 23 de</w:t>
      </w:r>
      <w:r>
        <w:rPr>
          <w:lang w:val="fr-FR"/>
        </w:rPr>
        <w:t xml:space="preserve"> la Résolution X.2, </w:t>
      </w:r>
      <w:r w:rsidRPr="009C7F58">
        <w:rPr>
          <w:i/>
          <w:lang w:val="fr-FR"/>
        </w:rPr>
        <w:t>Questions financières et budgétaires</w:t>
      </w:r>
      <w:r w:rsidRPr="0064030F">
        <w:rPr>
          <w:lang w:val="fr-FR"/>
        </w:rPr>
        <w:t xml:space="preserve">, </w:t>
      </w:r>
      <w:hyperlink r:id="rId2" w:history="1">
        <w:r w:rsidRPr="0064030F">
          <w:rPr>
            <w:rStyle w:val="Hyperlink"/>
            <w:lang w:val="fr-FR"/>
          </w:rPr>
          <w:t>https://www.ramsar.org/document/resolution-x2-financial-and-budgetary-matters</w:t>
        </w:r>
      </w:hyperlink>
      <w:r w:rsidRPr="0064030F">
        <w:rPr>
          <w:lang w:val="fr-FR"/>
        </w:rPr>
        <w:t>.</w:t>
      </w:r>
    </w:p>
  </w:footnote>
  <w:footnote w:id="5">
    <w:p w:rsidR="008939B8" w:rsidRPr="00761962" w:rsidRDefault="008939B8">
      <w:pPr>
        <w:pStyle w:val="FootnoteText"/>
        <w:rPr>
          <w:lang w:val="fr-FR"/>
        </w:rPr>
      </w:pPr>
      <w:r>
        <w:rPr>
          <w:rStyle w:val="FootnoteReference"/>
        </w:rPr>
        <w:footnoteRef/>
      </w:r>
      <w:r w:rsidRPr="009259E1">
        <w:rPr>
          <w:lang w:val="fr-FR"/>
        </w:rPr>
        <w:t xml:space="preserve"> V</w:t>
      </w:r>
      <w:r>
        <w:rPr>
          <w:lang w:val="fr-FR"/>
        </w:rPr>
        <w:t>oir</w:t>
      </w:r>
      <w:r w:rsidRPr="00761962">
        <w:rPr>
          <w:lang w:val="fr-FR"/>
        </w:rPr>
        <w:t xml:space="preserve"> </w:t>
      </w:r>
      <w:hyperlink r:id="rId3" w:history="1">
        <w:r w:rsidRPr="008E3757">
          <w:rPr>
            <w:rStyle w:val="Hyperlink"/>
            <w:lang w:val="fr-FR"/>
          </w:rPr>
          <w:t>https://www.ramsar.org/fr/document/sc55-doc82-examen-par-luicn-des-finances-non-administratives</w:t>
        </w:r>
      </w:hyperlink>
      <w:r>
        <w:rPr>
          <w:lang w:val="fr-FR"/>
        </w:rPr>
        <w:t xml:space="preserve"> </w:t>
      </w:r>
    </w:p>
  </w:footnote>
  <w:footnote w:id="6">
    <w:p w:rsidR="008939B8" w:rsidRPr="00B76AA6" w:rsidRDefault="008939B8" w:rsidP="006A24F1">
      <w:pPr>
        <w:pStyle w:val="FootnoteText"/>
        <w:ind w:left="0" w:firstLine="0"/>
        <w:rPr>
          <w:lang w:val="fr-FR"/>
        </w:rPr>
      </w:pPr>
      <w:r>
        <w:rPr>
          <w:rStyle w:val="FootnoteReference"/>
        </w:rPr>
        <w:footnoteRef/>
      </w:r>
      <w:r w:rsidRPr="00B76AA6">
        <w:rPr>
          <w:lang w:val="fr-FR"/>
        </w:rPr>
        <w:t xml:space="preserve"> Voir les notes des ét</w:t>
      </w:r>
      <w:r>
        <w:rPr>
          <w:lang w:val="fr-FR"/>
        </w:rPr>
        <w:t xml:space="preserve">ats financiers vérifiés à </w:t>
      </w:r>
      <w:r w:rsidRPr="00B76AA6">
        <w:rPr>
          <w:lang w:val="fr-FR"/>
        </w:rPr>
        <w:t>https://www.ramsar.org/sites/default/files/documents/library/report_auditor_ramsar_2021_e.pdf</w:t>
      </w:r>
    </w:p>
    <w:p w:rsidR="008939B8" w:rsidRPr="00B76AA6" w:rsidRDefault="008939B8" w:rsidP="006A24F1">
      <w:pPr>
        <w:pStyle w:val="FootnoteText"/>
        <w:ind w:left="0" w:firstLine="0"/>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91147"/>
    <w:multiLevelType w:val="hybridMultilevel"/>
    <w:tmpl w:val="DCC642FA"/>
    <w:lvl w:ilvl="0" w:tplc="653E732C">
      <w:start w:val="1"/>
      <w:numFmt w:val="lowerLetter"/>
      <w:lvlText w:val="%1."/>
      <w:lvlJc w:val="left"/>
      <w:pPr>
        <w:ind w:left="861" w:hanging="43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7D0A4054"/>
    <w:multiLevelType w:val="hybridMultilevel"/>
    <w:tmpl w:val="36C0F58E"/>
    <w:lvl w:ilvl="0" w:tplc="8AF42AC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3"/>
  </w:num>
  <w:num w:numId="6">
    <w:abstractNumId w:val="3"/>
  </w:num>
  <w:num w:numId="7">
    <w:abstractNumId w:val="2"/>
  </w:num>
  <w:num w:numId="8">
    <w:abstractNumId w:val="8"/>
  </w:num>
  <w:num w:numId="9">
    <w:abstractNumId w:val="7"/>
  </w:num>
  <w:num w:numId="10">
    <w:abstractNumId w:val="15"/>
  </w:num>
  <w:num w:numId="11">
    <w:abstractNumId w:val="10"/>
  </w:num>
  <w:num w:numId="12">
    <w:abstractNumId w:val="5"/>
  </w:num>
  <w:num w:numId="13">
    <w:abstractNumId w:val="12"/>
  </w:num>
  <w:num w:numId="14">
    <w:abstractNumId w:val="1"/>
  </w:num>
  <w:num w:numId="15">
    <w:abstractNumId w:val="11"/>
  </w:num>
  <w:num w:numId="16">
    <w:abstractNumId w:val="16"/>
  </w:num>
  <w:num w:numId="17">
    <w:abstractNumId w:val="6"/>
  </w:num>
  <w:num w:numId="18">
    <w:abstractNumId w:val="17"/>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720"/>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DF2386"/>
    <w:rsid w:val="000012BB"/>
    <w:rsid w:val="000016C0"/>
    <w:rsid w:val="0000371F"/>
    <w:rsid w:val="00003FF3"/>
    <w:rsid w:val="00004171"/>
    <w:rsid w:val="00005C70"/>
    <w:rsid w:val="00005D80"/>
    <w:rsid w:val="00005E5F"/>
    <w:rsid w:val="00006A52"/>
    <w:rsid w:val="00006CF6"/>
    <w:rsid w:val="00007309"/>
    <w:rsid w:val="00007908"/>
    <w:rsid w:val="0001295D"/>
    <w:rsid w:val="00013B5D"/>
    <w:rsid w:val="00014168"/>
    <w:rsid w:val="00014DD6"/>
    <w:rsid w:val="00016CD1"/>
    <w:rsid w:val="00017583"/>
    <w:rsid w:val="00017A16"/>
    <w:rsid w:val="00020298"/>
    <w:rsid w:val="000202D5"/>
    <w:rsid w:val="00020C2D"/>
    <w:rsid w:val="00020C56"/>
    <w:rsid w:val="00021F0E"/>
    <w:rsid w:val="00021F71"/>
    <w:rsid w:val="00024104"/>
    <w:rsid w:val="0002452B"/>
    <w:rsid w:val="00024537"/>
    <w:rsid w:val="00024832"/>
    <w:rsid w:val="00024E01"/>
    <w:rsid w:val="00025210"/>
    <w:rsid w:val="00025536"/>
    <w:rsid w:val="00026E09"/>
    <w:rsid w:val="0002761D"/>
    <w:rsid w:val="00027805"/>
    <w:rsid w:val="000279C5"/>
    <w:rsid w:val="00027FCD"/>
    <w:rsid w:val="000308AC"/>
    <w:rsid w:val="000308D5"/>
    <w:rsid w:val="00030DC9"/>
    <w:rsid w:val="00031058"/>
    <w:rsid w:val="00031851"/>
    <w:rsid w:val="00031C72"/>
    <w:rsid w:val="0003253E"/>
    <w:rsid w:val="0003296A"/>
    <w:rsid w:val="00032E44"/>
    <w:rsid w:val="00034C8A"/>
    <w:rsid w:val="00037CE0"/>
    <w:rsid w:val="000418A3"/>
    <w:rsid w:val="00041947"/>
    <w:rsid w:val="0004214F"/>
    <w:rsid w:val="00043287"/>
    <w:rsid w:val="0004364D"/>
    <w:rsid w:val="00044E14"/>
    <w:rsid w:val="00044E37"/>
    <w:rsid w:val="00045378"/>
    <w:rsid w:val="0004646E"/>
    <w:rsid w:val="00047393"/>
    <w:rsid w:val="000476C5"/>
    <w:rsid w:val="000506B6"/>
    <w:rsid w:val="000518FC"/>
    <w:rsid w:val="00051ADC"/>
    <w:rsid w:val="0005213E"/>
    <w:rsid w:val="00052355"/>
    <w:rsid w:val="00053929"/>
    <w:rsid w:val="0005699C"/>
    <w:rsid w:val="00056AA6"/>
    <w:rsid w:val="000575AD"/>
    <w:rsid w:val="00057851"/>
    <w:rsid w:val="000603B8"/>
    <w:rsid w:val="0006178A"/>
    <w:rsid w:val="00062093"/>
    <w:rsid w:val="0006294A"/>
    <w:rsid w:val="00062A46"/>
    <w:rsid w:val="00062E4A"/>
    <w:rsid w:val="0006326D"/>
    <w:rsid w:val="00063F47"/>
    <w:rsid w:val="00064E24"/>
    <w:rsid w:val="00064EA7"/>
    <w:rsid w:val="00064EDC"/>
    <w:rsid w:val="000657C0"/>
    <w:rsid w:val="00065B4A"/>
    <w:rsid w:val="00065E42"/>
    <w:rsid w:val="00066E98"/>
    <w:rsid w:val="000678A6"/>
    <w:rsid w:val="00067EDC"/>
    <w:rsid w:val="00070655"/>
    <w:rsid w:val="00070FD2"/>
    <w:rsid w:val="00071D98"/>
    <w:rsid w:val="00072AE1"/>
    <w:rsid w:val="000732F2"/>
    <w:rsid w:val="00073E51"/>
    <w:rsid w:val="000743C9"/>
    <w:rsid w:val="000748B7"/>
    <w:rsid w:val="00074DE8"/>
    <w:rsid w:val="000751CA"/>
    <w:rsid w:val="00075D8D"/>
    <w:rsid w:val="000776EE"/>
    <w:rsid w:val="0008181C"/>
    <w:rsid w:val="00082297"/>
    <w:rsid w:val="0008231A"/>
    <w:rsid w:val="0008295B"/>
    <w:rsid w:val="00082D5E"/>
    <w:rsid w:val="0008366D"/>
    <w:rsid w:val="000844F9"/>
    <w:rsid w:val="00084E5D"/>
    <w:rsid w:val="0008758E"/>
    <w:rsid w:val="000875B8"/>
    <w:rsid w:val="00087A0F"/>
    <w:rsid w:val="000901C1"/>
    <w:rsid w:val="000931DF"/>
    <w:rsid w:val="00093776"/>
    <w:rsid w:val="00093F6E"/>
    <w:rsid w:val="00095913"/>
    <w:rsid w:val="00096FAE"/>
    <w:rsid w:val="00097273"/>
    <w:rsid w:val="000974AE"/>
    <w:rsid w:val="00097AE2"/>
    <w:rsid w:val="00097AE5"/>
    <w:rsid w:val="00097C4A"/>
    <w:rsid w:val="000A0568"/>
    <w:rsid w:val="000A156E"/>
    <w:rsid w:val="000A212C"/>
    <w:rsid w:val="000A2C45"/>
    <w:rsid w:val="000A3E3E"/>
    <w:rsid w:val="000B0EA8"/>
    <w:rsid w:val="000B13F3"/>
    <w:rsid w:val="000B16B8"/>
    <w:rsid w:val="000B1951"/>
    <w:rsid w:val="000B2366"/>
    <w:rsid w:val="000B2759"/>
    <w:rsid w:val="000B2A00"/>
    <w:rsid w:val="000B2D8F"/>
    <w:rsid w:val="000B380C"/>
    <w:rsid w:val="000B3853"/>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4423"/>
    <w:rsid w:val="000C57BA"/>
    <w:rsid w:val="000C5FFB"/>
    <w:rsid w:val="000C6755"/>
    <w:rsid w:val="000C7083"/>
    <w:rsid w:val="000C786F"/>
    <w:rsid w:val="000C79DC"/>
    <w:rsid w:val="000D1BFA"/>
    <w:rsid w:val="000D3FBF"/>
    <w:rsid w:val="000D46E7"/>
    <w:rsid w:val="000D5C76"/>
    <w:rsid w:val="000D6AC7"/>
    <w:rsid w:val="000E1138"/>
    <w:rsid w:val="000E18F4"/>
    <w:rsid w:val="000E211D"/>
    <w:rsid w:val="000E2FA0"/>
    <w:rsid w:val="000E34D0"/>
    <w:rsid w:val="000E47E9"/>
    <w:rsid w:val="000E6DC0"/>
    <w:rsid w:val="000E7F8A"/>
    <w:rsid w:val="000E7FB6"/>
    <w:rsid w:val="000F001B"/>
    <w:rsid w:val="000F051B"/>
    <w:rsid w:val="000F05DB"/>
    <w:rsid w:val="000F0730"/>
    <w:rsid w:val="000F074C"/>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3196"/>
    <w:rsid w:val="001032EA"/>
    <w:rsid w:val="00103B40"/>
    <w:rsid w:val="00105960"/>
    <w:rsid w:val="00105D6D"/>
    <w:rsid w:val="001068D9"/>
    <w:rsid w:val="00106AEC"/>
    <w:rsid w:val="00106C18"/>
    <w:rsid w:val="00107704"/>
    <w:rsid w:val="00107F64"/>
    <w:rsid w:val="00107FE6"/>
    <w:rsid w:val="0011042A"/>
    <w:rsid w:val="00110575"/>
    <w:rsid w:val="00110B4F"/>
    <w:rsid w:val="00110C51"/>
    <w:rsid w:val="00112016"/>
    <w:rsid w:val="0011271D"/>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6808"/>
    <w:rsid w:val="0012707B"/>
    <w:rsid w:val="0012722A"/>
    <w:rsid w:val="00127828"/>
    <w:rsid w:val="00127B41"/>
    <w:rsid w:val="001319B8"/>
    <w:rsid w:val="0013219D"/>
    <w:rsid w:val="001326E7"/>
    <w:rsid w:val="0013359B"/>
    <w:rsid w:val="00133C51"/>
    <w:rsid w:val="0013410C"/>
    <w:rsid w:val="00134BDB"/>
    <w:rsid w:val="0013536D"/>
    <w:rsid w:val="001358A3"/>
    <w:rsid w:val="001404C4"/>
    <w:rsid w:val="0014052F"/>
    <w:rsid w:val="00140EA0"/>
    <w:rsid w:val="0014156A"/>
    <w:rsid w:val="001419BE"/>
    <w:rsid w:val="001438BD"/>
    <w:rsid w:val="00143C80"/>
    <w:rsid w:val="00144820"/>
    <w:rsid w:val="0014538A"/>
    <w:rsid w:val="00145434"/>
    <w:rsid w:val="001458BE"/>
    <w:rsid w:val="00146777"/>
    <w:rsid w:val="00146B5F"/>
    <w:rsid w:val="00147DAD"/>
    <w:rsid w:val="00150420"/>
    <w:rsid w:val="001504A4"/>
    <w:rsid w:val="00150C96"/>
    <w:rsid w:val="00150E18"/>
    <w:rsid w:val="00150F4B"/>
    <w:rsid w:val="00151B98"/>
    <w:rsid w:val="00152AA1"/>
    <w:rsid w:val="0015502B"/>
    <w:rsid w:val="00155171"/>
    <w:rsid w:val="00155710"/>
    <w:rsid w:val="00155BC3"/>
    <w:rsid w:val="00155F5F"/>
    <w:rsid w:val="001569D5"/>
    <w:rsid w:val="001571E1"/>
    <w:rsid w:val="0015753C"/>
    <w:rsid w:val="001614FA"/>
    <w:rsid w:val="00161871"/>
    <w:rsid w:val="00161BDA"/>
    <w:rsid w:val="00162710"/>
    <w:rsid w:val="00162EE8"/>
    <w:rsid w:val="00163294"/>
    <w:rsid w:val="00163F72"/>
    <w:rsid w:val="00164326"/>
    <w:rsid w:val="001644A8"/>
    <w:rsid w:val="001649E7"/>
    <w:rsid w:val="001653A7"/>
    <w:rsid w:val="00165F44"/>
    <w:rsid w:val="001670DE"/>
    <w:rsid w:val="00167681"/>
    <w:rsid w:val="001709AB"/>
    <w:rsid w:val="00170A07"/>
    <w:rsid w:val="00171618"/>
    <w:rsid w:val="00172AC9"/>
    <w:rsid w:val="001730E3"/>
    <w:rsid w:val="0017480B"/>
    <w:rsid w:val="001748F5"/>
    <w:rsid w:val="00174E4A"/>
    <w:rsid w:val="00174FD7"/>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6339"/>
    <w:rsid w:val="0018640D"/>
    <w:rsid w:val="00186F3E"/>
    <w:rsid w:val="00187421"/>
    <w:rsid w:val="001918B8"/>
    <w:rsid w:val="001922F3"/>
    <w:rsid w:val="001938E4"/>
    <w:rsid w:val="00194AEB"/>
    <w:rsid w:val="00195107"/>
    <w:rsid w:val="0019536E"/>
    <w:rsid w:val="0019556E"/>
    <w:rsid w:val="00195A41"/>
    <w:rsid w:val="001968D7"/>
    <w:rsid w:val="00196992"/>
    <w:rsid w:val="001A104F"/>
    <w:rsid w:val="001A1EBA"/>
    <w:rsid w:val="001A29A6"/>
    <w:rsid w:val="001A2D10"/>
    <w:rsid w:val="001A3867"/>
    <w:rsid w:val="001A3EA4"/>
    <w:rsid w:val="001A4DA4"/>
    <w:rsid w:val="001A77CC"/>
    <w:rsid w:val="001B08FE"/>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C0243"/>
    <w:rsid w:val="001C0990"/>
    <w:rsid w:val="001C11BE"/>
    <w:rsid w:val="001C1DE1"/>
    <w:rsid w:val="001C21C5"/>
    <w:rsid w:val="001C3229"/>
    <w:rsid w:val="001C48CC"/>
    <w:rsid w:val="001C5386"/>
    <w:rsid w:val="001C5E41"/>
    <w:rsid w:val="001C77BC"/>
    <w:rsid w:val="001D0741"/>
    <w:rsid w:val="001D0B77"/>
    <w:rsid w:val="001D1E46"/>
    <w:rsid w:val="001D2107"/>
    <w:rsid w:val="001D3678"/>
    <w:rsid w:val="001D3FD1"/>
    <w:rsid w:val="001D48BB"/>
    <w:rsid w:val="001D4DD2"/>
    <w:rsid w:val="001D58A8"/>
    <w:rsid w:val="001D5B80"/>
    <w:rsid w:val="001D697C"/>
    <w:rsid w:val="001D6EF7"/>
    <w:rsid w:val="001D71EF"/>
    <w:rsid w:val="001D72F3"/>
    <w:rsid w:val="001E00E3"/>
    <w:rsid w:val="001E0171"/>
    <w:rsid w:val="001E0361"/>
    <w:rsid w:val="001E1873"/>
    <w:rsid w:val="001E1A30"/>
    <w:rsid w:val="001E2987"/>
    <w:rsid w:val="001E336E"/>
    <w:rsid w:val="001E359B"/>
    <w:rsid w:val="001E45FF"/>
    <w:rsid w:val="001E4A43"/>
    <w:rsid w:val="001E67EE"/>
    <w:rsid w:val="001E6D3B"/>
    <w:rsid w:val="001E7677"/>
    <w:rsid w:val="001E7894"/>
    <w:rsid w:val="001E7ADD"/>
    <w:rsid w:val="001E7B2D"/>
    <w:rsid w:val="001E7E9C"/>
    <w:rsid w:val="001E7FA6"/>
    <w:rsid w:val="001F03B5"/>
    <w:rsid w:val="001F0844"/>
    <w:rsid w:val="001F1A2B"/>
    <w:rsid w:val="001F1F7D"/>
    <w:rsid w:val="001F2349"/>
    <w:rsid w:val="001F34DB"/>
    <w:rsid w:val="001F38EA"/>
    <w:rsid w:val="001F3DC3"/>
    <w:rsid w:val="001F4117"/>
    <w:rsid w:val="001F4428"/>
    <w:rsid w:val="001F4497"/>
    <w:rsid w:val="001F48E0"/>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468D"/>
    <w:rsid w:val="002052AE"/>
    <w:rsid w:val="002058A3"/>
    <w:rsid w:val="00206111"/>
    <w:rsid w:val="002064A3"/>
    <w:rsid w:val="00206AF7"/>
    <w:rsid w:val="00207955"/>
    <w:rsid w:val="0021024C"/>
    <w:rsid w:val="00210A8F"/>
    <w:rsid w:val="00211A70"/>
    <w:rsid w:val="00211E61"/>
    <w:rsid w:val="00212942"/>
    <w:rsid w:val="002135D9"/>
    <w:rsid w:val="002137E0"/>
    <w:rsid w:val="00213C8C"/>
    <w:rsid w:val="00215D0B"/>
    <w:rsid w:val="00216155"/>
    <w:rsid w:val="00216504"/>
    <w:rsid w:val="002174A1"/>
    <w:rsid w:val="00217B35"/>
    <w:rsid w:val="00220A4E"/>
    <w:rsid w:val="00220E81"/>
    <w:rsid w:val="002214D7"/>
    <w:rsid w:val="0022294E"/>
    <w:rsid w:val="00222BB0"/>
    <w:rsid w:val="002234CE"/>
    <w:rsid w:val="002238A2"/>
    <w:rsid w:val="002249B1"/>
    <w:rsid w:val="002253A7"/>
    <w:rsid w:val="00225A7C"/>
    <w:rsid w:val="002262E5"/>
    <w:rsid w:val="002262FE"/>
    <w:rsid w:val="0023074E"/>
    <w:rsid w:val="0023128B"/>
    <w:rsid w:val="002314B9"/>
    <w:rsid w:val="00231F97"/>
    <w:rsid w:val="002324F0"/>
    <w:rsid w:val="00233BB2"/>
    <w:rsid w:val="00235E12"/>
    <w:rsid w:val="0023624E"/>
    <w:rsid w:val="0023713D"/>
    <w:rsid w:val="002371CB"/>
    <w:rsid w:val="00237990"/>
    <w:rsid w:val="00237A5C"/>
    <w:rsid w:val="00240B19"/>
    <w:rsid w:val="00240D57"/>
    <w:rsid w:val="002414B3"/>
    <w:rsid w:val="00241AFC"/>
    <w:rsid w:val="00241BD9"/>
    <w:rsid w:val="00242921"/>
    <w:rsid w:val="00242C38"/>
    <w:rsid w:val="00243C9A"/>
    <w:rsid w:val="00243F73"/>
    <w:rsid w:val="00245529"/>
    <w:rsid w:val="002468FA"/>
    <w:rsid w:val="002473AC"/>
    <w:rsid w:val="0024781C"/>
    <w:rsid w:val="0025180E"/>
    <w:rsid w:val="002538A3"/>
    <w:rsid w:val="00254016"/>
    <w:rsid w:val="00254205"/>
    <w:rsid w:val="00255D02"/>
    <w:rsid w:val="00255EF0"/>
    <w:rsid w:val="00255FFD"/>
    <w:rsid w:val="002569BC"/>
    <w:rsid w:val="0025754C"/>
    <w:rsid w:val="00257D2F"/>
    <w:rsid w:val="00257DB6"/>
    <w:rsid w:val="00264303"/>
    <w:rsid w:val="00264D73"/>
    <w:rsid w:val="002657EF"/>
    <w:rsid w:val="00267606"/>
    <w:rsid w:val="002702BA"/>
    <w:rsid w:val="00270BEE"/>
    <w:rsid w:val="00270C34"/>
    <w:rsid w:val="00271D3D"/>
    <w:rsid w:val="00272226"/>
    <w:rsid w:val="00273027"/>
    <w:rsid w:val="0027356A"/>
    <w:rsid w:val="00273609"/>
    <w:rsid w:val="00273B0B"/>
    <w:rsid w:val="00273EDF"/>
    <w:rsid w:val="00273F79"/>
    <w:rsid w:val="002741AC"/>
    <w:rsid w:val="00274D17"/>
    <w:rsid w:val="00274FCC"/>
    <w:rsid w:val="00275388"/>
    <w:rsid w:val="00275C3F"/>
    <w:rsid w:val="00275C41"/>
    <w:rsid w:val="00275D94"/>
    <w:rsid w:val="00275F13"/>
    <w:rsid w:val="0027691D"/>
    <w:rsid w:val="00280B31"/>
    <w:rsid w:val="0028147F"/>
    <w:rsid w:val="002819C0"/>
    <w:rsid w:val="00284478"/>
    <w:rsid w:val="00284E2E"/>
    <w:rsid w:val="00285887"/>
    <w:rsid w:val="00285981"/>
    <w:rsid w:val="00285F05"/>
    <w:rsid w:val="00286D37"/>
    <w:rsid w:val="00290674"/>
    <w:rsid w:val="00291E74"/>
    <w:rsid w:val="0029351E"/>
    <w:rsid w:val="00295556"/>
    <w:rsid w:val="00295BB5"/>
    <w:rsid w:val="00295BEE"/>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A0E"/>
    <w:rsid w:val="002C4FFE"/>
    <w:rsid w:val="002C5FB7"/>
    <w:rsid w:val="002C6BA6"/>
    <w:rsid w:val="002C6D4E"/>
    <w:rsid w:val="002C6F8E"/>
    <w:rsid w:val="002C7B1B"/>
    <w:rsid w:val="002D04F2"/>
    <w:rsid w:val="002D1995"/>
    <w:rsid w:val="002D31A7"/>
    <w:rsid w:val="002D3CC9"/>
    <w:rsid w:val="002D5184"/>
    <w:rsid w:val="002D5A4D"/>
    <w:rsid w:val="002D673E"/>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2543"/>
    <w:rsid w:val="002F261D"/>
    <w:rsid w:val="002F2BB4"/>
    <w:rsid w:val="002F2D08"/>
    <w:rsid w:val="002F312A"/>
    <w:rsid w:val="002F4CFC"/>
    <w:rsid w:val="002F5B7C"/>
    <w:rsid w:val="002F6793"/>
    <w:rsid w:val="002F6A98"/>
    <w:rsid w:val="002F74F9"/>
    <w:rsid w:val="002F777D"/>
    <w:rsid w:val="00301BD4"/>
    <w:rsid w:val="00301DF1"/>
    <w:rsid w:val="00302FEE"/>
    <w:rsid w:val="00302FF3"/>
    <w:rsid w:val="0030357A"/>
    <w:rsid w:val="00304ECC"/>
    <w:rsid w:val="00304F7C"/>
    <w:rsid w:val="00305D7A"/>
    <w:rsid w:val="00305FC7"/>
    <w:rsid w:val="003060F6"/>
    <w:rsid w:val="00306F34"/>
    <w:rsid w:val="0031018C"/>
    <w:rsid w:val="00310E68"/>
    <w:rsid w:val="003110A9"/>
    <w:rsid w:val="00311940"/>
    <w:rsid w:val="00311E13"/>
    <w:rsid w:val="00313563"/>
    <w:rsid w:val="00314D14"/>
    <w:rsid w:val="00314F63"/>
    <w:rsid w:val="00315503"/>
    <w:rsid w:val="003165A3"/>
    <w:rsid w:val="0031679A"/>
    <w:rsid w:val="00317471"/>
    <w:rsid w:val="003203B7"/>
    <w:rsid w:val="003204BB"/>
    <w:rsid w:val="00320D9B"/>
    <w:rsid w:val="003218F4"/>
    <w:rsid w:val="00321AAD"/>
    <w:rsid w:val="00321C39"/>
    <w:rsid w:val="00321D0D"/>
    <w:rsid w:val="00321E25"/>
    <w:rsid w:val="0032347B"/>
    <w:rsid w:val="00323684"/>
    <w:rsid w:val="003236D1"/>
    <w:rsid w:val="00323FF1"/>
    <w:rsid w:val="00324204"/>
    <w:rsid w:val="00324398"/>
    <w:rsid w:val="003243FB"/>
    <w:rsid w:val="003249AF"/>
    <w:rsid w:val="00324E91"/>
    <w:rsid w:val="003254DB"/>
    <w:rsid w:val="00326625"/>
    <w:rsid w:val="00327DAF"/>
    <w:rsid w:val="00327F63"/>
    <w:rsid w:val="00330040"/>
    <w:rsid w:val="00330F27"/>
    <w:rsid w:val="003320A4"/>
    <w:rsid w:val="003323B0"/>
    <w:rsid w:val="0033279F"/>
    <w:rsid w:val="00332FCB"/>
    <w:rsid w:val="00333BAF"/>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3B0"/>
    <w:rsid w:val="003531DE"/>
    <w:rsid w:val="00353759"/>
    <w:rsid w:val="00354A66"/>
    <w:rsid w:val="00354F4E"/>
    <w:rsid w:val="00355FC7"/>
    <w:rsid w:val="003562A0"/>
    <w:rsid w:val="00357790"/>
    <w:rsid w:val="0036085B"/>
    <w:rsid w:val="00363545"/>
    <w:rsid w:val="00364316"/>
    <w:rsid w:val="003644C5"/>
    <w:rsid w:val="00364A91"/>
    <w:rsid w:val="00364E8B"/>
    <w:rsid w:val="00365F8A"/>
    <w:rsid w:val="003667FF"/>
    <w:rsid w:val="00366F42"/>
    <w:rsid w:val="003672B9"/>
    <w:rsid w:val="00367519"/>
    <w:rsid w:val="0036778B"/>
    <w:rsid w:val="00370A11"/>
    <w:rsid w:val="0037103C"/>
    <w:rsid w:val="0037110C"/>
    <w:rsid w:val="00372580"/>
    <w:rsid w:val="003736CC"/>
    <w:rsid w:val="00373FD6"/>
    <w:rsid w:val="00374172"/>
    <w:rsid w:val="00375CFF"/>
    <w:rsid w:val="00376478"/>
    <w:rsid w:val="0037647D"/>
    <w:rsid w:val="003766DA"/>
    <w:rsid w:val="00377657"/>
    <w:rsid w:val="00377C90"/>
    <w:rsid w:val="00377D33"/>
    <w:rsid w:val="00377F5E"/>
    <w:rsid w:val="00380059"/>
    <w:rsid w:val="003802F2"/>
    <w:rsid w:val="003814AD"/>
    <w:rsid w:val="0038188C"/>
    <w:rsid w:val="0038245C"/>
    <w:rsid w:val="00383EED"/>
    <w:rsid w:val="00383F07"/>
    <w:rsid w:val="00384FC3"/>
    <w:rsid w:val="00385FC5"/>
    <w:rsid w:val="003906A4"/>
    <w:rsid w:val="00390ED1"/>
    <w:rsid w:val="0039179A"/>
    <w:rsid w:val="0039249B"/>
    <w:rsid w:val="003956B3"/>
    <w:rsid w:val="00396ABD"/>
    <w:rsid w:val="003A0924"/>
    <w:rsid w:val="003A0DBF"/>
    <w:rsid w:val="003A1334"/>
    <w:rsid w:val="003A168F"/>
    <w:rsid w:val="003A3804"/>
    <w:rsid w:val="003A3AE1"/>
    <w:rsid w:val="003A415A"/>
    <w:rsid w:val="003A52BE"/>
    <w:rsid w:val="003A5866"/>
    <w:rsid w:val="003A601A"/>
    <w:rsid w:val="003A6989"/>
    <w:rsid w:val="003A6DE6"/>
    <w:rsid w:val="003A6E9F"/>
    <w:rsid w:val="003A790E"/>
    <w:rsid w:val="003B0AD8"/>
    <w:rsid w:val="003B0BC9"/>
    <w:rsid w:val="003B2F42"/>
    <w:rsid w:val="003B392E"/>
    <w:rsid w:val="003B465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CE3"/>
    <w:rsid w:val="003C693A"/>
    <w:rsid w:val="003C73B9"/>
    <w:rsid w:val="003C7B89"/>
    <w:rsid w:val="003D02F4"/>
    <w:rsid w:val="003D0862"/>
    <w:rsid w:val="003D1A17"/>
    <w:rsid w:val="003D1E05"/>
    <w:rsid w:val="003D2112"/>
    <w:rsid w:val="003D4304"/>
    <w:rsid w:val="003D4B82"/>
    <w:rsid w:val="003D4CD6"/>
    <w:rsid w:val="003D5354"/>
    <w:rsid w:val="003D548E"/>
    <w:rsid w:val="003D6105"/>
    <w:rsid w:val="003D733E"/>
    <w:rsid w:val="003E0522"/>
    <w:rsid w:val="003E07A7"/>
    <w:rsid w:val="003E0E6D"/>
    <w:rsid w:val="003E1878"/>
    <w:rsid w:val="003E2167"/>
    <w:rsid w:val="003E268C"/>
    <w:rsid w:val="003E3555"/>
    <w:rsid w:val="003E3939"/>
    <w:rsid w:val="003E44D9"/>
    <w:rsid w:val="003E4F49"/>
    <w:rsid w:val="003E63A7"/>
    <w:rsid w:val="003E7324"/>
    <w:rsid w:val="003E762E"/>
    <w:rsid w:val="003F0CB8"/>
    <w:rsid w:val="003F135F"/>
    <w:rsid w:val="003F3307"/>
    <w:rsid w:val="003F3DE5"/>
    <w:rsid w:val="003F4B6D"/>
    <w:rsid w:val="003F55A0"/>
    <w:rsid w:val="003F5A32"/>
    <w:rsid w:val="003F621E"/>
    <w:rsid w:val="003F65E9"/>
    <w:rsid w:val="003F7878"/>
    <w:rsid w:val="003F7DF4"/>
    <w:rsid w:val="00400F6E"/>
    <w:rsid w:val="00401624"/>
    <w:rsid w:val="0040226B"/>
    <w:rsid w:val="00402328"/>
    <w:rsid w:val="0040314A"/>
    <w:rsid w:val="0040340A"/>
    <w:rsid w:val="00404FC1"/>
    <w:rsid w:val="0040500A"/>
    <w:rsid w:val="00405D78"/>
    <w:rsid w:val="00405D9B"/>
    <w:rsid w:val="0041005A"/>
    <w:rsid w:val="00411932"/>
    <w:rsid w:val="00413AEE"/>
    <w:rsid w:val="00413EC4"/>
    <w:rsid w:val="004142A8"/>
    <w:rsid w:val="004144E2"/>
    <w:rsid w:val="00414B55"/>
    <w:rsid w:val="00414E74"/>
    <w:rsid w:val="00414EAE"/>
    <w:rsid w:val="0041534E"/>
    <w:rsid w:val="00415B9F"/>
    <w:rsid w:val="0042091F"/>
    <w:rsid w:val="00421152"/>
    <w:rsid w:val="004211C0"/>
    <w:rsid w:val="004228C7"/>
    <w:rsid w:val="00424AF8"/>
    <w:rsid w:val="00425178"/>
    <w:rsid w:val="0042566B"/>
    <w:rsid w:val="0042598C"/>
    <w:rsid w:val="0042798B"/>
    <w:rsid w:val="004301E0"/>
    <w:rsid w:val="0043030E"/>
    <w:rsid w:val="00430A7A"/>
    <w:rsid w:val="00432A60"/>
    <w:rsid w:val="00432AFB"/>
    <w:rsid w:val="0043385E"/>
    <w:rsid w:val="00434024"/>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4C39"/>
    <w:rsid w:val="004452C4"/>
    <w:rsid w:val="0044539B"/>
    <w:rsid w:val="00445C65"/>
    <w:rsid w:val="00445E61"/>
    <w:rsid w:val="0044605A"/>
    <w:rsid w:val="00447472"/>
    <w:rsid w:val="004474F8"/>
    <w:rsid w:val="004479ED"/>
    <w:rsid w:val="00447BC3"/>
    <w:rsid w:val="00450A97"/>
    <w:rsid w:val="00451361"/>
    <w:rsid w:val="0045200F"/>
    <w:rsid w:val="00453196"/>
    <w:rsid w:val="00453B4C"/>
    <w:rsid w:val="00453C82"/>
    <w:rsid w:val="00453CBF"/>
    <w:rsid w:val="00454EA4"/>
    <w:rsid w:val="00455944"/>
    <w:rsid w:val="00455C1D"/>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7303C"/>
    <w:rsid w:val="00473A2B"/>
    <w:rsid w:val="00473B7E"/>
    <w:rsid w:val="0047485C"/>
    <w:rsid w:val="004749C1"/>
    <w:rsid w:val="00474E0B"/>
    <w:rsid w:val="004753C0"/>
    <w:rsid w:val="0047725A"/>
    <w:rsid w:val="00477550"/>
    <w:rsid w:val="0048169C"/>
    <w:rsid w:val="00483069"/>
    <w:rsid w:val="00483CE3"/>
    <w:rsid w:val="004844A8"/>
    <w:rsid w:val="00484987"/>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9"/>
    <w:rsid w:val="0049782E"/>
    <w:rsid w:val="004A1776"/>
    <w:rsid w:val="004A1C0C"/>
    <w:rsid w:val="004A2ABC"/>
    <w:rsid w:val="004A2F10"/>
    <w:rsid w:val="004A3437"/>
    <w:rsid w:val="004A3FFD"/>
    <w:rsid w:val="004A48FE"/>
    <w:rsid w:val="004A4983"/>
    <w:rsid w:val="004A50E5"/>
    <w:rsid w:val="004A565C"/>
    <w:rsid w:val="004A61B3"/>
    <w:rsid w:val="004A688C"/>
    <w:rsid w:val="004A763B"/>
    <w:rsid w:val="004B0FAF"/>
    <w:rsid w:val="004B185D"/>
    <w:rsid w:val="004B21BA"/>
    <w:rsid w:val="004B21F7"/>
    <w:rsid w:val="004B3048"/>
    <w:rsid w:val="004B476E"/>
    <w:rsid w:val="004B4805"/>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30AB"/>
    <w:rsid w:val="004D3405"/>
    <w:rsid w:val="004D419B"/>
    <w:rsid w:val="004D4506"/>
    <w:rsid w:val="004D47EA"/>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7A42"/>
    <w:rsid w:val="004E7F8B"/>
    <w:rsid w:val="004F058A"/>
    <w:rsid w:val="004F0683"/>
    <w:rsid w:val="004F24E7"/>
    <w:rsid w:val="004F250A"/>
    <w:rsid w:val="004F31FF"/>
    <w:rsid w:val="004F40E8"/>
    <w:rsid w:val="004F4ED1"/>
    <w:rsid w:val="004F5397"/>
    <w:rsid w:val="004F5AD0"/>
    <w:rsid w:val="004F69F8"/>
    <w:rsid w:val="004F6BEB"/>
    <w:rsid w:val="004F7181"/>
    <w:rsid w:val="004F72DA"/>
    <w:rsid w:val="0050059B"/>
    <w:rsid w:val="00500CA7"/>
    <w:rsid w:val="00501D4A"/>
    <w:rsid w:val="00502524"/>
    <w:rsid w:val="00502C54"/>
    <w:rsid w:val="00504DE2"/>
    <w:rsid w:val="00507CA3"/>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A09"/>
    <w:rsid w:val="005210D8"/>
    <w:rsid w:val="005213B0"/>
    <w:rsid w:val="005215EB"/>
    <w:rsid w:val="005219C3"/>
    <w:rsid w:val="005219C4"/>
    <w:rsid w:val="0052275F"/>
    <w:rsid w:val="0052399E"/>
    <w:rsid w:val="00523B6B"/>
    <w:rsid w:val="005244A4"/>
    <w:rsid w:val="005247E1"/>
    <w:rsid w:val="00524A33"/>
    <w:rsid w:val="00525775"/>
    <w:rsid w:val="00526B39"/>
    <w:rsid w:val="0052703D"/>
    <w:rsid w:val="005271A6"/>
    <w:rsid w:val="0052720A"/>
    <w:rsid w:val="005273D4"/>
    <w:rsid w:val="005276E3"/>
    <w:rsid w:val="00527783"/>
    <w:rsid w:val="005277E7"/>
    <w:rsid w:val="00527FC1"/>
    <w:rsid w:val="0053102E"/>
    <w:rsid w:val="005315C8"/>
    <w:rsid w:val="0053569F"/>
    <w:rsid w:val="005360D1"/>
    <w:rsid w:val="00536238"/>
    <w:rsid w:val="00537355"/>
    <w:rsid w:val="00540CB6"/>
    <w:rsid w:val="00540FEB"/>
    <w:rsid w:val="00541B20"/>
    <w:rsid w:val="00541F61"/>
    <w:rsid w:val="005423C8"/>
    <w:rsid w:val="00542521"/>
    <w:rsid w:val="00542C01"/>
    <w:rsid w:val="00542F90"/>
    <w:rsid w:val="00543775"/>
    <w:rsid w:val="00543927"/>
    <w:rsid w:val="00544E1D"/>
    <w:rsid w:val="00545537"/>
    <w:rsid w:val="00545582"/>
    <w:rsid w:val="00545B60"/>
    <w:rsid w:val="0055175A"/>
    <w:rsid w:val="00552061"/>
    <w:rsid w:val="00553363"/>
    <w:rsid w:val="005538B2"/>
    <w:rsid w:val="00553973"/>
    <w:rsid w:val="00555956"/>
    <w:rsid w:val="00555CC4"/>
    <w:rsid w:val="00555D44"/>
    <w:rsid w:val="00557C2F"/>
    <w:rsid w:val="0056228F"/>
    <w:rsid w:val="00562F9E"/>
    <w:rsid w:val="00565601"/>
    <w:rsid w:val="0056596F"/>
    <w:rsid w:val="005679B4"/>
    <w:rsid w:val="00567A7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C61"/>
    <w:rsid w:val="0058659D"/>
    <w:rsid w:val="00586667"/>
    <w:rsid w:val="00586A7E"/>
    <w:rsid w:val="00586C35"/>
    <w:rsid w:val="0059019B"/>
    <w:rsid w:val="005909BB"/>
    <w:rsid w:val="00591B93"/>
    <w:rsid w:val="00591CDE"/>
    <w:rsid w:val="00591F68"/>
    <w:rsid w:val="00592B40"/>
    <w:rsid w:val="0059402F"/>
    <w:rsid w:val="005946B6"/>
    <w:rsid w:val="005951D6"/>
    <w:rsid w:val="005953C4"/>
    <w:rsid w:val="005975E2"/>
    <w:rsid w:val="005A313D"/>
    <w:rsid w:val="005A324D"/>
    <w:rsid w:val="005A32DA"/>
    <w:rsid w:val="005A3656"/>
    <w:rsid w:val="005A3804"/>
    <w:rsid w:val="005A41C9"/>
    <w:rsid w:val="005A4408"/>
    <w:rsid w:val="005A4A88"/>
    <w:rsid w:val="005A4CF1"/>
    <w:rsid w:val="005A5846"/>
    <w:rsid w:val="005A5AD3"/>
    <w:rsid w:val="005A75B7"/>
    <w:rsid w:val="005A78CA"/>
    <w:rsid w:val="005A7A18"/>
    <w:rsid w:val="005B54A2"/>
    <w:rsid w:val="005B5EB9"/>
    <w:rsid w:val="005B657F"/>
    <w:rsid w:val="005B69BD"/>
    <w:rsid w:val="005B6CE5"/>
    <w:rsid w:val="005C102F"/>
    <w:rsid w:val="005C136E"/>
    <w:rsid w:val="005C2CFD"/>
    <w:rsid w:val="005C353C"/>
    <w:rsid w:val="005C4B91"/>
    <w:rsid w:val="005C509C"/>
    <w:rsid w:val="005C53F3"/>
    <w:rsid w:val="005C665A"/>
    <w:rsid w:val="005D00D4"/>
    <w:rsid w:val="005D0B42"/>
    <w:rsid w:val="005D0F51"/>
    <w:rsid w:val="005D12B9"/>
    <w:rsid w:val="005D3576"/>
    <w:rsid w:val="005D3AFC"/>
    <w:rsid w:val="005D3E9D"/>
    <w:rsid w:val="005D43A8"/>
    <w:rsid w:val="005D4EFF"/>
    <w:rsid w:val="005D5242"/>
    <w:rsid w:val="005D5CE7"/>
    <w:rsid w:val="005D63B7"/>
    <w:rsid w:val="005D70F2"/>
    <w:rsid w:val="005D7E5B"/>
    <w:rsid w:val="005E160C"/>
    <w:rsid w:val="005E2844"/>
    <w:rsid w:val="005E297F"/>
    <w:rsid w:val="005E2F27"/>
    <w:rsid w:val="005E321B"/>
    <w:rsid w:val="005E4B12"/>
    <w:rsid w:val="005E525C"/>
    <w:rsid w:val="005E64D3"/>
    <w:rsid w:val="005E6E2E"/>
    <w:rsid w:val="005E761F"/>
    <w:rsid w:val="005F093A"/>
    <w:rsid w:val="005F0DF6"/>
    <w:rsid w:val="005F24BB"/>
    <w:rsid w:val="005F28AE"/>
    <w:rsid w:val="005F3A8D"/>
    <w:rsid w:val="005F6D4D"/>
    <w:rsid w:val="006006A4"/>
    <w:rsid w:val="00600BDE"/>
    <w:rsid w:val="00600E5B"/>
    <w:rsid w:val="00601130"/>
    <w:rsid w:val="00601404"/>
    <w:rsid w:val="006032A6"/>
    <w:rsid w:val="006039B6"/>
    <w:rsid w:val="006041A2"/>
    <w:rsid w:val="00605E92"/>
    <w:rsid w:val="006078C7"/>
    <w:rsid w:val="006105C8"/>
    <w:rsid w:val="006114F4"/>
    <w:rsid w:val="006137D4"/>
    <w:rsid w:val="00613D8C"/>
    <w:rsid w:val="00613E01"/>
    <w:rsid w:val="00615A5C"/>
    <w:rsid w:val="00616014"/>
    <w:rsid w:val="00617575"/>
    <w:rsid w:val="00617E8B"/>
    <w:rsid w:val="00620208"/>
    <w:rsid w:val="00620DE3"/>
    <w:rsid w:val="0062158F"/>
    <w:rsid w:val="0062467F"/>
    <w:rsid w:val="00624B6F"/>
    <w:rsid w:val="00624F62"/>
    <w:rsid w:val="006256D3"/>
    <w:rsid w:val="00625846"/>
    <w:rsid w:val="00625ACD"/>
    <w:rsid w:val="00625BC9"/>
    <w:rsid w:val="00626AAF"/>
    <w:rsid w:val="00626ACC"/>
    <w:rsid w:val="006270A9"/>
    <w:rsid w:val="00627BB7"/>
    <w:rsid w:val="00627E65"/>
    <w:rsid w:val="00630583"/>
    <w:rsid w:val="006308CF"/>
    <w:rsid w:val="00633B97"/>
    <w:rsid w:val="00633CFE"/>
    <w:rsid w:val="00633DD5"/>
    <w:rsid w:val="00634C3E"/>
    <w:rsid w:val="00634F24"/>
    <w:rsid w:val="00635ED0"/>
    <w:rsid w:val="00636B62"/>
    <w:rsid w:val="0064030F"/>
    <w:rsid w:val="0064183C"/>
    <w:rsid w:val="00642538"/>
    <w:rsid w:val="006432D0"/>
    <w:rsid w:val="00643592"/>
    <w:rsid w:val="00644238"/>
    <w:rsid w:val="006443D2"/>
    <w:rsid w:val="00644A13"/>
    <w:rsid w:val="00645C8C"/>
    <w:rsid w:val="0064639B"/>
    <w:rsid w:val="006464E3"/>
    <w:rsid w:val="00646FF5"/>
    <w:rsid w:val="00647B1E"/>
    <w:rsid w:val="0065127D"/>
    <w:rsid w:val="0065136E"/>
    <w:rsid w:val="00653DEF"/>
    <w:rsid w:val="006559BB"/>
    <w:rsid w:val="006567F6"/>
    <w:rsid w:val="00656BBF"/>
    <w:rsid w:val="0065726C"/>
    <w:rsid w:val="006574AD"/>
    <w:rsid w:val="00660691"/>
    <w:rsid w:val="00660FDF"/>
    <w:rsid w:val="006612A0"/>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802FB"/>
    <w:rsid w:val="00680FBF"/>
    <w:rsid w:val="0068105F"/>
    <w:rsid w:val="006817ED"/>
    <w:rsid w:val="006819FA"/>
    <w:rsid w:val="006821F4"/>
    <w:rsid w:val="006823FE"/>
    <w:rsid w:val="0068245B"/>
    <w:rsid w:val="0068385F"/>
    <w:rsid w:val="006862C9"/>
    <w:rsid w:val="00686F0D"/>
    <w:rsid w:val="006874C9"/>
    <w:rsid w:val="006923A9"/>
    <w:rsid w:val="006924D5"/>
    <w:rsid w:val="006925E6"/>
    <w:rsid w:val="00692FBD"/>
    <w:rsid w:val="006941B2"/>
    <w:rsid w:val="006954F7"/>
    <w:rsid w:val="00695735"/>
    <w:rsid w:val="00696CD3"/>
    <w:rsid w:val="006A0B54"/>
    <w:rsid w:val="006A102F"/>
    <w:rsid w:val="006A24F1"/>
    <w:rsid w:val="006A2C5A"/>
    <w:rsid w:val="006A2C8D"/>
    <w:rsid w:val="006A4032"/>
    <w:rsid w:val="006A4C5B"/>
    <w:rsid w:val="006A5240"/>
    <w:rsid w:val="006A663F"/>
    <w:rsid w:val="006A7C3C"/>
    <w:rsid w:val="006A7C47"/>
    <w:rsid w:val="006A7D7C"/>
    <w:rsid w:val="006A7F7E"/>
    <w:rsid w:val="006B058F"/>
    <w:rsid w:val="006B0BAB"/>
    <w:rsid w:val="006B1364"/>
    <w:rsid w:val="006B2AFB"/>
    <w:rsid w:val="006B42D7"/>
    <w:rsid w:val="006B595B"/>
    <w:rsid w:val="006B6981"/>
    <w:rsid w:val="006B6F03"/>
    <w:rsid w:val="006B74A1"/>
    <w:rsid w:val="006C0D7B"/>
    <w:rsid w:val="006C120C"/>
    <w:rsid w:val="006C15C3"/>
    <w:rsid w:val="006C1657"/>
    <w:rsid w:val="006C1AC0"/>
    <w:rsid w:val="006C2281"/>
    <w:rsid w:val="006C3F1C"/>
    <w:rsid w:val="006C4234"/>
    <w:rsid w:val="006C4E73"/>
    <w:rsid w:val="006C63FB"/>
    <w:rsid w:val="006C72B2"/>
    <w:rsid w:val="006C79A5"/>
    <w:rsid w:val="006C7F1C"/>
    <w:rsid w:val="006D1624"/>
    <w:rsid w:val="006D32FC"/>
    <w:rsid w:val="006D3531"/>
    <w:rsid w:val="006D37D1"/>
    <w:rsid w:val="006D4FE3"/>
    <w:rsid w:val="006D57CA"/>
    <w:rsid w:val="006D5829"/>
    <w:rsid w:val="006D598A"/>
    <w:rsid w:val="006D6A50"/>
    <w:rsid w:val="006D777A"/>
    <w:rsid w:val="006D7EBC"/>
    <w:rsid w:val="006E10B2"/>
    <w:rsid w:val="006E2CAB"/>
    <w:rsid w:val="006E2F73"/>
    <w:rsid w:val="006E322F"/>
    <w:rsid w:val="006E3E7E"/>
    <w:rsid w:val="006E414B"/>
    <w:rsid w:val="006E53B3"/>
    <w:rsid w:val="006E735B"/>
    <w:rsid w:val="006E73DA"/>
    <w:rsid w:val="006E7DCE"/>
    <w:rsid w:val="006F17E1"/>
    <w:rsid w:val="006F21D2"/>
    <w:rsid w:val="006F2C53"/>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4B2"/>
    <w:rsid w:val="00711BC0"/>
    <w:rsid w:val="00713E0D"/>
    <w:rsid w:val="00714E11"/>
    <w:rsid w:val="00715CB9"/>
    <w:rsid w:val="00716705"/>
    <w:rsid w:val="00717CA8"/>
    <w:rsid w:val="00720451"/>
    <w:rsid w:val="00720947"/>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314CE"/>
    <w:rsid w:val="007319AB"/>
    <w:rsid w:val="007319CE"/>
    <w:rsid w:val="00732405"/>
    <w:rsid w:val="00732B82"/>
    <w:rsid w:val="007333FE"/>
    <w:rsid w:val="00733531"/>
    <w:rsid w:val="00733561"/>
    <w:rsid w:val="00735327"/>
    <w:rsid w:val="00736511"/>
    <w:rsid w:val="00736E0B"/>
    <w:rsid w:val="0073706F"/>
    <w:rsid w:val="007400DD"/>
    <w:rsid w:val="00740865"/>
    <w:rsid w:val="00744554"/>
    <w:rsid w:val="0074567B"/>
    <w:rsid w:val="00745A41"/>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D03"/>
    <w:rsid w:val="007610F9"/>
    <w:rsid w:val="00761962"/>
    <w:rsid w:val="00761FB6"/>
    <w:rsid w:val="007632DC"/>
    <w:rsid w:val="007644D6"/>
    <w:rsid w:val="007646FE"/>
    <w:rsid w:val="007650B5"/>
    <w:rsid w:val="00766186"/>
    <w:rsid w:val="00766962"/>
    <w:rsid w:val="007672B7"/>
    <w:rsid w:val="0076745F"/>
    <w:rsid w:val="00767524"/>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678C"/>
    <w:rsid w:val="007867BB"/>
    <w:rsid w:val="00787271"/>
    <w:rsid w:val="00787E33"/>
    <w:rsid w:val="00790432"/>
    <w:rsid w:val="0079083B"/>
    <w:rsid w:val="00790C01"/>
    <w:rsid w:val="00792166"/>
    <w:rsid w:val="00792EB2"/>
    <w:rsid w:val="007933C8"/>
    <w:rsid w:val="0079366D"/>
    <w:rsid w:val="00793F47"/>
    <w:rsid w:val="00793F5F"/>
    <w:rsid w:val="00795936"/>
    <w:rsid w:val="007959E4"/>
    <w:rsid w:val="00796924"/>
    <w:rsid w:val="00797432"/>
    <w:rsid w:val="00797BC5"/>
    <w:rsid w:val="007A0716"/>
    <w:rsid w:val="007A1335"/>
    <w:rsid w:val="007A243E"/>
    <w:rsid w:val="007A27BC"/>
    <w:rsid w:val="007A2A6E"/>
    <w:rsid w:val="007A2D1C"/>
    <w:rsid w:val="007A3CB6"/>
    <w:rsid w:val="007A46B4"/>
    <w:rsid w:val="007A4875"/>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C01AC"/>
    <w:rsid w:val="007C13FC"/>
    <w:rsid w:val="007C1B02"/>
    <w:rsid w:val="007C3013"/>
    <w:rsid w:val="007C37F9"/>
    <w:rsid w:val="007C47AE"/>
    <w:rsid w:val="007C5105"/>
    <w:rsid w:val="007C6B16"/>
    <w:rsid w:val="007C6E09"/>
    <w:rsid w:val="007C7095"/>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728"/>
    <w:rsid w:val="007F0A14"/>
    <w:rsid w:val="007F0D77"/>
    <w:rsid w:val="007F2AF9"/>
    <w:rsid w:val="007F3094"/>
    <w:rsid w:val="007F31DE"/>
    <w:rsid w:val="007F3ABE"/>
    <w:rsid w:val="007F3E4C"/>
    <w:rsid w:val="007F3F49"/>
    <w:rsid w:val="007F501B"/>
    <w:rsid w:val="007F5D74"/>
    <w:rsid w:val="007F6533"/>
    <w:rsid w:val="007F7656"/>
    <w:rsid w:val="00801256"/>
    <w:rsid w:val="00801FCF"/>
    <w:rsid w:val="00802289"/>
    <w:rsid w:val="00802652"/>
    <w:rsid w:val="00802C57"/>
    <w:rsid w:val="00805B32"/>
    <w:rsid w:val="0080772E"/>
    <w:rsid w:val="00807A78"/>
    <w:rsid w:val="00810392"/>
    <w:rsid w:val="0081351B"/>
    <w:rsid w:val="00814C9F"/>
    <w:rsid w:val="0081667C"/>
    <w:rsid w:val="00816808"/>
    <w:rsid w:val="008173F3"/>
    <w:rsid w:val="00822751"/>
    <w:rsid w:val="00823903"/>
    <w:rsid w:val="00823FF6"/>
    <w:rsid w:val="00824E43"/>
    <w:rsid w:val="00824F48"/>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40536"/>
    <w:rsid w:val="008424C6"/>
    <w:rsid w:val="00842E75"/>
    <w:rsid w:val="00844E61"/>
    <w:rsid w:val="00845248"/>
    <w:rsid w:val="0084654B"/>
    <w:rsid w:val="00847570"/>
    <w:rsid w:val="00847625"/>
    <w:rsid w:val="008508CC"/>
    <w:rsid w:val="00850B09"/>
    <w:rsid w:val="008510C3"/>
    <w:rsid w:val="0085126E"/>
    <w:rsid w:val="00851E50"/>
    <w:rsid w:val="00852199"/>
    <w:rsid w:val="00852801"/>
    <w:rsid w:val="00852A48"/>
    <w:rsid w:val="008534A7"/>
    <w:rsid w:val="0085391B"/>
    <w:rsid w:val="00853C6D"/>
    <w:rsid w:val="0085489C"/>
    <w:rsid w:val="00855EBF"/>
    <w:rsid w:val="00856977"/>
    <w:rsid w:val="0085742B"/>
    <w:rsid w:val="0086106F"/>
    <w:rsid w:val="0086116F"/>
    <w:rsid w:val="0086165A"/>
    <w:rsid w:val="00862FC2"/>
    <w:rsid w:val="0086305C"/>
    <w:rsid w:val="00863425"/>
    <w:rsid w:val="00863B9D"/>
    <w:rsid w:val="00863BE6"/>
    <w:rsid w:val="00863FFA"/>
    <w:rsid w:val="0086541E"/>
    <w:rsid w:val="008662B7"/>
    <w:rsid w:val="00866F17"/>
    <w:rsid w:val="00870CB6"/>
    <w:rsid w:val="00872444"/>
    <w:rsid w:val="0087246A"/>
    <w:rsid w:val="00872B40"/>
    <w:rsid w:val="008737DE"/>
    <w:rsid w:val="0087683B"/>
    <w:rsid w:val="008775BC"/>
    <w:rsid w:val="00877FE8"/>
    <w:rsid w:val="008803E6"/>
    <w:rsid w:val="00880FB8"/>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1CBE"/>
    <w:rsid w:val="0089261A"/>
    <w:rsid w:val="00892CE9"/>
    <w:rsid w:val="00893636"/>
    <w:rsid w:val="008939B8"/>
    <w:rsid w:val="008940A6"/>
    <w:rsid w:val="00894C5C"/>
    <w:rsid w:val="00894CE5"/>
    <w:rsid w:val="0089506B"/>
    <w:rsid w:val="00895280"/>
    <w:rsid w:val="00896643"/>
    <w:rsid w:val="00896D37"/>
    <w:rsid w:val="008A1922"/>
    <w:rsid w:val="008A1F61"/>
    <w:rsid w:val="008A23C2"/>
    <w:rsid w:val="008A347C"/>
    <w:rsid w:val="008A35E8"/>
    <w:rsid w:val="008A3B21"/>
    <w:rsid w:val="008A4B2A"/>
    <w:rsid w:val="008A63B8"/>
    <w:rsid w:val="008A70CE"/>
    <w:rsid w:val="008A73A2"/>
    <w:rsid w:val="008A73C8"/>
    <w:rsid w:val="008A7E5E"/>
    <w:rsid w:val="008B1247"/>
    <w:rsid w:val="008B157F"/>
    <w:rsid w:val="008B2ABF"/>
    <w:rsid w:val="008B2B9E"/>
    <w:rsid w:val="008B645E"/>
    <w:rsid w:val="008B654C"/>
    <w:rsid w:val="008B65DD"/>
    <w:rsid w:val="008B7A2A"/>
    <w:rsid w:val="008C0483"/>
    <w:rsid w:val="008C0AA6"/>
    <w:rsid w:val="008C18DC"/>
    <w:rsid w:val="008C22B4"/>
    <w:rsid w:val="008C234D"/>
    <w:rsid w:val="008C25E4"/>
    <w:rsid w:val="008C2DAE"/>
    <w:rsid w:val="008C33A8"/>
    <w:rsid w:val="008C35B8"/>
    <w:rsid w:val="008C3A00"/>
    <w:rsid w:val="008C4848"/>
    <w:rsid w:val="008C62FA"/>
    <w:rsid w:val="008C6372"/>
    <w:rsid w:val="008C703C"/>
    <w:rsid w:val="008C7774"/>
    <w:rsid w:val="008C77E0"/>
    <w:rsid w:val="008D03AE"/>
    <w:rsid w:val="008D106E"/>
    <w:rsid w:val="008D13C8"/>
    <w:rsid w:val="008D2D48"/>
    <w:rsid w:val="008D2E59"/>
    <w:rsid w:val="008D35AB"/>
    <w:rsid w:val="008D5860"/>
    <w:rsid w:val="008D5BB1"/>
    <w:rsid w:val="008D6157"/>
    <w:rsid w:val="008D76BB"/>
    <w:rsid w:val="008E00BF"/>
    <w:rsid w:val="008E03FD"/>
    <w:rsid w:val="008E3029"/>
    <w:rsid w:val="008E36DB"/>
    <w:rsid w:val="008E4885"/>
    <w:rsid w:val="008E4891"/>
    <w:rsid w:val="008E48BA"/>
    <w:rsid w:val="008E55BA"/>
    <w:rsid w:val="008E66EE"/>
    <w:rsid w:val="008E683D"/>
    <w:rsid w:val="008E6995"/>
    <w:rsid w:val="008F1C5D"/>
    <w:rsid w:val="008F2559"/>
    <w:rsid w:val="008F4B8B"/>
    <w:rsid w:val="008F4DA8"/>
    <w:rsid w:val="008F5C19"/>
    <w:rsid w:val="008F5CCF"/>
    <w:rsid w:val="008F5E92"/>
    <w:rsid w:val="008F5F4B"/>
    <w:rsid w:val="008F6B03"/>
    <w:rsid w:val="008F7A15"/>
    <w:rsid w:val="008F7FC4"/>
    <w:rsid w:val="00900074"/>
    <w:rsid w:val="00900459"/>
    <w:rsid w:val="00900A1A"/>
    <w:rsid w:val="00900C65"/>
    <w:rsid w:val="0090114F"/>
    <w:rsid w:val="00902261"/>
    <w:rsid w:val="00903E7A"/>
    <w:rsid w:val="00904A56"/>
    <w:rsid w:val="00904C0A"/>
    <w:rsid w:val="009059A9"/>
    <w:rsid w:val="009063E7"/>
    <w:rsid w:val="0090753F"/>
    <w:rsid w:val="00910060"/>
    <w:rsid w:val="00910A99"/>
    <w:rsid w:val="00910C00"/>
    <w:rsid w:val="00911363"/>
    <w:rsid w:val="00912F44"/>
    <w:rsid w:val="009151C4"/>
    <w:rsid w:val="009153D4"/>
    <w:rsid w:val="00916078"/>
    <w:rsid w:val="00917B9D"/>
    <w:rsid w:val="00917DF5"/>
    <w:rsid w:val="00920641"/>
    <w:rsid w:val="00920FA8"/>
    <w:rsid w:val="009223BB"/>
    <w:rsid w:val="009232F2"/>
    <w:rsid w:val="00923342"/>
    <w:rsid w:val="009238C5"/>
    <w:rsid w:val="00923B9F"/>
    <w:rsid w:val="00923F44"/>
    <w:rsid w:val="009244AD"/>
    <w:rsid w:val="0092515E"/>
    <w:rsid w:val="009259E1"/>
    <w:rsid w:val="00926A1B"/>
    <w:rsid w:val="009278C5"/>
    <w:rsid w:val="00927A2B"/>
    <w:rsid w:val="00930BA2"/>
    <w:rsid w:val="00931DCD"/>
    <w:rsid w:val="0093328F"/>
    <w:rsid w:val="0093362F"/>
    <w:rsid w:val="00934BF9"/>
    <w:rsid w:val="00934D5D"/>
    <w:rsid w:val="00936293"/>
    <w:rsid w:val="009364F7"/>
    <w:rsid w:val="0093795D"/>
    <w:rsid w:val="009379C8"/>
    <w:rsid w:val="009401C8"/>
    <w:rsid w:val="00940C29"/>
    <w:rsid w:val="0094138F"/>
    <w:rsid w:val="00941557"/>
    <w:rsid w:val="009417F0"/>
    <w:rsid w:val="00941945"/>
    <w:rsid w:val="00941E7E"/>
    <w:rsid w:val="00941F90"/>
    <w:rsid w:val="00941FA7"/>
    <w:rsid w:val="00942026"/>
    <w:rsid w:val="00942840"/>
    <w:rsid w:val="00942FBD"/>
    <w:rsid w:val="009433D2"/>
    <w:rsid w:val="0094680F"/>
    <w:rsid w:val="00946EF3"/>
    <w:rsid w:val="0094770B"/>
    <w:rsid w:val="00947DA1"/>
    <w:rsid w:val="0095098C"/>
    <w:rsid w:val="00952D57"/>
    <w:rsid w:val="00954B84"/>
    <w:rsid w:val="0095500A"/>
    <w:rsid w:val="0095593F"/>
    <w:rsid w:val="00955C94"/>
    <w:rsid w:val="0095723A"/>
    <w:rsid w:val="009573A9"/>
    <w:rsid w:val="009574E5"/>
    <w:rsid w:val="00957F77"/>
    <w:rsid w:val="00960BF3"/>
    <w:rsid w:val="009616D3"/>
    <w:rsid w:val="00961C92"/>
    <w:rsid w:val="009645BE"/>
    <w:rsid w:val="009647EC"/>
    <w:rsid w:val="00965839"/>
    <w:rsid w:val="00965B6F"/>
    <w:rsid w:val="00966BF5"/>
    <w:rsid w:val="00966C0B"/>
    <w:rsid w:val="00967BB4"/>
    <w:rsid w:val="009705DA"/>
    <w:rsid w:val="00970747"/>
    <w:rsid w:val="009715DE"/>
    <w:rsid w:val="00972473"/>
    <w:rsid w:val="00973A19"/>
    <w:rsid w:val="00974BBB"/>
    <w:rsid w:val="00974E61"/>
    <w:rsid w:val="0097613E"/>
    <w:rsid w:val="00976533"/>
    <w:rsid w:val="00976D55"/>
    <w:rsid w:val="009803E8"/>
    <w:rsid w:val="00981C74"/>
    <w:rsid w:val="0098230A"/>
    <w:rsid w:val="00983E8B"/>
    <w:rsid w:val="0098711C"/>
    <w:rsid w:val="00987AA8"/>
    <w:rsid w:val="00987E38"/>
    <w:rsid w:val="00990677"/>
    <w:rsid w:val="0099128D"/>
    <w:rsid w:val="0099187E"/>
    <w:rsid w:val="00991A7D"/>
    <w:rsid w:val="009924BD"/>
    <w:rsid w:val="00993751"/>
    <w:rsid w:val="00993B5C"/>
    <w:rsid w:val="00993E40"/>
    <w:rsid w:val="00995C3B"/>
    <w:rsid w:val="0099769F"/>
    <w:rsid w:val="00997B4C"/>
    <w:rsid w:val="00997B52"/>
    <w:rsid w:val="00997D8E"/>
    <w:rsid w:val="009A08E3"/>
    <w:rsid w:val="009A14E0"/>
    <w:rsid w:val="009A176F"/>
    <w:rsid w:val="009A25E0"/>
    <w:rsid w:val="009A29FB"/>
    <w:rsid w:val="009A2FB6"/>
    <w:rsid w:val="009A36BC"/>
    <w:rsid w:val="009A3BED"/>
    <w:rsid w:val="009A3C86"/>
    <w:rsid w:val="009A3EEF"/>
    <w:rsid w:val="009A4759"/>
    <w:rsid w:val="009A4FF6"/>
    <w:rsid w:val="009A51C2"/>
    <w:rsid w:val="009A5805"/>
    <w:rsid w:val="009A65E1"/>
    <w:rsid w:val="009A7727"/>
    <w:rsid w:val="009A7E99"/>
    <w:rsid w:val="009B0982"/>
    <w:rsid w:val="009B0B07"/>
    <w:rsid w:val="009B11E9"/>
    <w:rsid w:val="009B2267"/>
    <w:rsid w:val="009B2EB0"/>
    <w:rsid w:val="009B3163"/>
    <w:rsid w:val="009B3310"/>
    <w:rsid w:val="009B44BD"/>
    <w:rsid w:val="009B4FB3"/>
    <w:rsid w:val="009B5C76"/>
    <w:rsid w:val="009B6166"/>
    <w:rsid w:val="009B6273"/>
    <w:rsid w:val="009B70F9"/>
    <w:rsid w:val="009B7477"/>
    <w:rsid w:val="009B75F1"/>
    <w:rsid w:val="009C13B9"/>
    <w:rsid w:val="009C1677"/>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5002"/>
    <w:rsid w:val="009D6345"/>
    <w:rsid w:val="009D65B8"/>
    <w:rsid w:val="009D75B1"/>
    <w:rsid w:val="009D7BD2"/>
    <w:rsid w:val="009D7CF3"/>
    <w:rsid w:val="009E03A6"/>
    <w:rsid w:val="009E0AE8"/>
    <w:rsid w:val="009E0E95"/>
    <w:rsid w:val="009E49FA"/>
    <w:rsid w:val="009E4AA0"/>
    <w:rsid w:val="009E4DC7"/>
    <w:rsid w:val="009E5117"/>
    <w:rsid w:val="009E5374"/>
    <w:rsid w:val="009E5BDE"/>
    <w:rsid w:val="009E5CF7"/>
    <w:rsid w:val="009E699F"/>
    <w:rsid w:val="009E7D0C"/>
    <w:rsid w:val="009F0B00"/>
    <w:rsid w:val="009F2A50"/>
    <w:rsid w:val="009F345D"/>
    <w:rsid w:val="009F372A"/>
    <w:rsid w:val="009F406C"/>
    <w:rsid w:val="009F5180"/>
    <w:rsid w:val="009F5383"/>
    <w:rsid w:val="009F57D2"/>
    <w:rsid w:val="009F5E65"/>
    <w:rsid w:val="009F6F1D"/>
    <w:rsid w:val="009F7208"/>
    <w:rsid w:val="00A0143B"/>
    <w:rsid w:val="00A03E09"/>
    <w:rsid w:val="00A03E56"/>
    <w:rsid w:val="00A0434C"/>
    <w:rsid w:val="00A04BB1"/>
    <w:rsid w:val="00A04F22"/>
    <w:rsid w:val="00A050C4"/>
    <w:rsid w:val="00A105B6"/>
    <w:rsid w:val="00A10F42"/>
    <w:rsid w:val="00A112D3"/>
    <w:rsid w:val="00A1302C"/>
    <w:rsid w:val="00A13218"/>
    <w:rsid w:val="00A134D2"/>
    <w:rsid w:val="00A136F7"/>
    <w:rsid w:val="00A13F62"/>
    <w:rsid w:val="00A14622"/>
    <w:rsid w:val="00A146A7"/>
    <w:rsid w:val="00A14AD4"/>
    <w:rsid w:val="00A1501B"/>
    <w:rsid w:val="00A1539D"/>
    <w:rsid w:val="00A154A5"/>
    <w:rsid w:val="00A167E4"/>
    <w:rsid w:val="00A17890"/>
    <w:rsid w:val="00A17CF2"/>
    <w:rsid w:val="00A20021"/>
    <w:rsid w:val="00A205DC"/>
    <w:rsid w:val="00A22579"/>
    <w:rsid w:val="00A227A3"/>
    <w:rsid w:val="00A22823"/>
    <w:rsid w:val="00A234FD"/>
    <w:rsid w:val="00A245AB"/>
    <w:rsid w:val="00A24A70"/>
    <w:rsid w:val="00A250D6"/>
    <w:rsid w:val="00A25F96"/>
    <w:rsid w:val="00A260F0"/>
    <w:rsid w:val="00A2612D"/>
    <w:rsid w:val="00A279A7"/>
    <w:rsid w:val="00A27E73"/>
    <w:rsid w:val="00A30780"/>
    <w:rsid w:val="00A31010"/>
    <w:rsid w:val="00A3128F"/>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305D"/>
    <w:rsid w:val="00A430ED"/>
    <w:rsid w:val="00A431A2"/>
    <w:rsid w:val="00A43DBC"/>
    <w:rsid w:val="00A446A5"/>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16D"/>
    <w:rsid w:val="00A63334"/>
    <w:rsid w:val="00A64F9C"/>
    <w:rsid w:val="00A653DC"/>
    <w:rsid w:val="00A67F12"/>
    <w:rsid w:val="00A70BAE"/>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2333"/>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A024A"/>
    <w:rsid w:val="00AA0C67"/>
    <w:rsid w:val="00AA14FC"/>
    <w:rsid w:val="00AA1B8D"/>
    <w:rsid w:val="00AA3DF1"/>
    <w:rsid w:val="00AA5751"/>
    <w:rsid w:val="00AA5AB6"/>
    <w:rsid w:val="00AA5DF5"/>
    <w:rsid w:val="00AA66D0"/>
    <w:rsid w:val="00AA69CE"/>
    <w:rsid w:val="00AA7A96"/>
    <w:rsid w:val="00AA7AFA"/>
    <w:rsid w:val="00AB0CA9"/>
    <w:rsid w:val="00AB232A"/>
    <w:rsid w:val="00AB4541"/>
    <w:rsid w:val="00AB4951"/>
    <w:rsid w:val="00AB49AB"/>
    <w:rsid w:val="00AB533B"/>
    <w:rsid w:val="00AB5653"/>
    <w:rsid w:val="00AB61F8"/>
    <w:rsid w:val="00AB73FC"/>
    <w:rsid w:val="00AC07E6"/>
    <w:rsid w:val="00AC07F1"/>
    <w:rsid w:val="00AC1C79"/>
    <w:rsid w:val="00AC3603"/>
    <w:rsid w:val="00AC5BA6"/>
    <w:rsid w:val="00AC6729"/>
    <w:rsid w:val="00AC6AE5"/>
    <w:rsid w:val="00AC6B8A"/>
    <w:rsid w:val="00AC7E21"/>
    <w:rsid w:val="00AD0595"/>
    <w:rsid w:val="00AD0650"/>
    <w:rsid w:val="00AD0AE9"/>
    <w:rsid w:val="00AD0EFD"/>
    <w:rsid w:val="00AD0F59"/>
    <w:rsid w:val="00AD1FB4"/>
    <w:rsid w:val="00AD2992"/>
    <w:rsid w:val="00AD2D43"/>
    <w:rsid w:val="00AD3CE9"/>
    <w:rsid w:val="00AD3EB7"/>
    <w:rsid w:val="00AD49CD"/>
    <w:rsid w:val="00AD6525"/>
    <w:rsid w:val="00AD6EB6"/>
    <w:rsid w:val="00AD6FC1"/>
    <w:rsid w:val="00AD751E"/>
    <w:rsid w:val="00AE109C"/>
    <w:rsid w:val="00AE14CA"/>
    <w:rsid w:val="00AE2219"/>
    <w:rsid w:val="00AE2A59"/>
    <w:rsid w:val="00AE2D1A"/>
    <w:rsid w:val="00AE2EA2"/>
    <w:rsid w:val="00AE3C1B"/>
    <w:rsid w:val="00AE402D"/>
    <w:rsid w:val="00AE43C7"/>
    <w:rsid w:val="00AE5291"/>
    <w:rsid w:val="00AE6660"/>
    <w:rsid w:val="00AE672A"/>
    <w:rsid w:val="00AF0D9D"/>
    <w:rsid w:val="00AF27AC"/>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101C9"/>
    <w:rsid w:val="00B108EC"/>
    <w:rsid w:val="00B10EA9"/>
    <w:rsid w:val="00B119AF"/>
    <w:rsid w:val="00B1295D"/>
    <w:rsid w:val="00B13A85"/>
    <w:rsid w:val="00B14F8E"/>
    <w:rsid w:val="00B153DB"/>
    <w:rsid w:val="00B17032"/>
    <w:rsid w:val="00B205B9"/>
    <w:rsid w:val="00B2068E"/>
    <w:rsid w:val="00B20B9E"/>
    <w:rsid w:val="00B21D97"/>
    <w:rsid w:val="00B22316"/>
    <w:rsid w:val="00B23624"/>
    <w:rsid w:val="00B24EE0"/>
    <w:rsid w:val="00B25892"/>
    <w:rsid w:val="00B25F54"/>
    <w:rsid w:val="00B2601D"/>
    <w:rsid w:val="00B26242"/>
    <w:rsid w:val="00B26989"/>
    <w:rsid w:val="00B27AB1"/>
    <w:rsid w:val="00B27B64"/>
    <w:rsid w:val="00B30CFD"/>
    <w:rsid w:val="00B3105C"/>
    <w:rsid w:val="00B31256"/>
    <w:rsid w:val="00B315A0"/>
    <w:rsid w:val="00B32336"/>
    <w:rsid w:val="00B33709"/>
    <w:rsid w:val="00B33898"/>
    <w:rsid w:val="00B34756"/>
    <w:rsid w:val="00B34A18"/>
    <w:rsid w:val="00B35466"/>
    <w:rsid w:val="00B35FF3"/>
    <w:rsid w:val="00B362A8"/>
    <w:rsid w:val="00B3694E"/>
    <w:rsid w:val="00B37061"/>
    <w:rsid w:val="00B37182"/>
    <w:rsid w:val="00B37BA4"/>
    <w:rsid w:val="00B37DA4"/>
    <w:rsid w:val="00B45795"/>
    <w:rsid w:val="00B460F5"/>
    <w:rsid w:val="00B468CE"/>
    <w:rsid w:val="00B47662"/>
    <w:rsid w:val="00B47A0A"/>
    <w:rsid w:val="00B47A2B"/>
    <w:rsid w:val="00B47E10"/>
    <w:rsid w:val="00B512D2"/>
    <w:rsid w:val="00B5204A"/>
    <w:rsid w:val="00B52876"/>
    <w:rsid w:val="00B5318A"/>
    <w:rsid w:val="00B5364F"/>
    <w:rsid w:val="00B55BCE"/>
    <w:rsid w:val="00B56679"/>
    <w:rsid w:val="00B579CB"/>
    <w:rsid w:val="00B60835"/>
    <w:rsid w:val="00B60B96"/>
    <w:rsid w:val="00B61B3F"/>
    <w:rsid w:val="00B6236E"/>
    <w:rsid w:val="00B62468"/>
    <w:rsid w:val="00B626CD"/>
    <w:rsid w:val="00B6428C"/>
    <w:rsid w:val="00B677D9"/>
    <w:rsid w:val="00B67EE6"/>
    <w:rsid w:val="00B70083"/>
    <w:rsid w:val="00B7171B"/>
    <w:rsid w:val="00B71B58"/>
    <w:rsid w:val="00B7366D"/>
    <w:rsid w:val="00B75CAF"/>
    <w:rsid w:val="00B75FDB"/>
    <w:rsid w:val="00B76AA6"/>
    <w:rsid w:val="00B77030"/>
    <w:rsid w:val="00B77650"/>
    <w:rsid w:val="00B77808"/>
    <w:rsid w:val="00B77B67"/>
    <w:rsid w:val="00B8005A"/>
    <w:rsid w:val="00B821BB"/>
    <w:rsid w:val="00B82EC1"/>
    <w:rsid w:val="00B83775"/>
    <w:rsid w:val="00B837A3"/>
    <w:rsid w:val="00B83AD6"/>
    <w:rsid w:val="00B8400C"/>
    <w:rsid w:val="00B84445"/>
    <w:rsid w:val="00B8707C"/>
    <w:rsid w:val="00B87B18"/>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5CBA"/>
    <w:rsid w:val="00BD60E7"/>
    <w:rsid w:val="00BD6DB2"/>
    <w:rsid w:val="00BD75DB"/>
    <w:rsid w:val="00BD778B"/>
    <w:rsid w:val="00BE05CF"/>
    <w:rsid w:val="00BE07A3"/>
    <w:rsid w:val="00BE08B5"/>
    <w:rsid w:val="00BE0A0F"/>
    <w:rsid w:val="00BE0C6F"/>
    <w:rsid w:val="00BE1BA2"/>
    <w:rsid w:val="00BE2287"/>
    <w:rsid w:val="00BE2571"/>
    <w:rsid w:val="00BE27BC"/>
    <w:rsid w:val="00BE3240"/>
    <w:rsid w:val="00BE48CD"/>
    <w:rsid w:val="00BE67F0"/>
    <w:rsid w:val="00BE69F0"/>
    <w:rsid w:val="00BF09C3"/>
    <w:rsid w:val="00BF0D31"/>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FC6"/>
    <w:rsid w:val="00C0407F"/>
    <w:rsid w:val="00C04BC6"/>
    <w:rsid w:val="00C06E57"/>
    <w:rsid w:val="00C06F03"/>
    <w:rsid w:val="00C07033"/>
    <w:rsid w:val="00C07DBD"/>
    <w:rsid w:val="00C1039F"/>
    <w:rsid w:val="00C10514"/>
    <w:rsid w:val="00C118DC"/>
    <w:rsid w:val="00C13145"/>
    <w:rsid w:val="00C13B23"/>
    <w:rsid w:val="00C13F4F"/>
    <w:rsid w:val="00C14316"/>
    <w:rsid w:val="00C14B83"/>
    <w:rsid w:val="00C14D49"/>
    <w:rsid w:val="00C16883"/>
    <w:rsid w:val="00C17496"/>
    <w:rsid w:val="00C2010A"/>
    <w:rsid w:val="00C21A80"/>
    <w:rsid w:val="00C2206E"/>
    <w:rsid w:val="00C22215"/>
    <w:rsid w:val="00C22635"/>
    <w:rsid w:val="00C2327D"/>
    <w:rsid w:val="00C23752"/>
    <w:rsid w:val="00C2406E"/>
    <w:rsid w:val="00C2427E"/>
    <w:rsid w:val="00C24303"/>
    <w:rsid w:val="00C26062"/>
    <w:rsid w:val="00C26079"/>
    <w:rsid w:val="00C263E4"/>
    <w:rsid w:val="00C303C3"/>
    <w:rsid w:val="00C3045E"/>
    <w:rsid w:val="00C309E0"/>
    <w:rsid w:val="00C31C53"/>
    <w:rsid w:val="00C33E5A"/>
    <w:rsid w:val="00C342C9"/>
    <w:rsid w:val="00C34538"/>
    <w:rsid w:val="00C34747"/>
    <w:rsid w:val="00C35A35"/>
    <w:rsid w:val="00C35EBF"/>
    <w:rsid w:val="00C36222"/>
    <w:rsid w:val="00C363F1"/>
    <w:rsid w:val="00C36C76"/>
    <w:rsid w:val="00C378FE"/>
    <w:rsid w:val="00C37A25"/>
    <w:rsid w:val="00C42674"/>
    <w:rsid w:val="00C42F6F"/>
    <w:rsid w:val="00C43428"/>
    <w:rsid w:val="00C43683"/>
    <w:rsid w:val="00C45173"/>
    <w:rsid w:val="00C4545A"/>
    <w:rsid w:val="00C45513"/>
    <w:rsid w:val="00C45606"/>
    <w:rsid w:val="00C467C8"/>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4413"/>
    <w:rsid w:val="00C7449E"/>
    <w:rsid w:val="00C74DB0"/>
    <w:rsid w:val="00C75087"/>
    <w:rsid w:val="00C7659C"/>
    <w:rsid w:val="00C80619"/>
    <w:rsid w:val="00C81415"/>
    <w:rsid w:val="00C81805"/>
    <w:rsid w:val="00C819DA"/>
    <w:rsid w:val="00C820C3"/>
    <w:rsid w:val="00C8303A"/>
    <w:rsid w:val="00C83F9B"/>
    <w:rsid w:val="00C8597B"/>
    <w:rsid w:val="00C85CDC"/>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E3E"/>
    <w:rsid w:val="00CA1563"/>
    <w:rsid w:val="00CA1CC4"/>
    <w:rsid w:val="00CA1EF7"/>
    <w:rsid w:val="00CA3288"/>
    <w:rsid w:val="00CA3881"/>
    <w:rsid w:val="00CA47B8"/>
    <w:rsid w:val="00CA4BD3"/>
    <w:rsid w:val="00CA6702"/>
    <w:rsid w:val="00CA6C66"/>
    <w:rsid w:val="00CB0294"/>
    <w:rsid w:val="00CB19D4"/>
    <w:rsid w:val="00CB1C4F"/>
    <w:rsid w:val="00CB2726"/>
    <w:rsid w:val="00CB3186"/>
    <w:rsid w:val="00CB3FB1"/>
    <w:rsid w:val="00CB5586"/>
    <w:rsid w:val="00CB6134"/>
    <w:rsid w:val="00CB627D"/>
    <w:rsid w:val="00CB6FE0"/>
    <w:rsid w:val="00CC000A"/>
    <w:rsid w:val="00CC01F6"/>
    <w:rsid w:val="00CC0661"/>
    <w:rsid w:val="00CC217C"/>
    <w:rsid w:val="00CC24F5"/>
    <w:rsid w:val="00CC3282"/>
    <w:rsid w:val="00CC3682"/>
    <w:rsid w:val="00CC3A48"/>
    <w:rsid w:val="00CC555A"/>
    <w:rsid w:val="00CC5EED"/>
    <w:rsid w:val="00CD188E"/>
    <w:rsid w:val="00CD1C73"/>
    <w:rsid w:val="00CD1D81"/>
    <w:rsid w:val="00CD27F9"/>
    <w:rsid w:val="00CD3D1A"/>
    <w:rsid w:val="00CD426B"/>
    <w:rsid w:val="00CD689A"/>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1AE6"/>
    <w:rsid w:val="00CF2A10"/>
    <w:rsid w:val="00CF2C2B"/>
    <w:rsid w:val="00CF2C6E"/>
    <w:rsid w:val="00CF3397"/>
    <w:rsid w:val="00CF43B6"/>
    <w:rsid w:val="00CF5814"/>
    <w:rsid w:val="00CF5D9F"/>
    <w:rsid w:val="00CF61FB"/>
    <w:rsid w:val="00CF62A2"/>
    <w:rsid w:val="00CF67EB"/>
    <w:rsid w:val="00CF745D"/>
    <w:rsid w:val="00CF7979"/>
    <w:rsid w:val="00D00038"/>
    <w:rsid w:val="00D026B6"/>
    <w:rsid w:val="00D02F95"/>
    <w:rsid w:val="00D0611E"/>
    <w:rsid w:val="00D0731E"/>
    <w:rsid w:val="00D103B6"/>
    <w:rsid w:val="00D10CBB"/>
    <w:rsid w:val="00D1107C"/>
    <w:rsid w:val="00D13B2B"/>
    <w:rsid w:val="00D15AEB"/>
    <w:rsid w:val="00D160CB"/>
    <w:rsid w:val="00D16F43"/>
    <w:rsid w:val="00D17B8F"/>
    <w:rsid w:val="00D201A6"/>
    <w:rsid w:val="00D2050B"/>
    <w:rsid w:val="00D206C3"/>
    <w:rsid w:val="00D22DA6"/>
    <w:rsid w:val="00D23E63"/>
    <w:rsid w:val="00D245A1"/>
    <w:rsid w:val="00D24D73"/>
    <w:rsid w:val="00D24E55"/>
    <w:rsid w:val="00D25CC8"/>
    <w:rsid w:val="00D268F3"/>
    <w:rsid w:val="00D302CE"/>
    <w:rsid w:val="00D31278"/>
    <w:rsid w:val="00D31409"/>
    <w:rsid w:val="00D31C30"/>
    <w:rsid w:val="00D32A47"/>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539F"/>
    <w:rsid w:val="00D4727D"/>
    <w:rsid w:val="00D475F4"/>
    <w:rsid w:val="00D50BB9"/>
    <w:rsid w:val="00D51685"/>
    <w:rsid w:val="00D52AA9"/>
    <w:rsid w:val="00D534C9"/>
    <w:rsid w:val="00D535A9"/>
    <w:rsid w:val="00D53944"/>
    <w:rsid w:val="00D549B1"/>
    <w:rsid w:val="00D54A47"/>
    <w:rsid w:val="00D57862"/>
    <w:rsid w:val="00D57AB8"/>
    <w:rsid w:val="00D619D6"/>
    <w:rsid w:val="00D61C61"/>
    <w:rsid w:val="00D629B8"/>
    <w:rsid w:val="00D63371"/>
    <w:rsid w:val="00D633E7"/>
    <w:rsid w:val="00D647C3"/>
    <w:rsid w:val="00D67522"/>
    <w:rsid w:val="00D677A7"/>
    <w:rsid w:val="00D71788"/>
    <w:rsid w:val="00D72430"/>
    <w:rsid w:val="00D72597"/>
    <w:rsid w:val="00D72DC8"/>
    <w:rsid w:val="00D72DDC"/>
    <w:rsid w:val="00D73142"/>
    <w:rsid w:val="00D73DDA"/>
    <w:rsid w:val="00D7462E"/>
    <w:rsid w:val="00D749FF"/>
    <w:rsid w:val="00D751EA"/>
    <w:rsid w:val="00D755B7"/>
    <w:rsid w:val="00D75AFF"/>
    <w:rsid w:val="00D75D67"/>
    <w:rsid w:val="00D76E4A"/>
    <w:rsid w:val="00D7776A"/>
    <w:rsid w:val="00D803EF"/>
    <w:rsid w:val="00D812B8"/>
    <w:rsid w:val="00D8194D"/>
    <w:rsid w:val="00D81FD6"/>
    <w:rsid w:val="00D82516"/>
    <w:rsid w:val="00D82766"/>
    <w:rsid w:val="00D84D91"/>
    <w:rsid w:val="00D852AF"/>
    <w:rsid w:val="00D85F2C"/>
    <w:rsid w:val="00D87A0A"/>
    <w:rsid w:val="00D90262"/>
    <w:rsid w:val="00D90922"/>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B5B"/>
    <w:rsid w:val="00DA2E72"/>
    <w:rsid w:val="00DA46C2"/>
    <w:rsid w:val="00DA578B"/>
    <w:rsid w:val="00DA5D46"/>
    <w:rsid w:val="00DA6127"/>
    <w:rsid w:val="00DA6334"/>
    <w:rsid w:val="00DA6FAA"/>
    <w:rsid w:val="00DA7175"/>
    <w:rsid w:val="00DA7BE0"/>
    <w:rsid w:val="00DA7C0C"/>
    <w:rsid w:val="00DB10A8"/>
    <w:rsid w:val="00DB19FD"/>
    <w:rsid w:val="00DB442F"/>
    <w:rsid w:val="00DB4B63"/>
    <w:rsid w:val="00DB52BE"/>
    <w:rsid w:val="00DB60E4"/>
    <w:rsid w:val="00DB623C"/>
    <w:rsid w:val="00DB7060"/>
    <w:rsid w:val="00DB787B"/>
    <w:rsid w:val="00DC0921"/>
    <w:rsid w:val="00DC0D32"/>
    <w:rsid w:val="00DC10B9"/>
    <w:rsid w:val="00DC1D97"/>
    <w:rsid w:val="00DC2BDC"/>
    <w:rsid w:val="00DC30C3"/>
    <w:rsid w:val="00DC34DB"/>
    <w:rsid w:val="00DC40CE"/>
    <w:rsid w:val="00DC41BA"/>
    <w:rsid w:val="00DC49DD"/>
    <w:rsid w:val="00DC5FC9"/>
    <w:rsid w:val="00DC6804"/>
    <w:rsid w:val="00DC6EAD"/>
    <w:rsid w:val="00DC7020"/>
    <w:rsid w:val="00DC7204"/>
    <w:rsid w:val="00DC7854"/>
    <w:rsid w:val="00DD0118"/>
    <w:rsid w:val="00DD02FD"/>
    <w:rsid w:val="00DD06AD"/>
    <w:rsid w:val="00DD11D8"/>
    <w:rsid w:val="00DD17D4"/>
    <w:rsid w:val="00DD24F7"/>
    <w:rsid w:val="00DD51C7"/>
    <w:rsid w:val="00DD6086"/>
    <w:rsid w:val="00DD65A4"/>
    <w:rsid w:val="00DD6B53"/>
    <w:rsid w:val="00DD71E2"/>
    <w:rsid w:val="00DE0698"/>
    <w:rsid w:val="00DE0F22"/>
    <w:rsid w:val="00DE1179"/>
    <w:rsid w:val="00DE1A73"/>
    <w:rsid w:val="00DE37B5"/>
    <w:rsid w:val="00DE43CA"/>
    <w:rsid w:val="00DE542C"/>
    <w:rsid w:val="00DE5D75"/>
    <w:rsid w:val="00DE6208"/>
    <w:rsid w:val="00DE6299"/>
    <w:rsid w:val="00DE63F0"/>
    <w:rsid w:val="00DE67E9"/>
    <w:rsid w:val="00DF0404"/>
    <w:rsid w:val="00DF1D6D"/>
    <w:rsid w:val="00DF2386"/>
    <w:rsid w:val="00DF47CD"/>
    <w:rsid w:val="00DF4AA4"/>
    <w:rsid w:val="00DF64E5"/>
    <w:rsid w:val="00DF7909"/>
    <w:rsid w:val="00DF7BE2"/>
    <w:rsid w:val="00DF7FE7"/>
    <w:rsid w:val="00E00083"/>
    <w:rsid w:val="00E012F0"/>
    <w:rsid w:val="00E01342"/>
    <w:rsid w:val="00E02B6E"/>
    <w:rsid w:val="00E02E40"/>
    <w:rsid w:val="00E03835"/>
    <w:rsid w:val="00E03A76"/>
    <w:rsid w:val="00E03EC9"/>
    <w:rsid w:val="00E04803"/>
    <w:rsid w:val="00E0497A"/>
    <w:rsid w:val="00E06DA9"/>
    <w:rsid w:val="00E10665"/>
    <w:rsid w:val="00E10D99"/>
    <w:rsid w:val="00E12F8F"/>
    <w:rsid w:val="00E14B58"/>
    <w:rsid w:val="00E14EFF"/>
    <w:rsid w:val="00E1551C"/>
    <w:rsid w:val="00E15F60"/>
    <w:rsid w:val="00E16A60"/>
    <w:rsid w:val="00E16CC2"/>
    <w:rsid w:val="00E21282"/>
    <w:rsid w:val="00E215B3"/>
    <w:rsid w:val="00E227DA"/>
    <w:rsid w:val="00E2282D"/>
    <w:rsid w:val="00E2327D"/>
    <w:rsid w:val="00E246D8"/>
    <w:rsid w:val="00E253A0"/>
    <w:rsid w:val="00E25888"/>
    <w:rsid w:val="00E275A6"/>
    <w:rsid w:val="00E27915"/>
    <w:rsid w:val="00E27D44"/>
    <w:rsid w:val="00E27EBA"/>
    <w:rsid w:val="00E3014F"/>
    <w:rsid w:val="00E308E6"/>
    <w:rsid w:val="00E31C01"/>
    <w:rsid w:val="00E32440"/>
    <w:rsid w:val="00E337BF"/>
    <w:rsid w:val="00E33B83"/>
    <w:rsid w:val="00E35DD4"/>
    <w:rsid w:val="00E3621C"/>
    <w:rsid w:val="00E36F84"/>
    <w:rsid w:val="00E3725C"/>
    <w:rsid w:val="00E37BA7"/>
    <w:rsid w:val="00E37FD9"/>
    <w:rsid w:val="00E40A72"/>
    <w:rsid w:val="00E41079"/>
    <w:rsid w:val="00E414A4"/>
    <w:rsid w:val="00E42115"/>
    <w:rsid w:val="00E42F5B"/>
    <w:rsid w:val="00E43E6D"/>
    <w:rsid w:val="00E43F8B"/>
    <w:rsid w:val="00E4405A"/>
    <w:rsid w:val="00E46367"/>
    <w:rsid w:val="00E472B8"/>
    <w:rsid w:val="00E474AC"/>
    <w:rsid w:val="00E509AF"/>
    <w:rsid w:val="00E523FF"/>
    <w:rsid w:val="00E526F8"/>
    <w:rsid w:val="00E53B79"/>
    <w:rsid w:val="00E53CE6"/>
    <w:rsid w:val="00E57506"/>
    <w:rsid w:val="00E61CC2"/>
    <w:rsid w:val="00E625A0"/>
    <w:rsid w:val="00E62FBE"/>
    <w:rsid w:val="00E63735"/>
    <w:rsid w:val="00E63F0B"/>
    <w:rsid w:val="00E64550"/>
    <w:rsid w:val="00E64581"/>
    <w:rsid w:val="00E64BA3"/>
    <w:rsid w:val="00E651BE"/>
    <w:rsid w:val="00E658F0"/>
    <w:rsid w:val="00E6689D"/>
    <w:rsid w:val="00E675AE"/>
    <w:rsid w:val="00E7033E"/>
    <w:rsid w:val="00E71602"/>
    <w:rsid w:val="00E72C60"/>
    <w:rsid w:val="00E736EE"/>
    <w:rsid w:val="00E74CDB"/>
    <w:rsid w:val="00E74FC5"/>
    <w:rsid w:val="00E755EA"/>
    <w:rsid w:val="00E75E9F"/>
    <w:rsid w:val="00E7726B"/>
    <w:rsid w:val="00E772E5"/>
    <w:rsid w:val="00E8159A"/>
    <w:rsid w:val="00E822EB"/>
    <w:rsid w:val="00E8249B"/>
    <w:rsid w:val="00E8377D"/>
    <w:rsid w:val="00E84205"/>
    <w:rsid w:val="00E8596C"/>
    <w:rsid w:val="00E86878"/>
    <w:rsid w:val="00E869E4"/>
    <w:rsid w:val="00E911FD"/>
    <w:rsid w:val="00E9130A"/>
    <w:rsid w:val="00E91F83"/>
    <w:rsid w:val="00E920F4"/>
    <w:rsid w:val="00E921A2"/>
    <w:rsid w:val="00E92342"/>
    <w:rsid w:val="00E92730"/>
    <w:rsid w:val="00E92DCD"/>
    <w:rsid w:val="00E93B56"/>
    <w:rsid w:val="00E93BB6"/>
    <w:rsid w:val="00E94759"/>
    <w:rsid w:val="00E950BB"/>
    <w:rsid w:val="00E95665"/>
    <w:rsid w:val="00E95D43"/>
    <w:rsid w:val="00E95F52"/>
    <w:rsid w:val="00E97CCB"/>
    <w:rsid w:val="00EA012D"/>
    <w:rsid w:val="00EA0263"/>
    <w:rsid w:val="00EA0987"/>
    <w:rsid w:val="00EA1333"/>
    <w:rsid w:val="00EA13DA"/>
    <w:rsid w:val="00EA1FF6"/>
    <w:rsid w:val="00EA2765"/>
    <w:rsid w:val="00EA33CB"/>
    <w:rsid w:val="00EA3486"/>
    <w:rsid w:val="00EA3637"/>
    <w:rsid w:val="00EA3A7F"/>
    <w:rsid w:val="00EA3FC2"/>
    <w:rsid w:val="00EA444A"/>
    <w:rsid w:val="00EA44B5"/>
    <w:rsid w:val="00EA4DD8"/>
    <w:rsid w:val="00EA683B"/>
    <w:rsid w:val="00EA782A"/>
    <w:rsid w:val="00EB1034"/>
    <w:rsid w:val="00EB151B"/>
    <w:rsid w:val="00EB2FE6"/>
    <w:rsid w:val="00EB4CBD"/>
    <w:rsid w:val="00EB642F"/>
    <w:rsid w:val="00EB6F37"/>
    <w:rsid w:val="00EB7DA6"/>
    <w:rsid w:val="00EC0504"/>
    <w:rsid w:val="00EC0525"/>
    <w:rsid w:val="00EC063B"/>
    <w:rsid w:val="00EC1205"/>
    <w:rsid w:val="00EC13B3"/>
    <w:rsid w:val="00EC1696"/>
    <w:rsid w:val="00EC1AA4"/>
    <w:rsid w:val="00EC32C4"/>
    <w:rsid w:val="00EC3671"/>
    <w:rsid w:val="00EC4FE8"/>
    <w:rsid w:val="00EC61E0"/>
    <w:rsid w:val="00EC6CBC"/>
    <w:rsid w:val="00EC72B0"/>
    <w:rsid w:val="00ED018D"/>
    <w:rsid w:val="00ED1169"/>
    <w:rsid w:val="00ED13F4"/>
    <w:rsid w:val="00ED1F5E"/>
    <w:rsid w:val="00ED36F8"/>
    <w:rsid w:val="00ED39D8"/>
    <w:rsid w:val="00ED4690"/>
    <w:rsid w:val="00ED49D6"/>
    <w:rsid w:val="00ED555B"/>
    <w:rsid w:val="00ED6057"/>
    <w:rsid w:val="00ED620B"/>
    <w:rsid w:val="00ED64A9"/>
    <w:rsid w:val="00ED64C2"/>
    <w:rsid w:val="00ED72A8"/>
    <w:rsid w:val="00ED7BB2"/>
    <w:rsid w:val="00EE0EB6"/>
    <w:rsid w:val="00EE309D"/>
    <w:rsid w:val="00EE31AB"/>
    <w:rsid w:val="00EE458C"/>
    <w:rsid w:val="00EE484E"/>
    <w:rsid w:val="00EE4EE3"/>
    <w:rsid w:val="00EE63B0"/>
    <w:rsid w:val="00EE7199"/>
    <w:rsid w:val="00EF08F0"/>
    <w:rsid w:val="00EF0AB8"/>
    <w:rsid w:val="00EF17AC"/>
    <w:rsid w:val="00EF29EA"/>
    <w:rsid w:val="00EF56B7"/>
    <w:rsid w:val="00EF5C41"/>
    <w:rsid w:val="00EF5C9D"/>
    <w:rsid w:val="00EF5E91"/>
    <w:rsid w:val="00EF666E"/>
    <w:rsid w:val="00EF7872"/>
    <w:rsid w:val="00F02473"/>
    <w:rsid w:val="00F02552"/>
    <w:rsid w:val="00F02661"/>
    <w:rsid w:val="00F02CE6"/>
    <w:rsid w:val="00F03C83"/>
    <w:rsid w:val="00F04266"/>
    <w:rsid w:val="00F05760"/>
    <w:rsid w:val="00F05E48"/>
    <w:rsid w:val="00F05E6F"/>
    <w:rsid w:val="00F078F1"/>
    <w:rsid w:val="00F1054B"/>
    <w:rsid w:val="00F117D1"/>
    <w:rsid w:val="00F1291E"/>
    <w:rsid w:val="00F12D14"/>
    <w:rsid w:val="00F12DEB"/>
    <w:rsid w:val="00F14EB2"/>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F55"/>
    <w:rsid w:val="00F30BFA"/>
    <w:rsid w:val="00F32065"/>
    <w:rsid w:val="00F32A17"/>
    <w:rsid w:val="00F32D03"/>
    <w:rsid w:val="00F32D5B"/>
    <w:rsid w:val="00F3443C"/>
    <w:rsid w:val="00F344DE"/>
    <w:rsid w:val="00F36780"/>
    <w:rsid w:val="00F36F5F"/>
    <w:rsid w:val="00F36FA4"/>
    <w:rsid w:val="00F36FEB"/>
    <w:rsid w:val="00F376CC"/>
    <w:rsid w:val="00F377C8"/>
    <w:rsid w:val="00F4390C"/>
    <w:rsid w:val="00F43CEA"/>
    <w:rsid w:val="00F440F9"/>
    <w:rsid w:val="00F442BD"/>
    <w:rsid w:val="00F44D2C"/>
    <w:rsid w:val="00F45CC2"/>
    <w:rsid w:val="00F4778D"/>
    <w:rsid w:val="00F51E7B"/>
    <w:rsid w:val="00F534C1"/>
    <w:rsid w:val="00F5393C"/>
    <w:rsid w:val="00F53F39"/>
    <w:rsid w:val="00F53F92"/>
    <w:rsid w:val="00F547A8"/>
    <w:rsid w:val="00F54855"/>
    <w:rsid w:val="00F55052"/>
    <w:rsid w:val="00F551D6"/>
    <w:rsid w:val="00F55389"/>
    <w:rsid w:val="00F553CC"/>
    <w:rsid w:val="00F5542F"/>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F79"/>
    <w:rsid w:val="00F769B0"/>
    <w:rsid w:val="00F76A53"/>
    <w:rsid w:val="00F81721"/>
    <w:rsid w:val="00F8252A"/>
    <w:rsid w:val="00F82F05"/>
    <w:rsid w:val="00F83985"/>
    <w:rsid w:val="00F83C91"/>
    <w:rsid w:val="00F83EC8"/>
    <w:rsid w:val="00F845D3"/>
    <w:rsid w:val="00F84BD4"/>
    <w:rsid w:val="00F852B9"/>
    <w:rsid w:val="00F861A9"/>
    <w:rsid w:val="00F86933"/>
    <w:rsid w:val="00F90439"/>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2D8"/>
    <w:rsid w:val="00FA553B"/>
    <w:rsid w:val="00FA7271"/>
    <w:rsid w:val="00FA7A26"/>
    <w:rsid w:val="00FB03BD"/>
    <w:rsid w:val="00FB0D9D"/>
    <w:rsid w:val="00FB187B"/>
    <w:rsid w:val="00FB19B9"/>
    <w:rsid w:val="00FB1F2D"/>
    <w:rsid w:val="00FB2057"/>
    <w:rsid w:val="00FB41AD"/>
    <w:rsid w:val="00FB5403"/>
    <w:rsid w:val="00FB5632"/>
    <w:rsid w:val="00FB584E"/>
    <w:rsid w:val="00FB5B4B"/>
    <w:rsid w:val="00FB620F"/>
    <w:rsid w:val="00FB66C4"/>
    <w:rsid w:val="00FB6AC8"/>
    <w:rsid w:val="00FB7688"/>
    <w:rsid w:val="00FB7B82"/>
    <w:rsid w:val="00FB7D22"/>
    <w:rsid w:val="00FC0BF5"/>
    <w:rsid w:val="00FC192D"/>
    <w:rsid w:val="00FC26C2"/>
    <w:rsid w:val="00FC40CB"/>
    <w:rsid w:val="00FC462B"/>
    <w:rsid w:val="00FC51FB"/>
    <w:rsid w:val="00FC5AAA"/>
    <w:rsid w:val="00FD2082"/>
    <w:rsid w:val="00FD2E2F"/>
    <w:rsid w:val="00FD30C7"/>
    <w:rsid w:val="00FD3719"/>
    <w:rsid w:val="00FD47F3"/>
    <w:rsid w:val="00FD4F37"/>
    <w:rsid w:val="00FD5106"/>
    <w:rsid w:val="00FD5E8C"/>
    <w:rsid w:val="00FD67D3"/>
    <w:rsid w:val="00FD7E3B"/>
    <w:rsid w:val="00FE0913"/>
    <w:rsid w:val="00FE1016"/>
    <w:rsid w:val="00FE2266"/>
    <w:rsid w:val="00FE3C89"/>
    <w:rsid w:val="00FE4857"/>
    <w:rsid w:val="00FE657F"/>
    <w:rsid w:val="00FE7466"/>
    <w:rsid w:val="00FE77DF"/>
    <w:rsid w:val="00FF0082"/>
    <w:rsid w:val="00FF0BF2"/>
    <w:rsid w:val="00FF1234"/>
    <w:rsid w:val="00FF2DC2"/>
    <w:rsid w:val="00FF35B1"/>
    <w:rsid w:val="00FF4EEC"/>
    <w:rsid w:val="00FF51BB"/>
    <w:rsid w:val="00FF689D"/>
    <w:rsid w:val="00FF6ED7"/>
    <w:rsid w:val="00FF75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6A1FB22E"/>
  <w15:docId w15:val="{163B85DE-6E09-4438-BB44-0A377A2D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arkedcontent">
    <w:name w:val="markedcontent"/>
    <w:basedOn w:val="DefaultParagraphFont"/>
    <w:rsid w:val="00BE2287"/>
  </w:style>
  <w:style w:type="paragraph" w:styleId="EndnoteText">
    <w:name w:val="endnote text"/>
    <w:basedOn w:val="Normal"/>
    <w:link w:val="EndnoteTextChar"/>
    <w:uiPriority w:val="99"/>
    <w:semiHidden/>
    <w:unhideWhenUsed/>
    <w:rsid w:val="009259E1"/>
    <w:rPr>
      <w:sz w:val="20"/>
      <w:szCs w:val="20"/>
    </w:rPr>
  </w:style>
  <w:style w:type="character" w:customStyle="1" w:styleId="EndnoteTextChar">
    <w:name w:val="Endnote Text Char"/>
    <w:basedOn w:val="DefaultParagraphFont"/>
    <w:link w:val="EndnoteText"/>
    <w:uiPriority w:val="99"/>
    <w:semiHidden/>
    <w:rsid w:val="009259E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25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sc55-doc82-examen-par-luicn-des-finances-non-administratives" TargetMode="External"/><Relationship Id="rId2" Type="http://schemas.openxmlformats.org/officeDocument/2006/relationships/hyperlink" Target="https://www.ramsar.org/document/resolution-x2-financial-and-budgetary-matters" TargetMode="External"/><Relationship Id="rId1" Type="http://schemas.openxmlformats.org/officeDocument/2006/relationships/hyperlink" Target="https://www.ramsar.org/sites/default/files/documents/library/report_auditor_ramsar_202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2.xml><?xml version="1.0" encoding="utf-8"?>
<ds:datastoreItem xmlns:ds="http://schemas.openxmlformats.org/officeDocument/2006/customXml" ds:itemID="{AFEA1E76-278B-452B-874A-3F1920C05DE7}">
  <ds:schemaRefs>
    <ds:schemaRef ds:uri="http://purl.org/dc/dcmitype/"/>
    <ds:schemaRef ds:uri="http://schemas.microsoft.com/office/infopath/2007/PartnerControls"/>
    <ds:schemaRef ds:uri="http://schemas.microsoft.com/office/2006/metadata/properties"/>
    <ds:schemaRef ds:uri="http://purl.org/dc/elements/1.1/"/>
    <ds:schemaRef ds:uri="8c0b6b05-eb82-4bda-97e8-cd82d0d6b45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268EB-8CA8-4B0D-9A05-2FA2639F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7080</Words>
  <Characters>40359</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4</cp:revision>
  <cp:lastPrinted>2022-05-09T14:58:00Z</cp:lastPrinted>
  <dcterms:created xsi:type="dcterms:W3CDTF">2022-05-13T15:36:00Z</dcterms:created>
  <dcterms:modified xsi:type="dcterms:W3CDTF">2022-05-16T15:03:00Z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