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EB" w:rsidRPr="00A82E28" w:rsidRDefault="00134CCA"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FR"/>
        </w:rPr>
      </w:pPr>
      <w:r w:rsidRPr="00A82E28">
        <w:rPr>
          <w:rFonts w:asciiTheme="minorHAnsi" w:hAnsiTheme="minorHAnsi" w:cstheme="minorHAnsi"/>
          <w:bCs/>
          <w:lang w:val="fr-FR"/>
        </w:rPr>
        <w:t>CONVENTION SUR LES ZONES HUMIDES</w:t>
      </w:r>
    </w:p>
    <w:p w:rsidR="000944EB" w:rsidRPr="00A82E28"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FR"/>
        </w:rPr>
      </w:pPr>
      <w:r w:rsidRPr="00A82E28">
        <w:rPr>
          <w:rFonts w:asciiTheme="minorHAnsi" w:hAnsiTheme="minorHAnsi" w:cstheme="minorHAnsi"/>
          <w:bCs/>
          <w:lang w:val="fr-FR"/>
        </w:rPr>
        <w:t>59</w:t>
      </w:r>
      <w:r w:rsidR="00134CCA" w:rsidRPr="00A82E28">
        <w:rPr>
          <w:rFonts w:asciiTheme="minorHAnsi" w:hAnsiTheme="minorHAnsi" w:cstheme="minorHAnsi"/>
          <w:bCs/>
          <w:vertAlign w:val="superscript"/>
          <w:lang w:val="fr-FR"/>
        </w:rPr>
        <w:t>e</w:t>
      </w:r>
      <w:r w:rsidR="00134CCA" w:rsidRPr="00A82E28">
        <w:rPr>
          <w:rFonts w:asciiTheme="minorHAnsi" w:hAnsiTheme="minorHAnsi" w:cstheme="minorHAnsi"/>
          <w:bCs/>
          <w:lang w:val="fr-FR"/>
        </w:rPr>
        <w:t xml:space="preserve"> réunion du Comité permanent</w:t>
      </w:r>
    </w:p>
    <w:p w:rsidR="000944EB" w:rsidRPr="00A82E28"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FR"/>
        </w:rPr>
      </w:pPr>
      <w:r w:rsidRPr="00A82E28">
        <w:rPr>
          <w:rFonts w:asciiTheme="minorHAnsi" w:hAnsiTheme="minorHAnsi" w:cstheme="minorHAnsi"/>
          <w:bCs/>
          <w:lang w:val="fr-FR"/>
        </w:rPr>
        <w:t>R</w:t>
      </w:r>
      <w:r w:rsidR="000354F0" w:rsidRPr="00A82E28">
        <w:rPr>
          <w:rFonts w:asciiTheme="minorHAnsi" w:hAnsiTheme="minorHAnsi" w:cstheme="minorHAnsi"/>
          <w:bCs/>
          <w:lang w:val="fr-FR"/>
        </w:rPr>
        <w:t xml:space="preserve">eprise de la </w:t>
      </w:r>
      <w:r w:rsidRPr="00A82E28">
        <w:rPr>
          <w:rFonts w:asciiTheme="minorHAnsi" w:hAnsiTheme="minorHAnsi" w:cstheme="minorHAnsi"/>
          <w:bCs/>
          <w:lang w:val="fr-FR"/>
        </w:rPr>
        <w:t xml:space="preserve">session </w:t>
      </w:r>
    </w:p>
    <w:p w:rsidR="000944EB" w:rsidRPr="00A82E28" w:rsidRDefault="000944EB" w:rsidP="000944EB">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FR"/>
        </w:rPr>
      </w:pPr>
      <w:r w:rsidRPr="00A82E28">
        <w:rPr>
          <w:rFonts w:asciiTheme="minorHAnsi" w:hAnsiTheme="minorHAnsi" w:cstheme="minorHAnsi"/>
          <w:bCs/>
          <w:lang w:val="fr-FR"/>
        </w:rPr>
        <w:t>Gland, S</w:t>
      </w:r>
      <w:r w:rsidR="00134CCA" w:rsidRPr="00A82E28">
        <w:rPr>
          <w:rFonts w:asciiTheme="minorHAnsi" w:hAnsiTheme="minorHAnsi" w:cstheme="minorHAnsi"/>
          <w:bCs/>
          <w:lang w:val="fr-FR"/>
        </w:rPr>
        <w:t xml:space="preserve">uisse, 23 au </w:t>
      </w:r>
      <w:r w:rsidRPr="00A82E28">
        <w:rPr>
          <w:rFonts w:asciiTheme="minorHAnsi" w:hAnsiTheme="minorHAnsi" w:cstheme="minorHAnsi"/>
          <w:bCs/>
          <w:lang w:val="fr-FR"/>
        </w:rPr>
        <w:t xml:space="preserve">27 </w:t>
      </w:r>
      <w:r w:rsidR="00134CCA" w:rsidRPr="00A82E28">
        <w:rPr>
          <w:rFonts w:asciiTheme="minorHAnsi" w:hAnsiTheme="minorHAnsi" w:cstheme="minorHAnsi"/>
          <w:bCs/>
          <w:lang w:val="fr-FR"/>
        </w:rPr>
        <w:t>mai</w:t>
      </w:r>
      <w:r w:rsidRPr="00A82E28">
        <w:rPr>
          <w:rFonts w:asciiTheme="minorHAnsi" w:hAnsiTheme="minorHAnsi" w:cstheme="minorHAnsi"/>
          <w:bCs/>
          <w:lang w:val="fr-FR"/>
        </w:rPr>
        <w:t xml:space="preserve"> 2022</w:t>
      </w:r>
    </w:p>
    <w:p w:rsidR="000944EB" w:rsidRPr="00A82E28" w:rsidRDefault="000944EB" w:rsidP="000944EB">
      <w:pPr>
        <w:tabs>
          <w:tab w:val="left" w:pos="10650"/>
          <w:tab w:val="right" w:pos="13958"/>
        </w:tabs>
        <w:jc w:val="right"/>
        <w:rPr>
          <w:rFonts w:asciiTheme="minorHAnsi" w:hAnsiTheme="minorHAnsi" w:cstheme="minorHAnsi"/>
          <w:b/>
          <w:sz w:val="28"/>
          <w:szCs w:val="28"/>
          <w:lang w:val="fr-FR"/>
        </w:rPr>
      </w:pPr>
    </w:p>
    <w:p w:rsidR="000944EB" w:rsidRPr="00A82E28" w:rsidRDefault="000944EB" w:rsidP="000944EB">
      <w:pPr>
        <w:tabs>
          <w:tab w:val="left" w:pos="10650"/>
          <w:tab w:val="right" w:pos="13958"/>
        </w:tabs>
        <w:jc w:val="right"/>
        <w:rPr>
          <w:rFonts w:asciiTheme="minorHAnsi" w:hAnsiTheme="minorHAnsi" w:cstheme="minorHAnsi"/>
          <w:sz w:val="28"/>
          <w:szCs w:val="28"/>
          <w:lang w:val="fr-FR"/>
        </w:rPr>
      </w:pPr>
      <w:r w:rsidRPr="00A82E28">
        <w:rPr>
          <w:rFonts w:asciiTheme="minorHAnsi" w:hAnsiTheme="minorHAnsi" w:cstheme="minorHAnsi"/>
          <w:b/>
          <w:sz w:val="28"/>
          <w:szCs w:val="28"/>
          <w:lang w:val="fr-FR"/>
        </w:rPr>
        <w:t>SC59/2022 Doc.</w:t>
      </w:r>
      <w:r w:rsidR="00791CAE" w:rsidRPr="00A82E28">
        <w:rPr>
          <w:rFonts w:asciiTheme="minorHAnsi" w:hAnsiTheme="minorHAnsi" w:cstheme="minorHAnsi"/>
          <w:b/>
          <w:sz w:val="28"/>
          <w:szCs w:val="28"/>
          <w:lang w:val="fr-FR"/>
        </w:rPr>
        <w:t>7</w:t>
      </w:r>
      <w:r w:rsidR="00413B40">
        <w:rPr>
          <w:rFonts w:asciiTheme="minorHAnsi" w:hAnsiTheme="minorHAnsi" w:cstheme="minorHAnsi"/>
          <w:b/>
          <w:sz w:val="28"/>
          <w:szCs w:val="28"/>
          <w:lang w:val="fr-FR"/>
        </w:rPr>
        <w:t>.2</w:t>
      </w:r>
    </w:p>
    <w:p w:rsidR="000944EB" w:rsidRPr="00A82E28" w:rsidRDefault="000944EB" w:rsidP="000944EB">
      <w:pPr>
        <w:rPr>
          <w:rFonts w:asciiTheme="minorHAnsi" w:hAnsiTheme="minorHAnsi" w:cstheme="minorHAnsi"/>
          <w:b/>
          <w:sz w:val="28"/>
          <w:szCs w:val="28"/>
          <w:lang w:val="fr-FR"/>
        </w:rPr>
      </w:pPr>
    </w:p>
    <w:p w:rsidR="000944EB" w:rsidRPr="00A82E28" w:rsidRDefault="00A82E28" w:rsidP="000944EB">
      <w:pPr>
        <w:jc w:val="center"/>
        <w:rPr>
          <w:rFonts w:asciiTheme="minorHAnsi" w:hAnsiTheme="minorHAnsi" w:cstheme="minorHAnsi"/>
          <w:b/>
          <w:sz w:val="28"/>
          <w:szCs w:val="28"/>
          <w:lang w:val="fr-FR"/>
        </w:rPr>
      </w:pPr>
      <w:r>
        <w:rPr>
          <w:rFonts w:asciiTheme="minorHAnsi" w:hAnsiTheme="minorHAnsi" w:cstheme="minorHAnsi"/>
          <w:b/>
          <w:sz w:val="28"/>
          <w:szCs w:val="28"/>
          <w:lang w:val="fr-FR"/>
        </w:rPr>
        <w:t>Rap</w:t>
      </w:r>
      <w:r w:rsidR="00901DBF" w:rsidRPr="00A82E28">
        <w:rPr>
          <w:rFonts w:asciiTheme="minorHAnsi" w:hAnsiTheme="minorHAnsi" w:cstheme="minorHAnsi"/>
          <w:b/>
          <w:sz w:val="28"/>
          <w:szCs w:val="28"/>
          <w:lang w:val="fr-FR"/>
        </w:rPr>
        <w:t xml:space="preserve">port </w:t>
      </w:r>
      <w:r>
        <w:rPr>
          <w:rFonts w:asciiTheme="minorHAnsi" w:hAnsiTheme="minorHAnsi" w:cstheme="minorHAnsi"/>
          <w:b/>
          <w:sz w:val="28"/>
          <w:szCs w:val="28"/>
          <w:lang w:val="fr-FR"/>
        </w:rPr>
        <w:t>du Groupe de travail sur la gestion</w:t>
      </w:r>
      <w:r w:rsidR="00901DBF" w:rsidRPr="00A82E28">
        <w:rPr>
          <w:rFonts w:asciiTheme="minorHAnsi" w:hAnsiTheme="minorHAnsi" w:cstheme="minorHAnsi"/>
          <w:b/>
          <w:sz w:val="28"/>
          <w:szCs w:val="28"/>
          <w:lang w:val="fr-FR"/>
        </w:rPr>
        <w:t xml:space="preserve"> </w:t>
      </w:r>
    </w:p>
    <w:p w:rsidR="00DF2386" w:rsidRPr="00A82E28" w:rsidRDefault="00DF2386" w:rsidP="00014168">
      <w:pPr>
        <w:rPr>
          <w:rFonts w:ascii="Garamond" w:hAnsi="Garamond" w:cs="Arial"/>
          <w:lang w:val="fr-FR"/>
        </w:rPr>
      </w:pPr>
    </w:p>
    <w:p w:rsidR="000C2489" w:rsidRPr="00A82E28" w:rsidRDefault="00413B40" w:rsidP="00014168">
      <w:pPr>
        <w:autoSpaceDE w:val="0"/>
        <w:autoSpaceDN w:val="0"/>
        <w:adjustRightInd w:val="0"/>
        <w:rPr>
          <w:rFonts w:asciiTheme="minorHAnsi" w:eastAsiaTheme="minorHAnsi" w:hAnsiTheme="minorHAnsi" w:cs="Calibri-Bold"/>
          <w:b/>
          <w:bCs/>
          <w:lang w:val="fr-FR"/>
        </w:rPr>
      </w:pPr>
      <w:r>
        <w:rPr>
          <w:noProof/>
          <w:lang w:val="fr-FR" w:eastAsia="en-GB"/>
        </w:rPr>
      </w:r>
      <w:r>
        <w:rPr>
          <w:noProof/>
          <w:lang w:val="fr-FR" w:eastAsia="en-GB"/>
        </w:rPr>
        <w:pict>
          <v:shapetype id="_x0000_t202" coordsize="21600,21600" o:spt="202" path="m,l,21600r21600,l21600,xe">
            <v:stroke joinstyle="miter"/>
            <v:path gradientshapeok="t" o:connecttype="rect"/>
          </v:shapetype>
          <v:shape id="Text Box 1" o:spid="_x0000_s1026" type="#_x0000_t202" style="width:451.3pt;height:70.05pt;visibility:visible;mso-left-percent:-10001;mso-top-percent:-10001;mso-position-horizontal:absolute;mso-position-horizontal-relative:char;mso-position-vertical:absolute;mso-position-vertical-relative:line;mso-left-percent:-10001;mso-top-percent:-10001">
            <v:textbox>
              <w:txbxContent>
                <w:p w:rsidR="00501E61" w:rsidRPr="00A82E28" w:rsidRDefault="00501E61" w:rsidP="000C2489">
                  <w:pPr>
                    <w:rPr>
                      <w:b/>
                      <w:bCs/>
                      <w:lang w:val="fr-FR"/>
                    </w:rPr>
                  </w:pPr>
                  <w:r w:rsidRPr="00A82E28">
                    <w:rPr>
                      <w:b/>
                      <w:bCs/>
                      <w:lang w:val="fr-FR"/>
                    </w:rPr>
                    <w:t xml:space="preserve">Actions demandées : </w:t>
                  </w:r>
                </w:p>
                <w:p w:rsidR="00501E61" w:rsidRPr="00A82E28" w:rsidRDefault="00501E61" w:rsidP="000C2489">
                  <w:pPr>
                    <w:pStyle w:val="ColorfulList-Accent11"/>
                    <w:ind w:left="0"/>
                    <w:rPr>
                      <w:lang w:val="fr-FR"/>
                    </w:rPr>
                  </w:pPr>
                </w:p>
                <w:p w:rsidR="00501E61" w:rsidRPr="00A82E28" w:rsidRDefault="00501E61" w:rsidP="000354F0">
                  <w:pPr>
                    <w:pStyle w:val="ColorfulList-Accent11"/>
                    <w:ind w:left="0" w:firstLine="0"/>
                    <w:rPr>
                      <w:lang w:val="fr-FR"/>
                    </w:rPr>
                  </w:pPr>
                  <w:r w:rsidRPr="00A82E28">
                    <w:rPr>
                      <w:lang w:val="fr-FR"/>
                    </w:rPr>
                    <w:t>Le Comité permanent est invité à prendre bonne note de l’avancée des travaux du groupe de travail sur la gestion depuis la 59</w:t>
                  </w:r>
                  <w:r w:rsidRPr="00A82E28">
                    <w:rPr>
                      <w:vertAlign w:val="superscript"/>
                      <w:lang w:val="fr-FR"/>
                    </w:rPr>
                    <w:t>e</w:t>
                  </w:r>
                  <w:r w:rsidRPr="00A82E28">
                    <w:rPr>
                      <w:lang w:val="fr-FR"/>
                    </w:rPr>
                    <w:t xml:space="preserve"> réunion du Comité permanent en juin 2021.</w:t>
                  </w:r>
                </w:p>
              </w:txbxContent>
            </v:textbox>
            <w10:wrap type="none"/>
            <w10:anchorlock/>
          </v:shape>
        </w:pict>
      </w:r>
    </w:p>
    <w:p w:rsidR="009E0AE8" w:rsidRPr="00A82E28" w:rsidRDefault="009E0AE8" w:rsidP="00014168">
      <w:pPr>
        <w:rPr>
          <w:rFonts w:cs="Arial"/>
          <w:b/>
          <w:lang w:val="fr-FR"/>
        </w:rPr>
      </w:pPr>
    </w:p>
    <w:p w:rsidR="009E0AE8" w:rsidRPr="00A82E28" w:rsidRDefault="009E0AE8" w:rsidP="00014168">
      <w:pPr>
        <w:rPr>
          <w:rFonts w:cs="Arial"/>
          <w:b/>
          <w:lang w:val="fr-FR"/>
        </w:rPr>
      </w:pPr>
    </w:p>
    <w:p w:rsidR="00AC7EE5" w:rsidRPr="00A82E28" w:rsidRDefault="000354F0" w:rsidP="00AC7EE5">
      <w:pPr>
        <w:keepNext/>
        <w:rPr>
          <w:rFonts w:cs="Arial"/>
          <w:b/>
          <w:lang w:val="fr-FR"/>
        </w:rPr>
      </w:pPr>
      <w:r w:rsidRPr="00A82E28">
        <w:rPr>
          <w:rFonts w:cs="Arial"/>
          <w:b/>
          <w:lang w:val="fr-FR"/>
        </w:rPr>
        <w:t>Historique</w:t>
      </w:r>
    </w:p>
    <w:p w:rsidR="00E75D5A" w:rsidRPr="00A82E28" w:rsidRDefault="00E75D5A" w:rsidP="00E75D5A">
      <w:pPr>
        <w:ind w:left="426" w:hanging="426"/>
        <w:rPr>
          <w:rFonts w:cs="Arial"/>
          <w:lang w:val="fr-FR"/>
        </w:rPr>
      </w:pPr>
    </w:p>
    <w:p w:rsidR="00AC7EE5" w:rsidRPr="00A82E28" w:rsidDel="00D4297F" w:rsidRDefault="00E75D5A" w:rsidP="00E75D5A">
      <w:pPr>
        <w:ind w:left="426" w:hanging="426"/>
        <w:rPr>
          <w:rFonts w:cs="Arial"/>
          <w:lang w:val="fr-FR"/>
        </w:rPr>
      </w:pPr>
      <w:r w:rsidRPr="00A82E28">
        <w:rPr>
          <w:rFonts w:cs="Arial"/>
          <w:lang w:val="fr-FR"/>
        </w:rPr>
        <w:t>1</w:t>
      </w:r>
      <w:r w:rsidR="00914BCB" w:rsidRPr="00A82E28">
        <w:rPr>
          <w:rFonts w:cs="Arial"/>
          <w:lang w:val="fr-FR"/>
        </w:rPr>
        <w:t xml:space="preserve">. </w:t>
      </w:r>
      <w:r w:rsidR="00914BCB" w:rsidRPr="00A82E28">
        <w:rPr>
          <w:rFonts w:cs="Arial"/>
          <w:lang w:val="fr-FR"/>
        </w:rPr>
        <w:tab/>
      </w:r>
      <w:r w:rsidR="000354F0" w:rsidRPr="00A82E28">
        <w:rPr>
          <w:rFonts w:cs="Arial"/>
          <w:lang w:val="fr-FR"/>
        </w:rPr>
        <w:t xml:space="preserve">Le rapport du Groupe de travail sur la gestion </w:t>
      </w:r>
      <w:r w:rsidR="00501E61">
        <w:rPr>
          <w:rFonts w:cs="Arial"/>
          <w:lang w:val="fr-FR"/>
        </w:rPr>
        <w:t xml:space="preserve">présenté </w:t>
      </w:r>
      <w:r w:rsidR="00501E61" w:rsidRPr="00A82E28">
        <w:rPr>
          <w:rFonts w:cs="Arial"/>
          <w:lang w:val="fr-FR"/>
        </w:rPr>
        <w:t>en juin 2021</w:t>
      </w:r>
      <w:r w:rsidR="00501E61">
        <w:rPr>
          <w:rFonts w:cs="Arial"/>
          <w:lang w:val="fr-FR"/>
        </w:rPr>
        <w:t xml:space="preserve"> </w:t>
      </w:r>
      <w:r w:rsidR="000354F0" w:rsidRPr="00A82E28">
        <w:rPr>
          <w:rFonts w:cs="Arial"/>
          <w:lang w:val="fr-FR"/>
        </w:rPr>
        <w:t>à la 59</w:t>
      </w:r>
      <w:r w:rsidR="000354F0" w:rsidRPr="00A82E28">
        <w:rPr>
          <w:rFonts w:cs="Arial"/>
          <w:vertAlign w:val="superscript"/>
          <w:lang w:val="fr-FR"/>
        </w:rPr>
        <w:t>e</w:t>
      </w:r>
      <w:r w:rsidR="000354F0" w:rsidRPr="00A82E28">
        <w:rPr>
          <w:rFonts w:cs="Arial"/>
          <w:lang w:val="fr-FR"/>
        </w:rPr>
        <w:t xml:space="preserve"> réunion du Comité permanent (SC59) </w:t>
      </w:r>
      <w:r w:rsidR="00501E61">
        <w:rPr>
          <w:rFonts w:cs="Arial"/>
          <w:lang w:val="fr-FR"/>
        </w:rPr>
        <w:t>figure</w:t>
      </w:r>
      <w:r w:rsidR="000354F0" w:rsidRPr="00A82E28">
        <w:rPr>
          <w:rFonts w:cs="Arial"/>
          <w:lang w:val="fr-FR"/>
        </w:rPr>
        <w:t xml:space="preserve"> dans le document SC59 Doc.7</w:t>
      </w:r>
      <w:r w:rsidR="00A82E28">
        <w:rPr>
          <w:rFonts w:cs="Arial"/>
          <w:lang w:val="fr-FR"/>
        </w:rPr>
        <w:t>,</w:t>
      </w:r>
      <w:r w:rsidR="000354F0" w:rsidRPr="00A82E28">
        <w:rPr>
          <w:rFonts w:cs="Arial"/>
          <w:lang w:val="fr-FR"/>
        </w:rPr>
        <w:t xml:space="preserve"> </w:t>
      </w:r>
      <w:r w:rsidR="000354F0" w:rsidRPr="00A82E28">
        <w:rPr>
          <w:rFonts w:cs="Arial"/>
          <w:i/>
          <w:lang w:val="fr-FR"/>
        </w:rPr>
        <w:t>Rapport de la réunion du Groupe de travail sur la gestion du 14 juin 2021</w:t>
      </w:r>
      <w:r w:rsidR="007037CB" w:rsidRPr="00A82E28">
        <w:rPr>
          <w:rFonts w:cs="Arial"/>
          <w:i/>
          <w:lang w:val="fr-FR"/>
        </w:rPr>
        <w:t>.</w:t>
      </w:r>
      <w:r w:rsidR="007037CB" w:rsidRPr="00A82E28">
        <w:rPr>
          <w:rFonts w:cs="Arial"/>
          <w:lang w:val="fr-FR"/>
        </w:rPr>
        <w:t xml:space="preserve"> </w:t>
      </w:r>
    </w:p>
    <w:p w:rsidR="00AC7EE5" w:rsidRPr="00A82E28" w:rsidRDefault="00AC7EE5" w:rsidP="00914BCB">
      <w:pPr>
        <w:ind w:left="0" w:firstLine="0"/>
        <w:rPr>
          <w:rFonts w:cs="Arial"/>
          <w:b/>
          <w:lang w:val="fr-FR"/>
        </w:rPr>
      </w:pPr>
    </w:p>
    <w:p w:rsidR="00AC7EE5" w:rsidRPr="00A82E28" w:rsidRDefault="000354F0" w:rsidP="00AC7EE5">
      <w:pPr>
        <w:keepNext/>
        <w:rPr>
          <w:rFonts w:cs="Arial"/>
          <w:b/>
          <w:lang w:val="fr-FR"/>
        </w:rPr>
      </w:pPr>
      <w:r w:rsidRPr="00A82E28">
        <w:rPr>
          <w:rFonts w:cs="Arial"/>
          <w:b/>
          <w:lang w:val="fr-FR"/>
        </w:rPr>
        <w:t xml:space="preserve">Réunions du Groupe de travail sur la gestion </w:t>
      </w:r>
      <w:r w:rsidR="001A3F53" w:rsidRPr="00A82E28">
        <w:rPr>
          <w:rFonts w:cs="Arial"/>
          <w:b/>
          <w:lang w:val="fr-FR"/>
        </w:rPr>
        <w:t xml:space="preserve"> </w:t>
      </w:r>
    </w:p>
    <w:p w:rsidR="00914BCB" w:rsidRPr="00A82E28" w:rsidRDefault="00914BCB" w:rsidP="00914BCB">
      <w:pPr>
        <w:ind w:left="0" w:firstLine="0"/>
        <w:rPr>
          <w:rFonts w:cs="Arial"/>
          <w:lang w:val="fr-FR"/>
        </w:rPr>
      </w:pPr>
    </w:p>
    <w:p w:rsidR="007F6753" w:rsidRPr="00A82E28" w:rsidRDefault="00E75D5A" w:rsidP="00B40A4C">
      <w:pPr>
        <w:tabs>
          <w:tab w:val="num" w:pos="720"/>
        </w:tabs>
        <w:rPr>
          <w:rFonts w:cs="Arial"/>
          <w:lang w:val="fr-FR"/>
        </w:rPr>
      </w:pPr>
      <w:r w:rsidRPr="00A82E28">
        <w:rPr>
          <w:rFonts w:cs="Arial"/>
          <w:lang w:val="fr-FR"/>
        </w:rPr>
        <w:t>2</w:t>
      </w:r>
      <w:r w:rsidR="00914BCB" w:rsidRPr="00A82E28">
        <w:rPr>
          <w:rFonts w:cs="Arial"/>
          <w:lang w:val="fr-FR"/>
        </w:rPr>
        <w:t xml:space="preserve">. </w:t>
      </w:r>
      <w:r w:rsidR="00914BCB" w:rsidRPr="00A82E28">
        <w:rPr>
          <w:rFonts w:cs="Arial"/>
          <w:lang w:val="fr-FR"/>
        </w:rPr>
        <w:tab/>
      </w:r>
      <w:r w:rsidR="00814A42" w:rsidRPr="00A82E28">
        <w:rPr>
          <w:rFonts w:cs="Arial"/>
          <w:lang w:val="fr-FR"/>
        </w:rPr>
        <w:t>S</w:t>
      </w:r>
      <w:r w:rsidR="000354F0" w:rsidRPr="00A82E28">
        <w:rPr>
          <w:rFonts w:cs="Arial"/>
          <w:lang w:val="fr-FR"/>
        </w:rPr>
        <w:t xml:space="preserve">uite </w:t>
      </w:r>
      <w:r w:rsidR="00814A42" w:rsidRPr="00A82E28">
        <w:rPr>
          <w:rFonts w:cs="Arial"/>
          <w:lang w:val="fr-FR"/>
        </w:rPr>
        <w:t>aux</w:t>
      </w:r>
      <w:r w:rsidR="000354F0" w:rsidRPr="00A82E28">
        <w:rPr>
          <w:rFonts w:cs="Arial"/>
          <w:lang w:val="fr-FR"/>
        </w:rPr>
        <w:t xml:space="preserve"> décisions SC59-04, SC59-05, SC59-06 et SC59-07</w:t>
      </w:r>
      <w:r w:rsidR="00A82E28">
        <w:rPr>
          <w:rStyle w:val="FootnoteReference"/>
          <w:rFonts w:cs="Arial"/>
          <w:lang w:val="fr-FR"/>
        </w:rPr>
        <w:footnoteReference w:id="1"/>
      </w:r>
      <w:r w:rsidR="000354F0" w:rsidRPr="00A82E28">
        <w:rPr>
          <w:rFonts w:cs="Arial"/>
          <w:lang w:val="fr-FR"/>
        </w:rPr>
        <w:t xml:space="preserve"> du Comité permanent re</w:t>
      </w:r>
      <w:r w:rsidR="003410CE">
        <w:rPr>
          <w:rFonts w:cs="Arial"/>
          <w:lang w:val="fr-FR"/>
        </w:rPr>
        <w:t>latives aux travaux du Groupe d’évaluation</w:t>
      </w:r>
      <w:r w:rsidR="000354F0" w:rsidRPr="00A82E28">
        <w:rPr>
          <w:rFonts w:cs="Arial"/>
          <w:lang w:val="fr-FR"/>
        </w:rPr>
        <w:t xml:space="preserve"> scientifique et technique</w:t>
      </w:r>
      <w:r w:rsidR="003410CE">
        <w:rPr>
          <w:rFonts w:cs="Arial"/>
          <w:lang w:val="fr-FR"/>
        </w:rPr>
        <w:t xml:space="preserve"> (GEST)</w:t>
      </w:r>
      <w:r w:rsidR="000354F0" w:rsidRPr="00A82E28">
        <w:rPr>
          <w:rFonts w:cs="Arial"/>
          <w:lang w:val="fr-FR"/>
        </w:rPr>
        <w:t xml:space="preserve">, une réunion en ligne a </w:t>
      </w:r>
      <w:r w:rsidR="00501E61">
        <w:rPr>
          <w:rFonts w:cs="Arial"/>
          <w:lang w:val="fr-FR"/>
        </w:rPr>
        <w:t>été</w:t>
      </w:r>
      <w:r w:rsidR="003410CE">
        <w:rPr>
          <w:rFonts w:cs="Arial"/>
          <w:lang w:val="fr-FR"/>
        </w:rPr>
        <w:t xml:space="preserve"> organisée</w:t>
      </w:r>
      <w:r w:rsidR="000354F0" w:rsidRPr="00A82E28">
        <w:rPr>
          <w:rFonts w:cs="Arial"/>
          <w:lang w:val="fr-FR"/>
        </w:rPr>
        <w:t xml:space="preserve"> le 13 janvier 2022. Les participants ont noté que le GEST avait accompli des progrès sat</w:t>
      </w:r>
      <w:r w:rsidR="003410CE">
        <w:rPr>
          <w:rFonts w:cs="Arial"/>
          <w:lang w:val="fr-FR"/>
        </w:rPr>
        <w:t>isfaisants dans l’</w:t>
      </w:r>
      <w:r w:rsidR="000354F0" w:rsidRPr="00A82E28">
        <w:rPr>
          <w:rFonts w:cs="Arial"/>
          <w:lang w:val="fr-FR"/>
        </w:rPr>
        <w:t xml:space="preserve">exécution des tâches </w:t>
      </w:r>
      <w:r w:rsidR="003410CE">
        <w:rPr>
          <w:rFonts w:cs="Arial"/>
          <w:lang w:val="fr-FR"/>
        </w:rPr>
        <w:t xml:space="preserve">hautement </w:t>
      </w:r>
      <w:r w:rsidR="000354F0" w:rsidRPr="00A82E28">
        <w:rPr>
          <w:rFonts w:cs="Arial"/>
          <w:lang w:val="fr-FR"/>
        </w:rPr>
        <w:t xml:space="preserve">prioritaires prévues dans son plan de travail actuel. </w:t>
      </w:r>
      <w:r w:rsidR="00B40A4C" w:rsidRPr="00A82E28">
        <w:rPr>
          <w:rFonts w:cs="Arial"/>
          <w:lang w:val="fr-FR"/>
        </w:rPr>
        <w:t xml:space="preserve">Le Groupe de travail sur la gestion a </w:t>
      </w:r>
      <w:r w:rsidR="003410CE">
        <w:rPr>
          <w:rFonts w:cs="Arial"/>
          <w:lang w:val="fr-FR"/>
        </w:rPr>
        <w:t>conseillé le</w:t>
      </w:r>
      <w:r w:rsidR="00B40A4C" w:rsidRPr="00A82E28">
        <w:rPr>
          <w:rFonts w:cs="Arial"/>
          <w:lang w:val="fr-FR"/>
        </w:rPr>
        <w:t xml:space="preserve"> GEST sur la poursuite de ses travaux, </w:t>
      </w:r>
      <w:r w:rsidR="003410CE">
        <w:rPr>
          <w:rFonts w:cs="Arial"/>
          <w:lang w:val="fr-FR"/>
        </w:rPr>
        <w:t xml:space="preserve">sur </w:t>
      </w:r>
      <w:r w:rsidR="00B40A4C" w:rsidRPr="00A82E28">
        <w:rPr>
          <w:rFonts w:cs="Arial"/>
          <w:lang w:val="fr-FR"/>
        </w:rPr>
        <w:t xml:space="preserve">la poursuite de la mise en œuvre des activités </w:t>
      </w:r>
      <w:r w:rsidR="003410CE">
        <w:rPr>
          <w:rFonts w:cs="Arial"/>
          <w:lang w:val="fr-FR"/>
        </w:rPr>
        <w:t>additionnelles</w:t>
      </w:r>
      <w:r w:rsidR="00B40A4C" w:rsidRPr="00A82E28">
        <w:rPr>
          <w:rFonts w:cs="Arial"/>
          <w:lang w:val="fr-FR"/>
        </w:rPr>
        <w:t xml:space="preserve"> proposées pour 2022 et</w:t>
      </w:r>
      <w:r w:rsidR="003410CE">
        <w:rPr>
          <w:rFonts w:cs="Arial"/>
          <w:lang w:val="fr-FR"/>
        </w:rPr>
        <w:t xml:space="preserve"> sur</w:t>
      </w:r>
      <w:r w:rsidR="00B40A4C" w:rsidRPr="00A82E28">
        <w:rPr>
          <w:rFonts w:cs="Arial"/>
          <w:lang w:val="fr-FR"/>
        </w:rPr>
        <w:t xml:space="preserve"> la poursuite de ses travaux sur la tâche </w:t>
      </w:r>
      <w:r w:rsidR="00B40A4C" w:rsidRPr="00A82E28">
        <w:rPr>
          <w:rFonts w:cs="Arial"/>
          <w:i/>
          <w:lang w:val="fr-FR"/>
        </w:rPr>
        <w:t>ad hoc</w:t>
      </w:r>
      <w:r w:rsidR="00B40A4C" w:rsidRPr="00A82E28">
        <w:rPr>
          <w:rFonts w:cs="Arial"/>
          <w:lang w:val="fr-FR"/>
        </w:rPr>
        <w:t xml:space="preserve"> sur le </w:t>
      </w:r>
      <w:r w:rsidR="003410CE">
        <w:rPr>
          <w:rFonts w:cs="Arial"/>
          <w:lang w:val="fr-FR"/>
        </w:rPr>
        <w:t>c</w:t>
      </w:r>
      <w:r w:rsidR="00B40A4C" w:rsidRPr="00A82E28">
        <w:rPr>
          <w:rFonts w:cs="Arial"/>
          <w:lang w:val="fr-FR"/>
        </w:rPr>
        <w:t>ritère 6, ainsi que sur l’élaboration des priorités futures, en tenant compte des orientations fournies par le Groupe de travail sur la gestion et avec l’appui du Secrétariat, et en veillant à ce que les tâches soient achevées avant la date limite de soumission au Secrétariat des documents pour la reprise de la session de la SC59 (23 février 2022). Le procès-</w:t>
      </w:r>
      <w:r w:rsidR="003410CE">
        <w:rPr>
          <w:rFonts w:cs="Arial"/>
          <w:lang w:val="fr-FR"/>
        </w:rPr>
        <w:t>verbal de la réunion figure à l’</w:t>
      </w:r>
      <w:r w:rsidR="00B40A4C" w:rsidRPr="00A82E28">
        <w:rPr>
          <w:rFonts w:cs="Arial"/>
          <w:lang w:val="fr-FR"/>
        </w:rPr>
        <w:t>annexe 1 du présent document</w:t>
      </w:r>
      <w:r w:rsidR="007F6753" w:rsidRPr="00A82E28">
        <w:rPr>
          <w:rFonts w:cs="Arial"/>
          <w:bCs/>
          <w:lang w:val="fr-FR"/>
        </w:rPr>
        <w:t>.</w:t>
      </w:r>
    </w:p>
    <w:p w:rsidR="009C6681" w:rsidRPr="00A82E28" w:rsidRDefault="009C6681" w:rsidP="00D80393">
      <w:pPr>
        <w:tabs>
          <w:tab w:val="num" w:pos="720"/>
        </w:tabs>
        <w:rPr>
          <w:rFonts w:cs="Arial"/>
          <w:bCs/>
          <w:lang w:val="fr-FR"/>
        </w:rPr>
      </w:pPr>
    </w:p>
    <w:p w:rsidR="009C6681" w:rsidRPr="00A82E28" w:rsidRDefault="00E75D5A" w:rsidP="00D80393">
      <w:pPr>
        <w:tabs>
          <w:tab w:val="num" w:pos="720"/>
        </w:tabs>
        <w:rPr>
          <w:rFonts w:cs="Arial"/>
          <w:bCs/>
          <w:lang w:val="fr-FR"/>
        </w:rPr>
      </w:pPr>
      <w:r w:rsidRPr="00A82E28">
        <w:rPr>
          <w:rFonts w:cs="Arial"/>
          <w:bCs/>
          <w:lang w:val="fr-FR"/>
        </w:rPr>
        <w:t>3</w:t>
      </w:r>
      <w:r w:rsidR="003410CE">
        <w:rPr>
          <w:rFonts w:cs="Arial"/>
          <w:bCs/>
          <w:lang w:val="fr-FR"/>
        </w:rPr>
        <w:t>.</w:t>
      </w:r>
      <w:r w:rsidR="003410CE">
        <w:rPr>
          <w:rFonts w:cs="Arial"/>
          <w:bCs/>
          <w:lang w:val="fr-FR"/>
        </w:rPr>
        <w:tab/>
      </w:r>
      <w:r w:rsidR="00B40A4C" w:rsidRPr="00A82E28">
        <w:rPr>
          <w:rFonts w:cs="Arial"/>
          <w:bCs/>
          <w:lang w:val="fr-FR"/>
        </w:rPr>
        <w:t xml:space="preserve">Un rapport actualisé sera présenté par le Président du Groupe de travail sur la gestion à la reprise de la session de la SC59, conformément aux </w:t>
      </w:r>
      <w:r w:rsidR="003410CE">
        <w:rPr>
          <w:rFonts w:cs="Arial"/>
          <w:bCs/>
          <w:lang w:val="fr-FR"/>
        </w:rPr>
        <w:t>résultats des débats de sa réunion du 23 </w:t>
      </w:r>
      <w:r w:rsidR="00B40A4C" w:rsidRPr="00A82E28">
        <w:rPr>
          <w:rFonts w:cs="Arial"/>
          <w:bCs/>
          <w:lang w:val="fr-FR"/>
        </w:rPr>
        <w:t xml:space="preserve">mai.  </w:t>
      </w:r>
    </w:p>
    <w:p w:rsidR="009C6681" w:rsidRPr="00A82E28" w:rsidRDefault="009C6681" w:rsidP="00D80393">
      <w:pPr>
        <w:tabs>
          <w:tab w:val="num" w:pos="720"/>
        </w:tabs>
        <w:rPr>
          <w:rFonts w:cs="Arial"/>
          <w:bCs/>
          <w:lang w:val="fr-FR"/>
        </w:rPr>
      </w:pPr>
    </w:p>
    <w:p w:rsidR="009C6681" w:rsidRPr="00A82E28" w:rsidRDefault="009C6681" w:rsidP="00D80393">
      <w:pPr>
        <w:tabs>
          <w:tab w:val="num" w:pos="720"/>
        </w:tabs>
        <w:rPr>
          <w:rFonts w:cs="Arial"/>
          <w:bCs/>
          <w:lang w:val="fr-FR"/>
        </w:rPr>
      </w:pPr>
    </w:p>
    <w:p w:rsidR="009C6681" w:rsidRPr="00A82E28" w:rsidRDefault="009C6681" w:rsidP="00D80393">
      <w:pPr>
        <w:tabs>
          <w:tab w:val="num" w:pos="720"/>
        </w:tabs>
        <w:rPr>
          <w:rFonts w:cs="Arial"/>
          <w:lang w:val="fr-FR"/>
        </w:rPr>
      </w:pPr>
    </w:p>
    <w:p w:rsidR="00E43E6A" w:rsidRPr="00A82E28" w:rsidRDefault="00E43E6A" w:rsidP="00014168">
      <w:pPr>
        <w:rPr>
          <w:rFonts w:cs="Arial"/>
          <w:b/>
          <w:lang w:val="fr-FR"/>
        </w:rPr>
      </w:pPr>
    </w:p>
    <w:p w:rsidR="00CB7E57" w:rsidRPr="00A82E28" w:rsidRDefault="00CB7E57">
      <w:pPr>
        <w:rPr>
          <w:rFonts w:cs="Arial"/>
          <w:b/>
          <w:sz w:val="24"/>
          <w:szCs w:val="24"/>
          <w:lang w:val="fr-FR"/>
        </w:rPr>
      </w:pPr>
      <w:r w:rsidRPr="00A82E28">
        <w:rPr>
          <w:rFonts w:cs="Arial"/>
          <w:b/>
          <w:sz w:val="24"/>
          <w:szCs w:val="24"/>
          <w:lang w:val="fr-FR"/>
        </w:rPr>
        <w:br w:type="page"/>
      </w:r>
    </w:p>
    <w:p w:rsidR="00E43E6A" w:rsidRPr="00A82E28" w:rsidRDefault="00E43E6A" w:rsidP="001C723D">
      <w:pPr>
        <w:rPr>
          <w:rFonts w:cs="Arial"/>
          <w:b/>
          <w:sz w:val="24"/>
          <w:szCs w:val="24"/>
          <w:lang w:val="fr-FR"/>
        </w:rPr>
      </w:pPr>
      <w:r w:rsidRPr="00A82E28">
        <w:rPr>
          <w:rFonts w:cs="Arial"/>
          <w:b/>
          <w:sz w:val="24"/>
          <w:szCs w:val="24"/>
          <w:lang w:val="fr-FR"/>
        </w:rPr>
        <w:lastRenderedPageBreak/>
        <w:t>Annex</w:t>
      </w:r>
      <w:r w:rsidR="00B40A4C" w:rsidRPr="00A82E28">
        <w:rPr>
          <w:rFonts w:cs="Arial"/>
          <w:b/>
          <w:sz w:val="24"/>
          <w:szCs w:val="24"/>
          <w:lang w:val="fr-FR"/>
        </w:rPr>
        <w:t>e</w:t>
      </w:r>
      <w:r w:rsidRPr="00A82E28">
        <w:rPr>
          <w:rFonts w:cs="Arial"/>
          <w:b/>
          <w:sz w:val="24"/>
          <w:szCs w:val="24"/>
          <w:lang w:val="fr-FR"/>
        </w:rPr>
        <w:t xml:space="preserve"> 1</w:t>
      </w:r>
    </w:p>
    <w:p w:rsidR="007F6753" w:rsidRPr="00A82E28" w:rsidRDefault="00B40A4C" w:rsidP="001C723D">
      <w:pPr>
        <w:ind w:left="0" w:firstLine="1"/>
        <w:rPr>
          <w:rFonts w:cs="Arial"/>
          <w:b/>
          <w:sz w:val="24"/>
          <w:szCs w:val="24"/>
          <w:lang w:val="fr-FR"/>
        </w:rPr>
      </w:pPr>
      <w:r w:rsidRPr="00A82E28">
        <w:rPr>
          <w:rFonts w:cs="Arial"/>
          <w:b/>
          <w:sz w:val="24"/>
          <w:szCs w:val="24"/>
          <w:lang w:val="fr-FR"/>
        </w:rPr>
        <w:t xml:space="preserve">Procès-verbal de la réunion </w:t>
      </w:r>
      <w:r w:rsidRPr="003410CE">
        <w:rPr>
          <w:rFonts w:cs="Arial"/>
          <w:sz w:val="24"/>
          <w:szCs w:val="24"/>
          <w:lang w:val="fr-FR"/>
        </w:rPr>
        <w:t>(par vidéoconférence)</w:t>
      </w:r>
      <w:r w:rsidR="003410CE">
        <w:rPr>
          <w:rFonts w:cs="Arial"/>
          <w:b/>
          <w:sz w:val="24"/>
          <w:szCs w:val="24"/>
          <w:lang w:val="fr-FR"/>
        </w:rPr>
        <w:t xml:space="preserve"> du G</w:t>
      </w:r>
      <w:r w:rsidRPr="00A82E28">
        <w:rPr>
          <w:rFonts w:cs="Arial"/>
          <w:b/>
          <w:sz w:val="24"/>
          <w:szCs w:val="24"/>
          <w:lang w:val="fr-FR"/>
        </w:rPr>
        <w:t>roupe de travail sur la gestion</w:t>
      </w:r>
      <w:r w:rsidR="003410CE">
        <w:rPr>
          <w:rFonts w:cs="Arial"/>
          <w:b/>
          <w:sz w:val="24"/>
          <w:szCs w:val="24"/>
          <w:lang w:val="fr-FR"/>
        </w:rPr>
        <w:t xml:space="preserve"> du </w:t>
      </w:r>
      <w:r w:rsidRPr="00A82E28">
        <w:rPr>
          <w:rFonts w:cs="Arial"/>
          <w:b/>
          <w:sz w:val="24"/>
          <w:szCs w:val="24"/>
          <w:lang w:val="fr-FR"/>
        </w:rPr>
        <w:t>13 janvier 2022</w:t>
      </w:r>
    </w:p>
    <w:p w:rsidR="00175E49" w:rsidRPr="00A82E28" w:rsidRDefault="00175E49" w:rsidP="001C723D">
      <w:pPr>
        <w:rPr>
          <w:rFonts w:cs="Arial"/>
          <w:b/>
          <w:sz w:val="24"/>
          <w:szCs w:val="24"/>
          <w:lang w:val="fr-FR"/>
        </w:rPr>
      </w:pPr>
    </w:p>
    <w:p w:rsidR="00175E49" w:rsidRPr="00A82E28" w:rsidRDefault="00175E49" w:rsidP="001C723D">
      <w:pPr>
        <w:rPr>
          <w:lang w:val="fr-FR"/>
        </w:rPr>
      </w:pPr>
      <w:r w:rsidRPr="00A82E28">
        <w:rPr>
          <w:lang w:val="fr-FR"/>
        </w:rPr>
        <w:t>Participants</w:t>
      </w:r>
      <w:r w:rsidR="003410CE">
        <w:rPr>
          <w:lang w:val="fr-FR"/>
        </w:rPr>
        <w:t xml:space="preserve"> </w:t>
      </w:r>
      <w:r w:rsidRPr="00A82E28">
        <w:rPr>
          <w:lang w:val="fr-FR"/>
        </w:rPr>
        <w:t xml:space="preserve">: </w:t>
      </w:r>
    </w:p>
    <w:p w:rsidR="00175E49" w:rsidRDefault="00B40A4C" w:rsidP="00B40A4C">
      <w:pPr>
        <w:ind w:left="0" w:firstLine="0"/>
        <w:rPr>
          <w:rFonts w:eastAsiaTheme="minorEastAsia" w:cstheme="minorHAnsi"/>
          <w:iCs/>
          <w:lang w:val="fr-FR"/>
        </w:rPr>
      </w:pPr>
      <w:r w:rsidRPr="00A82E28">
        <w:rPr>
          <w:rFonts w:eastAsiaTheme="minorEastAsia" w:cstheme="minorHAnsi"/>
          <w:i/>
          <w:iCs/>
          <w:lang w:val="fr-FR"/>
        </w:rPr>
        <w:t xml:space="preserve">Membres du Groupe de travail sur la gestion - Parties contractantes : </w:t>
      </w:r>
      <w:r w:rsidRPr="00A82E28">
        <w:rPr>
          <w:rFonts w:eastAsiaTheme="minorEastAsia" w:cstheme="minorHAnsi"/>
          <w:iCs/>
          <w:lang w:val="fr-FR"/>
        </w:rPr>
        <w:t xml:space="preserve">Australie, Émirats arabes unis (président), États-Unis d’Amérique, Iran, Mexique, Suède, Suisse, Uruguay, </w:t>
      </w:r>
    </w:p>
    <w:p w:rsidR="003410CE" w:rsidRPr="00A82E28" w:rsidRDefault="003410CE" w:rsidP="00B40A4C">
      <w:pPr>
        <w:ind w:left="0" w:firstLine="0"/>
        <w:rPr>
          <w:rFonts w:eastAsiaTheme="minorEastAsia" w:cstheme="minorHAnsi"/>
          <w:lang w:val="fr-FR"/>
        </w:rPr>
      </w:pPr>
    </w:p>
    <w:p w:rsidR="00175E49" w:rsidRPr="00A82E28" w:rsidRDefault="00B40A4C" w:rsidP="00617D1A">
      <w:pPr>
        <w:ind w:left="0" w:firstLine="0"/>
        <w:contextualSpacing/>
        <w:rPr>
          <w:rFonts w:eastAsiaTheme="minorEastAsia" w:cstheme="minorHAnsi"/>
          <w:lang w:val="fr-FR"/>
        </w:rPr>
      </w:pPr>
      <w:r w:rsidRPr="00A82E28">
        <w:rPr>
          <w:rFonts w:eastAsiaTheme="minorEastAsia" w:cstheme="minorHAnsi"/>
          <w:i/>
          <w:iCs/>
          <w:lang w:val="fr-FR"/>
        </w:rPr>
        <w:t>Membres de Parties non contractantes </w:t>
      </w:r>
      <w:r w:rsidR="00175E49" w:rsidRPr="00A82E28">
        <w:rPr>
          <w:rFonts w:eastAsiaTheme="minorEastAsia" w:cstheme="minorHAnsi"/>
          <w:iCs/>
          <w:lang w:val="fr-FR"/>
        </w:rPr>
        <w:t>:</w:t>
      </w:r>
      <w:r w:rsidR="00175E49" w:rsidRPr="00A82E28">
        <w:rPr>
          <w:rFonts w:eastAsiaTheme="minorEastAsia" w:cstheme="minorHAnsi"/>
          <w:i/>
          <w:iCs/>
          <w:lang w:val="fr-FR"/>
        </w:rPr>
        <w:t xml:space="preserve"> </w:t>
      </w:r>
      <w:r w:rsidR="00617D1A" w:rsidRPr="00A82E28">
        <w:rPr>
          <w:rFonts w:eastAsiaTheme="minorEastAsia" w:cstheme="minorHAnsi"/>
          <w:lang w:val="fr-FR"/>
        </w:rPr>
        <w:t>Président du GEST, ancien Président du GEST</w:t>
      </w:r>
      <w:r w:rsidR="00175E49" w:rsidRPr="00A82E28">
        <w:rPr>
          <w:rFonts w:eastAsiaTheme="minorEastAsia" w:cstheme="minorHAnsi"/>
          <w:lang w:val="fr-FR"/>
        </w:rPr>
        <w:t xml:space="preserve">, </w:t>
      </w:r>
      <w:r w:rsidR="00617D1A" w:rsidRPr="00A82E28">
        <w:rPr>
          <w:rFonts w:eastAsiaTheme="minorEastAsia" w:cstheme="minorHAnsi"/>
          <w:lang w:val="fr-FR"/>
        </w:rPr>
        <w:t>représentant d’une OIP (</w:t>
      </w:r>
      <w:r w:rsidR="00175E49" w:rsidRPr="00A82E28">
        <w:rPr>
          <w:lang w:val="fr-FR"/>
        </w:rPr>
        <w:t>WWT</w:t>
      </w:r>
      <w:r w:rsidR="00175E49" w:rsidRPr="00A82E28">
        <w:rPr>
          <w:rFonts w:eastAsiaTheme="minorEastAsia" w:cstheme="minorHAnsi"/>
          <w:lang w:val="fr-FR"/>
        </w:rPr>
        <w:t>)</w:t>
      </w:r>
      <w:r w:rsidR="003410CE">
        <w:rPr>
          <w:rFonts w:eastAsiaTheme="minorEastAsia" w:cstheme="minorHAnsi"/>
          <w:lang w:val="fr-FR"/>
        </w:rPr>
        <w:t>,</w:t>
      </w:r>
    </w:p>
    <w:p w:rsidR="00175E49" w:rsidRPr="00A82E28" w:rsidRDefault="00175E49" w:rsidP="001C723D">
      <w:pPr>
        <w:rPr>
          <w:rFonts w:eastAsiaTheme="minorEastAsia" w:cstheme="minorHAnsi"/>
          <w:lang w:val="fr-FR"/>
        </w:rPr>
      </w:pPr>
    </w:p>
    <w:p w:rsidR="00175E49" w:rsidRPr="00A82E28" w:rsidRDefault="00617D1A" w:rsidP="00617D1A">
      <w:pPr>
        <w:ind w:left="0" w:firstLine="0"/>
        <w:rPr>
          <w:rFonts w:eastAsiaTheme="minorEastAsia" w:cstheme="minorHAnsi"/>
          <w:lang w:val="fr-FR"/>
        </w:rPr>
      </w:pPr>
      <w:r w:rsidRPr="00A82E28">
        <w:rPr>
          <w:i/>
          <w:lang w:val="fr-FR"/>
        </w:rPr>
        <w:t>Secrétariat </w:t>
      </w:r>
      <w:r w:rsidR="00175E49" w:rsidRPr="00A82E28">
        <w:rPr>
          <w:i/>
          <w:lang w:val="fr-FR"/>
        </w:rPr>
        <w:t>:</w:t>
      </w:r>
      <w:r w:rsidR="00175E49" w:rsidRPr="00A82E28">
        <w:rPr>
          <w:lang w:val="fr-FR"/>
        </w:rPr>
        <w:t xml:space="preserve"> </w:t>
      </w:r>
      <w:r w:rsidRPr="00A82E28">
        <w:rPr>
          <w:lang w:val="fr-FR"/>
        </w:rPr>
        <w:t>Secrétaire général</w:t>
      </w:r>
      <w:r w:rsidR="003410CE">
        <w:rPr>
          <w:lang w:val="fr-FR"/>
        </w:rPr>
        <w:t>e</w:t>
      </w:r>
      <w:r w:rsidRPr="00A82E28">
        <w:rPr>
          <w:lang w:val="fr-FR"/>
        </w:rPr>
        <w:t>, Secrétaire généra</w:t>
      </w:r>
      <w:r w:rsidR="003410CE">
        <w:rPr>
          <w:lang w:val="fr-FR"/>
        </w:rPr>
        <w:t>l adjoint, Conseiller principal</w:t>
      </w:r>
      <w:r w:rsidRPr="00A82E28">
        <w:rPr>
          <w:lang w:val="fr-FR"/>
        </w:rPr>
        <w:t xml:space="preserve"> </w:t>
      </w:r>
      <w:r w:rsidR="003410CE">
        <w:rPr>
          <w:lang w:val="fr-FR"/>
        </w:rPr>
        <w:t xml:space="preserve">et </w:t>
      </w:r>
      <w:r w:rsidRPr="00A82E28">
        <w:rPr>
          <w:lang w:val="fr-FR"/>
        </w:rPr>
        <w:t>Directeur</w:t>
      </w:r>
      <w:r w:rsidR="003410CE">
        <w:rPr>
          <w:lang w:val="fr-FR"/>
        </w:rPr>
        <w:t>,</w:t>
      </w:r>
      <w:r w:rsidRPr="00A82E28">
        <w:rPr>
          <w:lang w:val="fr-FR"/>
        </w:rPr>
        <w:t xml:space="preserve"> Science</w:t>
      </w:r>
      <w:r w:rsidR="003410CE">
        <w:rPr>
          <w:lang w:val="fr-FR"/>
        </w:rPr>
        <w:t>s</w:t>
      </w:r>
      <w:r w:rsidRPr="00A82E28">
        <w:rPr>
          <w:lang w:val="fr-FR"/>
        </w:rPr>
        <w:t xml:space="preserve"> et politique</w:t>
      </w:r>
      <w:r w:rsidR="003410CE">
        <w:rPr>
          <w:lang w:val="fr-FR"/>
        </w:rPr>
        <w:t>s.</w:t>
      </w:r>
    </w:p>
    <w:p w:rsidR="00175E49" w:rsidRPr="00A82E28" w:rsidRDefault="00175E49" w:rsidP="001C723D">
      <w:pPr>
        <w:rPr>
          <w:lang w:val="fr-FR"/>
        </w:rPr>
      </w:pPr>
    </w:p>
    <w:p w:rsidR="00175E49" w:rsidRPr="00A82E28" w:rsidRDefault="00617D1A" w:rsidP="001C723D">
      <w:pPr>
        <w:contextualSpacing/>
        <w:rPr>
          <w:rFonts w:eastAsiaTheme="minorEastAsia" w:cstheme="minorHAnsi"/>
          <w:b/>
          <w:bCs/>
          <w:lang w:val="fr-FR"/>
        </w:rPr>
      </w:pPr>
      <w:r w:rsidRPr="00A82E28">
        <w:rPr>
          <w:rFonts w:eastAsiaTheme="minorEastAsia" w:cstheme="minorHAnsi"/>
          <w:b/>
          <w:bCs/>
          <w:lang w:val="fr-FR"/>
        </w:rPr>
        <w:t>Historique</w:t>
      </w:r>
    </w:p>
    <w:p w:rsidR="00175E49" w:rsidRPr="00A82E28" w:rsidRDefault="00175E49" w:rsidP="001C723D">
      <w:pPr>
        <w:rPr>
          <w:lang w:val="fr-FR"/>
        </w:rPr>
      </w:pPr>
    </w:p>
    <w:p w:rsidR="00175E49" w:rsidRPr="00A82E28" w:rsidRDefault="003410CE" w:rsidP="001C723D">
      <w:pPr>
        <w:pStyle w:val="ListParagraph"/>
        <w:numPr>
          <w:ilvl w:val="0"/>
          <w:numId w:val="31"/>
        </w:numPr>
        <w:ind w:left="360"/>
        <w:rPr>
          <w:rFonts w:eastAsiaTheme="minorEastAsia" w:cstheme="minorHAnsi"/>
          <w:bCs/>
          <w:lang w:val="fr-FR"/>
        </w:rPr>
      </w:pPr>
      <w:r>
        <w:rPr>
          <w:rFonts w:eastAsiaTheme="minorEastAsia" w:cstheme="minorHAnsi"/>
          <w:bCs/>
          <w:lang w:val="fr-FR"/>
        </w:rPr>
        <w:t>Le</w:t>
      </w:r>
      <w:r w:rsidR="00617D1A" w:rsidRPr="00A82E28">
        <w:rPr>
          <w:rFonts w:eastAsiaTheme="minorEastAsia" w:cstheme="minorHAnsi"/>
          <w:bCs/>
          <w:lang w:val="fr-FR"/>
        </w:rPr>
        <w:t xml:space="preserve"> Groupe de travail sur la gestion s’est réuni quatre fois </w:t>
      </w:r>
      <w:r>
        <w:rPr>
          <w:rFonts w:eastAsiaTheme="minorEastAsia" w:cstheme="minorHAnsi"/>
          <w:bCs/>
          <w:lang w:val="fr-FR"/>
        </w:rPr>
        <w:t>a</w:t>
      </w:r>
      <w:r w:rsidRPr="00A82E28">
        <w:rPr>
          <w:rFonts w:eastAsiaTheme="minorEastAsia" w:cstheme="minorHAnsi"/>
          <w:bCs/>
          <w:lang w:val="fr-FR"/>
        </w:rPr>
        <w:t xml:space="preserve">u cours de la période triennale en </w:t>
      </w:r>
      <w:r>
        <w:rPr>
          <w:rFonts w:eastAsiaTheme="minorEastAsia" w:cstheme="minorHAnsi"/>
          <w:bCs/>
          <w:lang w:val="fr-FR"/>
        </w:rPr>
        <w:t>cours </w:t>
      </w:r>
      <w:r w:rsidR="00617D1A" w:rsidRPr="00A82E28">
        <w:rPr>
          <w:rFonts w:eastAsiaTheme="minorEastAsia" w:cstheme="minorHAnsi"/>
          <w:bCs/>
          <w:lang w:val="fr-FR"/>
        </w:rPr>
        <w:t xml:space="preserve">: le 21 novembre 2019, le 10 juin 2020, le 2 novembre 2020 et le 14 juin 2021, pour superviser </w:t>
      </w:r>
      <w:r>
        <w:rPr>
          <w:rFonts w:eastAsiaTheme="minorEastAsia" w:cstheme="minorHAnsi"/>
          <w:bCs/>
          <w:lang w:val="fr-FR"/>
        </w:rPr>
        <w:t xml:space="preserve">et conseiller </w:t>
      </w:r>
      <w:r w:rsidR="00617D1A" w:rsidRPr="00A82E28">
        <w:rPr>
          <w:rFonts w:eastAsiaTheme="minorEastAsia" w:cstheme="minorHAnsi"/>
          <w:bCs/>
          <w:lang w:val="fr-FR"/>
        </w:rPr>
        <w:t xml:space="preserve">le Groupe d’évaluation scientifique, technique et scientifique (GEST) et le Groupe de surveillance </w:t>
      </w:r>
      <w:r w:rsidR="00E04B50" w:rsidRPr="00A82E28">
        <w:rPr>
          <w:rFonts w:eastAsiaTheme="minorEastAsia" w:cstheme="minorHAnsi"/>
          <w:bCs/>
          <w:lang w:val="fr-FR"/>
        </w:rPr>
        <w:t>des activités de CESP</w:t>
      </w:r>
      <w:r w:rsidR="00617D1A" w:rsidRPr="00A82E28">
        <w:rPr>
          <w:rFonts w:eastAsiaTheme="minorEastAsia" w:cstheme="minorHAnsi"/>
          <w:bCs/>
          <w:lang w:val="fr-FR"/>
        </w:rPr>
        <w:t>.</w:t>
      </w:r>
    </w:p>
    <w:p w:rsidR="00175E49" w:rsidRPr="00A82E28" w:rsidRDefault="00175E49" w:rsidP="001C723D">
      <w:pPr>
        <w:pStyle w:val="ListParagraph"/>
        <w:ind w:left="360"/>
        <w:rPr>
          <w:rFonts w:eastAsiaTheme="minorEastAsia" w:cstheme="minorHAnsi"/>
          <w:bCs/>
          <w:lang w:val="fr-FR"/>
        </w:rPr>
      </w:pPr>
    </w:p>
    <w:p w:rsidR="00175E49" w:rsidRPr="00A82E28" w:rsidRDefault="00E04B50" w:rsidP="001C723D">
      <w:pPr>
        <w:pStyle w:val="ListParagraph"/>
        <w:numPr>
          <w:ilvl w:val="0"/>
          <w:numId w:val="31"/>
        </w:numPr>
        <w:ind w:left="360"/>
        <w:rPr>
          <w:lang w:val="fr-FR"/>
        </w:rPr>
      </w:pPr>
      <w:r w:rsidRPr="00A82E28">
        <w:rPr>
          <w:rFonts w:eastAsiaTheme="minorEastAsia" w:cstheme="minorHAnsi"/>
          <w:bCs/>
          <w:lang w:val="fr-FR"/>
        </w:rPr>
        <w:t xml:space="preserve">La réunion du 14 juin 2021 a notamment examiné les travaux du GEST en rapport avec les tâches </w:t>
      </w:r>
      <w:r w:rsidR="003410CE">
        <w:rPr>
          <w:rFonts w:eastAsiaTheme="minorEastAsia" w:cstheme="minorHAnsi"/>
          <w:bCs/>
          <w:lang w:val="fr-FR"/>
        </w:rPr>
        <w:t>hautement</w:t>
      </w:r>
      <w:r w:rsidRPr="00A82E28">
        <w:rPr>
          <w:rFonts w:eastAsiaTheme="minorEastAsia" w:cstheme="minorHAnsi"/>
          <w:bCs/>
          <w:lang w:val="fr-FR"/>
        </w:rPr>
        <w:t xml:space="preserve"> prioritaires de son plan de travail, la tâche </w:t>
      </w:r>
      <w:r w:rsidRPr="00A82E28">
        <w:rPr>
          <w:rFonts w:eastAsiaTheme="minorEastAsia" w:cstheme="minorHAnsi"/>
          <w:bCs/>
          <w:i/>
          <w:lang w:val="fr-FR"/>
        </w:rPr>
        <w:t>ad hoc</w:t>
      </w:r>
      <w:r w:rsidR="00544161">
        <w:rPr>
          <w:rFonts w:eastAsiaTheme="minorEastAsia" w:cstheme="minorHAnsi"/>
          <w:bCs/>
          <w:lang w:val="fr-FR"/>
        </w:rPr>
        <w:t xml:space="preserve"> sur l’</w:t>
      </w:r>
      <w:r w:rsidRPr="00A82E28">
        <w:rPr>
          <w:rFonts w:eastAsiaTheme="minorEastAsia" w:cstheme="minorHAnsi"/>
          <w:bCs/>
          <w:lang w:val="fr-FR"/>
        </w:rPr>
        <w:t>utilisation du critère 6 dans la désignation des zones humides d’importance internationale et les priorités futures du GEST pour la prochaine période triennale, sur la base des informations présentées dans</w:t>
      </w:r>
      <w:r w:rsidR="00544161">
        <w:rPr>
          <w:rFonts w:eastAsiaTheme="minorEastAsia" w:cstheme="minorHAnsi"/>
          <w:bCs/>
          <w:lang w:val="fr-FR"/>
        </w:rPr>
        <w:t xml:space="preserve"> les documents</w:t>
      </w:r>
      <w:r w:rsidRPr="00A82E28">
        <w:rPr>
          <w:rFonts w:eastAsiaTheme="minorEastAsia" w:cstheme="minorHAnsi"/>
          <w:bCs/>
          <w:lang w:val="fr-FR"/>
        </w:rPr>
        <w:t xml:space="preserve"> </w:t>
      </w:r>
      <w:hyperlink r:id="rId11" w:history="1">
        <w:r w:rsidR="00175E49" w:rsidRPr="006B62F5">
          <w:rPr>
            <w:rStyle w:val="Hyperlink"/>
            <w:lang w:val="fr-FR"/>
          </w:rPr>
          <w:t xml:space="preserve">SC59 Doc.25 </w:t>
        </w:r>
        <w:r w:rsidR="006B62F5" w:rsidRPr="006C5CEC">
          <w:rPr>
            <w:rStyle w:val="Hyperlink"/>
            <w:lang w:val="fr-FR"/>
          </w:rPr>
          <w:t>Rapport du Président du Groupe d’évaluation scientifique et technique</w:t>
        </w:r>
      </w:hyperlink>
      <w:r w:rsidR="00175E49" w:rsidRPr="00A82E28">
        <w:rPr>
          <w:lang w:val="fr-FR"/>
        </w:rPr>
        <w:t xml:space="preserve"> </w:t>
      </w:r>
      <w:r w:rsidRPr="00A82E28">
        <w:rPr>
          <w:lang w:val="fr-FR"/>
        </w:rPr>
        <w:t>et</w:t>
      </w:r>
      <w:r w:rsidR="00175E49" w:rsidRPr="00A82E28">
        <w:rPr>
          <w:lang w:val="fr-FR"/>
        </w:rPr>
        <w:t xml:space="preserve"> </w:t>
      </w:r>
      <w:hyperlink r:id="rId12" w:history="1">
        <w:r w:rsidR="00175E49" w:rsidRPr="006B62F5">
          <w:rPr>
            <w:rStyle w:val="Hyperlink"/>
            <w:lang w:val="fr-FR"/>
          </w:rPr>
          <w:t xml:space="preserve">SC59 Doc.26 </w:t>
        </w:r>
        <w:r w:rsidR="006B62F5" w:rsidRPr="006C5CEC">
          <w:rPr>
            <w:rStyle w:val="Hyperlink"/>
            <w:lang w:val="fr-FR"/>
          </w:rPr>
          <w:t>Projet de résolution sur l’application future des aspects scientifiques et techniques de la Convention pour 2022-2024</w:t>
        </w:r>
      </w:hyperlink>
      <w:r w:rsidR="00175E49" w:rsidRPr="00A82E28">
        <w:rPr>
          <w:rFonts w:eastAsiaTheme="minorEastAsia" w:cstheme="minorHAnsi"/>
          <w:bCs/>
          <w:lang w:val="fr-FR"/>
        </w:rPr>
        <w:t xml:space="preserve">. </w:t>
      </w:r>
      <w:r w:rsidRPr="00A82E28">
        <w:rPr>
          <w:rFonts w:eastAsiaTheme="minorEastAsia" w:cs="Calibri"/>
          <w:bCs/>
          <w:lang w:val="fr-FR"/>
        </w:rPr>
        <w:t>À</w:t>
      </w:r>
      <w:r w:rsidRPr="00A82E28">
        <w:rPr>
          <w:rFonts w:eastAsiaTheme="minorEastAsia" w:cstheme="minorHAnsi"/>
          <w:bCs/>
          <w:lang w:val="fr-FR"/>
        </w:rPr>
        <w:t xml:space="preserve"> la suite de cela</w:t>
      </w:r>
      <w:r w:rsidR="00544161">
        <w:rPr>
          <w:rFonts w:eastAsiaTheme="minorEastAsia" w:cstheme="minorHAnsi"/>
          <w:bCs/>
          <w:lang w:val="fr-FR"/>
        </w:rPr>
        <w:t>, la</w:t>
      </w:r>
      <w:r w:rsidRPr="00A82E28">
        <w:rPr>
          <w:rFonts w:eastAsiaTheme="minorEastAsia" w:cstheme="minorHAnsi"/>
          <w:bCs/>
          <w:lang w:val="fr-FR"/>
        </w:rPr>
        <w:t xml:space="preserve"> SC 59 a adopté un certain nombre de décisions fournissant des orientations au GEST (</w:t>
      </w:r>
      <w:hyperlink r:id="rId13" w:history="1">
        <w:r w:rsidR="006C5CEC">
          <w:rPr>
            <w:rStyle w:val="Hyperlink"/>
            <w:sz w:val="21"/>
            <w:szCs w:val="21"/>
            <w:lang w:val="fr-FR"/>
          </w:rPr>
          <w:t>Dé</w:t>
        </w:r>
        <w:r w:rsidR="00175E49" w:rsidRPr="00A82E28">
          <w:rPr>
            <w:rStyle w:val="Hyperlink"/>
            <w:sz w:val="21"/>
            <w:szCs w:val="21"/>
            <w:lang w:val="fr-FR"/>
          </w:rPr>
          <w:t>cision</w:t>
        </w:r>
        <w:r w:rsidR="006C5CEC">
          <w:rPr>
            <w:rStyle w:val="Hyperlink"/>
            <w:sz w:val="21"/>
            <w:szCs w:val="21"/>
            <w:lang w:val="fr-FR"/>
          </w:rPr>
          <w:t>s</w:t>
        </w:r>
        <w:r w:rsidR="00175E49" w:rsidRPr="00A82E28">
          <w:rPr>
            <w:rStyle w:val="Hyperlink"/>
            <w:sz w:val="21"/>
            <w:szCs w:val="21"/>
            <w:lang w:val="fr-FR"/>
          </w:rPr>
          <w:t xml:space="preserve"> SC59-04, 05, 06 and 07</w:t>
        </w:r>
      </w:hyperlink>
      <w:r w:rsidR="00175E49" w:rsidRPr="00A82E28">
        <w:rPr>
          <w:sz w:val="21"/>
          <w:szCs w:val="21"/>
          <w:lang w:val="fr-FR"/>
        </w:rPr>
        <w:t xml:space="preserve">). </w:t>
      </w:r>
    </w:p>
    <w:p w:rsidR="00175E49" w:rsidRPr="00A82E28" w:rsidRDefault="00175E49" w:rsidP="001C723D">
      <w:pPr>
        <w:rPr>
          <w:rFonts w:eastAsiaTheme="minorEastAsia" w:cstheme="minorHAnsi"/>
          <w:lang w:val="fr-FR"/>
        </w:rPr>
      </w:pPr>
    </w:p>
    <w:p w:rsidR="00175E49" w:rsidRPr="00A82E28" w:rsidRDefault="00E04B50" w:rsidP="001C723D">
      <w:pPr>
        <w:contextualSpacing/>
        <w:rPr>
          <w:rFonts w:eastAsiaTheme="minorEastAsia" w:cstheme="minorHAnsi"/>
          <w:b/>
          <w:bCs/>
          <w:lang w:val="fr-FR"/>
        </w:rPr>
      </w:pPr>
      <w:r w:rsidRPr="00A82E28">
        <w:rPr>
          <w:rFonts w:eastAsiaTheme="minorEastAsia" w:cstheme="minorHAnsi"/>
          <w:b/>
          <w:bCs/>
          <w:lang w:val="fr-FR"/>
        </w:rPr>
        <w:t>Réunion du</w:t>
      </w:r>
      <w:r w:rsidR="00175E49" w:rsidRPr="00A82E28">
        <w:rPr>
          <w:rFonts w:eastAsiaTheme="minorEastAsia" w:cstheme="minorHAnsi"/>
          <w:b/>
          <w:bCs/>
          <w:lang w:val="fr-FR"/>
        </w:rPr>
        <w:t xml:space="preserve"> 13 </w:t>
      </w:r>
      <w:r w:rsidRPr="00A82E28">
        <w:rPr>
          <w:rFonts w:eastAsiaTheme="minorEastAsia" w:cstheme="minorHAnsi"/>
          <w:b/>
          <w:bCs/>
          <w:lang w:val="fr-FR"/>
        </w:rPr>
        <w:t>janvier</w:t>
      </w:r>
      <w:r w:rsidR="00175E49" w:rsidRPr="00A82E28">
        <w:rPr>
          <w:rFonts w:eastAsiaTheme="minorEastAsia" w:cstheme="minorHAnsi"/>
          <w:b/>
          <w:bCs/>
          <w:lang w:val="fr-FR"/>
        </w:rPr>
        <w:t xml:space="preserve"> 2022</w:t>
      </w:r>
    </w:p>
    <w:p w:rsidR="00175E49" w:rsidRPr="00A82E28" w:rsidRDefault="00175E49" w:rsidP="001C723D">
      <w:pPr>
        <w:pStyle w:val="ListParagraph"/>
        <w:rPr>
          <w:rFonts w:eastAsiaTheme="minorEastAsia" w:cstheme="minorHAnsi"/>
          <w:lang w:val="fr-FR"/>
        </w:rPr>
      </w:pPr>
    </w:p>
    <w:p w:rsidR="00175E49" w:rsidRPr="00A82E28" w:rsidRDefault="00E04B50" w:rsidP="001C723D">
      <w:pPr>
        <w:pStyle w:val="ListParagraph"/>
        <w:numPr>
          <w:ilvl w:val="0"/>
          <w:numId w:val="31"/>
        </w:numPr>
        <w:ind w:left="360"/>
        <w:rPr>
          <w:lang w:val="fr-FR"/>
        </w:rPr>
      </w:pPr>
      <w:r w:rsidRPr="00A82E28">
        <w:rPr>
          <w:rFonts w:eastAsiaTheme="minorEastAsia" w:cstheme="minorHAnsi"/>
          <w:lang w:val="fr-FR"/>
        </w:rPr>
        <w:t>Le président souhaite la bienvenue aux participants à la réunion</w:t>
      </w:r>
      <w:r w:rsidR="00175E49" w:rsidRPr="00A82E28">
        <w:rPr>
          <w:rFonts w:eastAsiaTheme="minorEastAsia" w:cstheme="minorHAnsi"/>
          <w:lang w:val="fr-FR"/>
        </w:rPr>
        <w:t>.</w:t>
      </w:r>
    </w:p>
    <w:p w:rsidR="00175E49" w:rsidRPr="00A82E28" w:rsidRDefault="00175E49" w:rsidP="001C723D">
      <w:pPr>
        <w:pStyle w:val="ListParagraph"/>
        <w:ind w:left="360"/>
        <w:rPr>
          <w:lang w:val="fr-FR"/>
        </w:rPr>
      </w:pPr>
    </w:p>
    <w:p w:rsidR="00175E49" w:rsidRPr="00A82E28" w:rsidRDefault="00E04B50" w:rsidP="001C723D">
      <w:pPr>
        <w:pStyle w:val="ListParagraph"/>
        <w:numPr>
          <w:ilvl w:val="0"/>
          <w:numId w:val="31"/>
        </w:numPr>
        <w:ind w:left="426" w:hanging="426"/>
        <w:rPr>
          <w:rFonts w:eastAsiaTheme="minorEastAsia" w:cstheme="minorHAnsi"/>
          <w:lang w:val="fr-FR"/>
        </w:rPr>
      </w:pPr>
      <w:r w:rsidRPr="00A82E28">
        <w:rPr>
          <w:rFonts w:eastAsiaTheme="minorEastAsia" w:cstheme="minorHAnsi"/>
          <w:lang w:val="fr-FR"/>
        </w:rPr>
        <w:t>La Secrétaire général</w:t>
      </w:r>
      <w:r w:rsidR="00544161">
        <w:rPr>
          <w:rFonts w:eastAsiaTheme="minorEastAsia" w:cstheme="minorHAnsi"/>
          <w:lang w:val="fr-FR"/>
        </w:rPr>
        <w:t>e explique</w:t>
      </w:r>
      <w:r w:rsidRPr="00A82E28">
        <w:rPr>
          <w:rFonts w:eastAsiaTheme="minorEastAsia" w:cstheme="minorHAnsi"/>
          <w:lang w:val="fr-FR"/>
        </w:rPr>
        <w:t xml:space="preserve"> que l’ordre du jour proposé pour la réunion </w:t>
      </w:r>
      <w:r w:rsidR="00501E61">
        <w:rPr>
          <w:rFonts w:eastAsiaTheme="minorEastAsia" w:cstheme="minorHAnsi"/>
          <w:lang w:val="fr-FR"/>
        </w:rPr>
        <w:t>est</w:t>
      </w:r>
      <w:r w:rsidRPr="00A82E28">
        <w:rPr>
          <w:rFonts w:eastAsiaTheme="minorEastAsia" w:cstheme="minorHAnsi"/>
          <w:lang w:val="fr-FR"/>
        </w:rPr>
        <w:t xml:space="preserve"> que le Groupe de travail sur la gestion assure le suivi des progrès accomplis dans les travaux du GEST en réponse aux décisions du Comité permanent et fournisse d</w:t>
      </w:r>
      <w:r w:rsidR="00544161">
        <w:rPr>
          <w:rFonts w:eastAsiaTheme="minorEastAsia" w:cstheme="minorHAnsi"/>
          <w:lang w:val="fr-FR"/>
        </w:rPr>
        <w:t>es orientations au GEST, en focalisant</w:t>
      </w:r>
      <w:r w:rsidRPr="00A82E28">
        <w:rPr>
          <w:rFonts w:eastAsiaTheme="minorEastAsia" w:cstheme="minorHAnsi"/>
          <w:lang w:val="fr-FR"/>
        </w:rPr>
        <w:t xml:space="preserve"> sur trois points</w:t>
      </w:r>
      <w:r w:rsidR="00544161">
        <w:rPr>
          <w:rFonts w:eastAsiaTheme="minorEastAsia" w:cstheme="minorHAnsi"/>
          <w:lang w:val="fr-FR"/>
        </w:rPr>
        <w:t> </w:t>
      </w:r>
      <w:r w:rsidRPr="00A82E28">
        <w:rPr>
          <w:rFonts w:eastAsiaTheme="minorEastAsia" w:cstheme="minorHAnsi"/>
          <w:lang w:val="fr-FR"/>
        </w:rPr>
        <w:t xml:space="preserve">: les progrès réalisés par le GEST dans l’exécution des tâches </w:t>
      </w:r>
      <w:r w:rsidR="00544161">
        <w:rPr>
          <w:rFonts w:eastAsiaTheme="minorEastAsia" w:cstheme="minorHAnsi"/>
          <w:lang w:val="fr-FR"/>
        </w:rPr>
        <w:t>hautement</w:t>
      </w:r>
      <w:r w:rsidRPr="00A82E28">
        <w:rPr>
          <w:rFonts w:eastAsiaTheme="minorEastAsia" w:cstheme="minorHAnsi"/>
          <w:lang w:val="fr-FR"/>
        </w:rPr>
        <w:t xml:space="preserve"> prioritaires dans le cadre de son plan de travail actuel ainsi que des tâches </w:t>
      </w:r>
      <w:r w:rsidRPr="00A82E28">
        <w:rPr>
          <w:rFonts w:eastAsiaTheme="minorEastAsia" w:cstheme="minorHAnsi"/>
          <w:i/>
          <w:lang w:val="fr-FR"/>
        </w:rPr>
        <w:t>ad hoc </w:t>
      </w:r>
      <w:r w:rsidRPr="00A82E28">
        <w:rPr>
          <w:rFonts w:eastAsiaTheme="minorEastAsia" w:cstheme="minorHAnsi"/>
          <w:lang w:val="fr-FR"/>
        </w:rPr>
        <w:t xml:space="preserve">; les tâches </w:t>
      </w:r>
      <w:r w:rsidR="00544161">
        <w:rPr>
          <w:rFonts w:eastAsiaTheme="minorEastAsia" w:cstheme="minorHAnsi"/>
          <w:lang w:val="fr-FR"/>
        </w:rPr>
        <w:t>additionnelles</w:t>
      </w:r>
      <w:r w:rsidRPr="00A82E28">
        <w:rPr>
          <w:rFonts w:eastAsiaTheme="minorEastAsia" w:cstheme="minorHAnsi"/>
          <w:lang w:val="fr-FR"/>
        </w:rPr>
        <w:t xml:space="preserve"> que le GEST pourrait entreprendre au cours de la présente période triennale</w:t>
      </w:r>
      <w:r w:rsidR="004E0981" w:rsidRPr="00A82E28">
        <w:rPr>
          <w:rFonts w:eastAsiaTheme="minorEastAsia" w:cstheme="minorHAnsi"/>
          <w:lang w:val="fr-FR"/>
        </w:rPr>
        <w:t> ;</w:t>
      </w:r>
      <w:r w:rsidRPr="00A82E28">
        <w:rPr>
          <w:rFonts w:eastAsiaTheme="minorEastAsia" w:cstheme="minorHAnsi"/>
          <w:lang w:val="fr-FR"/>
        </w:rPr>
        <w:t xml:space="preserve"> et</w:t>
      </w:r>
      <w:r w:rsidR="004E0981" w:rsidRPr="00A82E28">
        <w:rPr>
          <w:rFonts w:eastAsiaTheme="minorEastAsia" w:cstheme="minorHAnsi"/>
          <w:lang w:val="fr-FR"/>
        </w:rPr>
        <w:t xml:space="preserve"> la</w:t>
      </w:r>
      <w:r w:rsidRPr="00A82E28">
        <w:rPr>
          <w:rFonts w:eastAsiaTheme="minorEastAsia" w:cstheme="minorHAnsi"/>
          <w:lang w:val="fr-FR"/>
        </w:rPr>
        <w:t xml:space="preserve"> poursuite</w:t>
      </w:r>
      <w:r w:rsidR="004E0981" w:rsidRPr="00A82E28">
        <w:rPr>
          <w:rFonts w:eastAsiaTheme="minorEastAsia" w:cstheme="minorHAnsi"/>
          <w:lang w:val="fr-FR"/>
        </w:rPr>
        <w:t xml:space="preserve"> de l’</w:t>
      </w:r>
      <w:r w:rsidRPr="00A82E28">
        <w:rPr>
          <w:rFonts w:eastAsiaTheme="minorEastAsia" w:cstheme="minorHAnsi"/>
          <w:lang w:val="fr-FR"/>
        </w:rPr>
        <w:t>élaboration des priorités du GEST pour la proc</w:t>
      </w:r>
      <w:r w:rsidR="00544161">
        <w:rPr>
          <w:rFonts w:eastAsiaTheme="minorEastAsia" w:cstheme="minorHAnsi"/>
          <w:lang w:val="fr-FR"/>
        </w:rPr>
        <w:t>haine période triennale. Elle attire</w:t>
      </w:r>
      <w:r w:rsidR="004E0981" w:rsidRPr="00A82E28">
        <w:rPr>
          <w:rFonts w:eastAsiaTheme="minorEastAsia" w:cstheme="minorHAnsi"/>
          <w:lang w:val="fr-FR"/>
        </w:rPr>
        <w:t xml:space="preserve"> l’</w:t>
      </w:r>
      <w:r w:rsidRPr="00A82E28">
        <w:rPr>
          <w:rFonts w:eastAsiaTheme="minorEastAsia" w:cstheme="minorHAnsi"/>
          <w:lang w:val="fr-FR"/>
        </w:rPr>
        <w:t xml:space="preserve">attention sur les documents distribués avant la réunion </w:t>
      </w:r>
      <w:r w:rsidR="004E0981" w:rsidRPr="00A82E28">
        <w:rPr>
          <w:rFonts w:eastAsiaTheme="minorEastAsia" w:cstheme="minorHAnsi"/>
          <w:lang w:val="fr-FR"/>
        </w:rPr>
        <w:t xml:space="preserve">qui </w:t>
      </w:r>
      <w:r w:rsidRPr="00A82E28">
        <w:rPr>
          <w:rFonts w:eastAsiaTheme="minorEastAsia" w:cstheme="minorHAnsi"/>
          <w:lang w:val="fr-FR"/>
        </w:rPr>
        <w:t>conce</w:t>
      </w:r>
      <w:r w:rsidR="00544161">
        <w:rPr>
          <w:rFonts w:eastAsiaTheme="minorEastAsia" w:cstheme="minorHAnsi"/>
          <w:lang w:val="fr-FR"/>
        </w:rPr>
        <w:t>rnent chacun de ces points</w:t>
      </w:r>
      <w:r w:rsidRPr="00A82E28">
        <w:rPr>
          <w:rFonts w:eastAsiaTheme="minorEastAsia" w:cstheme="minorHAnsi"/>
          <w:lang w:val="fr-FR"/>
        </w:rPr>
        <w:t>.</w:t>
      </w:r>
      <w:r w:rsidR="00175E49" w:rsidRPr="00A82E28">
        <w:rPr>
          <w:rFonts w:eastAsiaTheme="minorEastAsia" w:cstheme="minorHAnsi"/>
          <w:lang w:val="fr-FR"/>
        </w:rPr>
        <w:t xml:space="preserve"> </w:t>
      </w:r>
    </w:p>
    <w:p w:rsidR="00175E49" w:rsidRPr="00A82E28" w:rsidRDefault="00175E49" w:rsidP="001C723D">
      <w:pPr>
        <w:rPr>
          <w:lang w:val="fr-FR"/>
        </w:rPr>
      </w:pPr>
    </w:p>
    <w:p w:rsidR="00175E49" w:rsidRPr="00A82E28" w:rsidRDefault="00814A42" w:rsidP="001C723D">
      <w:pPr>
        <w:rPr>
          <w:sz w:val="21"/>
          <w:szCs w:val="21"/>
          <w:lang w:val="fr-FR"/>
        </w:rPr>
      </w:pPr>
      <w:r w:rsidRPr="00A82E28">
        <w:rPr>
          <w:sz w:val="21"/>
          <w:szCs w:val="21"/>
          <w:u w:val="single"/>
          <w:lang w:val="fr-FR"/>
        </w:rPr>
        <w:t xml:space="preserve">Progrès réalisés dans les tâches hautement prioritaires et les tâches </w:t>
      </w:r>
      <w:r w:rsidRPr="00A82E28">
        <w:rPr>
          <w:i/>
          <w:sz w:val="21"/>
          <w:szCs w:val="21"/>
          <w:u w:val="single"/>
          <w:lang w:val="fr-FR"/>
        </w:rPr>
        <w:t>ad hoc</w:t>
      </w:r>
      <w:r w:rsidRPr="00A82E28">
        <w:rPr>
          <w:sz w:val="21"/>
          <w:szCs w:val="21"/>
          <w:u w:val="single"/>
          <w:lang w:val="fr-FR"/>
        </w:rPr>
        <w:t xml:space="preserve"> du GEST</w:t>
      </w:r>
      <w:r w:rsidRPr="006B62F5">
        <w:rPr>
          <w:sz w:val="21"/>
          <w:szCs w:val="21"/>
          <w:lang w:val="fr-FR"/>
        </w:rPr>
        <w:t xml:space="preserve"> (suite aux</w:t>
      </w:r>
      <w:r w:rsidRPr="00A82E28">
        <w:rPr>
          <w:sz w:val="21"/>
          <w:szCs w:val="21"/>
          <w:u w:val="single"/>
          <w:lang w:val="fr-FR"/>
        </w:rPr>
        <w:t xml:space="preserve"> </w:t>
      </w:r>
      <w:hyperlink r:id="rId14" w:history="1">
        <w:r w:rsidRPr="00544161">
          <w:rPr>
            <w:rStyle w:val="Hyperlink"/>
            <w:sz w:val="21"/>
            <w:szCs w:val="21"/>
            <w:lang w:val="fr-FR"/>
          </w:rPr>
          <w:t>décisions SC59-04 et 05</w:t>
        </w:r>
      </w:hyperlink>
      <w:r w:rsidRPr="006B62F5">
        <w:rPr>
          <w:sz w:val="21"/>
          <w:szCs w:val="21"/>
          <w:lang w:val="fr-FR"/>
        </w:rPr>
        <w:t>)</w:t>
      </w:r>
    </w:p>
    <w:p w:rsidR="001C723D" w:rsidRPr="00A82E28" w:rsidRDefault="001C723D" w:rsidP="001C723D">
      <w:pPr>
        <w:rPr>
          <w:lang w:val="fr-FR"/>
        </w:rPr>
      </w:pPr>
    </w:p>
    <w:p w:rsidR="00175E49" w:rsidRPr="00A82E28" w:rsidRDefault="00544161" w:rsidP="001C723D">
      <w:pPr>
        <w:pStyle w:val="ListParagraph"/>
        <w:numPr>
          <w:ilvl w:val="0"/>
          <w:numId w:val="31"/>
        </w:numPr>
        <w:ind w:left="360"/>
        <w:rPr>
          <w:lang w:val="fr-FR"/>
        </w:rPr>
      </w:pPr>
      <w:r>
        <w:rPr>
          <w:rFonts w:eastAsiaTheme="minorEastAsia" w:cstheme="minorHAnsi"/>
          <w:lang w:val="fr-FR"/>
        </w:rPr>
        <w:t>Le Président du GEST indique</w:t>
      </w:r>
      <w:r w:rsidR="00814A42" w:rsidRPr="00A82E28">
        <w:rPr>
          <w:rFonts w:eastAsiaTheme="minorEastAsia" w:cstheme="minorHAnsi"/>
          <w:lang w:val="fr-FR"/>
        </w:rPr>
        <w:t xml:space="preserve"> que les travaux du GEST </w:t>
      </w:r>
      <w:r>
        <w:rPr>
          <w:rFonts w:eastAsiaTheme="minorEastAsia" w:cstheme="minorHAnsi"/>
          <w:lang w:val="fr-FR"/>
        </w:rPr>
        <w:t>relatifs aux</w:t>
      </w:r>
      <w:r w:rsidR="00814A42" w:rsidRPr="00A82E28">
        <w:rPr>
          <w:rFonts w:eastAsiaTheme="minorEastAsia" w:cstheme="minorHAnsi"/>
          <w:lang w:val="fr-FR"/>
        </w:rPr>
        <w:t xml:space="preserve"> tâches </w:t>
      </w:r>
      <w:r>
        <w:rPr>
          <w:rFonts w:eastAsiaTheme="minorEastAsia" w:cstheme="minorHAnsi"/>
          <w:lang w:val="fr-FR"/>
        </w:rPr>
        <w:t>hautement</w:t>
      </w:r>
      <w:r w:rsidR="00814A42" w:rsidRPr="00A82E28">
        <w:rPr>
          <w:rFonts w:eastAsiaTheme="minorEastAsia" w:cstheme="minorHAnsi"/>
          <w:lang w:val="fr-FR"/>
        </w:rPr>
        <w:t xml:space="preserve"> prioritaires </w:t>
      </w:r>
      <w:r>
        <w:rPr>
          <w:rFonts w:eastAsiaTheme="minorEastAsia" w:cstheme="minorHAnsi"/>
          <w:lang w:val="fr-FR"/>
        </w:rPr>
        <w:t>ont</w:t>
      </w:r>
      <w:r w:rsidR="00814A42" w:rsidRPr="00A82E28">
        <w:rPr>
          <w:rFonts w:eastAsiaTheme="minorEastAsia" w:cstheme="minorHAnsi"/>
          <w:lang w:val="fr-FR"/>
        </w:rPr>
        <w:t xml:space="preserve"> été achevés, et note </w:t>
      </w:r>
      <w:r>
        <w:rPr>
          <w:rFonts w:eastAsiaTheme="minorEastAsia" w:cstheme="minorHAnsi"/>
          <w:lang w:val="fr-FR"/>
        </w:rPr>
        <w:t>l</w:t>
      </w:r>
      <w:r w:rsidR="00603C8F">
        <w:rPr>
          <w:rFonts w:eastAsiaTheme="minorEastAsia" w:cstheme="minorHAnsi"/>
          <w:lang w:val="fr-FR"/>
        </w:rPr>
        <w:t>a réussite du</w:t>
      </w:r>
      <w:r w:rsidR="00814A42" w:rsidRPr="00A82E28">
        <w:rPr>
          <w:rFonts w:eastAsiaTheme="minorEastAsia" w:cstheme="minorHAnsi"/>
          <w:lang w:val="fr-FR"/>
        </w:rPr>
        <w:t xml:space="preserve"> lancement </w:t>
      </w:r>
      <w:r w:rsidR="00603C8F" w:rsidRPr="00A82E28">
        <w:rPr>
          <w:rFonts w:eastAsiaTheme="minorEastAsia" w:cstheme="minorHAnsi"/>
          <w:lang w:val="fr-FR"/>
        </w:rPr>
        <w:t>le 15 décembre 2021</w:t>
      </w:r>
      <w:r w:rsidR="00501E61">
        <w:rPr>
          <w:rFonts w:eastAsiaTheme="minorEastAsia" w:cstheme="minorHAnsi"/>
          <w:lang w:val="fr-FR"/>
        </w:rPr>
        <w:t xml:space="preserve">, </w:t>
      </w:r>
      <w:r w:rsidR="00814A42" w:rsidRPr="00A82E28">
        <w:rPr>
          <w:rFonts w:eastAsiaTheme="minorEastAsia" w:cstheme="minorHAnsi"/>
          <w:lang w:val="fr-FR"/>
        </w:rPr>
        <w:t xml:space="preserve">de l’édition spéciale 2021 du Global Wetlands Outlook. Il </w:t>
      </w:r>
      <w:r w:rsidR="00603C8F" w:rsidRPr="00A82E28">
        <w:rPr>
          <w:rFonts w:eastAsiaTheme="minorEastAsia" w:cstheme="minorHAnsi"/>
          <w:lang w:val="fr-FR"/>
        </w:rPr>
        <w:t xml:space="preserve">fait </w:t>
      </w:r>
      <w:r w:rsidR="00603C8F">
        <w:rPr>
          <w:rFonts w:eastAsiaTheme="minorEastAsia" w:cstheme="minorHAnsi"/>
          <w:lang w:val="fr-FR"/>
        </w:rPr>
        <w:t>ensuite</w:t>
      </w:r>
      <w:r w:rsidR="00814A42" w:rsidRPr="00A82E28">
        <w:rPr>
          <w:rFonts w:eastAsiaTheme="minorEastAsia" w:cstheme="minorHAnsi"/>
          <w:lang w:val="fr-FR"/>
        </w:rPr>
        <w:t xml:space="preserve"> le point sur les travaux relatifs à la tâche </w:t>
      </w:r>
      <w:r w:rsidR="00814A42" w:rsidRPr="00A82E28">
        <w:rPr>
          <w:rFonts w:eastAsiaTheme="minorEastAsia" w:cstheme="minorHAnsi"/>
          <w:i/>
          <w:lang w:val="fr-FR"/>
        </w:rPr>
        <w:t>ad hoc</w:t>
      </w:r>
      <w:r w:rsidR="00814A42" w:rsidRPr="00A82E28">
        <w:rPr>
          <w:rFonts w:eastAsiaTheme="minorEastAsia" w:cstheme="minorHAnsi"/>
          <w:lang w:val="fr-FR"/>
        </w:rPr>
        <w:t xml:space="preserve"> </w:t>
      </w:r>
      <w:r w:rsidR="00603C8F">
        <w:rPr>
          <w:rFonts w:eastAsiaTheme="minorEastAsia" w:cstheme="minorHAnsi"/>
          <w:lang w:val="fr-FR"/>
        </w:rPr>
        <w:t xml:space="preserve">sur le </w:t>
      </w:r>
      <w:r w:rsidR="00814A42" w:rsidRPr="00A82E28">
        <w:rPr>
          <w:rFonts w:eastAsiaTheme="minorEastAsia" w:cstheme="minorHAnsi"/>
          <w:lang w:val="fr-FR"/>
        </w:rPr>
        <w:t xml:space="preserve">critère 6, soulignant que le projet de document </w:t>
      </w:r>
      <w:r w:rsidR="00603C8F">
        <w:rPr>
          <w:rFonts w:eastAsiaTheme="minorEastAsia" w:cstheme="minorHAnsi"/>
          <w:lang w:val="fr-FR"/>
        </w:rPr>
        <w:t>distribué</w:t>
      </w:r>
      <w:r w:rsidR="00814A42" w:rsidRPr="00A82E28">
        <w:rPr>
          <w:rFonts w:eastAsiaTheme="minorEastAsia" w:cstheme="minorHAnsi"/>
          <w:lang w:val="fr-FR"/>
        </w:rPr>
        <w:t xml:space="preserve"> répond aux observations </w:t>
      </w:r>
      <w:r w:rsidR="00814A42" w:rsidRPr="00A82E28">
        <w:rPr>
          <w:rFonts w:eastAsiaTheme="minorEastAsia" w:cstheme="minorHAnsi"/>
          <w:lang w:val="fr-FR"/>
        </w:rPr>
        <w:lastRenderedPageBreak/>
        <w:t xml:space="preserve">formulées à la dernière réunion du Groupe de travail sur la gestion, mais que les travaux </w:t>
      </w:r>
      <w:r w:rsidR="00603C8F">
        <w:rPr>
          <w:rFonts w:eastAsiaTheme="minorEastAsia" w:cstheme="minorHAnsi"/>
          <w:lang w:val="fr-FR"/>
        </w:rPr>
        <w:t>sont</w:t>
      </w:r>
      <w:r w:rsidR="00814A42" w:rsidRPr="00A82E28">
        <w:rPr>
          <w:rFonts w:eastAsiaTheme="minorEastAsia" w:cstheme="minorHAnsi"/>
          <w:lang w:val="fr-FR"/>
        </w:rPr>
        <w:t xml:space="preserve"> toujours en cours.</w:t>
      </w:r>
    </w:p>
    <w:p w:rsidR="00175E49" w:rsidRPr="00A82E28" w:rsidRDefault="00175E49" w:rsidP="001C723D">
      <w:pPr>
        <w:pStyle w:val="ListParagraph"/>
        <w:ind w:left="360"/>
        <w:rPr>
          <w:lang w:val="fr-FR"/>
        </w:rPr>
      </w:pPr>
    </w:p>
    <w:p w:rsidR="00175E49" w:rsidRPr="00A82E28" w:rsidRDefault="00814A42" w:rsidP="001C723D">
      <w:pPr>
        <w:pStyle w:val="ListParagraph"/>
        <w:numPr>
          <w:ilvl w:val="0"/>
          <w:numId w:val="31"/>
        </w:numPr>
        <w:ind w:left="360"/>
        <w:rPr>
          <w:lang w:val="fr-FR"/>
        </w:rPr>
      </w:pPr>
      <w:r w:rsidRPr="00A82E28">
        <w:rPr>
          <w:lang w:val="fr-FR"/>
        </w:rPr>
        <w:t xml:space="preserve">Le Secrétariat </w:t>
      </w:r>
      <w:r w:rsidR="00603C8F">
        <w:rPr>
          <w:lang w:val="fr-FR"/>
        </w:rPr>
        <w:t>indique</w:t>
      </w:r>
      <w:r w:rsidRPr="00A82E28">
        <w:rPr>
          <w:lang w:val="fr-FR"/>
        </w:rPr>
        <w:t xml:space="preserve"> que les </w:t>
      </w:r>
      <w:r w:rsidR="00546296" w:rsidRPr="00A82E28">
        <w:rPr>
          <w:lang w:val="fr-FR"/>
        </w:rPr>
        <w:t>matériels concernant le</w:t>
      </w:r>
      <w:r w:rsidRPr="00A82E28">
        <w:rPr>
          <w:lang w:val="fr-FR"/>
        </w:rPr>
        <w:t xml:space="preserve"> carbone bleu et </w:t>
      </w:r>
      <w:r w:rsidR="00546296" w:rsidRPr="00A82E28">
        <w:rPr>
          <w:lang w:val="fr-FR"/>
        </w:rPr>
        <w:t>les</w:t>
      </w:r>
      <w:r w:rsidRPr="00A82E28">
        <w:rPr>
          <w:lang w:val="fr-FR"/>
        </w:rPr>
        <w:t xml:space="preserve"> tourbières (tâches 2.2 et 5.1 du plan de travail du GEST) </w:t>
      </w:r>
      <w:r w:rsidR="00603C8F">
        <w:rPr>
          <w:lang w:val="fr-FR"/>
        </w:rPr>
        <w:t>avaient</w:t>
      </w:r>
      <w:r w:rsidRPr="00A82E28">
        <w:rPr>
          <w:lang w:val="fr-FR"/>
        </w:rPr>
        <w:t xml:space="preserve"> été </w:t>
      </w:r>
      <w:r w:rsidR="00603C8F">
        <w:rPr>
          <w:lang w:val="fr-FR"/>
        </w:rPr>
        <w:t>distribués</w:t>
      </w:r>
      <w:r w:rsidRPr="00A82E28">
        <w:rPr>
          <w:lang w:val="fr-FR"/>
        </w:rPr>
        <w:t xml:space="preserve"> avant la COP 26 de la CCNUCC en raison de leur pertinence pour les négociations. Ces </w:t>
      </w:r>
      <w:r w:rsidR="00546296" w:rsidRPr="00A82E28">
        <w:rPr>
          <w:lang w:val="fr-FR"/>
        </w:rPr>
        <w:t>matériels</w:t>
      </w:r>
      <w:r w:rsidRPr="00A82E28">
        <w:rPr>
          <w:lang w:val="fr-FR"/>
        </w:rPr>
        <w:t xml:space="preserve">, ainsi que </w:t>
      </w:r>
      <w:r w:rsidR="00546296" w:rsidRPr="00A82E28">
        <w:rPr>
          <w:lang w:val="fr-FR"/>
        </w:rPr>
        <w:t>ceux</w:t>
      </w:r>
      <w:r w:rsidRPr="00A82E28">
        <w:rPr>
          <w:lang w:val="fr-FR"/>
        </w:rPr>
        <w:t xml:space="preserve"> </w:t>
      </w:r>
      <w:r w:rsidR="00546296" w:rsidRPr="00A82E28">
        <w:rPr>
          <w:lang w:val="fr-FR"/>
        </w:rPr>
        <w:t>sur l’agriculture</w:t>
      </w:r>
      <w:r w:rsidRPr="00A82E28">
        <w:rPr>
          <w:lang w:val="fr-FR"/>
        </w:rPr>
        <w:t xml:space="preserve"> (tâche 1.2), en sont aux derniers stades de la production et seront diffusés prochainement dans toutes les langues de la C</w:t>
      </w:r>
      <w:r w:rsidR="00603C8F">
        <w:rPr>
          <w:lang w:val="fr-FR"/>
        </w:rPr>
        <w:t>onvention, et l</w:t>
      </w:r>
      <w:r w:rsidRPr="00A82E28">
        <w:rPr>
          <w:lang w:val="fr-FR"/>
        </w:rPr>
        <w:t xml:space="preserve">es plans de lancement </w:t>
      </w:r>
      <w:r w:rsidR="00603C8F">
        <w:rPr>
          <w:lang w:val="fr-FR"/>
        </w:rPr>
        <w:t>seront</w:t>
      </w:r>
      <w:r w:rsidRPr="00A82E28">
        <w:rPr>
          <w:lang w:val="fr-FR"/>
        </w:rPr>
        <w:t xml:space="preserve"> communiqués</w:t>
      </w:r>
      <w:r w:rsidR="00175E49" w:rsidRPr="00A82E28">
        <w:rPr>
          <w:lang w:val="fr-FR"/>
        </w:rPr>
        <w:t xml:space="preserve">. </w:t>
      </w:r>
    </w:p>
    <w:p w:rsidR="00175E49" w:rsidRPr="00A82E28" w:rsidRDefault="00175E49" w:rsidP="001C723D">
      <w:pPr>
        <w:pStyle w:val="ListParagraph"/>
        <w:ind w:left="360"/>
        <w:rPr>
          <w:lang w:val="fr-FR"/>
        </w:rPr>
      </w:pPr>
    </w:p>
    <w:p w:rsidR="00175E49" w:rsidRPr="00A82E28" w:rsidRDefault="00E0596A" w:rsidP="001C723D">
      <w:pPr>
        <w:pStyle w:val="ListParagraph"/>
        <w:numPr>
          <w:ilvl w:val="0"/>
          <w:numId w:val="31"/>
        </w:numPr>
        <w:ind w:left="360"/>
        <w:rPr>
          <w:lang w:val="fr-FR"/>
        </w:rPr>
      </w:pPr>
      <w:r w:rsidRPr="00A82E28">
        <w:rPr>
          <w:lang w:val="fr-FR"/>
        </w:rPr>
        <w:t xml:space="preserve">Le Secrétariat </w:t>
      </w:r>
      <w:r w:rsidR="00603C8F">
        <w:rPr>
          <w:lang w:val="fr-FR"/>
        </w:rPr>
        <w:t>note</w:t>
      </w:r>
      <w:r w:rsidRPr="00A82E28">
        <w:rPr>
          <w:lang w:val="fr-FR"/>
        </w:rPr>
        <w:t xml:space="preserve"> </w:t>
      </w:r>
      <w:r w:rsidR="00603C8F">
        <w:rPr>
          <w:lang w:val="fr-FR"/>
        </w:rPr>
        <w:t>par ailleurs</w:t>
      </w:r>
      <w:r w:rsidRPr="00A82E28">
        <w:rPr>
          <w:lang w:val="fr-FR"/>
        </w:rPr>
        <w:t xml:space="preserve"> que, bien que le GEST ait traité des orientations du Groupe de travail sur la gestion et du Comité permanent en relation avec la tâche </w:t>
      </w:r>
      <w:r w:rsidRPr="00A82E28">
        <w:rPr>
          <w:i/>
          <w:lang w:val="fr-FR"/>
        </w:rPr>
        <w:t>ad hoc</w:t>
      </w:r>
      <w:r w:rsidRPr="00A82E28">
        <w:rPr>
          <w:lang w:val="fr-FR"/>
        </w:rPr>
        <w:t xml:space="preserve"> </w:t>
      </w:r>
      <w:r w:rsidR="00603C8F">
        <w:rPr>
          <w:lang w:val="fr-FR"/>
        </w:rPr>
        <w:t>sur le</w:t>
      </w:r>
      <w:r w:rsidRPr="00A82E28">
        <w:rPr>
          <w:lang w:val="fr-FR"/>
        </w:rPr>
        <w:t xml:space="preserve"> critère 6, il pourrait être nécessaire de </w:t>
      </w:r>
      <w:r w:rsidR="00603C8F">
        <w:rPr>
          <w:lang w:val="fr-FR"/>
        </w:rPr>
        <w:t xml:space="preserve">fournir des éclaircissements </w:t>
      </w:r>
      <w:r w:rsidR="009D7AE2">
        <w:rPr>
          <w:lang w:val="fr-FR"/>
        </w:rPr>
        <w:t xml:space="preserve">supplémentaires </w:t>
      </w:r>
      <w:r w:rsidR="00603C8F">
        <w:rPr>
          <w:lang w:val="fr-FR"/>
        </w:rPr>
        <w:t xml:space="preserve">concernant </w:t>
      </w:r>
      <w:r w:rsidRPr="00A82E28">
        <w:rPr>
          <w:lang w:val="fr-FR"/>
        </w:rPr>
        <w:t xml:space="preserve">la voie à suivre recommandée, notamment pour faire en sorte qu’elle puisse être appliquée aux activités quotidiennes du Secrétariat </w:t>
      </w:r>
      <w:r w:rsidR="009D7AE2">
        <w:rPr>
          <w:lang w:val="fr-FR"/>
        </w:rPr>
        <w:t>dans</w:t>
      </w:r>
      <w:r w:rsidRPr="00A82E28">
        <w:rPr>
          <w:lang w:val="fr-FR"/>
        </w:rPr>
        <w:t xml:space="preserve"> l’examen des désignations et mises à jour des sites. Le Secrétariat continuera à cet égard de collaborer avec le GEST et de l’appuyer.</w:t>
      </w:r>
    </w:p>
    <w:p w:rsidR="00175E49" w:rsidRPr="00A82E28" w:rsidRDefault="00175E49" w:rsidP="001C723D">
      <w:pPr>
        <w:pStyle w:val="ListParagraph"/>
        <w:rPr>
          <w:lang w:val="fr-FR"/>
        </w:rPr>
      </w:pPr>
    </w:p>
    <w:p w:rsidR="00175E49" w:rsidRPr="009D7AE2" w:rsidRDefault="00E0596A" w:rsidP="009D7AE2">
      <w:pPr>
        <w:pStyle w:val="ListParagraph"/>
        <w:numPr>
          <w:ilvl w:val="0"/>
          <w:numId w:val="31"/>
        </w:numPr>
        <w:ind w:left="360"/>
        <w:rPr>
          <w:lang w:val="fr-FR"/>
        </w:rPr>
      </w:pPr>
      <w:r w:rsidRPr="00A82E28">
        <w:rPr>
          <w:lang w:val="fr-FR"/>
        </w:rPr>
        <w:t xml:space="preserve">Le Groupe de travail sur la gestion </w:t>
      </w:r>
      <w:r w:rsidR="009D7AE2">
        <w:rPr>
          <w:lang w:val="fr-FR"/>
        </w:rPr>
        <w:t>prend bonne</w:t>
      </w:r>
      <w:r w:rsidRPr="00A82E28">
        <w:rPr>
          <w:lang w:val="fr-FR"/>
        </w:rPr>
        <w:t xml:space="preserve"> note des progrès réalisés dans l’application de la décision SC59-05. Des questions </w:t>
      </w:r>
      <w:r w:rsidR="00501E61">
        <w:rPr>
          <w:lang w:val="fr-FR"/>
        </w:rPr>
        <w:t>s</w:t>
      </w:r>
      <w:r w:rsidRPr="00A82E28">
        <w:rPr>
          <w:lang w:val="fr-FR"/>
        </w:rPr>
        <w:t>ont</w:t>
      </w:r>
      <w:r w:rsidR="009D7AE2">
        <w:rPr>
          <w:lang w:val="fr-FR"/>
        </w:rPr>
        <w:t xml:space="preserve"> soulevées quant à savoir s’</w:t>
      </w:r>
      <w:r w:rsidR="00501E61">
        <w:rPr>
          <w:lang w:val="fr-FR"/>
        </w:rPr>
        <w:t>il existe</w:t>
      </w:r>
      <w:r w:rsidRPr="00A82E28">
        <w:rPr>
          <w:lang w:val="fr-FR"/>
        </w:rPr>
        <w:t xml:space="preserve"> des données régionales ou des données sur les voies de migration pour les Amériques, comme il en existe pour certaines voies </w:t>
      </w:r>
      <w:r w:rsidR="00501E61">
        <w:rPr>
          <w:lang w:val="fr-FR"/>
        </w:rPr>
        <w:t>migratoires</w:t>
      </w:r>
      <w:r w:rsidRPr="00A82E28">
        <w:rPr>
          <w:lang w:val="fr-FR"/>
        </w:rPr>
        <w:t xml:space="preserve"> en Asie, en Afrique et en Europe, et si cela pouvait apparaître</w:t>
      </w:r>
      <w:r w:rsidR="009D7AE2">
        <w:rPr>
          <w:lang w:val="fr-FR"/>
        </w:rPr>
        <w:t xml:space="preserve"> dans le document, ainsi que</w:t>
      </w:r>
      <w:r w:rsidRPr="009D7AE2">
        <w:rPr>
          <w:lang w:val="fr-FR"/>
        </w:rPr>
        <w:t xml:space="preserve"> sur la question de savoir si les systèmes nationaux de </w:t>
      </w:r>
      <w:r w:rsidR="00501E61">
        <w:rPr>
          <w:lang w:val="fr-FR"/>
        </w:rPr>
        <w:t>suivi</w:t>
      </w:r>
      <w:r w:rsidRPr="009D7AE2">
        <w:rPr>
          <w:lang w:val="fr-FR"/>
        </w:rPr>
        <w:t xml:space="preserve"> et la documentation parallèle pourraient être utilisés comme sources de données alternatives, </w:t>
      </w:r>
      <w:r w:rsidR="009D7AE2">
        <w:rPr>
          <w:lang w:val="fr-FR"/>
        </w:rPr>
        <w:t xml:space="preserve">sachant </w:t>
      </w:r>
      <w:r w:rsidRPr="009D7AE2">
        <w:rPr>
          <w:lang w:val="fr-FR"/>
        </w:rPr>
        <w:t xml:space="preserve">que toutes les données démographiques ne sont pas publiées dans des revues </w:t>
      </w:r>
      <w:r w:rsidR="00501E61">
        <w:rPr>
          <w:lang w:val="fr-FR"/>
        </w:rPr>
        <w:t xml:space="preserve">scientifiques </w:t>
      </w:r>
      <w:r w:rsidR="00226300" w:rsidRPr="009D7AE2">
        <w:rPr>
          <w:lang w:val="fr-FR"/>
        </w:rPr>
        <w:t>à comité de lecture</w:t>
      </w:r>
      <w:r w:rsidRPr="009D7AE2">
        <w:rPr>
          <w:lang w:val="fr-FR"/>
        </w:rPr>
        <w:t>.</w:t>
      </w:r>
    </w:p>
    <w:p w:rsidR="00175E49" w:rsidRPr="00A82E28" w:rsidRDefault="00175E49" w:rsidP="001C723D">
      <w:pPr>
        <w:pStyle w:val="ListParagraph"/>
        <w:rPr>
          <w:lang w:val="fr-FR"/>
        </w:rPr>
      </w:pPr>
    </w:p>
    <w:p w:rsidR="00175E49" w:rsidRPr="00A82E28" w:rsidRDefault="00226300" w:rsidP="001C723D">
      <w:pPr>
        <w:pStyle w:val="ListParagraph"/>
        <w:numPr>
          <w:ilvl w:val="0"/>
          <w:numId w:val="31"/>
        </w:numPr>
        <w:ind w:left="360"/>
        <w:rPr>
          <w:lang w:val="fr-FR"/>
        </w:rPr>
      </w:pPr>
      <w:r w:rsidRPr="00A82E28">
        <w:rPr>
          <w:lang w:val="fr-FR"/>
        </w:rPr>
        <w:t>Le Présid</w:t>
      </w:r>
      <w:r w:rsidR="00514D21">
        <w:rPr>
          <w:lang w:val="fr-FR"/>
        </w:rPr>
        <w:t>ent du GEST précise</w:t>
      </w:r>
      <w:r w:rsidRPr="00A82E28">
        <w:rPr>
          <w:lang w:val="fr-FR"/>
        </w:rPr>
        <w:t xml:space="preserve"> que l’examen systématique des populations ne concerne que deux voies migratoires. C’est avec prudence que doivent être utilisées les données provenant des systèmes nationaux de surveillance, car les populations d’oiseaux migrateurs franchissent les frontières. Les données provenant des initiatives </w:t>
      </w:r>
      <w:r w:rsidR="003D79C8" w:rsidRPr="00A82E28">
        <w:rPr>
          <w:lang w:val="fr-FR"/>
        </w:rPr>
        <w:t>sur les</w:t>
      </w:r>
      <w:r w:rsidRPr="00A82E28">
        <w:rPr>
          <w:lang w:val="fr-FR"/>
        </w:rPr>
        <w:t xml:space="preserve"> voies migratoires so</w:t>
      </w:r>
      <w:r w:rsidR="003D79C8" w:rsidRPr="00A82E28">
        <w:rPr>
          <w:lang w:val="fr-FR"/>
        </w:rPr>
        <w:t>nt ut</w:t>
      </w:r>
      <w:r w:rsidR="00514D21">
        <w:rPr>
          <w:lang w:val="fr-FR"/>
        </w:rPr>
        <w:t>iles à cet égard, ainsi qu’en l’</w:t>
      </w:r>
      <w:r w:rsidR="003D79C8" w:rsidRPr="00A82E28">
        <w:rPr>
          <w:lang w:val="fr-FR"/>
        </w:rPr>
        <w:t>absence d’</w:t>
      </w:r>
      <w:r w:rsidRPr="00A82E28">
        <w:rPr>
          <w:lang w:val="fr-FR"/>
        </w:rPr>
        <w:t xml:space="preserve">estimations mondiales à jour, mais elles ne constituent pas une estimation de la population mondiale. Le GEST </w:t>
      </w:r>
      <w:r w:rsidR="003D79C8" w:rsidRPr="00A82E28">
        <w:rPr>
          <w:lang w:val="fr-FR"/>
        </w:rPr>
        <w:t xml:space="preserve">poursuivra ses travaux </w:t>
      </w:r>
      <w:r w:rsidRPr="00A82E28">
        <w:rPr>
          <w:lang w:val="fr-FR"/>
        </w:rPr>
        <w:t xml:space="preserve">sur ce point et présentera ses directives à la reprise de la session </w:t>
      </w:r>
      <w:r w:rsidR="003D79C8" w:rsidRPr="00A82E28">
        <w:rPr>
          <w:lang w:val="fr-FR"/>
        </w:rPr>
        <w:t>de la</w:t>
      </w:r>
      <w:r w:rsidRPr="00A82E28">
        <w:rPr>
          <w:lang w:val="fr-FR"/>
        </w:rPr>
        <w:t xml:space="preserve"> SC59</w:t>
      </w:r>
      <w:r w:rsidR="00175E49" w:rsidRPr="00A82E28">
        <w:rPr>
          <w:lang w:val="fr-FR"/>
        </w:rPr>
        <w:t>.</w:t>
      </w:r>
    </w:p>
    <w:p w:rsidR="00175E49" w:rsidRPr="00A82E28" w:rsidRDefault="00175E49" w:rsidP="001C723D">
      <w:pPr>
        <w:rPr>
          <w:lang w:val="fr-FR"/>
        </w:rPr>
      </w:pPr>
    </w:p>
    <w:p w:rsidR="00175E49" w:rsidRPr="00A82E28" w:rsidRDefault="00F521EA" w:rsidP="001C723D">
      <w:pPr>
        <w:rPr>
          <w:sz w:val="21"/>
          <w:szCs w:val="21"/>
          <w:lang w:val="fr-FR"/>
        </w:rPr>
      </w:pPr>
      <w:r w:rsidRPr="00A82E28">
        <w:rPr>
          <w:sz w:val="21"/>
          <w:szCs w:val="21"/>
          <w:u w:val="single"/>
          <w:lang w:val="fr-FR"/>
        </w:rPr>
        <w:t xml:space="preserve">Tâches </w:t>
      </w:r>
      <w:r w:rsidR="00514D21">
        <w:rPr>
          <w:sz w:val="21"/>
          <w:szCs w:val="21"/>
          <w:u w:val="single"/>
          <w:lang w:val="fr-FR"/>
        </w:rPr>
        <w:t>additionnelles</w:t>
      </w:r>
      <w:r w:rsidRPr="00A82E28">
        <w:rPr>
          <w:sz w:val="21"/>
          <w:szCs w:val="21"/>
          <w:u w:val="single"/>
          <w:lang w:val="fr-FR"/>
        </w:rPr>
        <w:t xml:space="preserve"> à entreprendre par le GEST au cours de la présente période triennale</w:t>
      </w:r>
      <w:r w:rsidR="00175E49" w:rsidRPr="00A82E28">
        <w:rPr>
          <w:sz w:val="21"/>
          <w:szCs w:val="21"/>
          <w:lang w:val="fr-FR"/>
        </w:rPr>
        <w:t xml:space="preserve"> (</w:t>
      </w:r>
      <w:hyperlink r:id="rId15" w:history="1">
        <w:r w:rsidR="006C5CEC">
          <w:rPr>
            <w:rStyle w:val="Hyperlink"/>
            <w:color w:val="0563C1"/>
            <w:sz w:val="21"/>
            <w:szCs w:val="21"/>
            <w:lang w:val="fr-FR"/>
          </w:rPr>
          <w:t>Dé</w:t>
        </w:r>
        <w:r w:rsidR="00175E49" w:rsidRPr="00A82E28">
          <w:rPr>
            <w:rStyle w:val="Hyperlink"/>
            <w:color w:val="0563C1"/>
            <w:sz w:val="21"/>
            <w:szCs w:val="21"/>
            <w:lang w:val="fr-FR"/>
          </w:rPr>
          <w:t>cision SC59-06</w:t>
        </w:r>
      </w:hyperlink>
      <w:r w:rsidR="00175E49" w:rsidRPr="00A82E28">
        <w:rPr>
          <w:sz w:val="21"/>
          <w:szCs w:val="21"/>
          <w:lang w:val="fr-FR"/>
        </w:rPr>
        <w:t>)</w:t>
      </w:r>
    </w:p>
    <w:p w:rsidR="001C723D" w:rsidRPr="00A82E28" w:rsidRDefault="001C723D" w:rsidP="001C723D">
      <w:pPr>
        <w:rPr>
          <w:lang w:val="fr-FR"/>
        </w:rPr>
      </w:pPr>
    </w:p>
    <w:p w:rsidR="00175E49" w:rsidRPr="00A82E28" w:rsidRDefault="00514D21" w:rsidP="001C723D">
      <w:pPr>
        <w:pStyle w:val="ListParagraph"/>
        <w:numPr>
          <w:ilvl w:val="0"/>
          <w:numId w:val="31"/>
        </w:numPr>
        <w:ind w:left="360"/>
        <w:rPr>
          <w:lang w:val="fr-FR"/>
        </w:rPr>
      </w:pPr>
      <w:r>
        <w:rPr>
          <w:lang w:val="fr-FR"/>
        </w:rPr>
        <w:t>Le président du GEST donne</w:t>
      </w:r>
      <w:r w:rsidR="00F521EA" w:rsidRPr="00A82E28">
        <w:rPr>
          <w:lang w:val="fr-FR"/>
        </w:rPr>
        <w:t xml:space="preserve"> un bref aperçu des tâches additionnelles proposées, notant que celles-ci </w:t>
      </w:r>
      <w:r w:rsidR="00446792">
        <w:rPr>
          <w:lang w:val="fr-FR"/>
        </w:rPr>
        <w:t>sont</w:t>
      </w:r>
      <w:r w:rsidR="00F521EA" w:rsidRPr="00A82E28">
        <w:rPr>
          <w:lang w:val="fr-FR"/>
        </w:rPr>
        <w:t xml:space="preserve"> conformes aux suggestions précédemment formulées lors de la réunion du Groupe de travail sur la gestion du 14 juin 2021. S’appuyant sur la tâche 1.7 du plan de travail actuel, le GEST é</w:t>
      </w:r>
      <w:r w:rsidR="00446792">
        <w:rPr>
          <w:lang w:val="fr-FR"/>
        </w:rPr>
        <w:t xml:space="preserve">tablira le cahier des charges pour </w:t>
      </w:r>
      <w:r w:rsidR="00F521EA" w:rsidRPr="00A82E28">
        <w:rPr>
          <w:lang w:val="fr-FR"/>
        </w:rPr>
        <w:t xml:space="preserve">une évaluation globale complète des lacunes </w:t>
      </w:r>
      <w:r>
        <w:rPr>
          <w:lang w:val="fr-FR"/>
        </w:rPr>
        <w:t>dans le</w:t>
      </w:r>
      <w:r w:rsidR="00F521EA" w:rsidRPr="00A82E28">
        <w:rPr>
          <w:lang w:val="fr-FR"/>
        </w:rPr>
        <w:t xml:space="preserve"> réseau des sites Ramsar, </w:t>
      </w:r>
      <w:r w:rsidR="00446792">
        <w:rPr>
          <w:lang w:val="fr-FR"/>
        </w:rPr>
        <w:t>la</w:t>
      </w:r>
      <w:r>
        <w:rPr>
          <w:lang w:val="fr-FR"/>
        </w:rPr>
        <w:t>quel</w:t>
      </w:r>
      <w:r w:rsidR="00446792">
        <w:rPr>
          <w:lang w:val="fr-FR"/>
        </w:rPr>
        <w:t>le</w:t>
      </w:r>
      <w:r w:rsidR="00F521EA" w:rsidRPr="00A82E28">
        <w:rPr>
          <w:lang w:val="fr-FR"/>
        </w:rPr>
        <w:t xml:space="preserve"> sera </w:t>
      </w:r>
      <w:r w:rsidR="00446792">
        <w:rPr>
          <w:lang w:val="fr-FR"/>
        </w:rPr>
        <w:t>entreprise</w:t>
      </w:r>
      <w:r w:rsidR="00F521EA" w:rsidRPr="00A82E28">
        <w:rPr>
          <w:lang w:val="fr-FR"/>
        </w:rPr>
        <w:t xml:space="preserve"> au cours de la prochaine période triennale. Un sous-groupe du GEST a été créé à cette fin</w:t>
      </w:r>
      <w:r w:rsidR="00175E49" w:rsidRPr="00A82E28">
        <w:rPr>
          <w:lang w:val="fr-FR"/>
        </w:rPr>
        <w:t xml:space="preserve">. </w:t>
      </w:r>
      <w:r w:rsidR="00597EB3" w:rsidRPr="00A82E28">
        <w:rPr>
          <w:lang w:val="fr-FR"/>
        </w:rPr>
        <w:t>Le</w:t>
      </w:r>
      <w:r w:rsidR="00F521EA" w:rsidRPr="00A82E28">
        <w:rPr>
          <w:lang w:val="fr-FR"/>
        </w:rPr>
        <w:t xml:space="preserve">s travaux </w:t>
      </w:r>
      <w:r w:rsidR="00597EB3" w:rsidRPr="00A82E28">
        <w:rPr>
          <w:lang w:val="fr-FR"/>
        </w:rPr>
        <w:t xml:space="preserve">supplémentaires </w:t>
      </w:r>
      <w:r w:rsidR="00F521EA" w:rsidRPr="00A82E28">
        <w:rPr>
          <w:lang w:val="fr-FR"/>
        </w:rPr>
        <w:t xml:space="preserve">sur le carbone bleu sont dirigés </w:t>
      </w:r>
      <w:r w:rsidR="00597EB3" w:rsidRPr="00A82E28">
        <w:rPr>
          <w:lang w:val="fr-FR"/>
        </w:rPr>
        <w:t>par M. Siobhan Fennessy</w:t>
      </w:r>
      <w:r w:rsidR="00F521EA" w:rsidRPr="00A82E28">
        <w:rPr>
          <w:lang w:val="fr-FR"/>
        </w:rPr>
        <w:t xml:space="preserve"> </w:t>
      </w:r>
      <w:r>
        <w:rPr>
          <w:lang w:val="fr-FR"/>
        </w:rPr>
        <w:t>et concerneront notamment</w:t>
      </w:r>
      <w:r w:rsidR="00597EB3" w:rsidRPr="00A82E28">
        <w:rPr>
          <w:lang w:val="fr-FR"/>
        </w:rPr>
        <w:t xml:space="preserve"> l’</w:t>
      </w:r>
      <w:r w:rsidR="00F521EA" w:rsidRPr="00A82E28">
        <w:rPr>
          <w:lang w:val="fr-FR"/>
        </w:rPr>
        <w:t xml:space="preserve">élaboration </w:t>
      </w:r>
      <w:r>
        <w:rPr>
          <w:lang w:val="fr-FR"/>
        </w:rPr>
        <w:t>d’orientations</w:t>
      </w:r>
      <w:r w:rsidR="00F521EA" w:rsidRPr="00A82E28">
        <w:rPr>
          <w:lang w:val="fr-FR"/>
        </w:rPr>
        <w:t xml:space="preserve"> sur la priorisation d</w:t>
      </w:r>
      <w:r w:rsidR="00597EB3" w:rsidRPr="00A82E28">
        <w:rPr>
          <w:lang w:val="fr-FR"/>
        </w:rPr>
        <w:t>es efforts de restauration de l’</w:t>
      </w:r>
      <w:r>
        <w:rPr>
          <w:lang w:val="fr-FR"/>
        </w:rPr>
        <w:t>écosystème côtier de</w:t>
      </w:r>
      <w:r w:rsidR="00F521EA" w:rsidRPr="00A82E28">
        <w:rPr>
          <w:lang w:val="fr-FR"/>
        </w:rPr>
        <w:t xml:space="preserve"> carbone bleu</w:t>
      </w:r>
      <w:r>
        <w:rPr>
          <w:lang w:val="fr-FR"/>
        </w:rPr>
        <w:t>,</w:t>
      </w:r>
      <w:r w:rsidR="00F521EA" w:rsidRPr="00A82E28">
        <w:rPr>
          <w:lang w:val="fr-FR"/>
        </w:rPr>
        <w:t xml:space="preserve"> </w:t>
      </w:r>
      <w:r w:rsidR="00597EB3" w:rsidRPr="00A82E28">
        <w:rPr>
          <w:lang w:val="fr-FR"/>
        </w:rPr>
        <w:t>l’</w:t>
      </w:r>
      <w:r w:rsidR="00F521EA" w:rsidRPr="00A82E28">
        <w:rPr>
          <w:lang w:val="fr-FR"/>
        </w:rPr>
        <w:t>examen des données et modèles existants sur les</w:t>
      </w:r>
      <w:r>
        <w:rPr>
          <w:lang w:val="fr-FR"/>
        </w:rPr>
        <w:t xml:space="preserve"> stocks et les flux de carbone</w:t>
      </w:r>
      <w:r w:rsidR="00F521EA" w:rsidRPr="00A82E28">
        <w:rPr>
          <w:lang w:val="fr-FR"/>
        </w:rPr>
        <w:t xml:space="preserve"> et </w:t>
      </w:r>
      <w:r w:rsidR="00597EB3" w:rsidRPr="00A82E28">
        <w:rPr>
          <w:lang w:val="fr-FR"/>
        </w:rPr>
        <w:t>l’</w:t>
      </w:r>
      <w:r>
        <w:rPr>
          <w:lang w:val="fr-FR"/>
        </w:rPr>
        <w:t xml:space="preserve">analyse des </w:t>
      </w:r>
      <w:r w:rsidR="00597EB3" w:rsidRPr="00A82E28">
        <w:rPr>
          <w:lang w:val="fr-FR"/>
        </w:rPr>
        <w:t>inventaires nationaux des zones humides</w:t>
      </w:r>
      <w:r w:rsidR="00F521EA" w:rsidRPr="00A82E28">
        <w:rPr>
          <w:lang w:val="fr-FR"/>
        </w:rPr>
        <w:t xml:space="preserve"> </w:t>
      </w:r>
      <w:r>
        <w:rPr>
          <w:lang w:val="fr-FR"/>
        </w:rPr>
        <w:t>en tant qu’</w:t>
      </w:r>
      <w:r w:rsidR="00F521EA" w:rsidRPr="00A82E28">
        <w:rPr>
          <w:lang w:val="fr-FR"/>
        </w:rPr>
        <w:t xml:space="preserve">outils </w:t>
      </w:r>
      <w:r>
        <w:rPr>
          <w:lang w:val="fr-FR"/>
        </w:rPr>
        <w:t>d’appui</w:t>
      </w:r>
      <w:r w:rsidR="00597EB3" w:rsidRPr="00A82E28">
        <w:rPr>
          <w:lang w:val="fr-FR"/>
        </w:rPr>
        <w:t xml:space="preserve"> à l’actualisation des comptes de</w:t>
      </w:r>
      <w:r w:rsidR="00F521EA" w:rsidRPr="00A82E28">
        <w:rPr>
          <w:lang w:val="fr-FR"/>
        </w:rPr>
        <w:t xml:space="preserve"> gaz à effet de serre et des contributions déterminées au niveau nati</w:t>
      </w:r>
      <w:r w:rsidR="00446792">
        <w:rPr>
          <w:lang w:val="fr-FR"/>
        </w:rPr>
        <w:t xml:space="preserve">onal (CDN). </w:t>
      </w:r>
      <w:r w:rsidR="00597EB3" w:rsidRPr="00A82E28">
        <w:rPr>
          <w:lang w:val="fr-FR"/>
        </w:rPr>
        <w:t>Le GEST procédera également au besoin à l’</w:t>
      </w:r>
      <w:r w:rsidR="00F521EA" w:rsidRPr="00A82E28">
        <w:rPr>
          <w:lang w:val="fr-FR"/>
        </w:rPr>
        <w:t xml:space="preserve">examen </w:t>
      </w:r>
      <w:r w:rsidR="00597EB3" w:rsidRPr="00A82E28">
        <w:rPr>
          <w:lang w:val="fr-FR"/>
        </w:rPr>
        <w:t>de l’</w:t>
      </w:r>
      <w:r w:rsidR="00F521EA" w:rsidRPr="00A82E28">
        <w:rPr>
          <w:lang w:val="fr-FR"/>
        </w:rPr>
        <w:t xml:space="preserve">actuel </w:t>
      </w:r>
      <w:r w:rsidR="00597EB3" w:rsidRPr="00A82E28">
        <w:rPr>
          <w:lang w:val="fr-FR"/>
        </w:rPr>
        <w:t xml:space="preserve">plan stratégique </w:t>
      </w:r>
      <w:r w:rsidR="00F521EA" w:rsidRPr="00A82E28">
        <w:rPr>
          <w:lang w:val="fr-FR"/>
        </w:rPr>
        <w:t xml:space="preserve">et </w:t>
      </w:r>
      <w:r w:rsidR="00597EB3" w:rsidRPr="00A82E28">
        <w:rPr>
          <w:lang w:val="fr-FR"/>
        </w:rPr>
        <w:t>à</w:t>
      </w:r>
      <w:r>
        <w:rPr>
          <w:lang w:val="fr-FR"/>
        </w:rPr>
        <w:t xml:space="preserve"> l’</w:t>
      </w:r>
      <w:r w:rsidR="00F521EA" w:rsidRPr="00A82E28">
        <w:rPr>
          <w:lang w:val="fr-FR"/>
        </w:rPr>
        <w:t>élaboration du prochain</w:t>
      </w:r>
      <w:r w:rsidR="00175E49" w:rsidRPr="00A82E28">
        <w:rPr>
          <w:lang w:val="fr-FR"/>
        </w:rPr>
        <w:t xml:space="preserve">. </w:t>
      </w:r>
    </w:p>
    <w:p w:rsidR="00175E49" w:rsidRPr="00A82E28" w:rsidRDefault="00175E49" w:rsidP="001C723D">
      <w:pPr>
        <w:pStyle w:val="ListParagraph"/>
        <w:ind w:left="360"/>
        <w:rPr>
          <w:lang w:val="fr-FR"/>
        </w:rPr>
      </w:pPr>
    </w:p>
    <w:p w:rsidR="00175E49" w:rsidRPr="00A82E28" w:rsidRDefault="00514D21" w:rsidP="001C723D">
      <w:pPr>
        <w:pStyle w:val="ListParagraph"/>
        <w:numPr>
          <w:ilvl w:val="0"/>
          <w:numId w:val="31"/>
        </w:numPr>
        <w:ind w:left="360"/>
        <w:rPr>
          <w:lang w:val="fr-FR"/>
        </w:rPr>
      </w:pPr>
      <w:r>
        <w:rPr>
          <w:lang w:val="fr-FR"/>
        </w:rPr>
        <w:t>Le Secrétariat note</w:t>
      </w:r>
      <w:r w:rsidR="0098311A" w:rsidRPr="00A82E28">
        <w:rPr>
          <w:lang w:val="fr-FR"/>
        </w:rPr>
        <w:t xml:space="preserve"> que </w:t>
      </w:r>
      <w:r w:rsidR="00B22EC2" w:rsidRPr="00A82E28">
        <w:rPr>
          <w:lang w:val="fr-FR"/>
        </w:rPr>
        <w:t>le budget</w:t>
      </w:r>
      <w:r w:rsidR="0098311A" w:rsidRPr="00A82E28">
        <w:rPr>
          <w:lang w:val="fr-FR"/>
        </w:rPr>
        <w:t xml:space="preserve"> </w:t>
      </w:r>
      <w:r w:rsidR="00B22EC2" w:rsidRPr="00A82E28">
        <w:rPr>
          <w:lang w:val="fr-FR"/>
        </w:rPr>
        <w:t>administratif</w:t>
      </w:r>
      <w:r w:rsidR="0098311A" w:rsidRPr="00A82E28">
        <w:rPr>
          <w:lang w:val="fr-FR"/>
        </w:rPr>
        <w:t xml:space="preserve"> du GEST pour 2022 et </w:t>
      </w:r>
      <w:r w:rsidR="00B22EC2" w:rsidRPr="00A82E28">
        <w:rPr>
          <w:lang w:val="fr-FR"/>
        </w:rPr>
        <w:t>le budget</w:t>
      </w:r>
      <w:r w:rsidR="0098311A" w:rsidRPr="00A82E28">
        <w:rPr>
          <w:lang w:val="fr-FR"/>
        </w:rPr>
        <w:t xml:space="preserve"> non </w:t>
      </w:r>
      <w:r w:rsidR="00B22EC2" w:rsidRPr="00A82E28">
        <w:rPr>
          <w:lang w:val="fr-FR"/>
        </w:rPr>
        <w:t>administratifs</w:t>
      </w:r>
      <w:r w:rsidR="0098311A" w:rsidRPr="00A82E28">
        <w:rPr>
          <w:lang w:val="fr-FR"/>
        </w:rPr>
        <w:t xml:space="preserve"> prévus pour les travaux du GE</w:t>
      </w:r>
      <w:r w:rsidR="00B22EC2" w:rsidRPr="00A82E28">
        <w:rPr>
          <w:lang w:val="fr-FR"/>
        </w:rPr>
        <w:t xml:space="preserve">ST sur le carbone bleu </w:t>
      </w:r>
      <w:r w:rsidRPr="00A82E28">
        <w:rPr>
          <w:lang w:val="fr-FR"/>
        </w:rPr>
        <w:t>pourront</w:t>
      </w:r>
      <w:r w:rsidR="0098311A" w:rsidRPr="00A82E28">
        <w:rPr>
          <w:lang w:val="fr-FR"/>
        </w:rPr>
        <w:t xml:space="preserve"> être affectés à ces activités, selon les besoins</w:t>
      </w:r>
      <w:r w:rsidR="00175E49" w:rsidRPr="00A82E28">
        <w:rPr>
          <w:lang w:val="fr-FR"/>
        </w:rPr>
        <w:t xml:space="preserve">. </w:t>
      </w:r>
    </w:p>
    <w:p w:rsidR="00175E49" w:rsidRPr="00A82E28" w:rsidRDefault="00175E49" w:rsidP="001C723D">
      <w:pPr>
        <w:pStyle w:val="ListParagraph"/>
        <w:rPr>
          <w:lang w:val="fr-FR"/>
        </w:rPr>
      </w:pPr>
    </w:p>
    <w:p w:rsidR="00175E49" w:rsidRPr="00A82E28" w:rsidRDefault="000B6B3C" w:rsidP="001C723D">
      <w:pPr>
        <w:pStyle w:val="ListParagraph"/>
        <w:numPr>
          <w:ilvl w:val="0"/>
          <w:numId w:val="31"/>
        </w:numPr>
        <w:ind w:left="360"/>
        <w:rPr>
          <w:lang w:val="fr-FR"/>
        </w:rPr>
      </w:pPr>
      <w:r w:rsidRPr="00A82E28">
        <w:rPr>
          <w:lang w:val="fr-FR"/>
        </w:rPr>
        <w:t>Les membres du Grou</w:t>
      </w:r>
      <w:r w:rsidR="00514D21">
        <w:rPr>
          <w:lang w:val="fr-FR"/>
        </w:rPr>
        <w:t>pe de travail sur la gestion expriment</w:t>
      </w:r>
      <w:r w:rsidRPr="00A82E28">
        <w:rPr>
          <w:lang w:val="fr-FR"/>
        </w:rPr>
        <w:t xml:space="preserve"> leur soutien aux activités proposées. Pour ce qui concerne l’analyse des lacunes, des suggestions </w:t>
      </w:r>
      <w:r w:rsidR="00446792">
        <w:rPr>
          <w:lang w:val="fr-FR"/>
        </w:rPr>
        <w:t>s</w:t>
      </w:r>
      <w:r w:rsidRPr="00A82E28">
        <w:rPr>
          <w:lang w:val="fr-FR"/>
        </w:rPr>
        <w:t xml:space="preserve">ont formulées </w:t>
      </w:r>
      <w:r w:rsidR="00446792">
        <w:rPr>
          <w:lang w:val="fr-FR"/>
        </w:rPr>
        <w:t>qui vise</w:t>
      </w:r>
      <w:r w:rsidR="00514D21">
        <w:rPr>
          <w:lang w:val="fr-FR"/>
        </w:rPr>
        <w:t>nt à</w:t>
      </w:r>
      <w:r w:rsidRPr="00A82E28">
        <w:rPr>
          <w:lang w:val="fr-FR"/>
        </w:rPr>
        <w:t xml:space="preserve"> assurer la prise en compte des aspects biogéographiques et </w:t>
      </w:r>
      <w:r w:rsidR="00514D21">
        <w:rPr>
          <w:lang w:val="fr-FR"/>
        </w:rPr>
        <w:t>à</w:t>
      </w:r>
      <w:r w:rsidR="00F0434F">
        <w:rPr>
          <w:lang w:val="fr-FR"/>
        </w:rPr>
        <w:t xml:space="preserve"> envisager l’</w:t>
      </w:r>
      <w:r w:rsidRPr="00A82E28">
        <w:rPr>
          <w:lang w:val="fr-FR"/>
        </w:rPr>
        <w:t>identification des sites favorisant ou facilitant</w:t>
      </w:r>
      <w:r w:rsidR="00F0434F">
        <w:rPr>
          <w:lang w:val="fr-FR"/>
        </w:rPr>
        <w:t xml:space="preserve"> l’</w:t>
      </w:r>
      <w:r w:rsidRPr="00A82E28">
        <w:rPr>
          <w:lang w:val="fr-FR"/>
        </w:rPr>
        <w:t xml:space="preserve">adaptation aux changements (climatiques) prévus. Dans ce contexte, il serait également important d’encourager les Parties contractantes à </w:t>
      </w:r>
      <w:r w:rsidR="00F0434F">
        <w:rPr>
          <w:lang w:val="fr-FR"/>
        </w:rPr>
        <w:t>actualiser</w:t>
      </w:r>
      <w:r w:rsidRPr="00A82E28">
        <w:rPr>
          <w:lang w:val="fr-FR"/>
        </w:rPr>
        <w:t xml:space="preserve"> les rapports RSIS afin de permettre une meilleure évaluation/analyse. S’agissant du carbone bleu, les travaux du GEST sur la note d’information récemment préparée </w:t>
      </w:r>
      <w:r w:rsidR="00F0434F">
        <w:rPr>
          <w:lang w:val="fr-FR"/>
        </w:rPr>
        <w:t xml:space="preserve">sont </w:t>
      </w:r>
      <w:r w:rsidRPr="00A82E28">
        <w:rPr>
          <w:lang w:val="fr-FR"/>
        </w:rPr>
        <w:t xml:space="preserve">salués, et </w:t>
      </w:r>
      <w:r w:rsidR="00F0434F">
        <w:rPr>
          <w:lang w:val="fr-FR"/>
        </w:rPr>
        <w:t>il est suggéré</w:t>
      </w:r>
      <w:r w:rsidRPr="00A82E28">
        <w:rPr>
          <w:lang w:val="fr-FR"/>
        </w:rPr>
        <w:t xml:space="preserve"> que le GEST envisage également </w:t>
      </w:r>
      <w:r w:rsidR="00F0434F">
        <w:rPr>
          <w:lang w:val="fr-FR"/>
        </w:rPr>
        <w:t xml:space="preserve">de mener </w:t>
      </w:r>
      <w:r w:rsidRPr="00A82E28">
        <w:rPr>
          <w:lang w:val="fr-FR"/>
        </w:rPr>
        <w:t xml:space="preserve">des travaux </w:t>
      </w:r>
      <w:r w:rsidR="00F0434F">
        <w:rPr>
          <w:lang w:val="fr-FR"/>
        </w:rPr>
        <w:t>sur les</w:t>
      </w:r>
      <w:r w:rsidRPr="00A82E28">
        <w:rPr>
          <w:lang w:val="fr-FR"/>
        </w:rPr>
        <w:t xml:space="preserve"> vasières intertidales en tant qu’écosystèmes de carbone bleu, et </w:t>
      </w:r>
      <w:r w:rsidR="00F0434F">
        <w:rPr>
          <w:lang w:val="fr-FR"/>
        </w:rPr>
        <w:t>sur</w:t>
      </w:r>
      <w:r w:rsidRPr="00A82E28">
        <w:rPr>
          <w:lang w:val="fr-FR"/>
        </w:rPr>
        <w:t xml:space="preserve"> la finance carbone et l’élaboration d’orientations appropriées </w:t>
      </w:r>
      <w:r w:rsidR="00F0434F">
        <w:rPr>
          <w:lang w:val="fr-FR"/>
        </w:rPr>
        <w:t>à cet égard.</w:t>
      </w:r>
    </w:p>
    <w:p w:rsidR="00175E49" w:rsidRPr="00A82E28" w:rsidRDefault="00175E49" w:rsidP="001C723D">
      <w:pPr>
        <w:pStyle w:val="ListParagraph"/>
        <w:rPr>
          <w:lang w:val="fr-FR"/>
        </w:rPr>
      </w:pPr>
    </w:p>
    <w:p w:rsidR="001C723D" w:rsidRPr="00A82E28" w:rsidRDefault="000B6B3C" w:rsidP="001C723D">
      <w:pPr>
        <w:pStyle w:val="ListParagraph"/>
        <w:numPr>
          <w:ilvl w:val="0"/>
          <w:numId w:val="31"/>
        </w:numPr>
        <w:ind w:left="360"/>
        <w:rPr>
          <w:lang w:val="fr-FR"/>
        </w:rPr>
      </w:pPr>
      <w:r w:rsidRPr="00A82E28">
        <w:rPr>
          <w:lang w:val="fr-FR"/>
        </w:rPr>
        <w:t xml:space="preserve">Le Président du GEST </w:t>
      </w:r>
      <w:r w:rsidR="00F0434F">
        <w:rPr>
          <w:lang w:val="fr-FR"/>
        </w:rPr>
        <w:t>prend</w:t>
      </w:r>
      <w:r w:rsidRPr="00A82E28">
        <w:rPr>
          <w:lang w:val="fr-FR"/>
        </w:rPr>
        <w:t xml:space="preserve"> note des observations, dont certaines seront mieux traitées dans le cadre de la discussion sur les priorités du GEST pour la prochaine période triennale</w:t>
      </w:r>
      <w:r w:rsidR="00175E49" w:rsidRPr="00A82E28">
        <w:rPr>
          <w:lang w:val="fr-FR"/>
        </w:rPr>
        <w:t>.</w:t>
      </w:r>
    </w:p>
    <w:p w:rsidR="001C723D" w:rsidRPr="00A82E28" w:rsidRDefault="001C723D" w:rsidP="001C723D">
      <w:pPr>
        <w:rPr>
          <w:sz w:val="21"/>
          <w:szCs w:val="21"/>
          <w:u w:val="single"/>
          <w:lang w:val="fr-FR"/>
        </w:rPr>
      </w:pPr>
    </w:p>
    <w:p w:rsidR="00175E49" w:rsidRPr="00A82E28" w:rsidRDefault="000B6B3C" w:rsidP="001C723D">
      <w:pPr>
        <w:rPr>
          <w:i/>
          <w:sz w:val="21"/>
          <w:szCs w:val="21"/>
          <w:u w:val="single"/>
          <w:lang w:val="fr-FR"/>
        </w:rPr>
      </w:pPr>
      <w:r w:rsidRPr="00A82E28">
        <w:rPr>
          <w:sz w:val="21"/>
          <w:szCs w:val="21"/>
          <w:u w:val="single"/>
          <w:lang w:val="fr-FR"/>
        </w:rPr>
        <w:t xml:space="preserve">Poursuite de l’élaboration des priorités du GEST pour la prochaine période triennale </w:t>
      </w:r>
      <w:r w:rsidR="00175E49" w:rsidRPr="00A82E28">
        <w:rPr>
          <w:i/>
          <w:sz w:val="21"/>
          <w:szCs w:val="21"/>
          <w:u w:val="single"/>
          <w:lang w:val="fr-FR"/>
        </w:rPr>
        <w:t>(</w:t>
      </w:r>
      <w:hyperlink r:id="rId16" w:history="1">
        <w:r w:rsidR="00175E49" w:rsidRPr="00A82E28">
          <w:rPr>
            <w:rStyle w:val="Hyperlink"/>
            <w:i/>
            <w:color w:val="0563C1"/>
            <w:sz w:val="21"/>
            <w:szCs w:val="21"/>
            <w:lang w:val="fr-FR"/>
          </w:rPr>
          <w:t>D</w:t>
        </w:r>
        <w:r w:rsidR="006C5CEC">
          <w:rPr>
            <w:rStyle w:val="Hyperlink"/>
            <w:i/>
            <w:color w:val="0563C1"/>
            <w:sz w:val="21"/>
            <w:szCs w:val="21"/>
            <w:lang w:val="fr-FR"/>
          </w:rPr>
          <w:t>é</w:t>
        </w:r>
        <w:r w:rsidR="00175E49" w:rsidRPr="00A82E28">
          <w:rPr>
            <w:rStyle w:val="Hyperlink"/>
            <w:i/>
            <w:color w:val="0563C1"/>
            <w:sz w:val="21"/>
            <w:szCs w:val="21"/>
            <w:lang w:val="fr-FR"/>
          </w:rPr>
          <w:t>cision SC59-07</w:t>
        </w:r>
      </w:hyperlink>
      <w:r w:rsidR="00175E49" w:rsidRPr="00A82E28">
        <w:rPr>
          <w:i/>
          <w:sz w:val="21"/>
          <w:szCs w:val="21"/>
          <w:u w:val="single"/>
          <w:lang w:val="fr-FR"/>
        </w:rPr>
        <w:t>)</w:t>
      </w:r>
    </w:p>
    <w:p w:rsidR="001C723D" w:rsidRPr="00A82E28" w:rsidRDefault="001C723D" w:rsidP="001C723D">
      <w:pPr>
        <w:rPr>
          <w:i/>
          <w:u w:val="single"/>
          <w:lang w:val="fr-FR"/>
        </w:rPr>
      </w:pPr>
    </w:p>
    <w:p w:rsidR="00175E49" w:rsidRPr="00A82E28" w:rsidRDefault="000B6B3C" w:rsidP="001C723D">
      <w:pPr>
        <w:pStyle w:val="ListParagraph"/>
        <w:numPr>
          <w:ilvl w:val="0"/>
          <w:numId w:val="31"/>
        </w:numPr>
        <w:ind w:left="360"/>
        <w:rPr>
          <w:lang w:val="fr-FR"/>
        </w:rPr>
      </w:pPr>
      <w:r w:rsidRPr="00A82E28">
        <w:rPr>
          <w:lang w:val="fr-FR"/>
        </w:rPr>
        <w:t xml:space="preserve">Le président du GEST </w:t>
      </w:r>
      <w:r w:rsidR="00F0434F">
        <w:rPr>
          <w:lang w:val="fr-FR"/>
        </w:rPr>
        <w:t>indique</w:t>
      </w:r>
      <w:r w:rsidRPr="00A82E28">
        <w:rPr>
          <w:lang w:val="fr-FR"/>
        </w:rPr>
        <w:t xml:space="preserve"> que les discussions sur les priorités futures étaient en cours, et qu’un certain nombre de révisions et mises à jour avaient été apportées au document distribué avant</w:t>
      </w:r>
      <w:r w:rsidR="00F0434F">
        <w:rPr>
          <w:lang w:val="fr-FR"/>
        </w:rPr>
        <w:t xml:space="preserve"> la réunion du</w:t>
      </w:r>
      <w:r w:rsidRPr="00A82E28">
        <w:rPr>
          <w:lang w:val="fr-FR"/>
        </w:rPr>
        <w:t xml:space="preserve"> Groupe de travail sur la gestion. Il s’agissait notamment d’affiner les activités et </w:t>
      </w:r>
      <w:r w:rsidR="000E5B3F" w:rsidRPr="00A82E28">
        <w:rPr>
          <w:lang w:val="fr-FR"/>
        </w:rPr>
        <w:t>résultats</w:t>
      </w:r>
      <w:r w:rsidRPr="00A82E28">
        <w:rPr>
          <w:lang w:val="fr-FR"/>
        </w:rPr>
        <w:t xml:space="preserve"> potentiels</w:t>
      </w:r>
      <w:r w:rsidR="00F0434F">
        <w:rPr>
          <w:lang w:val="fr-FR"/>
        </w:rPr>
        <w:t>,</w:t>
      </w:r>
      <w:r w:rsidRPr="00A82E28">
        <w:rPr>
          <w:lang w:val="fr-FR"/>
        </w:rPr>
        <w:t xml:space="preserve"> ainsi que le niveau de</w:t>
      </w:r>
      <w:r w:rsidR="000E5B3F" w:rsidRPr="00A82E28">
        <w:rPr>
          <w:lang w:val="fr-FR"/>
        </w:rPr>
        <w:t>s</w:t>
      </w:r>
      <w:r w:rsidRPr="00A82E28">
        <w:rPr>
          <w:lang w:val="fr-FR"/>
        </w:rPr>
        <w:t xml:space="preserve"> priorité</w:t>
      </w:r>
      <w:r w:rsidR="000E5B3F" w:rsidRPr="00A82E28">
        <w:rPr>
          <w:lang w:val="fr-FR"/>
        </w:rPr>
        <w:t>s</w:t>
      </w:r>
      <w:r w:rsidR="00F0434F">
        <w:rPr>
          <w:lang w:val="fr-FR"/>
        </w:rPr>
        <w:t>. Il note</w:t>
      </w:r>
      <w:r w:rsidRPr="00A82E28">
        <w:rPr>
          <w:lang w:val="fr-FR"/>
        </w:rPr>
        <w:t xml:space="preserve"> que</w:t>
      </w:r>
      <w:r w:rsidR="000E5B3F" w:rsidRPr="00A82E28">
        <w:rPr>
          <w:lang w:val="fr-FR"/>
        </w:rPr>
        <w:t xml:space="preserve"> certains aspects du document n’</w:t>
      </w:r>
      <w:r w:rsidR="00F0434F">
        <w:rPr>
          <w:lang w:val="fr-FR"/>
        </w:rPr>
        <w:t>o</w:t>
      </w:r>
      <w:r w:rsidRPr="00A82E28">
        <w:rPr>
          <w:lang w:val="fr-FR"/>
        </w:rPr>
        <w:t>nt pas encore été examinés en détail</w:t>
      </w:r>
      <w:r w:rsidR="00175E49" w:rsidRPr="00A82E28">
        <w:rPr>
          <w:lang w:val="fr-FR"/>
        </w:rPr>
        <w:t xml:space="preserve">. </w:t>
      </w:r>
    </w:p>
    <w:p w:rsidR="00175E49" w:rsidRPr="00A82E28" w:rsidRDefault="00175E49" w:rsidP="001C723D">
      <w:pPr>
        <w:pStyle w:val="ListParagraph"/>
        <w:ind w:left="360"/>
        <w:rPr>
          <w:lang w:val="fr-FR"/>
        </w:rPr>
      </w:pPr>
    </w:p>
    <w:p w:rsidR="00175E49" w:rsidRPr="00A82E28" w:rsidRDefault="00F0434F" w:rsidP="001C723D">
      <w:pPr>
        <w:pStyle w:val="ListParagraph"/>
        <w:numPr>
          <w:ilvl w:val="0"/>
          <w:numId w:val="31"/>
        </w:numPr>
        <w:ind w:left="360"/>
        <w:rPr>
          <w:lang w:val="fr-FR"/>
        </w:rPr>
      </w:pPr>
      <w:r>
        <w:rPr>
          <w:lang w:val="fr-FR"/>
        </w:rPr>
        <w:t>Le Secrétariat demande</w:t>
      </w:r>
      <w:r w:rsidR="000E5B3F" w:rsidRPr="00A82E28">
        <w:rPr>
          <w:lang w:val="fr-FR"/>
        </w:rPr>
        <w:t xml:space="preserve"> des éclaircissements sur la structure du document, en suggérant qu’il pourrait présenter les activités prioritaires </w:t>
      </w:r>
      <w:r w:rsidRPr="00A82E28">
        <w:rPr>
          <w:lang w:val="fr-FR"/>
        </w:rPr>
        <w:t xml:space="preserve">potentielles </w:t>
      </w:r>
      <w:r w:rsidR="000E5B3F" w:rsidRPr="00A82E28">
        <w:rPr>
          <w:lang w:val="fr-FR"/>
        </w:rPr>
        <w:t>par domaines d’activités thématiques, et qu’il pourrait être nécessaire de modifier quelque peu les domaines d’activités thématiques dans l’attente d’un examen plus approfondi au GEST</w:t>
      </w:r>
      <w:r w:rsidR="00175E49" w:rsidRPr="00A82E28">
        <w:rPr>
          <w:lang w:val="fr-FR"/>
        </w:rPr>
        <w:t xml:space="preserve">. </w:t>
      </w:r>
    </w:p>
    <w:p w:rsidR="00175E49" w:rsidRPr="00A82E28" w:rsidRDefault="00175E49" w:rsidP="001C723D">
      <w:pPr>
        <w:pStyle w:val="ListParagraph"/>
        <w:rPr>
          <w:lang w:val="fr-FR"/>
        </w:rPr>
      </w:pPr>
    </w:p>
    <w:p w:rsidR="00175E49" w:rsidRPr="00A82E28" w:rsidRDefault="000E5B3F" w:rsidP="001C723D">
      <w:pPr>
        <w:pStyle w:val="ListParagraph"/>
        <w:numPr>
          <w:ilvl w:val="0"/>
          <w:numId w:val="31"/>
        </w:numPr>
        <w:ind w:left="360"/>
        <w:rPr>
          <w:lang w:val="fr-FR"/>
        </w:rPr>
      </w:pPr>
      <w:r w:rsidRPr="00A82E28">
        <w:rPr>
          <w:lang w:val="fr-FR"/>
        </w:rPr>
        <w:t xml:space="preserve">Les membres du Groupe de travail sur la gestion </w:t>
      </w:r>
      <w:r w:rsidR="00F0434F">
        <w:rPr>
          <w:lang w:val="fr-FR"/>
        </w:rPr>
        <w:t>expriment</w:t>
      </w:r>
      <w:r w:rsidRPr="00A82E28">
        <w:rPr>
          <w:lang w:val="fr-FR"/>
        </w:rPr>
        <w:t xml:space="preserve"> leur so</w:t>
      </w:r>
      <w:r w:rsidR="00F0434F">
        <w:rPr>
          <w:lang w:val="fr-FR"/>
        </w:rPr>
        <w:t>utien aux travaux du GEST et remercient</w:t>
      </w:r>
      <w:r w:rsidRPr="00A82E28">
        <w:rPr>
          <w:lang w:val="fr-FR"/>
        </w:rPr>
        <w:t xml:space="preserve"> le président pour les progrès réalisés. Ils </w:t>
      </w:r>
      <w:r w:rsidR="00F0434F">
        <w:rPr>
          <w:lang w:val="fr-FR"/>
        </w:rPr>
        <w:t>insistent</w:t>
      </w:r>
      <w:r w:rsidRPr="00A82E28">
        <w:rPr>
          <w:lang w:val="fr-FR"/>
        </w:rPr>
        <w:t xml:space="preserve"> sur l’utilisation de l’échelle complète de classement des priorités, notant que si tous les points de la liste sont considérés comme importants, il est nécessaire d’établir un ordre de</w:t>
      </w:r>
      <w:r w:rsidR="00F0434F">
        <w:rPr>
          <w:lang w:val="fr-FR"/>
        </w:rPr>
        <w:t>s</w:t>
      </w:r>
      <w:r w:rsidRPr="00A82E28">
        <w:rPr>
          <w:lang w:val="fr-FR"/>
        </w:rPr>
        <w:t xml:space="preserve"> priorités afin d’établir un plan de travail</w:t>
      </w:r>
      <w:r w:rsidR="00F0434F">
        <w:rPr>
          <w:lang w:val="fr-FR"/>
        </w:rPr>
        <w:t xml:space="preserve"> réaliste. La participation à l’</w:t>
      </w:r>
      <w:r w:rsidRPr="00A82E28">
        <w:rPr>
          <w:lang w:val="fr-FR"/>
        </w:rPr>
        <w:t xml:space="preserve">élaboration du prochain plan stratégique doit être considérée comme une priorité future du GEST. Il </w:t>
      </w:r>
      <w:r w:rsidR="00F0434F">
        <w:rPr>
          <w:lang w:val="fr-FR"/>
        </w:rPr>
        <w:t>est</w:t>
      </w:r>
      <w:r w:rsidRPr="00A82E28">
        <w:rPr>
          <w:lang w:val="fr-FR"/>
        </w:rPr>
        <w:t xml:space="preserve"> également noté que les priorités du GEST pour la prochaine période triennale </w:t>
      </w:r>
      <w:r w:rsidR="00F0434F">
        <w:rPr>
          <w:lang w:val="fr-FR"/>
        </w:rPr>
        <w:t>doivent</w:t>
      </w:r>
      <w:r w:rsidRPr="00A82E28">
        <w:rPr>
          <w:lang w:val="fr-FR"/>
        </w:rPr>
        <w:t xml:space="preserve">, le cas échéant, tenir compte du Cadre mondial pour la biodiversité. Des commentaires positifs </w:t>
      </w:r>
      <w:r w:rsidR="00F0434F">
        <w:rPr>
          <w:lang w:val="fr-FR"/>
        </w:rPr>
        <w:t>s</w:t>
      </w:r>
      <w:r w:rsidRPr="00A82E28">
        <w:rPr>
          <w:lang w:val="fr-FR"/>
        </w:rPr>
        <w:t xml:space="preserve">ont également formulés concernant la structuration du document par domaines </w:t>
      </w:r>
      <w:r w:rsidR="00231CA8" w:rsidRPr="00A82E28">
        <w:rPr>
          <w:lang w:val="fr-FR"/>
        </w:rPr>
        <w:t>d’activités</w:t>
      </w:r>
      <w:r w:rsidRPr="00A82E28">
        <w:rPr>
          <w:lang w:val="fr-FR"/>
        </w:rPr>
        <w:t xml:space="preserve"> thématiques.  </w:t>
      </w:r>
    </w:p>
    <w:p w:rsidR="00175E49" w:rsidRPr="00A82E28" w:rsidRDefault="00175E49" w:rsidP="001C723D">
      <w:pPr>
        <w:pStyle w:val="ListParagraph"/>
        <w:rPr>
          <w:lang w:val="fr-FR"/>
        </w:rPr>
      </w:pPr>
    </w:p>
    <w:p w:rsidR="00175E49" w:rsidRPr="00A82E28" w:rsidRDefault="00F0434F" w:rsidP="001C723D">
      <w:pPr>
        <w:pStyle w:val="ListParagraph"/>
        <w:numPr>
          <w:ilvl w:val="0"/>
          <w:numId w:val="31"/>
        </w:numPr>
        <w:ind w:left="360"/>
        <w:rPr>
          <w:lang w:val="fr-FR"/>
        </w:rPr>
      </w:pPr>
      <w:r>
        <w:rPr>
          <w:lang w:val="fr-FR"/>
        </w:rPr>
        <w:t xml:space="preserve">Le Président du GEST </w:t>
      </w:r>
      <w:r w:rsidR="002709C5" w:rsidRPr="00A82E28">
        <w:rPr>
          <w:lang w:val="fr-FR"/>
        </w:rPr>
        <w:t>conf</w:t>
      </w:r>
      <w:r>
        <w:rPr>
          <w:lang w:val="fr-FR"/>
        </w:rPr>
        <w:t>irme</w:t>
      </w:r>
      <w:r w:rsidR="002709C5" w:rsidRPr="00A82E28">
        <w:rPr>
          <w:lang w:val="fr-FR"/>
        </w:rPr>
        <w:t xml:space="preserve"> que les orientations du Groupe de travail sur la gestion</w:t>
      </w:r>
      <w:r>
        <w:rPr>
          <w:lang w:val="fr-FR"/>
        </w:rPr>
        <w:t xml:space="preserve"> sero</w:t>
      </w:r>
      <w:r w:rsidR="002709C5" w:rsidRPr="00A82E28">
        <w:rPr>
          <w:lang w:val="fr-FR"/>
        </w:rPr>
        <w:t xml:space="preserve">nt prises en compte dans le cadre de l’élaboration des priorités du GEST pour la prochaine période triennale, et que le GEST </w:t>
      </w:r>
      <w:r w:rsidR="00446792">
        <w:rPr>
          <w:lang w:val="fr-FR"/>
        </w:rPr>
        <w:t>coopère</w:t>
      </w:r>
      <w:r w:rsidR="002709C5" w:rsidRPr="00A82E28">
        <w:rPr>
          <w:lang w:val="fr-FR"/>
        </w:rPr>
        <w:t xml:space="preserve"> avec le Secrétariat </w:t>
      </w:r>
      <w:r w:rsidR="00962C3E">
        <w:rPr>
          <w:lang w:val="fr-FR"/>
        </w:rPr>
        <w:t>sur la question</w:t>
      </w:r>
      <w:r w:rsidR="00175E49" w:rsidRPr="00A82E28">
        <w:rPr>
          <w:lang w:val="fr-FR"/>
        </w:rPr>
        <w:t xml:space="preserve">. </w:t>
      </w:r>
    </w:p>
    <w:p w:rsidR="001C723D" w:rsidRPr="00A82E28" w:rsidRDefault="001C723D" w:rsidP="001C723D">
      <w:pPr>
        <w:rPr>
          <w:sz w:val="21"/>
          <w:szCs w:val="21"/>
          <w:u w:val="single"/>
          <w:lang w:val="fr-FR"/>
        </w:rPr>
      </w:pPr>
    </w:p>
    <w:p w:rsidR="001C723D" w:rsidRPr="00A82E28" w:rsidRDefault="002709C5" w:rsidP="001C723D">
      <w:pPr>
        <w:rPr>
          <w:i/>
          <w:sz w:val="21"/>
          <w:szCs w:val="21"/>
          <w:u w:val="single"/>
          <w:lang w:val="fr-FR"/>
        </w:rPr>
      </w:pPr>
      <w:r w:rsidRPr="00A82E28">
        <w:rPr>
          <w:sz w:val="21"/>
          <w:szCs w:val="21"/>
          <w:u w:val="single"/>
          <w:lang w:val="fr-FR"/>
        </w:rPr>
        <w:t>Résumé du GEST</w:t>
      </w:r>
    </w:p>
    <w:p w:rsidR="00175E49" w:rsidRPr="00A82E28" w:rsidRDefault="00175E49" w:rsidP="001C723D">
      <w:pPr>
        <w:rPr>
          <w:i/>
          <w:u w:val="single"/>
          <w:lang w:val="fr-FR"/>
        </w:rPr>
      </w:pPr>
    </w:p>
    <w:p w:rsidR="00175E49" w:rsidRPr="00A82E28" w:rsidRDefault="002709C5" w:rsidP="001C723D">
      <w:pPr>
        <w:pStyle w:val="ListParagraph"/>
        <w:numPr>
          <w:ilvl w:val="0"/>
          <w:numId w:val="31"/>
        </w:numPr>
        <w:ind w:left="360"/>
        <w:rPr>
          <w:lang w:val="fr-FR"/>
        </w:rPr>
      </w:pPr>
      <w:r w:rsidRPr="00A82E28">
        <w:rPr>
          <w:rFonts w:eastAsiaTheme="minorEastAsia" w:cstheme="minorHAnsi"/>
          <w:lang w:val="fr-FR"/>
        </w:rPr>
        <w:t>Le Groupe de travail sur la gestion</w:t>
      </w:r>
      <w:r w:rsidR="00962C3E">
        <w:rPr>
          <w:rFonts w:eastAsiaTheme="minorEastAsia" w:cstheme="minorHAnsi"/>
          <w:lang w:val="fr-FR"/>
        </w:rPr>
        <w:t xml:space="preserve"> recommande</w:t>
      </w:r>
      <w:r w:rsidRPr="00A82E28">
        <w:rPr>
          <w:rFonts w:eastAsiaTheme="minorEastAsia" w:cstheme="minorHAnsi"/>
          <w:lang w:val="fr-FR"/>
        </w:rPr>
        <w:t xml:space="preserve"> au GEST de poursuive ses travaux avec le soutien du Secrétariat, en application de la décision SC59-06, dans les domaines suivants </w:t>
      </w:r>
      <w:r w:rsidR="00175E49" w:rsidRPr="00A82E28">
        <w:rPr>
          <w:rFonts w:eastAsiaTheme="minorEastAsia" w:cstheme="minorHAnsi"/>
          <w:lang w:val="fr-FR"/>
        </w:rPr>
        <w:t>:</w:t>
      </w:r>
    </w:p>
    <w:p w:rsidR="00175E49" w:rsidRPr="00A82E28" w:rsidRDefault="002709C5" w:rsidP="001C723D">
      <w:pPr>
        <w:pStyle w:val="ListParagraph"/>
        <w:numPr>
          <w:ilvl w:val="0"/>
          <w:numId w:val="33"/>
        </w:numPr>
        <w:rPr>
          <w:rFonts w:eastAsiaTheme="minorEastAsia" w:cstheme="minorHAnsi"/>
          <w:lang w:val="fr-FR"/>
        </w:rPr>
      </w:pPr>
      <w:r w:rsidRPr="00A82E28">
        <w:rPr>
          <w:rFonts w:eastAsiaTheme="minorEastAsia" w:cstheme="minorHAnsi"/>
          <w:lang w:val="fr-FR"/>
        </w:rPr>
        <w:t>poursuivre la mise en œuvre des tâches additionnelles proposées pour 2022, en tenant compte des points soulevés par le Groupe de travail sur la gestion, comme il est indiqué ci-dessus </w:t>
      </w:r>
      <w:r w:rsidR="00175E49" w:rsidRPr="00A82E28">
        <w:rPr>
          <w:rFonts w:eastAsiaTheme="minorEastAsia" w:cstheme="minorHAnsi"/>
          <w:lang w:val="fr-FR"/>
        </w:rPr>
        <w:t xml:space="preserve">; </w:t>
      </w:r>
    </w:p>
    <w:p w:rsidR="00175E49" w:rsidRPr="00A82E28" w:rsidRDefault="002709C5" w:rsidP="001C723D">
      <w:pPr>
        <w:pStyle w:val="ListParagraph"/>
        <w:numPr>
          <w:ilvl w:val="0"/>
          <w:numId w:val="33"/>
        </w:numPr>
        <w:rPr>
          <w:rFonts w:eastAsiaTheme="minorEastAsia" w:cstheme="minorHAnsi"/>
          <w:lang w:val="fr-FR"/>
        </w:rPr>
      </w:pPr>
      <w:r w:rsidRPr="00A82E28">
        <w:rPr>
          <w:rFonts w:eastAsiaTheme="minorEastAsia" w:cstheme="minorHAnsi"/>
          <w:lang w:val="fr-FR"/>
        </w:rPr>
        <w:t xml:space="preserve">poursuivre les travaux sur la tâche </w:t>
      </w:r>
      <w:r w:rsidRPr="00A82E28">
        <w:rPr>
          <w:rFonts w:eastAsiaTheme="minorEastAsia" w:cstheme="minorHAnsi"/>
          <w:i/>
          <w:lang w:val="fr-FR"/>
        </w:rPr>
        <w:t>ad hoc</w:t>
      </w:r>
      <w:r w:rsidRPr="00A82E28">
        <w:rPr>
          <w:rFonts w:eastAsiaTheme="minorEastAsia" w:cstheme="minorHAnsi"/>
          <w:lang w:val="fr-FR"/>
        </w:rPr>
        <w:t xml:space="preserve"> </w:t>
      </w:r>
      <w:r w:rsidR="00962C3E">
        <w:rPr>
          <w:rFonts w:eastAsiaTheme="minorEastAsia" w:cstheme="minorHAnsi"/>
          <w:lang w:val="fr-FR"/>
        </w:rPr>
        <w:t>sur le</w:t>
      </w:r>
      <w:r w:rsidRPr="00A82E28">
        <w:rPr>
          <w:rFonts w:eastAsiaTheme="minorEastAsia" w:cstheme="minorHAnsi"/>
          <w:lang w:val="fr-FR"/>
        </w:rPr>
        <w:t xml:space="preserve"> critère 6</w:t>
      </w:r>
      <w:r w:rsidR="00446792">
        <w:rPr>
          <w:rFonts w:eastAsiaTheme="minorEastAsia" w:cstheme="minorHAnsi"/>
          <w:lang w:val="fr-FR"/>
        </w:rPr>
        <w:t>,</w:t>
      </w:r>
      <w:r w:rsidRPr="00A82E28">
        <w:rPr>
          <w:rFonts w:eastAsiaTheme="minorEastAsia" w:cstheme="minorHAnsi"/>
          <w:lang w:val="fr-FR"/>
        </w:rPr>
        <w:t xml:space="preserve"> ainsi que sur l'élaboration des priorités futures, en tenant compte des orientations fournies par le Groupe de travail </w:t>
      </w:r>
      <w:r w:rsidRPr="00A82E28">
        <w:rPr>
          <w:rFonts w:eastAsiaTheme="minorEastAsia" w:cstheme="minorHAnsi"/>
          <w:lang w:val="fr-FR"/>
        </w:rPr>
        <w:lastRenderedPageBreak/>
        <w:t>sur la gestion, et veiller à ce que les tâches soient achevées avant la date limite de soumission des documents SC59.2 au Secrétariat (23 février 2022).</w:t>
      </w:r>
      <w:r w:rsidR="00175E49" w:rsidRPr="00A82E28">
        <w:rPr>
          <w:rFonts w:eastAsiaTheme="minorEastAsia" w:cstheme="minorHAnsi"/>
          <w:bCs/>
          <w:lang w:val="fr-FR"/>
        </w:rPr>
        <w:t xml:space="preserve"> </w:t>
      </w:r>
    </w:p>
    <w:p w:rsidR="00175E49" w:rsidRPr="00A82E28" w:rsidRDefault="00175E49" w:rsidP="001C723D">
      <w:pPr>
        <w:rPr>
          <w:iCs/>
          <w:lang w:val="fr-FR"/>
        </w:rPr>
      </w:pPr>
    </w:p>
    <w:p w:rsidR="00175E49" w:rsidRPr="00A82E28" w:rsidRDefault="00535CC4" w:rsidP="001C723D">
      <w:pPr>
        <w:ind w:left="0" w:firstLine="0"/>
        <w:rPr>
          <w:iCs/>
          <w:u w:val="single"/>
          <w:lang w:val="fr-FR"/>
        </w:rPr>
      </w:pPr>
      <w:r w:rsidRPr="00A82E28">
        <w:rPr>
          <w:iCs/>
          <w:u w:val="single"/>
          <w:lang w:val="fr-FR"/>
        </w:rPr>
        <w:t>Questions diverses</w:t>
      </w:r>
    </w:p>
    <w:p w:rsidR="001C723D" w:rsidRPr="00A82E28" w:rsidRDefault="001C723D" w:rsidP="001C723D">
      <w:pPr>
        <w:ind w:left="0" w:firstLine="0"/>
        <w:rPr>
          <w:iCs/>
          <w:u w:val="single"/>
          <w:lang w:val="fr-FR"/>
        </w:rPr>
      </w:pPr>
    </w:p>
    <w:p w:rsidR="00175E49" w:rsidRPr="00A82E28" w:rsidRDefault="00962C3E" w:rsidP="001C723D">
      <w:pPr>
        <w:pStyle w:val="ListParagraph"/>
        <w:numPr>
          <w:ilvl w:val="0"/>
          <w:numId w:val="31"/>
        </w:numPr>
        <w:ind w:left="360"/>
        <w:rPr>
          <w:lang w:val="fr-FR"/>
        </w:rPr>
      </w:pPr>
      <w:r>
        <w:rPr>
          <w:lang w:val="fr-FR"/>
        </w:rPr>
        <w:t>La Suède rappelle</w:t>
      </w:r>
      <w:r w:rsidR="00535CC4" w:rsidRPr="00A82E28">
        <w:rPr>
          <w:lang w:val="fr-FR"/>
        </w:rPr>
        <w:t xml:space="preserve"> qu’il </w:t>
      </w:r>
      <w:r>
        <w:rPr>
          <w:lang w:val="fr-FR"/>
        </w:rPr>
        <w:t>est</w:t>
      </w:r>
      <w:r w:rsidR="00535CC4" w:rsidRPr="00A82E28">
        <w:rPr>
          <w:lang w:val="fr-FR"/>
        </w:rPr>
        <w:t xml:space="preserve"> important que le processus de recrutement d’un nouveau Secrétaire général ne soit pas retard</w:t>
      </w:r>
      <w:r>
        <w:rPr>
          <w:lang w:val="fr-FR"/>
        </w:rPr>
        <w:t>é davantage. La Suède souhaite</w:t>
      </w:r>
      <w:r w:rsidR="00535CC4" w:rsidRPr="00A82E28">
        <w:rPr>
          <w:lang w:val="fr-FR"/>
        </w:rPr>
        <w:t xml:space="preserve"> que des mesures soient prises immédiatement à ce sujet, notant que cette demande avait été formulée dès le 15 novembre 2021 et qu’aucun progrès n’a encore été enregistré. Aucune autre opinion </w:t>
      </w:r>
      <w:r>
        <w:rPr>
          <w:lang w:val="fr-FR"/>
        </w:rPr>
        <w:t>n’est</w:t>
      </w:r>
      <w:r w:rsidR="00535CC4" w:rsidRPr="00A82E28">
        <w:rPr>
          <w:lang w:val="fr-FR"/>
        </w:rPr>
        <w:t xml:space="preserve"> exprimée</w:t>
      </w:r>
      <w:r w:rsidR="00175E49" w:rsidRPr="00A82E28">
        <w:rPr>
          <w:lang w:val="fr-FR"/>
        </w:rPr>
        <w:t>.</w:t>
      </w:r>
    </w:p>
    <w:p w:rsidR="00175E49" w:rsidRPr="00A82E28" w:rsidRDefault="00175E49" w:rsidP="001C723D">
      <w:pPr>
        <w:pStyle w:val="ListParagraph"/>
        <w:ind w:left="360"/>
        <w:rPr>
          <w:lang w:val="fr-FR"/>
        </w:rPr>
      </w:pPr>
    </w:p>
    <w:p w:rsidR="00175E49" w:rsidRPr="00A82E28" w:rsidRDefault="006B7117" w:rsidP="001C723D">
      <w:pPr>
        <w:pStyle w:val="ListParagraph"/>
        <w:ind w:left="-142" w:firstLine="0"/>
        <w:rPr>
          <w:iCs/>
          <w:u w:val="single"/>
          <w:lang w:val="fr-FR"/>
        </w:rPr>
      </w:pPr>
      <w:r w:rsidRPr="00A82E28">
        <w:rPr>
          <w:iCs/>
          <w:u w:val="single"/>
          <w:lang w:val="fr-FR"/>
        </w:rPr>
        <w:t>Clôture de la réunion</w:t>
      </w:r>
    </w:p>
    <w:p w:rsidR="00175E49" w:rsidRPr="00A82E28" w:rsidRDefault="00175E49" w:rsidP="001C723D">
      <w:pPr>
        <w:pStyle w:val="ListParagraph"/>
        <w:ind w:left="-142"/>
        <w:rPr>
          <w:lang w:val="fr-FR"/>
        </w:rPr>
      </w:pPr>
    </w:p>
    <w:p w:rsidR="00175E49" w:rsidRPr="00A82E28" w:rsidRDefault="006B7117" w:rsidP="001C723D">
      <w:pPr>
        <w:pStyle w:val="ListParagraph"/>
        <w:numPr>
          <w:ilvl w:val="0"/>
          <w:numId w:val="31"/>
        </w:numPr>
        <w:ind w:left="360"/>
        <w:rPr>
          <w:lang w:val="fr-FR"/>
        </w:rPr>
      </w:pPr>
      <w:r w:rsidRPr="00A82E28">
        <w:rPr>
          <w:lang w:val="fr-FR"/>
        </w:rPr>
        <w:t>La Secrétaire générale</w:t>
      </w:r>
      <w:r w:rsidR="00962C3E">
        <w:rPr>
          <w:lang w:val="fr-FR"/>
        </w:rPr>
        <w:t xml:space="preserve"> remercie</w:t>
      </w:r>
      <w:r w:rsidRPr="00A82E28">
        <w:rPr>
          <w:lang w:val="fr-FR"/>
        </w:rPr>
        <w:t xml:space="preserve"> le Président du GEST pour les progrès réalisés, reconnaissant que beaucoup de travail de haute qualité a été accompli en dépit des nombreux défis posés par la pandémie.</w:t>
      </w:r>
    </w:p>
    <w:p w:rsidR="00175E49" w:rsidRPr="00A82E28" w:rsidRDefault="00175E49" w:rsidP="001C723D">
      <w:pPr>
        <w:pStyle w:val="ListParagraph"/>
        <w:ind w:left="360"/>
        <w:rPr>
          <w:lang w:val="fr-FR"/>
        </w:rPr>
      </w:pPr>
    </w:p>
    <w:p w:rsidR="00175E49" w:rsidRPr="00A82E28" w:rsidRDefault="006B7117" w:rsidP="001C723D">
      <w:pPr>
        <w:pStyle w:val="ListParagraph"/>
        <w:numPr>
          <w:ilvl w:val="0"/>
          <w:numId w:val="31"/>
        </w:numPr>
        <w:ind w:left="360"/>
        <w:rPr>
          <w:lang w:val="fr-FR"/>
        </w:rPr>
      </w:pPr>
      <w:r w:rsidRPr="00A82E28">
        <w:rPr>
          <w:lang w:val="fr-FR"/>
        </w:rPr>
        <w:t>Le Président du GE</w:t>
      </w:r>
      <w:r w:rsidR="00962C3E">
        <w:rPr>
          <w:lang w:val="fr-FR"/>
        </w:rPr>
        <w:t>ST remercie</w:t>
      </w:r>
      <w:r w:rsidRPr="00A82E28">
        <w:rPr>
          <w:lang w:val="fr-FR"/>
        </w:rPr>
        <w:t xml:space="preserve"> les membres du Groupe de travail pour les conseils utiles qu’ils ont fournis et le Secrétariat pour son soutien utile aux travaux du Groupe</w:t>
      </w:r>
      <w:r w:rsidR="00175E49" w:rsidRPr="00A82E28">
        <w:rPr>
          <w:lang w:val="fr-FR"/>
        </w:rPr>
        <w:t xml:space="preserve">. </w:t>
      </w:r>
    </w:p>
    <w:p w:rsidR="00175E49" w:rsidRPr="00A82E28" w:rsidRDefault="00175E49" w:rsidP="001C723D">
      <w:pPr>
        <w:pStyle w:val="ListParagraph"/>
        <w:ind w:left="360"/>
        <w:rPr>
          <w:lang w:val="fr-FR"/>
        </w:rPr>
      </w:pPr>
    </w:p>
    <w:p w:rsidR="00175E49" w:rsidRPr="00A82E28" w:rsidRDefault="00962C3E" w:rsidP="001C723D">
      <w:pPr>
        <w:pStyle w:val="ListParagraph"/>
        <w:numPr>
          <w:ilvl w:val="0"/>
          <w:numId w:val="31"/>
        </w:numPr>
        <w:ind w:left="360"/>
        <w:rPr>
          <w:lang w:val="fr-FR"/>
        </w:rPr>
      </w:pPr>
      <w:r>
        <w:rPr>
          <w:lang w:val="fr-FR"/>
        </w:rPr>
        <w:t>Le Président clôt</w:t>
      </w:r>
      <w:r w:rsidR="006B7117" w:rsidRPr="00A82E28">
        <w:rPr>
          <w:lang w:val="fr-FR"/>
        </w:rPr>
        <w:t xml:space="preserve"> la réunion en remerciant les membres du Groupe de travail sur la gestion pour leurs contributions, le GEST pour son travail et le Secrétariat pour son soutien au GEST</w:t>
      </w:r>
      <w:r w:rsidR="00175E49" w:rsidRPr="00A82E28">
        <w:rPr>
          <w:lang w:val="fr-FR"/>
        </w:rPr>
        <w:t xml:space="preserve">. </w:t>
      </w:r>
    </w:p>
    <w:p w:rsidR="00175E49" w:rsidRPr="00A82E28" w:rsidRDefault="00175E49" w:rsidP="001C723D">
      <w:pPr>
        <w:rPr>
          <w:rFonts w:cs="Arial"/>
          <w:b/>
          <w:sz w:val="24"/>
          <w:szCs w:val="24"/>
          <w:lang w:val="fr-FR"/>
        </w:rPr>
      </w:pPr>
    </w:p>
    <w:p w:rsidR="00E43E6A" w:rsidRPr="00A82E28" w:rsidRDefault="00E43E6A" w:rsidP="001C723D">
      <w:pPr>
        <w:rPr>
          <w:rFonts w:cs="Arial"/>
          <w:b/>
          <w:sz w:val="24"/>
          <w:szCs w:val="24"/>
          <w:lang w:val="fr-FR"/>
        </w:rPr>
      </w:pPr>
    </w:p>
    <w:sectPr w:rsidR="00E43E6A" w:rsidRPr="00A82E28" w:rsidSect="00161A4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649" w:rsidRDefault="00CB0649" w:rsidP="00DF2386">
      <w:r>
        <w:separator/>
      </w:r>
    </w:p>
  </w:endnote>
  <w:endnote w:type="continuationSeparator" w:id="0">
    <w:p w:rsidR="00CB0649" w:rsidRDefault="00CB0649"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charset w:val="00"/>
    <w:family w:val="auto"/>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40" w:rsidRDefault="00413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61" w:rsidRDefault="00501E61" w:rsidP="002137E0">
    <w:pPr>
      <w:pStyle w:val="Header"/>
      <w:rPr>
        <w:noProof/>
      </w:rPr>
    </w:pPr>
    <w:r w:rsidRPr="00E07553">
      <w:rPr>
        <w:sz w:val="20"/>
        <w:szCs w:val="20"/>
      </w:rPr>
      <w:t>SC59/2022 Doc.</w:t>
    </w:r>
    <w:r w:rsidRPr="00E75D5A">
      <w:rPr>
        <w:sz w:val="20"/>
        <w:szCs w:val="20"/>
      </w:rPr>
      <w:t>7</w:t>
    </w:r>
    <w:r w:rsidR="00413B40">
      <w:rPr>
        <w:sz w:val="20"/>
        <w:szCs w:val="20"/>
      </w:rPr>
      <w:t>.2</w:t>
    </w:r>
    <w:bookmarkStart w:id="0" w:name="_GoBack"/>
    <w:bookmarkEnd w:id="0"/>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413B40">
          <w:rPr>
            <w:noProof/>
            <w:sz w:val="20"/>
            <w:szCs w:val="20"/>
          </w:rPr>
          <w:t>2</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40" w:rsidRDefault="00413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649" w:rsidRDefault="00CB0649" w:rsidP="00DF2386">
      <w:r>
        <w:separator/>
      </w:r>
    </w:p>
  </w:footnote>
  <w:footnote w:type="continuationSeparator" w:id="0">
    <w:p w:rsidR="00CB0649" w:rsidRDefault="00CB0649" w:rsidP="00DF2386">
      <w:r>
        <w:continuationSeparator/>
      </w:r>
    </w:p>
  </w:footnote>
  <w:footnote w:id="1">
    <w:p w:rsidR="00501E61" w:rsidRPr="00A82E28" w:rsidRDefault="00501E61" w:rsidP="00A82E28">
      <w:pPr>
        <w:pStyle w:val="FootnoteText"/>
        <w:ind w:left="0" w:firstLine="1"/>
        <w:rPr>
          <w:lang w:val="fr-FR"/>
        </w:rPr>
      </w:pPr>
      <w:r>
        <w:rPr>
          <w:rStyle w:val="FootnoteReference"/>
        </w:rPr>
        <w:footnoteRef/>
      </w:r>
      <w:r w:rsidRPr="00A82E28">
        <w:rPr>
          <w:lang w:val="fr-FR"/>
        </w:rPr>
        <w:t xml:space="preserve"> </w:t>
      </w:r>
      <w:r>
        <w:rPr>
          <w:lang w:val="fr-FR"/>
        </w:rPr>
        <w:t xml:space="preserve">Voir </w:t>
      </w:r>
      <w:hyperlink r:id="rId1" w:history="1">
        <w:r w:rsidR="006B62F5" w:rsidRPr="006C5CEC">
          <w:rPr>
            <w:rStyle w:val="Hyperlink"/>
            <w:lang w:val="fr-FR"/>
          </w:rPr>
          <w:t>https://www.ramsar.org/fr/document/decisions-de-la-59e-reunion-du-comite-permanent-21-25-juin-2021</w:t>
        </w:r>
      </w:hyperlink>
      <w:r w:rsidR="006B62F5" w:rsidRPr="006C5CEC">
        <w:rPr>
          <w:lang w:val="fr-FR"/>
        </w:rPr>
        <w:t xml:space="preserve"> </w:t>
      </w:r>
    </w:p>
    <w:p w:rsidR="00501E61" w:rsidRPr="00A82E28" w:rsidRDefault="00501E61">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40" w:rsidRDefault="00413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61" w:rsidRDefault="00501E61">
    <w:pPr>
      <w:pStyle w:val="Header"/>
    </w:pPr>
  </w:p>
  <w:p w:rsidR="00501E61" w:rsidRDefault="00501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40" w:rsidRDefault="00413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00C6A"/>
    <w:multiLevelType w:val="multilevel"/>
    <w:tmpl w:val="E44616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1D60303C"/>
    <w:multiLevelType w:val="hybridMultilevel"/>
    <w:tmpl w:val="09E8888E"/>
    <w:lvl w:ilvl="0" w:tplc="9496D52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3"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3B6CD4"/>
    <w:multiLevelType w:val="multilevel"/>
    <w:tmpl w:val="B0C4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8"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D2102"/>
    <w:multiLevelType w:val="hybridMultilevel"/>
    <w:tmpl w:val="CE30B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5"/>
  </w:num>
  <w:num w:numId="13">
    <w:abstractNumId w:val="18"/>
  </w:num>
  <w:num w:numId="14">
    <w:abstractNumId w:val="13"/>
  </w:num>
  <w:num w:numId="15">
    <w:abstractNumId w:val="2"/>
  </w:num>
  <w:num w:numId="16">
    <w:abstractNumId w:val="15"/>
  </w:num>
  <w:num w:numId="17">
    <w:abstractNumId w:val="21"/>
  </w:num>
  <w:num w:numId="18">
    <w:abstractNumId w:val="30"/>
  </w:num>
  <w:num w:numId="19">
    <w:abstractNumId w:val="28"/>
  </w:num>
  <w:num w:numId="20">
    <w:abstractNumId w:val="23"/>
  </w:num>
  <w:num w:numId="21">
    <w:abstractNumId w:val="25"/>
  </w:num>
  <w:num w:numId="22">
    <w:abstractNumId w:val="16"/>
  </w:num>
  <w:num w:numId="23">
    <w:abstractNumId w:val="22"/>
  </w:num>
  <w:num w:numId="24">
    <w:abstractNumId w:val="20"/>
  </w:num>
  <w:num w:numId="25">
    <w:abstractNumId w:val="27"/>
  </w:num>
  <w:num w:numId="26">
    <w:abstractNumId w:val="10"/>
  </w:num>
  <w:num w:numId="27">
    <w:abstractNumId w:val="0"/>
  </w:num>
  <w:num w:numId="28">
    <w:abstractNumId w:val="12"/>
  </w:num>
  <w:num w:numId="29">
    <w:abstractNumId w:val="3"/>
  </w:num>
  <w:num w:numId="30">
    <w:abstractNumId w:val="19"/>
  </w:num>
  <w:num w:numId="31">
    <w:abstractNumId w:val="29"/>
  </w:num>
  <w:num w:numId="32">
    <w:abstractNumId w:val="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DF2386"/>
    <w:rsid w:val="00014168"/>
    <w:rsid w:val="00017A16"/>
    <w:rsid w:val="00026E09"/>
    <w:rsid w:val="000354F0"/>
    <w:rsid w:val="00037CE0"/>
    <w:rsid w:val="00042CCC"/>
    <w:rsid w:val="00053929"/>
    <w:rsid w:val="00074DE8"/>
    <w:rsid w:val="000807D5"/>
    <w:rsid w:val="000944EB"/>
    <w:rsid w:val="000A3E3E"/>
    <w:rsid w:val="000B6B3C"/>
    <w:rsid w:val="000C2489"/>
    <w:rsid w:val="000D5C76"/>
    <w:rsid w:val="000D7DA7"/>
    <w:rsid w:val="000E2FA0"/>
    <w:rsid w:val="000E47E9"/>
    <w:rsid w:val="000E5B3F"/>
    <w:rsid w:val="000F0314"/>
    <w:rsid w:val="0012096C"/>
    <w:rsid w:val="00127828"/>
    <w:rsid w:val="00134CCA"/>
    <w:rsid w:val="00161A4F"/>
    <w:rsid w:val="00161BDA"/>
    <w:rsid w:val="00171618"/>
    <w:rsid w:val="00175E49"/>
    <w:rsid w:val="001819B1"/>
    <w:rsid w:val="0019101E"/>
    <w:rsid w:val="001A2D10"/>
    <w:rsid w:val="001A2F28"/>
    <w:rsid w:val="001A3F53"/>
    <w:rsid w:val="001B46A4"/>
    <w:rsid w:val="001C5E41"/>
    <w:rsid w:val="001C723D"/>
    <w:rsid w:val="001C77BC"/>
    <w:rsid w:val="001D48BB"/>
    <w:rsid w:val="001E00E3"/>
    <w:rsid w:val="001F2349"/>
    <w:rsid w:val="002005D2"/>
    <w:rsid w:val="0020298B"/>
    <w:rsid w:val="00206111"/>
    <w:rsid w:val="002137E0"/>
    <w:rsid w:val="00226300"/>
    <w:rsid w:val="00231CA8"/>
    <w:rsid w:val="002709C5"/>
    <w:rsid w:val="002741AC"/>
    <w:rsid w:val="00275F13"/>
    <w:rsid w:val="002819C0"/>
    <w:rsid w:val="00295556"/>
    <w:rsid w:val="00295BB5"/>
    <w:rsid w:val="002A5A4D"/>
    <w:rsid w:val="002B4262"/>
    <w:rsid w:val="002D5A4D"/>
    <w:rsid w:val="002E22AF"/>
    <w:rsid w:val="002F6155"/>
    <w:rsid w:val="00305B4E"/>
    <w:rsid w:val="003178CC"/>
    <w:rsid w:val="00324398"/>
    <w:rsid w:val="003410CE"/>
    <w:rsid w:val="00384FC3"/>
    <w:rsid w:val="003A3804"/>
    <w:rsid w:val="003A52BE"/>
    <w:rsid w:val="003A5866"/>
    <w:rsid w:val="003A6E9F"/>
    <w:rsid w:val="003C2D9F"/>
    <w:rsid w:val="003D4CD6"/>
    <w:rsid w:val="003D79C8"/>
    <w:rsid w:val="00413B40"/>
    <w:rsid w:val="004228C7"/>
    <w:rsid w:val="0042798B"/>
    <w:rsid w:val="00434913"/>
    <w:rsid w:val="00446792"/>
    <w:rsid w:val="004474F8"/>
    <w:rsid w:val="00477550"/>
    <w:rsid w:val="00484289"/>
    <w:rsid w:val="004844A8"/>
    <w:rsid w:val="00496803"/>
    <w:rsid w:val="004B5F5C"/>
    <w:rsid w:val="004B6688"/>
    <w:rsid w:val="004E0981"/>
    <w:rsid w:val="00501E61"/>
    <w:rsid w:val="00514D21"/>
    <w:rsid w:val="005244A4"/>
    <w:rsid w:val="00527783"/>
    <w:rsid w:val="00535CC4"/>
    <w:rsid w:val="00544161"/>
    <w:rsid w:val="00546296"/>
    <w:rsid w:val="005814B5"/>
    <w:rsid w:val="00597EB3"/>
    <w:rsid w:val="005D3E9D"/>
    <w:rsid w:val="00603C8F"/>
    <w:rsid w:val="00617D1A"/>
    <w:rsid w:val="0062254F"/>
    <w:rsid w:val="006256D3"/>
    <w:rsid w:val="00627BB7"/>
    <w:rsid w:val="00631D08"/>
    <w:rsid w:val="00644A13"/>
    <w:rsid w:val="0065136E"/>
    <w:rsid w:val="00670D71"/>
    <w:rsid w:val="006B3D8F"/>
    <w:rsid w:val="006B62F5"/>
    <w:rsid w:val="006B7117"/>
    <w:rsid w:val="006C5CEC"/>
    <w:rsid w:val="006C6B42"/>
    <w:rsid w:val="006E7DCE"/>
    <w:rsid w:val="007037CB"/>
    <w:rsid w:val="007050FF"/>
    <w:rsid w:val="00710F6F"/>
    <w:rsid w:val="00752764"/>
    <w:rsid w:val="00766962"/>
    <w:rsid w:val="00775287"/>
    <w:rsid w:val="00780316"/>
    <w:rsid w:val="00791CAE"/>
    <w:rsid w:val="007C4A1B"/>
    <w:rsid w:val="007D33F4"/>
    <w:rsid w:val="007E624C"/>
    <w:rsid w:val="007F3ABE"/>
    <w:rsid w:val="007F6753"/>
    <w:rsid w:val="00804975"/>
    <w:rsid w:val="00814A42"/>
    <w:rsid w:val="008328E9"/>
    <w:rsid w:val="00835BCB"/>
    <w:rsid w:val="00835CDC"/>
    <w:rsid w:val="00850B09"/>
    <w:rsid w:val="00863B9D"/>
    <w:rsid w:val="00863BE6"/>
    <w:rsid w:val="008775BC"/>
    <w:rsid w:val="00882F1B"/>
    <w:rsid w:val="008863A9"/>
    <w:rsid w:val="008A70CE"/>
    <w:rsid w:val="008C25E4"/>
    <w:rsid w:val="008C2DAE"/>
    <w:rsid w:val="008F1715"/>
    <w:rsid w:val="008F75D1"/>
    <w:rsid w:val="00901DBF"/>
    <w:rsid w:val="00903FCC"/>
    <w:rsid w:val="009059A9"/>
    <w:rsid w:val="00913F95"/>
    <w:rsid w:val="00914BCB"/>
    <w:rsid w:val="0092515E"/>
    <w:rsid w:val="00942FBD"/>
    <w:rsid w:val="0094770B"/>
    <w:rsid w:val="00953C7F"/>
    <w:rsid w:val="00962C3E"/>
    <w:rsid w:val="0098311A"/>
    <w:rsid w:val="009B2267"/>
    <w:rsid w:val="009C4A12"/>
    <w:rsid w:val="009C6681"/>
    <w:rsid w:val="009D7AE2"/>
    <w:rsid w:val="009E0AE8"/>
    <w:rsid w:val="009E5374"/>
    <w:rsid w:val="009F345D"/>
    <w:rsid w:val="009F45D4"/>
    <w:rsid w:val="00A13218"/>
    <w:rsid w:val="00A227A3"/>
    <w:rsid w:val="00A462FD"/>
    <w:rsid w:val="00A60B73"/>
    <w:rsid w:val="00A80080"/>
    <w:rsid w:val="00A82E28"/>
    <w:rsid w:val="00AB4951"/>
    <w:rsid w:val="00AC7EE5"/>
    <w:rsid w:val="00AF7032"/>
    <w:rsid w:val="00B06C54"/>
    <w:rsid w:val="00B22EC2"/>
    <w:rsid w:val="00B315A0"/>
    <w:rsid w:val="00B32084"/>
    <w:rsid w:val="00B34A18"/>
    <w:rsid w:val="00B40A4C"/>
    <w:rsid w:val="00B42040"/>
    <w:rsid w:val="00B468CE"/>
    <w:rsid w:val="00B579CB"/>
    <w:rsid w:val="00B626CD"/>
    <w:rsid w:val="00B70083"/>
    <w:rsid w:val="00B83EF9"/>
    <w:rsid w:val="00B9629F"/>
    <w:rsid w:val="00BB28F6"/>
    <w:rsid w:val="00BB61B4"/>
    <w:rsid w:val="00BC2609"/>
    <w:rsid w:val="00BF7693"/>
    <w:rsid w:val="00C0528F"/>
    <w:rsid w:val="00C13145"/>
    <w:rsid w:val="00C16FB9"/>
    <w:rsid w:val="00C379CC"/>
    <w:rsid w:val="00CB0649"/>
    <w:rsid w:val="00CB7E57"/>
    <w:rsid w:val="00CE750F"/>
    <w:rsid w:val="00D160CB"/>
    <w:rsid w:val="00D245A1"/>
    <w:rsid w:val="00D415E2"/>
    <w:rsid w:val="00D42055"/>
    <w:rsid w:val="00D4297F"/>
    <w:rsid w:val="00D647C3"/>
    <w:rsid w:val="00D80393"/>
    <w:rsid w:val="00D9633A"/>
    <w:rsid w:val="00DE12A2"/>
    <w:rsid w:val="00DE5E99"/>
    <w:rsid w:val="00DF2386"/>
    <w:rsid w:val="00DF7FE7"/>
    <w:rsid w:val="00E04B50"/>
    <w:rsid w:val="00E0596A"/>
    <w:rsid w:val="00E07553"/>
    <w:rsid w:val="00E23389"/>
    <w:rsid w:val="00E43DC7"/>
    <w:rsid w:val="00E43E6A"/>
    <w:rsid w:val="00E46367"/>
    <w:rsid w:val="00E63F0B"/>
    <w:rsid w:val="00E75D5A"/>
    <w:rsid w:val="00E86A2D"/>
    <w:rsid w:val="00EA3A7F"/>
    <w:rsid w:val="00ED1584"/>
    <w:rsid w:val="00EE277B"/>
    <w:rsid w:val="00F0434F"/>
    <w:rsid w:val="00F078F1"/>
    <w:rsid w:val="00F32D03"/>
    <w:rsid w:val="00F344DE"/>
    <w:rsid w:val="00F44F60"/>
    <w:rsid w:val="00F521EA"/>
    <w:rsid w:val="00F73E71"/>
    <w:rsid w:val="00F93A3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498347D6"/>
  <w15:docId w15:val="{159D6B23-DCCD-4C48-8627-77EAF0AA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NormalWeb">
    <w:name w:val="Normal (Web)"/>
    <w:basedOn w:val="Normal"/>
    <w:uiPriority w:val="99"/>
    <w:semiHidden/>
    <w:unhideWhenUsed/>
    <w:rsid w:val="008863A9"/>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DE5E99"/>
    <w:rPr>
      <w:color w:val="605E5C"/>
      <w:shd w:val="clear" w:color="auto" w:fill="E1DFDD"/>
    </w:rPr>
  </w:style>
  <w:style w:type="character" w:customStyle="1" w:styleId="ListParagraphChar">
    <w:name w:val="List Paragraph Char"/>
    <w:aliases w:val="Rec para Char"/>
    <w:link w:val="ListParagraph"/>
    <w:uiPriority w:val="34"/>
    <w:locked/>
    <w:rsid w:val="007F6753"/>
    <w:rPr>
      <w:rFonts w:ascii="Calibri" w:eastAsia="Calibri" w:hAnsi="Calibri" w:cs="Times New Roman"/>
    </w:rPr>
  </w:style>
  <w:style w:type="character" w:styleId="FollowedHyperlink">
    <w:name w:val="FollowedHyperlink"/>
    <w:basedOn w:val="DefaultParagraphFont"/>
    <w:uiPriority w:val="99"/>
    <w:semiHidden/>
    <w:unhideWhenUsed/>
    <w:rsid w:val="00F44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555">
      <w:bodyDiv w:val="1"/>
      <w:marLeft w:val="0"/>
      <w:marRight w:val="0"/>
      <w:marTop w:val="0"/>
      <w:marBottom w:val="0"/>
      <w:divBdr>
        <w:top w:val="none" w:sz="0" w:space="0" w:color="auto"/>
        <w:left w:val="none" w:sz="0" w:space="0" w:color="auto"/>
        <w:bottom w:val="none" w:sz="0" w:space="0" w:color="auto"/>
        <w:right w:val="none" w:sz="0" w:space="0" w:color="auto"/>
      </w:divBdr>
    </w:div>
    <w:div w:id="174539270">
      <w:bodyDiv w:val="1"/>
      <w:marLeft w:val="0"/>
      <w:marRight w:val="0"/>
      <w:marTop w:val="0"/>
      <w:marBottom w:val="0"/>
      <w:divBdr>
        <w:top w:val="none" w:sz="0" w:space="0" w:color="auto"/>
        <w:left w:val="none" w:sz="0" w:space="0" w:color="auto"/>
        <w:bottom w:val="none" w:sz="0" w:space="0" w:color="auto"/>
        <w:right w:val="none" w:sz="0" w:space="0" w:color="auto"/>
      </w:divBdr>
      <w:divsChild>
        <w:div w:id="228925376">
          <w:marLeft w:val="0"/>
          <w:marRight w:val="0"/>
          <w:marTop w:val="0"/>
          <w:marBottom w:val="0"/>
          <w:divBdr>
            <w:top w:val="none" w:sz="0" w:space="0" w:color="auto"/>
            <w:left w:val="none" w:sz="0" w:space="0" w:color="auto"/>
            <w:bottom w:val="none" w:sz="0" w:space="0" w:color="auto"/>
            <w:right w:val="none" w:sz="0" w:space="0" w:color="auto"/>
          </w:divBdr>
          <w:divsChild>
            <w:div w:id="1588878512">
              <w:marLeft w:val="0"/>
              <w:marRight w:val="0"/>
              <w:marTop w:val="0"/>
              <w:marBottom w:val="0"/>
              <w:divBdr>
                <w:top w:val="none" w:sz="0" w:space="0" w:color="auto"/>
                <w:left w:val="none" w:sz="0" w:space="0" w:color="auto"/>
                <w:bottom w:val="none" w:sz="0" w:space="0" w:color="auto"/>
                <w:right w:val="none" w:sz="0" w:space="0" w:color="auto"/>
              </w:divBdr>
              <w:divsChild>
                <w:div w:id="1372880207">
                  <w:marLeft w:val="0"/>
                  <w:marRight w:val="0"/>
                  <w:marTop w:val="0"/>
                  <w:marBottom w:val="0"/>
                  <w:divBdr>
                    <w:top w:val="none" w:sz="0" w:space="0" w:color="auto"/>
                    <w:left w:val="none" w:sz="0" w:space="0" w:color="auto"/>
                    <w:bottom w:val="none" w:sz="0" w:space="0" w:color="auto"/>
                    <w:right w:val="none" w:sz="0" w:space="0" w:color="auto"/>
                  </w:divBdr>
                </w:div>
              </w:divsChild>
            </w:div>
            <w:div w:id="759180908">
              <w:marLeft w:val="0"/>
              <w:marRight w:val="0"/>
              <w:marTop w:val="0"/>
              <w:marBottom w:val="0"/>
              <w:divBdr>
                <w:top w:val="none" w:sz="0" w:space="0" w:color="auto"/>
                <w:left w:val="none" w:sz="0" w:space="0" w:color="auto"/>
                <w:bottom w:val="none" w:sz="0" w:space="0" w:color="auto"/>
                <w:right w:val="none" w:sz="0" w:space="0" w:color="auto"/>
              </w:divBdr>
              <w:divsChild>
                <w:div w:id="20434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5297">
          <w:marLeft w:val="0"/>
          <w:marRight w:val="0"/>
          <w:marTop w:val="0"/>
          <w:marBottom w:val="0"/>
          <w:divBdr>
            <w:top w:val="none" w:sz="0" w:space="0" w:color="auto"/>
            <w:left w:val="none" w:sz="0" w:space="0" w:color="auto"/>
            <w:bottom w:val="none" w:sz="0" w:space="0" w:color="auto"/>
            <w:right w:val="none" w:sz="0" w:space="0" w:color="auto"/>
          </w:divBdr>
          <w:divsChild>
            <w:div w:id="1107576842">
              <w:marLeft w:val="0"/>
              <w:marRight w:val="0"/>
              <w:marTop w:val="0"/>
              <w:marBottom w:val="0"/>
              <w:divBdr>
                <w:top w:val="none" w:sz="0" w:space="0" w:color="auto"/>
                <w:left w:val="none" w:sz="0" w:space="0" w:color="auto"/>
                <w:bottom w:val="none" w:sz="0" w:space="0" w:color="auto"/>
                <w:right w:val="none" w:sz="0" w:space="0" w:color="auto"/>
              </w:divBdr>
              <w:divsChild>
                <w:div w:id="5426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30647525">
      <w:bodyDiv w:val="1"/>
      <w:marLeft w:val="0"/>
      <w:marRight w:val="0"/>
      <w:marTop w:val="0"/>
      <w:marBottom w:val="0"/>
      <w:divBdr>
        <w:top w:val="none" w:sz="0" w:space="0" w:color="auto"/>
        <w:left w:val="none" w:sz="0" w:space="0" w:color="auto"/>
        <w:bottom w:val="none" w:sz="0" w:space="0" w:color="auto"/>
        <w:right w:val="none" w:sz="0" w:space="0" w:color="auto"/>
      </w:divBdr>
      <w:divsChild>
        <w:div w:id="483938813">
          <w:marLeft w:val="0"/>
          <w:marRight w:val="0"/>
          <w:marTop w:val="0"/>
          <w:marBottom w:val="0"/>
          <w:divBdr>
            <w:top w:val="none" w:sz="0" w:space="0" w:color="auto"/>
            <w:left w:val="none" w:sz="0" w:space="0" w:color="auto"/>
            <w:bottom w:val="none" w:sz="0" w:space="0" w:color="auto"/>
            <w:right w:val="none" w:sz="0" w:space="0" w:color="auto"/>
          </w:divBdr>
          <w:divsChild>
            <w:div w:id="796533715">
              <w:marLeft w:val="0"/>
              <w:marRight w:val="0"/>
              <w:marTop w:val="0"/>
              <w:marBottom w:val="0"/>
              <w:divBdr>
                <w:top w:val="none" w:sz="0" w:space="0" w:color="auto"/>
                <w:left w:val="none" w:sz="0" w:space="0" w:color="auto"/>
                <w:bottom w:val="none" w:sz="0" w:space="0" w:color="auto"/>
                <w:right w:val="none" w:sz="0" w:space="0" w:color="auto"/>
              </w:divBdr>
              <w:divsChild>
                <w:div w:id="1299067538">
                  <w:marLeft w:val="0"/>
                  <w:marRight w:val="0"/>
                  <w:marTop w:val="0"/>
                  <w:marBottom w:val="0"/>
                  <w:divBdr>
                    <w:top w:val="none" w:sz="0" w:space="0" w:color="auto"/>
                    <w:left w:val="none" w:sz="0" w:space="0" w:color="auto"/>
                    <w:bottom w:val="none" w:sz="0" w:space="0" w:color="auto"/>
                    <w:right w:val="none" w:sz="0" w:space="0" w:color="auto"/>
                  </w:divBdr>
                </w:div>
              </w:divsChild>
            </w:div>
            <w:div w:id="1200509405">
              <w:marLeft w:val="0"/>
              <w:marRight w:val="0"/>
              <w:marTop w:val="0"/>
              <w:marBottom w:val="0"/>
              <w:divBdr>
                <w:top w:val="none" w:sz="0" w:space="0" w:color="auto"/>
                <w:left w:val="none" w:sz="0" w:space="0" w:color="auto"/>
                <w:bottom w:val="none" w:sz="0" w:space="0" w:color="auto"/>
                <w:right w:val="none" w:sz="0" w:space="0" w:color="auto"/>
              </w:divBdr>
              <w:divsChild>
                <w:div w:id="1891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4306">
          <w:marLeft w:val="0"/>
          <w:marRight w:val="0"/>
          <w:marTop w:val="0"/>
          <w:marBottom w:val="0"/>
          <w:divBdr>
            <w:top w:val="none" w:sz="0" w:space="0" w:color="auto"/>
            <w:left w:val="none" w:sz="0" w:space="0" w:color="auto"/>
            <w:bottom w:val="none" w:sz="0" w:space="0" w:color="auto"/>
            <w:right w:val="none" w:sz="0" w:space="0" w:color="auto"/>
          </w:divBdr>
          <w:divsChild>
            <w:div w:id="2051344482">
              <w:marLeft w:val="0"/>
              <w:marRight w:val="0"/>
              <w:marTop w:val="0"/>
              <w:marBottom w:val="0"/>
              <w:divBdr>
                <w:top w:val="none" w:sz="0" w:space="0" w:color="auto"/>
                <w:left w:val="none" w:sz="0" w:space="0" w:color="auto"/>
                <w:bottom w:val="none" w:sz="0" w:space="0" w:color="auto"/>
                <w:right w:val="none" w:sz="0" w:space="0" w:color="auto"/>
              </w:divBdr>
              <w:divsChild>
                <w:div w:id="255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7940">
      <w:bodyDiv w:val="1"/>
      <w:marLeft w:val="0"/>
      <w:marRight w:val="0"/>
      <w:marTop w:val="0"/>
      <w:marBottom w:val="0"/>
      <w:divBdr>
        <w:top w:val="none" w:sz="0" w:space="0" w:color="auto"/>
        <w:left w:val="none" w:sz="0" w:space="0" w:color="auto"/>
        <w:bottom w:val="none" w:sz="0" w:space="0" w:color="auto"/>
        <w:right w:val="none" w:sz="0" w:space="0" w:color="auto"/>
      </w:divBdr>
    </w:div>
    <w:div w:id="1842352300">
      <w:bodyDiv w:val="1"/>
      <w:marLeft w:val="0"/>
      <w:marRight w:val="0"/>
      <w:marTop w:val="0"/>
      <w:marBottom w:val="0"/>
      <w:divBdr>
        <w:top w:val="none" w:sz="0" w:space="0" w:color="auto"/>
        <w:left w:val="none" w:sz="0" w:space="0" w:color="auto"/>
        <w:bottom w:val="none" w:sz="0" w:space="0" w:color="auto"/>
        <w:right w:val="none" w:sz="0" w:space="0" w:color="auto"/>
      </w:divBdr>
      <w:divsChild>
        <w:div w:id="1892957424">
          <w:marLeft w:val="0"/>
          <w:marRight w:val="0"/>
          <w:marTop w:val="0"/>
          <w:marBottom w:val="0"/>
          <w:divBdr>
            <w:top w:val="none" w:sz="0" w:space="0" w:color="auto"/>
            <w:left w:val="none" w:sz="0" w:space="0" w:color="auto"/>
            <w:bottom w:val="none" w:sz="0" w:space="0" w:color="auto"/>
            <w:right w:val="none" w:sz="0" w:space="0" w:color="auto"/>
          </w:divBdr>
          <w:divsChild>
            <w:div w:id="64768391">
              <w:marLeft w:val="0"/>
              <w:marRight w:val="0"/>
              <w:marTop w:val="0"/>
              <w:marBottom w:val="0"/>
              <w:divBdr>
                <w:top w:val="none" w:sz="0" w:space="0" w:color="auto"/>
                <w:left w:val="none" w:sz="0" w:space="0" w:color="auto"/>
                <w:bottom w:val="none" w:sz="0" w:space="0" w:color="auto"/>
                <w:right w:val="none" w:sz="0" w:space="0" w:color="auto"/>
              </w:divBdr>
              <w:divsChild>
                <w:div w:id="14780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fr/document/decisions-de-la-59e-reunion-du-comite-permanent-21-25-juin-202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ramsar.org/fr/document/sc59-doc26-projet-de-resolution-sur-lapplication-future-des-aspects-scientifiques-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amsar.org/fr/document/decisions-de-la-59e-reunion-du-comite-permanent-21-25-juin-2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fr/document/sc59-doc25-rapport-du-president-du-groupe-devaluation-scientifique-et-techniqu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amsar.org/fr/document/decisions-de-la-59e-reunion-du-comite-permanent-21-25-juin-202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fr/document/decisions-de-la-59e-reunion-du-comite-permanent-21-25-juin-2021"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fr/document/decisions-de-la-59e-reunion-du-comite-permanent-21-25-jui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C104-9E3F-42D7-A978-021CE9F6B2E5}">
  <ds:schemaRefs>
    <ds:schemaRef ds:uri="http://purl.org/dc/terms/"/>
    <ds:schemaRef ds:uri="8c0b6b05-eb82-4bda-97e8-cd82d0d6b453"/>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42D8BB8-6588-4BB8-B217-3D43AC5EF2A6}">
  <ds:schemaRefs>
    <ds:schemaRef ds:uri="http://schemas.microsoft.com/sharepoint/v3/contenttype/forms"/>
  </ds:schemaRefs>
</ds:datastoreItem>
</file>

<file path=customXml/itemProps3.xml><?xml version="1.0" encoding="utf-8"?>
<ds:datastoreItem xmlns:ds="http://schemas.openxmlformats.org/officeDocument/2006/customXml" ds:itemID="{A103DFED-1517-4596-AE9C-489BCD22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0FD4F-F837-46D3-A948-D0BDF510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2095</Words>
  <Characters>11948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7</cp:revision>
  <cp:lastPrinted>2022-05-18T05:56:00Z</cp:lastPrinted>
  <dcterms:created xsi:type="dcterms:W3CDTF">2022-05-18T13:43:00Z</dcterms:created>
  <dcterms:modified xsi:type="dcterms:W3CDTF">2022-05-20T08:24:00Z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