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EB" w:rsidRPr="006B61B1"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 xml:space="preserve">THE </w:t>
      </w:r>
      <w:r w:rsidRPr="006B61B1">
        <w:rPr>
          <w:rFonts w:asciiTheme="minorHAnsi" w:hAnsiTheme="minorHAnsi" w:cstheme="minorHAnsi"/>
          <w:bCs/>
        </w:rPr>
        <w:t>CONVENTION ON WETLANDS</w:t>
      </w:r>
    </w:p>
    <w:p w:rsidR="000944EB"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6B61B1">
        <w:rPr>
          <w:rFonts w:asciiTheme="minorHAnsi" w:hAnsiTheme="minorHAnsi" w:cstheme="minorHAnsi"/>
          <w:bCs/>
        </w:rPr>
        <w:t>5</w:t>
      </w:r>
      <w:r>
        <w:rPr>
          <w:rFonts w:asciiTheme="minorHAnsi" w:hAnsiTheme="minorHAnsi" w:cstheme="minorHAnsi"/>
          <w:bCs/>
        </w:rPr>
        <w:t>9</w:t>
      </w:r>
      <w:r w:rsidRPr="006B61B1">
        <w:rPr>
          <w:rFonts w:asciiTheme="minorHAnsi" w:hAnsiTheme="minorHAnsi" w:cstheme="minorHAnsi"/>
          <w:bCs/>
        </w:rPr>
        <w:t>th Meeting of the Standing Committee</w:t>
      </w:r>
    </w:p>
    <w:p w:rsidR="000944EB" w:rsidRPr="006B61B1"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 xml:space="preserve">Resumed session </w:t>
      </w:r>
    </w:p>
    <w:p w:rsidR="000944EB" w:rsidRPr="00B9629F"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en-US"/>
        </w:rPr>
      </w:pPr>
      <w:r w:rsidRPr="00B9629F">
        <w:rPr>
          <w:rFonts w:asciiTheme="minorHAnsi" w:hAnsiTheme="minorHAnsi" w:cstheme="minorHAnsi"/>
          <w:bCs/>
          <w:lang w:val="en-US"/>
        </w:rPr>
        <w:t>Gland, Switzerland, 23-27 May 2022</w:t>
      </w:r>
    </w:p>
    <w:p w:rsidR="000944EB" w:rsidRPr="00B9629F" w:rsidRDefault="000944EB" w:rsidP="000944EB">
      <w:pPr>
        <w:tabs>
          <w:tab w:val="left" w:pos="10650"/>
          <w:tab w:val="right" w:pos="13958"/>
        </w:tabs>
        <w:jc w:val="right"/>
        <w:rPr>
          <w:rFonts w:asciiTheme="minorHAnsi" w:hAnsiTheme="minorHAnsi" w:cstheme="minorHAnsi"/>
          <w:b/>
          <w:sz w:val="28"/>
          <w:szCs w:val="28"/>
          <w:lang w:val="en-US"/>
        </w:rPr>
      </w:pPr>
    </w:p>
    <w:p w:rsidR="000944EB" w:rsidRPr="00E75D5A" w:rsidRDefault="000944EB" w:rsidP="000944EB">
      <w:pPr>
        <w:tabs>
          <w:tab w:val="left" w:pos="10650"/>
          <w:tab w:val="right" w:pos="13958"/>
        </w:tabs>
        <w:jc w:val="right"/>
        <w:rPr>
          <w:rFonts w:asciiTheme="minorHAnsi" w:hAnsiTheme="minorHAnsi" w:cstheme="minorHAnsi"/>
          <w:sz w:val="28"/>
          <w:szCs w:val="28"/>
          <w:lang w:val="en-US"/>
        </w:rPr>
      </w:pPr>
      <w:r w:rsidRPr="00E75D5A">
        <w:rPr>
          <w:rFonts w:asciiTheme="minorHAnsi" w:hAnsiTheme="minorHAnsi" w:cstheme="minorHAnsi"/>
          <w:b/>
          <w:sz w:val="28"/>
          <w:szCs w:val="28"/>
          <w:lang w:val="en-US"/>
        </w:rPr>
        <w:t>SC59/2022 Doc.</w:t>
      </w:r>
      <w:r w:rsidR="00791CAE" w:rsidRPr="00E75D5A">
        <w:rPr>
          <w:rFonts w:asciiTheme="minorHAnsi" w:hAnsiTheme="minorHAnsi" w:cstheme="minorHAnsi"/>
          <w:b/>
          <w:sz w:val="28"/>
          <w:szCs w:val="28"/>
          <w:lang w:val="en-US"/>
        </w:rPr>
        <w:t>7</w:t>
      </w:r>
      <w:r w:rsidR="0015197D">
        <w:rPr>
          <w:rFonts w:asciiTheme="minorHAnsi" w:hAnsiTheme="minorHAnsi" w:cstheme="minorHAnsi"/>
          <w:b/>
          <w:sz w:val="28"/>
          <w:szCs w:val="28"/>
          <w:lang w:val="en-US"/>
        </w:rPr>
        <w:t>.2</w:t>
      </w:r>
    </w:p>
    <w:p w:rsidR="000944EB" w:rsidRPr="00E75D5A" w:rsidRDefault="000944EB" w:rsidP="000944EB">
      <w:pPr>
        <w:rPr>
          <w:rFonts w:asciiTheme="minorHAnsi" w:hAnsiTheme="minorHAnsi" w:cstheme="minorHAnsi"/>
          <w:b/>
          <w:sz w:val="28"/>
          <w:szCs w:val="28"/>
          <w:lang w:val="en-US"/>
        </w:rPr>
      </w:pPr>
    </w:p>
    <w:p w:rsidR="000944EB" w:rsidRDefault="00901DBF" w:rsidP="000944EB">
      <w:pPr>
        <w:jc w:val="center"/>
        <w:rPr>
          <w:rFonts w:asciiTheme="minorHAnsi" w:hAnsiTheme="minorHAnsi" w:cstheme="minorHAnsi"/>
          <w:b/>
          <w:sz w:val="28"/>
          <w:szCs w:val="28"/>
        </w:rPr>
      </w:pPr>
      <w:r w:rsidRPr="00E75D5A">
        <w:rPr>
          <w:rFonts w:asciiTheme="minorHAnsi" w:hAnsiTheme="minorHAnsi" w:cstheme="minorHAnsi"/>
          <w:b/>
          <w:sz w:val="28"/>
          <w:szCs w:val="28"/>
        </w:rPr>
        <w:t xml:space="preserve">Report of the Management Working Group </w:t>
      </w:r>
    </w:p>
    <w:p w:rsidR="00DF2386" w:rsidRDefault="00DF2386" w:rsidP="00014168">
      <w:pPr>
        <w:rPr>
          <w:rFonts w:ascii="Garamond" w:hAnsi="Garamond" w:cs="Arial"/>
        </w:rPr>
      </w:pPr>
    </w:p>
    <w:p w:rsidR="000C2489" w:rsidRDefault="000C2489"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54196EB4" wp14:editId="2E2C0424">
                <wp:extent cx="5731510" cy="824345"/>
                <wp:effectExtent l="0" t="0" r="21590"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24345"/>
                        </a:xfrm>
                        <a:prstGeom prst="rect">
                          <a:avLst/>
                        </a:prstGeom>
                        <a:solidFill>
                          <a:srgbClr val="FFFFFF"/>
                        </a:solidFill>
                        <a:ln w="9525">
                          <a:solidFill>
                            <a:srgbClr val="000000"/>
                          </a:solidFill>
                          <a:miter lim="800000"/>
                          <a:headEnd/>
                          <a:tailEnd/>
                        </a:ln>
                      </wps:spPr>
                      <wps:txbx>
                        <w:txbxContent>
                          <w:p w:rsidR="000C2489" w:rsidRDefault="000C2489" w:rsidP="000C2489">
                            <w:pPr>
                              <w:rPr>
                                <w:b/>
                                <w:bCs/>
                              </w:rPr>
                            </w:pPr>
                            <w:r>
                              <w:rPr>
                                <w:b/>
                                <w:bCs/>
                              </w:rPr>
                              <w:t xml:space="preserve">Actions requested: </w:t>
                            </w:r>
                          </w:p>
                          <w:p w:rsidR="000C2489" w:rsidRDefault="000C2489" w:rsidP="000C2489">
                            <w:pPr>
                              <w:pStyle w:val="ColorfulList-Accent11"/>
                              <w:ind w:left="0"/>
                            </w:pPr>
                          </w:p>
                          <w:p w:rsidR="000C2489" w:rsidRPr="006C6B42" w:rsidRDefault="000C2489" w:rsidP="00E75D5A">
                            <w:pPr>
                              <w:pStyle w:val="ColorfulList-Accent11"/>
                              <w:ind w:left="0" w:firstLine="0"/>
                              <w:rPr>
                                <w:rFonts w:cs="Calibri"/>
                              </w:rPr>
                            </w:pPr>
                            <w:r>
                              <w:t xml:space="preserve">Standing Committee is </w:t>
                            </w:r>
                            <w:r w:rsidR="00F44F60">
                              <w:rPr>
                                <w:rFonts w:cs="Calibri"/>
                              </w:rPr>
                              <w:t xml:space="preserve">invited to </w:t>
                            </w:r>
                            <w:r w:rsidRPr="00F32D03">
                              <w:rPr>
                                <w:rFonts w:cs="Calibri"/>
                              </w:rPr>
                              <w:t xml:space="preserve">take note of </w:t>
                            </w:r>
                            <w:r w:rsidR="00E75D5A">
                              <w:rPr>
                                <w:rFonts w:cs="Calibri"/>
                              </w:rPr>
                              <w:t xml:space="preserve">the </w:t>
                            </w:r>
                            <w:r w:rsidR="006C6B42" w:rsidRPr="006C6B42">
                              <w:rPr>
                                <w:rFonts w:cs="Calibri"/>
                              </w:rPr>
                              <w:t xml:space="preserve">work </w:t>
                            </w:r>
                            <w:r w:rsidR="006C6B42">
                              <w:rPr>
                                <w:rFonts w:cs="Calibri"/>
                              </w:rPr>
                              <w:t xml:space="preserve">carried out by the Management Working Group </w:t>
                            </w:r>
                            <w:r w:rsidR="00B06C54">
                              <w:rPr>
                                <w:rFonts w:cs="Calibri"/>
                              </w:rPr>
                              <w:t>since</w:t>
                            </w:r>
                            <w:r w:rsidR="00E75D5A">
                              <w:rPr>
                                <w:rFonts w:cs="Calibri"/>
                              </w:rPr>
                              <w:t xml:space="preserve"> the</w:t>
                            </w:r>
                            <w:r w:rsidR="00B06C54">
                              <w:rPr>
                                <w:rFonts w:cs="Calibri"/>
                              </w:rPr>
                              <w:t xml:space="preserve"> </w:t>
                            </w:r>
                            <w:r w:rsidR="00F44F60">
                              <w:rPr>
                                <w:rFonts w:cs="Calibri"/>
                              </w:rPr>
                              <w:t xml:space="preserve">59th meeting of the </w:t>
                            </w:r>
                            <w:r w:rsidR="00B06C54">
                              <w:rPr>
                                <w:rFonts w:cs="Calibri"/>
                              </w:rPr>
                              <w:t>Standing Committee in June 2021.</w:t>
                            </w:r>
                            <w:r w:rsidR="00804975">
                              <w:rPr>
                                <w:rFonts w:cs="Calibri"/>
                              </w:rPr>
                              <w:t xml:space="preserve"> </w:t>
                            </w:r>
                          </w:p>
                          <w:p w:rsidR="000C2489" w:rsidRPr="00F32D03" w:rsidRDefault="000C2489" w:rsidP="00275F13">
                            <w:pPr>
                              <w:pStyle w:val="ColorfulList-Accent11"/>
                              <w:ind w:left="-425" w:firstLine="0"/>
                            </w:pPr>
                          </w:p>
                          <w:p w:rsidR="000C2489" w:rsidRDefault="000C2489" w:rsidP="008F1715">
                            <w:pPr>
                              <w:pStyle w:val="ColorfulList-Accent11"/>
                            </w:pPr>
                          </w:p>
                        </w:txbxContent>
                      </wps:txbx>
                      <wps:bodyPr rot="0" vert="horz" wrap="square" lIns="91440" tIns="45720" rIns="91440" bIns="45720" anchor="t" anchorCtr="0" upright="1">
                        <a:noAutofit/>
                      </wps:bodyPr>
                    </wps:wsp>
                  </a:graphicData>
                </a:graphic>
              </wp:inline>
            </w:drawing>
          </mc:Choice>
          <mc:Fallback>
            <w:pict>
              <v:shapetype w14:anchorId="54196EB4" id="_x0000_t202" coordsize="21600,21600" o:spt="202" path="m,l,21600r21600,l21600,xe">
                <v:stroke joinstyle="miter"/>
                <v:path gradientshapeok="t" o:connecttype="rect"/>
              </v:shapetype>
              <v:shape id="Text Box 1" o:spid="_x0000_s1026" type="#_x0000_t202" style="width:451.3pt;height:6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">
                <v:textbox>
                  <w:txbxContent>
                    <w:p w:rsidR="000C2489" w:rsidRDefault="000C2489" w:rsidP="000C2489">
                      <w:pPr>
                        <w:rPr>
                          <w:b/>
                          <w:bCs/>
                        </w:rPr>
                      </w:pPr>
                      <w:r>
                        <w:rPr>
                          <w:b/>
                          <w:bCs/>
                        </w:rPr>
                        <w:t xml:space="preserve">Actions requested: </w:t>
                      </w:r>
                    </w:p>
                    <w:p w:rsidR="000C2489" w:rsidRDefault="000C2489" w:rsidP="000C2489">
                      <w:pPr>
                        <w:pStyle w:val="ColorfulList-Accent11"/>
                        <w:ind w:left="0"/>
                      </w:pPr>
                    </w:p>
                    <w:p w:rsidR="000C2489" w:rsidRPr="006C6B42" w:rsidRDefault="000C2489" w:rsidP="00E75D5A">
                      <w:pPr>
                        <w:pStyle w:val="ColorfulList-Accent11"/>
                        <w:ind w:left="0" w:firstLine="0"/>
                        <w:rPr>
                          <w:rFonts w:cs="Calibri"/>
                        </w:rPr>
                      </w:pPr>
                      <w:r>
                        <w:t xml:space="preserve">Standing Committee is </w:t>
                      </w:r>
                      <w:r w:rsidR="00F44F60">
                        <w:rPr>
                          <w:rFonts w:cs="Calibri"/>
                        </w:rPr>
                        <w:t xml:space="preserve">invited to </w:t>
                      </w:r>
                      <w:r w:rsidRPr="00F32D03">
                        <w:rPr>
                          <w:rFonts w:cs="Calibri"/>
                        </w:rPr>
                        <w:t xml:space="preserve">take note of </w:t>
                      </w:r>
                      <w:r w:rsidR="00E75D5A">
                        <w:rPr>
                          <w:rFonts w:cs="Calibri"/>
                        </w:rPr>
                        <w:t xml:space="preserve">the </w:t>
                      </w:r>
                      <w:r w:rsidR="006C6B42" w:rsidRPr="006C6B42">
                        <w:rPr>
                          <w:rFonts w:cs="Calibri"/>
                        </w:rPr>
                        <w:t xml:space="preserve">work </w:t>
                      </w:r>
                      <w:r w:rsidR="006C6B42">
                        <w:rPr>
                          <w:rFonts w:cs="Calibri"/>
                        </w:rPr>
                        <w:t xml:space="preserve">carried out by the Management Working Group </w:t>
                      </w:r>
                      <w:r w:rsidR="00B06C54">
                        <w:rPr>
                          <w:rFonts w:cs="Calibri"/>
                        </w:rPr>
                        <w:t>since</w:t>
                      </w:r>
                      <w:r w:rsidR="00E75D5A">
                        <w:rPr>
                          <w:rFonts w:cs="Calibri"/>
                        </w:rPr>
                        <w:t xml:space="preserve"> the</w:t>
                      </w:r>
                      <w:r w:rsidR="00B06C54">
                        <w:rPr>
                          <w:rFonts w:cs="Calibri"/>
                        </w:rPr>
                        <w:t xml:space="preserve"> </w:t>
                      </w:r>
                      <w:r w:rsidR="00F44F60">
                        <w:rPr>
                          <w:rFonts w:cs="Calibri"/>
                        </w:rPr>
                        <w:t xml:space="preserve">59th meeting of the </w:t>
                      </w:r>
                      <w:r w:rsidR="00B06C54">
                        <w:rPr>
                          <w:rFonts w:cs="Calibri"/>
                        </w:rPr>
                        <w:t>Standing Committee in June 2021.</w:t>
                      </w:r>
                      <w:r w:rsidR="00804975">
                        <w:rPr>
                          <w:rFonts w:cs="Calibri"/>
                        </w:rPr>
                        <w:t xml:space="preserve"> </w:t>
                      </w:r>
                    </w:p>
                    <w:p w:rsidR="000C2489" w:rsidRPr="00F32D03" w:rsidRDefault="000C2489" w:rsidP="00275F13">
                      <w:pPr>
                        <w:pStyle w:val="ColorfulList-Accent11"/>
                        <w:ind w:left="-425" w:firstLine="0"/>
                      </w:pPr>
                    </w:p>
                    <w:p w:rsidR="000C2489" w:rsidRDefault="000C2489" w:rsidP="008F1715">
                      <w:pPr>
                        <w:pStyle w:val="ColorfulList-Accent11"/>
                      </w:pPr>
                    </w:p>
                  </w:txbxContent>
                </v:textbox>
                <w10:anchorlock/>
              </v:shape>
            </w:pict>
          </mc:Fallback>
        </mc:AlternateContent>
      </w:r>
    </w:p>
    <w:p w:rsidR="009E0AE8" w:rsidRDefault="009E0AE8" w:rsidP="00014168">
      <w:pPr>
        <w:rPr>
          <w:rFonts w:cs="Arial"/>
          <w:b/>
        </w:rPr>
      </w:pPr>
    </w:p>
    <w:p w:rsidR="009E0AE8" w:rsidRDefault="009E0AE8" w:rsidP="00014168">
      <w:pPr>
        <w:rPr>
          <w:rFonts w:cs="Arial"/>
          <w:b/>
        </w:rPr>
      </w:pPr>
    </w:p>
    <w:p w:rsidR="00AC7EE5" w:rsidRPr="000C2489" w:rsidRDefault="00AC7EE5" w:rsidP="00AC7EE5">
      <w:pPr>
        <w:keepNext/>
        <w:rPr>
          <w:rFonts w:cs="Arial"/>
          <w:b/>
        </w:rPr>
      </w:pPr>
      <w:r>
        <w:rPr>
          <w:rFonts w:cs="Arial"/>
          <w:b/>
        </w:rPr>
        <w:t xml:space="preserve">Background </w:t>
      </w:r>
    </w:p>
    <w:p w:rsidR="00E75D5A" w:rsidRDefault="00E75D5A" w:rsidP="00E75D5A">
      <w:pPr>
        <w:ind w:left="426" w:hanging="426"/>
        <w:rPr>
          <w:rFonts w:cs="Arial"/>
        </w:rPr>
      </w:pPr>
    </w:p>
    <w:p w:rsidR="00AC7EE5" w:rsidDel="00D4297F" w:rsidRDefault="00E75D5A" w:rsidP="00E75D5A">
      <w:pPr>
        <w:ind w:left="426" w:hanging="426"/>
        <w:rPr>
          <w:rFonts w:cs="Arial"/>
        </w:rPr>
      </w:pPr>
      <w:r>
        <w:rPr>
          <w:rFonts w:cs="Arial"/>
        </w:rPr>
        <w:t>1</w:t>
      </w:r>
      <w:r w:rsidR="00914BCB">
        <w:rPr>
          <w:rFonts w:cs="Arial"/>
        </w:rPr>
        <w:t xml:space="preserve">. </w:t>
      </w:r>
      <w:r w:rsidR="00914BCB">
        <w:rPr>
          <w:rFonts w:cs="Arial"/>
        </w:rPr>
        <w:tab/>
      </w:r>
      <w:r w:rsidR="000807D5" w:rsidRPr="003178CC">
        <w:rPr>
          <w:rFonts w:cs="Arial"/>
        </w:rPr>
        <w:t>The report of the Management Wo</w:t>
      </w:r>
      <w:r w:rsidR="00F44F60">
        <w:rPr>
          <w:rFonts w:cs="Arial"/>
        </w:rPr>
        <w:t>r</w:t>
      </w:r>
      <w:r w:rsidR="000807D5" w:rsidRPr="003178CC">
        <w:rPr>
          <w:rFonts w:cs="Arial"/>
        </w:rPr>
        <w:t xml:space="preserve">king Group </w:t>
      </w:r>
      <w:r w:rsidR="00F44F60">
        <w:rPr>
          <w:rFonts w:cs="Arial"/>
        </w:rPr>
        <w:t xml:space="preserve">(MWG) </w:t>
      </w:r>
      <w:r w:rsidR="003178CC" w:rsidRPr="003178CC">
        <w:rPr>
          <w:rFonts w:cs="Arial"/>
        </w:rPr>
        <w:t xml:space="preserve">to the </w:t>
      </w:r>
      <w:r w:rsidR="00F44F60">
        <w:rPr>
          <w:rFonts w:cs="Arial"/>
        </w:rPr>
        <w:t xml:space="preserve">59th meeting of the </w:t>
      </w:r>
      <w:r w:rsidR="003178CC" w:rsidRPr="003178CC">
        <w:rPr>
          <w:rFonts w:cs="Arial"/>
        </w:rPr>
        <w:t xml:space="preserve">Standing Committee </w:t>
      </w:r>
      <w:r w:rsidR="00F44F60">
        <w:rPr>
          <w:rFonts w:cs="Arial"/>
        </w:rPr>
        <w:t>(SC</w:t>
      </w:r>
      <w:r w:rsidR="007037CB">
        <w:rPr>
          <w:rFonts w:cs="Arial"/>
        </w:rPr>
        <w:t>59</w:t>
      </w:r>
      <w:r w:rsidR="00F44F60">
        <w:rPr>
          <w:rFonts w:cs="Arial"/>
        </w:rPr>
        <w:t>)</w:t>
      </w:r>
      <w:r w:rsidR="007037CB">
        <w:rPr>
          <w:rFonts w:cs="Arial"/>
        </w:rPr>
        <w:t xml:space="preserve"> in June 2021 was presented </w:t>
      </w:r>
      <w:r w:rsidR="003178CC" w:rsidRPr="003178CC">
        <w:rPr>
          <w:rFonts w:cs="Arial"/>
        </w:rPr>
        <w:t xml:space="preserve">in document </w:t>
      </w:r>
      <w:r w:rsidR="003178CC" w:rsidRPr="003178CC">
        <w:rPr>
          <w:rFonts w:cstheme="minorHAnsi"/>
        </w:rPr>
        <w:t xml:space="preserve">SC59 Doc.7 </w:t>
      </w:r>
      <w:r w:rsidR="003178CC" w:rsidRPr="00F44F60">
        <w:rPr>
          <w:rFonts w:cstheme="minorHAnsi"/>
          <w:i/>
        </w:rPr>
        <w:t>Report of the meeting of the Management Working Group</w:t>
      </w:r>
      <w:r w:rsidR="003178CC" w:rsidRPr="00E75D5A">
        <w:rPr>
          <w:rFonts w:cstheme="minorHAnsi"/>
        </w:rPr>
        <w:t xml:space="preserve"> of 14 June 2021</w:t>
      </w:r>
      <w:r w:rsidR="007037CB">
        <w:rPr>
          <w:rFonts w:cs="Arial"/>
        </w:rPr>
        <w:t xml:space="preserve">. </w:t>
      </w:r>
      <w:r w:rsidR="000807D5">
        <w:rPr>
          <w:rFonts w:cs="Arial"/>
        </w:rPr>
        <w:t xml:space="preserve"> </w:t>
      </w:r>
      <w:r w:rsidR="00914BCB" w:rsidDel="00D4297F">
        <w:rPr>
          <w:rFonts w:cs="Arial"/>
        </w:rPr>
        <w:t xml:space="preserve"> </w:t>
      </w:r>
    </w:p>
    <w:p w:rsidR="00AC7EE5" w:rsidRPr="00275F13" w:rsidRDefault="00AC7EE5" w:rsidP="00E75D5A">
      <w:pPr>
        <w:rPr>
          <w:rFonts w:cs="Arial"/>
        </w:rPr>
      </w:pPr>
    </w:p>
    <w:p w:rsidR="00AC7EE5" w:rsidRPr="000C2489" w:rsidRDefault="001A3F53" w:rsidP="00AC7EE5">
      <w:pPr>
        <w:keepNext/>
        <w:rPr>
          <w:rFonts w:cs="Arial"/>
          <w:b/>
        </w:rPr>
      </w:pPr>
      <w:r>
        <w:rPr>
          <w:rFonts w:cs="Arial"/>
          <w:b/>
        </w:rPr>
        <w:t xml:space="preserve">Meetings of the Management Working Group </w:t>
      </w:r>
    </w:p>
    <w:p w:rsidR="00914BCB" w:rsidRDefault="00E43DC7" w:rsidP="00914BCB">
      <w:pPr>
        <w:ind w:left="0" w:firstLine="0"/>
        <w:rPr>
          <w:rFonts w:cs="Arial"/>
        </w:rPr>
      </w:pPr>
      <w:r>
        <w:t xml:space="preserve"> </w:t>
      </w:r>
    </w:p>
    <w:p w:rsidR="007F6753" w:rsidRDefault="00E75D5A" w:rsidP="00D80393">
      <w:pPr>
        <w:tabs>
          <w:tab w:val="num" w:pos="720"/>
        </w:tabs>
        <w:rPr>
          <w:rFonts w:cs="Arial"/>
          <w:bCs/>
        </w:rPr>
      </w:pPr>
      <w:r>
        <w:rPr>
          <w:rFonts w:cs="Arial"/>
        </w:rPr>
        <w:t>2</w:t>
      </w:r>
      <w:r w:rsidR="00914BCB">
        <w:rPr>
          <w:rFonts w:cs="Arial"/>
        </w:rPr>
        <w:t xml:space="preserve">. </w:t>
      </w:r>
      <w:r w:rsidR="00914BCB">
        <w:rPr>
          <w:rFonts w:cs="Arial"/>
        </w:rPr>
        <w:tab/>
      </w:r>
      <w:r w:rsidR="007037CB">
        <w:rPr>
          <w:rFonts w:cs="Arial"/>
        </w:rPr>
        <w:t xml:space="preserve">As </w:t>
      </w:r>
      <w:r w:rsidR="00F44F60">
        <w:rPr>
          <w:rFonts w:cs="Arial"/>
        </w:rPr>
        <w:t xml:space="preserve">a </w:t>
      </w:r>
      <w:r w:rsidR="007037CB">
        <w:rPr>
          <w:rFonts w:cs="Arial"/>
        </w:rPr>
        <w:t xml:space="preserve">follow up </w:t>
      </w:r>
      <w:r w:rsidR="00F44F60">
        <w:rPr>
          <w:rFonts w:cs="Arial"/>
        </w:rPr>
        <w:t xml:space="preserve">to </w:t>
      </w:r>
      <w:r w:rsidR="007037CB" w:rsidRPr="00E43E6A">
        <w:rPr>
          <w:rFonts w:cs="Arial"/>
          <w:bCs/>
        </w:rPr>
        <w:t xml:space="preserve">Standing Committee </w:t>
      </w:r>
      <w:r w:rsidR="00F44F60" w:rsidRPr="001C723D">
        <w:rPr>
          <w:rFonts w:cs="Arial"/>
        </w:rPr>
        <w:t xml:space="preserve">Decisions SC59-04, </w:t>
      </w:r>
      <w:r w:rsidR="00F44F60">
        <w:rPr>
          <w:rFonts w:cs="Arial"/>
        </w:rPr>
        <w:t>SC59-</w:t>
      </w:r>
      <w:r w:rsidR="00F44F60" w:rsidRPr="001C723D">
        <w:rPr>
          <w:rFonts w:cs="Arial"/>
        </w:rPr>
        <w:t xml:space="preserve">05, </w:t>
      </w:r>
      <w:r w:rsidR="00F44F60">
        <w:rPr>
          <w:rFonts w:cs="Arial"/>
        </w:rPr>
        <w:t>SC59-</w:t>
      </w:r>
      <w:r w:rsidR="00F44F60" w:rsidRPr="001C723D">
        <w:rPr>
          <w:rFonts w:cs="Arial"/>
        </w:rPr>
        <w:t xml:space="preserve">06 and </w:t>
      </w:r>
      <w:r w:rsidR="00F44F60">
        <w:rPr>
          <w:rFonts w:cs="Arial"/>
        </w:rPr>
        <w:t>SC59-</w:t>
      </w:r>
      <w:r w:rsidR="00F44F60" w:rsidRPr="001C723D">
        <w:rPr>
          <w:rFonts w:cs="Arial"/>
        </w:rPr>
        <w:t>07</w:t>
      </w:r>
      <w:r w:rsidR="00F44F60">
        <w:rPr>
          <w:rStyle w:val="FootnoteReference"/>
          <w:rFonts w:cs="Arial"/>
        </w:rPr>
        <w:footnoteReference w:id="1"/>
      </w:r>
      <w:r w:rsidR="007037CB">
        <w:rPr>
          <w:rFonts w:cs="Arial"/>
        </w:rPr>
        <w:t xml:space="preserve"> </w:t>
      </w:r>
      <w:r w:rsidR="007037CB" w:rsidRPr="00E43E6A">
        <w:rPr>
          <w:rFonts w:cs="Arial"/>
          <w:bCs/>
        </w:rPr>
        <w:t>in the work of the S</w:t>
      </w:r>
      <w:r w:rsidR="00F44F60">
        <w:rPr>
          <w:rFonts w:cs="Arial"/>
          <w:bCs/>
        </w:rPr>
        <w:t xml:space="preserve">cientific and </w:t>
      </w:r>
      <w:r w:rsidR="007037CB" w:rsidRPr="00E43E6A">
        <w:rPr>
          <w:rFonts w:cs="Arial"/>
          <w:bCs/>
        </w:rPr>
        <w:t>T</w:t>
      </w:r>
      <w:r w:rsidR="00F44F60">
        <w:rPr>
          <w:rFonts w:cs="Arial"/>
          <w:bCs/>
        </w:rPr>
        <w:t xml:space="preserve">echnical </w:t>
      </w:r>
      <w:r w:rsidR="007037CB" w:rsidRPr="00E43E6A">
        <w:rPr>
          <w:rFonts w:cs="Arial"/>
          <w:bCs/>
        </w:rPr>
        <w:t>R</w:t>
      </w:r>
      <w:r w:rsidR="00F44F60">
        <w:rPr>
          <w:rFonts w:cs="Arial"/>
          <w:bCs/>
        </w:rPr>
        <w:t xml:space="preserve">eview </w:t>
      </w:r>
      <w:r w:rsidR="007037CB" w:rsidRPr="00E43E6A">
        <w:rPr>
          <w:rFonts w:cs="Arial"/>
          <w:bCs/>
        </w:rPr>
        <w:t>P</w:t>
      </w:r>
      <w:r w:rsidR="00F44F60">
        <w:rPr>
          <w:rFonts w:cs="Arial"/>
          <w:bCs/>
        </w:rPr>
        <w:t>anel</w:t>
      </w:r>
      <w:r w:rsidR="007037CB" w:rsidRPr="00E43E6A">
        <w:rPr>
          <w:rFonts w:cs="Arial"/>
          <w:bCs/>
        </w:rPr>
        <w:t xml:space="preserve"> </w:t>
      </w:r>
      <w:r w:rsidR="007037CB">
        <w:rPr>
          <w:rFonts w:cs="Arial"/>
        </w:rPr>
        <w:t xml:space="preserve">an online </w:t>
      </w:r>
      <w:r w:rsidR="00E43E6A">
        <w:rPr>
          <w:rFonts w:cs="Arial"/>
        </w:rPr>
        <w:t xml:space="preserve">meeting </w:t>
      </w:r>
      <w:r w:rsidR="007037CB">
        <w:rPr>
          <w:rFonts w:cs="Arial"/>
        </w:rPr>
        <w:t xml:space="preserve">took place </w:t>
      </w:r>
      <w:r w:rsidR="00E43E6A">
        <w:rPr>
          <w:rFonts w:cs="Arial"/>
        </w:rPr>
        <w:t>o</w:t>
      </w:r>
      <w:r w:rsidR="008863A9">
        <w:rPr>
          <w:rFonts w:cs="Arial"/>
        </w:rPr>
        <w:t xml:space="preserve">n </w:t>
      </w:r>
      <w:r w:rsidR="007E624C">
        <w:t>13 January 2022</w:t>
      </w:r>
      <w:r w:rsidR="007F6753">
        <w:rPr>
          <w:rFonts w:cs="Arial"/>
        </w:rPr>
        <w:t xml:space="preserve">. The meeting noted </w:t>
      </w:r>
      <w:r w:rsidR="00CB7E57">
        <w:rPr>
          <w:rFonts w:cs="Arial"/>
        </w:rPr>
        <w:t xml:space="preserve">good </w:t>
      </w:r>
      <w:r w:rsidR="007F6753" w:rsidRPr="00E43E6A">
        <w:rPr>
          <w:rFonts w:cs="Arial"/>
          <w:bCs/>
        </w:rPr>
        <w:t>progress made by the STRP in delivering highest priority tasks within its current work plan</w:t>
      </w:r>
      <w:r w:rsidR="00CB7E57">
        <w:rPr>
          <w:rFonts w:cs="Arial"/>
          <w:bCs/>
        </w:rPr>
        <w:t xml:space="preserve">. </w:t>
      </w:r>
      <w:r w:rsidR="007F6753" w:rsidRPr="007F6753">
        <w:rPr>
          <w:rFonts w:cs="Arial"/>
        </w:rPr>
        <w:t xml:space="preserve">The MWG provided guidance to the STRP </w:t>
      </w:r>
      <w:r w:rsidR="001C723D">
        <w:rPr>
          <w:rFonts w:cs="Arial"/>
        </w:rPr>
        <w:t xml:space="preserve">on </w:t>
      </w:r>
      <w:r w:rsidR="007F6753" w:rsidRPr="007F6753">
        <w:rPr>
          <w:rFonts w:cs="Arial"/>
        </w:rPr>
        <w:t>continu</w:t>
      </w:r>
      <w:r w:rsidR="00CB7E57">
        <w:rPr>
          <w:rFonts w:cs="Arial"/>
        </w:rPr>
        <w:t>ing</w:t>
      </w:r>
      <w:r w:rsidR="007F6753" w:rsidRPr="007F6753">
        <w:rPr>
          <w:rFonts w:cs="Arial"/>
        </w:rPr>
        <w:t xml:space="preserve"> its work</w:t>
      </w:r>
      <w:r w:rsidR="007F6753">
        <w:rPr>
          <w:rFonts w:cs="Arial"/>
        </w:rPr>
        <w:t xml:space="preserve">, </w:t>
      </w:r>
      <w:r w:rsidR="007F6753" w:rsidRPr="007F6753">
        <w:rPr>
          <w:rFonts w:cs="Arial"/>
        </w:rPr>
        <w:t>pursu</w:t>
      </w:r>
      <w:r w:rsidR="007F6753">
        <w:rPr>
          <w:rFonts w:cs="Arial"/>
        </w:rPr>
        <w:t>ing</w:t>
      </w:r>
      <w:r w:rsidR="007F6753" w:rsidRPr="007F6753">
        <w:rPr>
          <w:rFonts w:cs="Arial"/>
        </w:rPr>
        <w:t xml:space="preserve"> implementation of the additional activities proposed for 2022</w:t>
      </w:r>
      <w:r w:rsidR="007F6753">
        <w:rPr>
          <w:rFonts w:cs="Arial"/>
        </w:rPr>
        <w:t xml:space="preserve">and </w:t>
      </w:r>
      <w:r w:rsidR="007F6753" w:rsidRPr="007F6753">
        <w:rPr>
          <w:rFonts w:cs="Arial"/>
        </w:rPr>
        <w:t>continu</w:t>
      </w:r>
      <w:r w:rsidR="007F6753">
        <w:rPr>
          <w:rFonts w:cs="Arial"/>
        </w:rPr>
        <w:t>ing</w:t>
      </w:r>
      <w:r w:rsidR="007F6753" w:rsidRPr="007F6753">
        <w:rPr>
          <w:rFonts w:cs="Arial"/>
        </w:rPr>
        <w:t xml:space="preserve"> its work on the ad-hoc task on Criterion 6 as well as on development of future priorities</w:t>
      </w:r>
      <w:r w:rsidR="001C723D">
        <w:rPr>
          <w:rFonts w:cs="Arial"/>
        </w:rPr>
        <w:t>,</w:t>
      </w:r>
      <w:r w:rsidR="00D80393">
        <w:rPr>
          <w:rFonts w:cs="Arial"/>
        </w:rPr>
        <w:t xml:space="preserve"> </w:t>
      </w:r>
      <w:r w:rsidR="00CB7E57" w:rsidRPr="007F6753">
        <w:rPr>
          <w:rFonts w:cs="Arial"/>
        </w:rPr>
        <w:t xml:space="preserve">taking into consideration guidance provided by </w:t>
      </w:r>
      <w:r w:rsidR="001C723D">
        <w:rPr>
          <w:rFonts w:cs="Arial"/>
        </w:rPr>
        <w:t xml:space="preserve">the </w:t>
      </w:r>
      <w:r w:rsidR="00CB7E57" w:rsidRPr="007F6753">
        <w:rPr>
          <w:rFonts w:cs="Arial"/>
        </w:rPr>
        <w:t xml:space="preserve">MWG </w:t>
      </w:r>
      <w:r w:rsidR="00CB7E57">
        <w:rPr>
          <w:rFonts w:cs="Arial"/>
        </w:rPr>
        <w:t xml:space="preserve">and </w:t>
      </w:r>
      <w:r w:rsidR="00CB7E57" w:rsidRPr="007F6753">
        <w:rPr>
          <w:rFonts w:cs="Arial"/>
        </w:rPr>
        <w:t>with support from the Secretariat</w:t>
      </w:r>
      <w:r w:rsidR="001C723D">
        <w:rPr>
          <w:rFonts w:cs="Arial"/>
        </w:rPr>
        <w:t>,</w:t>
      </w:r>
      <w:r w:rsidR="00D80393">
        <w:rPr>
          <w:rFonts w:cs="Arial"/>
        </w:rPr>
        <w:t xml:space="preserve"> and e</w:t>
      </w:r>
      <w:r w:rsidR="007F6753" w:rsidRPr="007F6753">
        <w:rPr>
          <w:rFonts w:cs="Arial"/>
        </w:rPr>
        <w:t xml:space="preserve">nsuring tasks are </w:t>
      </w:r>
      <w:r w:rsidR="007F6753" w:rsidRPr="007F6753">
        <w:rPr>
          <w:rFonts w:cs="Arial"/>
          <w:bCs/>
        </w:rPr>
        <w:t>completed by the deadline for submission of documents</w:t>
      </w:r>
      <w:r w:rsidR="001C723D">
        <w:rPr>
          <w:rFonts w:cs="Arial"/>
          <w:bCs/>
        </w:rPr>
        <w:t xml:space="preserve"> for the resumed session of SC59</w:t>
      </w:r>
      <w:r w:rsidR="007F6753" w:rsidRPr="007F6753">
        <w:rPr>
          <w:rFonts w:cs="Arial"/>
          <w:bCs/>
        </w:rPr>
        <w:t xml:space="preserve"> to the Secretariat (</w:t>
      </w:r>
      <w:r w:rsidR="007F6753" w:rsidRPr="007F6753">
        <w:rPr>
          <w:rFonts w:cs="Arial"/>
        </w:rPr>
        <w:t>23 February 2022</w:t>
      </w:r>
      <w:r w:rsidR="007F6753" w:rsidRPr="007F6753">
        <w:rPr>
          <w:rFonts w:cs="Arial"/>
          <w:bCs/>
        </w:rPr>
        <w:t xml:space="preserve">). </w:t>
      </w:r>
      <w:r w:rsidR="007F6753">
        <w:rPr>
          <w:rFonts w:cs="Arial"/>
        </w:rPr>
        <w:t xml:space="preserve">Minutes of the meeting are presented in </w:t>
      </w:r>
      <w:r w:rsidR="007F6753">
        <w:rPr>
          <w:rFonts w:cs="Arial"/>
          <w:bCs/>
        </w:rPr>
        <w:t>Annex 1 to this document.</w:t>
      </w:r>
    </w:p>
    <w:p w:rsidR="009C6681" w:rsidRDefault="009C6681" w:rsidP="00D80393">
      <w:pPr>
        <w:tabs>
          <w:tab w:val="num" w:pos="720"/>
        </w:tabs>
        <w:rPr>
          <w:rFonts w:cs="Arial"/>
          <w:bCs/>
        </w:rPr>
      </w:pPr>
    </w:p>
    <w:p w:rsidR="009C6681" w:rsidRDefault="00E75D5A" w:rsidP="00D80393">
      <w:pPr>
        <w:tabs>
          <w:tab w:val="num" w:pos="720"/>
        </w:tabs>
        <w:rPr>
          <w:rFonts w:cs="Arial"/>
          <w:bCs/>
        </w:rPr>
      </w:pPr>
      <w:r>
        <w:rPr>
          <w:rFonts w:cs="Arial"/>
          <w:bCs/>
        </w:rPr>
        <w:t>3</w:t>
      </w:r>
      <w:r w:rsidR="009C6681">
        <w:rPr>
          <w:rFonts w:cs="Arial"/>
          <w:bCs/>
        </w:rPr>
        <w:t>.     A</w:t>
      </w:r>
      <w:r>
        <w:rPr>
          <w:rFonts w:cs="Arial"/>
          <w:bCs/>
        </w:rPr>
        <w:t xml:space="preserve">n updated </w:t>
      </w:r>
      <w:r w:rsidR="009C6681">
        <w:rPr>
          <w:rFonts w:cs="Arial"/>
          <w:bCs/>
        </w:rPr>
        <w:t xml:space="preserve">report will be presented </w:t>
      </w:r>
      <w:r w:rsidR="00E23389">
        <w:rPr>
          <w:rFonts w:cs="Arial"/>
          <w:bCs/>
        </w:rPr>
        <w:t xml:space="preserve">by the Chair of the Management Working Group to the resumed session of </w:t>
      </w:r>
      <w:r w:rsidR="001C723D">
        <w:rPr>
          <w:rFonts w:cs="Arial"/>
          <w:bCs/>
        </w:rPr>
        <w:t>SC</w:t>
      </w:r>
      <w:r w:rsidR="00E23389">
        <w:rPr>
          <w:rFonts w:cs="Arial"/>
          <w:bCs/>
        </w:rPr>
        <w:t xml:space="preserve">59 according to the discussions </w:t>
      </w:r>
      <w:r w:rsidR="001C723D">
        <w:rPr>
          <w:rFonts w:cs="Arial"/>
          <w:bCs/>
        </w:rPr>
        <w:t xml:space="preserve">of </w:t>
      </w:r>
      <w:r w:rsidR="00BF7693">
        <w:rPr>
          <w:rFonts w:cs="Arial"/>
          <w:bCs/>
        </w:rPr>
        <w:t xml:space="preserve">its meeting on 23 May.  </w:t>
      </w:r>
      <w:r w:rsidR="00E23389">
        <w:rPr>
          <w:rFonts w:cs="Arial"/>
          <w:bCs/>
        </w:rPr>
        <w:t xml:space="preserve">    </w:t>
      </w:r>
    </w:p>
    <w:p w:rsidR="009C6681" w:rsidRDefault="009C6681" w:rsidP="00D80393">
      <w:pPr>
        <w:tabs>
          <w:tab w:val="num" w:pos="720"/>
        </w:tabs>
        <w:rPr>
          <w:rFonts w:cs="Arial"/>
          <w:bCs/>
        </w:rPr>
      </w:pPr>
    </w:p>
    <w:p w:rsidR="009C6681" w:rsidRDefault="009C6681" w:rsidP="00D80393">
      <w:pPr>
        <w:tabs>
          <w:tab w:val="num" w:pos="720"/>
        </w:tabs>
        <w:rPr>
          <w:rFonts w:cs="Arial"/>
          <w:bCs/>
        </w:rPr>
      </w:pPr>
    </w:p>
    <w:p w:rsidR="009C6681" w:rsidRPr="00D80393" w:rsidRDefault="009C6681" w:rsidP="00D80393">
      <w:pPr>
        <w:tabs>
          <w:tab w:val="num" w:pos="720"/>
        </w:tabs>
        <w:rPr>
          <w:rFonts w:cs="Arial"/>
        </w:rPr>
      </w:pPr>
    </w:p>
    <w:p w:rsidR="00E43E6A" w:rsidRDefault="00E43E6A" w:rsidP="00014168">
      <w:pPr>
        <w:rPr>
          <w:rFonts w:cs="Arial"/>
          <w:b/>
        </w:rPr>
      </w:pPr>
    </w:p>
    <w:p w:rsidR="00CB7E57" w:rsidRDefault="00CB7E57">
      <w:pPr>
        <w:rPr>
          <w:rFonts w:cs="Arial"/>
          <w:b/>
          <w:sz w:val="24"/>
          <w:szCs w:val="24"/>
        </w:rPr>
      </w:pPr>
      <w:r>
        <w:rPr>
          <w:rFonts w:cs="Arial"/>
          <w:b/>
          <w:sz w:val="24"/>
          <w:szCs w:val="24"/>
        </w:rPr>
        <w:br w:type="page"/>
      </w:r>
    </w:p>
    <w:p w:rsidR="00E43E6A" w:rsidRPr="000944EB" w:rsidRDefault="00E43E6A" w:rsidP="001C723D">
      <w:pPr>
        <w:rPr>
          <w:rFonts w:cs="Arial"/>
          <w:b/>
          <w:sz w:val="24"/>
          <w:szCs w:val="24"/>
        </w:rPr>
      </w:pPr>
      <w:r w:rsidRPr="000944EB">
        <w:rPr>
          <w:rFonts w:cs="Arial"/>
          <w:b/>
          <w:sz w:val="24"/>
          <w:szCs w:val="24"/>
        </w:rPr>
        <w:lastRenderedPageBreak/>
        <w:t>Annex 1</w:t>
      </w:r>
    </w:p>
    <w:p w:rsidR="007F6753" w:rsidRDefault="007F6753" w:rsidP="001C723D">
      <w:pPr>
        <w:ind w:left="0" w:firstLine="1"/>
        <w:rPr>
          <w:rFonts w:cs="Arial"/>
          <w:b/>
          <w:sz w:val="24"/>
          <w:szCs w:val="24"/>
        </w:rPr>
      </w:pPr>
      <w:r w:rsidRPr="007F6753">
        <w:rPr>
          <w:rFonts w:cs="Arial"/>
          <w:b/>
          <w:sz w:val="24"/>
          <w:szCs w:val="24"/>
        </w:rPr>
        <w:t>Minutes</w:t>
      </w:r>
      <w:r>
        <w:rPr>
          <w:rFonts w:cs="Arial"/>
          <w:b/>
          <w:sz w:val="24"/>
          <w:szCs w:val="24"/>
        </w:rPr>
        <w:t xml:space="preserve"> of the </w:t>
      </w:r>
      <w:r w:rsidRPr="007F6753">
        <w:rPr>
          <w:rFonts w:cs="Arial"/>
          <w:b/>
          <w:sz w:val="24"/>
          <w:szCs w:val="24"/>
        </w:rPr>
        <w:t xml:space="preserve">Meeting </w:t>
      </w:r>
      <w:r w:rsidR="00DE12A2">
        <w:t>(</w:t>
      </w:r>
      <w:r w:rsidR="00DE12A2" w:rsidRPr="00780316">
        <w:t>by videoconference</w:t>
      </w:r>
      <w:r w:rsidR="00DE12A2">
        <w:t xml:space="preserve">) </w:t>
      </w:r>
      <w:r w:rsidRPr="007F6753">
        <w:rPr>
          <w:rFonts w:cs="Arial"/>
          <w:b/>
          <w:sz w:val="24"/>
          <w:szCs w:val="24"/>
        </w:rPr>
        <w:t>of the Management Working Group (MWG)</w:t>
      </w:r>
      <w:r>
        <w:rPr>
          <w:rFonts w:cs="Arial"/>
          <w:b/>
          <w:sz w:val="24"/>
          <w:szCs w:val="24"/>
        </w:rPr>
        <w:t xml:space="preserve">, </w:t>
      </w:r>
      <w:r w:rsidRPr="007F6753">
        <w:rPr>
          <w:rFonts w:cs="Arial"/>
          <w:b/>
          <w:sz w:val="24"/>
          <w:szCs w:val="24"/>
        </w:rPr>
        <w:t xml:space="preserve">13 January 2022 </w:t>
      </w:r>
    </w:p>
    <w:p w:rsidR="00175E49" w:rsidRDefault="00175E49" w:rsidP="001C723D">
      <w:pPr>
        <w:rPr>
          <w:rFonts w:cs="Arial"/>
          <w:b/>
          <w:sz w:val="24"/>
          <w:szCs w:val="24"/>
        </w:rPr>
      </w:pPr>
    </w:p>
    <w:p w:rsidR="00175E49" w:rsidRPr="00DD5A8A" w:rsidRDefault="00175E49" w:rsidP="001C723D">
      <w:r w:rsidRPr="00DD5A8A">
        <w:t xml:space="preserve">Participants: </w:t>
      </w:r>
    </w:p>
    <w:p w:rsidR="00175E49" w:rsidRPr="000E30DA" w:rsidRDefault="00175E49" w:rsidP="001C723D">
      <w:pPr>
        <w:ind w:left="0" w:firstLine="0"/>
        <w:contextualSpacing/>
        <w:rPr>
          <w:rFonts w:eastAsiaTheme="minorEastAsia" w:cstheme="minorHAnsi"/>
        </w:rPr>
      </w:pPr>
      <w:r>
        <w:rPr>
          <w:rFonts w:eastAsiaTheme="minorEastAsia" w:cstheme="minorHAnsi"/>
          <w:i/>
          <w:iCs/>
        </w:rPr>
        <w:t xml:space="preserve">Management Working Group Members - </w:t>
      </w:r>
      <w:r>
        <w:rPr>
          <w:i/>
        </w:rPr>
        <w:t>Contracting Parties:</w:t>
      </w:r>
      <w:r w:rsidRPr="00B91DBA">
        <w:t xml:space="preserve"> Australia, Iran, Mexico, Sweden, Switzerland, </w:t>
      </w:r>
      <w:r w:rsidRPr="002D0245">
        <w:t>UAE</w:t>
      </w:r>
      <w:r>
        <w:t xml:space="preserve"> </w:t>
      </w:r>
      <w:r w:rsidRPr="002D0245">
        <w:t>(Ch</w:t>
      </w:r>
      <w:r>
        <w:t xml:space="preserve">air), </w:t>
      </w:r>
      <w:r w:rsidRPr="00B91DBA">
        <w:t xml:space="preserve">Uruguay, </w:t>
      </w:r>
      <w:r w:rsidRPr="007052A8">
        <w:rPr>
          <w:lang w:val="sv-FI"/>
        </w:rPr>
        <w:t>USA</w:t>
      </w:r>
    </w:p>
    <w:p w:rsidR="00175E49" w:rsidRPr="000E30DA" w:rsidRDefault="00175E49" w:rsidP="001C723D">
      <w:pPr>
        <w:pStyle w:val="ListParagraph"/>
        <w:rPr>
          <w:rFonts w:eastAsiaTheme="minorEastAsia" w:cstheme="minorHAnsi"/>
        </w:rPr>
      </w:pPr>
    </w:p>
    <w:p w:rsidR="00175E49" w:rsidRPr="001B4868" w:rsidRDefault="00175E49" w:rsidP="001C723D">
      <w:pPr>
        <w:contextualSpacing/>
        <w:rPr>
          <w:rFonts w:eastAsiaTheme="minorEastAsia" w:cstheme="minorHAnsi"/>
        </w:rPr>
      </w:pPr>
      <w:r>
        <w:rPr>
          <w:rFonts w:eastAsiaTheme="minorEastAsia" w:cstheme="minorHAnsi"/>
          <w:i/>
          <w:iCs/>
        </w:rPr>
        <w:t xml:space="preserve">Non-Contracting Party Members: </w:t>
      </w:r>
      <w:r w:rsidRPr="001B4868">
        <w:rPr>
          <w:rFonts w:eastAsiaTheme="minorEastAsia" w:cstheme="minorHAnsi"/>
        </w:rPr>
        <w:t>STRP Chair</w:t>
      </w:r>
      <w:r>
        <w:rPr>
          <w:rFonts w:eastAsiaTheme="minorEastAsia" w:cstheme="minorHAnsi"/>
        </w:rPr>
        <w:t xml:space="preserve">, former STRP Chair, </w:t>
      </w:r>
      <w:r w:rsidRPr="001F4374">
        <w:rPr>
          <w:rFonts w:eastAsiaTheme="minorEastAsia" w:cstheme="minorHAnsi"/>
        </w:rPr>
        <w:t>IOP representative</w:t>
      </w:r>
      <w:r>
        <w:rPr>
          <w:rFonts w:eastAsiaTheme="minorEastAsia" w:cstheme="minorHAnsi"/>
        </w:rPr>
        <w:t xml:space="preserve"> (</w:t>
      </w:r>
      <w:r>
        <w:t>WWT</w:t>
      </w:r>
      <w:r>
        <w:rPr>
          <w:rFonts w:eastAsiaTheme="minorEastAsia" w:cstheme="minorHAnsi"/>
        </w:rPr>
        <w:t>)</w:t>
      </w:r>
    </w:p>
    <w:p w:rsidR="00175E49" w:rsidRPr="002D0245" w:rsidRDefault="00175E49" w:rsidP="001C723D">
      <w:pPr>
        <w:rPr>
          <w:rFonts w:eastAsiaTheme="minorEastAsia" w:cstheme="minorHAnsi"/>
        </w:rPr>
      </w:pPr>
    </w:p>
    <w:p w:rsidR="00175E49" w:rsidRPr="007052A8" w:rsidRDefault="00175E49" w:rsidP="001C723D">
      <w:pPr>
        <w:rPr>
          <w:rFonts w:eastAsiaTheme="minorEastAsia" w:cstheme="minorHAnsi"/>
        </w:rPr>
      </w:pPr>
      <w:r w:rsidRPr="002D0245">
        <w:rPr>
          <w:i/>
        </w:rPr>
        <w:t>Secretariat:</w:t>
      </w:r>
      <w:r>
        <w:t xml:space="preserve"> Secretary General, Deputy Secretary General, </w:t>
      </w:r>
      <w:r w:rsidRPr="007052A8">
        <w:rPr>
          <w:lang w:val="sv-FI"/>
        </w:rPr>
        <w:t>Senior Adviser</w:t>
      </w:r>
      <w:r>
        <w:t xml:space="preserve">, </w:t>
      </w:r>
      <w:r w:rsidRPr="002D0245">
        <w:t>Director Science an</w:t>
      </w:r>
      <w:r>
        <w:t>d Policy</w:t>
      </w:r>
    </w:p>
    <w:p w:rsidR="00175E49" w:rsidRPr="002D0245" w:rsidRDefault="00175E49" w:rsidP="001C723D"/>
    <w:p w:rsidR="00175E49" w:rsidRDefault="00175E49" w:rsidP="001C723D">
      <w:pPr>
        <w:contextualSpacing/>
        <w:rPr>
          <w:rFonts w:eastAsiaTheme="minorEastAsia" w:cstheme="minorHAnsi"/>
          <w:b/>
          <w:bCs/>
        </w:rPr>
      </w:pPr>
      <w:r>
        <w:rPr>
          <w:rFonts w:eastAsiaTheme="minorEastAsia" w:cstheme="minorHAnsi"/>
          <w:b/>
          <w:bCs/>
        </w:rPr>
        <w:t>Background</w:t>
      </w:r>
    </w:p>
    <w:p w:rsidR="00175E49" w:rsidRDefault="00175E49" w:rsidP="001C723D"/>
    <w:p w:rsidR="00175E49" w:rsidRPr="008E68B0" w:rsidRDefault="00175E49" w:rsidP="001C723D">
      <w:pPr>
        <w:pStyle w:val="ListParagraph"/>
        <w:numPr>
          <w:ilvl w:val="0"/>
          <w:numId w:val="31"/>
        </w:numPr>
        <w:ind w:left="360"/>
        <w:rPr>
          <w:rFonts w:eastAsiaTheme="minorEastAsia" w:cstheme="minorHAnsi"/>
          <w:bCs/>
        </w:rPr>
      </w:pPr>
      <w:r w:rsidRPr="008E68B0">
        <w:rPr>
          <w:rFonts w:eastAsiaTheme="minorEastAsia" w:cstheme="minorHAnsi"/>
          <w:bCs/>
        </w:rPr>
        <w:t xml:space="preserve">During the current triennium the Management Working Group (MWG) has met </w:t>
      </w:r>
      <w:r>
        <w:rPr>
          <w:rFonts w:eastAsiaTheme="minorEastAsia" w:cstheme="minorHAnsi"/>
          <w:bCs/>
        </w:rPr>
        <w:t xml:space="preserve">four </w:t>
      </w:r>
      <w:r w:rsidRPr="008E68B0">
        <w:rPr>
          <w:rFonts w:eastAsiaTheme="minorEastAsia" w:cstheme="minorHAnsi"/>
          <w:bCs/>
        </w:rPr>
        <w:t>times</w:t>
      </w:r>
      <w:r>
        <w:rPr>
          <w:rFonts w:eastAsiaTheme="minorEastAsia" w:cstheme="minorHAnsi"/>
          <w:bCs/>
        </w:rPr>
        <w:t xml:space="preserve">: </w:t>
      </w:r>
      <w:r>
        <w:rPr>
          <w:rFonts w:cstheme="minorHAnsi"/>
        </w:rPr>
        <w:t xml:space="preserve">on 21 November 2019, 10 June 2020, 2 November 2020 and 14 June 2021, </w:t>
      </w:r>
      <w:r w:rsidRPr="008E68B0">
        <w:rPr>
          <w:rFonts w:eastAsiaTheme="minorEastAsia" w:cstheme="minorHAnsi"/>
          <w:bCs/>
        </w:rPr>
        <w:t>provid</w:t>
      </w:r>
      <w:r>
        <w:rPr>
          <w:rFonts w:eastAsiaTheme="minorEastAsia" w:cstheme="minorHAnsi"/>
          <w:bCs/>
        </w:rPr>
        <w:t>ing</w:t>
      </w:r>
      <w:r w:rsidRPr="008E68B0">
        <w:rPr>
          <w:rFonts w:eastAsiaTheme="minorEastAsia" w:cstheme="minorHAnsi"/>
          <w:bCs/>
        </w:rPr>
        <w:t xml:space="preserve"> oversight and guidance to the </w:t>
      </w:r>
      <w:r w:rsidRPr="008E68B0">
        <w:rPr>
          <w:rFonts w:eastAsiaTheme="minorEastAsia" w:cstheme="minorHAnsi"/>
        </w:rPr>
        <w:t>Scientific Technical and Review Panel (</w:t>
      </w:r>
      <w:r w:rsidRPr="008E68B0">
        <w:rPr>
          <w:rFonts w:eastAsiaTheme="minorEastAsia" w:cstheme="minorHAnsi"/>
          <w:bCs/>
        </w:rPr>
        <w:t>STRP) and the CEPA Oversight Panel.</w:t>
      </w:r>
    </w:p>
    <w:p w:rsidR="00175E49" w:rsidRPr="008E68B0" w:rsidRDefault="00175E49" w:rsidP="001C723D">
      <w:pPr>
        <w:pStyle w:val="ListParagraph"/>
        <w:ind w:left="360"/>
        <w:rPr>
          <w:rFonts w:eastAsiaTheme="minorEastAsia" w:cstheme="minorHAnsi"/>
          <w:bCs/>
        </w:rPr>
      </w:pPr>
    </w:p>
    <w:p w:rsidR="00175E49" w:rsidRDefault="00175E49" w:rsidP="001C723D">
      <w:pPr>
        <w:pStyle w:val="ListParagraph"/>
        <w:numPr>
          <w:ilvl w:val="0"/>
          <w:numId w:val="31"/>
        </w:numPr>
        <w:ind w:left="360"/>
      </w:pPr>
      <w:r>
        <w:rPr>
          <w:rFonts w:eastAsiaTheme="minorEastAsia" w:cstheme="minorHAnsi"/>
          <w:bCs/>
        </w:rPr>
        <w:t xml:space="preserve">The </w:t>
      </w:r>
      <w:r w:rsidRPr="008E68B0">
        <w:rPr>
          <w:rFonts w:eastAsiaTheme="minorEastAsia" w:cstheme="minorHAnsi"/>
          <w:bCs/>
        </w:rPr>
        <w:t xml:space="preserve">meeting </w:t>
      </w:r>
      <w:r>
        <w:rPr>
          <w:rFonts w:eastAsiaTheme="minorEastAsia" w:cstheme="minorHAnsi"/>
          <w:bCs/>
        </w:rPr>
        <w:t xml:space="preserve">on 14 June 2021, </w:t>
      </w:r>
      <w:r w:rsidRPr="00B91DBA">
        <w:rPr>
          <w:rFonts w:eastAsiaTheme="minorEastAsia" w:cstheme="minorHAnsi"/>
          <w:bCs/>
          <w:i/>
        </w:rPr>
        <w:t>inter alia</w:t>
      </w:r>
      <w:r>
        <w:rPr>
          <w:rFonts w:eastAsiaTheme="minorEastAsia" w:cstheme="minorHAnsi"/>
          <w:bCs/>
        </w:rPr>
        <w:t xml:space="preserve">, discussed the work of the STRP in relation to highest priority tasks in its work plan, the ad hoc task on the </w:t>
      </w:r>
      <w:r>
        <w:rPr>
          <w:rFonts w:eastAsiaTheme="minorEastAsia" w:cstheme="minorHAnsi"/>
        </w:rPr>
        <w:t xml:space="preserve">use of criterion 6 in designation of wetlands of international importance, and future priorities of the STRP for the next triennium, based on information presented in </w:t>
      </w:r>
      <w:hyperlink r:id="rId11" w:history="1">
        <w:r w:rsidRPr="007405DA">
          <w:rPr>
            <w:rStyle w:val="Hyperlink"/>
          </w:rPr>
          <w:t>SC59 Doc.25 Report of the Chair of the Scientific and Technical Review Panel</w:t>
        </w:r>
      </w:hyperlink>
      <w:r>
        <w:t xml:space="preserve"> and </w:t>
      </w:r>
      <w:hyperlink r:id="rId12" w:history="1">
        <w:r w:rsidRPr="007405DA">
          <w:rPr>
            <w:rStyle w:val="Hyperlink"/>
          </w:rPr>
          <w:t>SC59 Doc.26 Draft Resolution on the future implementation of scientific and technical aspects of the Convention for 2022-2024</w:t>
        </w:r>
      </w:hyperlink>
      <w:r w:rsidRPr="007405DA">
        <w:rPr>
          <w:rFonts w:eastAsiaTheme="minorEastAsia" w:cstheme="minorHAnsi"/>
          <w:bCs/>
        </w:rPr>
        <w:t>. Further to this</w:t>
      </w:r>
      <w:r>
        <w:rPr>
          <w:rFonts w:eastAsiaTheme="minorEastAsia" w:cstheme="minorHAnsi"/>
          <w:bCs/>
        </w:rPr>
        <w:t>,</w:t>
      </w:r>
      <w:r w:rsidRPr="007405DA">
        <w:rPr>
          <w:rFonts w:eastAsiaTheme="minorEastAsia" w:cstheme="minorHAnsi"/>
          <w:bCs/>
        </w:rPr>
        <w:t xml:space="preserve"> SC 59 adopted a number of decisions providing guidance to the STRP (</w:t>
      </w:r>
      <w:hyperlink r:id="rId13" w:history="1">
        <w:r w:rsidRPr="00C81331">
          <w:rPr>
            <w:rStyle w:val="Hyperlink"/>
            <w:sz w:val="21"/>
            <w:szCs w:val="21"/>
          </w:rPr>
          <w:t>Decision SC59-04, 05, 06 and 07</w:t>
        </w:r>
      </w:hyperlink>
      <w:r w:rsidRPr="007405DA">
        <w:rPr>
          <w:sz w:val="21"/>
          <w:szCs w:val="21"/>
        </w:rPr>
        <w:t>)</w:t>
      </w:r>
      <w:r>
        <w:rPr>
          <w:sz w:val="21"/>
          <w:szCs w:val="21"/>
        </w:rPr>
        <w:t xml:space="preserve">. </w:t>
      </w:r>
    </w:p>
    <w:p w:rsidR="00175E49" w:rsidRPr="004437A8" w:rsidRDefault="00175E49" w:rsidP="001C723D">
      <w:pPr>
        <w:rPr>
          <w:rFonts w:eastAsiaTheme="minorEastAsia" w:cstheme="minorHAnsi"/>
        </w:rPr>
      </w:pPr>
    </w:p>
    <w:p w:rsidR="00175E49" w:rsidRDefault="00175E49" w:rsidP="001C723D">
      <w:pPr>
        <w:contextualSpacing/>
        <w:rPr>
          <w:rFonts w:eastAsiaTheme="minorEastAsia" w:cstheme="minorHAnsi"/>
          <w:b/>
          <w:bCs/>
        </w:rPr>
      </w:pPr>
      <w:r>
        <w:rPr>
          <w:rFonts w:eastAsiaTheme="minorEastAsia" w:cstheme="minorHAnsi"/>
          <w:b/>
          <w:bCs/>
        </w:rPr>
        <w:t>Meeting 13 January 2022</w:t>
      </w:r>
    </w:p>
    <w:p w:rsidR="00175E49" w:rsidRPr="00EE114F" w:rsidRDefault="00175E49" w:rsidP="001C723D">
      <w:pPr>
        <w:pStyle w:val="ListParagraph"/>
        <w:rPr>
          <w:rFonts w:eastAsiaTheme="minorEastAsia" w:cstheme="minorHAnsi"/>
        </w:rPr>
      </w:pPr>
    </w:p>
    <w:p w:rsidR="00175E49" w:rsidRPr="00EE114F" w:rsidRDefault="00175E49" w:rsidP="001C723D">
      <w:pPr>
        <w:pStyle w:val="ListParagraph"/>
        <w:numPr>
          <w:ilvl w:val="0"/>
          <w:numId w:val="31"/>
        </w:numPr>
        <w:ind w:left="360"/>
      </w:pPr>
      <w:r w:rsidRPr="00EE114F">
        <w:rPr>
          <w:rFonts w:eastAsiaTheme="minorEastAsia" w:cstheme="minorHAnsi"/>
        </w:rPr>
        <w:t xml:space="preserve">The Chair welcomed participants </w:t>
      </w:r>
      <w:r>
        <w:rPr>
          <w:rFonts w:eastAsiaTheme="minorEastAsia" w:cstheme="minorHAnsi"/>
        </w:rPr>
        <w:t xml:space="preserve">to the </w:t>
      </w:r>
      <w:r w:rsidRPr="00EE114F">
        <w:rPr>
          <w:rFonts w:eastAsiaTheme="minorEastAsia" w:cstheme="minorHAnsi"/>
        </w:rPr>
        <w:t>meeting.</w:t>
      </w:r>
    </w:p>
    <w:p w:rsidR="00175E49" w:rsidRPr="00EE114F" w:rsidRDefault="00175E49" w:rsidP="001C723D">
      <w:pPr>
        <w:pStyle w:val="ListParagraph"/>
        <w:ind w:left="360"/>
      </w:pPr>
    </w:p>
    <w:p w:rsidR="00175E49" w:rsidRPr="00F44C8C" w:rsidRDefault="00175E49" w:rsidP="001C723D">
      <w:pPr>
        <w:pStyle w:val="ListParagraph"/>
        <w:numPr>
          <w:ilvl w:val="0"/>
          <w:numId w:val="31"/>
        </w:numPr>
        <w:ind w:left="426" w:hanging="426"/>
        <w:rPr>
          <w:rFonts w:eastAsiaTheme="minorEastAsia" w:cstheme="minorHAnsi"/>
        </w:rPr>
      </w:pPr>
      <w:r w:rsidRPr="005C1D95">
        <w:rPr>
          <w:rFonts w:eastAsiaTheme="minorEastAsia" w:cstheme="minorHAnsi"/>
        </w:rPr>
        <w:t>The Secretary General explained that the proposed agenda for the meeting was for the MWG to</w:t>
      </w:r>
      <w:r w:rsidRPr="00770805">
        <w:t xml:space="preserve"> follow up on progress made in the work of the STRP in response to Standing Committee (SC) decisions and to provide guidance to the STRP, focusing on three agenda items: </w:t>
      </w:r>
      <w:r w:rsidRPr="005C1D95">
        <w:rPr>
          <w:rFonts w:eastAsiaTheme="minorEastAsia" w:cstheme="minorHAnsi"/>
        </w:rPr>
        <w:t>p</w:t>
      </w:r>
      <w:r w:rsidRPr="00770805">
        <w:t xml:space="preserve">rogress made by the STRP in delivering highest priority tasks within its current work plan as well as ad-hoc tasks; additional tasks that the STRP could undertake in the current triennium; and further development of STRP priorities for the coming triennium. She </w:t>
      </w:r>
      <w:r w:rsidRPr="005C1D95">
        <w:rPr>
          <w:rFonts w:eastAsiaTheme="minorEastAsia" w:cstheme="minorHAnsi"/>
        </w:rPr>
        <w:t>drew attention to documents circulated in advance of</w:t>
      </w:r>
      <w:r w:rsidRPr="002C6EFA">
        <w:rPr>
          <w:rFonts w:eastAsiaTheme="minorEastAsia" w:cstheme="minorHAnsi"/>
        </w:rPr>
        <w:t xml:space="preserve"> the meeting related to each of these agenda items</w:t>
      </w:r>
      <w:r w:rsidRPr="00F44C8C">
        <w:rPr>
          <w:rFonts w:eastAsiaTheme="minorEastAsia" w:cstheme="minorHAnsi"/>
        </w:rPr>
        <w:t xml:space="preserve">. </w:t>
      </w:r>
    </w:p>
    <w:p w:rsidR="00175E49" w:rsidRPr="00770805" w:rsidRDefault="00175E49" w:rsidP="001C723D"/>
    <w:p w:rsidR="00175E49" w:rsidRDefault="00175E49" w:rsidP="001C723D">
      <w:pPr>
        <w:rPr>
          <w:sz w:val="21"/>
          <w:szCs w:val="21"/>
        </w:rPr>
      </w:pPr>
      <w:r w:rsidRPr="00632842">
        <w:rPr>
          <w:sz w:val="21"/>
          <w:szCs w:val="21"/>
          <w:u w:val="single"/>
        </w:rPr>
        <w:t>Progress made with STRP highest priority and ad-hoc tasks</w:t>
      </w:r>
      <w:r w:rsidRPr="00DD5A8A">
        <w:rPr>
          <w:sz w:val="21"/>
          <w:szCs w:val="21"/>
        </w:rPr>
        <w:t xml:space="preserve"> (following up on </w:t>
      </w:r>
      <w:hyperlink r:id="rId14" w:history="1">
        <w:r w:rsidRPr="00DD5A8A">
          <w:rPr>
            <w:rStyle w:val="Hyperlink"/>
            <w:color w:val="0563C1"/>
            <w:sz w:val="21"/>
            <w:szCs w:val="21"/>
          </w:rPr>
          <w:t>Decision SC59-04 and 05</w:t>
        </w:r>
      </w:hyperlink>
      <w:r w:rsidRPr="00DD5A8A">
        <w:rPr>
          <w:sz w:val="21"/>
          <w:szCs w:val="21"/>
        </w:rPr>
        <w:t>)</w:t>
      </w:r>
    </w:p>
    <w:p w:rsidR="001C723D" w:rsidRPr="00DD5A8A" w:rsidRDefault="001C723D" w:rsidP="001C723D"/>
    <w:p w:rsidR="00175E49" w:rsidRDefault="00175E49" w:rsidP="001C723D">
      <w:pPr>
        <w:pStyle w:val="ListParagraph"/>
        <w:numPr>
          <w:ilvl w:val="0"/>
          <w:numId w:val="31"/>
        </w:numPr>
        <w:ind w:left="360"/>
      </w:pPr>
      <w:r>
        <w:rPr>
          <w:rFonts w:eastAsiaTheme="minorEastAsia" w:cstheme="minorHAnsi"/>
        </w:rPr>
        <w:t xml:space="preserve">The STRP </w:t>
      </w:r>
      <w:r>
        <w:t xml:space="preserve">Chair reported that the work of the STRP in relation to highest priority tasks had been completed, and noted the successful launch of the Global Wetlands Outlook Special Edition 2021 on 15 December 2021. He further provided an update on work on the criterion 6 ad hoc task, emphasizing that the draft document shared addresses comments raised at the last MWG meeting, but that work was still ongoing. </w:t>
      </w:r>
    </w:p>
    <w:p w:rsidR="00175E49" w:rsidRDefault="00175E49" w:rsidP="001C723D">
      <w:pPr>
        <w:pStyle w:val="ListParagraph"/>
        <w:ind w:left="360"/>
      </w:pPr>
    </w:p>
    <w:p w:rsidR="00175E49" w:rsidRDefault="00175E49" w:rsidP="001C723D">
      <w:pPr>
        <w:pStyle w:val="ListParagraph"/>
        <w:numPr>
          <w:ilvl w:val="0"/>
          <w:numId w:val="31"/>
        </w:numPr>
        <w:ind w:left="360"/>
      </w:pPr>
      <w:r>
        <w:t xml:space="preserve">The Secretariat mentioned that Blue Carbon and Peatland related products (STRP Workplan tasks 2.2 and 5.1) had been shared prior to UNFCCC COP 26 in view of their relevance to negotiations. These products as well as products on agriculture (Task 1.2) are at final stages of production and will be disseminated in all languages of the Convention shortly, with launch plans to be communicated. </w:t>
      </w:r>
    </w:p>
    <w:p w:rsidR="00175E49" w:rsidRDefault="00175E49" w:rsidP="001C723D">
      <w:pPr>
        <w:pStyle w:val="ListParagraph"/>
        <w:ind w:left="360"/>
      </w:pPr>
    </w:p>
    <w:p w:rsidR="00175E49" w:rsidRDefault="00175E49" w:rsidP="001C723D">
      <w:pPr>
        <w:pStyle w:val="ListParagraph"/>
        <w:numPr>
          <w:ilvl w:val="0"/>
          <w:numId w:val="31"/>
        </w:numPr>
        <w:ind w:left="360"/>
      </w:pPr>
      <w:r>
        <w:t xml:space="preserve">The Secretariat further noted that while the STRP has addressed guidance of the MWG and SC in relation to the ad hoc task on criterion 6, added clarity may be needed in the recommended way forward, including to ensure that it can be applied in the day-to-day work of the Secretariat to review site designations and updates. The Secretariat will continue to work with and support the STRP on this. </w:t>
      </w:r>
    </w:p>
    <w:p w:rsidR="00175E49" w:rsidRDefault="00175E49" w:rsidP="001C723D">
      <w:pPr>
        <w:pStyle w:val="ListParagraph"/>
      </w:pPr>
    </w:p>
    <w:p w:rsidR="00175E49" w:rsidRDefault="00175E49" w:rsidP="001C723D">
      <w:pPr>
        <w:pStyle w:val="ListParagraph"/>
        <w:numPr>
          <w:ilvl w:val="0"/>
          <w:numId w:val="31"/>
        </w:numPr>
        <w:ind w:left="360"/>
      </w:pPr>
      <w:r>
        <w:t xml:space="preserve">MWG took note of progress made in line with SC decision SC59-05. Questions were raised on whether regional or flyway data exist for the Americas, as is the case for some flyways in Asia, Africa and Europe, and whether that could be reflected in the document; and on whether national monitoring systems and gray literature could be used as alternative data sources, bearing in mind that not all population data is published in peer-reviewed journals. </w:t>
      </w:r>
    </w:p>
    <w:p w:rsidR="00175E49" w:rsidRDefault="00175E49" w:rsidP="001C723D">
      <w:pPr>
        <w:pStyle w:val="ListParagraph"/>
      </w:pPr>
    </w:p>
    <w:p w:rsidR="00175E49" w:rsidRDefault="00175E49" w:rsidP="001C723D">
      <w:pPr>
        <w:pStyle w:val="ListParagraph"/>
        <w:numPr>
          <w:ilvl w:val="0"/>
          <w:numId w:val="31"/>
        </w:numPr>
        <w:ind w:left="360"/>
      </w:pPr>
      <w:r>
        <w:t>The STRP Chair clarified that only two flyways have established systematic review of populations. Use of data from national monitoring systems requires caution because migratory bird populations span boundaries. Data from flyway initiatives are valuable in this regard, and also in the absence of up to date global estimates, but they do not constitute a global population estimate. The STRP will continue to work on this and present its guidance to the resumed session of SC59.</w:t>
      </w:r>
    </w:p>
    <w:p w:rsidR="00175E49" w:rsidRDefault="00175E49" w:rsidP="001C723D"/>
    <w:p w:rsidR="00175E49" w:rsidRDefault="00175E49" w:rsidP="001C723D">
      <w:pPr>
        <w:rPr>
          <w:sz w:val="21"/>
          <w:szCs w:val="21"/>
        </w:rPr>
      </w:pPr>
      <w:r w:rsidRPr="00632842">
        <w:rPr>
          <w:sz w:val="21"/>
          <w:szCs w:val="21"/>
          <w:u w:val="single"/>
        </w:rPr>
        <w:t>Additional tasks to be undertaken by the STRP in the current triennium</w:t>
      </w:r>
      <w:r w:rsidRPr="00DD5A8A">
        <w:rPr>
          <w:sz w:val="21"/>
          <w:szCs w:val="21"/>
        </w:rPr>
        <w:t xml:space="preserve"> (</w:t>
      </w:r>
      <w:hyperlink r:id="rId15" w:history="1">
        <w:r w:rsidRPr="00DD5A8A">
          <w:rPr>
            <w:rStyle w:val="Hyperlink"/>
            <w:color w:val="0563C1"/>
            <w:sz w:val="21"/>
            <w:szCs w:val="21"/>
          </w:rPr>
          <w:t>Decision SC59-06</w:t>
        </w:r>
      </w:hyperlink>
      <w:r w:rsidRPr="00DD5A8A">
        <w:rPr>
          <w:sz w:val="21"/>
          <w:szCs w:val="21"/>
        </w:rPr>
        <w:t>)</w:t>
      </w:r>
    </w:p>
    <w:p w:rsidR="001C723D" w:rsidRPr="00DD5A8A" w:rsidRDefault="001C723D" w:rsidP="001C723D"/>
    <w:p w:rsidR="00175E49" w:rsidRDefault="00175E49" w:rsidP="001C723D">
      <w:pPr>
        <w:pStyle w:val="ListParagraph"/>
        <w:numPr>
          <w:ilvl w:val="0"/>
          <w:numId w:val="31"/>
        </w:numPr>
        <w:ind w:left="360"/>
      </w:pPr>
      <w:r>
        <w:t xml:space="preserve">The STRP Chair provided a brief overview of proposed additional tasks, noting that these were in line with the suggestions previously made in the MWG meeting </w:t>
      </w:r>
      <w:r w:rsidRPr="00385CBA">
        <w:rPr>
          <w:rFonts w:eastAsiaTheme="minorEastAsia" w:cstheme="minorHAnsi"/>
          <w:bCs/>
        </w:rPr>
        <w:t xml:space="preserve">14 June 2021. </w:t>
      </w:r>
      <w:r>
        <w:t xml:space="preserve">Building on task 1.7 in the current work plan, the STRP will prepare Terms of Reference for a comprehensive global assessment of gaps in the Ramsar Site network, to be implemented in the next triennium. A STRP subgroup has been established for this. Further work on blue carbon is led by Dr Siobhan Fennessy, and will include development of guidance on prioritization of coastal blue carbon ecosystem restoration efforts; review of existing data and models on carbon stock and fluxes; and analysis of National Wetland Inventories (NWIs) as tools to support updating of Greenhouse Gas (GHG) accounts and Nationally Determined Contributions (NDCs).  The STRP would also engage in review of the current and development of the next Strategic Plan, as needed. </w:t>
      </w:r>
    </w:p>
    <w:p w:rsidR="00175E49" w:rsidRDefault="00175E49" w:rsidP="001C723D">
      <w:pPr>
        <w:pStyle w:val="ListParagraph"/>
        <w:ind w:left="360"/>
      </w:pPr>
    </w:p>
    <w:p w:rsidR="00175E49" w:rsidRDefault="00175E49" w:rsidP="001C723D">
      <w:pPr>
        <w:pStyle w:val="ListParagraph"/>
        <w:numPr>
          <w:ilvl w:val="0"/>
          <w:numId w:val="31"/>
        </w:numPr>
        <w:ind w:left="360"/>
      </w:pPr>
      <w:r>
        <w:t xml:space="preserve">The Secretariat noted that STRP core funds for 2022 and non-core funds provided for the work of the STRP on blue carbon could be allocated towards these activities, subject to need. </w:t>
      </w:r>
    </w:p>
    <w:p w:rsidR="00175E49" w:rsidRDefault="00175E49" w:rsidP="001C723D">
      <w:pPr>
        <w:pStyle w:val="ListParagraph"/>
      </w:pPr>
    </w:p>
    <w:p w:rsidR="00175E49" w:rsidRDefault="00175E49" w:rsidP="001C723D">
      <w:pPr>
        <w:pStyle w:val="ListParagraph"/>
        <w:numPr>
          <w:ilvl w:val="0"/>
          <w:numId w:val="31"/>
        </w:numPr>
        <w:ind w:left="360"/>
      </w:pPr>
      <w:r>
        <w:t>MWG members expressed support for the proposed activities. In relation to the gap analysis, suggestions were made to ensure consideration of biogeographical aspects,</w:t>
      </w:r>
      <w:r w:rsidRPr="00385CBA">
        <w:t xml:space="preserve"> </w:t>
      </w:r>
      <w:r>
        <w:t xml:space="preserve">and to consider identification of sites that will promote or facilitate adaptation to projected (climate) change. In this context it would also be important to encourage Contracting Parties to update RSIS reports in order to enable a better assessment/analysis. In relation to blue carbon, the STRP’s work on the recently prepared Briefing Note was commended, and suggestions made for the STRP to also consider work in relation to intertidal mudflats as blue carbon ecosystems, as well as in relation to carbon finance and development of appropriate guidance on this. </w:t>
      </w:r>
    </w:p>
    <w:p w:rsidR="00175E49" w:rsidRDefault="00175E49" w:rsidP="001C723D">
      <w:pPr>
        <w:pStyle w:val="ListParagraph"/>
      </w:pPr>
    </w:p>
    <w:p w:rsidR="001C723D" w:rsidRPr="003D7EA3" w:rsidRDefault="00175E49" w:rsidP="001C723D">
      <w:pPr>
        <w:pStyle w:val="ListParagraph"/>
        <w:numPr>
          <w:ilvl w:val="0"/>
          <w:numId w:val="31"/>
        </w:numPr>
        <w:ind w:left="360"/>
      </w:pPr>
      <w:r>
        <w:t>The STRP Chair took note of the comments, some of which will be better addressed in the context of discussion on STRP priorities for the next triennium.</w:t>
      </w:r>
    </w:p>
    <w:p w:rsidR="001C723D" w:rsidRDefault="001C723D" w:rsidP="001C723D">
      <w:pPr>
        <w:rPr>
          <w:sz w:val="21"/>
          <w:szCs w:val="21"/>
          <w:u w:val="single"/>
        </w:rPr>
      </w:pPr>
    </w:p>
    <w:p w:rsidR="00175E49" w:rsidRDefault="00175E49" w:rsidP="001C723D">
      <w:pPr>
        <w:rPr>
          <w:i/>
          <w:sz w:val="21"/>
          <w:szCs w:val="21"/>
          <w:u w:val="single"/>
        </w:rPr>
      </w:pPr>
      <w:r w:rsidRPr="00632842">
        <w:rPr>
          <w:sz w:val="21"/>
          <w:szCs w:val="21"/>
          <w:u w:val="single"/>
        </w:rPr>
        <w:t>Further development of STRP priorities for the coming triennium</w:t>
      </w:r>
      <w:r w:rsidRPr="00320FED">
        <w:rPr>
          <w:i/>
          <w:sz w:val="21"/>
          <w:szCs w:val="21"/>
          <w:u w:val="single"/>
        </w:rPr>
        <w:t xml:space="preserve"> (</w:t>
      </w:r>
      <w:hyperlink r:id="rId16" w:history="1">
        <w:r w:rsidRPr="00320FED">
          <w:rPr>
            <w:rStyle w:val="Hyperlink"/>
            <w:i/>
            <w:color w:val="0563C1"/>
            <w:sz w:val="21"/>
            <w:szCs w:val="21"/>
          </w:rPr>
          <w:t>Decision SC59-07</w:t>
        </w:r>
      </w:hyperlink>
      <w:r w:rsidRPr="00320FED">
        <w:rPr>
          <w:i/>
          <w:sz w:val="21"/>
          <w:szCs w:val="21"/>
          <w:u w:val="single"/>
        </w:rPr>
        <w:t>)</w:t>
      </w:r>
    </w:p>
    <w:p w:rsidR="001C723D" w:rsidRPr="00320FED" w:rsidRDefault="001C723D" w:rsidP="001C723D">
      <w:pPr>
        <w:rPr>
          <w:i/>
          <w:u w:val="single"/>
        </w:rPr>
      </w:pPr>
    </w:p>
    <w:p w:rsidR="00175E49" w:rsidRDefault="00175E49" w:rsidP="001C723D">
      <w:pPr>
        <w:pStyle w:val="ListParagraph"/>
        <w:numPr>
          <w:ilvl w:val="0"/>
          <w:numId w:val="31"/>
        </w:numPr>
        <w:ind w:left="360"/>
      </w:pPr>
      <w:r>
        <w:t xml:space="preserve">The STRP Chair mentioned that discussion on future priorities was ongoing, and that a number of revisions and updates had been made to the document shared prior to the MWG. This </w:t>
      </w:r>
      <w:r>
        <w:lastRenderedPageBreak/>
        <w:t xml:space="preserve">included further refinement of activities and potential outputs as well as priority level. He noted that some aspects of the document have not yet been discussed in detail. </w:t>
      </w:r>
    </w:p>
    <w:p w:rsidR="00175E49" w:rsidRDefault="00175E49" w:rsidP="001C723D">
      <w:pPr>
        <w:pStyle w:val="ListParagraph"/>
        <w:ind w:left="360"/>
      </w:pPr>
    </w:p>
    <w:p w:rsidR="00175E49" w:rsidRDefault="00175E49" w:rsidP="001C723D">
      <w:pPr>
        <w:pStyle w:val="ListParagraph"/>
        <w:numPr>
          <w:ilvl w:val="0"/>
          <w:numId w:val="31"/>
        </w:numPr>
        <w:ind w:left="360"/>
      </w:pPr>
      <w:r>
        <w:t xml:space="preserve">The Secretariat sought clarification on the structure of the document, with the suggestion that it could present potential priority activities by Thematic Work Areas, and that some modification of Thematic Work Areas may be needed pending further discussion in STRP. </w:t>
      </w:r>
    </w:p>
    <w:p w:rsidR="00175E49" w:rsidRDefault="00175E49" w:rsidP="001C723D">
      <w:pPr>
        <w:pStyle w:val="ListParagraph"/>
      </w:pPr>
    </w:p>
    <w:p w:rsidR="00175E49" w:rsidRDefault="00175E49" w:rsidP="001C723D">
      <w:pPr>
        <w:pStyle w:val="ListParagraph"/>
        <w:numPr>
          <w:ilvl w:val="0"/>
          <w:numId w:val="31"/>
        </w:numPr>
        <w:ind w:left="360"/>
      </w:pPr>
      <w:r>
        <w:t xml:space="preserve">MWG members expressed support for the work of the STRP and thanked the Chair for progress made. The use of the full scale of priority ranking was emphasized, noting that while all items on the list are understood to be important, there is a need to prioritize between these in order to establish a realistic work plan. Engagement in the development of the next Strategic Plan needs to be reflected as a future priority for the STRP. It was also noted that priorities for the STRP in the next triennium should where relevant take into consideration the Global Biodiversity Framework (GBF). Positive feedback was also provided regarding structuring the document by Thematic Work Areas.  </w:t>
      </w:r>
    </w:p>
    <w:p w:rsidR="00175E49" w:rsidRDefault="00175E49" w:rsidP="001C723D">
      <w:pPr>
        <w:pStyle w:val="ListParagraph"/>
      </w:pPr>
    </w:p>
    <w:p w:rsidR="00175E49" w:rsidRDefault="00175E49" w:rsidP="001C723D">
      <w:pPr>
        <w:pStyle w:val="ListParagraph"/>
        <w:numPr>
          <w:ilvl w:val="0"/>
          <w:numId w:val="31"/>
        </w:numPr>
        <w:ind w:left="360"/>
      </w:pPr>
      <w:r>
        <w:t xml:space="preserve">The STRP Chair confirmed that guidance from the MWG would be taken up in the context of further development of the STRP priorities for the next triennium, and that the STRP was liaising with the Secretariat in relation to this. </w:t>
      </w:r>
    </w:p>
    <w:p w:rsidR="001C723D" w:rsidRDefault="001C723D" w:rsidP="001C723D">
      <w:pPr>
        <w:rPr>
          <w:sz w:val="21"/>
          <w:szCs w:val="21"/>
          <w:u w:val="single"/>
        </w:rPr>
      </w:pPr>
    </w:p>
    <w:p w:rsidR="001C723D" w:rsidRDefault="00175E49" w:rsidP="001C723D">
      <w:pPr>
        <w:rPr>
          <w:i/>
          <w:sz w:val="21"/>
          <w:szCs w:val="21"/>
          <w:u w:val="single"/>
        </w:rPr>
      </w:pPr>
      <w:r w:rsidRPr="00632842">
        <w:rPr>
          <w:sz w:val="21"/>
          <w:szCs w:val="21"/>
          <w:u w:val="single"/>
        </w:rPr>
        <w:t>Summary of the STRP</w:t>
      </w:r>
      <w:r w:rsidRPr="00632842">
        <w:rPr>
          <w:i/>
          <w:sz w:val="21"/>
          <w:szCs w:val="21"/>
          <w:u w:val="single"/>
        </w:rPr>
        <w:t xml:space="preserve"> </w:t>
      </w:r>
    </w:p>
    <w:p w:rsidR="00175E49" w:rsidRPr="00632842" w:rsidRDefault="00175E49" w:rsidP="001C723D">
      <w:pPr>
        <w:rPr>
          <w:i/>
          <w:u w:val="single"/>
        </w:rPr>
      </w:pPr>
      <w:r w:rsidRPr="00632842">
        <w:rPr>
          <w:i/>
          <w:sz w:val="21"/>
          <w:szCs w:val="21"/>
          <w:u w:val="single"/>
        </w:rPr>
        <w:t xml:space="preserve"> </w:t>
      </w:r>
    </w:p>
    <w:p w:rsidR="00175E49" w:rsidRPr="00CE56DD" w:rsidRDefault="00175E49" w:rsidP="001C723D">
      <w:pPr>
        <w:pStyle w:val="ListParagraph"/>
        <w:numPr>
          <w:ilvl w:val="0"/>
          <w:numId w:val="31"/>
        </w:numPr>
        <w:ind w:left="360"/>
      </w:pPr>
      <w:r w:rsidRPr="00682611">
        <w:rPr>
          <w:rFonts w:eastAsiaTheme="minorEastAsia" w:cstheme="minorHAnsi"/>
        </w:rPr>
        <w:t xml:space="preserve">The </w:t>
      </w:r>
      <w:r>
        <w:rPr>
          <w:rFonts w:eastAsiaTheme="minorEastAsia" w:cstheme="minorHAnsi"/>
        </w:rPr>
        <w:t xml:space="preserve">MWG provided guidance to the STRP to continue its work with support from the Secretariat </w:t>
      </w:r>
      <w:r>
        <w:t>in line with Decision SC59-06</w:t>
      </w:r>
      <w:r>
        <w:rPr>
          <w:rFonts w:eastAsiaTheme="minorEastAsia" w:cstheme="minorHAnsi"/>
        </w:rPr>
        <w:t>, as follows</w:t>
      </w:r>
      <w:r w:rsidRPr="00682611">
        <w:rPr>
          <w:rFonts w:eastAsiaTheme="minorEastAsia" w:cstheme="minorHAnsi"/>
        </w:rPr>
        <w:t>:</w:t>
      </w:r>
    </w:p>
    <w:p w:rsidR="00175E49" w:rsidRDefault="00175E49" w:rsidP="001C723D">
      <w:pPr>
        <w:pStyle w:val="ListParagraph"/>
        <w:numPr>
          <w:ilvl w:val="0"/>
          <w:numId w:val="33"/>
        </w:numPr>
        <w:rPr>
          <w:rFonts w:eastAsiaTheme="minorEastAsia" w:cstheme="minorHAnsi"/>
        </w:rPr>
      </w:pPr>
      <w:r w:rsidRPr="00FB17F0">
        <w:rPr>
          <w:rFonts w:eastAsiaTheme="minorEastAsia" w:cstheme="minorHAnsi"/>
        </w:rPr>
        <w:t>pursue implementation of the additional activities proposed for 2022</w:t>
      </w:r>
      <w:r>
        <w:rPr>
          <w:rFonts w:eastAsiaTheme="minorEastAsia" w:cstheme="minorHAnsi"/>
        </w:rPr>
        <w:t>, taking into account the points made by the MWG as described above</w:t>
      </w:r>
      <w:r w:rsidRPr="00FB17F0">
        <w:rPr>
          <w:rFonts w:eastAsiaTheme="minorEastAsia" w:cstheme="minorHAnsi"/>
        </w:rPr>
        <w:t xml:space="preserve">; </w:t>
      </w:r>
    </w:p>
    <w:p w:rsidR="00175E49" w:rsidRPr="005C3ED5" w:rsidRDefault="00175E49" w:rsidP="001C723D">
      <w:pPr>
        <w:pStyle w:val="ListParagraph"/>
        <w:numPr>
          <w:ilvl w:val="0"/>
          <w:numId w:val="33"/>
        </w:numPr>
        <w:rPr>
          <w:rFonts w:eastAsiaTheme="minorEastAsia" w:cstheme="minorHAnsi"/>
        </w:rPr>
      </w:pPr>
      <w:r>
        <w:rPr>
          <w:rFonts w:eastAsiaTheme="minorEastAsia" w:cstheme="minorHAnsi"/>
        </w:rPr>
        <w:t xml:space="preserve">continue its work on the </w:t>
      </w:r>
      <w:r w:rsidRPr="00FB17F0">
        <w:rPr>
          <w:rFonts w:eastAsiaTheme="minorEastAsia" w:cstheme="minorHAnsi"/>
        </w:rPr>
        <w:t>ad-hoc task on Criterion 6</w:t>
      </w:r>
      <w:r>
        <w:rPr>
          <w:rFonts w:eastAsiaTheme="minorEastAsia" w:cstheme="minorHAnsi"/>
        </w:rPr>
        <w:t xml:space="preserve"> as well as on development of </w:t>
      </w:r>
      <w:r w:rsidRPr="005C3ED5">
        <w:rPr>
          <w:rFonts w:eastAsiaTheme="minorEastAsia" w:cstheme="minorHAnsi"/>
        </w:rPr>
        <w:t xml:space="preserve">future priorities, taking into consideration guidance provided by MWG, </w:t>
      </w:r>
      <w:r>
        <w:rPr>
          <w:rFonts w:eastAsiaTheme="minorEastAsia" w:cstheme="minorHAnsi"/>
        </w:rPr>
        <w:t xml:space="preserve">and </w:t>
      </w:r>
      <w:r w:rsidRPr="005C3ED5">
        <w:rPr>
          <w:rFonts w:eastAsiaTheme="minorEastAsia" w:cstheme="minorHAnsi"/>
        </w:rPr>
        <w:t>ensur</w:t>
      </w:r>
      <w:r>
        <w:rPr>
          <w:rFonts w:eastAsiaTheme="minorEastAsia" w:cstheme="minorHAnsi"/>
        </w:rPr>
        <w:t xml:space="preserve">ing tasks are </w:t>
      </w:r>
      <w:r>
        <w:rPr>
          <w:rFonts w:eastAsiaTheme="minorEastAsia" w:cstheme="minorHAnsi"/>
          <w:bCs/>
        </w:rPr>
        <w:t xml:space="preserve">completed </w:t>
      </w:r>
      <w:r w:rsidRPr="005C3ED5">
        <w:rPr>
          <w:rFonts w:eastAsiaTheme="minorEastAsia" w:cstheme="minorHAnsi"/>
          <w:bCs/>
        </w:rPr>
        <w:t xml:space="preserve">by the deadline for submission of SC 59.2 documents to </w:t>
      </w:r>
      <w:r>
        <w:rPr>
          <w:rFonts w:eastAsiaTheme="minorEastAsia" w:cstheme="minorHAnsi"/>
          <w:bCs/>
        </w:rPr>
        <w:t xml:space="preserve">the Secretariat </w:t>
      </w:r>
      <w:r w:rsidRPr="005C3ED5">
        <w:rPr>
          <w:rFonts w:eastAsiaTheme="minorEastAsia" w:cstheme="minorHAnsi"/>
          <w:bCs/>
        </w:rPr>
        <w:t>(</w:t>
      </w:r>
      <w:r>
        <w:t>23 February 2022</w:t>
      </w:r>
      <w:r w:rsidRPr="005C3ED5">
        <w:rPr>
          <w:rFonts w:eastAsiaTheme="minorEastAsia" w:cstheme="minorHAnsi"/>
          <w:bCs/>
        </w:rPr>
        <w:t>)</w:t>
      </w:r>
      <w:r>
        <w:rPr>
          <w:rFonts w:eastAsiaTheme="minorEastAsia" w:cstheme="minorHAnsi"/>
          <w:bCs/>
        </w:rPr>
        <w:t xml:space="preserve">. </w:t>
      </w:r>
    </w:p>
    <w:p w:rsidR="00175E49" w:rsidRDefault="00175E49" w:rsidP="001C723D">
      <w:pPr>
        <w:rPr>
          <w:iCs/>
        </w:rPr>
      </w:pPr>
    </w:p>
    <w:p w:rsidR="00175E49" w:rsidRDefault="00175E49" w:rsidP="001C723D">
      <w:pPr>
        <w:ind w:left="0" w:firstLine="0"/>
        <w:rPr>
          <w:iCs/>
          <w:u w:val="single"/>
        </w:rPr>
      </w:pPr>
      <w:r w:rsidRPr="00632842">
        <w:rPr>
          <w:iCs/>
          <w:u w:val="single"/>
        </w:rPr>
        <w:t>Any other business</w:t>
      </w:r>
    </w:p>
    <w:p w:rsidR="001C723D" w:rsidRPr="00632842" w:rsidRDefault="001C723D" w:rsidP="001C723D">
      <w:pPr>
        <w:ind w:left="0" w:firstLine="0"/>
        <w:rPr>
          <w:iCs/>
          <w:u w:val="single"/>
        </w:rPr>
      </w:pPr>
    </w:p>
    <w:p w:rsidR="00175E49" w:rsidRDefault="00175E49" w:rsidP="001C723D">
      <w:pPr>
        <w:pStyle w:val="ListParagraph"/>
        <w:numPr>
          <w:ilvl w:val="0"/>
          <w:numId w:val="31"/>
        </w:numPr>
        <w:ind w:left="360"/>
      </w:pPr>
      <w:r w:rsidRPr="003B015F">
        <w:t xml:space="preserve">Sweden </w:t>
      </w:r>
      <w:r>
        <w:t xml:space="preserve">reminded of the importance that the process of recruiting a new Secretary General is not delayed further. Sweden </w:t>
      </w:r>
      <w:r w:rsidRPr="003B015F">
        <w:t xml:space="preserve">wanted to see immediately actions </w:t>
      </w:r>
      <w:r>
        <w:t xml:space="preserve">on this matter noting </w:t>
      </w:r>
      <w:r w:rsidRPr="003B015F">
        <w:t>that this was asked for</w:t>
      </w:r>
      <w:r>
        <w:t xml:space="preserve"> since </w:t>
      </w:r>
      <w:r w:rsidRPr="003B015F">
        <w:t>15 November 2021 without any progress made so far.</w:t>
      </w:r>
      <w:r>
        <w:t xml:space="preserve"> No one expressed any other opinion.</w:t>
      </w:r>
    </w:p>
    <w:p w:rsidR="00175E49" w:rsidRDefault="00175E49" w:rsidP="001C723D">
      <w:pPr>
        <w:pStyle w:val="ListParagraph"/>
        <w:ind w:left="360"/>
      </w:pPr>
    </w:p>
    <w:p w:rsidR="00175E49" w:rsidRPr="00DC705C" w:rsidRDefault="00175E49" w:rsidP="001C723D">
      <w:pPr>
        <w:pStyle w:val="ListParagraph"/>
        <w:ind w:left="-142" w:firstLine="0"/>
        <w:rPr>
          <w:iCs/>
          <w:u w:val="single"/>
        </w:rPr>
      </w:pPr>
      <w:r>
        <w:t xml:space="preserve">   </w:t>
      </w:r>
      <w:r w:rsidRPr="00DC705C">
        <w:rPr>
          <w:iCs/>
          <w:u w:val="single"/>
        </w:rPr>
        <w:t>Closing of the meeting</w:t>
      </w:r>
    </w:p>
    <w:p w:rsidR="00175E49" w:rsidRDefault="00175E49" w:rsidP="001C723D">
      <w:pPr>
        <w:pStyle w:val="ListParagraph"/>
        <w:ind w:left="-142"/>
      </w:pPr>
    </w:p>
    <w:p w:rsidR="00175E49" w:rsidRDefault="00175E49" w:rsidP="001C723D">
      <w:pPr>
        <w:pStyle w:val="ListParagraph"/>
        <w:numPr>
          <w:ilvl w:val="0"/>
          <w:numId w:val="31"/>
        </w:numPr>
        <w:ind w:left="360"/>
      </w:pPr>
      <w:r>
        <w:t>The Secretary General thanked the Chair of the STRP for progress made, recognizing that a lot of high-quality work has been delivered in spite of many challenges posed by the pandemic.</w:t>
      </w:r>
    </w:p>
    <w:p w:rsidR="00175E49" w:rsidRDefault="00175E49" w:rsidP="001C723D">
      <w:pPr>
        <w:pStyle w:val="ListParagraph"/>
        <w:ind w:left="360"/>
      </w:pPr>
    </w:p>
    <w:p w:rsidR="00175E49" w:rsidRDefault="00175E49" w:rsidP="001C723D">
      <w:pPr>
        <w:pStyle w:val="ListParagraph"/>
        <w:numPr>
          <w:ilvl w:val="0"/>
          <w:numId w:val="31"/>
        </w:numPr>
        <w:ind w:left="360"/>
      </w:pPr>
      <w:r>
        <w:t xml:space="preserve">The Chair of the STRP thanked members of MWG for the useful guidance provided and the Secretariat for its helpful support to the work of the Panel. </w:t>
      </w:r>
    </w:p>
    <w:p w:rsidR="00175E49" w:rsidRDefault="00175E49" w:rsidP="001C723D">
      <w:pPr>
        <w:pStyle w:val="ListParagraph"/>
        <w:ind w:left="360"/>
      </w:pPr>
    </w:p>
    <w:p w:rsidR="00175E49" w:rsidRDefault="00175E49" w:rsidP="001C723D">
      <w:pPr>
        <w:pStyle w:val="ListParagraph"/>
        <w:numPr>
          <w:ilvl w:val="0"/>
          <w:numId w:val="31"/>
        </w:numPr>
        <w:ind w:left="360"/>
      </w:pPr>
      <w:r>
        <w:t xml:space="preserve">The Chair closed the meeting, thanking members of the MWG for their contributions, the STRP for its work and the Secretariat for its support to the STRP. </w:t>
      </w:r>
    </w:p>
    <w:p w:rsidR="00175E49" w:rsidRPr="007F6753" w:rsidRDefault="00175E49" w:rsidP="001C723D">
      <w:pPr>
        <w:rPr>
          <w:rFonts w:cs="Arial"/>
          <w:b/>
          <w:sz w:val="24"/>
          <w:szCs w:val="24"/>
        </w:rPr>
      </w:pPr>
    </w:p>
    <w:p w:rsidR="00E43E6A" w:rsidRPr="000944EB" w:rsidRDefault="00E43E6A" w:rsidP="001C723D">
      <w:pPr>
        <w:rPr>
          <w:rFonts w:cs="Arial"/>
          <w:b/>
          <w:sz w:val="24"/>
          <w:szCs w:val="24"/>
        </w:rPr>
      </w:pPr>
    </w:p>
    <w:sectPr w:rsidR="00E43E6A" w:rsidRPr="000944EB" w:rsidSect="00161A4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A2D" w:rsidRDefault="00E86A2D" w:rsidP="00DF2386">
      <w:r>
        <w:separator/>
      </w:r>
    </w:p>
  </w:endnote>
  <w:endnote w:type="continuationSeparator" w:id="0">
    <w:p w:rsidR="00E86A2D" w:rsidRDefault="00E86A2D"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charset w:val="00"/>
    <w:family w:val="auto"/>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7D" w:rsidRDefault="00151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71" w:rsidRDefault="00E07553" w:rsidP="002137E0">
    <w:pPr>
      <w:pStyle w:val="Header"/>
      <w:rPr>
        <w:noProof/>
      </w:rPr>
    </w:pPr>
    <w:r w:rsidRPr="00E07553">
      <w:rPr>
        <w:sz w:val="20"/>
        <w:szCs w:val="20"/>
      </w:rPr>
      <w:t>SC59/2022 Doc.</w:t>
    </w:r>
    <w:r w:rsidR="00914BCB" w:rsidRPr="00E75D5A">
      <w:rPr>
        <w:sz w:val="20"/>
        <w:szCs w:val="20"/>
      </w:rPr>
      <w:t>7</w:t>
    </w:r>
    <w:r w:rsidR="0015197D">
      <w:rPr>
        <w:sz w:val="20"/>
        <w:szCs w:val="20"/>
      </w:rPr>
      <w:t>.2</w:t>
    </w:r>
    <w:bookmarkStart w:id="0" w:name="_GoBack"/>
    <w:bookmarkEnd w:id="0"/>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15197D">
          <w:rPr>
            <w:noProof/>
            <w:sz w:val="20"/>
            <w:szCs w:val="20"/>
          </w:rPr>
          <w:t>2</w:t>
        </w:r>
        <w:r w:rsidR="00F73E71"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7D" w:rsidRDefault="00151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A2D" w:rsidRDefault="00E86A2D" w:rsidP="00DF2386">
      <w:r>
        <w:separator/>
      </w:r>
    </w:p>
  </w:footnote>
  <w:footnote w:type="continuationSeparator" w:id="0">
    <w:p w:rsidR="00E86A2D" w:rsidRDefault="00E86A2D" w:rsidP="00DF2386">
      <w:r>
        <w:continuationSeparator/>
      </w:r>
    </w:p>
  </w:footnote>
  <w:footnote w:id="1">
    <w:p w:rsidR="00F44F60" w:rsidRDefault="00F44F60" w:rsidP="00F44F60">
      <w:pPr>
        <w:pStyle w:val="FootnoteText"/>
        <w:ind w:left="0" w:firstLine="1"/>
      </w:pPr>
      <w:r>
        <w:rPr>
          <w:rStyle w:val="FootnoteReference"/>
        </w:rPr>
        <w:footnoteRef/>
      </w:r>
      <w:r>
        <w:t xml:space="preserve"> See </w:t>
      </w:r>
      <w:hyperlink r:id="rId1" w:history="1">
        <w:r w:rsidRPr="0074094C">
          <w:rPr>
            <w:rStyle w:val="Hyperlink"/>
          </w:rPr>
          <w:t>https://www.ramsar.org/document/decisions-of-the-59th-meeting-of-the-standing-committee-21-25-june-2021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7D" w:rsidRDefault="00151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71" w:rsidRDefault="00F73E71">
    <w:pPr>
      <w:pStyle w:val="Header"/>
    </w:pPr>
  </w:p>
  <w:p w:rsidR="00F73E71" w:rsidRDefault="00F73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7D" w:rsidRDefault="00151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00C6A"/>
    <w:multiLevelType w:val="multilevel"/>
    <w:tmpl w:val="E44616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1D60303C"/>
    <w:multiLevelType w:val="hybridMultilevel"/>
    <w:tmpl w:val="09E8888E"/>
    <w:lvl w:ilvl="0" w:tplc="9496D52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3"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3B6CD4"/>
    <w:multiLevelType w:val="multilevel"/>
    <w:tmpl w:val="B0C4E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6"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8"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D2102"/>
    <w:multiLevelType w:val="hybridMultilevel"/>
    <w:tmpl w:val="CE30B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6"/>
  </w:num>
  <w:num w:numId="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5"/>
  </w:num>
  <w:num w:numId="13">
    <w:abstractNumId w:val="18"/>
  </w:num>
  <w:num w:numId="14">
    <w:abstractNumId w:val="13"/>
  </w:num>
  <w:num w:numId="15">
    <w:abstractNumId w:val="2"/>
  </w:num>
  <w:num w:numId="16">
    <w:abstractNumId w:val="15"/>
  </w:num>
  <w:num w:numId="17">
    <w:abstractNumId w:val="21"/>
  </w:num>
  <w:num w:numId="18">
    <w:abstractNumId w:val="30"/>
  </w:num>
  <w:num w:numId="19">
    <w:abstractNumId w:val="28"/>
  </w:num>
  <w:num w:numId="20">
    <w:abstractNumId w:val="23"/>
  </w:num>
  <w:num w:numId="21">
    <w:abstractNumId w:val="25"/>
  </w:num>
  <w:num w:numId="22">
    <w:abstractNumId w:val="16"/>
  </w:num>
  <w:num w:numId="23">
    <w:abstractNumId w:val="22"/>
  </w:num>
  <w:num w:numId="24">
    <w:abstractNumId w:val="20"/>
  </w:num>
  <w:num w:numId="25">
    <w:abstractNumId w:val="27"/>
  </w:num>
  <w:num w:numId="26">
    <w:abstractNumId w:val="10"/>
  </w:num>
  <w:num w:numId="27">
    <w:abstractNumId w:val="0"/>
  </w:num>
  <w:num w:numId="28">
    <w:abstractNumId w:val="12"/>
  </w:num>
  <w:num w:numId="29">
    <w:abstractNumId w:val="3"/>
  </w:num>
  <w:num w:numId="30">
    <w:abstractNumId w:val="19"/>
  </w:num>
  <w:num w:numId="31">
    <w:abstractNumId w:val="29"/>
  </w:num>
  <w:num w:numId="32">
    <w:abstractNumId w:val="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14168"/>
    <w:rsid w:val="00017A16"/>
    <w:rsid w:val="00026E09"/>
    <w:rsid w:val="00037CE0"/>
    <w:rsid w:val="00042CCC"/>
    <w:rsid w:val="00053929"/>
    <w:rsid w:val="00074DE8"/>
    <w:rsid w:val="000807D5"/>
    <w:rsid w:val="000944EB"/>
    <w:rsid w:val="000A3E3E"/>
    <w:rsid w:val="000C2489"/>
    <w:rsid w:val="000D5C76"/>
    <w:rsid w:val="000D7DA7"/>
    <w:rsid w:val="000E2FA0"/>
    <w:rsid w:val="000E418C"/>
    <w:rsid w:val="000E47E9"/>
    <w:rsid w:val="000F0314"/>
    <w:rsid w:val="0012096C"/>
    <w:rsid w:val="00127828"/>
    <w:rsid w:val="0015197D"/>
    <w:rsid w:val="00161A4F"/>
    <w:rsid w:val="00161BDA"/>
    <w:rsid w:val="00171618"/>
    <w:rsid w:val="00175E49"/>
    <w:rsid w:val="001819B1"/>
    <w:rsid w:val="0019101E"/>
    <w:rsid w:val="001A2D10"/>
    <w:rsid w:val="001A2F28"/>
    <w:rsid w:val="001A3F53"/>
    <w:rsid w:val="001B46A4"/>
    <w:rsid w:val="001C5E41"/>
    <w:rsid w:val="001C723D"/>
    <w:rsid w:val="001C77BC"/>
    <w:rsid w:val="001D48BB"/>
    <w:rsid w:val="001E00E3"/>
    <w:rsid w:val="001F2349"/>
    <w:rsid w:val="002005D2"/>
    <w:rsid w:val="0020298B"/>
    <w:rsid w:val="00206111"/>
    <w:rsid w:val="002137E0"/>
    <w:rsid w:val="002741AC"/>
    <w:rsid w:val="00275F13"/>
    <w:rsid w:val="002819C0"/>
    <w:rsid w:val="00295556"/>
    <w:rsid w:val="00295BB5"/>
    <w:rsid w:val="002A5A4D"/>
    <w:rsid w:val="002B3D32"/>
    <w:rsid w:val="002B4262"/>
    <w:rsid w:val="002D5A4D"/>
    <w:rsid w:val="002E22AF"/>
    <w:rsid w:val="002F6155"/>
    <w:rsid w:val="003178CC"/>
    <w:rsid w:val="00324398"/>
    <w:rsid w:val="00384FC3"/>
    <w:rsid w:val="003A3804"/>
    <w:rsid w:val="003A52BE"/>
    <w:rsid w:val="003A5866"/>
    <w:rsid w:val="003A6E9F"/>
    <w:rsid w:val="003C2D9F"/>
    <w:rsid w:val="003D4CD6"/>
    <w:rsid w:val="004228C7"/>
    <w:rsid w:val="0042798B"/>
    <w:rsid w:val="00434913"/>
    <w:rsid w:val="004474F8"/>
    <w:rsid w:val="00477550"/>
    <w:rsid w:val="00484289"/>
    <w:rsid w:val="004844A8"/>
    <w:rsid w:val="00496803"/>
    <w:rsid w:val="004B6688"/>
    <w:rsid w:val="005244A4"/>
    <w:rsid w:val="00527783"/>
    <w:rsid w:val="005814B5"/>
    <w:rsid w:val="005D3E9D"/>
    <w:rsid w:val="006256D3"/>
    <w:rsid w:val="00627BB7"/>
    <w:rsid w:val="00631D08"/>
    <w:rsid w:val="00644A13"/>
    <w:rsid w:val="0065136E"/>
    <w:rsid w:val="00670D71"/>
    <w:rsid w:val="006B3D8F"/>
    <w:rsid w:val="006C6B42"/>
    <w:rsid w:val="006E7DCE"/>
    <w:rsid w:val="007037CB"/>
    <w:rsid w:val="007050FF"/>
    <w:rsid w:val="00710F6F"/>
    <w:rsid w:val="00752764"/>
    <w:rsid w:val="00766962"/>
    <w:rsid w:val="00775287"/>
    <w:rsid w:val="00780316"/>
    <w:rsid w:val="00791CAE"/>
    <w:rsid w:val="007C4A1B"/>
    <w:rsid w:val="007D33F4"/>
    <w:rsid w:val="007E624C"/>
    <w:rsid w:val="007F3ABE"/>
    <w:rsid w:val="007F6753"/>
    <w:rsid w:val="00803FB5"/>
    <w:rsid w:val="00804975"/>
    <w:rsid w:val="008328E9"/>
    <w:rsid w:val="00835BCB"/>
    <w:rsid w:val="00835CDC"/>
    <w:rsid w:val="00850B09"/>
    <w:rsid w:val="00863B9D"/>
    <w:rsid w:val="00863BE6"/>
    <w:rsid w:val="008775BC"/>
    <w:rsid w:val="00882F1B"/>
    <w:rsid w:val="008863A9"/>
    <w:rsid w:val="008A70CE"/>
    <w:rsid w:val="008C25E4"/>
    <w:rsid w:val="008C2DAE"/>
    <w:rsid w:val="008F1715"/>
    <w:rsid w:val="008F75D1"/>
    <w:rsid w:val="00901DBF"/>
    <w:rsid w:val="009059A9"/>
    <w:rsid w:val="00913F95"/>
    <w:rsid w:val="00914BCB"/>
    <w:rsid w:val="0092515E"/>
    <w:rsid w:val="00942FBD"/>
    <w:rsid w:val="0094770B"/>
    <w:rsid w:val="00953C7F"/>
    <w:rsid w:val="009B2267"/>
    <w:rsid w:val="009C4A12"/>
    <w:rsid w:val="009C6681"/>
    <w:rsid w:val="009E0AE8"/>
    <w:rsid w:val="009E5374"/>
    <w:rsid w:val="009F345D"/>
    <w:rsid w:val="009F45D4"/>
    <w:rsid w:val="00A13218"/>
    <w:rsid w:val="00A227A3"/>
    <w:rsid w:val="00A462FD"/>
    <w:rsid w:val="00A60B73"/>
    <w:rsid w:val="00A80080"/>
    <w:rsid w:val="00AB4951"/>
    <w:rsid w:val="00AC7EE5"/>
    <w:rsid w:val="00AF7032"/>
    <w:rsid w:val="00B06C54"/>
    <w:rsid w:val="00B315A0"/>
    <w:rsid w:val="00B32084"/>
    <w:rsid w:val="00B34A18"/>
    <w:rsid w:val="00B468CE"/>
    <w:rsid w:val="00B579CB"/>
    <w:rsid w:val="00B626CD"/>
    <w:rsid w:val="00B70083"/>
    <w:rsid w:val="00B83EF9"/>
    <w:rsid w:val="00B9629F"/>
    <w:rsid w:val="00BB28F6"/>
    <w:rsid w:val="00BB61B4"/>
    <w:rsid w:val="00BC2609"/>
    <w:rsid w:val="00BF7693"/>
    <w:rsid w:val="00C0528F"/>
    <w:rsid w:val="00C13145"/>
    <w:rsid w:val="00C16FB9"/>
    <w:rsid w:val="00C379CC"/>
    <w:rsid w:val="00CB7E57"/>
    <w:rsid w:val="00CE750F"/>
    <w:rsid w:val="00D160CB"/>
    <w:rsid w:val="00D245A1"/>
    <w:rsid w:val="00D415E2"/>
    <w:rsid w:val="00D42055"/>
    <w:rsid w:val="00D4297F"/>
    <w:rsid w:val="00D647C3"/>
    <w:rsid w:val="00D80393"/>
    <w:rsid w:val="00D9633A"/>
    <w:rsid w:val="00DE12A2"/>
    <w:rsid w:val="00DE5E99"/>
    <w:rsid w:val="00DF2386"/>
    <w:rsid w:val="00DF7FE7"/>
    <w:rsid w:val="00E07553"/>
    <w:rsid w:val="00E23389"/>
    <w:rsid w:val="00E43DC7"/>
    <w:rsid w:val="00E43E6A"/>
    <w:rsid w:val="00E46367"/>
    <w:rsid w:val="00E63F0B"/>
    <w:rsid w:val="00E75D5A"/>
    <w:rsid w:val="00E86A2D"/>
    <w:rsid w:val="00EA3A7F"/>
    <w:rsid w:val="00ED1584"/>
    <w:rsid w:val="00EE277B"/>
    <w:rsid w:val="00F078F1"/>
    <w:rsid w:val="00F32D03"/>
    <w:rsid w:val="00F344DE"/>
    <w:rsid w:val="00F44F60"/>
    <w:rsid w:val="00F73E71"/>
    <w:rsid w:val="00F93A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60B493C"/>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aliases w:val="Rec para"/>
    <w:basedOn w:val="Normal"/>
    <w:link w:val="ListParagraphChar"/>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NormalWeb">
    <w:name w:val="Normal (Web)"/>
    <w:basedOn w:val="Normal"/>
    <w:uiPriority w:val="99"/>
    <w:semiHidden/>
    <w:unhideWhenUsed/>
    <w:rsid w:val="008863A9"/>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DE5E99"/>
    <w:rPr>
      <w:color w:val="605E5C"/>
      <w:shd w:val="clear" w:color="auto" w:fill="E1DFDD"/>
    </w:rPr>
  </w:style>
  <w:style w:type="character" w:customStyle="1" w:styleId="ListParagraphChar">
    <w:name w:val="List Paragraph Char"/>
    <w:aliases w:val="Rec para Char"/>
    <w:link w:val="ListParagraph"/>
    <w:uiPriority w:val="34"/>
    <w:locked/>
    <w:rsid w:val="007F6753"/>
    <w:rPr>
      <w:rFonts w:ascii="Calibri" w:eastAsia="Calibri" w:hAnsi="Calibri" w:cs="Times New Roman"/>
    </w:rPr>
  </w:style>
  <w:style w:type="character" w:styleId="FollowedHyperlink">
    <w:name w:val="FollowedHyperlink"/>
    <w:basedOn w:val="DefaultParagraphFont"/>
    <w:uiPriority w:val="99"/>
    <w:semiHidden/>
    <w:unhideWhenUsed/>
    <w:rsid w:val="00F44F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2555">
      <w:bodyDiv w:val="1"/>
      <w:marLeft w:val="0"/>
      <w:marRight w:val="0"/>
      <w:marTop w:val="0"/>
      <w:marBottom w:val="0"/>
      <w:divBdr>
        <w:top w:val="none" w:sz="0" w:space="0" w:color="auto"/>
        <w:left w:val="none" w:sz="0" w:space="0" w:color="auto"/>
        <w:bottom w:val="none" w:sz="0" w:space="0" w:color="auto"/>
        <w:right w:val="none" w:sz="0" w:space="0" w:color="auto"/>
      </w:divBdr>
    </w:div>
    <w:div w:id="174539270">
      <w:bodyDiv w:val="1"/>
      <w:marLeft w:val="0"/>
      <w:marRight w:val="0"/>
      <w:marTop w:val="0"/>
      <w:marBottom w:val="0"/>
      <w:divBdr>
        <w:top w:val="none" w:sz="0" w:space="0" w:color="auto"/>
        <w:left w:val="none" w:sz="0" w:space="0" w:color="auto"/>
        <w:bottom w:val="none" w:sz="0" w:space="0" w:color="auto"/>
        <w:right w:val="none" w:sz="0" w:space="0" w:color="auto"/>
      </w:divBdr>
      <w:divsChild>
        <w:div w:id="228925376">
          <w:marLeft w:val="0"/>
          <w:marRight w:val="0"/>
          <w:marTop w:val="0"/>
          <w:marBottom w:val="0"/>
          <w:divBdr>
            <w:top w:val="none" w:sz="0" w:space="0" w:color="auto"/>
            <w:left w:val="none" w:sz="0" w:space="0" w:color="auto"/>
            <w:bottom w:val="none" w:sz="0" w:space="0" w:color="auto"/>
            <w:right w:val="none" w:sz="0" w:space="0" w:color="auto"/>
          </w:divBdr>
          <w:divsChild>
            <w:div w:id="1588878512">
              <w:marLeft w:val="0"/>
              <w:marRight w:val="0"/>
              <w:marTop w:val="0"/>
              <w:marBottom w:val="0"/>
              <w:divBdr>
                <w:top w:val="none" w:sz="0" w:space="0" w:color="auto"/>
                <w:left w:val="none" w:sz="0" w:space="0" w:color="auto"/>
                <w:bottom w:val="none" w:sz="0" w:space="0" w:color="auto"/>
                <w:right w:val="none" w:sz="0" w:space="0" w:color="auto"/>
              </w:divBdr>
              <w:divsChild>
                <w:div w:id="1372880207">
                  <w:marLeft w:val="0"/>
                  <w:marRight w:val="0"/>
                  <w:marTop w:val="0"/>
                  <w:marBottom w:val="0"/>
                  <w:divBdr>
                    <w:top w:val="none" w:sz="0" w:space="0" w:color="auto"/>
                    <w:left w:val="none" w:sz="0" w:space="0" w:color="auto"/>
                    <w:bottom w:val="none" w:sz="0" w:space="0" w:color="auto"/>
                    <w:right w:val="none" w:sz="0" w:space="0" w:color="auto"/>
                  </w:divBdr>
                </w:div>
              </w:divsChild>
            </w:div>
            <w:div w:id="759180908">
              <w:marLeft w:val="0"/>
              <w:marRight w:val="0"/>
              <w:marTop w:val="0"/>
              <w:marBottom w:val="0"/>
              <w:divBdr>
                <w:top w:val="none" w:sz="0" w:space="0" w:color="auto"/>
                <w:left w:val="none" w:sz="0" w:space="0" w:color="auto"/>
                <w:bottom w:val="none" w:sz="0" w:space="0" w:color="auto"/>
                <w:right w:val="none" w:sz="0" w:space="0" w:color="auto"/>
              </w:divBdr>
              <w:divsChild>
                <w:div w:id="20434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75297">
          <w:marLeft w:val="0"/>
          <w:marRight w:val="0"/>
          <w:marTop w:val="0"/>
          <w:marBottom w:val="0"/>
          <w:divBdr>
            <w:top w:val="none" w:sz="0" w:space="0" w:color="auto"/>
            <w:left w:val="none" w:sz="0" w:space="0" w:color="auto"/>
            <w:bottom w:val="none" w:sz="0" w:space="0" w:color="auto"/>
            <w:right w:val="none" w:sz="0" w:space="0" w:color="auto"/>
          </w:divBdr>
          <w:divsChild>
            <w:div w:id="1107576842">
              <w:marLeft w:val="0"/>
              <w:marRight w:val="0"/>
              <w:marTop w:val="0"/>
              <w:marBottom w:val="0"/>
              <w:divBdr>
                <w:top w:val="none" w:sz="0" w:space="0" w:color="auto"/>
                <w:left w:val="none" w:sz="0" w:space="0" w:color="auto"/>
                <w:bottom w:val="none" w:sz="0" w:space="0" w:color="auto"/>
                <w:right w:val="none" w:sz="0" w:space="0" w:color="auto"/>
              </w:divBdr>
              <w:divsChild>
                <w:div w:id="5426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30647525">
      <w:bodyDiv w:val="1"/>
      <w:marLeft w:val="0"/>
      <w:marRight w:val="0"/>
      <w:marTop w:val="0"/>
      <w:marBottom w:val="0"/>
      <w:divBdr>
        <w:top w:val="none" w:sz="0" w:space="0" w:color="auto"/>
        <w:left w:val="none" w:sz="0" w:space="0" w:color="auto"/>
        <w:bottom w:val="none" w:sz="0" w:space="0" w:color="auto"/>
        <w:right w:val="none" w:sz="0" w:space="0" w:color="auto"/>
      </w:divBdr>
      <w:divsChild>
        <w:div w:id="483938813">
          <w:marLeft w:val="0"/>
          <w:marRight w:val="0"/>
          <w:marTop w:val="0"/>
          <w:marBottom w:val="0"/>
          <w:divBdr>
            <w:top w:val="none" w:sz="0" w:space="0" w:color="auto"/>
            <w:left w:val="none" w:sz="0" w:space="0" w:color="auto"/>
            <w:bottom w:val="none" w:sz="0" w:space="0" w:color="auto"/>
            <w:right w:val="none" w:sz="0" w:space="0" w:color="auto"/>
          </w:divBdr>
          <w:divsChild>
            <w:div w:id="796533715">
              <w:marLeft w:val="0"/>
              <w:marRight w:val="0"/>
              <w:marTop w:val="0"/>
              <w:marBottom w:val="0"/>
              <w:divBdr>
                <w:top w:val="none" w:sz="0" w:space="0" w:color="auto"/>
                <w:left w:val="none" w:sz="0" w:space="0" w:color="auto"/>
                <w:bottom w:val="none" w:sz="0" w:space="0" w:color="auto"/>
                <w:right w:val="none" w:sz="0" w:space="0" w:color="auto"/>
              </w:divBdr>
              <w:divsChild>
                <w:div w:id="1299067538">
                  <w:marLeft w:val="0"/>
                  <w:marRight w:val="0"/>
                  <w:marTop w:val="0"/>
                  <w:marBottom w:val="0"/>
                  <w:divBdr>
                    <w:top w:val="none" w:sz="0" w:space="0" w:color="auto"/>
                    <w:left w:val="none" w:sz="0" w:space="0" w:color="auto"/>
                    <w:bottom w:val="none" w:sz="0" w:space="0" w:color="auto"/>
                    <w:right w:val="none" w:sz="0" w:space="0" w:color="auto"/>
                  </w:divBdr>
                </w:div>
              </w:divsChild>
            </w:div>
            <w:div w:id="1200509405">
              <w:marLeft w:val="0"/>
              <w:marRight w:val="0"/>
              <w:marTop w:val="0"/>
              <w:marBottom w:val="0"/>
              <w:divBdr>
                <w:top w:val="none" w:sz="0" w:space="0" w:color="auto"/>
                <w:left w:val="none" w:sz="0" w:space="0" w:color="auto"/>
                <w:bottom w:val="none" w:sz="0" w:space="0" w:color="auto"/>
                <w:right w:val="none" w:sz="0" w:space="0" w:color="auto"/>
              </w:divBdr>
              <w:divsChild>
                <w:div w:id="18915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4306">
          <w:marLeft w:val="0"/>
          <w:marRight w:val="0"/>
          <w:marTop w:val="0"/>
          <w:marBottom w:val="0"/>
          <w:divBdr>
            <w:top w:val="none" w:sz="0" w:space="0" w:color="auto"/>
            <w:left w:val="none" w:sz="0" w:space="0" w:color="auto"/>
            <w:bottom w:val="none" w:sz="0" w:space="0" w:color="auto"/>
            <w:right w:val="none" w:sz="0" w:space="0" w:color="auto"/>
          </w:divBdr>
          <w:divsChild>
            <w:div w:id="2051344482">
              <w:marLeft w:val="0"/>
              <w:marRight w:val="0"/>
              <w:marTop w:val="0"/>
              <w:marBottom w:val="0"/>
              <w:divBdr>
                <w:top w:val="none" w:sz="0" w:space="0" w:color="auto"/>
                <w:left w:val="none" w:sz="0" w:space="0" w:color="auto"/>
                <w:bottom w:val="none" w:sz="0" w:space="0" w:color="auto"/>
                <w:right w:val="none" w:sz="0" w:space="0" w:color="auto"/>
              </w:divBdr>
              <w:divsChild>
                <w:div w:id="255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7940">
      <w:bodyDiv w:val="1"/>
      <w:marLeft w:val="0"/>
      <w:marRight w:val="0"/>
      <w:marTop w:val="0"/>
      <w:marBottom w:val="0"/>
      <w:divBdr>
        <w:top w:val="none" w:sz="0" w:space="0" w:color="auto"/>
        <w:left w:val="none" w:sz="0" w:space="0" w:color="auto"/>
        <w:bottom w:val="none" w:sz="0" w:space="0" w:color="auto"/>
        <w:right w:val="none" w:sz="0" w:space="0" w:color="auto"/>
      </w:divBdr>
    </w:div>
    <w:div w:id="1842352300">
      <w:bodyDiv w:val="1"/>
      <w:marLeft w:val="0"/>
      <w:marRight w:val="0"/>
      <w:marTop w:val="0"/>
      <w:marBottom w:val="0"/>
      <w:divBdr>
        <w:top w:val="none" w:sz="0" w:space="0" w:color="auto"/>
        <w:left w:val="none" w:sz="0" w:space="0" w:color="auto"/>
        <w:bottom w:val="none" w:sz="0" w:space="0" w:color="auto"/>
        <w:right w:val="none" w:sz="0" w:space="0" w:color="auto"/>
      </w:divBdr>
      <w:divsChild>
        <w:div w:id="1892957424">
          <w:marLeft w:val="0"/>
          <w:marRight w:val="0"/>
          <w:marTop w:val="0"/>
          <w:marBottom w:val="0"/>
          <w:divBdr>
            <w:top w:val="none" w:sz="0" w:space="0" w:color="auto"/>
            <w:left w:val="none" w:sz="0" w:space="0" w:color="auto"/>
            <w:bottom w:val="none" w:sz="0" w:space="0" w:color="auto"/>
            <w:right w:val="none" w:sz="0" w:space="0" w:color="auto"/>
          </w:divBdr>
          <w:divsChild>
            <w:div w:id="64768391">
              <w:marLeft w:val="0"/>
              <w:marRight w:val="0"/>
              <w:marTop w:val="0"/>
              <w:marBottom w:val="0"/>
              <w:divBdr>
                <w:top w:val="none" w:sz="0" w:space="0" w:color="auto"/>
                <w:left w:val="none" w:sz="0" w:space="0" w:color="auto"/>
                <w:bottom w:val="none" w:sz="0" w:space="0" w:color="auto"/>
                <w:right w:val="none" w:sz="0" w:space="0" w:color="auto"/>
              </w:divBdr>
              <w:divsChild>
                <w:div w:id="14780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1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document/decisions-of-the-59th-meeting-of-the-standing-committee-21-25-june-202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ramsar.org/document/sc59-doc26-draft-resolution-on-the-future-implementation-of-scientific-and-technic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amsar.org/document/decisions-of-the-59th-meeting-of-the-standing-committee-21-25-june-20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sc59-doc25-report-of-the-chair-of-the-scientific-and-technical-review-pane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amsar.org/document/decisions-of-the-59th-meeting-of-the-standing-committee-21-25-june-202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document/decisions-of-the-59th-meeting-of-the-standing-committee-21-25-june-2021"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decisions-of-the-59th-meeting-of-the-standing-committee-21-25-june-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3DFED-1517-4596-AE9C-489BCD22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6C104-9E3F-42D7-A978-021CE9F6B2E5}">
  <ds:schemaRefs>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8c0b6b05-eb82-4bda-97e8-cd82d0d6b453"/>
    <ds:schemaRef ds:uri="http://www.w3.org/XML/1998/namespace"/>
    <ds:schemaRef ds:uri="http://purl.org/dc/elements/1.1/"/>
  </ds:schemaRefs>
</ds:datastoreItem>
</file>

<file path=customXml/itemProps3.xml><?xml version="1.0" encoding="utf-8"?>
<ds:datastoreItem xmlns:ds="http://schemas.openxmlformats.org/officeDocument/2006/customXml" ds:itemID="{F42D8BB8-6588-4BB8-B217-3D43AC5EF2A6}">
  <ds:schemaRefs>
    <ds:schemaRef ds:uri="http://schemas.microsoft.com/sharepoint/v3/contenttype/forms"/>
  </ds:schemaRefs>
</ds:datastoreItem>
</file>

<file path=customXml/itemProps4.xml><?xml version="1.0" encoding="utf-8"?>
<ds:datastoreItem xmlns:ds="http://schemas.openxmlformats.org/officeDocument/2006/customXml" ds:itemID="{0DDAF5C4-1CAA-40A3-A45F-979E0B0C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7</cp:revision>
  <cp:lastPrinted>2022-05-20T07:22:00Z</cp:lastPrinted>
  <dcterms:created xsi:type="dcterms:W3CDTF">2022-05-17T19:34:00Z</dcterms:created>
  <dcterms:modified xsi:type="dcterms:W3CDTF">2022-05-20T08:23:00Z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